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7A" w:rsidRPr="0088758F" w:rsidRDefault="00F6007A" w:rsidP="00F6007A">
      <w:pPr>
        <w:jc w:val="center"/>
        <w:rPr>
          <w:sz w:val="40"/>
          <w:szCs w:val="40"/>
        </w:rPr>
      </w:pPr>
    </w:p>
    <w:p w:rsidR="00C84066" w:rsidRPr="0088758F" w:rsidRDefault="00C84066" w:rsidP="00F6007A">
      <w:pPr>
        <w:jc w:val="center"/>
        <w:rPr>
          <w:sz w:val="40"/>
          <w:szCs w:val="40"/>
        </w:rPr>
      </w:pPr>
    </w:p>
    <w:p w:rsidR="00F6007A" w:rsidRPr="0088758F" w:rsidRDefault="00F6007A" w:rsidP="00F6007A">
      <w:pPr>
        <w:jc w:val="center"/>
        <w:rPr>
          <w:sz w:val="40"/>
          <w:szCs w:val="40"/>
        </w:rPr>
      </w:pPr>
    </w:p>
    <w:p w:rsidR="00F6007A" w:rsidRPr="0088758F" w:rsidRDefault="00F6007A" w:rsidP="00F6007A">
      <w:pPr>
        <w:jc w:val="center"/>
        <w:rPr>
          <w:sz w:val="40"/>
          <w:szCs w:val="40"/>
        </w:rPr>
      </w:pPr>
    </w:p>
    <w:p w:rsidR="00F6007A" w:rsidRPr="0088758F" w:rsidRDefault="00F6007A" w:rsidP="00F6007A">
      <w:pPr>
        <w:jc w:val="center"/>
        <w:rPr>
          <w:sz w:val="40"/>
          <w:szCs w:val="40"/>
        </w:rPr>
      </w:pPr>
    </w:p>
    <w:p w:rsidR="00F6007A" w:rsidRPr="0088758F" w:rsidRDefault="00F6007A" w:rsidP="00F6007A">
      <w:pPr>
        <w:jc w:val="center"/>
        <w:rPr>
          <w:sz w:val="40"/>
          <w:szCs w:val="40"/>
        </w:rPr>
      </w:pPr>
    </w:p>
    <w:p w:rsidR="00F6007A" w:rsidRPr="0088758F" w:rsidRDefault="00F6007A" w:rsidP="00F6007A">
      <w:pPr>
        <w:jc w:val="center"/>
        <w:rPr>
          <w:sz w:val="40"/>
          <w:szCs w:val="40"/>
        </w:rPr>
      </w:pPr>
    </w:p>
    <w:p w:rsidR="00F6007A" w:rsidRPr="0088758F" w:rsidRDefault="00F6007A" w:rsidP="00F6007A">
      <w:pPr>
        <w:jc w:val="center"/>
        <w:rPr>
          <w:sz w:val="40"/>
          <w:szCs w:val="40"/>
        </w:rPr>
      </w:pPr>
    </w:p>
    <w:p w:rsidR="00F6007A" w:rsidRPr="0088758F" w:rsidRDefault="00F6007A" w:rsidP="00F6007A">
      <w:pPr>
        <w:jc w:val="center"/>
        <w:rPr>
          <w:sz w:val="46"/>
          <w:szCs w:val="46"/>
        </w:rPr>
      </w:pPr>
      <w:r w:rsidRPr="0088758F">
        <w:rPr>
          <w:b/>
          <w:sz w:val="46"/>
          <w:szCs w:val="46"/>
        </w:rPr>
        <w:t>Informatīvais ziņojums</w:t>
      </w:r>
    </w:p>
    <w:p w:rsidR="00F6007A" w:rsidRPr="0088758F" w:rsidRDefault="00F6007A" w:rsidP="00F6007A">
      <w:pPr>
        <w:jc w:val="center"/>
        <w:rPr>
          <w:b/>
          <w:sz w:val="46"/>
          <w:szCs w:val="46"/>
        </w:rPr>
      </w:pPr>
      <w:r w:rsidRPr="0088758F">
        <w:rPr>
          <w:b/>
          <w:sz w:val="46"/>
          <w:szCs w:val="46"/>
        </w:rPr>
        <w:t>par ekonomikas atveseļošana</w:t>
      </w:r>
      <w:r w:rsidR="001D51B1" w:rsidRPr="0088758F">
        <w:rPr>
          <w:b/>
          <w:sz w:val="46"/>
          <w:szCs w:val="46"/>
        </w:rPr>
        <w:t>s politikas virzieniem</w:t>
      </w:r>
      <w:r w:rsidR="00CE7B7C" w:rsidRPr="0088758F">
        <w:rPr>
          <w:b/>
          <w:sz w:val="46"/>
          <w:szCs w:val="46"/>
        </w:rPr>
        <w:t xml:space="preserve"> vidēja termiņa periodā</w:t>
      </w: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p>
    <w:p w:rsidR="00F6007A" w:rsidRPr="0088758F" w:rsidRDefault="00F6007A" w:rsidP="00F6007A">
      <w:pPr>
        <w:jc w:val="center"/>
        <w:rPr>
          <w:sz w:val="28"/>
        </w:rPr>
      </w:pPr>
      <w:r w:rsidRPr="0088758F">
        <w:rPr>
          <w:sz w:val="28"/>
        </w:rPr>
        <w:t>RĪGA</w:t>
      </w:r>
    </w:p>
    <w:p w:rsidR="00F6007A" w:rsidRPr="0088758F" w:rsidRDefault="00F6007A" w:rsidP="00F6007A">
      <w:pPr>
        <w:jc w:val="center"/>
        <w:rPr>
          <w:sz w:val="28"/>
        </w:rPr>
      </w:pPr>
      <w:r w:rsidRPr="0088758F">
        <w:rPr>
          <w:sz w:val="28"/>
        </w:rPr>
        <w:t xml:space="preserve">2009.gada </w:t>
      </w:r>
      <w:r w:rsidR="001D1F98">
        <w:rPr>
          <w:sz w:val="28"/>
        </w:rPr>
        <w:t>oktobri</w:t>
      </w:r>
      <w:r w:rsidR="00B07B68" w:rsidRPr="0088758F">
        <w:rPr>
          <w:sz w:val="28"/>
        </w:rPr>
        <w:t>s</w:t>
      </w:r>
      <w:r w:rsidRPr="0088758F">
        <w:rPr>
          <w:sz w:val="28"/>
        </w:rPr>
        <w:br w:type="page"/>
      </w:r>
    </w:p>
    <w:p w:rsidR="00B5187D" w:rsidRPr="0088758F" w:rsidRDefault="00B5187D" w:rsidP="00B5187D">
      <w:pPr>
        <w:pStyle w:val="Heading1"/>
        <w:jc w:val="center"/>
      </w:pPr>
      <w:bookmarkStart w:id="0" w:name="_Toc242510356"/>
      <w:r w:rsidRPr="0088758F">
        <w:lastRenderedPageBreak/>
        <w:t>Ievads</w:t>
      </w:r>
      <w:bookmarkEnd w:id="0"/>
    </w:p>
    <w:p w:rsidR="003F2CB0" w:rsidRPr="0088758F" w:rsidRDefault="003F2CB0" w:rsidP="00FF370B">
      <w:pPr>
        <w:ind w:firstLine="567"/>
        <w:jc w:val="both"/>
        <w:rPr>
          <w:rFonts w:cs="Times New Roman"/>
          <w:sz w:val="28"/>
          <w:szCs w:val="28"/>
        </w:rPr>
      </w:pPr>
    </w:p>
    <w:p w:rsidR="00EF1F2B" w:rsidRPr="0088758F" w:rsidRDefault="00EF1F2B" w:rsidP="00EF1F2B">
      <w:pPr>
        <w:ind w:firstLine="567"/>
        <w:jc w:val="both"/>
        <w:rPr>
          <w:rFonts w:eastAsia="Times New Roman" w:cs="Times New Roman"/>
          <w:sz w:val="28"/>
          <w:szCs w:val="28"/>
          <w:lang w:eastAsia="lv-LV"/>
        </w:rPr>
      </w:pPr>
      <w:r w:rsidRPr="0088758F">
        <w:rPr>
          <w:rFonts w:eastAsia="Calibri" w:cs="Times New Roman"/>
          <w:sz w:val="28"/>
          <w:szCs w:val="28"/>
          <w:lang w:eastAsia="lv-LV"/>
        </w:rPr>
        <w:t xml:space="preserve">Saskaņā ar Ministru kabineta 2009.gada 4.augusta </w:t>
      </w:r>
      <w:r w:rsidRPr="0088758F">
        <w:rPr>
          <w:sz w:val="28"/>
          <w:szCs w:val="28"/>
        </w:rPr>
        <w:t xml:space="preserve">sēdes protokola Nr.51 77.§ 2.punktu </w:t>
      </w:r>
      <w:r w:rsidRPr="0088758F">
        <w:rPr>
          <w:rFonts w:eastAsia="Calibri" w:cs="Times New Roman"/>
          <w:sz w:val="28"/>
          <w:szCs w:val="28"/>
          <w:lang w:eastAsia="lv-LV"/>
        </w:rPr>
        <w:t xml:space="preserve">Ekonomikas ministrijai tika uzdots </w:t>
      </w:r>
      <w:r w:rsidRPr="0088758F">
        <w:rPr>
          <w:rFonts w:eastAsia="Times New Roman" w:cs="Times New Roman"/>
          <w:sz w:val="28"/>
          <w:szCs w:val="28"/>
          <w:lang w:eastAsia="lv-LV"/>
        </w:rPr>
        <w:t>organizēt „Informatīvā ziņojuma par priekšlikumiem ekonomikas atveseļošanai vidēja termiņa periodā” sabiedrisk</w:t>
      </w:r>
      <w:r w:rsidR="002C44A4">
        <w:rPr>
          <w:rFonts w:eastAsia="Times New Roman" w:cs="Times New Roman"/>
          <w:sz w:val="28"/>
          <w:szCs w:val="28"/>
          <w:lang w:eastAsia="lv-LV"/>
        </w:rPr>
        <w:t>o</w:t>
      </w:r>
      <w:r w:rsidRPr="0088758F">
        <w:rPr>
          <w:rFonts w:eastAsia="Times New Roman" w:cs="Times New Roman"/>
          <w:sz w:val="28"/>
          <w:szCs w:val="28"/>
          <w:lang w:eastAsia="lv-LV"/>
        </w:rPr>
        <w:t xml:space="preserve"> apspriešanu (konferenci) un iesniegt Ministru kabinetā attiecīgi precizētu ziņojumu un tiesību akta projektu, kurā </w:t>
      </w:r>
      <w:r w:rsidR="0088758F" w:rsidRPr="0088758F">
        <w:rPr>
          <w:rFonts w:eastAsia="Times New Roman" w:cs="Times New Roman"/>
          <w:sz w:val="28"/>
          <w:szCs w:val="28"/>
          <w:lang w:eastAsia="lv-LV"/>
        </w:rPr>
        <w:t xml:space="preserve">ir </w:t>
      </w:r>
      <w:r w:rsidRPr="0088758F">
        <w:rPr>
          <w:rFonts w:eastAsia="Times New Roman" w:cs="Times New Roman"/>
          <w:sz w:val="28"/>
          <w:szCs w:val="28"/>
          <w:lang w:eastAsia="lv-LV"/>
        </w:rPr>
        <w:t>ietverti konkrēti priekšlikumi prioritāro nozaru atbalsta instrumenta pilnveidošanai.</w:t>
      </w:r>
    </w:p>
    <w:p w:rsidR="00EF1F2B" w:rsidRPr="0088758F" w:rsidRDefault="00EF1F2B" w:rsidP="00EF1F2B">
      <w:pPr>
        <w:pStyle w:val="ListParagraph"/>
        <w:ind w:left="0" w:firstLine="567"/>
        <w:contextualSpacing w:val="0"/>
        <w:jc w:val="both"/>
        <w:rPr>
          <w:rFonts w:eastAsia="Calibri" w:cs="Times New Roman"/>
          <w:sz w:val="14"/>
          <w:szCs w:val="28"/>
        </w:rPr>
      </w:pPr>
      <w:r w:rsidRPr="0088758F">
        <w:rPr>
          <w:rFonts w:eastAsia="Calibri" w:cs="Times New Roman"/>
          <w:sz w:val="28"/>
          <w:szCs w:val="28"/>
        </w:rPr>
        <w:t xml:space="preserve">Attiecībā par šo pašu uzdevumu Ministru kabineta 2009.gada 15.septembra </w:t>
      </w:r>
      <w:r w:rsidRPr="009A4095">
        <w:rPr>
          <w:rFonts w:eastAsia="Calibri" w:cs="Times New Roman"/>
          <w:sz w:val="28"/>
          <w:szCs w:val="28"/>
        </w:rPr>
        <w:t xml:space="preserve">sēdes protokola Nr.58 6.§ 3.punkts precizē Latvijas ekonomikas atveseļošanas plāna iesniegšanas termiņu Ministru kabinetā un tas ir </w:t>
      </w:r>
      <w:r w:rsidRPr="0088758F">
        <w:rPr>
          <w:rFonts w:eastAsia="Calibri" w:cs="Times New Roman"/>
          <w:sz w:val="28"/>
          <w:szCs w:val="28"/>
        </w:rPr>
        <w:t xml:space="preserve">2009.gada </w:t>
      </w:r>
      <w:r w:rsidRPr="009A4095">
        <w:rPr>
          <w:rFonts w:eastAsia="Calibri" w:cs="Times New Roman"/>
          <w:sz w:val="28"/>
          <w:szCs w:val="28"/>
        </w:rPr>
        <w:t xml:space="preserve">1.oktobris. </w:t>
      </w:r>
      <w:r w:rsidR="009A4095" w:rsidRPr="009A4095">
        <w:rPr>
          <w:rFonts w:eastAsia="Calibri" w:cs="Times New Roman"/>
          <w:sz w:val="28"/>
          <w:szCs w:val="28"/>
        </w:rPr>
        <w:t>Bez tam šīs sēdes 6.§ 4.punkts Ekonomikas ministrijai sadarbībā ar Reģionālās attīstības un pašvaldību lietu ministriju</w:t>
      </w:r>
      <w:r w:rsidR="002C44A4">
        <w:rPr>
          <w:rFonts w:eastAsia="Calibri" w:cs="Times New Roman"/>
          <w:sz w:val="28"/>
          <w:szCs w:val="28"/>
        </w:rPr>
        <w:t xml:space="preserve"> uzdot</w:t>
      </w:r>
      <w:r w:rsidR="009A4095" w:rsidRPr="009A4095">
        <w:rPr>
          <w:rFonts w:eastAsia="Calibri" w:cs="Times New Roman"/>
          <w:sz w:val="28"/>
          <w:szCs w:val="28"/>
        </w:rPr>
        <w:t xml:space="preserve"> sagatavot un ekonomikas ministram līdz 2009.gada 1.oktobrim iesniegt Ministru kabinetā jautājumu par Nacionālā attīstības plāna pārskatīšanu vai atcelšanu, izskatīšanai kontekstā ar Latvijas ekonomikas atveseļošanas plānu.</w:t>
      </w:r>
    </w:p>
    <w:p w:rsidR="00EF1F2B" w:rsidRPr="0088758F" w:rsidRDefault="00EF1F2B" w:rsidP="00EF1F2B">
      <w:pPr>
        <w:pStyle w:val="ListParagraph"/>
        <w:ind w:left="0" w:firstLine="567"/>
        <w:contextualSpacing w:val="0"/>
        <w:jc w:val="both"/>
        <w:rPr>
          <w:rFonts w:eastAsia="Calibri" w:cs="Times New Roman"/>
          <w:sz w:val="28"/>
          <w:szCs w:val="28"/>
        </w:rPr>
      </w:pPr>
      <w:r w:rsidRPr="0088758F">
        <w:rPr>
          <w:rFonts w:eastAsia="Calibri" w:cs="Times New Roman"/>
          <w:sz w:val="28"/>
          <w:szCs w:val="28"/>
        </w:rPr>
        <w:t>2009.</w:t>
      </w:r>
      <w:r w:rsidRPr="0088758F">
        <w:rPr>
          <w:sz w:val="28"/>
          <w:szCs w:val="28"/>
        </w:rPr>
        <w:t xml:space="preserve">gada </w:t>
      </w:r>
      <w:r w:rsidRPr="0088758F">
        <w:rPr>
          <w:rFonts w:eastAsia="Calibri" w:cs="Times New Roman"/>
          <w:sz w:val="28"/>
          <w:szCs w:val="28"/>
        </w:rPr>
        <w:t xml:space="preserve">26.augustā notika Ekonomikas ministrijas organizēta konference „Latvija. Izaugsme. Labklājība.”, kurā plašā uzņēmēju, ekspertu un valsts pārvaldes pārstāvju lokā tika diskutēts par ministrijas izstrādāto ekonomikas atveseļošanas plānu un tā iedzīvināšanas instrumentiem. </w:t>
      </w:r>
    </w:p>
    <w:p w:rsidR="00EF1F2B" w:rsidRPr="0088758F" w:rsidRDefault="00EF1F2B" w:rsidP="00EF1F2B">
      <w:pPr>
        <w:ind w:firstLine="567"/>
        <w:jc w:val="both"/>
        <w:rPr>
          <w:rFonts w:eastAsia="Calibri" w:cs="Times New Roman"/>
          <w:sz w:val="28"/>
          <w:szCs w:val="28"/>
        </w:rPr>
      </w:pPr>
      <w:r w:rsidRPr="0088758F">
        <w:rPr>
          <w:rFonts w:eastAsia="Calibri" w:cs="Times New Roman"/>
          <w:sz w:val="28"/>
          <w:szCs w:val="28"/>
        </w:rPr>
        <w:t xml:space="preserve">Pamatojoties uz konferences gaitā iegūtajiem priekšlikumiem un pēc turpmākām konsultācijām ar iesaistītajām valsts institūcijām un nevalstiskajām organizācijām, Ekonomikas ministrija </w:t>
      </w:r>
      <w:r w:rsidRPr="0088758F">
        <w:rPr>
          <w:rFonts w:eastAsia="Times New Roman" w:cs="Times New Roman"/>
          <w:sz w:val="28"/>
          <w:szCs w:val="28"/>
          <w:lang w:eastAsia="lv-LV"/>
        </w:rPr>
        <w:t>ir precizējusi „Informatīvo ziņojumu par priekšlikumiem ekonomikas atveseļošanai vidēja termiņa periodā”</w:t>
      </w:r>
      <w:r w:rsidRPr="0088758F">
        <w:rPr>
          <w:rFonts w:eastAsia="Calibri" w:cs="Times New Roman"/>
          <w:sz w:val="28"/>
          <w:szCs w:val="28"/>
        </w:rPr>
        <w:t>.</w:t>
      </w:r>
    </w:p>
    <w:p w:rsidR="00EF1F2B" w:rsidRPr="0088758F" w:rsidRDefault="00EF1F2B" w:rsidP="00EF1F2B">
      <w:pPr>
        <w:ind w:firstLine="567"/>
        <w:jc w:val="both"/>
        <w:rPr>
          <w:rFonts w:eastAsia="Calibri" w:cs="Times New Roman"/>
          <w:sz w:val="16"/>
          <w:szCs w:val="16"/>
        </w:rPr>
      </w:pPr>
    </w:p>
    <w:p w:rsidR="00F704C2" w:rsidRDefault="00EF1F2B" w:rsidP="00EF1F2B">
      <w:pPr>
        <w:ind w:firstLine="567"/>
        <w:jc w:val="both"/>
        <w:rPr>
          <w:sz w:val="28"/>
          <w:szCs w:val="28"/>
        </w:rPr>
      </w:pPr>
      <w:r w:rsidRPr="0088758F">
        <w:rPr>
          <w:rFonts w:eastAsia="Calibri" w:cs="Times New Roman"/>
          <w:sz w:val="28"/>
          <w:szCs w:val="28"/>
        </w:rPr>
        <w:t xml:space="preserve">Precizētais </w:t>
      </w:r>
      <w:r w:rsidRPr="00F738F9">
        <w:rPr>
          <w:rFonts w:eastAsia="Calibri" w:cs="Times New Roman"/>
          <w:sz w:val="28"/>
          <w:szCs w:val="28"/>
        </w:rPr>
        <w:t xml:space="preserve">ziņojums </w:t>
      </w:r>
      <w:r w:rsidRPr="00F738F9">
        <w:rPr>
          <w:sz w:val="28"/>
          <w:szCs w:val="28"/>
        </w:rPr>
        <w:t xml:space="preserve">sastāv no </w:t>
      </w:r>
      <w:r w:rsidR="002F02CF" w:rsidRPr="00F738F9">
        <w:rPr>
          <w:sz w:val="28"/>
          <w:szCs w:val="28"/>
        </w:rPr>
        <w:t xml:space="preserve">četrām </w:t>
      </w:r>
      <w:r w:rsidRPr="00F738F9">
        <w:rPr>
          <w:sz w:val="28"/>
          <w:szCs w:val="28"/>
        </w:rPr>
        <w:t xml:space="preserve">nodaļām. </w:t>
      </w:r>
      <w:r w:rsidR="00F738F9" w:rsidRPr="00F738F9">
        <w:rPr>
          <w:sz w:val="28"/>
          <w:szCs w:val="28"/>
        </w:rPr>
        <w:t>Pirmajā</w:t>
      </w:r>
      <w:r w:rsidR="00F738F9" w:rsidRPr="00915089">
        <w:rPr>
          <w:sz w:val="28"/>
          <w:szCs w:val="28"/>
        </w:rPr>
        <w:t xml:space="preserve"> </w:t>
      </w:r>
      <w:r w:rsidR="00F738F9">
        <w:rPr>
          <w:sz w:val="28"/>
          <w:szCs w:val="28"/>
        </w:rPr>
        <w:t>no</w:t>
      </w:r>
      <w:r w:rsidR="00F738F9" w:rsidRPr="00915089">
        <w:rPr>
          <w:sz w:val="28"/>
          <w:szCs w:val="28"/>
        </w:rPr>
        <w:t>daļā ir sniegts ieskats Latvijas ekonomikas attīstīb</w:t>
      </w:r>
      <w:r w:rsidR="00F738F9">
        <w:rPr>
          <w:sz w:val="28"/>
          <w:szCs w:val="28"/>
        </w:rPr>
        <w:t>ā</w:t>
      </w:r>
      <w:r w:rsidR="00F738F9" w:rsidRPr="00915089">
        <w:rPr>
          <w:sz w:val="28"/>
          <w:szCs w:val="28"/>
        </w:rPr>
        <w:t xml:space="preserve"> vidēja termiņa periodā, iekļaujot pašreizējās krīzes raksturojumu, </w:t>
      </w:r>
      <w:r w:rsidR="00F704C2">
        <w:rPr>
          <w:sz w:val="28"/>
          <w:szCs w:val="28"/>
        </w:rPr>
        <w:t xml:space="preserve">sagaidāmo </w:t>
      </w:r>
      <w:r w:rsidR="00F738F9" w:rsidRPr="00BB4D3B">
        <w:rPr>
          <w:sz w:val="28"/>
          <w:szCs w:val="28"/>
        </w:rPr>
        <w:t>nozaru</w:t>
      </w:r>
      <w:r w:rsidR="00F738F9" w:rsidRPr="00915089">
        <w:rPr>
          <w:sz w:val="28"/>
          <w:szCs w:val="28"/>
        </w:rPr>
        <w:t xml:space="preserve"> </w:t>
      </w:r>
      <w:r w:rsidR="00F738F9">
        <w:rPr>
          <w:sz w:val="28"/>
          <w:szCs w:val="28"/>
        </w:rPr>
        <w:t>devum</w:t>
      </w:r>
      <w:r w:rsidR="00F704C2">
        <w:rPr>
          <w:sz w:val="28"/>
          <w:szCs w:val="28"/>
        </w:rPr>
        <w:t>u</w:t>
      </w:r>
      <w:r w:rsidR="00F738F9" w:rsidRPr="00915089">
        <w:rPr>
          <w:sz w:val="28"/>
          <w:szCs w:val="28"/>
        </w:rPr>
        <w:t xml:space="preserve"> </w:t>
      </w:r>
      <w:r w:rsidR="00F738F9">
        <w:rPr>
          <w:sz w:val="28"/>
          <w:szCs w:val="28"/>
        </w:rPr>
        <w:t>izaugsmē,</w:t>
      </w:r>
      <w:r w:rsidR="00F738F9" w:rsidRPr="00915089">
        <w:rPr>
          <w:sz w:val="28"/>
          <w:szCs w:val="28"/>
        </w:rPr>
        <w:t xml:space="preserve"> </w:t>
      </w:r>
      <w:r w:rsidR="00F738F9">
        <w:rPr>
          <w:sz w:val="28"/>
          <w:szCs w:val="28"/>
        </w:rPr>
        <w:t xml:space="preserve">iespējamos </w:t>
      </w:r>
      <w:r w:rsidR="00F738F9" w:rsidRPr="00915089">
        <w:rPr>
          <w:sz w:val="28"/>
          <w:szCs w:val="28"/>
        </w:rPr>
        <w:t>tautsaimniecības attīstības scenārij</w:t>
      </w:r>
      <w:r w:rsidR="00F738F9">
        <w:rPr>
          <w:sz w:val="28"/>
          <w:szCs w:val="28"/>
        </w:rPr>
        <w:t xml:space="preserve">us, kā arī </w:t>
      </w:r>
      <w:r w:rsidR="00F704C2">
        <w:rPr>
          <w:sz w:val="28"/>
          <w:szCs w:val="28"/>
        </w:rPr>
        <w:t xml:space="preserve">tendences </w:t>
      </w:r>
      <w:r w:rsidR="00F738F9">
        <w:rPr>
          <w:sz w:val="28"/>
          <w:szCs w:val="28"/>
        </w:rPr>
        <w:t>darba tirg</w:t>
      </w:r>
      <w:r w:rsidR="00F704C2">
        <w:rPr>
          <w:sz w:val="28"/>
          <w:szCs w:val="28"/>
        </w:rPr>
        <w:t>ū</w:t>
      </w:r>
      <w:r w:rsidR="00F738F9">
        <w:rPr>
          <w:sz w:val="28"/>
          <w:szCs w:val="28"/>
        </w:rPr>
        <w:t>.</w:t>
      </w:r>
    </w:p>
    <w:p w:rsidR="00EF1F2B" w:rsidRPr="0088758F" w:rsidRDefault="00F738F9" w:rsidP="00EF1F2B">
      <w:pPr>
        <w:ind w:firstLine="567"/>
        <w:jc w:val="both"/>
        <w:rPr>
          <w:sz w:val="28"/>
          <w:szCs w:val="28"/>
        </w:rPr>
      </w:pPr>
      <w:r>
        <w:rPr>
          <w:sz w:val="28"/>
          <w:szCs w:val="28"/>
        </w:rPr>
        <w:t xml:space="preserve">Otrajā </w:t>
      </w:r>
      <w:r w:rsidR="00EF1F2B" w:rsidRPr="0088758F">
        <w:rPr>
          <w:sz w:val="28"/>
          <w:szCs w:val="28"/>
        </w:rPr>
        <w:t xml:space="preserve">nodaļā ir definēti Latvijas tautsaimniecības attīstības mērķi un uzdevumi vidēja termiņa periodam. </w:t>
      </w:r>
    </w:p>
    <w:p w:rsidR="00F704C2" w:rsidRDefault="00F738F9" w:rsidP="00EF1F2B">
      <w:pPr>
        <w:ind w:firstLine="567"/>
        <w:jc w:val="both"/>
        <w:rPr>
          <w:sz w:val="28"/>
          <w:szCs w:val="28"/>
        </w:rPr>
      </w:pPr>
      <w:r>
        <w:rPr>
          <w:sz w:val="28"/>
          <w:szCs w:val="28"/>
        </w:rPr>
        <w:t>Trešajā</w:t>
      </w:r>
      <w:r w:rsidR="00EF1F2B" w:rsidRPr="0088758F">
        <w:rPr>
          <w:sz w:val="28"/>
          <w:szCs w:val="28"/>
        </w:rPr>
        <w:t xml:space="preserve"> nodaļā ir aprakstīti valsts atbalsta prioritārie segmenti un to galvenie atbalsta virzieni: nodokļu stimuli, ES struktūrfondi un finanšu atbalsta ins</w:t>
      </w:r>
      <w:r w:rsidR="00F704C2">
        <w:rPr>
          <w:sz w:val="28"/>
          <w:szCs w:val="28"/>
        </w:rPr>
        <w:t>trumenti, izglītība un zinātne, kā arī atsevišķās nozarēs papildus identificētie pasākumi.</w:t>
      </w:r>
    </w:p>
    <w:p w:rsidR="00EF1F2B" w:rsidRDefault="00F738F9" w:rsidP="00EF1F2B">
      <w:pPr>
        <w:ind w:firstLine="567"/>
        <w:jc w:val="both"/>
        <w:rPr>
          <w:sz w:val="28"/>
          <w:szCs w:val="28"/>
        </w:rPr>
      </w:pPr>
      <w:r>
        <w:rPr>
          <w:sz w:val="28"/>
          <w:szCs w:val="28"/>
        </w:rPr>
        <w:t>Ceturtajā</w:t>
      </w:r>
      <w:r w:rsidR="00EF1F2B" w:rsidRPr="0088758F">
        <w:rPr>
          <w:sz w:val="28"/>
          <w:szCs w:val="28"/>
        </w:rPr>
        <w:t xml:space="preserve"> nodaļā ir raksturoti galvenie mērķi un pasākumi</w:t>
      </w:r>
      <w:r w:rsidR="00F704C2">
        <w:rPr>
          <w:sz w:val="28"/>
          <w:szCs w:val="28"/>
        </w:rPr>
        <w:t xml:space="preserve"> visas tautsaimniecības</w:t>
      </w:r>
      <w:r w:rsidR="00EF1F2B" w:rsidRPr="0088758F">
        <w:rPr>
          <w:sz w:val="28"/>
          <w:szCs w:val="28"/>
        </w:rPr>
        <w:t xml:space="preserve"> konkurētspējas </w:t>
      </w:r>
      <w:r w:rsidR="00F704C2">
        <w:rPr>
          <w:sz w:val="28"/>
          <w:szCs w:val="28"/>
        </w:rPr>
        <w:t>paaugstināšanai</w:t>
      </w:r>
      <w:r w:rsidR="00EF1F2B" w:rsidRPr="0088758F">
        <w:rPr>
          <w:sz w:val="28"/>
          <w:szCs w:val="28"/>
        </w:rPr>
        <w:t xml:space="preserve"> un labvēlīgas uzņēmējdarbības vides radīšanai. </w:t>
      </w:r>
    </w:p>
    <w:p w:rsidR="00F738F9" w:rsidRPr="00021379" w:rsidRDefault="00F738F9" w:rsidP="00F738F9">
      <w:pPr>
        <w:ind w:firstLine="567"/>
        <w:jc w:val="both"/>
        <w:rPr>
          <w:rFonts w:cs="Times New Roman"/>
          <w:sz w:val="28"/>
          <w:szCs w:val="24"/>
        </w:rPr>
      </w:pPr>
      <w:r w:rsidRPr="00021379">
        <w:rPr>
          <w:sz w:val="28"/>
        </w:rPr>
        <w:t xml:space="preserve">Pielikumā ir dota plaša statistiskā informācija par Latvijas iekšzemes kopprodukta dinamiku, tautsaimniecības nozaru </w:t>
      </w:r>
      <w:r w:rsidR="000438B0">
        <w:rPr>
          <w:sz w:val="28"/>
        </w:rPr>
        <w:t>izaugsmi,</w:t>
      </w:r>
      <w:r w:rsidR="000438B0" w:rsidRPr="00021379">
        <w:rPr>
          <w:sz w:val="28"/>
        </w:rPr>
        <w:t xml:space="preserve"> </w:t>
      </w:r>
      <w:r w:rsidRPr="00021379">
        <w:rPr>
          <w:sz w:val="28"/>
        </w:rPr>
        <w:t xml:space="preserve">struktūru un ieguldījumu izaugsmē, kā arī vidēja termiņa prognozes. </w:t>
      </w:r>
      <w:r w:rsidR="00947C75">
        <w:rPr>
          <w:sz w:val="28"/>
        </w:rPr>
        <w:t>P</w:t>
      </w:r>
      <w:r w:rsidRPr="00021379">
        <w:rPr>
          <w:sz w:val="28"/>
        </w:rPr>
        <w:t>ielikumā ir iekļauta arī informācija par</w:t>
      </w:r>
      <w:r>
        <w:rPr>
          <w:sz w:val="28"/>
        </w:rPr>
        <w:t xml:space="preserve"> </w:t>
      </w:r>
      <w:r w:rsidRPr="00021379">
        <w:rPr>
          <w:rFonts w:cs="Times New Roman"/>
          <w:sz w:val="28"/>
          <w:szCs w:val="24"/>
        </w:rPr>
        <w:t>Baltijas valst</w:t>
      </w:r>
      <w:r>
        <w:rPr>
          <w:rFonts w:cs="Times New Roman"/>
          <w:sz w:val="28"/>
          <w:szCs w:val="24"/>
        </w:rPr>
        <w:t>īm</w:t>
      </w:r>
      <w:r w:rsidRPr="00021379">
        <w:rPr>
          <w:rFonts w:cs="Times New Roman"/>
          <w:sz w:val="28"/>
          <w:szCs w:val="24"/>
        </w:rPr>
        <w:t xml:space="preserve"> </w:t>
      </w:r>
      <w:r w:rsidRPr="00E25D13">
        <w:rPr>
          <w:i/>
          <w:sz w:val="28"/>
        </w:rPr>
        <w:t>Globālās konkurētspējas indeksa</w:t>
      </w:r>
      <w:r>
        <w:rPr>
          <w:sz w:val="28"/>
        </w:rPr>
        <w:t xml:space="preserve"> </w:t>
      </w:r>
      <w:r w:rsidRPr="00021379">
        <w:rPr>
          <w:rFonts w:cs="Times New Roman"/>
          <w:sz w:val="28"/>
          <w:szCs w:val="24"/>
        </w:rPr>
        <w:t>reit</w:t>
      </w:r>
      <w:r>
        <w:rPr>
          <w:rFonts w:cs="Times New Roman"/>
          <w:sz w:val="28"/>
          <w:szCs w:val="24"/>
        </w:rPr>
        <w:t>ingā</w:t>
      </w:r>
      <w:r w:rsidR="000438B0">
        <w:rPr>
          <w:rFonts w:cs="Times New Roman"/>
          <w:sz w:val="28"/>
          <w:szCs w:val="24"/>
        </w:rPr>
        <w:t>,</w:t>
      </w:r>
      <w:r>
        <w:rPr>
          <w:rFonts w:cs="Times New Roman"/>
          <w:sz w:val="28"/>
          <w:szCs w:val="24"/>
        </w:rPr>
        <w:t xml:space="preserve"> sadalījumā pa atsevišķiem indikatoriem.</w:t>
      </w:r>
    </w:p>
    <w:p w:rsidR="00F738F9" w:rsidRPr="0088758F" w:rsidRDefault="00F738F9" w:rsidP="00EF1F2B">
      <w:pPr>
        <w:ind w:firstLine="567"/>
        <w:jc w:val="both"/>
        <w:rPr>
          <w:sz w:val="28"/>
          <w:szCs w:val="28"/>
        </w:rPr>
      </w:pPr>
    </w:p>
    <w:p w:rsidR="00974FFD" w:rsidRPr="0088758F" w:rsidRDefault="00974FFD" w:rsidP="00F6007A">
      <w:pPr>
        <w:jc w:val="center"/>
        <w:rPr>
          <w:b/>
          <w:bCs/>
          <w:sz w:val="32"/>
          <w:szCs w:val="36"/>
        </w:rPr>
      </w:pPr>
    </w:p>
    <w:p w:rsidR="00974FFD" w:rsidRPr="0088758F" w:rsidRDefault="00974FFD" w:rsidP="00F6007A">
      <w:pPr>
        <w:jc w:val="center"/>
        <w:rPr>
          <w:b/>
          <w:bCs/>
          <w:sz w:val="32"/>
          <w:szCs w:val="36"/>
        </w:rPr>
      </w:pPr>
    </w:p>
    <w:p w:rsidR="00F6007A" w:rsidRPr="007F0B40" w:rsidRDefault="00F6007A" w:rsidP="00F6007A">
      <w:pPr>
        <w:jc w:val="center"/>
        <w:rPr>
          <w:b/>
          <w:bCs/>
          <w:sz w:val="28"/>
          <w:szCs w:val="28"/>
        </w:rPr>
      </w:pPr>
      <w:r w:rsidRPr="007F0B40">
        <w:rPr>
          <w:b/>
          <w:bCs/>
          <w:sz w:val="28"/>
          <w:szCs w:val="28"/>
        </w:rPr>
        <w:lastRenderedPageBreak/>
        <w:t>Saturs</w:t>
      </w:r>
    </w:p>
    <w:p w:rsidR="00F6007A" w:rsidRPr="0088758F" w:rsidRDefault="00F6007A" w:rsidP="00F6007A">
      <w:pPr>
        <w:jc w:val="center"/>
        <w:rPr>
          <w:sz w:val="8"/>
          <w:szCs w:val="32"/>
        </w:rPr>
      </w:pPr>
    </w:p>
    <w:sdt>
      <w:sdtPr>
        <w:rPr>
          <w:rFonts w:eastAsiaTheme="minorHAnsi" w:cstheme="minorBidi"/>
          <w:b w:val="0"/>
          <w:bCs/>
          <w:noProof w:val="0"/>
          <w:sz w:val="28"/>
          <w:szCs w:val="22"/>
        </w:rPr>
        <w:id w:val="3834082"/>
        <w:docPartObj>
          <w:docPartGallery w:val="Table of Contents"/>
          <w:docPartUnique/>
        </w:docPartObj>
      </w:sdtPr>
      <w:sdtEndPr>
        <w:rPr>
          <w:bCs w:val="0"/>
          <w:sz w:val="32"/>
          <w:szCs w:val="28"/>
        </w:rPr>
      </w:sdtEndPr>
      <w:sdtContent>
        <w:p w:rsidR="005169CF" w:rsidRPr="005169CF" w:rsidRDefault="00CA0CB5" w:rsidP="005169CF">
          <w:pPr>
            <w:pStyle w:val="TOC1"/>
            <w:tabs>
              <w:tab w:val="clear" w:pos="9498"/>
              <w:tab w:val="right" w:leader="dot" w:pos="9639"/>
            </w:tabs>
            <w:spacing w:before="20"/>
            <w:rPr>
              <w:rFonts w:asciiTheme="minorHAnsi" w:eastAsiaTheme="minorEastAsia" w:hAnsiTheme="minorHAnsi" w:cstheme="minorBidi"/>
              <w:b w:val="0"/>
              <w:sz w:val="20"/>
              <w:szCs w:val="22"/>
              <w:lang w:eastAsia="lv-LV"/>
            </w:rPr>
          </w:pPr>
          <w:r w:rsidRPr="00CA0CB5">
            <w:rPr>
              <w:noProof w:val="0"/>
              <w:szCs w:val="22"/>
            </w:rPr>
            <w:fldChar w:fldCharType="begin"/>
          </w:r>
          <w:r w:rsidR="00063A1A" w:rsidRPr="00AE7218">
            <w:rPr>
              <w:noProof w:val="0"/>
              <w:szCs w:val="22"/>
            </w:rPr>
            <w:instrText xml:space="preserve"> TOC \o "1-3" \h \z \u </w:instrText>
          </w:r>
          <w:r w:rsidRPr="00CA0CB5">
            <w:rPr>
              <w:noProof w:val="0"/>
              <w:szCs w:val="22"/>
            </w:rPr>
            <w:fldChar w:fldCharType="separate"/>
          </w:r>
          <w:hyperlink w:anchor="_Toc242510356" w:history="1">
            <w:r w:rsidR="005169CF" w:rsidRPr="005169CF">
              <w:rPr>
                <w:rStyle w:val="Hyperlink"/>
                <w:sz w:val="22"/>
              </w:rPr>
              <w:t>Ievads</w:t>
            </w:r>
            <w:r w:rsidR="005169CF" w:rsidRPr="005169CF">
              <w:rPr>
                <w:webHidden/>
                <w:sz w:val="22"/>
              </w:rPr>
              <w:tab/>
            </w:r>
            <w:r w:rsidRPr="005169CF">
              <w:rPr>
                <w:webHidden/>
                <w:sz w:val="22"/>
              </w:rPr>
              <w:fldChar w:fldCharType="begin"/>
            </w:r>
            <w:r w:rsidR="005169CF" w:rsidRPr="005169CF">
              <w:rPr>
                <w:webHidden/>
                <w:sz w:val="22"/>
              </w:rPr>
              <w:instrText xml:space="preserve"> PAGEREF _Toc242510356 \h </w:instrText>
            </w:r>
            <w:r w:rsidRPr="005169CF">
              <w:rPr>
                <w:webHidden/>
                <w:sz w:val="22"/>
              </w:rPr>
            </w:r>
            <w:r w:rsidRPr="005169CF">
              <w:rPr>
                <w:webHidden/>
                <w:sz w:val="22"/>
              </w:rPr>
              <w:fldChar w:fldCharType="separate"/>
            </w:r>
            <w:r w:rsidR="009F60E4">
              <w:rPr>
                <w:webHidden/>
                <w:sz w:val="22"/>
              </w:rPr>
              <w:t>2</w:t>
            </w:r>
            <w:r w:rsidRPr="005169CF">
              <w:rPr>
                <w:webHidden/>
                <w:sz w:val="22"/>
              </w:rPr>
              <w:fldChar w:fldCharType="end"/>
            </w:r>
          </w:hyperlink>
        </w:p>
        <w:p w:rsidR="005169CF" w:rsidRPr="005169CF" w:rsidRDefault="00CA0CB5" w:rsidP="005169CF">
          <w:pPr>
            <w:pStyle w:val="TOC1"/>
            <w:tabs>
              <w:tab w:val="clear" w:pos="9498"/>
              <w:tab w:val="right" w:leader="dot" w:pos="9639"/>
            </w:tabs>
            <w:spacing w:before="20"/>
            <w:rPr>
              <w:rFonts w:asciiTheme="minorHAnsi" w:eastAsiaTheme="minorEastAsia" w:hAnsiTheme="minorHAnsi" w:cstheme="minorBidi"/>
              <w:b w:val="0"/>
              <w:sz w:val="20"/>
              <w:szCs w:val="22"/>
              <w:lang w:eastAsia="lv-LV"/>
            </w:rPr>
          </w:pPr>
          <w:hyperlink w:anchor="_Toc242510357" w:history="1">
            <w:r w:rsidR="005169CF" w:rsidRPr="005169CF">
              <w:rPr>
                <w:rStyle w:val="Hyperlink"/>
                <w:sz w:val="22"/>
              </w:rPr>
              <w:t>Saīsinājumi</w:t>
            </w:r>
            <w:r w:rsidR="005169CF" w:rsidRPr="005169CF">
              <w:rPr>
                <w:webHidden/>
                <w:sz w:val="22"/>
              </w:rPr>
              <w:tab/>
            </w:r>
            <w:r w:rsidRPr="005169CF">
              <w:rPr>
                <w:webHidden/>
                <w:sz w:val="22"/>
              </w:rPr>
              <w:fldChar w:fldCharType="begin"/>
            </w:r>
            <w:r w:rsidR="005169CF" w:rsidRPr="005169CF">
              <w:rPr>
                <w:webHidden/>
                <w:sz w:val="22"/>
              </w:rPr>
              <w:instrText xml:space="preserve"> PAGEREF _Toc242510357 \h </w:instrText>
            </w:r>
            <w:r w:rsidRPr="005169CF">
              <w:rPr>
                <w:webHidden/>
                <w:sz w:val="22"/>
              </w:rPr>
            </w:r>
            <w:r w:rsidRPr="005169CF">
              <w:rPr>
                <w:webHidden/>
                <w:sz w:val="22"/>
              </w:rPr>
              <w:fldChar w:fldCharType="separate"/>
            </w:r>
            <w:r w:rsidR="009F60E4">
              <w:rPr>
                <w:webHidden/>
                <w:sz w:val="22"/>
              </w:rPr>
              <w:t>4</w:t>
            </w:r>
            <w:r w:rsidRPr="005169CF">
              <w:rPr>
                <w:webHidden/>
                <w:sz w:val="22"/>
              </w:rPr>
              <w:fldChar w:fldCharType="end"/>
            </w:r>
          </w:hyperlink>
        </w:p>
        <w:p w:rsidR="005169CF" w:rsidRPr="005169CF" w:rsidRDefault="00CA0CB5" w:rsidP="005169CF">
          <w:pPr>
            <w:pStyle w:val="TOC1"/>
            <w:tabs>
              <w:tab w:val="clear" w:pos="9498"/>
              <w:tab w:val="right" w:leader="dot" w:pos="9639"/>
            </w:tabs>
            <w:spacing w:before="20"/>
            <w:rPr>
              <w:rFonts w:asciiTheme="minorHAnsi" w:eastAsiaTheme="minorEastAsia" w:hAnsiTheme="minorHAnsi" w:cstheme="minorBidi"/>
              <w:b w:val="0"/>
              <w:sz w:val="20"/>
              <w:szCs w:val="22"/>
              <w:lang w:eastAsia="lv-LV"/>
            </w:rPr>
          </w:pPr>
          <w:hyperlink w:anchor="_Toc242510358" w:history="1">
            <w:r w:rsidR="005169CF" w:rsidRPr="005169CF">
              <w:rPr>
                <w:rStyle w:val="Hyperlink"/>
                <w:sz w:val="22"/>
              </w:rPr>
              <w:t>1. Latvijas ekonomikas attīstība vidēja termiņa periodā</w:t>
            </w:r>
            <w:r w:rsidR="005169CF" w:rsidRPr="005169CF">
              <w:rPr>
                <w:webHidden/>
                <w:sz w:val="22"/>
              </w:rPr>
              <w:tab/>
            </w:r>
            <w:r w:rsidRPr="005169CF">
              <w:rPr>
                <w:webHidden/>
                <w:sz w:val="22"/>
              </w:rPr>
              <w:fldChar w:fldCharType="begin"/>
            </w:r>
            <w:r w:rsidR="005169CF" w:rsidRPr="005169CF">
              <w:rPr>
                <w:webHidden/>
                <w:sz w:val="22"/>
              </w:rPr>
              <w:instrText xml:space="preserve"> PAGEREF _Toc242510358 \h </w:instrText>
            </w:r>
            <w:r w:rsidRPr="005169CF">
              <w:rPr>
                <w:webHidden/>
                <w:sz w:val="22"/>
              </w:rPr>
            </w:r>
            <w:r w:rsidRPr="005169CF">
              <w:rPr>
                <w:webHidden/>
                <w:sz w:val="22"/>
              </w:rPr>
              <w:fldChar w:fldCharType="separate"/>
            </w:r>
            <w:r w:rsidR="009F60E4">
              <w:rPr>
                <w:webHidden/>
                <w:sz w:val="22"/>
              </w:rPr>
              <w:t>5</w:t>
            </w:r>
            <w:r w:rsidRPr="005169CF">
              <w:rPr>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59" w:history="1">
            <w:r w:rsidR="005169CF" w:rsidRPr="005169CF">
              <w:rPr>
                <w:rStyle w:val="Hyperlink"/>
                <w:noProof/>
                <w:sz w:val="22"/>
              </w:rPr>
              <w:t>1.1. Pašreizējās krīzes raksturojums</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_Toc242510359 \h </w:instrText>
            </w:r>
            <w:r w:rsidRPr="005169CF">
              <w:rPr>
                <w:noProof/>
                <w:webHidden/>
                <w:sz w:val="22"/>
              </w:rPr>
            </w:r>
            <w:r w:rsidRPr="005169CF">
              <w:rPr>
                <w:noProof/>
                <w:webHidden/>
                <w:sz w:val="22"/>
              </w:rPr>
              <w:fldChar w:fldCharType="separate"/>
            </w:r>
            <w:r w:rsidR="009F60E4">
              <w:rPr>
                <w:noProof/>
                <w:webHidden/>
                <w:sz w:val="22"/>
              </w:rPr>
              <w:t>5</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60" w:history="1">
            <w:r w:rsidR="005169CF" w:rsidRPr="005169CF">
              <w:rPr>
                <w:rStyle w:val="Hyperlink"/>
                <w:noProof/>
                <w:sz w:val="22"/>
              </w:rPr>
              <w:t>1.2. Latvijas konkurētspējas izvērtējums</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_Toc242510360 \h </w:instrText>
            </w:r>
            <w:r w:rsidRPr="005169CF">
              <w:rPr>
                <w:noProof/>
                <w:webHidden/>
                <w:sz w:val="22"/>
              </w:rPr>
            </w:r>
            <w:r w:rsidRPr="005169CF">
              <w:rPr>
                <w:noProof/>
                <w:webHidden/>
                <w:sz w:val="22"/>
              </w:rPr>
              <w:fldChar w:fldCharType="separate"/>
            </w:r>
            <w:r w:rsidR="009F60E4">
              <w:rPr>
                <w:noProof/>
                <w:webHidden/>
                <w:sz w:val="22"/>
              </w:rPr>
              <w:t>6</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61" w:history="1">
            <w:r w:rsidR="005169CF" w:rsidRPr="005169CF">
              <w:rPr>
                <w:rStyle w:val="Hyperlink"/>
                <w:noProof/>
                <w:sz w:val="22"/>
              </w:rPr>
              <w:t>1.3. Tautsaimniecības attīstības scenāriji</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_Toc242510361 \h </w:instrText>
            </w:r>
            <w:r w:rsidRPr="005169CF">
              <w:rPr>
                <w:noProof/>
                <w:webHidden/>
                <w:sz w:val="22"/>
              </w:rPr>
            </w:r>
            <w:r w:rsidRPr="005169CF">
              <w:rPr>
                <w:noProof/>
                <w:webHidden/>
                <w:sz w:val="22"/>
              </w:rPr>
              <w:fldChar w:fldCharType="separate"/>
            </w:r>
            <w:r w:rsidR="009F60E4">
              <w:rPr>
                <w:noProof/>
                <w:webHidden/>
                <w:sz w:val="22"/>
              </w:rPr>
              <w:t>11</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62" w:history="1">
            <w:r w:rsidR="005169CF" w:rsidRPr="005169CF">
              <w:rPr>
                <w:rStyle w:val="Hyperlink"/>
                <w:noProof/>
                <w:sz w:val="22"/>
              </w:rPr>
              <w:t>1.4. Nozaru ieguldījums izaugsmē</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_Toc242510362 \h </w:instrText>
            </w:r>
            <w:r w:rsidRPr="005169CF">
              <w:rPr>
                <w:noProof/>
                <w:webHidden/>
                <w:sz w:val="22"/>
              </w:rPr>
            </w:r>
            <w:r w:rsidRPr="005169CF">
              <w:rPr>
                <w:noProof/>
                <w:webHidden/>
                <w:sz w:val="22"/>
              </w:rPr>
              <w:fldChar w:fldCharType="separate"/>
            </w:r>
            <w:r w:rsidR="009F60E4">
              <w:rPr>
                <w:noProof/>
                <w:webHidden/>
                <w:sz w:val="22"/>
              </w:rPr>
              <w:t>15</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63" w:history="1">
            <w:r w:rsidR="005169CF" w:rsidRPr="005169CF">
              <w:rPr>
                <w:rStyle w:val="Hyperlink"/>
                <w:noProof/>
                <w:sz w:val="22"/>
              </w:rPr>
              <w:t>1.5. Darba tirgus attīstības tendences</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_Toc242510363 \h </w:instrText>
            </w:r>
            <w:r w:rsidRPr="005169CF">
              <w:rPr>
                <w:noProof/>
                <w:webHidden/>
                <w:sz w:val="22"/>
              </w:rPr>
            </w:r>
            <w:r w:rsidRPr="005169CF">
              <w:rPr>
                <w:noProof/>
                <w:webHidden/>
                <w:sz w:val="22"/>
              </w:rPr>
              <w:fldChar w:fldCharType="separate"/>
            </w:r>
            <w:r w:rsidR="009F60E4">
              <w:rPr>
                <w:noProof/>
                <w:webHidden/>
                <w:sz w:val="22"/>
              </w:rPr>
              <w:t>18</w:t>
            </w:r>
            <w:r w:rsidRPr="005169CF">
              <w:rPr>
                <w:noProof/>
                <w:webHidden/>
                <w:sz w:val="22"/>
              </w:rPr>
              <w:fldChar w:fldCharType="end"/>
            </w:r>
          </w:hyperlink>
        </w:p>
        <w:p w:rsidR="005169CF" w:rsidRPr="005169CF" w:rsidRDefault="00CA0CB5" w:rsidP="005169CF">
          <w:pPr>
            <w:pStyle w:val="TOC1"/>
            <w:tabs>
              <w:tab w:val="clear" w:pos="9498"/>
              <w:tab w:val="right" w:leader="dot" w:pos="9639"/>
            </w:tabs>
            <w:spacing w:before="20"/>
            <w:rPr>
              <w:rFonts w:asciiTheme="minorHAnsi" w:eastAsiaTheme="minorEastAsia" w:hAnsiTheme="minorHAnsi" w:cstheme="minorBidi"/>
              <w:b w:val="0"/>
              <w:sz w:val="20"/>
              <w:szCs w:val="22"/>
              <w:lang w:eastAsia="lv-LV"/>
            </w:rPr>
          </w:pPr>
          <w:hyperlink w:anchor="_Toc242510364" w:history="1">
            <w:r w:rsidR="005169CF" w:rsidRPr="005169CF">
              <w:rPr>
                <w:rStyle w:val="Hyperlink"/>
                <w:sz w:val="22"/>
              </w:rPr>
              <w:t>2. Ekonomiskās politikas vidēja termiņa mērķi un uzdevumi</w:t>
            </w:r>
            <w:r w:rsidR="005169CF" w:rsidRPr="005169CF">
              <w:rPr>
                <w:webHidden/>
                <w:sz w:val="22"/>
              </w:rPr>
              <w:tab/>
            </w:r>
            <w:r w:rsidRPr="005169CF">
              <w:rPr>
                <w:webHidden/>
                <w:sz w:val="22"/>
              </w:rPr>
              <w:fldChar w:fldCharType="begin"/>
            </w:r>
            <w:r w:rsidR="005169CF" w:rsidRPr="005169CF">
              <w:rPr>
                <w:webHidden/>
                <w:sz w:val="22"/>
              </w:rPr>
              <w:instrText xml:space="preserve"> PAGEREF _Toc242510364 \h </w:instrText>
            </w:r>
            <w:r w:rsidRPr="005169CF">
              <w:rPr>
                <w:webHidden/>
                <w:sz w:val="22"/>
              </w:rPr>
            </w:r>
            <w:r w:rsidRPr="005169CF">
              <w:rPr>
                <w:webHidden/>
                <w:sz w:val="22"/>
              </w:rPr>
              <w:fldChar w:fldCharType="separate"/>
            </w:r>
            <w:r w:rsidR="009F60E4">
              <w:rPr>
                <w:webHidden/>
                <w:sz w:val="22"/>
              </w:rPr>
              <w:t>21</w:t>
            </w:r>
            <w:r w:rsidRPr="005169CF">
              <w:rPr>
                <w:webHidden/>
                <w:sz w:val="22"/>
              </w:rPr>
              <w:fldChar w:fldCharType="end"/>
            </w:r>
          </w:hyperlink>
        </w:p>
        <w:p w:rsidR="005169CF" w:rsidRPr="005169CF" w:rsidRDefault="00CA0CB5" w:rsidP="005169CF">
          <w:pPr>
            <w:pStyle w:val="TOC1"/>
            <w:tabs>
              <w:tab w:val="clear" w:pos="9498"/>
              <w:tab w:val="right" w:leader="dot" w:pos="9639"/>
            </w:tabs>
            <w:spacing w:before="20"/>
            <w:rPr>
              <w:rFonts w:asciiTheme="minorHAnsi" w:eastAsiaTheme="minorEastAsia" w:hAnsiTheme="minorHAnsi" w:cstheme="minorBidi"/>
              <w:b w:val="0"/>
              <w:sz w:val="20"/>
              <w:szCs w:val="22"/>
              <w:lang w:eastAsia="lv-LV"/>
            </w:rPr>
          </w:pPr>
          <w:hyperlink w:anchor="_Toc242510365" w:history="1">
            <w:r w:rsidR="005169CF" w:rsidRPr="005169CF">
              <w:rPr>
                <w:rStyle w:val="Hyperlink"/>
                <w:sz w:val="22"/>
              </w:rPr>
              <w:t>3. Mērķtiecīgs un selektīvs valsts atbalsts</w:t>
            </w:r>
            <w:r w:rsidR="005169CF" w:rsidRPr="005169CF">
              <w:rPr>
                <w:webHidden/>
                <w:sz w:val="22"/>
              </w:rPr>
              <w:tab/>
            </w:r>
            <w:r w:rsidRPr="005169CF">
              <w:rPr>
                <w:webHidden/>
                <w:sz w:val="22"/>
              </w:rPr>
              <w:fldChar w:fldCharType="begin"/>
            </w:r>
            <w:r w:rsidR="005169CF" w:rsidRPr="005169CF">
              <w:rPr>
                <w:webHidden/>
                <w:sz w:val="22"/>
              </w:rPr>
              <w:instrText xml:space="preserve"> PAGEREF _Toc242510365 \h </w:instrText>
            </w:r>
            <w:r w:rsidRPr="005169CF">
              <w:rPr>
                <w:webHidden/>
                <w:sz w:val="22"/>
              </w:rPr>
            </w:r>
            <w:r w:rsidRPr="005169CF">
              <w:rPr>
                <w:webHidden/>
                <w:sz w:val="22"/>
              </w:rPr>
              <w:fldChar w:fldCharType="separate"/>
            </w:r>
            <w:r w:rsidR="009F60E4">
              <w:rPr>
                <w:webHidden/>
                <w:sz w:val="22"/>
              </w:rPr>
              <w:t>23</w:t>
            </w:r>
            <w:r w:rsidRPr="005169CF">
              <w:rPr>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66" w:history="1">
            <w:r w:rsidR="005169CF" w:rsidRPr="005169CF">
              <w:rPr>
                <w:rStyle w:val="Hyperlink"/>
                <w:rFonts w:cs="Times New Roman"/>
                <w:noProof/>
                <w:sz w:val="22"/>
              </w:rPr>
              <w:t xml:space="preserve">3.1. </w:t>
            </w:r>
            <w:r w:rsidR="005169CF" w:rsidRPr="005169CF">
              <w:rPr>
                <w:rStyle w:val="Hyperlink"/>
                <w:noProof/>
                <w:sz w:val="22"/>
              </w:rPr>
              <w:t>Valsts atbalsta prioritārie segmenti</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_Toc242510366 \h </w:instrText>
            </w:r>
            <w:r w:rsidRPr="005169CF">
              <w:rPr>
                <w:noProof/>
                <w:webHidden/>
                <w:sz w:val="22"/>
              </w:rPr>
            </w:r>
            <w:r w:rsidRPr="005169CF">
              <w:rPr>
                <w:noProof/>
                <w:webHidden/>
                <w:sz w:val="22"/>
              </w:rPr>
              <w:fldChar w:fldCharType="separate"/>
            </w:r>
            <w:r w:rsidR="009F60E4">
              <w:rPr>
                <w:noProof/>
                <w:webHidden/>
                <w:sz w:val="22"/>
              </w:rPr>
              <w:t>23</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67" w:history="1">
            <w:r w:rsidR="005169CF" w:rsidRPr="005169CF">
              <w:rPr>
                <w:rStyle w:val="Hyperlink"/>
                <w:rFonts w:cs="Times New Roman"/>
                <w:noProof/>
                <w:sz w:val="22"/>
              </w:rPr>
              <w:t>3.2. Prioritāro segmentu atbalsta virzieni</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_Toc242510367 \h </w:instrText>
            </w:r>
            <w:r w:rsidRPr="005169CF">
              <w:rPr>
                <w:noProof/>
                <w:webHidden/>
                <w:sz w:val="22"/>
              </w:rPr>
            </w:r>
            <w:r w:rsidRPr="005169CF">
              <w:rPr>
                <w:noProof/>
                <w:webHidden/>
                <w:sz w:val="22"/>
              </w:rPr>
              <w:fldChar w:fldCharType="separate"/>
            </w:r>
            <w:r w:rsidR="009F60E4">
              <w:rPr>
                <w:noProof/>
                <w:webHidden/>
                <w:sz w:val="22"/>
              </w:rPr>
              <w:t>26</w:t>
            </w:r>
            <w:r w:rsidRPr="005169CF">
              <w:rPr>
                <w:noProof/>
                <w:webHidden/>
                <w:sz w:val="22"/>
              </w:rPr>
              <w:fldChar w:fldCharType="end"/>
            </w:r>
          </w:hyperlink>
        </w:p>
        <w:p w:rsidR="005169CF" w:rsidRPr="005169CF" w:rsidRDefault="00CA0CB5" w:rsidP="005169CF">
          <w:pPr>
            <w:pStyle w:val="TOC1"/>
            <w:tabs>
              <w:tab w:val="clear" w:pos="9498"/>
              <w:tab w:val="right" w:leader="dot" w:pos="9639"/>
            </w:tabs>
            <w:spacing w:before="20"/>
            <w:rPr>
              <w:rFonts w:asciiTheme="minorHAnsi" w:eastAsiaTheme="minorEastAsia" w:hAnsiTheme="minorHAnsi" w:cstheme="minorBidi"/>
              <w:b w:val="0"/>
              <w:sz w:val="20"/>
              <w:szCs w:val="22"/>
              <w:lang w:eastAsia="lv-LV"/>
            </w:rPr>
          </w:pPr>
          <w:hyperlink w:anchor="_Toc242510368" w:history="1">
            <w:r w:rsidR="005169CF" w:rsidRPr="005169CF">
              <w:rPr>
                <w:rStyle w:val="Hyperlink"/>
                <w:sz w:val="22"/>
              </w:rPr>
              <w:t>4. Konkurētspējai labvēlīgas vides radīšana</w:t>
            </w:r>
            <w:r w:rsidR="005169CF" w:rsidRPr="005169CF">
              <w:rPr>
                <w:webHidden/>
                <w:sz w:val="22"/>
              </w:rPr>
              <w:tab/>
            </w:r>
            <w:r w:rsidRPr="005169CF">
              <w:rPr>
                <w:webHidden/>
                <w:sz w:val="22"/>
              </w:rPr>
              <w:fldChar w:fldCharType="begin"/>
            </w:r>
            <w:r w:rsidR="005169CF" w:rsidRPr="005169CF">
              <w:rPr>
                <w:webHidden/>
                <w:sz w:val="22"/>
              </w:rPr>
              <w:instrText xml:space="preserve"> PAGEREF _Toc242510368 \h </w:instrText>
            </w:r>
            <w:r w:rsidRPr="005169CF">
              <w:rPr>
                <w:webHidden/>
                <w:sz w:val="22"/>
              </w:rPr>
            </w:r>
            <w:r w:rsidRPr="005169CF">
              <w:rPr>
                <w:webHidden/>
                <w:sz w:val="22"/>
              </w:rPr>
              <w:fldChar w:fldCharType="separate"/>
            </w:r>
            <w:r w:rsidR="009F60E4">
              <w:rPr>
                <w:webHidden/>
                <w:sz w:val="22"/>
              </w:rPr>
              <w:t>30</w:t>
            </w:r>
            <w:r w:rsidRPr="005169CF">
              <w:rPr>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69" w:history="1">
            <w:r w:rsidR="005169CF" w:rsidRPr="005169CF">
              <w:rPr>
                <w:rStyle w:val="Hyperlink"/>
                <w:rFonts w:cs="Times New Roman"/>
                <w:noProof/>
                <w:sz w:val="22"/>
              </w:rPr>
              <w:t>4.1. Nodokļu politikas pilnveidošana</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_Toc242510369 \h </w:instrText>
            </w:r>
            <w:r w:rsidRPr="005169CF">
              <w:rPr>
                <w:noProof/>
                <w:webHidden/>
                <w:sz w:val="22"/>
              </w:rPr>
            </w:r>
            <w:r w:rsidRPr="005169CF">
              <w:rPr>
                <w:noProof/>
                <w:webHidden/>
                <w:sz w:val="22"/>
              </w:rPr>
              <w:fldChar w:fldCharType="separate"/>
            </w:r>
            <w:r w:rsidR="009F60E4">
              <w:rPr>
                <w:noProof/>
                <w:webHidden/>
                <w:sz w:val="22"/>
              </w:rPr>
              <w:t>30</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70" w:history="1">
            <w:r w:rsidR="005169CF" w:rsidRPr="005169CF">
              <w:rPr>
                <w:rStyle w:val="Hyperlink"/>
                <w:rFonts w:cs="Times New Roman"/>
                <w:noProof/>
                <w:sz w:val="22"/>
              </w:rPr>
              <w:t>4.2. Administratīvā sloga mazināšana</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_Toc242510370 \h </w:instrText>
            </w:r>
            <w:r w:rsidRPr="005169CF">
              <w:rPr>
                <w:noProof/>
                <w:webHidden/>
                <w:sz w:val="22"/>
              </w:rPr>
            </w:r>
            <w:r w:rsidRPr="005169CF">
              <w:rPr>
                <w:noProof/>
                <w:webHidden/>
                <w:sz w:val="22"/>
              </w:rPr>
              <w:fldChar w:fldCharType="separate"/>
            </w:r>
            <w:r w:rsidR="009F60E4">
              <w:rPr>
                <w:noProof/>
                <w:webHidden/>
                <w:sz w:val="22"/>
              </w:rPr>
              <w:t>30</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71" w:history="1">
            <w:r w:rsidR="005169CF" w:rsidRPr="005169CF">
              <w:rPr>
                <w:rStyle w:val="Hyperlink"/>
                <w:rFonts w:cs="Times New Roman"/>
                <w:noProof/>
                <w:sz w:val="22"/>
              </w:rPr>
              <w:t>4.3. Mikro uzņēmumu atbalsta pasākumi</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_Toc242510371 \h </w:instrText>
            </w:r>
            <w:r w:rsidRPr="005169CF">
              <w:rPr>
                <w:noProof/>
                <w:webHidden/>
                <w:sz w:val="22"/>
              </w:rPr>
            </w:r>
            <w:r w:rsidRPr="005169CF">
              <w:rPr>
                <w:noProof/>
                <w:webHidden/>
                <w:sz w:val="22"/>
              </w:rPr>
              <w:fldChar w:fldCharType="separate"/>
            </w:r>
            <w:r w:rsidR="009F60E4">
              <w:rPr>
                <w:noProof/>
                <w:webHidden/>
                <w:sz w:val="22"/>
              </w:rPr>
              <w:t>33</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72" w:history="1">
            <w:r w:rsidR="005169CF" w:rsidRPr="005169CF">
              <w:rPr>
                <w:rStyle w:val="Hyperlink"/>
                <w:rFonts w:cs="Times New Roman"/>
                <w:noProof/>
                <w:sz w:val="22"/>
              </w:rPr>
              <w:t>4.4. Inovāciju veicināšana</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_Toc242510372 \h </w:instrText>
            </w:r>
            <w:r w:rsidRPr="005169CF">
              <w:rPr>
                <w:noProof/>
                <w:webHidden/>
                <w:sz w:val="22"/>
              </w:rPr>
            </w:r>
            <w:r w:rsidRPr="005169CF">
              <w:rPr>
                <w:noProof/>
                <w:webHidden/>
                <w:sz w:val="22"/>
              </w:rPr>
              <w:fldChar w:fldCharType="separate"/>
            </w:r>
            <w:r w:rsidR="009F60E4">
              <w:rPr>
                <w:noProof/>
                <w:webHidden/>
                <w:sz w:val="22"/>
              </w:rPr>
              <w:t>34</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73" w:history="1">
            <w:r w:rsidR="005169CF" w:rsidRPr="005169CF">
              <w:rPr>
                <w:rStyle w:val="Hyperlink"/>
                <w:rFonts w:cs="Times New Roman"/>
                <w:noProof/>
                <w:sz w:val="22"/>
              </w:rPr>
              <w:t>4.5. Finanšu instrumenti uzņēmējdarbības atbalstam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_Toc242510373 \h </w:instrText>
            </w:r>
            <w:r w:rsidRPr="005169CF">
              <w:rPr>
                <w:noProof/>
                <w:webHidden/>
                <w:sz w:val="22"/>
              </w:rPr>
            </w:r>
            <w:r w:rsidRPr="005169CF">
              <w:rPr>
                <w:noProof/>
                <w:webHidden/>
                <w:sz w:val="22"/>
              </w:rPr>
              <w:fldChar w:fldCharType="separate"/>
            </w:r>
            <w:r w:rsidR="009F60E4">
              <w:rPr>
                <w:noProof/>
                <w:webHidden/>
                <w:sz w:val="22"/>
              </w:rPr>
              <w:t>35</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74" w:history="1">
            <w:r w:rsidR="005169CF" w:rsidRPr="005169CF">
              <w:rPr>
                <w:rStyle w:val="Hyperlink"/>
                <w:rFonts w:cs="Times New Roman"/>
                <w:noProof/>
                <w:sz w:val="22"/>
              </w:rPr>
              <w:t>4.6. Preču un pakalpojumu eksporta stimulēšana</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_Toc242510374 \h </w:instrText>
            </w:r>
            <w:r w:rsidRPr="005169CF">
              <w:rPr>
                <w:noProof/>
                <w:webHidden/>
                <w:sz w:val="22"/>
              </w:rPr>
            </w:r>
            <w:r w:rsidRPr="005169CF">
              <w:rPr>
                <w:noProof/>
                <w:webHidden/>
                <w:sz w:val="22"/>
              </w:rPr>
              <w:fldChar w:fldCharType="separate"/>
            </w:r>
            <w:r w:rsidR="009F60E4">
              <w:rPr>
                <w:noProof/>
                <w:webHidden/>
                <w:sz w:val="22"/>
              </w:rPr>
              <w:t>36</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75" w:history="1">
            <w:r w:rsidR="005169CF" w:rsidRPr="005169CF">
              <w:rPr>
                <w:rStyle w:val="Hyperlink"/>
                <w:rFonts w:cs="Times New Roman"/>
                <w:noProof/>
                <w:sz w:val="22"/>
              </w:rPr>
              <w:t>4.7. Publiskās un privātās partnerības projektu īstenošana</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_Toc242510375 \h </w:instrText>
            </w:r>
            <w:r w:rsidRPr="005169CF">
              <w:rPr>
                <w:noProof/>
                <w:webHidden/>
                <w:sz w:val="22"/>
              </w:rPr>
            </w:r>
            <w:r w:rsidRPr="005169CF">
              <w:rPr>
                <w:noProof/>
                <w:webHidden/>
                <w:sz w:val="22"/>
              </w:rPr>
              <w:fldChar w:fldCharType="separate"/>
            </w:r>
            <w:r w:rsidR="009F60E4">
              <w:rPr>
                <w:noProof/>
                <w:webHidden/>
                <w:sz w:val="22"/>
              </w:rPr>
              <w:t>37</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76" w:history="1">
            <w:r w:rsidR="005169CF" w:rsidRPr="005169CF">
              <w:rPr>
                <w:rStyle w:val="Hyperlink"/>
                <w:rFonts w:cs="Times New Roman"/>
                <w:noProof/>
                <w:sz w:val="22"/>
              </w:rPr>
              <w:t>4.8. Apmācības, tai skaitā atbalsts uzņēmējdarbības uzsācējiem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_Toc242510376 \h </w:instrText>
            </w:r>
            <w:r w:rsidRPr="005169CF">
              <w:rPr>
                <w:noProof/>
                <w:webHidden/>
                <w:sz w:val="22"/>
              </w:rPr>
            </w:r>
            <w:r w:rsidRPr="005169CF">
              <w:rPr>
                <w:noProof/>
                <w:webHidden/>
                <w:sz w:val="22"/>
              </w:rPr>
              <w:fldChar w:fldCharType="separate"/>
            </w:r>
            <w:r w:rsidR="009F60E4">
              <w:rPr>
                <w:noProof/>
                <w:webHidden/>
                <w:sz w:val="22"/>
              </w:rPr>
              <w:t>37</w:t>
            </w:r>
            <w:r w:rsidRPr="005169CF">
              <w:rPr>
                <w:noProof/>
                <w:webHidden/>
                <w:sz w:val="22"/>
              </w:rPr>
              <w:fldChar w:fldCharType="end"/>
            </w:r>
          </w:hyperlink>
        </w:p>
        <w:p w:rsidR="005169CF" w:rsidRPr="005169CF" w:rsidRDefault="00CA0CB5" w:rsidP="005169CF">
          <w:pPr>
            <w:pStyle w:val="TOC3"/>
            <w:tabs>
              <w:tab w:val="right" w:leader="dot" w:pos="9639"/>
            </w:tabs>
            <w:spacing w:before="20" w:after="40"/>
            <w:rPr>
              <w:rFonts w:asciiTheme="minorHAnsi" w:eastAsiaTheme="minorEastAsia" w:hAnsiTheme="minorHAnsi"/>
              <w:noProof/>
              <w:sz w:val="20"/>
              <w:lang w:eastAsia="lv-LV"/>
            </w:rPr>
          </w:pPr>
          <w:hyperlink w:anchor="_Toc242510377" w:history="1">
            <w:r w:rsidR="005169CF" w:rsidRPr="005169CF">
              <w:rPr>
                <w:rStyle w:val="Hyperlink"/>
                <w:noProof/>
                <w:sz w:val="22"/>
              </w:rPr>
              <w:t>4.9. Izglītība un zinātne</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_Toc242510377 \h </w:instrText>
            </w:r>
            <w:r w:rsidRPr="005169CF">
              <w:rPr>
                <w:noProof/>
                <w:webHidden/>
                <w:sz w:val="22"/>
              </w:rPr>
            </w:r>
            <w:r w:rsidRPr="005169CF">
              <w:rPr>
                <w:noProof/>
                <w:webHidden/>
                <w:sz w:val="22"/>
              </w:rPr>
              <w:fldChar w:fldCharType="separate"/>
            </w:r>
            <w:r w:rsidR="009F60E4">
              <w:rPr>
                <w:noProof/>
                <w:webHidden/>
                <w:sz w:val="22"/>
              </w:rPr>
              <w:t>38</w:t>
            </w:r>
            <w:r w:rsidRPr="005169CF">
              <w:rPr>
                <w:noProof/>
                <w:webHidden/>
                <w:sz w:val="22"/>
              </w:rPr>
              <w:fldChar w:fldCharType="end"/>
            </w:r>
          </w:hyperlink>
        </w:p>
        <w:p w:rsidR="005169CF" w:rsidRPr="005169CF" w:rsidRDefault="00CA0CB5" w:rsidP="005169CF">
          <w:pPr>
            <w:pStyle w:val="TOC1"/>
            <w:tabs>
              <w:tab w:val="clear" w:pos="9498"/>
              <w:tab w:val="right" w:leader="dot" w:pos="9639"/>
            </w:tabs>
            <w:spacing w:before="20"/>
            <w:rPr>
              <w:rFonts w:asciiTheme="minorHAnsi" w:eastAsiaTheme="minorEastAsia" w:hAnsiTheme="minorHAnsi" w:cstheme="minorBidi"/>
              <w:b w:val="0"/>
              <w:sz w:val="20"/>
              <w:szCs w:val="22"/>
              <w:lang w:eastAsia="lv-LV"/>
            </w:rPr>
          </w:pPr>
          <w:hyperlink w:anchor="_Toc242510378" w:history="1">
            <w:r w:rsidR="005169CF" w:rsidRPr="005169CF">
              <w:rPr>
                <w:rStyle w:val="Hyperlink"/>
                <w:sz w:val="22"/>
              </w:rPr>
              <w:t>Nobeigums</w:t>
            </w:r>
            <w:r w:rsidR="005169CF" w:rsidRPr="005169CF">
              <w:rPr>
                <w:webHidden/>
                <w:sz w:val="22"/>
              </w:rPr>
              <w:tab/>
            </w:r>
            <w:r w:rsidRPr="005169CF">
              <w:rPr>
                <w:webHidden/>
                <w:sz w:val="22"/>
              </w:rPr>
              <w:fldChar w:fldCharType="begin"/>
            </w:r>
            <w:r w:rsidR="005169CF" w:rsidRPr="005169CF">
              <w:rPr>
                <w:webHidden/>
                <w:sz w:val="22"/>
              </w:rPr>
              <w:instrText xml:space="preserve"> PAGEREF _Toc242510378 \h </w:instrText>
            </w:r>
            <w:r w:rsidRPr="005169CF">
              <w:rPr>
                <w:webHidden/>
                <w:sz w:val="22"/>
              </w:rPr>
            </w:r>
            <w:r w:rsidRPr="005169CF">
              <w:rPr>
                <w:webHidden/>
                <w:sz w:val="22"/>
              </w:rPr>
              <w:fldChar w:fldCharType="separate"/>
            </w:r>
            <w:r w:rsidR="009F60E4">
              <w:rPr>
                <w:webHidden/>
                <w:sz w:val="22"/>
              </w:rPr>
              <w:t>39</w:t>
            </w:r>
            <w:r w:rsidRPr="005169CF">
              <w:rPr>
                <w:webHidden/>
                <w:sz w:val="22"/>
              </w:rPr>
              <w:fldChar w:fldCharType="end"/>
            </w:r>
          </w:hyperlink>
        </w:p>
        <w:p w:rsidR="005169CF" w:rsidRPr="005169CF" w:rsidRDefault="00CA0CB5" w:rsidP="005169CF">
          <w:pPr>
            <w:pStyle w:val="TOC1"/>
            <w:tabs>
              <w:tab w:val="clear" w:pos="9498"/>
              <w:tab w:val="right" w:leader="dot" w:pos="9639"/>
            </w:tabs>
            <w:spacing w:before="20"/>
            <w:rPr>
              <w:rFonts w:asciiTheme="minorHAnsi" w:eastAsiaTheme="minorEastAsia" w:hAnsiTheme="minorHAnsi" w:cstheme="minorBidi"/>
              <w:b w:val="0"/>
              <w:sz w:val="20"/>
              <w:szCs w:val="22"/>
              <w:lang w:eastAsia="lv-LV"/>
            </w:rPr>
          </w:pPr>
          <w:hyperlink w:anchor="_Toc242510379" w:history="1">
            <w:r w:rsidR="005169CF" w:rsidRPr="005169CF">
              <w:rPr>
                <w:rStyle w:val="Hyperlink"/>
                <w:sz w:val="22"/>
              </w:rPr>
              <w:t>Pielikums</w:t>
            </w:r>
            <w:r w:rsidR="005169CF" w:rsidRPr="005169CF">
              <w:rPr>
                <w:webHidden/>
                <w:sz w:val="22"/>
              </w:rPr>
              <w:tab/>
            </w:r>
            <w:r w:rsidRPr="005169CF">
              <w:rPr>
                <w:webHidden/>
                <w:sz w:val="22"/>
              </w:rPr>
              <w:fldChar w:fldCharType="begin"/>
            </w:r>
            <w:r w:rsidR="005169CF" w:rsidRPr="005169CF">
              <w:rPr>
                <w:webHidden/>
                <w:sz w:val="22"/>
              </w:rPr>
              <w:instrText xml:space="preserve"> PAGEREF _Toc242510379 \h </w:instrText>
            </w:r>
            <w:r w:rsidRPr="005169CF">
              <w:rPr>
                <w:webHidden/>
                <w:sz w:val="22"/>
              </w:rPr>
            </w:r>
            <w:r w:rsidRPr="005169CF">
              <w:rPr>
                <w:webHidden/>
                <w:sz w:val="22"/>
              </w:rPr>
              <w:fldChar w:fldCharType="separate"/>
            </w:r>
            <w:r w:rsidR="009F60E4">
              <w:rPr>
                <w:webHidden/>
                <w:sz w:val="22"/>
              </w:rPr>
              <w:t>42</w:t>
            </w:r>
            <w:r w:rsidRPr="005169CF">
              <w:rPr>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80" w:history="1">
            <w:r w:rsidR="005169CF" w:rsidRPr="005169CF">
              <w:rPr>
                <w:rStyle w:val="Hyperlink"/>
                <w:noProof/>
                <w:sz w:val="22"/>
              </w:rPr>
              <w:t>1.tabula. IKP dinamika valstīs pa ceturkšņiem 2008. un 2009.gadā</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_Toc242510380 \h </w:instrText>
            </w:r>
            <w:r w:rsidRPr="005169CF">
              <w:rPr>
                <w:noProof/>
                <w:webHidden/>
                <w:sz w:val="22"/>
              </w:rPr>
            </w:r>
            <w:r w:rsidRPr="005169CF">
              <w:rPr>
                <w:noProof/>
                <w:webHidden/>
                <w:sz w:val="22"/>
              </w:rPr>
              <w:fldChar w:fldCharType="separate"/>
            </w:r>
            <w:r w:rsidR="009F60E4">
              <w:rPr>
                <w:noProof/>
                <w:webHidden/>
                <w:sz w:val="22"/>
              </w:rPr>
              <w:t>42</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81" w:history="1">
            <w:r w:rsidR="005169CF" w:rsidRPr="005169CF">
              <w:rPr>
                <w:rStyle w:val="Hyperlink"/>
                <w:noProof/>
                <w:sz w:val="22"/>
              </w:rPr>
              <w:t>2.tabula. IKP pa nozarēm no 2000. līdz 2008.gadam faktiskajās cenās</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_Toc242510381 \h </w:instrText>
            </w:r>
            <w:r w:rsidRPr="005169CF">
              <w:rPr>
                <w:noProof/>
                <w:webHidden/>
                <w:sz w:val="22"/>
              </w:rPr>
            </w:r>
            <w:r w:rsidRPr="005169CF">
              <w:rPr>
                <w:noProof/>
                <w:webHidden/>
                <w:sz w:val="22"/>
              </w:rPr>
              <w:fldChar w:fldCharType="separate"/>
            </w:r>
            <w:r w:rsidR="009F60E4">
              <w:rPr>
                <w:noProof/>
                <w:webHidden/>
                <w:sz w:val="22"/>
              </w:rPr>
              <w:t>43</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82" w:history="1">
            <w:r w:rsidR="005169CF" w:rsidRPr="005169CF">
              <w:rPr>
                <w:rStyle w:val="Hyperlink"/>
                <w:noProof/>
                <w:sz w:val="22"/>
              </w:rPr>
              <w:t>3.tabula. Latvijas tautsaimniecības nozaru struktūra no 2000. līdz 2008.gadam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_Toc242510382 \h </w:instrText>
            </w:r>
            <w:r w:rsidRPr="005169CF">
              <w:rPr>
                <w:noProof/>
                <w:webHidden/>
                <w:sz w:val="22"/>
              </w:rPr>
            </w:r>
            <w:r w:rsidRPr="005169CF">
              <w:rPr>
                <w:noProof/>
                <w:webHidden/>
                <w:sz w:val="22"/>
              </w:rPr>
              <w:fldChar w:fldCharType="separate"/>
            </w:r>
            <w:r w:rsidR="009F60E4">
              <w:rPr>
                <w:noProof/>
                <w:webHidden/>
                <w:sz w:val="22"/>
              </w:rPr>
              <w:t>44</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83" w:history="1">
            <w:r w:rsidR="005169CF" w:rsidRPr="005169CF">
              <w:rPr>
                <w:rStyle w:val="Hyperlink"/>
                <w:noProof/>
                <w:sz w:val="22"/>
              </w:rPr>
              <w:t>4.tabula. Latvijas tautsaimniecības nozaru dinamika no 2001. līdz 2008.gadam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_Toc242510383 \h </w:instrText>
            </w:r>
            <w:r w:rsidRPr="005169CF">
              <w:rPr>
                <w:noProof/>
                <w:webHidden/>
                <w:sz w:val="22"/>
              </w:rPr>
            </w:r>
            <w:r w:rsidRPr="005169CF">
              <w:rPr>
                <w:noProof/>
                <w:webHidden/>
                <w:sz w:val="22"/>
              </w:rPr>
              <w:fldChar w:fldCharType="separate"/>
            </w:r>
            <w:r w:rsidR="009F60E4">
              <w:rPr>
                <w:noProof/>
                <w:webHidden/>
                <w:sz w:val="22"/>
              </w:rPr>
              <w:t>45</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84" w:history="1">
            <w:r w:rsidR="005169CF" w:rsidRPr="005169CF">
              <w:rPr>
                <w:rStyle w:val="Hyperlink"/>
                <w:noProof/>
                <w:sz w:val="22"/>
              </w:rPr>
              <w:t>5.tabula. Nozaru devums IKP pieaugumā no 2001. līdz 2008.gadam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_Toc242510384 \h </w:instrText>
            </w:r>
            <w:r w:rsidRPr="005169CF">
              <w:rPr>
                <w:noProof/>
                <w:webHidden/>
                <w:sz w:val="22"/>
              </w:rPr>
            </w:r>
            <w:r w:rsidRPr="005169CF">
              <w:rPr>
                <w:noProof/>
                <w:webHidden/>
                <w:sz w:val="22"/>
              </w:rPr>
              <w:fldChar w:fldCharType="separate"/>
            </w:r>
            <w:r w:rsidR="009F60E4">
              <w:rPr>
                <w:noProof/>
                <w:webHidden/>
                <w:sz w:val="22"/>
              </w:rPr>
              <w:t>46</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85" w:history="1">
            <w:r w:rsidR="005169CF" w:rsidRPr="005169CF">
              <w:rPr>
                <w:rStyle w:val="Hyperlink"/>
                <w:noProof/>
                <w:sz w:val="22"/>
              </w:rPr>
              <w:t>6.tabula. Apstrādes rūpniecības nozaru struktūra no 2000. līdz 2008.gadam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_Toc242510385 \h </w:instrText>
            </w:r>
            <w:r w:rsidRPr="005169CF">
              <w:rPr>
                <w:noProof/>
                <w:webHidden/>
                <w:sz w:val="22"/>
              </w:rPr>
            </w:r>
            <w:r w:rsidRPr="005169CF">
              <w:rPr>
                <w:noProof/>
                <w:webHidden/>
                <w:sz w:val="22"/>
              </w:rPr>
              <w:fldChar w:fldCharType="separate"/>
            </w:r>
            <w:r w:rsidR="009F60E4">
              <w:rPr>
                <w:noProof/>
                <w:webHidden/>
                <w:sz w:val="22"/>
              </w:rPr>
              <w:t>47</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86" w:history="1">
            <w:r w:rsidR="005169CF" w:rsidRPr="005169CF">
              <w:rPr>
                <w:rStyle w:val="Hyperlink"/>
                <w:noProof/>
                <w:sz w:val="22"/>
              </w:rPr>
              <w:t>7.tabula. Apstrādes rūpniecības nozaru dinamika no 2001. līdz 2008.gadam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_Toc242510386 \h </w:instrText>
            </w:r>
            <w:r w:rsidRPr="005169CF">
              <w:rPr>
                <w:noProof/>
                <w:webHidden/>
                <w:sz w:val="22"/>
              </w:rPr>
            </w:r>
            <w:r w:rsidRPr="005169CF">
              <w:rPr>
                <w:noProof/>
                <w:webHidden/>
                <w:sz w:val="22"/>
              </w:rPr>
              <w:fldChar w:fldCharType="separate"/>
            </w:r>
            <w:r w:rsidR="009F60E4">
              <w:rPr>
                <w:noProof/>
                <w:webHidden/>
                <w:sz w:val="22"/>
              </w:rPr>
              <w:t>47</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87" w:history="1">
            <w:r w:rsidR="005169CF" w:rsidRPr="005169CF">
              <w:rPr>
                <w:rStyle w:val="Hyperlink"/>
                <w:noProof/>
                <w:sz w:val="22"/>
              </w:rPr>
              <w:t>8.tabula. Apstrādes rūpniecības nozaru devums nozares pieaugumā no 2001. līdz 2008.gadam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_Toc242510387 \h </w:instrText>
            </w:r>
            <w:r w:rsidRPr="005169CF">
              <w:rPr>
                <w:noProof/>
                <w:webHidden/>
                <w:sz w:val="22"/>
              </w:rPr>
            </w:r>
            <w:r w:rsidRPr="005169CF">
              <w:rPr>
                <w:noProof/>
                <w:webHidden/>
                <w:sz w:val="22"/>
              </w:rPr>
              <w:fldChar w:fldCharType="separate"/>
            </w:r>
            <w:r w:rsidR="009F60E4">
              <w:rPr>
                <w:noProof/>
                <w:webHidden/>
                <w:sz w:val="22"/>
              </w:rPr>
              <w:t>48</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88" w:history="1">
            <w:r w:rsidR="005169CF" w:rsidRPr="005169CF">
              <w:rPr>
                <w:rStyle w:val="Hyperlink"/>
                <w:noProof/>
                <w:sz w:val="22"/>
              </w:rPr>
              <w:t>9.tabula. Apstrādes rūpniecības nozaru eksporta īpatsvars realizācijā no 2001. līdz 2008.gadam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_Toc242510388 \h </w:instrText>
            </w:r>
            <w:r w:rsidRPr="005169CF">
              <w:rPr>
                <w:noProof/>
                <w:webHidden/>
                <w:sz w:val="22"/>
              </w:rPr>
            </w:r>
            <w:r w:rsidRPr="005169CF">
              <w:rPr>
                <w:noProof/>
                <w:webHidden/>
                <w:sz w:val="22"/>
              </w:rPr>
              <w:fldChar w:fldCharType="separate"/>
            </w:r>
            <w:r w:rsidR="009F60E4">
              <w:rPr>
                <w:noProof/>
                <w:webHidden/>
                <w:sz w:val="22"/>
              </w:rPr>
              <w:t>48</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89" w:history="1">
            <w:r w:rsidR="005169CF" w:rsidRPr="005169CF">
              <w:rPr>
                <w:rStyle w:val="Hyperlink"/>
                <w:noProof/>
                <w:sz w:val="22"/>
              </w:rPr>
              <w:t>10.tabula. Globālās konkurētspējas indekss</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_Toc242510389 \h </w:instrText>
            </w:r>
            <w:r w:rsidRPr="005169CF">
              <w:rPr>
                <w:noProof/>
                <w:webHidden/>
                <w:sz w:val="22"/>
              </w:rPr>
            </w:r>
            <w:r w:rsidRPr="005169CF">
              <w:rPr>
                <w:noProof/>
                <w:webHidden/>
                <w:sz w:val="22"/>
              </w:rPr>
              <w:fldChar w:fldCharType="separate"/>
            </w:r>
            <w:r w:rsidR="009F60E4">
              <w:rPr>
                <w:noProof/>
                <w:webHidden/>
                <w:sz w:val="22"/>
              </w:rPr>
              <w:t>49</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90" w:history="1">
            <w:r w:rsidR="005169CF" w:rsidRPr="005169CF">
              <w:rPr>
                <w:rStyle w:val="Hyperlink"/>
                <w:noProof/>
                <w:sz w:val="22"/>
              </w:rPr>
              <w:t>11.tabula. Latvijas IKP prognoze nozaru griezumā pa scenārijiem no 2009. līdz 2015.gadam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_Toc242510390 \h </w:instrText>
            </w:r>
            <w:r w:rsidRPr="005169CF">
              <w:rPr>
                <w:noProof/>
                <w:webHidden/>
                <w:sz w:val="22"/>
              </w:rPr>
            </w:r>
            <w:r w:rsidRPr="005169CF">
              <w:rPr>
                <w:noProof/>
                <w:webHidden/>
                <w:sz w:val="22"/>
              </w:rPr>
              <w:fldChar w:fldCharType="separate"/>
            </w:r>
            <w:r w:rsidR="009F60E4">
              <w:rPr>
                <w:noProof/>
                <w:webHidden/>
                <w:sz w:val="22"/>
              </w:rPr>
              <w:t>52</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91" w:history="1">
            <w:r w:rsidR="005169CF" w:rsidRPr="005169CF">
              <w:rPr>
                <w:rStyle w:val="Hyperlink"/>
                <w:noProof/>
                <w:sz w:val="22"/>
              </w:rPr>
              <w:t>12.tabula. Tautsaimniecības struktūra no 2009. līdz 2015.gadam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_Toc242510391 \h </w:instrText>
            </w:r>
            <w:r w:rsidRPr="005169CF">
              <w:rPr>
                <w:noProof/>
                <w:webHidden/>
                <w:sz w:val="22"/>
              </w:rPr>
            </w:r>
            <w:r w:rsidRPr="005169CF">
              <w:rPr>
                <w:noProof/>
                <w:webHidden/>
                <w:sz w:val="22"/>
              </w:rPr>
              <w:fldChar w:fldCharType="separate"/>
            </w:r>
            <w:r w:rsidR="009F60E4">
              <w:rPr>
                <w:noProof/>
                <w:webHidden/>
                <w:sz w:val="22"/>
              </w:rPr>
              <w:t>53</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92" w:history="1">
            <w:r w:rsidR="005169CF" w:rsidRPr="005169CF">
              <w:rPr>
                <w:rStyle w:val="Hyperlink"/>
                <w:noProof/>
                <w:sz w:val="22"/>
              </w:rPr>
              <w:t>13.tabula. IKP pieauguma tempi pa nozarēm no 2009. līdz 2015.gadam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_Toc242510392 \h </w:instrText>
            </w:r>
            <w:r w:rsidRPr="005169CF">
              <w:rPr>
                <w:noProof/>
                <w:webHidden/>
                <w:sz w:val="22"/>
              </w:rPr>
            </w:r>
            <w:r w:rsidRPr="005169CF">
              <w:rPr>
                <w:noProof/>
                <w:webHidden/>
                <w:sz w:val="22"/>
              </w:rPr>
              <w:fldChar w:fldCharType="separate"/>
            </w:r>
            <w:r w:rsidR="009F60E4">
              <w:rPr>
                <w:noProof/>
                <w:webHidden/>
                <w:sz w:val="22"/>
              </w:rPr>
              <w:t>54</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93" w:history="1">
            <w:r w:rsidR="005169CF" w:rsidRPr="005169CF">
              <w:rPr>
                <w:rStyle w:val="Hyperlink"/>
                <w:noProof/>
                <w:sz w:val="22"/>
              </w:rPr>
              <w:t>14.tabula. Nozaru ieguldījums izaugsmē no 2009. līdz 2015.gadam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_Toc242510393 \h </w:instrText>
            </w:r>
            <w:r w:rsidRPr="005169CF">
              <w:rPr>
                <w:noProof/>
                <w:webHidden/>
                <w:sz w:val="22"/>
              </w:rPr>
            </w:r>
            <w:r w:rsidRPr="005169CF">
              <w:rPr>
                <w:noProof/>
                <w:webHidden/>
                <w:sz w:val="22"/>
              </w:rPr>
              <w:fldChar w:fldCharType="separate"/>
            </w:r>
            <w:r w:rsidR="009F60E4">
              <w:rPr>
                <w:noProof/>
                <w:webHidden/>
                <w:sz w:val="22"/>
              </w:rPr>
              <w:t>55</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94" w:history="1">
            <w:r w:rsidR="005169CF" w:rsidRPr="005169CF">
              <w:rPr>
                <w:rStyle w:val="Hyperlink"/>
                <w:noProof/>
                <w:sz w:val="22"/>
              </w:rPr>
              <w:t>15.tabula. Nozaru dinamika un ieguldījums izaugsmē no 2005. līdz 2015.gadam, sadalījumā pa ekonomikas cikla periodiem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_Toc242510394 \h </w:instrText>
            </w:r>
            <w:r w:rsidRPr="005169CF">
              <w:rPr>
                <w:noProof/>
                <w:webHidden/>
                <w:sz w:val="22"/>
              </w:rPr>
            </w:r>
            <w:r w:rsidRPr="005169CF">
              <w:rPr>
                <w:noProof/>
                <w:webHidden/>
                <w:sz w:val="22"/>
              </w:rPr>
              <w:fldChar w:fldCharType="separate"/>
            </w:r>
            <w:r w:rsidR="009F60E4">
              <w:rPr>
                <w:noProof/>
                <w:webHidden/>
                <w:sz w:val="22"/>
              </w:rPr>
              <w:t>56</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95" w:history="1">
            <w:r w:rsidR="005169CF" w:rsidRPr="005169CF">
              <w:rPr>
                <w:rStyle w:val="Hyperlink"/>
                <w:noProof/>
                <w:sz w:val="22"/>
              </w:rPr>
              <w:t>16.tabula. Kopējā pieprasījuma dinamika un ieguldījums izaugsmē no 2005. līdz 2015.gadam, sadalījumā pa ekonomikas cikla periodiem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_Toc242510395 \h </w:instrText>
            </w:r>
            <w:r w:rsidRPr="005169CF">
              <w:rPr>
                <w:noProof/>
                <w:webHidden/>
                <w:sz w:val="22"/>
              </w:rPr>
            </w:r>
            <w:r w:rsidRPr="005169CF">
              <w:rPr>
                <w:noProof/>
                <w:webHidden/>
                <w:sz w:val="22"/>
              </w:rPr>
              <w:fldChar w:fldCharType="separate"/>
            </w:r>
            <w:r w:rsidR="009F60E4">
              <w:rPr>
                <w:noProof/>
                <w:webHidden/>
                <w:sz w:val="22"/>
              </w:rPr>
              <w:t>57</w:t>
            </w:r>
            <w:r w:rsidRPr="005169CF">
              <w:rPr>
                <w:noProof/>
                <w:webHidden/>
                <w:sz w:val="22"/>
              </w:rPr>
              <w:fldChar w:fldCharType="end"/>
            </w:r>
          </w:hyperlink>
        </w:p>
        <w:p w:rsidR="005169CF" w:rsidRPr="005169CF" w:rsidRDefault="00CA0CB5" w:rsidP="005169CF">
          <w:pPr>
            <w:pStyle w:val="TOC2"/>
            <w:tabs>
              <w:tab w:val="right" w:leader="dot" w:pos="9639"/>
            </w:tabs>
            <w:spacing w:before="20" w:after="40"/>
            <w:rPr>
              <w:rFonts w:asciiTheme="minorHAnsi" w:eastAsiaTheme="minorEastAsia" w:hAnsiTheme="minorHAnsi"/>
              <w:noProof/>
              <w:sz w:val="20"/>
              <w:lang w:eastAsia="lv-LV"/>
            </w:rPr>
          </w:pPr>
          <w:hyperlink w:anchor="_Toc242510396" w:history="1">
            <w:r w:rsidR="005169CF" w:rsidRPr="005169CF">
              <w:rPr>
                <w:rStyle w:val="Hyperlink"/>
                <w:noProof/>
                <w:sz w:val="22"/>
              </w:rPr>
              <w:t>17.tabula. Apstrādes rūpniecības dinamika un ieguldījums izaugsmē no 2005. līdz 2015.gadam, sadalījumā pa ekonomikas cikla periodiem</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_Toc242510396 \h </w:instrText>
            </w:r>
            <w:r w:rsidRPr="005169CF">
              <w:rPr>
                <w:noProof/>
                <w:webHidden/>
                <w:sz w:val="22"/>
              </w:rPr>
            </w:r>
            <w:r w:rsidRPr="005169CF">
              <w:rPr>
                <w:noProof/>
                <w:webHidden/>
                <w:sz w:val="22"/>
              </w:rPr>
              <w:fldChar w:fldCharType="separate"/>
            </w:r>
            <w:r w:rsidR="009F60E4">
              <w:rPr>
                <w:noProof/>
                <w:webHidden/>
                <w:sz w:val="22"/>
              </w:rPr>
              <w:t>58</w:t>
            </w:r>
            <w:r w:rsidRPr="005169CF">
              <w:rPr>
                <w:noProof/>
                <w:webHidden/>
                <w:sz w:val="22"/>
              </w:rPr>
              <w:fldChar w:fldCharType="end"/>
            </w:r>
          </w:hyperlink>
        </w:p>
        <w:p w:rsidR="005169CF" w:rsidRDefault="00CA0CB5" w:rsidP="005169CF">
          <w:pPr>
            <w:pStyle w:val="TOC2"/>
            <w:tabs>
              <w:tab w:val="right" w:leader="dot" w:pos="9639"/>
            </w:tabs>
            <w:spacing w:before="20" w:after="40"/>
            <w:rPr>
              <w:rFonts w:asciiTheme="minorHAnsi" w:eastAsiaTheme="minorEastAsia" w:hAnsiTheme="minorHAnsi"/>
              <w:noProof/>
              <w:sz w:val="22"/>
              <w:lang w:eastAsia="lv-LV"/>
            </w:rPr>
          </w:pPr>
          <w:hyperlink w:anchor="_Toc242510397" w:history="1">
            <w:r w:rsidR="005169CF" w:rsidRPr="005169CF">
              <w:rPr>
                <w:rStyle w:val="Hyperlink"/>
                <w:noProof/>
                <w:sz w:val="22"/>
              </w:rPr>
              <w:t>18.tabula. Apstrādes rūpniecības nozaru pieauguma pakārtotā efekta novērtējums, izmantojot pilnos izmaksu koeficientus</w:t>
            </w:r>
            <w:r w:rsidR="005169CF" w:rsidRPr="005169CF">
              <w:rPr>
                <w:noProof/>
                <w:webHidden/>
                <w:sz w:val="22"/>
              </w:rPr>
              <w:tab/>
            </w:r>
            <w:r w:rsidRPr="005169CF">
              <w:rPr>
                <w:noProof/>
                <w:webHidden/>
                <w:sz w:val="22"/>
              </w:rPr>
              <w:fldChar w:fldCharType="begin"/>
            </w:r>
            <w:r w:rsidR="005169CF" w:rsidRPr="005169CF">
              <w:rPr>
                <w:noProof/>
                <w:webHidden/>
                <w:sz w:val="22"/>
              </w:rPr>
              <w:instrText xml:space="preserve"> PAGEREF _Toc242510397 \h </w:instrText>
            </w:r>
            <w:r w:rsidRPr="005169CF">
              <w:rPr>
                <w:noProof/>
                <w:webHidden/>
                <w:sz w:val="22"/>
              </w:rPr>
            </w:r>
            <w:r w:rsidRPr="005169CF">
              <w:rPr>
                <w:noProof/>
                <w:webHidden/>
                <w:sz w:val="22"/>
              </w:rPr>
              <w:fldChar w:fldCharType="separate"/>
            </w:r>
            <w:r w:rsidR="009F60E4">
              <w:rPr>
                <w:noProof/>
                <w:webHidden/>
                <w:sz w:val="22"/>
              </w:rPr>
              <w:t>59</w:t>
            </w:r>
            <w:r w:rsidRPr="005169CF">
              <w:rPr>
                <w:noProof/>
                <w:webHidden/>
                <w:sz w:val="22"/>
              </w:rPr>
              <w:fldChar w:fldCharType="end"/>
            </w:r>
          </w:hyperlink>
        </w:p>
        <w:p w:rsidR="00063A1A" w:rsidRPr="00AE7218" w:rsidRDefault="00CA0CB5" w:rsidP="00AE7218">
          <w:pPr>
            <w:pStyle w:val="TOC2"/>
            <w:tabs>
              <w:tab w:val="right" w:leader="dot" w:pos="9639"/>
            </w:tabs>
            <w:spacing w:before="20" w:after="20"/>
            <w:ind w:left="0"/>
            <w:rPr>
              <w:sz w:val="32"/>
              <w:szCs w:val="28"/>
            </w:rPr>
          </w:pPr>
          <w:r w:rsidRPr="00AE7218">
            <w:fldChar w:fldCharType="end"/>
          </w:r>
        </w:p>
      </w:sdtContent>
    </w:sdt>
    <w:p w:rsidR="00F6007A" w:rsidRPr="0088758F" w:rsidRDefault="00F6007A" w:rsidP="00F6007A"/>
    <w:p w:rsidR="00187334" w:rsidRPr="0088758F" w:rsidRDefault="00187334" w:rsidP="00187334">
      <w:pPr>
        <w:pStyle w:val="Heading1"/>
        <w:jc w:val="center"/>
        <w:rPr>
          <w:b w:val="0"/>
        </w:rPr>
      </w:pPr>
      <w:bookmarkStart w:id="1" w:name="_Toc216083814"/>
      <w:bookmarkStart w:id="2" w:name="_Toc235847865"/>
    </w:p>
    <w:p w:rsidR="00187334" w:rsidRPr="0088758F" w:rsidRDefault="00187334" w:rsidP="00506428">
      <w:pPr>
        <w:jc w:val="center"/>
      </w:pPr>
    </w:p>
    <w:p w:rsidR="00237E54" w:rsidRPr="0088758F" w:rsidRDefault="00237E54" w:rsidP="00DB0486">
      <w:pPr>
        <w:pStyle w:val="Heading1"/>
        <w:jc w:val="center"/>
      </w:pPr>
      <w:bookmarkStart w:id="3" w:name="_Toc240972380"/>
      <w:bookmarkEnd w:id="1"/>
    </w:p>
    <w:p w:rsidR="00DB0486" w:rsidRPr="0088758F" w:rsidRDefault="00DB0486" w:rsidP="00DB0486">
      <w:pPr>
        <w:pStyle w:val="Heading1"/>
        <w:jc w:val="center"/>
      </w:pPr>
      <w:bookmarkStart w:id="4" w:name="_Toc242510357"/>
      <w:r w:rsidRPr="0088758F">
        <w:t>Saīsinājumi</w:t>
      </w:r>
      <w:bookmarkEnd w:id="3"/>
      <w:bookmarkEnd w:id="4"/>
    </w:p>
    <w:p w:rsidR="00DB0486" w:rsidRPr="0088758F" w:rsidRDefault="00DB0486" w:rsidP="00DB0486">
      <w:pPr>
        <w:jc w:val="center"/>
        <w:rPr>
          <w:sz w:val="28"/>
          <w:szCs w:val="32"/>
        </w:rPr>
      </w:pPr>
    </w:p>
    <w:p w:rsidR="00DB0486" w:rsidRPr="0088758F" w:rsidRDefault="00DB0486" w:rsidP="00DB0486">
      <w:pPr>
        <w:jc w:val="center"/>
        <w:rPr>
          <w:sz w:val="28"/>
          <w:szCs w:val="32"/>
        </w:rPr>
      </w:pPr>
    </w:p>
    <w:tbl>
      <w:tblPr>
        <w:tblW w:w="0" w:type="auto"/>
        <w:jc w:val="right"/>
        <w:tblInd w:w="-1154" w:type="dxa"/>
        <w:tblLayout w:type="fixed"/>
        <w:tblCellMar>
          <w:left w:w="107" w:type="dxa"/>
          <w:right w:w="107" w:type="dxa"/>
        </w:tblCellMar>
        <w:tblLook w:val="0000"/>
      </w:tblPr>
      <w:tblGrid>
        <w:gridCol w:w="1468"/>
        <w:gridCol w:w="7599"/>
      </w:tblGrid>
      <w:tr w:rsidR="00D54409" w:rsidRPr="0088758F" w:rsidTr="00DB0486">
        <w:trPr>
          <w:jc w:val="right"/>
        </w:trPr>
        <w:tc>
          <w:tcPr>
            <w:tcW w:w="1468" w:type="dxa"/>
          </w:tcPr>
          <w:p w:rsidR="00D54409" w:rsidRDefault="00D54409" w:rsidP="00DB0486">
            <w:pPr>
              <w:spacing w:before="40"/>
              <w:rPr>
                <w:sz w:val="28"/>
              </w:rPr>
            </w:pPr>
            <w:r>
              <w:rPr>
                <w:sz w:val="28"/>
              </w:rPr>
              <w:t>ASV</w:t>
            </w:r>
          </w:p>
        </w:tc>
        <w:tc>
          <w:tcPr>
            <w:tcW w:w="7599" w:type="dxa"/>
          </w:tcPr>
          <w:p w:rsidR="00D54409" w:rsidRDefault="00D54409" w:rsidP="00DB0486">
            <w:pPr>
              <w:spacing w:before="40"/>
              <w:rPr>
                <w:sz w:val="28"/>
              </w:rPr>
            </w:pPr>
            <w:r>
              <w:rPr>
                <w:sz w:val="28"/>
              </w:rPr>
              <w:t>Amerikas Savienotās valstis</w:t>
            </w:r>
          </w:p>
        </w:tc>
      </w:tr>
      <w:tr w:rsidR="00D54409" w:rsidRPr="0088758F" w:rsidTr="00DB0486">
        <w:trPr>
          <w:jc w:val="right"/>
        </w:trPr>
        <w:tc>
          <w:tcPr>
            <w:tcW w:w="1468" w:type="dxa"/>
          </w:tcPr>
          <w:p w:rsidR="00D54409" w:rsidRDefault="00B105C1" w:rsidP="00DB0486">
            <w:pPr>
              <w:spacing w:before="40"/>
              <w:rPr>
                <w:sz w:val="28"/>
              </w:rPr>
            </w:pPr>
            <w:r>
              <w:rPr>
                <w:sz w:val="28"/>
              </w:rPr>
              <w:t>ĀTI</w:t>
            </w:r>
          </w:p>
        </w:tc>
        <w:tc>
          <w:tcPr>
            <w:tcW w:w="7599" w:type="dxa"/>
          </w:tcPr>
          <w:p w:rsidR="00D54409" w:rsidRDefault="00D54409" w:rsidP="00400C4C">
            <w:pPr>
              <w:spacing w:before="40"/>
              <w:rPr>
                <w:sz w:val="28"/>
              </w:rPr>
            </w:pPr>
            <w:r>
              <w:rPr>
                <w:sz w:val="28"/>
              </w:rPr>
              <w:t>Ārvalstu tiešās in</w:t>
            </w:r>
            <w:r w:rsidR="00400C4C">
              <w:rPr>
                <w:sz w:val="28"/>
              </w:rPr>
              <w:t>v</w:t>
            </w:r>
            <w:r>
              <w:rPr>
                <w:sz w:val="28"/>
              </w:rPr>
              <w:t>estīcijas</w:t>
            </w:r>
          </w:p>
        </w:tc>
      </w:tr>
      <w:tr w:rsidR="000438B0" w:rsidRPr="0088758F" w:rsidTr="00DB0486">
        <w:trPr>
          <w:jc w:val="right"/>
        </w:trPr>
        <w:tc>
          <w:tcPr>
            <w:tcW w:w="1468" w:type="dxa"/>
          </w:tcPr>
          <w:p w:rsidR="000438B0" w:rsidRDefault="000438B0" w:rsidP="00DB0486">
            <w:pPr>
              <w:spacing w:before="40"/>
              <w:rPr>
                <w:sz w:val="28"/>
              </w:rPr>
            </w:pPr>
            <w:r>
              <w:rPr>
                <w:sz w:val="28"/>
              </w:rPr>
              <w:t>CSP</w:t>
            </w:r>
          </w:p>
        </w:tc>
        <w:tc>
          <w:tcPr>
            <w:tcW w:w="7599" w:type="dxa"/>
          </w:tcPr>
          <w:p w:rsidR="000438B0" w:rsidRDefault="000438B0" w:rsidP="00DB0486">
            <w:pPr>
              <w:spacing w:before="40"/>
              <w:rPr>
                <w:sz w:val="28"/>
              </w:rPr>
            </w:pPr>
            <w:r>
              <w:rPr>
                <w:sz w:val="28"/>
              </w:rPr>
              <w:t xml:space="preserve">Centrālā </w:t>
            </w:r>
            <w:r w:rsidRPr="002435DA">
              <w:rPr>
                <w:sz w:val="28"/>
              </w:rPr>
              <w:t>sta</w:t>
            </w:r>
            <w:r>
              <w:rPr>
                <w:sz w:val="28"/>
              </w:rPr>
              <w:t>tistikas pārvalde</w:t>
            </w:r>
          </w:p>
        </w:tc>
      </w:tr>
      <w:tr w:rsidR="00D54409" w:rsidRPr="0088758F" w:rsidTr="00DB0486">
        <w:trPr>
          <w:jc w:val="right"/>
        </w:trPr>
        <w:tc>
          <w:tcPr>
            <w:tcW w:w="1468" w:type="dxa"/>
          </w:tcPr>
          <w:p w:rsidR="00D54409" w:rsidRPr="0088758F" w:rsidRDefault="00D54409" w:rsidP="00DB0486">
            <w:pPr>
              <w:spacing w:before="40"/>
              <w:rPr>
                <w:sz w:val="28"/>
              </w:rPr>
            </w:pPr>
            <w:r>
              <w:rPr>
                <w:sz w:val="28"/>
              </w:rPr>
              <w:t>EIF</w:t>
            </w:r>
          </w:p>
        </w:tc>
        <w:tc>
          <w:tcPr>
            <w:tcW w:w="7599" w:type="dxa"/>
          </w:tcPr>
          <w:p w:rsidR="00D54409" w:rsidRPr="0088758F" w:rsidRDefault="00D54409" w:rsidP="00DB0486">
            <w:pPr>
              <w:spacing w:before="40"/>
              <w:rPr>
                <w:sz w:val="28"/>
              </w:rPr>
            </w:pPr>
            <w:r>
              <w:rPr>
                <w:sz w:val="28"/>
              </w:rPr>
              <w:t>Eiropas Investīciju fonds</w:t>
            </w:r>
          </w:p>
        </w:tc>
      </w:tr>
      <w:tr w:rsidR="002C44A4" w:rsidRPr="0088758F" w:rsidTr="00DB0486">
        <w:trPr>
          <w:jc w:val="right"/>
        </w:trPr>
        <w:tc>
          <w:tcPr>
            <w:tcW w:w="1468" w:type="dxa"/>
          </w:tcPr>
          <w:p w:rsidR="002C44A4" w:rsidRPr="0088758F" w:rsidRDefault="002C44A4" w:rsidP="00DB0486">
            <w:pPr>
              <w:spacing w:before="40"/>
              <w:rPr>
                <w:sz w:val="28"/>
              </w:rPr>
            </w:pPr>
            <w:r>
              <w:rPr>
                <w:sz w:val="28"/>
              </w:rPr>
              <w:t>EK</w:t>
            </w:r>
          </w:p>
        </w:tc>
        <w:tc>
          <w:tcPr>
            <w:tcW w:w="7599" w:type="dxa"/>
          </w:tcPr>
          <w:p w:rsidR="002C44A4" w:rsidRPr="0088758F" w:rsidRDefault="002C44A4" w:rsidP="00DB0486">
            <w:pPr>
              <w:spacing w:before="40"/>
              <w:rPr>
                <w:sz w:val="28"/>
              </w:rPr>
            </w:pPr>
            <w:r>
              <w:rPr>
                <w:sz w:val="28"/>
              </w:rPr>
              <w:t>Eiropas Komisija</w:t>
            </w:r>
          </w:p>
        </w:tc>
      </w:tr>
      <w:tr w:rsidR="00D54409" w:rsidRPr="0088758F" w:rsidTr="00DB0486">
        <w:trPr>
          <w:jc w:val="right"/>
        </w:trPr>
        <w:tc>
          <w:tcPr>
            <w:tcW w:w="1468" w:type="dxa"/>
          </w:tcPr>
          <w:p w:rsidR="00D54409" w:rsidRPr="0088758F" w:rsidRDefault="00D54409" w:rsidP="00DB0486">
            <w:pPr>
              <w:spacing w:before="40"/>
              <w:rPr>
                <w:sz w:val="28"/>
              </w:rPr>
            </w:pPr>
            <w:r w:rsidRPr="0088758F">
              <w:rPr>
                <w:sz w:val="28"/>
              </w:rPr>
              <w:t>ERAF</w:t>
            </w:r>
          </w:p>
        </w:tc>
        <w:tc>
          <w:tcPr>
            <w:tcW w:w="7599" w:type="dxa"/>
          </w:tcPr>
          <w:p w:rsidR="00D54409" w:rsidRPr="0088758F" w:rsidRDefault="00D54409" w:rsidP="00DB0486">
            <w:pPr>
              <w:spacing w:before="40"/>
              <w:rPr>
                <w:sz w:val="28"/>
              </w:rPr>
            </w:pPr>
            <w:r w:rsidRPr="0088758F">
              <w:rPr>
                <w:sz w:val="28"/>
              </w:rPr>
              <w:t>Eiropas Reģionālās attīstības fonds</w:t>
            </w:r>
          </w:p>
        </w:tc>
      </w:tr>
      <w:tr w:rsidR="00D54409" w:rsidRPr="0088758F" w:rsidTr="00DB0486">
        <w:trPr>
          <w:jc w:val="right"/>
        </w:trPr>
        <w:tc>
          <w:tcPr>
            <w:tcW w:w="1468" w:type="dxa"/>
          </w:tcPr>
          <w:p w:rsidR="00D54409" w:rsidRPr="0088758F" w:rsidRDefault="00D54409" w:rsidP="00DB0486">
            <w:pPr>
              <w:spacing w:before="40"/>
              <w:rPr>
                <w:sz w:val="28"/>
              </w:rPr>
            </w:pPr>
            <w:r w:rsidRPr="0088758F">
              <w:rPr>
                <w:sz w:val="28"/>
              </w:rPr>
              <w:t>ES</w:t>
            </w:r>
          </w:p>
        </w:tc>
        <w:tc>
          <w:tcPr>
            <w:tcW w:w="7599" w:type="dxa"/>
            <w:shd w:val="clear" w:color="auto" w:fill="auto"/>
          </w:tcPr>
          <w:p w:rsidR="00D54409" w:rsidRPr="0088758F" w:rsidRDefault="00D54409" w:rsidP="00DB0486">
            <w:pPr>
              <w:spacing w:before="40"/>
              <w:rPr>
                <w:sz w:val="28"/>
                <w:highlight w:val="yellow"/>
              </w:rPr>
            </w:pPr>
            <w:r w:rsidRPr="0088758F">
              <w:rPr>
                <w:sz w:val="28"/>
              </w:rPr>
              <w:t>Eiropas Savienība</w:t>
            </w:r>
          </w:p>
        </w:tc>
      </w:tr>
      <w:tr w:rsidR="00D54409" w:rsidRPr="0088758F" w:rsidTr="00DB0486">
        <w:trPr>
          <w:jc w:val="right"/>
        </w:trPr>
        <w:tc>
          <w:tcPr>
            <w:tcW w:w="1468" w:type="dxa"/>
          </w:tcPr>
          <w:p w:rsidR="00D54409" w:rsidRPr="0099113D" w:rsidRDefault="00D54409" w:rsidP="009975CB">
            <w:pPr>
              <w:spacing w:before="40"/>
              <w:rPr>
                <w:sz w:val="28"/>
              </w:rPr>
            </w:pPr>
            <w:r w:rsidRPr="0099113D">
              <w:rPr>
                <w:sz w:val="28"/>
              </w:rPr>
              <w:t>GCI</w:t>
            </w:r>
          </w:p>
        </w:tc>
        <w:tc>
          <w:tcPr>
            <w:tcW w:w="7599" w:type="dxa"/>
          </w:tcPr>
          <w:p w:rsidR="00D54409" w:rsidRPr="0099113D" w:rsidRDefault="00D54409" w:rsidP="009975CB">
            <w:pPr>
              <w:spacing w:before="40"/>
              <w:rPr>
                <w:sz w:val="28"/>
              </w:rPr>
            </w:pPr>
            <w:r w:rsidRPr="0099113D">
              <w:rPr>
                <w:sz w:val="28"/>
              </w:rPr>
              <w:t>Globālās konkurētspējas indekss</w:t>
            </w:r>
          </w:p>
        </w:tc>
      </w:tr>
      <w:tr w:rsidR="00D54409" w:rsidRPr="0088758F" w:rsidTr="00DB0486">
        <w:trPr>
          <w:jc w:val="right"/>
        </w:trPr>
        <w:tc>
          <w:tcPr>
            <w:tcW w:w="1468" w:type="dxa"/>
          </w:tcPr>
          <w:p w:rsidR="00D54409" w:rsidRPr="0088758F" w:rsidRDefault="00D54409" w:rsidP="00DB0486">
            <w:pPr>
              <w:spacing w:before="40"/>
              <w:rPr>
                <w:sz w:val="28"/>
              </w:rPr>
            </w:pPr>
            <w:r w:rsidRPr="0088758F">
              <w:rPr>
                <w:sz w:val="28"/>
              </w:rPr>
              <w:t>IIN</w:t>
            </w:r>
          </w:p>
        </w:tc>
        <w:tc>
          <w:tcPr>
            <w:tcW w:w="7599" w:type="dxa"/>
          </w:tcPr>
          <w:p w:rsidR="00D54409" w:rsidRPr="0088758F" w:rsidRDefault="00D54409" w:rsidP="00DB0486">
            <w:pPr>
              <w:spacing w:before="40"/>
              <w:rPr>
                <w:sz w:val="28"/>
              </w:rPr>
            </w:pPr>
            <w:r w:rsidRPr="0088758F">
              <w:rPr>
                <w:sz w:val="28"/>
              </w:rPr>
              <w:t>Iedzīvotāju ienākumu nodoklis</w:t>
            </w:r>
          </w:p>
        </w:tc>
      </w:tr>
      <w:tr w:rsidR="00D54409" w:rsidRPr="0088758F" w:rsidTr="00DB0486">
        <w:trPr>
          <w:jc w:val="right"/>
        </w:trPr>
        <w:tc>
          <w:tcPr>
            <w:tcW w:w="1468" w:type="dxa"/>
          </w:tcPr>
          <w:p w:rsidR="00D54409" w:rsidRPr="0088758F" w:rsidRDefault="00D54409" w:rsidP="00DB0486">
            <w:pPr>
              <w:spacing w:before="40"/>
              <w:rPr>
                <w:sz w:val="28"/>
                <w:highlight w:val="yellow"/>
              </w:rPr>
            </w:pPr>
            <w:r w:rsidRPr="0088758F">
              <w:rPr>
                <w:sz w:val="28"/>
              </w:rPr>
              <w:t>IKP</w:t>
            </w:r>
          </w:p>
        </w:tc>
        <w:tc>
          <w:tcPr>
            <w:tcW w:w="7599" w:type="dxa"/>
          </w:tcPr>
          <w:p w:rsidR="00D54409" w:rsidRPr="0088758F" w:rsidRDefault="00D54409" w:rsidP="00DB0486">
            <w:pPr>
              <w:spacing w:before="40"/>
              <w:rPr>
                <w:sz w:val="28"/>
                <w:highlight w:val="yellow"/>
              </w:rPr>
            </w:pPr>
            <w:r w:rsidRPr="0088758F">
              <w:rPr>
                <w:sz w:val="28"/>
              </w:rPr>
              <w:t>Iekšzemes kopprodukts</w:t>
            </w:r>
          </w:p>
        </w:tc>
      </w:tr>
      <w:tr w:rsidR="00D54409" w:rsidRPr="0088758F" w:rsidTr="00DB0486">
        <w:trPr>
          <w:jc w:val="right"/>
        </w:trPr>
        <w:tc>
          <w:tcPr>
            <w:tcW w:w="1468" w:type="dxa"/>
          </w:tcPr>
          <w:p w:rsidR="00D54409" w:rsidRPr="000B6710" w:rsidRDefault="00D54409" w:rsidP="009975CB">
            <w:pPr>
              <w:spacing w:before="40"/>
              <w:rPr>
                <w:sz w:val="28"/>
                <w:highlight w:val="yellow"/>
              </w:rPr>
            </w:pPr>
            <w:r>
              <w:rPr>
                <w:sz w:val="28"/>
              </w:rPr>
              <w:t>IKT</w:t>
            </w:r>
          </w:p>
        </w:tc>
        <w:tc>
          <w:tcPr>
            <w:tcW w:w="7599" w:type="dxa"/>
          </w:tcPr>
          <w:p w:rsidR="00D54409" w:rsidRPr="000B6710" w:rsidRDefault="00D54409" w:rsidP="009975CB">
            <w:pPr>
              <w:spacing w:before="40"/>
              <w:rPr>
                <w:color w:val="000000"/>
                <w:sz w:val="28"/>
                <w:highlight w:val="yellow"/>
              </w:rPr>
            </w:pPr>
            <w:r>
              <w:rPr>
                <w:sz w:val="28"/>
              </w:rPr>
              <w:t>Informācijas un komunikācijas tehnoloģijas</w:t>
            </w:r>
          </w:p>
        </w:tc>
      </w:tr>
      <w:tr w:rsidR="00D54409" w:rsidRPr="0088758F" w:rsidTr="00DB0486">
        <w:trPr>
          <w:jc w:val="right"/>
        </w:trPr>
        <w:tc>
          <w:tcPr>
            <w:tcW w:w="1468" w:type="dxa"/>
          </w:tcPr>
          <w:p w:rsidR="00D54409" w:rsidRPr="0088758F" w:rsidRDefault="00D54409" w:rsidP="00DB0486">
            <w:pPr>
              <w:spacing w:before="40"/>
              <w:rPr>
                <w:sz w:val="28"/>
              </w:rPr>
            </w:pPr>
            <w:r w:rsidRPr="0088758F">
              <w:rPr>
                <w:sz w:val="28"/>
              </w:rPr>
              <w:t>LGA</w:t>
            </w:r>
          </w:p>
        </w:tc>
        <w:tc>
          <w:tcPr>
            <w:tcW w:w="7599" w:type="dxa"/>
          </w:tcPr>
          <w:p w:rsidR="00D54409" w:rsidRPr="0088758F" w:rsidRDefault="00D54409" w:rsidP="00DB0486">
            <w:pPr>
              <w:spacing w:before="40"/>
              <w:rPr>
                <w:sz w:val="28"/>
              </w:rPr>
            </w:pPr>
            <w:r w:rsidRPr="0088758F">
              <w:rPr>
                <w:sz w:val="28"/>
              </w:rPr>
              <w:t>Latvijas Garantiju aģentūra</w:t>
            </w:r>
          </w:p>
        </w:tc>
      </w:tr>
      <w:tr w:rsidR="00D54409" w:rsidRPr="0088758F" w:rsidTr="00DB0486">
        <w:trPr>
          <w:jc w:val="right"/>
        </w:trPr>
        <w:tc>
          <w:tcPr>
            <w:tcW w:w="1468" w:type="dxa"/>
          </w:tcPr>
          <w:p w:rsidR="00D54409" w:rsidRPr="0088758F" w:rsidRDefault="00D54409" w:rsidP="00DB0486">
            <w:pPr>
              <w:spacing w:before="40"/>
              <w:rPr>
                <w:sz w:val="28"/>
              </w:rPr>
            </w:pPr>
            <w:r w:rsidRPr="0088758F">
              <w:rPr>
                <w:sz w:val="28"/>
              </w:rPr>
              <w:t>LIAA</w:t>
            </w:r>
          </w:p>
        </w:tc>
        <w:tc>
          <w:tcPr>
            <w:tcW w:w="7599" w:type="dxa"/>
          </w:tcPr>
          <w:p w:rsidR="00D54409" w:rsidRPr="0088758F" w:rsidRDefault="00D54409" w:rsidP="00DB0486">
            <w:pPr>
              <w:spacing w:before="40"/>
              <w:rPr>
                <w:sz w:val="28"/>
              </w:rPr>
            </w:pPr>
            <w:r w:rsidRPr="0088758F">
              <w:rPr>
                <w:sz w:val="28"/>
              </w:rPr>
              <w:t>Latvijas Investīciju</w:t>
            </w:r>
            <w:r w:rsidR="00947C75">
              <w:rPr>
                <w:sz w:val="28"/>
              </w:rPr>
              <w:t xml:space="preserve"> un</w:t>
            </w:r>
            <w:r w:rsidRPr="0088758F">
              <w:rPr>
                <w:sz w:val="28"/>
              </w:rPr>
              <w:t xml:space="preserve"> attīstības aģentūra</w:t>
            </w:r>
          </w:p>
        </w:tc>
      </w:tr>
      <w:tr w:rsidR="00755F15" w:rsidRPr="0088758F" w:rsidTr="00DB0486">
        <w:trPr>
          <w:jc w:val="right"/>
        </w:trPr>
        <w:tc>
          <w:tcPr>
            <w:tcW w:w="1468" w:type="dxa"/>
          </w:tcPr>
          <w:p w:rsidR="00755F15" w:rsidRPr="0088758F" w:rsidRDefault="00755F15" w:rsidP="00DB0486">
            <w:pPr>
              <w:spacing w:before="40"/>
              <w:rPr>
                <w:sz w:val="28"/>
              </w:rPr>
            </w:pPr>
            <w:r>
              <w:rPr>
                <w:sz w:val="28"/>
              </w:rPr>
              <w:t>LR</w:t>
            </w:r>
          </w:p>
        </w:tc>
        <w:tc>
          <w:tcPr>
            <w:tcW w:w="7599" w:type="dxa"/>
          </w:tcPr>
          <w:p w:rsidR="00755F15" w:rsidRPr="0088758F" w:rsidRDefault="00755F15" w:rsidP="00DB0486">
            <w:pPr>
              <w:spacing w:before="40"/>
              <w:rPr>
                <w:sz w:val="28"/>
              </w:rPr>
            </w:pPr>
            <w:r>
              <w:rPr>
                <w:sz w:val="28"/>
              </w:rPr>
              <w:t>Latvijas Republika</w:t>
            </w:r>
          </w:p>
        </w:tc>
      </w:tr>
      <w:tr w:rsidR="00D54409" w:rsidRPr="0088758F" w:rsidTr="00DB0486">
        <w:trPr>
          <w:jc w:val="right"/>
        </w:trPr>
        <w:tc>
          <w:tcPr>
            <w:tcW w:w="1468" w:type="dxa"/>
          </w:tcPr>
          <w:p w:rsidR="00D54409" w:rsidRPr="0088758F" w:rsidRDefault="00D54409" w:rsidP="00DB0486">
            <w:pPr>
              <w:spacing w:before="40"/>
              <w:rPr>
                <w:sz w:val="28"/>
              </w:rPr>
            </w:pPr>
            <w:r w:rsidRPr="0088758F">
              <w:rPr>
                <w:sz w:val="28"/>
              </w:rPr>
              <w:t>MK</w:t>
            </w:r>
          </w:p>
        </w:tc>
        <w:tc>
          <w:tcPr>
            <w:tcW w:w="7599" w:type="dxa"/>
          </w:tcPr>
          <w:p w:rsidR="00D54409" w:rsidRPr="0088758F" w:rsidRDefault="00D54409" w:rsidP="00DB0486">
            <w:pPr>
              <w:spacing w:before="40"/>
              <w:rPr>
                <w:sz w:val="28"/>
              </w:rPr>
            </w:pPr>
            <w:r w:rsidRPr="0088758F">
              <w:rPr>
                <w:sz w:val="28"/>
              </w:rPr>
              <w:t>Ministru kabinets</w:t>
            </w:r>
          </w:p>
        </w:tc>
      </w:tr>
      <w:tr w:rsidR="00D54409" w:rsidRPr="0088758F" w:rsidTr="00DB0486">
        <w:trPr>
          <w:jc w:val="right"/>
        </w:trPr>
        <w:tc>
          <w:tcPr>
            <w:tcW w:w="1468" w:type="dxa"/>
          </w:tcPr>
          <w:p w:rsidR="00D54409" w:rsidRPr="0088758F" w:rsidRDefault="00D54409" w:rsidP="0088758F">
            <w:pPr>
              <w:spacing w:before="40"/>
              <w:jc w:val="both"/>
              <w:rPr>
                <w:rFonts w:cs="Times New Roman"/>
                <w:sz w:val="28"/>
                <w:szCs w:val="28"/>
              </w:rPr>
            </w:pPr>
            <w:r w:rsidRPr="0088758F">
              <w:rPr>
                <w:rFonts w:cs="Times New Roman"/>
                <w:sz w:val="28"/>
                <w:szCs w:val="28"/>
              </w:rPr>
              <w:t>MVK</w:t>
            </w:r>
          </w:p>
        </w:tc>
        <w:tc>
          <w:tcPr>
            <w:tcW w:w="7599" w:type="dxa"/>
          </w:tcPr>
          <w:p w:rsidR="00D54409" w:rsidRPr="0088758F" w:rsidRDefault="00D54409" w:rsidP="0088758F">
            <w:pPr>
              <w:spacing w:before="40"/>
              <w:jc w:val="both"/>
              <w:rPr>
                <w:rFonts w:cs="Times New Roman"/>
                <w:sz w:val="28"/>
                <w:szCs w:val="28"/>
              </w:rPr>
            </w:pPr>
            <w:r w:rsidRPr="0088758F">
              <w:rPr>
                <w:rFonts w:cs="Times New Roman"/>
                <w:sz w:val="28"/>
                <w:szCs w:val="28"/>
              </w:rPr>
              <w:t>Mazie un vidējie komersanti</w:t>
            </w:r>
          </w:p>
        </w:tc>
      </w:tr>
      <w:tr w:rsidR="00755F15" w:rsidRPr="0088758F" w:rsidTr="00DB0486">
        <w:trPr>
          <w:jc w:val="right"/>
        </w:trPr>
        <w:tc>
          <w:tcPr>
            <w:tcW w:w="1468" w:type="dxa"/>
          </w:tcPr>
          <w:p w:rsidR="00755F15" w:rsidRPr="0088758F" w:rsidRDefault="00755F15" w:rsidP="00DB0486">
            <w:pPr>
              <w:spacing w:before="40"/>
              <w:rPr>
                <w:sz w:val="28"/>
              </w:rPr>
            </w:pPr>
            <w:r>
              <w:rPr>
                <w:sz w:val="28"/>
              </w:rPr>
              <w:t>NVS</w:t>
            </w:r>
          </w:p>
        </w:tc>
        <w:tc>
          <w:tcPr>
            <w:tcW w:w="7599" w:type="dxa"/>
          </w:tcPr>
          <w:p w:rsidR="00755F15" w:rsidRPr="0088758F" w:rsidRDefault="00755F15" w:rsidP="00DB0486">
            <w:pPr>
              <w:spacing w:before="40"/>
              <w:rPr>
                <w:sz w:val="28"/>
              </w:rPr>
            </w:pPr>
            <w:r>
              <w:rPr>
                <w:sz w:val="28"/>
              </w:rPr>
              <w:t>Neatkarīgo valstu savienība</w:t>
            </w:r>
          </w:p>
        </w:tc>
      </w:tr>
      <w:tr w:rsidR="00D54409" w:rsidRPr="0088758F" w:rsidTr="00DB0486">
        <w:trPr>
          <w:jc w:val="right"/>
        </w:trPr>
        <w:tc>
          <w:tcPr>
            <w:tcW w:w="1468" w:type="dxa"/>
          </w:tcPr>
          <w:p w:rsidR="00D54409" w:rsidRPr="0088758F" w:rsidRDefault="00D54409" w:rsidP="00DB0486">
            <w:pPr>
              <w:spacing w:before="40"/>
              <w:rPr>
                <w:sz w:val="28"/>
              </w:rPr>
            </w:pPr>
            <w:r w:rsidRPr="0088758F">
              <w:rPr>
                <w:sz w:val="28"/>
              </w:rPr>
              <w:t>OECD</w:t>
            </w:r>
          </w:p>
        </w:tc>
        <w:tc>
          <w:tcPr>
            <w:tcW w:w="7599" w:type="dxa"/>
          </w:tcPr>
          <w:p w:rsidR="00D54409" w:rsidRPr="0088758F" w:rsidRDefault="00D54409" w:rsidP="00DB0486">
            <w:pPr>
              <w:spacing w:before="40"/>
              <w:rPr>
                <w:sz w:val="28"/>
              </w:rPr>
            </w:pPr>
            <w:r w:rsidRPr="0088758F">
              <w:rPr>
                <w:sz w:val="28"/>
              </w:rPr>
              <w:t>Ekonomiskās sadarbības un attīstības organizācija</w:t>
            </w:r>
          </w:p>
        </w:tc>
      </w:tr>
      <w:tr w:rsidR="00D54409" w:rsidRPr="0088758F" w:rsidTr="00DB0486">
        <w:trPr>
          <w:jc w:val="right"/>
        </w:trPr>
        <w:tc>
          <w:tcPr>
            <w:tcW w:w="1468" w:type="dxa"/>
          </w:tcPr>
          <w:p w:rsidR="00D54409" w:rsidRPr="00E82732" w:rsidRDefault="00D54409" w:rsidP="009975CB">
            <w:pPr>
              <w:spacing w:before="40"/>
              <w:rPr>
                <w:sz w:val="28"/>
              </w:rPr>
            </w:pPr>
            <w:r>
              <w:rPr>
                <w:sz w:val="28"/>
              </w:rPr>
              <w:t>PB</w:t>
            </w:r>
          </w:p>
        </w:tc>
        <w:tc>
          <w:tcPr>
            <w:tcW w:w="7599" w:type="dxa"/>
          </w:tcPr>
          <w:p w:rsidR="00D54409" w:rsidRPr="00E82732" w:rsidRDefault="00D54409" w:rsidP="009975CB">
            <w:pPr>
              <w:spacing w:before="40"/>
              <w:rPr>
                <w:sz w:val="28"/>
              </w:rPr>
            </w:pPr>
            <w:r>
              <w:rPr>
                <w:sz w:val="28"/>
              </w:rPr>
              <w:t>Pasaules Banka</w:t>
            </w:r>
          </w:p>
        </w:tc>
      </w:tr>
      <w:tr w:rsidR="00D54409" w:rsidRPr="0088758F" w:rsidTr="00DB0486">
        <w:trPr>
          <w:jc w:val="right"/>
        </w:trPr>
        <w:tc>
          <w:tcPr>
            <w:tcW w:w="1468" w:type="dxa"/>
          </w:tcPr>
          <w:p w:rsidR="00D54409" w:rsidRPr="0088758F" w:rsidRDefault="00D54409" w:rsidP="00DB0486">
            <w:pPr>
              <w:spacing w:before="40"/>
              <w:rPr>
                <w:sz w:val="28"/>
              </w:rPr>
            </w:pPr>
            <w:r w:rsidRPr="0088758F">
              <w:rPr>
                <w:sz w:val="28"/>
              </w:rPr>
              <w:t>PVN</w:t>
            </w:r>
          </w:p>
        </w:tc>
        <w:tc>
          <w:tcPr>
            <w:tcW w:w="7599" w:type="dxa"/>
          </w:tcPr>
          <w:p w:rsidR="00D54409" w:rsidRPr="0088758F" w:rsidRDefault="00D54409" w:rsidP="00947C75">
            <w:pPr>
              <w:spacing w:before="40"/>
              <w:rPr>
                <w:sz w:val="28"/>
              </w:rPr>
            </w:pPr>
            <w:r w:rsidRPr="0088758F">
              <w:rPr>
                <w:sz w:val="28"/>
              </w:rPr>
              <w:t xml:space="preserve">Pievienotās vērtības </w:t>
            </w:r>
            <w:r w:rsidR="00947C75">
              <w:rPr>
                <w:sz w:val="28"/>
              </w:rPr>
              <w:t>nodoklis</w:t>
            </w:r>
          </w:p>
        </w:tc>
      </w:tr>
      <w:tr w:rsidR="00D54409" w:rsidRPr="0088758F" w:rsidTr="00DB0486">
        <w:trPr>
          <w:jc w:val="right"/>
        </w:trPr>
        <w:tc>
          <w:tcPr>
            <w:tcW w:w="1468" w:type="dxa"/>
          </w:tcPr>
          <w:p w:rsidR="00D54409" w:rsidRPr="0088758F" w:rsidRDefault="00D54409" w:rsidP="00DB0486">
            <w:pPr>
              <w:spacing w:before="40"/>
              <w:rPr>
                <w:sz w:val="28"/>
              </w:rPr>
            </w:pPr>
            <w:r w:rsidRPr="0088758F">
              <w:rPr>
                <w:sz w:val="28"/>
              </w:rPr>
              <w:t>SIA</w:t>
            </w:r>
          </w:p>
        </w:tc>
        <w:tc>
          <w:tcPr>
            <w:tcW w:w="7599" w:type="dxa"/>
          </w:tcPr>
          <w:p w:rsidR="00D54409" w:rsidRPr="0088758F" w:rsidRDefault="00D54409" w:rsidP="00DB0486">
            <w:pPr>
              <w:spacing w:before="40"/>
              <w:rPr>
                <w:sz w:val="28"/>
              </w:rPr>
            </w:pPr>
            <w:r w:rsidRPr="0088758F">
              <w:rPr>
                <w:sz w:val="28"/>
              </w:rPr>
              <w:t>Sabiedrība ar ierobežotu atbildību</w:t>
            </w:r>
          </w:p>
        </w:tc>
      </w:tr>
      <w:tr w:rsidR="00D54409" w:rsidRPr="0088758F" w:rsidTr="00DB0486">
        <w:trPr>
          <w:jc w:val="right"/>
        </w:trPr>
        <w:tc>
          <w:tcPr>
            <w:tcW w:w="1468" w:type="dxa"/>
          </w:tcPr>
          <w:p w:rsidR="00D54409" w:rsidRPr="0088758F" w:rsidRDefault="00D54409" w:rsidP="00DB0486">
            <w:pPr>
              <w:spacing w:before="40"/>
              <w:rPr>
                <w:sz w:val="28"/>
              </w:rPr>
            </w:pPr>
            <w:r>
              <w:rPr>
                <w:sz w:val="28"/>
              </w:rPr>
              <w:t>SVF</w:t>
            </w:r>
          </w:p>
        </w:tc>
        <w:tc>
          <w:tcPr>
            <w:tcW w:w="7599" w:type="dxa"/>
          </w:tcPr>
          <w:p w:rsidR="00D54409" w:rsidRPr="0088758F" w:rsidRDefault="00D54409" w:rsidP="00DB0486">
            <w:pPr>
              <w:spacing w:before="40"/>
              <w:rPr>
                <w:sz w:val="28"/>
              </w:rPr>
            </w:pPr>
            <w:r>
              <w:rPr>
                <w:sz w:val="28"/>
              </w:rPr>
              <w:t>Starptautiskais Valūtas fonds</w:t>
            </w:r>
          </w:p>
        </w:tc>
      </w:tr>
      <w:tr w:rsidR="00D54409" w:rsidRPr="0088758F" w:rsidTr="00DB0486">
        <w:trPr>
          <w:jc w:val="right"/>
        </w:trPr>
        <w:tc>
          <w:tcPr>
            <w:tcW w:w="1468" w:type="dxa"/>
          </w:tcPr>
          <w:p w:rsidR="00D54409" w:rsidRPr="0088758F" w:rsidRDefault="00D54409" w:rsidP="00DB0486">
            <w:pPr>
              <w:spacing w:before="40"/>
              <w:rPr>
                <w:sz w:val="28"/>
              </w:rPr>
            </w:pPr>
            <w:r w:rsidRPr="0088758F">
              <w:rPr>
                <w:sz w:val="28"/>
              </w:rPr>
              <w:t>UIN</w:t>
            </w:r>
          </w:p>
        </w:tc>
        <w:tc>
          <w:tcPr>
            <w:tcW w:w="7599" w:type="dxa"/>
          </w:tcPr>
          <w:p w:rsidR="00D54409" w:rsidRPr="0088758F" w:rsidRDefault="00D54409" w:rsidP="00DB0486">
            <w:pPr>
              <w:spacing w:before="40"/>
              <w:rPr>
                <w:sz w:val="28"/>
              </w:rPr>
            </w:pPr>
            <w:r w:rsidRPr="0088758F">
              <w:rPr>
                <w:sz w:val="28"/>
              </w:rPr>
              <w:t>Uzņēmumu ienākumu nodoklis</w:t>
            </w:r>
          </w:p>
        </w:tc>
      </w:tr>
      <w:tr w:rsidR="000438B0" w:rsidRPr="0088758F" w:rsidTr="00DB0486">
        <w:trPr>
          <w:jc w:val="right"/>
        </w:trPr>
        <w:tc>
          <w:tcPr>
            <w:tcW w:w="1468" w:type="dxa"/>
          </w:tcPr>
          <w:p w:rsidR="000438B0" w:rsidRPr="0088758F" w:rsidRDefault="000438B0" w:rsidP="00DB0486">
            <w:pPr>
              <w:spacing w:before="40"/>
              <w:rPr>
                <w:sz w:val="28"/>
              </w:rPr>
            </w:pPr>
            <w:r>
              <w:rPr>
                <w:sz w:val="28"/>
              </w:rPr>
              <w:t>UR</w:t>
            </w:r>
          </w:p>
        </w:tc>
        <w:tc>
          <w:tcPr>
            <w:tcW w:w="7599" w:type="dxa"/>
          </w:tcPr>
          <w:p w:rsidR="000438B0" w:rsidRPr="0088758F" w:rsidRDefault="000438B0" w:rsidP="00DB0486">
            <w:pPr>
              <w:spacing w:before="40"/>
              <w:rPr>
                <w:sz w:val="28"/>
              </w:rPr>
            </w:pPr>
            <w:r>
              <w:rPr>
                <w:sz w:val="28"/>
              </w:rPr>
              <w:t xml:space="preserve">Uzņēmumu </w:t>
            </w:r>
            <w:r w:rsidRPr="002435DA">
              <w:rPr>
                <w:sz w:val="28"/>
              </w:rPr>
              <w:t>Re</w:t>
            </w:r>
            <w:r>
              <w:rPr>
                <w:sz w:val="28"/>
              </w:rPr>
              <w:t>ģistrs</w:t>
            </w:r>
          </w:p>
        </w:tc>
      </w:tr>
      <w:tr w:rsidR="000438B0" w:rsidRPr="0088758F" w:rsidTr="00DB0486">
        <w:trPr>
          <w:jc w:val="right"/>
        </w:trPr>
        <w:tc>
          <w:tcPr>
            <w:tcW w:w="1468" w:type="dxa"/>
          </w:tcPr>
          <w:p w:rsidR="000438B0" w:rsidRPr="0088758F" w:rsidRDefault="000438B0" w:rsidP="00DB0486">
            <w:pPr>
              <w:spacing w:before="40"/>
              <w:rPr>
                <w:sz w:val="28"/>
              </w:rPr>
            </w:pPr>
            <w:r>
              <w:rPr>
                <w:sz w:val="28"/>
              </w:rPr>
              <w:t>VID</w:t>
            </w:r>
          </w:p>
        </w:tc>
        <w:tc>
          <w:tcPr>
            <w:tcW w:w="7599" w:type="dxa"/>
          </w:tcPr>
          <w:p w:rsidR="000438B0" w:rsidRPr="0088758F" w:rsidRDefault="000438B0" w:rsidP="00DB0486">
            <w:pPr>
              <w:spacing w:before="40"/>
              <w:rPr>
                <w:sz w:val="28"/>
              </w:rPr>
            </w:pPr>
            <w:r>
              <w:rPr>
                <w:sz w:val="28"/>
              </w:rPr>
              <w:t xml:space="preserve">Valsts </w:t>
            </w:r>
            <w:r w:rsidRPr="002435DA">
              <w:rPr>
                <w:sz w:val="28"/>
              </w:rPr>
              <w:t>ieņē</w:t>
            </w:r>
            <w:r>
              <w:rPr>
                <w:sz w:val="28"/>
              </w:rPr>
              <w:t>mumu dienests</w:t>
            </w:r>
          </w:p>
        </w:tc>
      </w:tr>
      <w:tr w:rsidR="00D54409" w:rsidRPr="0088758F" w:rsidTr="00DB0486">
        <w:trPr>
          <w:jc w:val="right"/>
        </w:trPr>
        <w:tc>
          <w:tcPr>
            <w:tcW w:w="1468" w:type="dxa"/>
          </w:tcPr>
          <w:p w:rsidR="00D54409" w:rsidRPr="0088758F" w:rsidRDefault="00D54409" w:rsidP="00DB0486">
            <w:pPr>
              <w:spacing w:before="40"/>
              <w:rPr>
                <w:sz w:val="28"/>
              </w:rPr>
            </w:pPr>
            <w:r w:rsidRPr="0088758F">
              <w:rPr>
                <w:sz w:val="28"/>
              </w:rPr>
              <w:t>VSOAI</w:t>
            </w:r>
          </w:p>
        </w:tc>
        <w:tc>
          <w:tcPr>
            <w:tcW w:w="7599" w:type="dxa"/>
          </w:tcPr>
          <w:p w:rsidR="00D54409" w:rsidRPr="0088758F" w:rsidRDefault="00D54409" w:rsidP="00DB0486">
            <w:pPr>
              <w:spacing w:before="40"/>
              <w:rPr>
                <w:sz w:val="28"/>
              </w:rPr>
            </w:pPr>
            <w:r w:rsidRPr="0088758F">
              <w:rPr>
                <w:sz w:val="28"/>
              </w:rPr>
              <w:t xml:space="preserve">Valsts sociālās obligātās apdrošināšanas iemaksas </w:t>
            </w:r>
          </w:p>
        </w:tc>
      </w:tr>
    </w:tbl>
    <w:p w:rsidR="00DB0486" w:rsidRDefault="00DB0486" w:rsidP="00DB0486">
      <w:pPr>
        <w:spacing w:after="200" w:line="276" w:lineRule="auto"/>
      </w:pPr>
      <w:r w:rsidRPr="0088758F">
        <w:br w:type="page"/>
      </w:r>
    </w:p>
    <w:p w:rsidR="00BF4D3C" w:rsidRPr="00EB5FEE" w:rsidRDefault="00BF4D3C" w:rsidP="00BF4D3C">
      <w:pPr>
        <w:pStyle w:val="Heading1"/>
      </w:pPr>
      <w:bookmarkStart w:id="5" w:name="_Toc239501351"/>
      <w:bookmarkStart w:id="6" w:name="_Toc242510358"/>
      <w:r w:rsidRPr="00EB5FEE">
        <w:lastRenderedPageBreak/>
        <w:t>1. Latvijas ekonomikas attīstība vidēja termiņa periodā</w:t>
      </w:r>
      <w:bookmarkEnd w:id="5"/>
      <w:bookmarkEnd w:id="6"/>
    </w:p>
    <w:p w:rsidR="00BF4D3C" w:rsidRPr="002B30EC" w:rsidRDefault="00BF4D3C" w:rsidP="00BF4D3C">
      <w:pPr>
        <w:pStyle w:val="Heading1"/>
        <w:ind w:firstLine="567"/>
        <w:rPr>
          <w:b w:val="0"/>
          <w:sz w:val="16"/>
          <w:szCs w:val="16"/>
        </w:rPr>
      </w:pPr>
    </w:p>
    <w:p w:rsidR="00BF4D3C" w:rsidRPr="00BF4D3C" w:rsidRDefault="00BF4D3C" w:rsidP="00BF4D3C">
      <w:pPr>
        <w:pStyle w:val="Heading3"/>
        <w:rPr>
          <w:sz w:val="28"/>
        </w:rPr>
      </w:pPr>
      <w:bookmarkStart w:id="7" w:name="_Toc239501352"/>
      <w:bookmarkStart w:id="8" w:name="_Toc242510359"/>
      <w:r w:rsidRPr="00BF4D3C">
        <w:rPr>
          <w:sz w:val="28"/>
        </w:rPr>
        <w:t>1.1. Pašreizējās krīzes raksturojums</w:t>
      </w:r>
      <w:bookmarkEnd w:id="7"/>
      <w:bookmarkEnd w:id="8"/>
    </w:p>
    <w:p w:rsidR="00BF4D3C" w:rsidRPr="002B30EC" w:rsidRDefault="00BF4D3C" w:rsidP="00BF4D3C">
      <w:pPr>
        <w:ind w:firstLine="567"/>
        <w:jc w:val="both"/>
        <w:rPr>
          <w:sz w:val="14"/>
          <w:szCs w:val="14"/>
        </w:rPr>
      </w:pPr>
    </w:p>
    <w:p w:rsidR="008E433C" w:rsidRPr="00EB7EEB" w:rsidRDefault="008E433C" w:rsidP="00A31ABA">
      <w:pPr>
        <w:ind w:firstLine="567"/>
        <w:jc w:val="both"/>
        <w:rPr>
          <w:sz w:val="28"/>
        </w:rPr>
      </w:pPr>
      <w:r w:rsidRPr="00EB7EEB">
        <w:rPr>
          <w:sz w:val="28"/>
        </w:rPr>
        <w:t xml:space="preserve">Lejupslīde, kaut arī lēnākos tempos, turpinās jau piekto ceturksni pēc kārtas un šī gada 2.ceturksnī IKP samazinājās par </w:t>
      </w:r>
      <w:r>
        <w:rPr>
          <w:sz w:val="28"/>
        </w:rPr>
        <w:t>0,8</w:t>
      </w:r>
      <w:r w:rsidRPr="00EB7EEB">
        <w:rPr>
          <w:sz w:val="28"/>
        </w:rPr>
        <w:t xml:space="preserve">% salīdzinājumā ar 1.ceturkšņa līmeni (pēc sezonāli izlīdzinātiem datiem). Kopumā IKP apjoms 2009.gada 2.ceturksnī bija par 18,7% mazāks nekā gadu iepriekš. </w:t>
      </w:r>
    </w:p>
    <w:p w:rsidR="008E433C" w:rsidRPr="00EB7EEB" w:rsidRDefault="008E433C" w:rsidP="00A31ABA">
      <w:pPr>
        <w:ind w:firstLine="567"/>
        <w:jc w:val="both"/>
        <w:rPr>
          <w:sz w:val="28"/>
        </w:rPr>
      </w:pPr>
      <w:r w:rsidRPr="00EB7EEB">
        <w:rPr>
          <w:sz w:val="28"/>
        </w:rPr>
        <w:t xml:space="preserve">Lejupslīde ir vērojama </w:t>
      </w:r>
      <w:r>
        <w:rPr>
          <w:sz w:val="28"/>
        </w:rPr>
        <w:t>arī</w:t>
      </w:r>
      <w:r w:rsidRPr="00EB7EEB">
        <w:rPr>
          <w:sz w:val="28"/>
        </w:rPr>
        <w:t xml:space="preserve"> mūsu kaimiņvalstīs, kurās ir būtisks IKP samazinājums, piemēram Lietuvā 2009.gada 2.ceturksnī tas bija par 20,2%, bet Igaunijā </w:t>
      </w:r>
      <w:r w:rsidR="002C44A4">
        <w:rPr>
          <w:sz w:val="28"/>
        </w:rPr>
        <w:t>par</w:t>
      </w:r>
      <w:r w:rsidRPr="00EB7EEB">
        <w:rPr>
          <w:sz w:val="28"/>
        </w:rPr>
        <w:t xml:space="preserve"> 16,</w:t>
      </w:r>
      <w:r>
        <w:rPr>
          <w:sz w:val="28"/>
        </w:rPr>
        <w:t>1</w:t>
      </w:r>
      <w:r w:rsidRPr="00EB7EEB">
        <w:rPr>
          <w:sz w:val="28"/>
        </w:rPr>
        <w:t>% mazāks nekā 2008.gada 2.ceturksnī. Jāatzīmē, ka tāpat kā Latvijā, arī pārējās Baltijas valstīs 2.ceturksņa IKP sākotnējais novērtējums bija pesimistiskāks.</w:t>
      </w:r>
    </w:p>
    <w:p w:rsidR="008E433C" w:rsidRDefault="008E433C" w:rsidP="00A31ABA">
      <w:pPr>
        <w:ind w:firstLine="567"/>
        <w:jc w:val="both"/>
        <w:rPr>
          <w:sz w:val="28"/>
        </w:rPr>
      </w:pPr>
      <w:r>
        <w:rPr>
          <w:sz w:val="28"/>
        </w:rPr>
        <w:t xml:space="preserve">Vairumā </w:t>
      </w:r>
      <w:r w:rsidRPr="007168FF">
        <w:rPr>
          <w:sz w:val="28"/>
        </w:rPr>
        <w:t>ES dalībvalst</w:t>
      </w:r>
      <w:r>
        <w:rPr>
          <w:sz w:val="28"/>
        </w:rPr>
        <w:t xml:space="preserve">u IKP apjomi 2009.gada 2.ceturksnī, salīdzinot ar </w:t>
      </w:r>
      <w:r w:rsidR="000438B0">
        <w:rPr>
          <w:sz w:val="28"/>
        </w:rPr>
        <w:t>iepriekšējo ceturksni</w:t>
      </w:r>
      <w:r>
        <w:rPr>
          <w:sz w:val="28"/>
        </w:rPr>
        <w:t xml:space="preserve">, samazinājās </w:t>
      </w:r>
      <w:r w:rsidR="000438B0">
        <w:rPr>
          <w:sz w:val="28"/>
        </w:rPr>
        <w:t xml:space="preserve">daudz </w:t>
      </w:r>
      <w:r>
        <w:rPr>
          <w:sz w:val="28"/>
        </w:rPr>
        <w:t>lēnāk</w:t>
      </w:r>
      <w:r w:rsidR="000438B0">
        <w:rPr>
          <w:sz w:val="28"/>
        </w:rPr>
        <w:t>os tempos</w:t>
      </w:r>
      <w:r>
        <w:rPr>
          <w:sz w:val="28"/>
        </w:rPr>
        <w:t xml:space="preserve"> un atsevišķās valstīs </w:t>
      </w:r>
      <w:r w:rsidR="000438B0">
        <w:rPr>
          <w:sz w:val="28"/>
        </w:rPr>
        <w:t xml:space="preserve">izlaides apjomi pat </w:t>
      </w:r>
      <w:r>
        <w:rPr>
          <w:sz w:val="28"/>
        </w:rPr>
        <w:t xml:space="preserve">pieauga. Tomēr jāatzīmē, ka 2009.gada 2.ceturkšņa izlaides līmenis bija </w:t>
      </w:r>
      <w:r w:rsidR="000438B0">
        <w:rPr>
          <w:sz w:val="28"/>
        </w:rPr>
        <w:t xml:space="preserve">ievērojami </w:t>
      </w:r>
      <w:r>
        <w:rPr>
          <w:sz w:val="28"/>
        </w:rPr>
        <w:t xml:space="preserve">zemāks nekā iepriekšējā gada </w:t>
      </w:r>
      <w:r w:rsidR="000438B0">
        <w:rPr>
          <w:sz w:val="28"/>
        </w:rPr>
        <w:t xml:space="preserve">atbilstošajā periodā. Tā Vācijā izlaides apjomi saruka par </w:t>
      </w:r>
      <w:r>
        <w:rPr>
          <w:sz w:val="28"/>
        </w:rPr>
        <w:t>7,</w:t>
      </w:r>
      <w:r w:rsidR="000438B0">
        <w:rPr>
          <w:sz w:val="28"/>
        </w:rPr>
        <w:t>1%</w:t>
      </w:r>
      <w:r>
        <w:rPr>
          <w:sz w:val="28"/>
        </w:rPr>
        <w:t xml:space="preserve">, </w:t>
      </w:r>
      <w:r w:rsidR="000438B0">
        <w:rPr>
          <w:sz w:val="28"/>
        </w:rPr>
        <w:t>Zviedrijā par 7%</w:t>
      </w:r>
      <w:r>
        <w:rPr>
          <w:sz w:val="28"/>
        </w:rPr>
        <w:t>, Itālijā par 6,2%</w:t>
      </w:r>
      <w:r w:rsidR="000438B0">
        <w:rPr>
          <w:sz w:val="28"/>
        </w:rPr>
        <w:t xml:space="preserve">, Lielbritānijā par 6% un </w:t>
      </w:r>
      <w:r>
        <w:rPr>
          <w:sz w:val="28"/>
        </w:rPr>
        <w:t xml:space="preserve"> Francijā</w:t>
      </w:r>
      <w:r w:rsidR="000438B0">
        <w:rPr>
          <w:sz w:val="28"/>
        </w:rPr>
        <w:t xml:space="preserve"> </w:t>
      </w:r>
      <w:r>
        <w:rPr>
          <w:sz w:val="28"/>
        </w:rPr>
        <w:t>par 3,1%. 2009.gada 2.ceturksnī neliela izaugsme bija vērojama tikai Polijā, kur IKP par 1,1% pārsniedz</w:t>
      </w:r>
      <w:r w:rsidR="000438B0">
        <w:rPr>
          <w:sz w:val="28"/>
        </w:rPr>
        <w:t>a</w:t>
      </w:r>
      <w:r>
        <w:rPr>
          <w:sz w:val="28"/>
        </w:rPr>
        <w:t xml:space="preserve"> 2008.gada 2.ceturkšņa līmeni</w:t>
      </w:r>
      <w:r w:rsidR="000438B0">
        <w:rPr>
          <w:sz w:val="28"/>
        </w:rPr>
        <w:t xml:space="preserve"> (skat. </w:t>
      </w:r>
      <w:r w:rsidR="0033387E">
        <w:rPr>
          <w:sz w:val="28"/>
        </w:rPr>
        <w:t>p</w:t>
      </w:r>
      <w:r w:rsidR="000438B0">
        <w:rPr>
          <w:sz w:val="28"/>
        </w:rPr>
        <w:t>ielikumā 1.tabulu)</w:t>
      </w:r>
      <w:r>
        <w:rPr>
          <w:sz w:val="28"/>
        </w:rPr>
        <w:t>.</w:t>
      </w:r>
    </w:p>
    <w:p w:rsidR="008E433C" w:rsidRDefault="008E433C" w:rsidP="00A31ABA">
      <w:pPr>
        <w:ind w:firstLine="567"/>
        <w:jc w:val="both"/>
        <w:rPr>
          <w:sz w:val="28"/>
        </w:rPr>
      </w:pPr>
      <w:r>
        <w:rPr>
          <w:sz w:val="28"/>
        </w:rPr>
        <w:t>Kopumā ES 2009</w:t>
      </w:r>
      <w:r w:rsidRPr="007168FF">
        <w:rPr>
          <w:sz w:val="28"/>
        </w:rPr>
        <w:t xml:space="preserve">.gada </w:t>
      </w:r>
      <w:r>
        <w:rPr>
          <w:sz w:val="28"/>
        </w:rPr>
        <w:t>otraj</w:t>
      </w:r>
      <w:r w:rsidRPr="007168FF">
        <w:rPr>
          <w:sz w:val="28"/>
        </w:rPr>
        <w:t>ā ceturksnī izlaides apjomi</w:t>
      </w:r>
      <w:r>
        <w:rPr>
          <w:sz w:val="28"/>
        </w:rPr>
        <w:t xml:space="preserve"> saruka par 5,5%, salīdzinot ar 2008.gada 2.ceturksni.</w:t>
      </w:r>
    </w:p>
    <w:p w:rsidR="008E433C" w:rsidRDefault="008E433C" w:rsidP="00A31ABA">
      <w:pPr>
        <w:ind w:firstLine="567"/>
        <w:jc w:val="both"/>
        <w:rPr>
          <w:sz w:val="28"/>
        </w:rPr>
      </w:pPr>
      <w:r>
        <w:rPr>
          <w:sz w:val="28"/>
        </w:rPr>
        <w:t>Arī ASV ekonomikā lejupslīde ir kļuvusi mērenāka. Pēc sezonāli izlīdzinātiem datiem</w:t>
      </w:r>
      <w:r w:rsidR="001D1F98">
        <w:rPr>
          <w:sz w:val="28"/>
        </w:rPr>
        <w:t>,</w:t>
      </w:r>
      <w:r>
        <w:rPr>
          <w:sz w:val="28"/>
        </w:rPr>
        <w:t xml:space="preserve"> 2009.gada 2.ceturksnī IKP samazinājās par 3,9%, salīdzinot ar 2008.gada 2.ceturksni. Savuk</w:t>
      </w:r>
      <w:r w:rsidR="00E67484">
        <w:rPr>
          <w:sz w:val="28"/>
        </w:rPr>
        <w:t>ārt Japānā šajā pašā laika posmā</w:t>
      </w:r>
      <w:r w:rsidR="000438B0">
        <w:rPr>
          <w:sz w:val="28"/>
        </w:rPr>
        <w:t xml:space="preserve"> izlaide saruka par 7</w:t>
      </w:r>
      <w:r>
        <w:rPr>
          <w:sz w:val="28"/>
        </w:rPr>
        <w:t>,</w:t>
      </w:r>
      <w:r w:rsidR="000438B0">
        <w:rPr>
          <w:sz w:val="28"/>
        </w:rPr>
        <w:t>2</w:t>
      </w:r>
      <w:r>
        <w:rPr>
          <w:sz w:val="28"/>
        </w:rPr>
        <w:t xml:space="preserve"> procentiem.</w:t>
      </w:r>
    </w:p>
    <w:p w:rsidR="000438B0" w:rsidRPr="000438B0" w:rsidRDefault="000438B0" w:rsidP="00BF4D3C">
      <w:pPr>
        <w:pStyle w:val="BodyTextIndent3"/>
        <w:suppressAutoHyphens/>
        <w:rPr>
          <w:sz w:val="18"/>
          <w:szCs w:val="28"/>
        </w:rPr>
      </w:pPr>
    </w:p>
    <w:p w:rsidR="00BF4D3C" w:rsidRPr="00EB5FEE" w:rsidRDefault="00BF4D3C" w:rsidP="00BF4D3C">
      <w:pPr>
        <w:pStyle w:val="BodyTextIndent3"/>
        <w:suppressAutoHyphens/>
        <w:rPr>
          <w:sz w:val="28"/>
          <w:szCs w:val="28"/>
        </w:rPr>
      </w:pPr>
      <w:r w:rsidRPr="00EB5FEE">
        <w:rPr>
          <w:sz w:val="28"/>
          <w:szCs w:val="28"/>
        </w:rPr>
        <w:t xml:space="preserve">Globālās finanšu krīzes ietekmes dziļumu Latvijā pastiprina ārējā sektora izteiktā nesabalansētība, kas izveidojās iepriekšējos straujās izaugsmes gados. Būtiskais privātā patēriņa un investīciju pieaugums, kas notika straujākos tempos nekā kopējā ekonomiskā izaugsme, </w:t>
      </w:r>
      <w:r w:rsidR="000438B0" w:rsidRPr="00EB5FEE">
        <w:rPr>
          <w:sz w:val="28"/>
          <w:szCs w:val="28"/>
        </w:rPr>
        <w:t xml:space="preserve">lielā mērā </w:t>
      </w:r>
      <w:r w:rsidRPr="00EB5FEE">
        <w:rPr>
          <w:sz w:val="28"/>
          <w:szCs w:val="28"/>
        </w:rPr>
        <w:t>balstījās uz nozīmīgu ārējā kapitāla ieplūdi caur banku sektoru. Tas arī noteica maksājumu bilances liela tekošā konta deficīta izveidošanos un līdz ar to Latvijas ekonomikas ievainojamības palielināšanos. Izsīkstot finanšu ieplūdei, notik</w:t>
      </w:r>
      <w:r w:rsidR="000438B0">
        <w:rPr>
          <w:sz w:val="28"/>
          <w:szCs w:val="28"/>
        </w:rPr>
        <w:t>a</w:t>
      </w:r>
      <w:r w:rsidRPr="00EB5FEE">
        <w:rPr>
          <w:sz w:val="28"/>
          <w:szCs w:val="28"/>
        </w:rPr>
        <w:t xml:space="preserve"> straujš privātā patēriņa un investīciju samazinājums un būtiskas ekonomikas korekcijas, kas izpau</w:t>
      </w:r>
      <w:r w:rsidR="000438B0">
        <w:rPr>
          <w:sz w:val="28"/>
          <w:szCs w:val="28"/>
        </w:rPr>
        <w:t>dā</w:t>
      </w:r>
      <w:r w:rsidRPr="00EB5FEE">
        <w:rPr>
          <w:sz w:val="28"/>
          <w:szCs w:val="28"/>
        </w:rPr>
        <w:t xml:space="preserve">s kā preču un pakalpojumu eksporta un importa bilances uzlabošanās vienlaikus ar ekonomisko aktivitāšu kritumu, mazinoties iekšējam pieprasījumam. </w:t>
      </w:r>
    </w:p>
    <w:p w:rsidR="00BF4D3C" w:rsidRPr="00EB5FEE" w:rsidRDefault="00BF4D3C" w:rsidP="00BF4D3C">
      <w:pPr>
        <w:autoSpaceDE w:val="0"/>
        <w:autoSpaceDN w:val="0"/>
        <w:adjustRightInd w:val="0"/>
        <w:ind w:firstLine="567"/>
        <w:jc w:val="both"/>
        <w:rPr>
          <w:rFonts w:eastAsia="Times New Roman" w:cs="Times New Roman"/>
          <w:color w:val="000000"/>
          <w:sz w:val="28"/>
          <w:szCs w:val="28"/>
          <w:lang w:eastAsia="lv-LV"/>
        </w:rPr>
      </w:pPr>
      <w:r w:rsidRPr="00EB5FEE">
        <w:rPr>
          <w:rFonts w:eastAsia="Times New Roman" w:cs="Times New Roman"/>
          <w:color w:val="000000"/>
          <w:sz w:val="28"/>
          <w:szCs w:val="28"/>
          <w:lang w:eastAsia="lv-LV"/>
        </w:rPr>
        <w:t>Finanšu krīzes globālais raksturs, kā arī vairāku valstu izteiktā protekcionisma politika, kas izpaužas gan iekšzemes ražotāju atbalstā, gan arī nacionālās valūtas devalvācijā, negatīvi ietekmē ārējo pieprasījumu un Latvijas uzņēmēju konkurētspēju iekšējā un ārējos tirgos.</w:t>
      </w:r>
    </w:p>
    <w:p w:rsidR="00BF4D3C" w:rsidRPr="00EB5FEE" w:rsidRDefault="00BF4D3C" w:rsidP="00BF4D3C">
      <w:pPr>
        <w:ind w:firstLine="567"/>
        <w:jc w:val="both"/>
        <w:rPr>
          <w:rFonts w:eastAsia="Times New Roman" w:cs="Times New Roman"/>
          <w:color w:val="000000"/>
          <w:sz w:val="28"/>
          <w:szCs w:val="28"/>
          <w:lang w:eastAsia="lv-LV"/>
        </w:rPr>
      </w:pPr>
      <w:r w:rsidRPr="00EB5FEE">
        <w:rPr>
          <w:rFonts w:eastAsia="Times New Roman" w:cs="Times New Roman"/>
          <w:color w:val="000000"/>
          <w:sz w:val="28"/>
          <w:szCs w:val="28"/>
          <w:lang w:eastAsia="lv-LV"/>
        </w:rPr>
        <w:t>Pašreizējās ekonomik</w:t>
      </w:r>
      <w:r w:rsidR="00947C75">
        <w:rPr>
          <w:rFonts w:eastAsia="Times New Roman" w:cs="Times New Roman"/>
          <w:color w:val="000000"/>
          <w:sz w:val="28"/>
          <w:szCs w:val="28"/>
          <w:lang w:eastAsia="lv-LV"/>
        </w:rPr>
        <w:t>as attīstības tendences liecina</w:t>
      </w:r>
      <w:r w:rsidRPr="00EB5FEE">
        <w:rPr>
          <w:rFonts w:eastAsia="Times New Roman" w:cs="Times New Roman"/>
          <w:color w:val="000000"/>
          <w:sz w:val="28"/>
          <w:szCs w:val="28"/>
          <w:lang w:eastAsia="lv-LV"/>
        </w:rPr>
        <w:t>, ka krīze turpina paplašināties caur tā saucamajiem bilances posteņu līdzsvarošanas efektiem, kas saistīt</w:t>
      </w:r>
      <w:r>
        <w:rPr>
          <w:rFonts w:eastAsia="Times New Roman" w:cs="Times New Roman"/>
          <w:color w:val="000000"/>
          <w:sz w:val="28"/>
          <w:szCs w:val="28"/>
          <w:lang w:eastAsia="lv-LV"/>
        </w:rPr>
        <w:t>i</w:t>
      </w:r>
      <w:r w:rsidRPr="00EB5FEE">
        <w:rPr>
          <w:rFonts w:eastAsia="Times New Roman" w:cs="Times New Roman"/>
          <w:color w:val="000000"/>
          <w:sz w:val="28"/>
          <w:szCs w:val="28"/>
          <w:lang w:eastAsia="lv-LV"/>
        </w:rPr>
        <w:t xml:space="preserve"> ar</w:t>
      </w:r>
      <w:r>
        <w:rPr>
          <w:rFonts w:eastAsia="Times New Roman" w:cs="Times New Roman"/>
          <w:color w:val="000000"/>
          <w:sz w:val="28"/>
          <w:szCs w:val="28"/>
          <w:lang w:eastAsia="lv-LV"/>
        </w:rPr>
        <w:t xml:space="preserve"> iepriekšējos gados pieaugošo iekšējo nesabalansētību –</w:t>
      </w:r>
      <w:r w:rsidRPr="00EB5FEE">
        <w:rPr>
          <w:rFonts w:eastAsia="Times New Roman" w:cs="Times New Roman"/>
          <w:color w:val="000000"/>
          <w:sz w:val="28"/>
          <w:szCs w:val="28"/>
          <w:lang w:eastAsia="lv-LV"/>
        </w:rPr>
        <w:t xml:space="preserve"> privātā sektora (mājsaimniecību un uzņēmumu) lielu parādu, valsts budžeta deficītu.</w:t>
      </w:r>
    </w:p>
    <w:p w:rsidR="00BF4D3C" w:rsidRPr="00EB5FEE" w:rsidRDefault="00947C75" w:rsidP="00BF4D3C">
      <w:pPr>
        <w:ind w:firstLine="567"/>
        <w:jc w:val="both"/>
        <w:rPr>
          <w:rFonts w:eastAsia="Times New Roman" w:cs="Times New Roman"/>
          <w:color w:val="000000"/>
          <w:sz w:val="28"/>
          <w:szCs w:val="28"/>
          <w:lang w:eastAsia="lv-LV"/>
        </w:rPr>
      </w:pPr>
      <w:r>
        <w:rPr>
          <w:rFonts w:eastAsia="Times New Roman" w:cs="Times New Roman"/>
          <w:color w:val="000000"/>
          <w:sz w:val="28"/>
          <w:szCs w:val="28"/>
          <w:lang w:eastAsia="lv-LV"/>
        </w:rPr>
        <w:lastRenderedPageBreak/>
        <w:t>Budžeta ieņēmumu samazināšanās</w:t>
      </w:r>
      <w:r w:rsidR="00BF4D3C">
        <w:rPr>
          <w:rFonts w:eastAsia="Times New Roman" w:cs="Times New Roman"/>
          <w:color w:val="000000"/>
          <w:sz w:val="28"/>
          <w:szCs w:val="28"/>
          <w:lang w:eastAsia="lv-LV"/>
        </w:rPr>
        <w:t xml:space="preserve"> valdībai liek īstenot </w:t>
      </w:r>
      <w:r w:rsidR="00BF4D3C" w:rsidRPr="00EB5FEE">
        <w:rPr>
          <w:rFonts w:eastAsia="Times New Roman" w:cs="Times New Roman"/>
          <w:color w:val="000000"/>
          <w:sz w:val="28"/>
          <w:szCs w:val="28"/>
          <w:lang w:eastAsia="lv-LV"/>
        </w:rPr>
        <w:t>budžeta deficīta ierobežošanas politik</w:t>
      </w:r>
      <w:r w:rsidR="00BF4D3C">
        <w:rPr>
          <w:rFonts w:eastAsia="Times New Roman" w:cs="Times New Roman"/>
          <w:color w:val="000000"/>
          <w:sz w:val="28"/>
          <w:szCs w:val="28"/>
          <w:lang w:eastAsia="lv-LV"/>
        </w:rPr>
        <w:t>u</w:t>
      </w:r>
      <w:r w:rsidR="00BF4D3C" w:rsidRPr="00EB5FEE">
        <w:rPr>
          <w:rFonts w:eastAsia="Times New Roman" w:cs="Times New Roman"/>
          <w:color w:val="000000"/>
          <w:sz w:val="28"/>
          <w:szCs w:val="28"/>
          <w:lang w:eastAsia="lv-LV"/>
        </w:rPr>
        <w:t>,</w:t>
      </w:r>
      <w:r w:rsidR="00BF4D3C">
        <w:rPr>
          <w:rFonts w:eastAsia="Times New Roman" w:cs="Times New Roman"/>
          <w:color w:val="000000"/>
          <w:sz w:val="28"/>
          <w:szCs w:val="28"/>
          <w:lang w:eastAsia="lv-LV"/>
        </w:rPr>
        <w:t xml:space="preserve"> kas</w:t>
      </w:r>
      <w:r w:rsidR="00BF4D3C" w:rsidRPr="00EB5FEE">
        <w:rPr>
          <w:rFonts w:eastAsia="Times New Roman" w:cs="Times New Roman"/>
          <w:color w:val="000000"/>
          <w:sz w:val="28"/>
          <w:szCs w:val="28"/>
          <w:lang w:eastAsia="lv-LV"/>
        </w:rPr>
        <w:t xml:space="preserve"> </w:t>
      </w:r>
      <w:r w:rsidR="00BF4D3C">
        <w:rPr>
          <w:rFonts w:eastAsia="Times New Roman" w:cs="Times New Roman"/>
          <w:color w:val="000000"/>
          <w:sz w:val="28"/>
          <w:szCs w:val="28"/>
          <w:lang w:eastAsia="lv-LV"/>
        </w:rPr>
        <w:t xml:space="preserve">īstermiņā </w:t>
      </w:r>
      <w:r w:rsidR="00BF4D3C" w:rsidRPr="00EB5FEE">
        <w:rPr>
          <w:rFonts w:eastAsia="Times New Roman" w:cs="Times New Roman"/>
          <w:color w:val="000000"/>
          <w:sz w:val="28"/>
          <w:szCs w:val="28"/>
          <w:lang w:eastAsia="lv-LV"/>
        </w:rPr>
        <w:t>rada papildus spiedienu uz iekšējā pieprasījuma samazināšanos un iekšējā tirgus sašaurināšanos. Cenšoties sabalansēt budžetu, valdība ierobežo izdevumus un palielina atsevišķus nodokļus. Taču šāda budžeta konsolidācija noved pie samazinājuma spirāles – samazinot budžeta izdevumus, samazinās kopējā izlaide, kā re</w:t>
      </w:r>
      <w:r w:rsidR="00BF4D3C">
        <w:rPr>
          <w:rFonts w:eastAsia="Times New Roman" w:cs="Times New Roman"/>
          <w:color w:val="000000"/>
          <w:sz w:val="28"/>
          <w:szCs w:val="28"/>
          <w:lang w:eastAsia="lv-LV"/>
        </w:rPr>
        <w:t>zultātā mazinās nodokļu ieņēmumi</w:t>
      </w:r>
      <w:r w:rsidR="00BF4D3C" w:rsidRPr="00EB5FEE">
        <w:rPr>
          <w:rFonts w:eastAsia="Times New Roman" w:cs="Times New Roman"/>
          <w:color w:val="000000"/>
          <w:sz w:val="28"/>
          <w:szCs w:val="28"/>
          <w:lang w:eastAsia="lv-LV"/>
        </w:rPr>
        <w:t xml:space="preserve"> un atkal ir jāmeklē veidi, kā ierobežot izdevumus. Kā rāda aprēķini, tad, samazinot budžeta izdevumus par 1 procentpunktu, IKP samazinās līdz pat 0,8%. Arī nodokļu palielināšana krīzes apstākļos samazina patēriņu, palielina ēnu ekonomiku un gala rezultātā samazina nodokļu ieņēmumus. </w:t>
      </w:r>
    </w:p>
    <w:p w:rsidR="00BF4D3C" w:rsidRPr="00EB5FEE" w:rsidRDefault="00BF4D3C" w:rsidP="00BF4D3C">
      <w:pPr>
        <w:ind w:firstLine="567"/>
        <w:jc w:val="both"/>
        <w:rPr>
          <w:rFonts w:cs="Times New Roman"/>
          <w:sz w:val="28"/>
          <w:szCs w:val="28"/>
        </w:rPr>
      </w:pPr>
      <w:r w:rsidRPr="00EB5FEE">
        <w:rPr>
          <w:rFonts w:cs="Times New Roman"/>
          <w:sz w:val="28"/>
          <w:szCs w:val="28"/>
        </w:rPr>
        <w:t>Saglabājās arī drauds, ka pastipri</w:t>
      </w:r>
      <w:r w:rsidR="00947C75">
        <w:rPr>
          <w:rFonts w:cs="Times New Roman"/>
          <w:sz w:val="28"/>
          <w:szCs w:val="28"/>
        </w:rPr>
        <w:t>nāsies ārējā sektora balansēšanā</w:t>
      </w:r>
      <w:r w:rsidRPr="00EB5FEE">
        <w:rPr>
          <w:rFonts w:cs="Times New Roman"/>
          <w:sz w:val="28"/>
          <w:szCs w:val="28"/>
        </w:rPr>
        <w:t>s procesi. Sākoties pasaules fin</w:t>
      </w:r>
      <w:r>
        <w:rPr>
          <w:rFonts w:cs="Times New Roman"/>
          <w:sz w:val="28"/>
          <w:szCs w:val="28"/>
        </w:rPr>
        <w:t>anšu krīzei</w:t>
      </w:r>
      <w:r w:rsidR="002C44A4">
        <w:rPr>
          <w:rFonts w:cs="Times New Roman"/>
          <w:sz w:val="28"/>
          <w:szCs w:val="28"/>
        </w:rPr>
        <w:t>,</w:t>
      </w:r>
      <w:r>
        <w:rPr>
          <w:rFonts w:cs="Times New Roman"/>
          <w:sz w:val="28"/>
          <w:szCs w:val="28"/>
        </w:rPr>
        <w:t xml:space="preserve"> Latvijas eksporta-</w:t>
      </w:r>
      <w:r w:rsidRPr="00EB5FEE">
        <w:rPr>
          <w:rFonts w:cs="Times New Roman"/>
          <w:sz w:val="28"/>
          <w:szCs w:val="28"/>
        </w:rPr>
        <w:t>importa bilance galvenokārt uzlabojās samazinoties importam, jo kritās iekšējais pieprasījums, vienlaikus samazinoties arī produkcijas izlaidei. Pašreizējā posmā var uzs</w:t>
      </w:r>
      <w:r>
        <w:rPr>
          <w:rFonts w:cs="Times New Roman"/>
          <w:sz w:val="28"/>
          <w:szCs w:val="28"/>
        </w:rPr>
        <w:t>katīt, ka Latvijas bilance caur</w:t>
      </w:r>
      <w:r w:rsidRPr="00EB5FEE">
        <w:rPr>
          <w:rFonts w:cs="Times New Roman"/>
          <w:sz w:val="28"/>
          <w:szCs w:val="28"/>
        </w:rPr>
        <w:t xml:space="preserve"> </w:t>
      </w:r>
      <w:r w:rsidR="002C44A4">
        <w:rPr>
          <w:rFonts w:cs="Times New Roman"/>
          <w:sz w:val="28"/>
          <w:szCs w:val="28"/>
        </w:rPr>
        <w:t>šo mehānismu ir līdzsvarojusies un t</w:t>
      </w:r>
      <w:r w:rsidR="006C1871">
        <w:rPr>
          <w:rFonts w:cs="Times New Roman"/>
          <w:sz w:val="28"/>
          <w:szCs w:val="28"/>
        </w:rPr>
        <w:t>urpmākās t</w:t>
      </w:r>
      <w:r w:rsidR="006C1871" w:rsidRPr="00375DC2">
        <w:rPr>
          <w:rFonts w:eastAsia="Times New Roman"/>
          <w:color w:val="000000"/>
          <w:sz w:val="28"/>
          <w:lang w:eastAsia="lv-LV"/>
        </w:rPr>
        <w:t>ekošā konta korekcijas not</w:t>
      </w:r>
      <w:r w:rsidR="006C1871">
        <w:rPr>
          <w:rFonts w:eastAsia="Times New Roman"/>
          <w:color w:val="000000"/>
          <w:sz w:val="28"/>
          <w:lang w:eastAsia="lv-LV"/>
        </w:rPr>
        <w:t>eiks</w:t>
      </w:r>
      <w:r w:rsidR="006C1871" w:rsidRPr="00375DC2">
        <w:rPr>
          <w:rFonts w:eastAsia="Times New Roman"/>
          <w:color w:val="000000"/>
          <w:sz w:val="28"/>
          <w:lang w:eastAsia="lv-LV"/>
        </w:rPr>
        <w:t xml:space="preserve"> </w:t>
      </w:r>
      <w:r w:rsidR="006C1871">
        <w:rPr>
          <w:rFonts w:eastAsia="Times New Roman"/>
          <w:color w:val="000000"/>
          <w:sz w:val="28"/>
          <w:lang w:eastAsia="lv-LV"/>
        </w:rPr>
        <w:t>izmaiņas</w:t>
      </w:r>
      <w:r w:rsidR="006C1871" w:rsidRPr="00375DC2">
        <w:rPr>
          <w:rFonts w:eastAsia="Times New Roman"/>
          <w:color w:val="000000"/>
          <w:sz w:val="28"/>
          <w:lang w:eastAsia="lv-LV"/>
        </w:rPr>
        <w:t xml:space="preserve"> finanšu kontā.</w:t>
      </w:r>
      <w:r w:rsidRPr="00EB5FEE">
        <w:rPr>
          <w:rFonts w:cs="Times New Roman"/>
          <w:sz w:val="28"/>
          <w:szCs w:val="28"/>
        </w:rPr>
        <w:t xml:space="preserve"> Bez tam, pasaules finanšu krīzei ieilgstot, kā arī neuzlabojoties investīciju videi iekšējā ekonomikā, palielinās ārvalstu kapitāla aizplūšanas risks, radot pastiprinātu spiedienu uz valūtas stabilitāti.</w:t>
      </w:r>
    </w:p>
    <w:p w:rsidR="00BF4D3C" w:rsidRPr="00EB5FEE" w:rsidRDefault="00BF4D3C" w:rsidP="00BF4D3C">
      <w:pPr>
        <w:autoSpaceDE w:val="0"/>
        <w:autoSpaceDN w:val="0"/>
        <w:adjustRightInd w:val="0"/>
        <w:ind w:firstLine="567"/>
        <w:jc w:val="both"/>
        <w:rPr>
          <w:rFonts w:cs="Times New Roman"/>
          <w:sz w:val="28"/>
          <w:szCs w:val="28"/>
        </w:rPr>
      </w:pPr>
      <w:r w:rsidRPr="00EB5FEE">
        <w:rPr>
          <w:rFonts w:cs="Times New Roman"/>
          <w:sz w:val="28"/>
          <w:szCs w:val="28"/>
        </w:rPr>
        <w:t>Ekonomikas izaugsmes apstāšanās</w:t>
      </w:r>
      <w:r>
        <w:rPr>
          <w:rFonts w:cs="Times New Roman"/>
          <w:sz w:val="28"/>
          <w:szCs w:val="28"/>
        </w:rPr>
        <w:t xml:space="preserve"> un straujais bezdarba pieaugums</w:t>
      </w:r>
      <w:r w:rsidRPr="00EB5FEE">
        <w:rPr>
          <w:rFonts w:cs="Times New Roman"/>
          <w:sz w:val="28"/>
          <w:szCs w:val="28"/>
        </w:rPr>
        <w:t xml:space="preserve"> rada reālus draudus Latvijas iedzīvotāju </w:t>
      </w:r>
      <w:r>
        <w:rPr>
          <w:rFonts w:cs="Times New Roman"/>
          <w:sz w:val="28"/>
          <w:szCs w:val="28"/>
        </w:rPr>
        <w:t>labklājības</w:t>
      </w:r>
      <w:r w:rsidRPr="00EB5FEE">
        <w:rPr>
          <w:rFonts w:cs="Times New Roman"/>
          <w:sz w:val="28"/>
          <w:szCs w:val="28"/>
        </w:rPr>
        <w:t xml:space="preserve"> pazemināšanai un sociālās spriedzes pieaugumam sabiedrībā.</w:t>
      </w:r>
    </w:p>
    <w:p w:rsidR="00BF4D3C" w:rsidRPr="00EB5FEE" w:rsidRDefault="00BF4D3C" w:rsidP="00BF4D3C">
      <w:pPr>
        <w:ind w:firstLine="567"/>
        <w:jc w:val="both"/>
        <w:rPr>
          <w:rFonts w:cs="Times New Roman"/>
          <w:sz w:val="28"/>
          <w:szCs w:val="28"/>
        </w:rPr>
      </w:pPr>
      <w:r w:rsidRPr="00EB5FEE">
        <w:rPr>
          <w:rFonts w:cs="Times New Roman"/>
          <w:sz w:val="28"/>
          <w:szCs w:val="28"/>
        </w:rPr>
        <w:t>Pašreizējai krīzei Latvijā ir strukturālās krīzes pazīmes. Latvijas ekonomikas struktūra nav ilgtspējīga. Tā ir ar zemu rūpniecības īpatsvaru un neefektīvu valsts pārvaldi, izglītības un veselības sistēmu. Tāpēc krīzes pārvarēšana un ekonomiskās izaugsmes atjaunošanās nav iespējama bez kardinālām reformām, tādām kā budžeta konsolidācija, finanšu sektora stabilizācija un tautsaimniecības restrukturizācija.</w:t>
      </w:r>
    </w:p>
    <w:p w:rsidR="00BF4D3C" w:rsidRPr="00EB5FEE" w:rsidRDefault="00BF4D3C" w:rsidP="00BF4D3C">
      <w:pPr>
        <w:pStyle w:val="BodyTextIndent"/>
        <w:spacing w:after="0"/>
        <w:ind w:left="0" w:firstLine="567"/>
        <w:jc w:val="both"/>
        <w:rPr>
          <w:bCs/>
          <w:color w:val="000000"/>
          <w:sz w:val="28"/>
          <w:szCs w:val="28"/>
          <w:lang w:val="lv-LV"/>
        </w:rPr>
      </w:pPr>
      <w:r>
        <w:rPr>
          <w:color w:val="000000"/>
          <w:sz w:val="28"/>
          <w:szCs w:val="28"/>
          <w:lang w:val="lv-LV" w:eastAsia="lv-LV"/>
        </w:rPr>
        <w:t>V</w:t>
      </w:r>
      <w:r w:rsidRPr="00EB5FEE">
        <w:rPr>
          <w:color w:val="000000"/>
          <w:sz w:val="28"/>
          <w:szCs w:val="28"/>
          <w:lang w:val="lv-LV" w:eastAsia="lv-LV"/>
        </w:rPr>
        <w:t>ienīgais veids, kā sabalansēt budžetu vidējā termiņā</w:t>
      </w:r>
      <w:r w:rsidR="000438B0">
        <w:rPr>
          <w:color w:val="000000"/>
          <w:sz w:val="28"/>
          <w:szCs w:val="28"/>
          <w:lang w:val="lv-LV" w:eastAsia="lv-LV"/>
        </w:rPr>
        <w:t xml:space="preserve"> ir </w:t>
      </w:r>
      <w:r w:rsidRPr="00EB5FEE">
        <w:rPr>
          <w:color w:val="000000"/>
          <w:sz w:val="28"/>
          <w:szCs w:val="28"/>
          <w:lang w:val="lv-LV" w:eastAsia="lv-LV"/>
        </w:rPr>
        <w:t xml:space="preserve">palielināt </w:t>
      </w:r>
      <w:r w:rsidR="000438B0">
        <w:rPr>
          <w:color w:val="000000"/>
          <w:sz w:val="28"/>
          <w:szCs w:val="28"/>
          <w:lang w:val="lv-LV" w:eastAsia="lv-LV"/>
        </w:rPr>
        <w:t xml:space="preserve">ekonomikas </w:t>
      </w:r>
      <w:r w:rsidRPr="00EB5FEE">
        <w:rPr>
          <w:color w:val="000000"/>
          <w:sz w:val="28"/>
          <w:szCs w:val="28"/>
          <w:lang w:val="lv-LV" w:eastAsia="lv-LV"/>
        </w:rPr>
        <w:t>konkurētspēju,</w:t>
      </w:r>
      <w:r>
        <w:rPr>
          <w:color w:val="000000"/>
          <w:sz w:val="28"/>
          <w:szCs w:val="28"/>
          <w:lang w:val="lv-LV" w:eastAsia="lv-LV"/>
        </w:rPr>
        <w:t xml:space="preserve"> ceļot produktivitāti un veicinot </w:t>
      </w:r>
      <w:r w:rsidRPr="00EB5FEE">
        <w:rPr>
          <w:bCs/>
          <w:color w:val="000000"/>
          <w:sz w:val="28"/>
          <w:szCs w:val="28"/>
          <w:lang w:val="lv-LV" w:eastAsia="lv-LV"/>
        </w:rPr>
        <w:t>produkcijas ražošan</w:t>
      </w:r>
      <w:r>
        <w:rPr>
          <w:bCs/>
          <w:color w:val="000000"/>
          <w:sz w:val="28"/>
          <w:szCs w:val="28"/>
          <w:lang w:val="lv-LV" w:eastAsia="lv-LV"/>
        </w:rPr>
        <w:t>u</w:t>
      </w:r>
      <w:r w:rsidRPr="00EB5FEE">
        <w:rPr>
          <w:bCs/>
          <w:color w:val="000000"/>
          <w:sz w:val="28"/>
          <w:szCs w:val="28"/>
          <w:lang w:val="lv-LV" w:eastAsia="lv-LV"/>
        </w:rPr>
        <w:t xml:space="preserve"> ar augstu pievienoto vērtību</w:t>
      </w:r>
      <w:r>
        <w:rPr>
          <w:bCs/>
          <w:color w:val="000000"/>
          <w:sz w:val="28"/>
          <w:szCs w:val="28"/>
          <w:lang w:val="lv-LV" w:eastAsia="lv-LV"/>
        </w:rPr>
        <w:t xml:space="preserve">. </w:t>
      </w:r>
      <w:r w:rsidRPr="00EB5FEE">
        <w:rPr>
          <w:bCs/>
          <w:color w:val="000000"/>
          <w:sz w:val="28"/>
          <w:szCs w:val="28"/>
          <w:lang w:val="lv-LV"/>
        </w:rPr>
        <w:t xml:space="preserve">Latvijas ekonomikā pašlaik dominējošais modelis ir jāmaina no darbietilpīgas </w:t>
      </w:r>
      <w:r>
        <w:rPr>
          <w:bCs/>
          <w:color w:val="000000"/>
          <w:sz w:val="28"/>
          <w:szCs w:val="28"/>
          <w:lang w:val="lv-LV"/>
        </w:rPr>
        <w:t>uz zināšanām balstītu ekonomiku</w:t>
      </w:r>
      <w:r w:rsidRPr="00EB5FEE">
        <w:rPr>
          <w:bCs/>
          <w:color w:val="000000"/>
          <w:sz w:val="28"/>
          <w:szCs w:val="28"/>
          <w:lang w:val="lv-LV" w:eastAsia="lv-LV"/>
        </w:rPr>
        <w:t>.</w:t>
      </w:r>
    </w:p>
    <w:p w:rsidR="00BF4D3C" w:rsidRDefault="00BF4D3C" w:rsidP="00BF4D3C">
      <w:pPr>
        <w:pStyle w:val="Heading2"/>
      </w:pPr>
      <w:bookmarkStart w:id="9" w:name="_Toc235847866"/>
    </w:p>
    <w:p w:rsidR="000438B0" w:rsidRPr="000438B0" w:rsidRDefault="000438B0" w:rsidP="000438B0"/>
    <w:p w:rsidR="00BF4D3C" w:rsidRPr="00307B30" w:rsidRDefault="00BF4D3C" w:rsidP="00BF4D3C">
      <w:pPr>
        <w:pStyle w:val="Heading3"/>
        <w:rPr>
          <w:sz w:val="28"/>
        </w:rPr>
      </w:pPr>
      <w:bookmarkStart w:id="10" w:name="_Toc239501359"/>
      <w:bookmarkStart w:id="11" w:name="_Toc242510360"/>
      <w:bookmarkStart w:id="12" w:name="_Toc239501353"/>
      <w:r w:rsidRPr="00307B30">
        <w:rPr>
          <w:sz w:val="28"/>
        </w:rPr>
        <w:t>1.</w:t>
      </w:r>
      <w:r>
        <w:rPr>
          <w:sz w:val="28"/>
        </w:rPr>
        <w:t>2</w:t>
      </w:r>
      <w:r w:rsidRPr="00307B30">
        <w:rPr>
          <w:sz w:val="28"/>
        </w:rPr>
        <w:t>. Latvijas konkurētspējas izvērtējums</w:t>
      </w:r>
      <w:bookmarkEnd w:id="10"/>
      <w:bookmarkEnd w:id="11"/>
    </w:p>
    <w:p w:rsidR="00BF4D3C" w:rsidRPr="0089365C" w:rsidRDefault="00BF4D3C" w:rsidP="00BF4D3C">
      <w:pPr>
        <w:ind w:firstLine="567"/>
        <w:jc w:val="both"/>
        <w:rPr>
          <w:rFonts w:cs="Times New Roman"/>
          <w:sz w:val="14"/>
          <w:szCs w:val="28"/>
        </w:rPr>
      </w:pPr>
    </w:p>
    <w:p w:rsidR="0089365C" w:rsidRDefault="00BF4D3C" w:rsidP="0089365C">
      <w:pPr>
        <w:ind w:firstLine="567"/>
        <w:jc w:val="both"/>
        <w:rPr>
          <w:rFonts w:cs="Times New Roman"/>
          <w:sz w:val="28"/>
          <w:szCs w:val="28"/>
        </w:rPr>
      </w:pPr>
      <w:r w:rsidRPr="002C02EA">
        <w:rPr>
          <w:rFonts w:cs="Times New Roman"/>
          <w:b/>
          <w:sz w:val="28"/>
          <w:szCs w:val="28"/>
        </w:rPr>
        <w:t>Globālās konkurētspējas indeksa reitings</w:t>
      </w:r>
      <w:r w:rsidRPr="00EB5FEE">
        <w:rPr>
          <w:rStyle w:val="FootnoteReference"/>
          <w:rFonts w:cs="Times New Roman"/>
          <w:sz w:val="28"/>
          <w:szCs w:val="28"/>
        </w:rPr>
        <w:footnoteReference w:id="1"/>
      </w:r>
      <w:r>
        <w:rPr>
          <w:rFonts w:cs="Times New Roman"/>
          <w:sz w:val="28"/>
          <w:szCs w:val="28"/>
        </w:rPr>
        <w:t xml:space="preserve"> </w:t>
      </w:r>
      <w:r w:rsidRPr="00EB5FEE">
        <w:rPr>
          <w:rFonts w:cs="Times New Roman"/>
          <w:sz w:val="28"/>
          <w:szCs w:val="28"/>
        </w:rPr>
        <w:t xml:space="preserve">ir nozīmīgs informācijas avots par valstu ekonomisko stāvokli, atklājot katras valsts stiprās un vājās puses </w:t>
      </w:r>
      <w:r>
        <w:rPr>
          <w:rFonts w:cs="Times New Roman"/>
          <w:sz w:val="28"/>
          <w:szCs w:val="28"/>
        </w:rPr>
        <w:t xml:space="preserve">konkurētspējas jomā </w:t>
      </w:r>
      <w:r w:rsidRPr="00EB5FEE">
        <w:rPr>
          <w:rFonts w:cs="Times New Roman"/>
          <w:sz w:val="28"/>
          <w:szCs w:val="28"/>
        </w:rPr>
        <w:t xml:space="preserve">pēc vienotas </w:t>
      </w:r>
      <w:r w:rsidRPr="00217DB0">
        <w:rPr>
          <w:rFonts w:cs="Times New Roman"/>
          <w:sz w:val="28"/>
          <w:szCs w:val="28"/>
        </w:rPr>
        <w:t xml:space="preserve">sistēmas (skat. </w:t>
      </w:r>
      <w:r w:rsidR="00E2611E" w:rsidRPr="00217DB0">
        <w:rPr>
          <w:rFonts w:cs="Times New Roman"/>
          <w:sz w:val="28"/>
          <w:szCs w:val="28"/>
        </w:rPr>
        <w:t>1</w:t>
      </w:r>
      <w:r w:rsidRPr="00217DB0">
        <w:rPr>
          <w:rFonts w:cs="Times New Roman"/>
          <w:sz w:val="28"/>
          <w:szCs w:val="28"/>
        </w:rPr>
        <w:t>.ielikumu).</w:t>
      </w:r>
      <w:r w:rsidRPr="00EB5FEE">
        <w:rPr>
          <w:rFonts w:cs="Times New Roman"/>
          <w:sz w:val="28"/>
          <w:szCs w:val="28"/>
        </w:rPr>
        <w:t xml:space="preserve"> Politikas veidošanai un </w:t>
      </w:r>
      <w:r w:rsidR="00947C75">
        <w:rPr>
          <w:rFonts w:cs="Times New Roman"/>
          <w:sz w:val="28"/>
          <w:szCs w:val="28"/>
        </w:rPr>
        <w:t>uzņēmējdarbības</w:t>
      </w:r>
      <w:r w:rsidRPr="00EB5FEE">
        <w:rPr>
          <w:rFonts w:cs="Times New Roman"/>
          <w:sz w:val="28"/>
          <w:szCs w:val="28"/>
        </w:rPr>
        <w:t xml:space="preserve"> sektoram tas palīdz novērtēt un pievērst uzmanību atsevišķ</w:t>
      </w:r>
      <w:r w:rsidR="002C44A4">
        <w:rPr>
          <w:rFonts w:cs="Times New Roman"/>
          <w:sz w:val="28"/>
          <w:szCs w:val="28"/>
        </w:rPr>
        <w:t>ā</w:t>
      </w:r>
      <w:r w:rsidRPr="00EB5FEE">
        <w:rPr>
          <w:rFonts w:cs="Times New Roman"/>
          <w:sz w:val="28"/>
          <w:szCs w:val="28"/>
        </w:rPr>
        <w:t xml:space="preserve">m </w:t>
      </w:r>
      <w:r w:rsidR="002C44A4">
        <w:rPr>
          <w:rFonts w:cs="Times New Roman"/>
          <w:sz w:val="28"/>
          <w:szCs w:val="28"/>
        </w:rPr>
        <w:t xml:space="preserve">jomām </w:t>
      </w:r>
      <w:r w:rsidRPr="00EB5FEE">
        <w:rPr>
          <w:rFonts w:cs="Times New Roman"/>
          <w:sz w:val="28"/>
          <w:szCs w:val="28"/>
        </w:rPr>
        <w:t xml:space="preserve">un to </w:t>
      </w:r>
      <w:r w:rsidR="002C44A4">
        <w:rPr>
          <w:rFonts w:cs="Times New Roman"/>
          <w:sz w:val="28"/>
          <w:szCs w:val="28"/>
        </w:rPr>
        <w:t>izmaiņām</w:t>
      </w:r>
      <w:r w:rsidRPr="00EB5FEE">
        <w:rPr>
          <w:rFonts w:cs="Times New Roman"/>
          <w:sz w:val="28"/>
          <w:szCs w:val="28"/>
        </w:rPr>
        <w:t xml:space="preserve"> salīdzinājumā ar citām valstīm.</w:t>
      </w:r>
    </w:p>
    <w:p w:rsidR="00E2611E" w:rsidRDefault="000438B0" w:rsidP="0089365C">
      <w:pPr>
        <w:ind w:firstLine="567"/>
        <w:jc w:val="both"/>
        <w:rPr>
          <w:rFonts w:cs="Times New Roman"/>
          <w:sz w:val="28"/>
          <w:szCs w:val="28"/>
        </w:rPr>
      </w:pPr>
      <w:r w:rsidRPr="00EB5FEE">
        <w:rPr>
          <w:rFonts w:cs="Times New Roman"/>
          <w:sz w:val="28"/>
          <w:szCs w:val="28"/>
        </w:rPr>
        <w:t>200</w:t>
      </w:r>
      <w:r>
        <w:rPr>
          <w:rFonts w:cs="Times New Roman"/>
          <w:sz w:val="28"/>
          <w:szCs w:val="28"/>
        </w:rPr>
        <w:t>9.gad</w:t>
      </w:r>
      <w:r w:rsidRPr="00EB5FEE">
        <w:rPr>
          <w:rFonts w:cs="Times New Roman"/>
          <w:sz w:val="28"/>
          <w:szCs w:val="28"/>
        </w:rPr>
        <w:t xml:space="preserve">a </w:t>
      </w:r>
      <w:r>
        <w:rPr>
          <w:rFonts w:cs="Times New Roman"/>
          <w:sz w:val="28"/>
          <w:szCs w:val="28"/>
        </w:rPr>
        <w:t>Pasaules ekonomikas foruma</w:t>
      </w:r>
      <w:r w:rsidRPr="00EB5FEE">
        <w:rPr>
          <w:rFonts w:cs="Times New Roman"/>
          <w:sz w:val="28"/>
          <w:szCs w:val="28"/>
        </w:rPr>
        <w:t xml:space="preserve"> </w:t>
      </w:r>
      <w:r w:rsidR="00E2611E" w:rsidRPr="00EB5FEE">
        <w:rPr>
          <w:rFonts w:cs="Times New Roman"/>
          <w:i/>
          <w:iCs/>
          <w:sz w:val="28"/>
          <w:szCs w:val="28"/>
        </w:rPr>
        <w:t>Globālās konkurētspējas indeksa</w:t>
      </w:r>
      <w:r w:rsidR="00947C75">
        <w:rPr>
          <w:rFonts w:cs="Times New Roman"/>
          <w:sz w:val="28"/>
          <w:szCs w:val="28"/>
        </w:rPr>
        <w:t xml:space="preserve"> </w:t>
      </w:r>
      <w:r w:rsidR="00E2611E" w:rsidRPr="00EB5FEE">
        <w:rPr>
          <w:rFonts w:cs="Times New Roman"/>
          <w:sz w:val="28"/>
          <w:szCs w:val="28"/>
        </w:rPr>
        <w:t>reiting</w:t>
      </w:r>
      <w:r>
        <w:rPr>
          <w:rFonts w:cs="Times New Roman"/>
          <w:sz w:val="28"/>
          <w:szCs w:val="28"/>
        </w:rPr>
        <w:t>ā</w:t>
      </w:r>
      <w:r w:rsidR="00E2611E" w:rsidRPr="00EB5FEE">
        <w:rPr>
          <w:rFonts w:cs="Times New Roman"/>
          <w:sz w:val="28"/>
          <w:szCs w:val="28"/>
        </w:rPr>
        <w:t xml:space="preserve"> Latvija ir ierindota </w:t>
      </w:r>
      <w:r w:rsidR="00E2611E">
        <w:rPr>
          <w:rFonts w:cs="Times New Roman"/>
          <w:sz w:val="28"/>
          <w:szCs w:val="28"/>
        </w:rPr>
        <w:t>68</w:t>
      </w:r>
      <w:r w:rsidR="00E2611E" w:rsidRPr="00EB5FEE">
        <w:rPr>
          <w:rFonts w:cs="Times New Roman"/>
          <w:sz w:val="28"/>
          <w:szCs w:val="28"/>
        </w:rPr>
        <w:t>.vietā 13</w:t>
      </w:r>
      <w:r w:rsidR="00E2611E">
        <w:rPr>
          <w:rFonts w:cs="Times New Roman"/>
          <w:sz w:val="28"/>
          <w:szCs w:val="28"/>
        </w:rPr>
        <w:t>1</w:t>
      </w:r>
      <w:r w:rsidR="00E2611E" w:rsidRPr="00EB5FEE">
        <w:rPr>
          <w:rFonts w:cs="Times New Roman"/>
          <w:sz w:val="28"/>
          <w:szCs w:val="28"/>
        </w:rPr>
        <w:t xml:space="preserve"> valst</w:t>
      </w:r>
      <w:r w:rsidR="00E2611E">
        <w:rPr>
          <w:rFonts w:cs="Times New Roman"/>
          <w:sz w:val="28"/>
          <w:szCs w:val="28"/>
        </w:rPr>
        <w:t>s</w:t>
      </w:r>
      <w:r w:rsidR="00E2611E" w:rsidRPr="00EB5FEE">
        <w:rPr>
          <w:rFonts w:cs="Times New Roman"/>
          <w:sz w:val="28"/>
          <w:szCs w:val="28"/>
        </w:rPr>
        <w:t xml:space="preserve"> </w:t>
      </w:r>
      <w:r w:rsidR="002C44A4">
        <w:rPr>
          <w:rFonts w:cs="Times New Roman"/>
          <w:sz w:val="28"/>
          <w:szCs w:val="28"/>
        </w:rPr>
        <w:t>vidū</w:t>
      </w:r>
      <w:r w:rsidR="00E2611E" w:rsidRPr="00EB5FEE">
        <w:rPr>
          <w:rFonts w:cs="Times New Roman"/>
          <w:sz w:val="28"/>
          <w:szCs w:val="28"/>
        </w:rPr>
        <w:t xml:space="preserve">. Pēc </w:t>
      </w:r>
      <w:r w:rsidR="002C44A4">
        <w:rPr>
          <w:rFonts w:cs="Times New Roman"/>
          <w:sz w:val="28"/>
          <w:szCs w:val="28"/>
        </w:rPr>
        <w:t>vietas reitingā</w:t>
      </w:r>
      <w:r w:rsidR="00E2611E" w:rsidRPr="00EB5FEE">
        <w:rPr>
          <w:rFonts w:cs="Times New Roman"/>
          <w:sz w:val="28"/>
          <w:szCs w:val="28"/>
        </w:rPr>
        <w:t xml:space="preserve"> Latvija </w:t>
      </w:r>
      <w:r w:rsidR="00E2611E" w:rsidRPr="00EB5FEE">
        <w:rPr>
          <w:rFonts w:cs="Times New Roman"/>
          <w:sz w:val="28"/>
          <w:szCs w:val="28"/>
        </w:rPr>
        <w:lastRenderedPageBreak/>
        <w:t>būtiski atpaliek no vairākām ES dalībvalstīm. Daudz labākas pozīcijas ir arī mūsu kaimiņvalstīm</w:t>
      </w:r>
      <w:r w:rsidR="002C44A4">
        <w:rPr>
          <w:rFonts w:cs="Times New Roman"/>
          <w:sz w:val="28"/>
          <w:szCs w:val="28"/>
        </w:rPr>
        <w:t xml:space="preserve"> – Lietuvai un Igaunijai, kuras</w:t>
      </w:r>
      <w:r w:rsidR="00E2611E" w:rsidRPr="00EB5FEE">
        <w:rPr>
          <w:rFonts w:cs="Times New Roman"/>
          <w:sz w:val="28"/>
          <w:szCs w:val="28"/>
        </w:rPr>
        <w:t xml:space="preserve"> reitingā ir attiecīgi </w:t>
      </w:r>
      <w:r w:rsidR="00E2611E">
        <w:rPr>
          <w:rFonts w:cs="Times New Roman"/>
          <w:sz w:val="28"/>
          <w:szCs w:val="28"/>
        </w:rPr>
        <w:t>53</w:t>
      </w:r>
      <w:r w:rsidR="00E2611E" w:rsidRPr="00EB5FEE">
        <w:rPr>
          <w:rFonts w:cs="Times New Roman"/>
          <w:sz w:val="28"/>
          <w:szCs w:val="28"/>
        </w:rPr>
        <w:t>. un 3</w:t>
      </w:r>
      <w:r w:rsidR="00E2611E">
        <w:rPr>
          <w:rFonts w:cs="Times New Roman"/>
          <w:sz w:val="28"/>
          <w:szCs w:val="28"/>
        </w:rPr>
        <w:t>5</w:t>
      </w:r>
      <w:r w:rsidR="00E2611E" w:rsidRPr="00EB5FEE">
        <w:rPr>
          <w:rFonts w:cs="Times New Roman"/>
          <w:sz w:val="28"/>
          <w:szCs w:val="28"/>
        </w:rPr>
        <w:t>.viet</w:t>
      </w:r>
      <w:r w:rsidR="002C44A4">
        <w:rPr>
          <w:rFonts w:cs="Times New Roman"/>
          <w:sz w:val="28"/>
          <w:szCs w:val="28"/>
        </w:rPr>
        <w:t>ā</w:t>
      </w:r>
      <w:r w:rsidR="00E2611E" w:rsidRPr="00EB5FEE">
        <w:rPr>
          <w:rFonts w:cs="Times New Roman"/>
          <w:sz w:val="28"/>
          <w:szCs w:val="28"/>
        </w:rPr>
        <w:t>.</w:t>
      </w:r>
    </w:p>
    <w:p w:rsidR="00BF4D3C"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right"/>
        <w:rPr>
          <w:rFonts w:cs="Times New Roman"/>
          <w:szCs w:val="24"/>
        </w:rPr>
      </w:pPr>
      <w:r>
        <w:rPr>
          <w:rFonts w:cs="Times New Roman"/>
          <w:szCs w:val="24"/>
        </w:rPr>
        <w:t>1</w:t>
      </w:r>
      <w:r w:rsidRPr="002B297F">
        <w:rPr>
          <w:rFonts w:cs="Times New Roman"/>
          <w:szCs w:val="24"/>
        </w:rPr>
        <w:t>.ielikums</w:t>
      </w:r>
    </w:p>
    <w:p w:rsidR="00BF4D3C" w:rsidRPr="004F08EA"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center"/>
        <w:rPr>
          <w:rFonts w:cs="Times New Roman"/>
          <w:b/>
          <w:szCs w:val="24"/>
        </w:rPr>
      </w:pPr>
      <w:r w:rsidRPr="004F08EA">
        <w:rPr>
          <w:rFonts w:cs="Times New Roman"/>
          <w:b/>
          <w:szCs w:val="24"/>
        </w:rPr>
        <w:t>Globālās konkurētspējas indekss</w:t>
      </w:r>
    </w:p>
    <w:p w:rsidR="00BF4D3C" w:rsidRPr="00AE7274"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both"/>
        <w:rPr>
          <w:rFonts w:cs="Times New Roman"/>
          <w:sz w:val="8"/>
          <w:szCs w:val="8"/>
        </w:rPr>
      </w:pPr>
    </w:p>
    <w:p w:rsidR="00BF4D3C" w:rsidRPr="002B297F" w:rsidRDefault="002C44A4" w:rsidP="002C44A4">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both"/>
        <w:rPr>
          <w:rFonts w:cs="Times New Roman"/>
          <w:szCs w:val="24"/>
        </w:rPr>
      </w:pPr>
      <w:r w:rsidRPr="002C44A4">
        <w:rPr>
          <w:rFonts w:cs="Times New Roman"/>
          <w:szCs w:val="24"/>
        </w:rPr>
        <w:t xml:space="preserve">Globālās konkurētspējas indekss </w:t>
      </w:r>
      <w:r w:rsidR="00BF4D3C" w:rsidRPr="002C44A4">
        <w:rPr>
          <w:rFonts w:cs="Times New Roman"/>
          <w:szCs w:val="24"/>
        </w:rPr>
        <w:t>veidojas no divpadsmit indikatoriem, kas raksturo valsts konkurētspēju noteicošos faktorus. Minētie faktori</w:t>
      </w:r>
      <w:r w:rsidR="00BF4D3C" w:rsidRPr="002B297F">
        <w:rPr>
          <w:rFonts w:cs="Times New Roman"/>
          <w:szCs w:val="24"/>
        </w:rPr>
        <w:t xml:space="preserve"> nosacīti tiek iedalīti trīs grupās: pamatprasības, efekti</w:t>
      </w:r>
      <w:r w:rsidR="00BF4D3C">
        <w:rPr>
          <w:rFonts w:cs="Times New Roman"/>
          <w:szCs w:val="24"/>
        </w:rPr>
        <w:t>vitātes pastiprināšanas faktori,</w:t>
      </w:r>
      <w:r>
        <w:rPr>
          <w:rFonts w:cs="Times New Roman"/>
          <w:szCs w:val="24"/>
        </w:rPr>
        <w:t xml:space="preserve"> kā arī</w:t>
      </w:r>
      <w:r w:rsidR="00BF4D3C" w:rsidRPr="002B297F">
        <w:rPr>
          <w:rFonts w:cs="Times New Roman"/>
          <w:szCs w:val="24"/>
        </w:rPr>
        <w:t xml:space="preserve"> inovācijas un </w:t>
      </w:r>
      <w:r w:rsidR="00BF4D3C">
        <w:rPr>
          <w:rFonts w:cs="Times New Roman"/>
          <w:szCs w:val="24"/>
        </w:rPr>
        <w:t>attīstības</w:t>
      </w:r>
      <w:r w:rsidR="00BF4D3C" w:rsidRPr="002B297F">
        <w:rPr>
          <w:rFonts w:cs="Times New Roman"/>
          <w:szCs w:val="24"/>
        </w:rPr>
        <w:t xml:space="preserve"> faktori. Katrs no divpadsmit indikatoriem tiek vērtēts skalā no 1 līdz 7. Jo lielāks ir indikatora vērtējums, jo labāka ir situācij</w:t>
      </w:r>
      <w:r w:rsidR="00E67484">
        <w:rPr>
          <w:rFonts w:cs="Times New Roman"/>
          <w:szCs w:val="24"/>
        </w:rPr>
        <w:t>a</w:t>
      </w:r>
      <w:r w:rsidR="00BF4D3C" w:rsidRPr="002B297F">
        <w:rPr>
          <w:rFonts w:cs="Times New Roman"/>
          <w:szCs w:val="24"/>
        </w:rPr>
        <w:t xml:space="preserve"> valstī konkrētajā jomā.</w:t>
      </w:r>
    </w:p>
    <w:p w:rsidR="00BF4D3C" w:rsidRPr="002B297F"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2B297F">
        <w:rPr>
          <w:rFonts w:cs="Times New Roman"/>
          <w:i/>
          <w:szCs w:val="24"/>
        </w:rPr>
        <w:t>Pamatprasību rādītāju</w:t>
      </w:r>
      <w:r w:rsidRPr="002B297F">
        <w:rPr>
          <w:rFonts w:cs="Times New Roman"/>
          <w:szCs w:val="24"/>
        </w:rPr>
        <w:t xml:space="preserve"> grupā tiek iekļauti indikatori, kas atspoguļo institucionālās vides kvalitāti (īpašumtiesības, valsts pārvaldes efektivitāte, uzņēmēju ētiskā uzvedība, administratīvais slogs u.c.), fiziskās infrastruktūras kvalitāti (ceļu, ostu, gaisa transporta infrastruktūras kvalitāte), makroekonomisko stabilitāti valstī (valdības parāds, inflācijas līmenis, budžeta deficīts, nacionālais uzkrājumu līmenis u.c.), veselības un pamatizglītības stāvokli un tā ietekmi uz uzņēmējdarbību.</w:t>
      </w:r>
    </w:p>
    <w:p w:rsidR="00BF4D3C" w:rsidRPr="002B297F"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2B297F">
        <w:rPr>
          <w:rFonts w:cs="Times New Roman"/>
          <w:i/>
          <w:szCs w:val="24"/>
        </w:rPr>
        <w:t>Efektivitātes pastiprināšanas faktoru</w:t>
      </w:r>
      <w:r w:rsidRPr="002B297F">
        <w:rPr>
          <w:rFonts w:cs="Times New Roman"/>
          <w:szCs w:val="24"/>
        </w:rPr>
        <w:t xml:space="preserve"> rādītāju grupā tiek iekļauti indikatori, kas raksturo ražošanas faktoru kvalitāti un efektīvu izmantošanu ražošanas procesā. Tie ir sekojoši: augstākās izglītības kvalitāte, preču tirgus efektivitāte (iekšējās un ārējās konkurences nosacījumi, nodokļ</w:t>
      </w:r>
      <w:r>
        <w:rPr>
          <w:rFonts w:cs="Times New Roman"/>
          <w:szCs w:val="24"/>
        </w:rPr>
        <w:t>u</w:t>
      </w:r>
      <w:r w:rsidRPr="002B297F">
        <w:rPr>
          <w:rFonts w:cs="Times New Roman"/>
          <w:szCs w:val="24"/>
        </w:rPr>
        <w:t xml:space="preserve"> slogs, nosacījumi uzņēmējdarbības uzsākšanai, antimonopola politika u.c.),</w:t>
      </w:r>
      <w:r>
        <w:rPr>
          <w:rFonts w:cs="Times New Roman"/>
          <w:szCs w:val="24"/>
        </w:rPr>
        <w:t xml:space="preserve"> </w:t>
      </w:r>
      <w:r w:rsidRPr="002B297F">
        <w:rPr>
          <w:rFonts w:cs="Times New Roman"/>
          <w:szCs w:val="24"/>
        </w:rPr>
        <w:t>darbaspēka tirgus efektivitāte (darbaspēka elastība, algu elastība, talantu efektīvā izmantošana u.c.), finanšu tirgus efektivitāte (finansēšanas pieejamība, finanšu sistēmas stabilitāte un uzticamība u.c.), tehnoloģiju līmenis (jauno tehnoloģiju izmantošana uzņēmumos, modernā</w:t>
      </w:r>
      <w:r>
        <w:rPr>
          <w:rFonts w:cs="Times New Roman"/>
          <w:szCs w:val="24"/>
        </w:rPr>
        <w:t>ko tehnoloģiju pieejamība, ar IK</w:t>
      </w:r>
      <w:r w:rsidRPr="002B297F">
        <w:rPr>
          <w:rFonts w:cs="Times New Roman"/>
          <w:szCs w:val="24"/>
        </w:rPr>
        <w:t>T saistītās likumdošanas attīstība, ar ĀTI saistītais tehnoloģiju pārneses efekts u.c.), tirgus lielums (ārējā tirgus lielums (eksporta īpatsvars IKP) un iekšējā tirgus lielums (iekšzemes pieprasījuma īpatsvars IKP))</w:t>
      </w:r>
      <w:r>
        <w:rPr>
          <w:rFonts w:cs="Times New Roman"/>
          <w:szCs w:val="24"/>
        </w:rPr>
        <w:t>.</w:t>
      </w:r>
    </w:p>
    <w:p w:rsidR="00BF4D3C" w:rsidRPr="00200090"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2B297F">
        <w:rPr>
          <w:rFonts w:cs="Times New Roman"/>
          <w:i/>
          <w:szCs w:val="24"/>
        </w:rPr>
        <w:t xml:space="preserve">Inovācijas un </w:t>
      </w:r>
      <w:r>
        <w:rPr>
          <w:rFonts w:cs="Times New Roman"/>
          <w:i/>
          <w:szCs w:val="24"/>
        </w:rPr>
        <w:t>attīstības</w:t>
      </w:r>
      <w:r w:rsidRPr="002B297F">
        <w:rPr>
          <w:rFonts w:cs="Times New Roman"/>
          <w:i/>
          <w:szCs w:val="24"/>
        </w:rPr>
        <w:t xml:space="preserve"> faktoru </w:t>
      </w:r>
      <w:r w:rsidRPr="002B297F">
        <w:rPr>
          <w:rFonts w:cs="Times New Roman"/>
          <w:szCs w:val="24"/>
        </w:rPr>
        <w:t>rādītāji raksturo valsts esošo inovatīvo potenciālu. Tas tiek izvērtēts divos griezumos: uzņēmējdarbības kvalitāte (klasteru attīstības pakāpe, iekšējo piegādātāju kvalitāte, uzņēmu</w:t>
      </w:r>
      <w:r w:rsidR="00E67484">
        <w:rPr>
          <w:rFonts w:cs="Times New Roman"/>
          <w:szCs w:val="24"/>
        </w:rPr>
        <w:t>mu konkurences priekšrocības, mā</w:t>
      </w:r>
      <w:r w:rsidRPr="002B297F">
        <w:rPr>
          <w:rFonts w:cs="Times New Roman"/>
          <w:szCs w:val="24"/>
        </w:rPr>
        <w:t>rketinga un menedžmenta attīstība uzņēmumu līmenī, kontrole par starptautisko tirdzniecību) un inovācijas (patentu izmantošana, pētniecības institūciju kvalitāte, augstskolu – nozaru sadarbība pētniecībā, augsto tehnoloģiju produktu valsts iepirkumi, zinātnieku un inženieru esamība</w:t>
      </w:r>
      <w:r w:rsidR="002C44A4">
        <w:rPr>
          <w:rFonts w:cs="Times New Roman"/>
          <w:szCs w:val="24"/>
        </w:rPr>
        <w:t>,</w:t>
      </w:r>
      <w:r w:rsidRPr="002B297F">
        <w:rPr>
          <w:rFonts w:cs="Times New Roman"/>
          <w:szCs w:val="24"/>
        </w:rPr>
        <w:t xml:space="preserve"> u.c.).</w:t>
      </w:r>
    </w:p>
    <w:p w:rsidR="00BF4D3C" w:rsidRPr="00200090" w:rsidRDefault="00BF4D3C" w:rsidP="00BF4D3C">
      <w:pPr>
        <w:ind w:firstLine="567"/>
        <w:jc w:val="both"/>
        <w:rPr>
          <w:rFonts w:cs="Times New Roman"/>
          <w:sz w:val="12"/>
          <w:szCs w:val="18"/>
        </w:rPr>
      </w:pPr>
    </w:p>
    <w:p w:rsidR="00F738F9" w:rsidRPr="00EB5FEE" w:rsidRDefault="00F738F9" w:rsidP="00F738F9">
      <w:pPr>
        <w:ind w:firstLine="567"/>
        <w:jc w:val="both"/>
        <w:rPr>
          <w:rFonts w:cs="Times New Roman"/>
          <w:sz w:val="28"/>
          <w:szCs w:val="28"/>
        </w:rPr>
      </w:pPr>
      <w:r>
        <w:rPr>
          <w:rFonts w:cs="Times New Roman"/>
          <w:sz w:val="28"/>
          <w:szCs w:val="28"/>
        </w:rPr>
        <w:t>K</w:t>
      </w:r>
      <w:r w:rsidRPr="00EB5FEE">
        <w:rPr>
          <w:rFonts w:cs="Times New Roman"/>
          <w:sz w:val="28"/>
          <w:szCs w:val="28"/>
        </w:rPr>
        <w:t>onkurētspēju noteicošo faktoru (pīlāru) izvērtējums Latvijai</w:t>
      </w:r>
      <w:r w:rsidR="000438B0">
        <w:rPr>
          <w:rFonts w:cs="Times New Roman"/>
          <w:sz w:val="28"/>
          <w:szCs w:val="28"/>
        </w:rPr>
        <w:t>,</w:t>
      </w:r>
      <w:r w:rsidRPr="00EB5FEE">
        <w:rPr>
          <w:rFonts w:cs="Times New Roman"/>
          <w:sz w:val="28"/>
          <w:szCs w:val="28"/>
        </w:rPr>
        <w:t xml:space="preserve"> salīdzinājumā ar citām Baltijas valstīm, kā arī salīdzinājumā ar valstīm, kuru attīstība ir balstīta uz inovācijām</w:t>
      </w:r>
      <w:r>
        <w:rPr>
          <w:rFonts w:cs="Times New Roman"/>
          <w:sz w:val="28"/>
          <w:szCs w:val="28"/>
        </w:rPr>
        <w:t>, ir parādīts 1.attēlā</w:t>
      </w:r>
      <w:r w:rsidRPr="00EB5FEE">
        <w:rPr>
          <w:rFonts w:cs="Times New Roman"/>
          <w:sz w:val="28"/>
          <w:szCs w:val="28"/>
        </w:rPr>
        <w:t xml:space="preserve">. Salīdzinājumam </w:t>
      </w:r>
      <w:r w:rsidR="00813CDF">
        <w:rPr>
          <w:rFonts w:cs="Times New Roman"/>
          <w:sz w:val="28"/>
          <w:szCs w:val="28"/>
        </w:rPr>
        <w:t>tiek</w:t>
      </w:r>
      <w:r w:rsidRPr="00EB5FEE">
        <w:rPr>
          <w:rFonts w:cs="Times New Roman"/>
          <w:sz w:val="28"/>
          <w:szCs w:val="28"/>
        </w:rPr>
        <w:t xml:space="preserve"> izmantoti dati par 200</w:t>
      </w:r>
      <w:r>
        <w:rPr>
          <w:rFonts w:cs="Times New Roman"/>
          <w:sz w:val="28"/>
          <w:szCs w:val="28"/>
        </w:rPr>
        <w:t>9</w:t>
      </w:r>
      <w:r w:rsidRPr="00EB5FEE">
        <w:rPr>
          <w:rFonts w:cs="Times New Roman"/>
          <w:sz w:val="28"/>
          <w:szCs w:val="28"/>
        </w:rPr>
        <w:t xml:space="preserve">.gadu. Jo lielāka starpība ir starp līnijām, jo lielāka ir atpalicība konkrētajā konkurences jomā. </w:t>
      </w:r>
    </w:p>
    <w:p w:rsidR="00F738F9" w:rsidRPr="00217DB0" w:rsidRDefault="00F738F9" w:rsidP="00F738F9">
      <w:pPr>
        <w:ind w:firstLine="567"/>
        <w:jc w:val="both"/>
        <w:rPr>
          <w:rFonts w:cs="Times New Roman"/>
          <w:sz w:val="28"/>
          <w:szCs w:val="28"/>
        </w:rPr>
      </w:pPr>
      <w:r w:rsidRPr="00EB5FEE">
        <w:rPr>
          <w:rFonts w:cs="Times New Roman"/>
          <w:sz w:val="28"/>
          <w:szCs w:val="28"/>
        </w:rPr>
        <w:t xml:space="preserve">Jāatzīmē, ka dažās jomās, tādās kā finanšu tirgus attīstības līmenis, darba tirgus efektivitāte, produktu tirgus efektivitāte, veselības stāvoklis un pamatizglītība Latvijai ir labi panākumi. Tomēr ir jomas, kurās Latvijai ir </w:t>
      </w:r>
      <w:r w:rsidR="007A07C6">
        <w:rPr>
          <w:rFonts w:cs="Times New Roman"/>
          <w:sz w:val="28"/>
          <w:szCs w:val="28"/>
        </w:rPr>
        <w:t xml:space="preserve">vērojama </w:t>
      </w:r>
      <w:r w:rsidRPr="00EB5FEE">
        <w:rPr>
          <w:rFonts w:cs="Times New Roman"/>
          <w:sz w:val="28"/>
          <w:szCs w:val="28"/>
        </w:rPr>
        <w:t>būtiska atpalicība no Baltij</w:t>
      </w:r>
      <w:r>
        <w:rPr>
          <w:rFonts w:cs="Times New Roman"/>
          <w:sz w:val="28"/>
          <w:szCs w:val="28"/>
        </w:rPr>
        <w:t>as valstīm</w:t>
      </w:r>
      <w:r w:rsidRPr="00EB5FEE">
        <w:rPr>
          <w:rFonts w:cs="Times New Roman"/>
          <w:sz w:val="28"/>
          <w:szCs w:val="28"/>
        </w:rPr>
        <w:t xml:space="preserve"> </w:t>
      </w:r>
      <w:r w:rsidRPr="00217DB0">
        <w:rPr>
          <w:rFonts w:cs="Times New Roman"/>
          <w:sz w:val="28"/>
          <w:szCs w:val="28"/>
        </w:rPr>
        <w:t>(skat. pielikumā 10.tabulu).</w:t>
      </w:r>
    </w:p>
    <w:p w:rsidR="00E2611E" w:rsidRPr="00EB5FEE" w:rsidRDefault="00E2611E" w:rsidP="00E2611E">
      <w:pPr>
        <w:ind w:firstLine="567"/>
        <w:jc w:val="both"/>
        <w:rPr>
          <w:rFonts w:cs="Times New Roman"/>
          <w:sz w:val="28"/>
          <w:szCs w:val="28"/>
        </w:rPr>
      </w:pPr>
      <w:r w:rsidRPr="00EB5FEE">
        <w:rPr>
          <w:rFonts w:cs="Times New Roman"/>
          <w:sz w:val="28"/>
          <w:szCs w:val="28"/>
        </w:rPr>
        <w:t xml:space="preserve">Latvija pēc konkurētspējas pamatnosacījumu novērtējuma ir ierindota </w:t>
      </w:r>
      <w:r>
        <w:rPr>
          <w:rFonts w:cs="Times New Roman"/>
          <w:sz w:val="28"/>
          <w:szCs w:val="28"/>
        </w:rPr>
        <w:t>60</w:t>
      </w:r>
      <w:r w:rsidRPr="00EB5FEE">
        <w:rPr>
          <w:rFonts w:cs="Times New Roman"/>
          <w:sz w:val="28"/>
          <w:szCs w:val="28"/>
        </w:rPr>
        <w:t xml:space="preserve">.vietā. Kopumā tā ir visai augsta vieta. Tai pat laikā mūsu konkurētspēju globālajā ekonomikā mazina vairākas jomas, kurās pasaules konkurētspējas indeksa reitingā esam ierindoti valstu saraksta beigu daļā. Piemērām, ceļu kvalitāte – </w:t>
      </w:r>
      <w:r>
        <w:rPr>
          <w:rFonts w:cs="Times New Roman"/>
          <w:sz w:val="28"/>
          <w:szCs w:val="28"/>
        </w:rPr>
        <w:t>85</w:t>
      </w:r>
      <w:r w:rsidRPr="00EB5FEE">
        <w:rPr>
          <w:rFonts w:cs="Times New Roman"/>
          <w:sz w:val="28"/>
          <w:szCs w:val="28"/>
        </w:rPr>
        <w:t xml:space="preserve">.vieta, </w:t>
      </w:r>
      <w:r>
        <w:rPr>
          <w:rFonts w:cs="Times New Roman"/>
          <w:sz w:val="28"/>
          <w:szCs w:val="28"/>
        </w:rPr>
        <w:t>sabiedrības</w:t>
      </w:r>
      <w:r w:rsidRPr="00EB5FEE">
        <w:rPr>
          <w:rFonts w:cs="Times New Roman"/>
          <w:sz w:val="28"/>
          <w:szCs w:val="28"/>
        </w:rPr>
        <w:t xml:space="preserve"> uzticamība politiķiem – </w:t>
      </w:r>
      <w:r>
        <w:rPr>
          <w:rFonts w:cs="Times New Roman"/>
          <w:sz w:val="28"/>
          <w:szCs w:val="28"/>
        </w:rPr>
        <w:t>102</w:t>
      </w:r>
      <w:r w:rsidRPr="00EB5FEE">
        <w:rPr>
          <w:rFonts w:cs="Times New Roman"/>
          <w:sz w:val="28"/>
          <w:szCs w:val="28"/>
        </w:rPr>
        <w:t xml:space="preserve">. vieta, mazo akcionāru interešu aizsardzība – </w:t>
      </w:r>
      <w:r>
        <w:rPr>
          <w:rFonts w:cs="Times New Roman"/>
          <w:sz w:val="28"/>
          <w:szCs w:val="28"/>
        </w:rPr>
        <w:t>83</w:t>
      </w:r>
      <w:r w:rsidRPr="00EB5FEE">
        <w:rPr>
          <w:rFonts w:cs="Times New Roman"/>
          <w:sz w:val="28"/>
          <w:szCs w:val="28"/>
        </w:rPr>
        <w:t xml:space="preserve">.vieta. </w:t>
      </w:r>
      <w:r w:rsidR="007A07C6">
        <w:rPr>
          <w:rFonts w:cs="Times New Roman"/>
          <w:sz w:val="28"/>
          <w:szCs w:val="28"/>
        </w:rPr>
        <w:t>Turpretim</w:t>
      </w:r>
      <w:r w:rsidRPr="00EB5FEE">
        <w:rPr>
          <w:rFonts w:cs="Times New Roman"/>
          <w:sz w:val="28"/>
          <w:szCs w:val="28"/>
        </w:rPr>
        <w:t xml:space="preserve"> Lietuvas un Igaunijas pozīcijas ir daudz labākas, bet dažas jomas </w:t>
      </w:r>
      <w:r w:rsidRPr="00EB5FEE">
        <w:rPr>
          <w:rFonts w:cs="Times New Roman"/>
          <w:sz w:val="28"/>
          <w:szCs w:val="28"/>
        </w:rPr>
        <w:lastRenderedPageBreak/>
        <w:t xml:space="preserve">jau tiek </w:t>
      </w:r>
      <w:r w:rsidR="007A07C6">
        <w:rPr>
          <w:rFonts w:cs="Times New Roman"/>
          <w:sz w:val="28"/>
          <w:szCs w:val="28"/>
        </w:rPr>
        <w:t>vērtētas</w:t>
      </w:r>
      <w:r w:rsidRPr="00EB5FEE">
        <w:rPr>
          <w:rFonts w:cs="Times New Roman"/>
          <w:sz w:val="28"/>
          <w:szCs w:val="28"/>
        </w:rPr>
        <w:t>, kā konkurences priekšrocības, piemēram</w:t>
      </w:r>
      <w:r w:rsidR="007A07C6">
        <w:rPr>
          <w:rFonts w:cs="Times New Roman"/>
          <w:sz w:val="28"/>
          <w:szCs w:val="28"/>
        </w:rPr>
        <w:t>,</w:t>
      </w:r>
      <w:r w:rsidRPr="00EB5FEE">
        <w:rPr>
          <w:rFonts w:cs="Times New Roman"/>
          <w:sz w:val="28"/>
          <w:szCs w:val="28"/>
        </w:rPr>
        <w:t xml:space="preserve"> Igaunija pēc infrastruktūras kvalitātes reitingā ieņem </w:t>
      </w:r>
      <w:r>
        <w:rPr>
          <w:rFonts w:cs="Times New Roman"/>
          <w:sz w:val="28"/>
          <w:szCs w:val="28"/>
        </w:rPr>
        <w:t>34</w:t>
      </w:r>
      <w:r w:rsidRPr="00EB5FEE">
        <w:rPr>
          <w:rFonts w:cs="Times New Roman"/>
          <w:sz w:val="28"/>
          <w:szCs w:val="28"/>
        </w:rPr>
        <w:t xml:space="preserve">.vietu. </w:t>
      </w:r>
    </w:p>
    <w:p w:rsidR="00E67484" w:rsidRDefault="00E67484" w:rsidP="00BF4D3C">
      <w:pPr>
        <w:ind w:firstLine="360"/>
        <w:jc w:val="right"/>
        <w:rPr>
          <w:rFonts w:cs="Times New Roman"/>
          <w:sz w:val="28"/>
          <w:szCs w:val="28"/>
        </w:rPr>
      </w:pPr>
    </w:p>
    <w:p w:rsidR="00BF4D3C" w:rsidRPr="00EB5FEE" w:rsidRDefault="00F738F9" w:rsidP="00BF4D3C">
      <w:pPr>
        <w:ind w:firstLine="360"/>
        <w:jc w:val="right"/>
        <w:rPr>
          <w:rFonts w:cs="Times New Roman"/>
          <w:sz w:val="28"/>
          <w:szCs w:val="28"/>
        </w:rPr>
      </w:pPr>
      <w:r>
        <w:rPr>
          <w:rFonts w:cs="Times New Roman"/>
          <w:sz w:val="28"/>
          <w:szCs w:val="28"/>
        </w:rPr>
        <w:t>1</w:t>
      </w:r>
      <w:r w:rsidR="00BF4D3C" w:rsidRPr="00EB5FEE">
        <w:rPr>
          <w:rFonts w:cs="Times New Roman"/>
          <w:sz w:val="28"/>
          <w:szCs w:val="28"/>
        </w:rPr>
        <w:t>.attēls</w:t>
      </w:r>
    </w:p>
    <w:p w:rsidR="00BF4D3C" w:rsidRDefault="00BF4D3C" w:rsidP="00BF4D3C">
      <w:pPr>
        <w:ind w:firstLine="360"/>
        <w:jc w:val="center"/>
        <w:rPr>
          <w:rFonts w:cs="Times New Roman"/>
          <w:b/>
          <w:bCs/>
          <w:sz w:val="28"/>
          <w:szCs w:val="28"/>
        </w:rPr>
      </w:pPr>
      <w:r w:rsidRPr="00EB5FEE">
        <w:rPr>
          <w:rFonts w:cs="Times New Roman"/>
          <w:b/>
          <w:bCs/>
          <w:sz w:val="28"/>
          <w:szCs w:val="28"/>
        </w:rPr>
        <w:t>Latvijas vieta Globālās konkurētspējas indeksā</w:t>
      </w:r>
    </w:p>
    <w:p w:rsidR="00BF4D3C" w:rsidRDefault="00BF4D3C" w:rsidP="00BF4D3C">
      <w:pPr>
        <w:jc w:val="center"/>
        <w:rPr>
          <w:rFonts w:cs="Times New Roman"/>
          <w:sz w:val="28"/>
          <w:szCs w:val="28"/>
        </w:rPr>
      </w:pPr>
      <w:r w:rsidRPr="00EB5FEE">
        <w:rPr>
          <w:rFonts w:cs="Times New Roman"/>
          <w:noProof/>
          <w:sz w:val="28"/>
          <w:szCs w:val="28"/>
          <w:lang w:eastAsia="lv-LV"/>
        </w:rPr>
        <w:drawing>
          <wp:inline distT="0" distB="0" distL="0" distR="0">
            <wp:extent cx="6029325" cy="2952750"/>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365C" w:rsidRPr="0089365C" w:rsidRDefault="0089365C" w:rsidP="00BF4D3C">
      <w:pPr>
        <w:jc w:val="center"/>
        <w:rPr>
          <w:rFonts w:cs="Times New Roman"/>
          <w:sz w:val="10"/>
          <w:szCs w:val="28"/>
        </w:rPr>
      </w:pPr>
    </w:p>
    <w:p w:rsidR="00BF4D3C" w:rsidRPr="00EB5FEE" w:rsidRDefault="00BF4D3C" w:rsidP="00BF4D3C">
      <w:pPr>
        <w:ind w:firstLine="426"/>
        <w:jc w:val="center"/>
        <w:rPr>
          <w:rFonts w:cs="Times New Roman"/>
          <w:sz w:val="28"/>
          <w:szCs w:val="28"/>
        </w:rPr>
      </w:pPr>
      <w:r w:rsidRPr="00EB5FEE">
        <w:rPr>
          <w:rFonts w:cs="Times New Roman"/>
          <w:noProof/>
          <w:sz w:val="28"/>
          <w:szCs w:val="28"/>
          <w:lang w:eastAsia="lv-LV"/>
        </w:rPr>
        <w:drawing>
          <wp:inline distT="0" distB="0" distL="0" distR="0">
            <wp:extent cx="5866411" cy="3204000"/>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611E" w:rsidRPr="0089365C" w:rsidRDefault="00E2611E" w:rsidP="00BF4D3C">
      <w:pPr>
        <w:ind w:firstLine="567"/>
        <w:jc w:val="both"/>
        <w:rPr>
          <w:rFonts w:cs="Times New Roman"/>
          <w:sz w:val="10"/>
          <w:szCs w:val="28"/>
        </w:rPr>
      </w:pPr>
    </w:p>
    <w:p w:rsidR="0033387E" w:rsidRDefault="0033387E" w:rsidP="00BF4D3C">
      <w:pPr>
        <w:ind w:firstLine="567"/>
        <w:jc w:val="both"/>
        <w:rPr>
          <w:rFonts w:cs="Times New Roman"/>
          <w:sz w:val="28"/>
          <w:szCs w:val="28"/>
        </w:rPr>
      </w:pPr>
    </w:p>
    <w:p w:rsidR="00BF4D3C" w:rsidRPr="00EB5FEE" w:rsidRDefault="00BF4D3C" w:rsidP="00BF4D3C">
      <w:pPr>
        <w:ind w:firstLine="567"/>
        <w:jc w:val="both"/>
        <w:rPr>
          <w:rFonts w:cs="Times New Roman"/>
          <w:sz w:val="28"/>
          <w:szCs w:val="28"/>
        </w:rPr>
      </w:pPr>
      <w:r w:rsidRPr="00EB5FEE">
        <w:rPr>
          <w:rFonts w:cs="Times New Roman"/>
          <w:sz w:val="28"/>
          <w:szCs w:val="28"/>
        </w:rPr>
        <w:t xml:space="preserve">Latvijas ekonomikas turpmāko attīstību noteiks tas, cik efektīvi tiks izmantoti esošie ražošanas resursi un spējas paplašināt ārējos noieta tirgus. To lielā mērā nosaka tehnoloģiju līmenis. Kā liecina globālās konkurētspējas reitinga rezultāti, Latvija pēc tehnoloģiju piesaistes rādītāja ir ierindota </w:t>
      </w:r>
      <w:r>
        <w:rPr>
          <w:rFonts w:cs="Times New Roman"/>
          <w:sz w:val="28"/>
          <w:szCs w:val="28"/>
        </w:rPr>
        <w:t>88</w:t>
      </w:r>
      <w:r w:rsidRPr="00EB5FEE">
        <w:rPr>
          <w:rFonts w:cs="Times New Roman"/>
          <w:sz w:val="28"/>
          <w:szCs w:val="28"/>
        </w:rPr>
        <w:t>.vietā, gandrīz trīs reiz</w:t>
      </w:r>
      <w:r w:rsidR="007A07C6">
        <w:rPr>
          <w:rFonts w:cs="Times New Roman"/>
          <w:sz w:val="28"/>
          <w:szCs w:val="28"/>
        </w:rPr>
        <w:t>e</w:t>
      </w:r>
      <w:r w:rsidRPr="00EB5FEE">
        <w:rPr>
          <w:rFonts w:cs="Times New Roman"/>
          <w:sz w:val="28"/>
          <w:szCs w:val="28"/>
        </w:rPr>
        <w:t>s zemāk, nekā Igaunija (</w:t>
      </w:r>
      <w:r>
        <w:rPr>
          <w:rFonts w:cs="Times New Roman"/>
          <w:sz w:val="28"/>
          <w:szCs w:val="28"/>
        </w:rPr>
        <w:t>29</w:t>
      </w:r>
      <w:r w:rsidRPr="00EB5FEE">
        <w:rPr>
          <w:rFonts w:cs="Times New Roman"/>
          <w:sz w:val="28"/>
          <w:szCs w:val="28"/>
        </w:rPr>
        <w:t xml:space="preserve">.vieta). Vāja ir arī saikne starp piesaistītajām ārvalstu tiešajām investīcijām un tehnoloģiju pārnesi – </w:t>
      </w:r>
      <w:r>
        <w:rPr>
          <w:rFonts w:cs="Times New Roman"/>
          <w:sz w:val="28"/>
          <w:szCs w:val="28"/>
        </w:rPr>
        <w:t>93</w:t>
      </w:r>
      <w:r w:rsidRPr="00EB5FEE">
        <w:rPr>
          <w:rFonts w:cs="Times New Roman"/>
          <w:sz w:val="28"/>
          <w:szCs w:val="28"/>
        </w:rPr>
        <w:t xml:space="preserve">.vieta (Igaunija </w:t>
      </w:r>
      <w:r w:rsidR="007A07C6">
        <w:rPr>
          <w:rFonts w:cs="Times New Roman"/>
          <w:sz w:val="28"/>
          <w:szCs w:val="28"/>
        </w:rPr>
        <w:t xml:space="preserve">atrodas </w:t>
      </w:r>
      <w:r w:rsidRPr="00EB5FEE">
        <w:rPr>
          <w:rFonts w:cs="Times New Roman"/>
          <w:sz w:val="28"/>
          <w:szCs w:val="28"/>
        </w:rPr>
        <w:t>2</w:t>
      </w:r>
      <w:r>
        <w:rPr>
          <w:rFonts w:cs="Times New Roman"/>
          <w:sz w:val="28"/>
          <w:szCs w:val="28"/>
        </w:rPr>
        <w:t>9</w:t>
      </w:r>
      <w:r w:rsidR="007A07C6">
        <w:rPr>
          <w:rFonts w:cs="Times New Roman"/>
          <w:sz w:val="28"/>
          <w:szCs w:val="28"/>
        </w:rPr>
        <w:t>.vietā</w:t>
      </w:r>
      <w:r w:rsidRPr="00EB5FEE">
        <w:rPr>
          <w:rFonts w:cs="Times New Roman"/>
          <w:sz w:val="28"/>
          <w:szCs w:val="28"/>
        </w:rPr>
        <w:t xml:space="preserve">). </w:t>
      </w:r>
    </w:p>
    <w:p w:rsidR="00BF4D3C" w:rsidRDefault="00BF4D3C" w:rsidP="00BF4D3C">
      <w:pPr>
        <w:ind w:firstLine="567"/>
        <w:jc w:val="both"/>
        <w:rPr>
          <w:rFonts w:cs="Times New Roman"/>
          <w:sz w:val="28"/>
          <w:szCs w:val="28"/>
        </w:rPr>
      </w:pPr>
      <w:r w:rsidRPr="00EB5FEE">
        <w:rPr>
          <w:rFonts w:cs="Times New Roman"/>
          <w:sz w:val="28"/>
          <w:szCs w:val="28"/>
        </w:rPr>
        <w:lastRenderedPageBreak/>
        <w:t xml:space="preserve">Inovācijas un uzņēmējdarbības attīstības kvalitatīvie aspekti ir noteicošais ekonomiskās attīstības faktors uz zināšanām balstītas ekonomikas modeļa veidošanai. Latvijai ir ļoti </w:t>
      </w:r>
      <w:r>
        <w:rPr>
          <w:rFonts w:cs="Times New Roman"/>
          <w:sz w:val="28"/>
          <w:szCs w:val="28"/>
        </w:rPr>
        <w:t>zems</w:t>
      </w:r>
      <w:r w:rsidRPr="00EB5FEE">
        <w:rPr>
          <w:rFonts w:cs="Times New Roman"/>
          <w:sz w:val="28"/>
          <w:szCs w:val="28"/>
        </w:rPr>
        <w:t xml:space="preserve"> vērtējums, gan pasaules valstu, gan arī mūsu kaimiņvalstu starpā. Īpaši </w:t>
      </w:r>
      <w:r w:rsidR="00947C75">
        <w:rPr>
          <w:rFonts w:cs="Times New Roman"/>
          <w:sz w:val="28"/>
          <w:szCs w:val="28"/>
        </w:rPr>
        <w:t>jāatzīmē klasteru zemais attīstības līmenis</w:t>
      </w:r>
      <w:r w:rsidRPr="00EB5FEE">
        <w:rPr>
          <w:rFonts w:cs="Times New Roman"/>
          <w:sz w:val="28"/>
          <w:szCs w:val="28"/>
        </w:rPr>
        <w:t xml:space="preserve"> (11</w:t>
      </w:r>
      <w:r>
        <w:rPr>
          <w:rFonts w:cs="Times New Roman"/>
          <w:sz w:val="28"/>
          <w:szCs w:val="28"/>
        </w:rPr>
        <w:t>3</w:t>
      </w:r>
      <w:r w:rsidR="00947C75">
        <w:rPr>
          <w:rFonts w:cs="Times New Roman"/>
          <w:sz w:val="28"/>
          <w:szCs w:val="28"/>
        </w:rPr>
        <w:t>.vieta), zemā</w:t>
      </w:r>
      <w:r w:rsidRPr="00EB5FEE">
        <w:rPr>
          <w:rFonts w:cs="Times New Roman"/>
          <w:sz w:val="28"/>
          <w:szCs w:val="28"/>
        </w:rPr>
        <w:t xml:space="preserve"> p</w:t>
      </w:r>
      <w:r w:rsidR="00947C75">
        <w:rPr>
          <w:rFonts w:cs="Times New Roman"/>
          <w:sz w:val="28"/>
          <w:szCs w:val="28"/>
        </w:rPr>
        <w:t>ētniecības institūciju kvalitāte</w:t>
      </w:r>
      <w:r w:rsidRPr="00EB5FEE">
        <w:rPr>
          <w:rFonts w:cs="Times New Roman"/>
          <w:sz w:val="28"/>
          <w:szCs w:val="28"/>
        </w:rPr>
        <w:t xml:space="preserve"> (</w:t>
      </w:r>
      <w:r>
        <w:rPr>
          <w:rFonts w:cs="Times New Roman"/>
          <w:sz w:val="28"/>
          <w:szCs w:val="28"/>
        </w:rPr>
        <w:t>66</w:t>
      </w:r>
      <w:r w:rsidR="00947C75">
        <w:rPr>
          <w:rFonts w:cs="Times New Roman"/>
          <w:sz w:val="28"/>
          <w:szCs w:val="28"/>
        </w:rPr>
        <w:t>.vieta), kā arī vājā</w:t>
      </w:r>
      <w:r w:rsidRPr="00EB5FEE">
        <w:rPr>
          <w:rFonts w:cs="Times New Roman"/>
          <w:sz w:val="28"/>
          <w:szCs w:val="28"/>
        </w:rPr>
        <w:t xml:space="preserve"> augstskolu un nozaru sadarbīb</w:t>
      </w:r>
      <w:r w:rsidR="00947C75">
        <w:rPr>
          <w:rFonts w:cs="Times New Roman"/>
          <w:sz w:val="28"/>
          <w:szCs w:val="28"/>
        </w:rPr>
        <w:t>a</w:t>
      </w:r>
      <w:r w:rsidRPr="00EB5FEE">
        <w:rPr>
          <w:rFonts w:cs="Times New Roman"/>
          <w:sz w:val="28"/>
          <w:szCs w:val="28"/>
        </w:rPr>
        <w:t xml:space="preserve"> pētniecības jomā</w:t>
      </w:r>
      <w:r>
        <w:rPr>
          <w:rFonts w:cs="Times New Roman"/>
          <w:sz w:val="28"/>
          <w:szCs w:val="28"/>
        </w:rPr>
        <w:t xml:space="preserve"> (86.vieta)</w:t>
      </w:r>
      <w:r w:rsidRPr="00EB5FEE">
        <w:rPr>
          <w:rFonts w:cs="Times New Roman"/>
          <w:sz w:val="28"/>
          <w:szCs w:val="28"/>
        </w:rPr>
        <w:t>.</w:t>
      </w:r>
    </w:p>
    <w:p w:rsidR="00F738F9" w:rsidRPr="00F738F9" w:rsidRDefault="00F738F9" w:rsidP="00BF4D3C">
      <w:pPr>
        <w:ind w:firstLine="567"/>
        <w:jc w:val="both"/>
        <w:rPr>
          <w:rFonts w:cs="Times New Roman"/>
          <w:sz w:val="10"/>
          <w:szCs w:val="10"/>
        </w:rPr>
      </w:pPr>
    </w:p>
    <w:p w:rsidR="00BF4D3C"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right"/>
        <w:rPr>
          <w:rFonts w:cs="Times New Roman"/>
          <w:szCs w:val="24"/>
        </w:rPr>
      </w:pPr>
      <w:r>
        <w:rPr>
          <w:rFonts w:cs="Times New Roman"/>
          <w:szCs w:val="24"/>
        </w:rPr>
        <w:t>2</w:t>
      </w:r>
      <w:r w:rsidRPr="002B297F">
        <w:rPr>
          <w:rFonts w:cs="Times New Roman"/>
          <w:szCs w:val="24"/>
        </w:rPr>
        <w:t>.ielikums</w:t>
      </w:r>
    </w:p>
    <w:p w:rsidR="00BF4D3C" w:rsidRPr="004F08EA"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center"/>
        <w:rPr>
          <w:rFonts w:cs="Times New Roman"/>
          <w:b/>
          <w:szCs w:val="24"/>
        </w:rPr>
      </w:pPr>
      <w:r>
        <w:rPr>
          <w:rFonts w:cs="Times New Roman"/>
          <w:b/>
          <w:szCs w:val="24"/>
        </w:rPr>
        <w:t>Globālās konkurētspējas indeksa rādītāju interpretācija</w:t>
      </w:r>
    </w:p>
    <w:p w:rsidR="00BF4D3C" w:rsidRPr="00F738F9"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 w:val="12"/>
          <w:szCs w:val="24"/>
        </w:rPr>
      </w:pPr>
    </w:p>
    <w:p w:rsidR="00BF4D3C" w:rsidRPr="00621A35" w:rsidRDefault="00947C75" w:rsidP="00BF4D3C">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Pr>
          <w:rFonts w:cs="Times New Roman"/>
          <w:szCs w:val="24"/>
        </w:rPr>
        <w:t>K</w:t>
      </w:r>
      <w:r w:rsidR="00BF4D3C" w:rsidRPr="00621A35">
        <w:rPr>
          <w:rFonts w:cs="Times New Roman"/>
          <w:szCs w:val="24"/>
        </w:rPr>
        <w:t>opumā GCI reitinga dati ļauj noteikt Latvijas konkurētspējīgās priekšrocības un trūkumus atsevišķo konkurētspēju noteicošo faktoru griezumā</w:t>
      </w:r>
      <w:r>
        <w:rPr>
          <w:rFonts w:cs="Times New Roman"/>
          <w:szCs w:val="24"/>
        </w:rPr>
        <w:t>. T</w:t>
      </w:r>
      <w:r w:rsidR="00BF4D3C" w:rsidRPr="00621A35">
        <w:rPr>
          <w:rFonts w:cs="Times New Roman"/>
          <w:szCs w:val="24"/>
        </w:rPr>
        <w:t>omēr</w:t>
      </w:r>
      <w:r>
        <w:rPr>
          <w:rFonts w:cs="Times New Roman"/>
          <w:szCs w:val="24"/>
        </w:rPr>
        <w:t xml:space="preserve"> jābūt piesardzīgiem GCI rādītāja izmantošanā</w:t>
      </w:r>
      <w:r w:rsidR="00BF4D3C" w:rsidRPr="00621A35">
        <w:rPr>
          <w:rFonts w:cs="Times New Roman"/>
          <w:szCs w:val="24"/>
        </w:rPr>
        <w:t xml:space="preserve"> īstenoto reformu efektivitātes </w:t>
      </w:r>
      <w:r>
        <w:rPr>
          <w:rFonts w:cs="Times New Roman"/>
          <w:szCs w:val="24"/>
        </w:rPr>
        <w:t>izvērtējumā, jo</w:t>
      </w:r>
      <w:r w:rsidR="00BF4D3C" w:rsidRPr="00621A35">
        <w:rPr>
          <w:rFonts w:cs="Times New Roman"/>
          <w:szCs w:val="24"/>
        </w:rPr>
        <w:t xml:space="preserve"> Latvijas GCI reitinga izmaiņas nevar būt </w:t>
      </w:r>
      <w:r>
        <w:rPr>
          <w:rFonts w:cs="Times New Roman"/>
          <w:szCs w:val="24"/>
        </w:rPr>
        <w:t>interpretējamas</w:t>
      </w:r>
      <w:r w:rsidR="00BF4D3C" w:rsidRPr="00621A35">
        <w:rPr>
          <w:rFonts w:cs="Times New Roman"/>
          <w:szCs w:val="24"/>
        </w:rPr>
        <w:t xml:space="preserve"> viennozīmīgi.</w:t>
      </w:r>
    </w:p>
    <w:p w:rsidR="00BF4D3C" w:rsidRPr="00621A35"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621A35">
        <w:rPr>
          <w:rFonts w:cs="Times New Roman"/>
          <w:szCs w:val="24"/>
        </w:rPr>
        <w:t>Pirmkārt, tekošā gada GCI reitings tiek balstīt</w:t>
      </w:r>
      <w:r w:rsidR="0089365C">
        <w:rPr>
          <w:rFonts w:cs="Times New Roman"/>
          <w:szCs w:val="24"/>
        </w:rPr>
        <w:t>s</w:t>
      </w:r>
      <w:r w:rsidRPr="00621A35">
        <w:rPr>
          <w:rFonts w:cs="Times New Roman"/>
          <w:szCs w:val="24"/>
        </w:rPr>
        <w:t xml:space="preserve"> uz datiem ar laika nobīdi vismaz </w:t>
      </w:r>
      <w:r w:rsidR="0089365C">
        <w:rPr>
          <w:rFonts w:cs="Times New Roman"/>
          <w:szCs w:val="24"/>
        </w:rPr>
        <w:t>par 1-2 gadiem, t</w:t>
      </w:r>
      <w:r w:rsidRPr="00621A35">
        <w:rPr>
          <w:rFonts w:cs="Times New Roman"/>
          <w:szCs w:val="24"/>
        </w:rPr>
        <w:t>āpēc īstenoto reformu rezultāti drīzāk netiks atspoguļoti tekošā gada reitinga pozīcijās.</w:t>
      </w:r>
    </w:p>
    <w:p w:rsidR="00BF4D3C" w:rsidRPr="00621A35"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621A35">
        <w:rPr>
          <w:rFonts w:cs="Times New Roman"/>
          <w:szCs w:val="24"/>
        </w:rPr>
        <w:t>Otrkārt, reitingā iekļauto vals</w:t>
      </w:r>
      <w:r w:rsidR="0089365C">
        <w:rPr>
          <w:rFonts w:cs="Times New Roman"/>
          <w:szCs w:val="24"/>
        </w:rPr>
        <w:t>tu skaits katru gadu palielinās.</w:t>
      </w:r>
    </w:p>
    <w:p w:rsidR="00BF4D3C" w:rsidRPr="00621A35"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621A35">
        <w:rPr>
          <w:rFonts w:cs="Times New Roman"/>
          <w:szCs w:val="24"/>
        </w:rPr>
        <w:t xml:space="preserve">Treškārt, katru gadu notiek lielas svārstības valstu starpā konkurētspējas indeksā un dažas valstis </w:t>
      </w:r>
      <w:r w:rsidR="0089365C">
        <w:rPr>
          <w:rFonts w:cs="Times New Roman"/>
          <w:szCs w:val="24"/>
        </w:rPr>
        <w:t>reitingā pakāpjas, bet c</w:t>
      </w:r>
      <w:r w:rsidRPr="00621A35">
        <w:rPr>
          <w:rFonts w:cs="Times New Roman"/>
          <w:szCs w:val="24"/>
        </w:rPr>
        <w:t>itas</w:t>
      </w:r>
      <w:r w:rsidR="0089365C">
        <w:rPr>
          <w:rFonts w:cs="Times New Roman"/>
          <w:szCs w:val="24"/>
        </w:rPr>
        <w:t xml:space="preserve"> dažādu iemeslu dēļ savu vietu pasliktina</w:t>
      </w:r>
      <w:r w:rsidRPr="00621A35">
        <w:rPr>
          <w:rFonts w:cs="Times New Roman"/>
          <w:szCs w:val="24"/>
        </w:rPr>
        <w:t>. Tāpēc reitinga izmaiņas var ietekmēt</w:t>
      </w:r>
      <w:r w:rsidR="0089365C">
        <w:rPr>
          <w:rFonts w:cs="Times New Roman"/>
          <w:szCs w:val="24"/>
        </w:rPr>
        <w:t xml:space="preserve"> ne tikai Latvijas veiksmīgāka</w:t>
      </w:r>
      <w:r w:rsidRPr="00621A35">
        <w:rPr>
          <w:rFonts w:cs="Times New Roman"/>
          <w:szCs w:val="24"/>
        </w:rPr>
        <w:t xml:space="preserve"> </w:t>
      </w:r>
      <w:r w:rsidR="0089365C">
        <w:rPr>
          <w:rFonts w:cs="Times New Roman"/>
          <w:szCs w:val="24"/>
        </w:rPr>
        <w:t xml:space="preserve">darbība kādā no jomām, bet arī citu valstu </w:t>
      </w:r>
      <w:r w:rsidRPr="00621A35">
        <w:rPr>
          <w:rFonts w:cs="Times New Roman"/>
          <w:szCs w:val="24"/>
        </w:rPr>
        <w:t>konkurētspēj</w:t>
      </w:r>
      <w:r w:rsidR="0089365C">
        <w:rPr>
          <w:rFonts w:cs="Times New Roman"/>
          <w:szCs w:val="24"/>
        </w:rPr>
        <w:t>as absolūtais samazinājums</w:t>
      </w:r>
      <w:r w:rsidRPr="00621A35">
        <w:rPr>
          <w:rFonts w:cs="Times New Roman"/>
          <w:szCs w:val="24"/>
        </w:rPr>
        <w:t>.</w:t>
      </w:r>
    </w:p>
    <w:p w:rsidR="00BF4D3C" w:rsidRPr="00621A35"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621A35">
        <w:rPr>
          <w:rFonts w:cs="Times New Roman"/>
          <w:szCs w:val="24"/>
        </w:rPr>
        <w:t>Ceturtkārt, Latvijas reitinga izmaiņas var skaidrot arī ar GCI aprēķināšanas metodoloģiskām nepilnībām. GCI aprēķina metodika balstās uz statistikas makroekonomiskajiem datiem un uzņēmumu vadītāju aptaujām. Pie tam aptaujas ceļā iegūtie dati apmērām par 70% nosaka globālās konkurētspējas indeksa lielumu. Tāpēc īpaši svarīga ir šo datu precizitāte un iegūšanas kvalitāte.</w:t>
      </w:r>
    </w:p>
    <w:p w:rsidR="00BF4D3C" w:rsidRPr="00621A35"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621A35">
        <w:rPr>
          <w:rFonts w:cs="Times New Roman"/>
          <w:szCs w:val="24"/>
        </w:rPr>
        <w:t xml:space="preserve">Latvijā, </w:t>
      </w:r>
      <w:r w:rsidR="0089365C">
        <w:rPr>
          <w:rFonts w:cs="Times New Roman"/>
          <w:szCs w:val="24"/>
        </w:rPr>
        <w:t>tāpat kā</w:t>
      </w:r>
      <w:r w:rsidRPr="00621A35">
        <w:rPr>
          <w:rFonts w:cs="Times New Roman"/>
          <w:szCs w:val="24"/>
        </w:rPr>
        <w:t xml:space="preserve"> citās valstīs pastāv vairākas ar uzņēmumu aptaujas procesu un rezultātu apkopošan</w:t>
      </w:r>
      <w:r w:rsidR="00F738F9">
        <w:rPr>
          <w:rFonts w:cs="Times New Roman"/>
          <w:szCs w:val="24"/>
        </w:rPr>
        <w:t xml:space="preserve">u saistītās problēmas, piemēram, </w:t>
      </w:r>
      <w:r w:rsidRPr="00621A35">
        <w:rPr>
          <w:rFonts w:cs="Times New Roman"/>
          <w:szCs w:val="24"/>
        </w:rPr>
        <w:t>aptaujāto uzņēmumu loks nesakrīt ar iepriekšē</w:t>
      </w:r>
      <w:r w:rsidR="00F738F9">
        <w:rPr>
          <w:rFonts w:cs="Times New Roman"/>
          <w:szCs w:val="24"/>
        </w:rPr>
        <w:t xml:space="preserve">jā gadā aptaujāto uzņēmumu loku, </w:t>
      </w:r>
      <w:r w:rsidRPr="00621A35">
        <w:rPr>
          <w:rFonts w:cs="Times New Roman"/>
          <w:szCs w:val="24"/>
        </w:rPr>
        <w:t>uzņēmēju atlasei netiek pielietotas statistiskās metodes, t.i., tie reprezentatīvi neaptver visus uzņē</w:t>
      </w:r>
      <w:r w:rsidR="00E2611E">
        <w:rPr>
          <w:rFonts w:cs="Times New Roman"/>
          <w:szCs w:val="24"/>
        </w:rPr>
        <w:t xml:space="preserve">mējus pēc to lieluma un nozarēm, </w:t>
      </w:r>
      <w:r w:rsidRPr="00621A35">
        <w:rPr>
          <w:rFonts w:cs="Times New Roman"/>
          <w:szCs w:val="24"/>
        </w:rPr>
        <w:t>aptau</w:t>
      </w:r>
      <w:r w:rsidR="00E2611E">
        <w:rPr>
          <w:rFonts w:cs="Times New Roman"/>
          <w:szCs w:val="24"/>
        </w:rPr>
        <w:t>ju rezultāti valstu starpā nav korekti</w:t>
      </w:r>
      <w:r w:rsidRPr="00621A35">
        <w:rPr>
          <w:rFonts w:cs="Times New Roman"/>
          <w:szCs w:val="24"/>
        </w:rPr>
        <w:t xml:space="preserve"> salīdzināmi, jo nepastāv</w:t>
      </w:r>
      <w:r w:rsidR="00E2611E">
        <w:rPr>
          <w:rFonts w:cs="Times New Roman"/>
          <w:szCs w:val="24"/>
        </w:rPr>
        <w:t xml:space="preserve"> pilnīgi</w:t>
      </w:r>
      <w:r w:rsidRPr="00621A35">
        <w:rPr>
          <w:rFonts w:cs="Times New Roman"/>
          <w:szCs w:val="24"/>
        </w:rPr>
        <w:t xml:space="preserve"> vienota aptaujas metodika u</w:t>
      </w:r>
      <w:r w:rsidR="0089365C">
        <w:rPr>
          <w:rFonts w:cs="Times New Roman"/>
          <w:szCs w:val="24"/>
        </w:rPr>
        <w:t>tml</w:t>
      </w:r>
      <w:r w:rsidRPr="00621A35">
        <w:rPr>
          <w:rFonts w:cs="Times New Roman"/>
          <w:szCs w:val="24"/>
        </w:rPr>
        <w:t>.</w:t>
      </w:r>
    </w:p>
    <w:p w:rsidR="00BF4D3C" w:rsidRPr="00621A35"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621A35">
        <w:rPr>
          <w:rFonts w:cs="Times New Roman"/>
          <w:szCs w:val="24"/>
        </w:rPr>
        <w:t>Latvijas vadošie ekonomisti uzskata, ka Latvijas pozīciju izmaiņas pasaules valstu konkurētspējas reitingā lielā mērā ir saistīta</w:t>
      </w:r>
      <w:r w:rsidR="00E67484">
        <w:rPr>
          <w:rFonts w:cs="Times New Roman"/>
          <w:szCs w:val="24"/>
        </w:rPr>
        <w:t>s</w:t>
      </w:r>
      <w:r w:rsidRPr="00621A35">
        <w:rPr>
          <w:rFonts w:cs="Times New Roman"/>
          <w:szCs w:val="24"/>
        </w:rPr>
        <w:t xml:space="preserve"> ar uzņēmējos valdošo neuzticību un skepsi </w:t>
      </w:r>
      <w:r w:rsidR="0089365C">
        <w:rPr>
          <w:rFonts w:cs="Times New Roman"/>
          <w:szCs w:val="24"/>
        </w:rPr>
        <w:t>pret</w:t>
      </w:r>
      <w:r w:rsidRPr="00621A35">
        <w:rPr>
          <w:rFonts w:cs="Times New Roman"/>
          <w:szCs w:val="24"/>
        </w:rPr>
        <w:t xml:space="preserve"> valsts pārvaldi, tiesu varu </w:t>
      </w:r>
      <w:r w:rsidR="0089365C">
        <w:rPr>
          <w:rFonts w:cs="Times New Roman"/>
          <w:szCs w:val="24"/>
        </w:rPr>
        <w:t>vai</w:t>
      </w:r>
      <w:r w:rsidRPr="00621A35">
        <w:rPr>
          <w:rFonts w:cs="Times New Roman"/>
          <w:szCs w:val="24"/>
        </w:rPr>
        <w:t xml:space="preserve"> tās taisnīgumu. Negatīvo attieksmi uzņēmējos veicina arī aptaujas laikā esošais ekonomiskais stāvoklis.</w:t>
      </w:r>
    </w:p>
    <w:p w:rsidR="00BF4D3C" w:rsidRPr="00D96852" w:rsidRDefault="00BF4D3C" w:rsidP="00BF4D3C">
      <w:pPr>
        <w:ind w:firstLine="567"/>
        <w:jc w:val="both"/>
        <w:rPr>
          <w:rFonts w:cs="Times New Roman"/>
          <w:sz w:val="18"/>
          <w:szCs w:val="28"/>
        </w:rPr>
      </w:pPr>
    </w:p>
    <w:p w:rsidR="00F64F43" w:rsidRDefault="00F64F43" w:rsidP="00F64F43">
      <w:pPr>
        <w:ind w:firstLine="567"/>
        <w:jc w:val="both"/>
        <w:rPr>
          <w:rFonts w:cs="Times New Roman"/>
          <w:sz w:val="28"/>
          <w:szCs w:val="28"/>
        </w:rPr>
      </w:pPr>
      <w:r w:rsidRPr="00EB5FEE">
        <w:rPr>
          <w:rFonts w:cs="Times New Roman"/>
          <w:sz w:val="28"/>
          <w:szCs w:val="28"/>
        </w:rPr>
        <w:t>Pašreizējā krīze ir izgaismojusi Latvijas ekonomiskās attīstības ievainojamību un konkurētspējas vājās pozīcijas globālajos tirgos. Tāpēc ekonomikas atveseļošanas problēma ir jārisina kompleksi ar konkurētspējas palielināšanas problēmām, kas savukārt nav iespējams bez esošā ekonomikas modeļa maiņas.</w:t>
      </w:r>
    </w:p>
    <w:p w:rsidR="00F64F43" w:rsidRDefault="00F64F43" w:rsidP="00F64F43">
      <w:pPr>
        <w:ind w:firstLine="567"/>
        <w:jc w:val="both"/>
        <w:rPr>
          <w:rFonts w:cs="Times New Roman"/>
          <w:sz w:val="28"/>
          <w:szCs w:val="28"/>
        </w:rPr>
      </w:pPr>
      <w:r>
        <w:rPr>
          <w:rFonts w:cs="Times New Roman"/>
          <w:sz w:val="28"/>
          <w:szCs w:val="28"/>
        </w:rPr>
        <w:t>J</w:t>
      </w:r>
      <w:r w:rsidRPr="00EB5FEE">
        <w:rPr>
          <w:rFonts w:cs="Times New Roman"/>
          <w:sz w:val="28"/>
          <w:szCs w:val="28"/>
        </w:rPr>
        <w:t>auna uz zināšanām un inovācijām balstītā ekonomikas modeļa veidošan</w:t>
      </w:r>
      <w:r>
        <w:rPr>
          <w:rFonts w:cs="Times New Roman"/>
          <w:sz w:val="28"/>
          <w:szCs w:val="28"/>
        </w:rPr>
        <w:t>ā,</w:t>
      </w:r>
      <w:r w:rsidRPr="00EB5FEE">
        <w:rPr>
          <w:rFonts w:cs="Times New Roman"/>
          <w:sz w:val="28"/>
          <w:szCs w:val="28"/>
        </w:rPr>
        <w:t xml:space="preserve"> īpaš</w:t>
      </w:r>
      <w:r>
        <w:rPr>
          <w:rFonts w:cs="Times New Roman"/>
          <w:sz w:val="28"/>
          <w:szCs w:val="28"/>
        </w:rPr>
        <w:t>a</w:t>
      </w:r>
      <w:r w:rsidRPr="00EB5FEE">
        <w:rPr>
          <w:rFonts w:cs="Times New Roman"/>
          <w:sz w:val="28"/>
          <w:szCs w:val="28"/>
        </w:rPr>
        <w:t xml:space="preserve"> uzmanīb</w:t>
      </w:r>
      <w:r>
        <w:rPr>
          <w:rFonts w:cs="Times New Roman"/>
          <w:sz w:val="28"/>
          <w:szCs w:val="28"/>
        </w:rPr>
        <w:t>a</w:t>
      </w:r>
      <w:r w:rsidRPr="00EB5FEE">
        <w:rPr>
          <w:rFonts w:cs="Times New Roman"/>
          <w:sz w:val="28"/>
          <w:szCs w:val="28"/>
        </w:rPr>
        <w:t xml:space="preserve"> ir jāpievēr</w:t>
      </w:r>
      <w:r>
        <w:rPr>
          <w:rFonts w:cs="Times New Roman"/>
          <w:sz w:val="28"/>
          <w:szCs w:val="28"/>
        </w:rPr>
        <w:t>š tādām izteiktām problēmām, kā:</w:t>
      </w:r>
    </w:p>
    <w:p w:rsidR="00F64F43" w:rsidRPr="00AE7274" w:rsidRDefault="00F64F43" w:rsidP="00F64F43">
      <w:pPr>
        <w:pStyle w:val="ListParagraph"/>
        <w:numPr>
          <w:ilvl w:val="0"/>
          <w:numId w:val="1"/>
        </w:numPr>
        <w:ind w:left="1134"/>
        <w:jc w:val="both"/>
        <w:rPr>
          <w:rFonts w:cs="Times New Roman"/>
          <w:sz w:val="28"/>
          <w:szCs w:val="28"/>
        </w:rPr>
      </w:pPr>
      <w:r w:rsidRPr="00AE7274">
        <w:rPr>
          <w:rFonts w:cs="Times New Roman"/>
          <w:sz w:val="28"/>
          <w:szCs w:val="28"/>
        </w:rPr>
        <w:t>infrastruktūras un institucionālās vides kvalitāte;</w:t>
      </w:r>
    </w:p>
    <w:p w:rsidR="00F64F43" w:rsidRPr="00AE7274" w:rsidRDefault="00F64F43" w:rsidP="00F64F43">
      <w:pPr>
        <w:pStyle w:val="ListParagraph"/>
        <w:numPr>
          <w:ilvl w:val="0"/>
          <w:numId w:val="1"/>
        </w:numPr>
        <w:ind w:left="1134"/>
        <w:jc w:val="both"/>
        <w:rPr>
          <w:rFonts w:cs="Times New Roman"/>
          <w:sz w:val="28"/>
          <w:szCs w:val="28"/>
        </w:rPr>
      </w:pPr>
      <w:r w:rsidRPr="00AE7274">
        <w:rPr>
          <w:rFonts w:cs="Times New Roman"/>
          <w:sz w:val="28"/>
          <w:szCs w:val="28"/>
        </w:rPr>
        <w:t>inovāciju atbalsts, uzņēmējdarbības attīstība;</w:t>
      </w:r>
    </w:p>
    <w:p w:rsidR="00F64F43" w:rsidRPr="00AE7274" w:rsidRDefault="00F64F43" w:rsidP="00F64F43">
      <w:pPr>
        <w:pStyle w:val="ListParagraph"/>
        <w:numPr>
          <w:ilvl w:val="0"/>
          <w:numId w:val="1"/>
        </w:numPr>
        <w:ind w:left="1134"/>
        <w:jc w:val="both"/>
        <w:rPr>
          <w:rFonts w:cs="Times New Roman"/>
          <w:sz w:val="28"/>
          <w:szCs w:val="28"/>
        </w:rPr>
      </w:pPr>
      <w:r w:rsidRPr="00AE7274">
        <w:rPr>
          <w:rFonts w:cs="Times New Roman"/>
          <w:sz w:val="28"/>
          <w:szCs w:val="28"/>
        </w:rPr>
        <w:t>tirgus paplašināšana;</w:t>
      </w:r>
      <w:r>
        <w:rPr>
          <w:rFonts w:cs="Times New Roman"/>
          <w:sz w:val="28"/>
          <w:szCs w:val="28"/>
        </w:rPr>
        <w:t xml:space="preserve"> </w:t>
      </w:r>
    </w:p>
    <w:p w:rsidR="00F64F43" w:rsidRPr="00AE7274" w:rsidRDefault="00F64F43" w:rsidP="00F64F43">
      <w:pPr>
        <w:pStyle w:val="ListParagraph"/>
        <w:numPr>
          <w:ilvl w:val="0"/>
          <w:numId w:val="1"/>
        </w:numPr>
        <w:ind w:left="1134"/>
        <w:jc w:val="both"/>
        <w:rPr>
          <w:rFonts w:cs="Times New Roman"/>
          <w:sz w:val="28"/>
          <w:szCs w:val="28"/>
        </w:rPr>
      </w:pPr>
      <w:r w:rsidRPr="00AE7274">
        <w:rPr>
          <w:rFonts w:cs="Times New Roman"/>
          <w:sz w:val="28"/>
          <w:szCs w:val="28"/>
        </w:rPr>
        <w:t>tehnoloģiskā sagatavotība.</w:t>
      </w:r>
    </w:p>
    <w:p w:rsidR="00877BBB" w:rsidRDefault="00877BBB">
      <w:pPr>
        <w:spacing w:after="200" w:line="276" w:lineRule="auto"/>
        <w:rPr>
          <w:sz w:val="18"/>
          <w:szCs w:val="28"/>
        </w:rPr>
      </w:pPr>
      <w:r>
        <w:rPr>
          <w:sz w:val="18"/>
          <w:szCs w:val="28"/>
        </w:rPr>
        <w:br w:type="page"/>
      </w:r>
    </w:p>
    <w:p w:rsidR="007A07C6" w:rsidRPr="007A07C6" w:rsidRDefault="007A07C6" w:rsidP="007A07C6">
      <w:pPr>
        <w:spacing w:line="264" w:lineRule="auto"/>
        <w:ind w:firstLine="567"/>
        <w:jc w:val="both"/>
        <w:rPr>
          <w:rFonts w:cs="Times New Roman"/>
          <w:sz w:val="28"/>
          <w:szCs w:val="28"/>
        </w:rPr>
      </w:pPr>
      <w:r w:rsidRPr="007A07C6">
        <w:rPr>
          <w:rFonts w:cs="Times New Roman"/>
          <w:sz w:val="28"/>
          <w:szCs w:val="28"/>
        </w:rPr>
        <w:lastRenderedPageBreak/>
        <w:t xml:space="preserve">Kā cits nozīmīgs uzņēmējdarbības vides reitings ir jāmin Pasaules Bankas starptautiskais projekts </w:t>
      </w:r>
      <w:r w:rsidRPr="007A07C6">
        <w:rPr>
          <w:rFonts w:cs="Times New Roman"/>
          <w:i/>
          <w:sz w:val="28"/>
          <w:szCs w:val="28"/>
          <w:lang w:val="en-US"/>
        </w:rPr>
        <w:t>Doing Business</w:t>
      </w:r>
      <w:r w:rsidRPr="007A07C6">
        <w:rPr>
          <w:rFonts w:cs="Times New Roman"/>
          <w:sz w:val="28"/>
          <w:szCs w:val="28"/>
        </w:rPr>
        <w:t xml:space="preserve">, kurā ik gadus tiek mērītas uzņēmējdarbību regulējošās administratīvās procedūras un to piemērošana dažādās pasaules valstīs. </w:t>
      </w:r>
    </w:p>
    <w:p w:rsidR="00F64F43" w:rsidRPr="00F64F43" w:rsidRDefault="00F64F43" w:rsidP="002C02EA">
      <w:pPr>
        <w:ind w:firstLine="720"/>
        <w:jc w:val="both"/>
        <w:rPr>
          <w:sz w:val="18"/>
          <w:szCs w:val="28"/>
        </w:rPr>
      </w:pPr>
    </w:p>
    <w:p w:rsidR="00877BBB" w:rsidRDefault="00877BBB" w:rsidP="00877BBB">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right"/>
        <w:rPr>
          <w:rFonts w:cs="Times New Roman"/>
          <w:szCs w:val="24"/>
        </w:rPr>
      </w:pPr>
      <w:r>
        <w:rPr>
          <w:rFonts w:cs="Times New Roman"/>
          <w:szCs w:val="24"/>
        </w:rPr>
        <w:t>3</w:t>
      </w:r>
      <w:r w:rsidRPr="002B297F">
        <w:rPr>
          <w:rFonts w:cs="Times New Roman"/>
          <w:szCs w:val="24"/>
        </w:rPr>
        <w:t>.ielikums</w:t>
      </w:r>
    </w:p>
    <w:p w:rsidR="00877BBB" w:rsidRPr="00877BBB" w:rsidRDefault="00877BBB" w:rsidP="00877BBB">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center"/>
        <w:rPr>
          <w:rFonts w:cs="Times New Roman"/>
          <w:b/>
          <w:szCs w:val="24"/>
        </w:rPr>
      </w:pPr>
      <w:r w:rsidRPr="007A07C6">
        <w:rPr>
          <w:rFonts w:cs="Times New Roman"/>
          <w:b/>
          <w:i/>
          <w:szCs w:val="24"/>
          <w:lang w:val="en-US"/>
        </w:rPr>
        <w:t>Doing Business</w:t>
      </w:r>
      <w:r>
        <w:rPr>
          <w:rFonts w:cs="Times New Roman"/>
          <w:b/>
          <w:i/>
          <w:szCs w:val="24"/>
        </w:rPr>
        <w:t xml:space="preserve"> </w:t>
      </w:r>
      <w:r>
        <w:rPr>
          <w:rFonts w:cs="Times New Roman"/>
          <w:b/>
          <w:szCs w:val="24"/>
        </w:rPr>
        <w:t>reitings</w:t>
      </w:r>
    </w:p>
    <w:p w:rsidR="00877BBB" w:rsidRPr="00877BBB" w:rsidRDefault="00877BBB" w:rsidP="00877BBB">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 w:val="16"/>
          <w:szCs w:val="24"/>
        </w:rPr>
      </w:pPr>
    </w:p>
    <w:p w:rsidR="002C02EA" w:rsidRPr="00877BBB" w:rsidRDefault="002C02EA" w:rsidP="00877BBB">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7A07C6">
        <w:rPr>
          <w:rFonts w:cs="Times New Roman"/>
          <w:i/>
          <w:szCs w:val="24"/>
          <w:lang w:val="en-US"/>
        </w:rPr>
        <w:t>Doing Business</w:t>
      </w:r>
      <w:r w:rsidRPr="00877BBB">
        <w:rPr>
          <w:rFonts w:cs="Times New Roman"/>
          <w:szCs w:val="24"/>
        </w:rPr>
        <w:t xml:space="preserve"> kvantitatīvi mēra un salīdzina valstu regulējošos nosacījumus un procedūras – gan tās, kas veicina uzņēmējdarbības aktivitāti, gan tās, kas to ierobežo</w:t>
      </w:r>
      <w:r w:rsidR="00156DFE">
        <w:rPr>
          <w:rFonts w:cs="Times New Roman"/>
          <w:szCs w:val="24"/>
        </w:rPr>
        <w:t>.</w:t>
      </w:r>
      <w:r w:rsidR="007A07C6">
        <w:rPr>
          <w:rFonts w:cs="Times New Roman"/>
          <w:szCs w:val="24"/>
        </w:rPr>
        <w:t xml:space="preserve"> G</w:t>
      </w:r>
      <w:r w:rsidR="00156DFE">
        <w:rPr>
          <w:rFonts w:cs="Times New Roman"/>
          <w:szCs w:val="24"/>
        </w:rPr>
        <w:t>ad</w:t>
      </w:r>
      <w:r w:rsidRPr="00877BBB">
        <w:rPr>
          <w:rFonts w:cs="Times New Roman"/>
          <w:szCs w:val="24"/>
        </w:rPr>
        <w:t xml:space="preserve">skārtējais uzņēmējdarbības vides reitings un pievienotais tematiskais ziņojums tiek veidots jau sešus gadus. </w:t>
      </w:r>
      <w:r w:rsidRPr="007A07C6">
        <w:rPr>
          <w:rFonts w:cs="Times New Roman"/>
          <w:i/>
          <w:szCs w:val="24"/>
          <w:lang w:val="en-US"/>
        </w:rPr>
        <w:t>Doing Business</w:t>
      </w:r>
      <w:r w:rsidRPr="00877BBB">
        <w:rPr>
          <w:rFonts w:cs="Times New Roman"/>
          <w:szCs w:val="24"/>
        </w:rPr>
        <w:t xml:space="preserve"> mēra regulējumu 10 jomās, kas skar visus uzņēmējsabiedrības „dzīves cikla” posmus: uzņēmējdarbības uzsākšanu, būvniecības saskaņošanu, darbinieku nodarbināšanu, īpašuma reģistrēšanu, kredītu saņemšanu, investoru aizsardzību, nodokļu maksāšanu, importa un eksporta procedūras, līgumsaistību izpildi un uzņēmējdarbības izbeigšanu. </w:t>
      </w:r>
      <w:r w:rsidRPr="007A07C6">
        <w:rPr>
          <w:rFonts w:cs="Times New Roman"/>
          <w:i/>
          <w:szCs w:val="24"/>
          <w:lang w:val="en-US"/>
        </w:rPr>
        <w:t>Doing Business</w:t>
      </w:r>
      <w:r w:rsidRPr="00877BBB">
        <w:rPr>
          <w:rFonts w:cs="Times New Roman"/>
          <w:szCs w:val="24"/>
        </w:rPr>
        <w:t xml:space="preserve"> nav tikai kvalitatīvs, aprakstošs uzņēmējdarbības vides novērtējums, bet kvantitatīvs indikatoru kopums, kas mēra uzņēmējdarbības regulējumu 183 dažādās pasaules valstīs. </w:t>
      </w:r>
    </w:p>
    <w:p w:rsidR="002C02EA" w:rsidRPr="00877BBB" w:rsidRDefault="002C02EA" w:rsidP="00877BBB">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877BBB">
        <w:rPr>
          <w:rFonts w:cs="Times New Roman"/>
          <w:szCs w:val="24"/>
        </w:rPr>
        <w:t xml:space="preserve">Laika gaitā </w:t>
      </w:r>
      <w:r w:rsidRPr="007A07C6">
        <w:rPr>
          <w:rFonts w:cs="Times New Roman"/>
          <w:i/>
          <w:szCs w:val="24"/>
          <w:lang w:val="en-US"/>
        </w:rPr>
        <w:t>Doing Business</w:t>
      </w:r>
      <w:r w:rsidRPr="00877BBB">
        <w:rPr>
          <w:rFonts w:cs="Times New Roman"/>
          <w:szCs w:val="24"/>
        </w:rPr>
        <w:t xml:space="preserve"> indekss ir būtiski paplašināts gan valstu, gan aplūkojamo jomu ziņā, un tā metodoloģija ir attīstīta un pilnveidota. Tāpēc nav lietderīgi un praktiski izdarīt tālejošus secinājumus par dažādu valstu ieņemtajām vietām un relatīvo stāvokli </w:t>
      </w:r>
      <w:r w:rsidR="00813CDF">
        <w:rPr>
          <w:rFonts w:cs="Times New Roman"/>
          <w:szCs w:val="24"/>
        </w:rPr>
        <w:t>pirms 4-5 gadiem</w:t>
      </w:r>
      <w:r w:rsidRPr="00877BBB">
        <w:rPr>
          <w:rFonts w:cs="Times New Roman"/>
          <w:szCs w:val="24"/>
        </w:rPr>
        <w:t xml:space="preserve">. Šādus plašus salīdzinājumus laika griezumā nerekomendē veikt arī </w:t>
      </w:r>
      <w:r w:rsidRPr="007A07C6">
        <w:rPr>
          <w:rFonts w:cs="Times New Roman"/>
          <w:i/>
          <w:szCs w:val="24"/>
          <w:lang w:val="en-US"/>
        </w:rPr>
        <w:t>Doing Business</w:t>
      </w:r>
      <w:r w:rsidRPr="00877BBB">
        <w:rPr>
          <w:rFonts w:cs="Times New Roman"/>
          <w:szCs w:val="24"/>
        </w:rPr>
        <w:t xml:space="preserve"> projekta autori. Lai iegūtu priekšstatu par valstu veiktajām un nepieciešamajām reformām, var salīdzināt pēdējo gadu rezultātus. </w:t>
      </w:r>
    </w:p>
    <w:p w:rsidR="002C02EA" w:rsidRPr="00877BBB" w:rsidRDefault="002C02EA" w:rsidP="00877BBB">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7A07C6">
        <w:rPr>
          <w:rFonts w:cs="Times New Roman"/>
          <w:i/>
          <w:szCs w:val="24"/>
          <w:lang w:val="en-US"/>
        </w:rPr>
        <w:t>Doing Business</w:t>
      </w:r>
      <w:r w:rsidRPr="00877BBB">
        <w:rPr>
          <w:rFonts w:cs="Times New Roman"/>
          <w:szCs w:val="24"/>
        </w:rPr>
        <w:t xml:space="preserve"> ņem vērā valstu īstenotās reformas laika periodā no iepriekšējā gada 2. jūnija līdz tekošā gada 1. jūnijam, izņemot nodokļu maksāšanas rādītāju, kurš tiek mērīts no 1. janvāra līdz 31. decembrim, lai pieskaņotos valstu taksācijas un budžeta gadiem. Daudzas valstis pielāgo savas reformu programmas </w:t>
      </w:r>
      <w:r w:rsidRPr="007A07C6">
        <w:rPr>
          <w:rFonts w:cs="Times New Roman"/>
          <w:i/>
          <w:szCs w:val="24"/>
          <w:lang w:val="en-US"/>
        </w:rPr>
        <w:t>Doing Business</w:t>
      </w:r>
      <w:r w:rsidRPr="00877BBB">
        <w:rPr>
          <w:rFonts w:cs="Times New Roman"/>
          <w:szCs w:val="24"/>
        </w:rPr>
        <w:t xml:space="preserve"> sagatavošanas kalendāram, lai indeksā izskatītos pēc iespējas labāk iepretim saviem reģionālajiem konkurentiem. </w:t>
      </w:r>
    </w:p>
    <w:p w:rsidR="002C02EA" w:rsidRPr="00877BBB" w:rsidRDefault="002C02EA" w:rsidP="00877BBB">
      <w:pPr>
        <w:pBdr>
          <w:top w:val="single" w:sz="4" w:space="7" w:color="auto"/>
          <w:left w:val="single" w:sz="4" w:space="7" w:color="auto"/>
          <w:bottom w:val="single" w:sz="4" w:space="7" w:color="auto"/>
          <w:right w:val="single" w:sz="4" w:space="7" w:color="auto"/>
        </w:pBdr>
        <w:shd w:val="clear" w:color="auto" w:fill="DDD9C3" w:themeFill="background2" w:themeFillShade="E6"/>
        <w:spacing w:line="264" w:lineRule="auto"/>
        <w:ind w:firstLine="567"/>
        <w:jc w:val="both"/>
        <w:rPr>
          <w:rFonts w:cs="Times New Roman"/>
          <w:szCs w:val="24"/>
        </w:rPr>
      </w:pPr>
      <w:r w:rsidRPr="007A07C6">
        <w:rPr>
          <w:rFonts w:cs="Times New Roman"/>
          <w:i/>
          <w:szCs w:val="24"/>
          <w:lang w:val="en-US"/>
        </w:rPr>
        <w:t>Doing Business</w:t>
      </w:r>
      <w:r w:rsidRPr="00877BBB">
        <w:rPr>
          <w:rFonts w:cs="Times New Roman"/>
          <w:szCs w:val="24"/>
        </w:rPr>
        <w:t xml:space="preserve"> dati tiek vākti standartizētā veidā. Vispirms </w:t>
      </w:r>
      <w:r w:rsidRPr="007A07C6">
        <w:rPr>
          <w:rFonts w:cs="Times New Roman"/>
          <w:i/>
          <w:szCs w:val="24"/>
          <w:lang w:val="en-US"/>
        </w:rPr>
        <w:t>Doing Business</w:t>
      </w:r>
      <w:r w:rsidRPr="00877BBB">
        <w:rPr>
          <w:rFonts w:cs="Times New Roman"/>
          <w:szCs w:val="24"/>
        </w:rPr>
        <w:t xml:space="preserve"> autori sadarbībā ar akadēmiskajiem ekspertiem izstrādā vienotu aptaujas anketu. Aptaujā tiek izmatots tipisks biznesa piemērs, lai aptaujas datus varētu salīdzināt starp valstīm un dažādiem laika periodiem. Tiek izmantoti pieņēmumi par tipiskāko biznesa juridisko formu, lielumu, darbinieku skaitu, darbības vietu un nozari. Uz aptaujas anketas jautājumiem atbild vairāk par 8,000 vietējo ekspertu visā pasaulē, ieskaitot juristus, finanšu konsultantus, grāmatvežus, kravu pārvadātājus, valsts ierēdņus un citus profesionāļus, kas ikdienā administrē vai savu klientu uzdevumā saskaras ar juridiskiem vai regulējošiem noteikumiem. Šiem ekspertiem katru gadu ir četras tikšanās ar </w:t>
      </w:r>
      <w:r w:rsidRPr="007A07C6">
        <w:rPr>
          <w:rFonts w:cs="Times New Roman"/>
          <w:i/>
          <w:szCs w:val="24"/>
          <w:lang w:val="en-US"/>
        </w:rPr>
        <w:t>Doing Business</w:t>
      </w:r>
      <w:r w:rsidRPr="007A07C6">
        <w:rPr>
          <w:rFonts w:cs="Times New Roman"/>
          <w:szCs w:val="24"/>
          <w:lang w:val="en-US"/>
        </w:rPr>
        <w:t xml:space="preserve"> </w:t>
      </w:r>
      <w:r w:rsidRPr="00877BBB">
        <w:rPr>
          <w:rFonts w:cs="Times New Roman"/>
          <w:szCs w:val="24"/>
        </w:rPr>
        <w:t xml:space="preserve">komandu, ieskaitot saraksti, telekonferences un ekspertu vizītes. Ekspertu sniegtās atbildes uz aptaujas jautajiem un citi dati tiek pakļauti kvalitātes testiem un korekcijām, lai nodrošinātu informācijas juridisko precizitāti un statistisko atbilstību. Pavisam 2010.gada </w:t>
      </w:r>
      <w:r w:rsidRPr="007A07C6">
        <w:rPr>
          <w:rFonts w:cs="Times New Roman"/>
          <w:i/>
          <w:szCs w:val="24"/>
          <w:lang w:val="en-US"/>
        </w:rPr>
        <w:t>Doing Business</w:t>
      </w:r>
      <w:r w:rsidRPr="00877BBB">
        <w:rPr>
          <w:rFonts w:cs="Times New Roman"/>
          <w:szCs w:val="24"/>
        </w:rPr>
        <w:t xml:space="preserve"> reitinga sagatavošanā savāktas 52 tūkstoši datu vienības, kas apkopotas 8967 rādītājos jeb indikatoros.</w:t>
      </w:r>
    </w:p>
    <w:p w:rsidR="00F64F43" w:rsidRDefault="00F64F43" w:rsidP="002C02EA">
      <w:pPr>
        <w:spacing w:after="120"/>
        <w:ind w:firstLine="720"/>
        <w:jc w:val="right"/>
        <w:rPr>
          <w:sz w:val="28"/>
          <w:szCs w:val="28"/>
        </w:rPr>
      </w:pPr>
    </w:p>
    <w:p w:rsidR="00877BBB" w:rsidRDefault="00877BBB" w:rsidP="00877BBB">
      <w:pPr>
        <w:spacing w:after="120"/>
        <w:ind w:firstLine="720"/>
        <w:jc w:val="both"/>
        <w:rPr>
          <w:sz w:val="28"/>
          <w:szCs w:val="28"/>
        </w:rPr>
      </w:pPr>
      <w:r w:rsidRPr="002C02EA">
        <w:rPr>
          <w:sz w:val="28"/>
          <w:szCs w:val="28"/>
        </w:rPr>
        <w:t>Latvija jaunākajā pētījumā ir uzlabojusi savu</w:t>
      </w:r>
      <w:r w:rsidR="007A07C6">
        <w:rPr>
          <w:sz w:val="28"/>
          <w:szCs w:val="28"/>
        </w:rPr>
        <w:t>s rādītājus</w:t>
      </w:r>
      <w:r w:rsidRPr="002C02EA">
        <w:rPr>
          <w:sz w:val="28"/>
          <w:szCs w:val="28"/>
        </w:rPr>
        <w:t xml:space="preserve">, kopējā reitingā paceļoties par divām vietām (skat. </w:t>
      </w:r>
      <w:r>
        <w:rPr>
          <w:sz w:val="28"/>
          <w:szCs w:val="28"/>
        </w:rPr>
        <w:t>1</w:t>
      </w:r>
      <w:r w:rsidRPr="002C02EA">
        <w:rPr>
          <w:sz w:val="28"/>
          <w:szCs w:val="28"/>
        </w:rPr>
        <w:t>.tabulu). Mūsu kaimiņvalstis Lietuva un Igaunija savas pozīcijas pētījumā ir zaudējušas attiecīgi par 1 un 2 vietām, taču vēl aizvien atrodas</w:t>
      </w:r>
      <w:r w:rsidR="007A07C6">
        <w:rPr>
          <w:sz w:val="28"/>
          <w:szCs w:val="28"/>
        </w:rPr>
        <w:t xml:space="preserve"> augstāk par </w:t>
      </w:r>
      <w:r w:rsidRPr="002C02EA">
        <w:rPr>
          <w:sz w:val="28"/>
          <w:szCs w:val="28"/>
        </w:rPr>
        <w:t>Latvij</w:t>
      </w:r>
      <w:r w:rsidR="007A07C6">
        <w:rPr>
          <w:sz w:val="28"/>
          <w:szCs w:val="28"/>
        </w:rPr>
        <w:t>u</w:t>
      </w:r>
      <w:r>
        <w:rPr>
          <w:sz w:val="28"/>
          <w:szCs w:val="28"/>
        </w:rPr>
        <w:t>.</w:t>
      </w:r>
    </w:p>
    <w:p w:rsidR="002C02EA" w:rsidRPr="002C02EA" w:rsidRDefault="002C02EA" w:rsidP="002C02EA">
      <w:pPr>
        <w:spacing w:after="120"/>
        <w:ind w:firstLine="720"/>
        <w:jc w:val="right"/>
        <w:rPr>
          <w:sz w:val="28"/>
          <w:szCs w:val="28"/>
        </w:rPr>
      </w:pPr>
      <w:r>
        <w:rPr>
          <w:sz w:val="28"/>
          <w:szCs w:val="28"/>
        </w:rPr>
        <w:lastRenderedPageBreak/>
        <w:t>1.t</w:t>
      </w:r>
      <w:r w:rsidRPr="002C02EA">
        <w:rPr>
          <w:sz w:val="28"/>
          <w:szCs w:val="28"/>
        </w:rPr>
        <w:t>abula</w:t>
      </w:r>
    </w:p>
    <w:p w:rsidR="002C02EA" w:rsidRPr="002C02EA" w:rsidRDefault="002C02EA" w:rsidP="002C02EA">
      <w:pPr>
        <w:spacing w:after="60"/>
        <w:jc w:val="center"/>
        <w:rPr>
          <w:b/>
          <w:sz w:val="28"/>
          <w:szCs w:val="28"/>
        </w:rPr>
      </w:pPr>
      <w:r w:rsidRPr="002C02EA">
        <w:rPr>
          <w:b/>
          <w:sz w:val="28"/>
          <w:szCs w:val="28"/>
        </w:rPr>
        <w:t xml:space="preserve">Baltijas valstu vietas Pasaules Bankas pētījumā </w:t>
      </w:r>
      <w:r w:rsidRPr="002C02EA">
        <w:rPr>
          <w:b/>
          <w:i/>
          <w:sz w:val="28"/>
          <w:szCs w:val="28"/>
          <w:lang w:val="en-US"/>
        </w:rPr>
        <w:t>Doing Business</w:t>
      </w:r>
    </w:p>
    <w:tbl>
      <w:tblPr>
        <w:tblStyle w:val="LightShading3"/>
        <w:tblW w:w="0" w:type="auto"/>
        <w:jc w:val="center"/>
        <w:tblLook w:val="04A0"/>
      </w:tblPr>
      <w:tblGrid>
        <w:gridCol w:w="2130"/>
        <w:gridCol w:w="2130"/>
        <w:gridCol w:w="2131"/>
        <w:gridCol w:w="2131"/>
      </w:tblGrid>
      <w:tr w:rsidR="002C02EA" w:rsidRPr="00877BBB" w:rsidTr="002C02EA">
        <w:trPr>
          <w:cnfStyle w:val="100000000000"/>
          <w:jc w:val="center"/>
        </w:trPr>
        <w:tc>
          <w:tcPr>
            <w:cnfStyle w:val="001000000000"/>
            <w:tcW w:w="2130" w:type="dxa"/>
          </w:tcPr>
          <w:p w:rsidR="002C02EA" w:rsidRPr="00877BBB" w:rsidRDefault="002C02EA" w:rsidP="002C02EA">
            <w:pPr>
              <w:spacing w:before="60" w:after="60"/>
              <w:rPr>
                <w:rFonts w:eastAsia="Times New Roman"/>
                <w:b w:val="0"/>
                <w:bCs w:val="0"/>
                <w:sz w:val="24"/>
                <w:szCs w:val="28"/>
                <w:lang w:eastAsia="lv-LV"/>
              </w:rPr>
            </w:pPr>
          </w:p>
        </w:tc>
        <w:tc>
          <w:tcPr>
            <w:tcW w:w="2130" w:type="dxa"/>
          </w:tcPr>
          <w:p w:rsidR="002C02EA" w:rsidRPr="00877BBB" w:rsidRDefault="002C02EA" w:rsidP="002C02EA">
            <w:pPr>
              <w:spacing w:before="60" w:after="60"/>
              <w:jc w:val="center"/>
              <w:cnfStyle w:val="100000000000"/>
              <w:rPr>
                <w:rFonts w:eastAsia="Times New Roman"/>
                <w:b w:val="0"/>
                <w:bCs w:val="0"/>
                <w:sz w:val="24"/>
                <w:szCs w:val="28"/>
                <w:lang w:eastAsia="lv-LV"/>
              </w:rPr>
            </w:pPr>
            <w:r w:rsidRPr="00877BBB">
              <w:rPr>
                <w:rFonts w:eastAsia="Times New Roman"/>
                <w:sz w:val="24"/>
                <w:szCs w:val="28"/>
                <w:lang w:eastAsia="lv-LV"/>
              </w:rPr>
              <w:t>DB 2010</w:t>
            </w:r>
          </w:p>
        </w:tc>
        <w:tc>
          <w:tcPr>
            <w:tcW w:w="2131" w:type="dxa"/>
          </w:tcPr>
          <w:p w:rsidR="002C02EA" w:rsidRPr="00877BBB" w:rsidRDefault="002C02EA" w:rsidP="002C02EA">
            <w:pPr>
              <w:spacing w:before="60" w:after="60"/>
              <w:jc w:val="center"/>
              <w:cnfStyle w:val="100000000000"/>
              <w:rPr>
                <w:rFonts w:eastAsia="Times New Roman"/>
                <w:b w:val="0"/>
                <w:bCs w:val="0"/>
                <w:sz w:val="24"/>
                <w:szCs w:val="28"/>
                <w:lang w:eastAsia="lv-LV"/>
              </w:rPr>
            </w:pPr>
            <w:r w:rsidRPr="00877BBB">
              <w:rPr>
                <w:rFonts w:eastAsia="Times New Roman"/>
                <w:sz w:val="24"/>
                <w:szCs w:val="28"/>
                <w:lang w:eastAsia="lv-LV"/>
              </w:rPr>
              <w:t>DB 2009</w:t>
            </w:r>
          </w:p>
        </w:tc>
        <w:tc>
          <w:tcPr>
            <w:tcW w:w="2131" w:type="dxa"/>
          </w:tcPr>
          <w:p w:rsidR="002C02EA" w:rsidRPr="00877BBB" w:rsidRDefault="002C02EA" w:rsidP="002C02EA">
            <w:pPr>
              <w:spacing w:before="60" w:after="60"/>
              <w:jc w:val="center"/>
              <w:cnfStyle w:val="100000000000"/>
              <w:rPr>
                <w:rFonts w:eastAsia="Times New Roman"/>
                <w:b w:val="0"/>
                <w:bCs w:val="0"/>
                <w:sz w:val="24"/>
                <w:szCs w:val="28"/>
                <w:lang w:eastAsia="lv-LV"/>
              </w:rPr>
            </w:pPr>
            <w:r w:rsidRPr="00877BBB">
              <w:rPr>
                <w:rFonts w:eastAsia="Times New Roman"/>
                <w:sz w:val="24"/>
                <w:szCs w:val="28"/>
                <w:lang w:eastAsia="lv-LV"/>
              </w:rPr>
              <w:t>Izmaiņas</w:t>
            </w:r>
          </w:p>
        </w:tc>
      </w:tr>
      <w:tr w:rsidR="002C02EA" w:rsidRPr="00877BBB" w:rsidTr="002C02EA">
        <w:trPr>
          <w:cnfStyle w:val="000000100000"/>
          <w:jc w:val="center"/>
        </w:trPr>
        <w:tc>
          <w:tcPr>
            <w:cnfStyle w:val="001000000000"/>
            <w:tcW w:w="2130" w:type="dxa"/>
          </w:tcPr>
          <w:p w:rsidR="002C02EA" w:rsidRPr="00877BBB" w:rsidRDefault="002C02EA" w:rsidP="002C02EA">
            <w:pPr>
              <w:spacing w:before="60" w:after="60"/>
              <w:rPr>
                <w:rFonts w:eastAsia="Times New Roman"/>
                <w:b w:val="0"/>
                <w:bCs w:val="0"/>
                <w:sz w:val="24"/>
                <w:szCs w:val="28"/>
                <w:lang w:eastAsia="lv-LV"/>
              </w:rPr>
            </w:pPr>
            <w:r w:rsidRPr="00877BBB">
              <w:rPr>
                <w:rFonts w:eastAsia="Times New Roman"/>
                <w:sz w:val="24"/>
                <w:szCs w:val="28"/>
                <w:lang w:eastAsia="lv-LV"/>
              </w:rPr>
              <w:t>Latvija</w:t>
            </w:r>
          </w:p>
        </w:tc>
        <w:tc>
          <w:tcPr>
            <w:tcW w:w="2130" w:type="dxa"/>
          </w:tcPr>
          <w:p w:rsidR="002C02EA" w:rsidRPr="00877BBB" w:rsidRDefault="002C02EA" w:rsidP="002C02EA">
            <w:pPr>
              <w:spacing w:before="60" w:after="60"/>
              <w:jc w:val="center"/>
              <w:cnfStyle w:val="000000100000"/>
              <w:rPr>
                <w:rFonts w:eastAsia="Times New Roman"/>
                <w:b/>
                <w:bCs/>
                <w:sz w:val="24"/>
                <w:szCs w:val="28"/>
                <w:lang w:eastAsia="lv-LV"/>
              </w:rPr>
            </w:pPr>
            <w:r w:rsidRPr="00877BBB">
              <w:rPr>
                <w:rFonts w:eastAsia="Times New Roman"/>
                <w:b/>
                <w:bCs/>
                <w:sz w:val="24"/>
                <w:szCs w:val="28"/>
                <w:lang w:eastAsia="lv-LV"/>
              </w:rPr>
              <w:t>27</w:t>
            </w:r>
          </w:p>
        </w:tc>
        <w:tc>
          <w:tcPr>
            <w:tcW w:w="2131" w:type="dxa"/>
          </w:tcPr>
          <w:p w:rsidR="002C02EA" w:rsidRPr="00877BBB" w:rsidRDefault="002C02EA" w:rsidP="002C02EA">
            <w:pPr>
              <w:spacing w:before="60" w:after="60"/>
              <w:jc w:val="center"/>
              <w:cnfStyle w:val="000000100000"/>
              <w:rPr>
                <w:rFonts w:eastAsia="Times New Roman"/>
                <w:b/>
                <w:bCs/>
                <w:sz w:val="24"/>
                <w:szCs w:val="28"/>
                <w:lang w:eastAsia="lv-LV"/>
              </w:rPr>
            </w:pPr>
            <w:r w:rsidRPr="00877BBB">
              <w:rPr>
                <w:rFonts w:eastAsia="Times New Roman"/>
                <w:b/>
                <w:bCs/>
                <w:sz w:val="24"/>
                <w:szCs w:val="28"/>
                <w:lang w:eastAsia="lv-LV"/>
              </w:rPr>
              <w:t>29</w:t>
            </w:r>
          </w:p>
        </w:tc>
        <w:tc>
          <w:tcPr>
            <w:tcW w:w="2131" w:type="dxa"/>
          </w:tcPr>
          <w:p w:rsidR="002C02EA" w:rsidRPr="00877BBB" w:rsidRDefault="002C02EA" w:rsidP="002C02EA">
            <w:pPr>
              <w:spacing w:before="60" w:after="60"/>
              <w:jc w:val="center"/>
              <w:cnfStyle w:val="000000100000"/>
              <w:rPr>
                <w:rFonts w:eastAsia="Times New Roman"/>
                <w:b/>
                <w:bCs/>
                <w:sz w:val="24"/>
                <w:szCs w:val="28"/>
                <w:lang w:eastAsia="lv-LV"/>
              </w:rPr>
            </w:pPr>
            <w:r w:rsidRPr="00877BBB">
              <w:rPr>
                <w:rFonts w:eastAsia="Times New Roman"/>
                <w:b/>
                <w:bCs/>
                <w:sz w:val="24"/>
                <w:szCs w:val="28"/>
                <w:lang w:eastAsia="lv-LV"/>
              </w:rPr>
              <w:t>+ 2</w:t>
            </w:r>
          </w:p>
        </w:tc>
      </w:tr>
      <w:tr w:rsidR="002C02EA" w:rsidRPr="00877BBB" w:rsidTr="002C02EA">
        <w:trPr>
          <w:jc w:val="center"/>
        </w:trPr>
        <w:tc>
          <w:tcPr>
            <w:cnfStyle w:val="001000000000"/>
            <w:tcW w:w="2130" w:type="dxa"/>
          </w:tcPr>
          <w:p w:rsidR="002C02EA" w:rsidRPr="00877BBB" w:rsidRDefault="002C02EA" w:rsidP="002C02EA">
            <w:pPr>
              <w:spacing w:before="60" w:after="60"/>
              <w:rPr>
                <w:rFonts w:eastAsia="Times New Roman"/>
                <w:b w:val="0"/>
                <w:bCs w:val="0"/>
                <w:sz w:val="24"/>
                <w:szCs w:val="28"/>
                <w:lang w:eastAsia="lv-LV"/>
              </w:rPr>
            </w:pPr>
            <w:r w:rsidRPr="00877BBB">
              <w:rPr>
                <w:rFonts w:eastAsia="Times New Roman"/>
                <w:b w:val="0"/>
                <w:sz w:val="24"/>
                <w:szCs w:val="28"/>
                <w:lang w:eastAsia="lv-LV"/>
              </w:rPr>
              <w:t>Lietuva</w:t>
            </w:r>
          </w:p>
        </w:tc>
        <w:tc>
          <w:tcPr>
            <w:tcW w:w="2130" w:type="dxa"/>
          </w:tcPr>
          <w:p w:rsidR="002C02EA" w:rsidRPr="00877BBB" w:rsidRDefault="002C02EA" w:rsidP="002C02EA">
            <w:pPr>
              <w:spacing w:before="60" w:after="60"/>
              <w:jc w:val="center"/>
              <w:cnfStyle w:val="000000000000"/>
              <w:rPr>
                <w:rFonts w:eastAsia="Times New Roman"/>
                <w:bCs/>
                <w:sz w:val="24"/>
                <w:szCs w:val="28"/>
                <w:lang w:eastAsia="lv-LV"/>
              </w:rPr>
            </w:pPr>
            <w:r w:rsidRPr="00877BBB">
              <w:rPr>
                <w:rFonts w:eastAsia="Times New Roman"/>
                <w:bCs/>
                <w:sz w:val="24"/>
                <w:szCs w:val="28"/>
                <w:lang w:eastAsia="lv-LV"/>
              </w:rPr>
              <w:t>26</w:t>
            </w:r>
          </w:p>
        </w:tc>
        <w:tc>
          <w:tcPr>
            <w:tcW w:w="2131" w:type="dxa"/>
          </w:tcPr>
          <w:p w:rsidR="002C02EA" w:rsidRPr="00877BBB" w:rsidRDefault="002C02EA" w:rsidP="002C02EA">
            <w:pPr>
              <w:spacing w:before="60" w:after="60"/>
              <w:jc w:val="center"/>
              <w:cnfStyle w:val="000000000000"/>
              <w:rPr>
                <w:rFonts w:eastAsia="Times New Roman"/>
                <w:bCs/>
                <w:sz w:val="24"/>
                <w:szCs w:val="28"/>
                <w:lang w:eastAsia="lv-LV"/>
              </w:rPr>
            </w:pPr>
            <w:r w:rsidRPr="00877BBB">
              <w:rPr>
                <w:rFonts w:eastAsia="Times New Roman"/>
                <w:bCs/>
                <w:sz w:val="24"/>
                <w:szCs w:val="28"/>
                <w:lang w:eastAsia="lv-LV"/>
              </w:rPr>
              <w:t>25</w:t>
            </w:r>
          </w:p>
        </w:tc>
        <w:tc>
          <w:tcPr>
            <w:tcW w:w="2131" w:type="dxa"/>
          </w:tcPr>
          <w:p w:rsidR="002C02EA" w:rsidRPr="00877BBB" w:rsidRDefault="002C02EA" w:rsidP="002C02EA">
            <w:pPr>
              <w:spacing w:before="60" w:after="60"/>
              <w:jc w:val="center"/>
              <w:cnfStyle w:val="000000000000"/>
              <w:rPr>
                <w:rFonts w:eastAsia="Times New Roman"/>
                <w:bCs/>
                <w:sz w:val="24"/>
                <w:szCs w:val="28"/>
                <w:lang w:eastAsia="lv-LV"/>
              </w:rPr>
            </w:pPr>
            <w:r w:rsidRPr="00877BBB">
              <w:rPr>
                <w:rFonts w:eastAsia="Times New Roman"/>
                <w:bCs/>
                <w:sz w:val="24"/>
                <w:szCs w:val="28"/>
                <w:lang w:eastAsia="lv-LV"/>
              </w:rPr>
              <w:t>- 1</w:t>
            </w:r>
          </w:p>
        </w:tc>
      </w:tr>
      <w:tr w:rsidR="002C02EA" w:rsidRPr="00877BBB" w:rsidTr="002C02EA">
        <w:trPr>
          <w:cnfStyle w:val="000000100000"/>
          <w:jc w:val="center"/>
        </w:trPr>
        <w:tc>
          <w:tcPr>
            <w:cnfStyle w:val="001000000000"/>
            <w:tcW w:w="2130" w:type="dxa"/>
          </w:tcPr>
          <w:p w:rsidR="002C02EA" w:rsidRPr="00877BBB" w:rsidRDefault="002C02EA" w:rsidP="002C02EA">
            <w:pPr>
              <w:spacing w:before="60" w:after="60"/>
              <w:rPr>
                <w:rFonts w:eastAsia="Times New Roman"/>
                <w:b w:val="0"/>
                <w:bCs w:val="0"/>
                <w:sz w:val="24"/>
                <w:szCs w:val="28"/>
                <w:lang w:eastAsia="lv-LV"/>
              </w:rPr>
            </w:pPr>
            <w:r w:rsidRPr="00877BBB">
              <w:rPr>
                <w:rFonts w:eastAsia="Times New Roman"/>
                <w:b w:val="0"/>
                <w:sz w:val="24"/>
                <w:szCs w:val="28"/>
                <w:lang w:eastAsia="lv-LV"/>
              </w:rPr>
              <w:t>Igaunija</w:t>
            </w:r>
          </w:p>
        </w:tc>
        <w:tc>
          <w:tcPr>
            <w:tcW w:w="2130" w:type="dxa"/>
          </w:tcPr>
          <w:p w:rsidR="002C02EA" w:rsidRPr="00877BBB" w:rsidRDefault="002C02EA" w:rsidP="002C02EA">
            <w:pPr>
              <w:spacing w:before="60" w:after="60"/>
              <w:jc w:val="center"/>
              <w:cnfStyle w:val="000000100000"/>
              <w:rPr>
                <w:rFonts w:eastAsia="Times New Roman"/>
                <w:bCs/>
                <w:sz w:val="24"/>
                <w:szCs w:val="28"/>
                <w:lang w:eastAsia="lv-LV"/>
              </w:rPr>
            </w:pPr>
            <w:r w:rsidRPr="00877BBB">
              <w:rPr>
                <w:rFonts w:eastAsia="Times New Roman"/>
                <w:bCs/>
                <w:sz w:val="24"/>
                <w:szCs w:val="28"/>
                <w:lang w:eastAsia="lv-LV"/>
              </w:rPr>
              <w:t>24</w:t>
            </w:r>
          </w:p>
        </w:tc>
        <w:tc>
          <w:tcPr>
            <w:tcW w:w="2131" w:type="dxa"/>
          </w:tcPr>
          <w:p w:rsidR="002C02EA" w:rsidRPr="00877BBB" w:rsidRDefault="002C02EA" w:rsidP="002C02EA">
            <w:pPr>
              <w:spacing w:before="60" w:after="60"/>
              <w:jc w:val="center"/>
              <w:cnfStyle w:val="000000100000"/>
              <w:rPr>
                <w:rFonts w:eastAsia="Times New Roman"/>
                <w:bCs/>
                <w:sz w:val="24"/>
                <w:szCs w:val="28"/>
                <w:lang w:eastAsia="lv-LV"/>
              </w:rPr>
            </w:pPr>
            <w:r w:rsidRPr="00877BBB">
              <w:rPr>
                <w:rFonts w:eastAsia="Times New Roman"/>
                <w:bCs/>
                <w:sz w:val="24"/>
                <w:szCs w:val="28"/>
                <w:lang w:eastAsia="lv-LV"/>
              </w:rPr>
              <w:t>22</w:t>
            </w:r>
          </w:p>
        </w:tc>
        <w:tc>
          <w:tcPr>
            <w:tcW w:w="2131" w:type="dxa"/>
          </w:tcPr>
          <w:p w:rsidR="002C02EA" w:rsidRPr="00877BBB" w:rsidRDefault="002C02EA" w:rsidP="002C02EA">
            <w:pPr>
              <w:spacing w:before="60" w:after="60"/>
              <w:jc w:val="center"/>
              <w:cnfStyle w:val="000000100000"/>
              <w:rPr>
                <w:rFonts w:eastAsia="Times New Roman"/>
                <w:bCs/>
                <w:sz w:val="24"/>
                <w:szCs w:val="28"/>
                <w:lang w:eastAsia="lv-LV"/>
              </w:rPr>
            </w:pPr>
            <w:r w:rsidRPr="00877BBB">
              <w:rPr>
                <w:rFonts w:eastAsia="Times New Roman"/>
                <w:bCs/>
                <w:sz w:val="24"/>
                <w:szCs w:val="28"/>
                <w:lang w:eastAsia="lv-LV"/>
              </w:rPr>
              <w:t>- 2</w:t>
            </w:r>
          </w:p>
        </w:tc>
      </w:tr>
    </w:tbl>
    <w:p w:rsidR="002C02EA" w:rsidRPr="002C02EA" w:rsidRDefault="002C02EA" w:rsidP="002C02EA">
      <w:pPr>
        <w:spacing w:after="60"/>
        <w:ind w:firstLine="720"/>
        <w:jc w:val="both"/>
        <w:rPr>
          <w:sz w:val="28"/>
          <w:szCs w:val="28"/>
        </w:rPr>
      </w:pPr>
    </w:p>
    <w:p w:rsidR="002C02EA" w:rsidRDefault="002C02EA" w:rsidP="002C02EA">
      <w:pPr>
        <w:spacing w:after="60"/>
        <w:ind w:firstLine="720"/>
        <w:jc w:val="both"/>
        <w:rPr>
          <w:sz w:val="28"/>
          <w:szCs w:val="28"/>
        </w:rPr>
      </w:pPr>
      <w:r w:rsidRPr="002C02EA">
        <w:rPr>
          <w:sz w:val="28"/>
          <w:szCs w:val="28"/>
        </w:rPr>
        <w:t xml:space="preserve">Latvija savu vietu būtiski ir uzlabojusi īpašuma reģistrēšanas jomā, kā arī pozitīvi vērtēta ir uzņēmējdarbības izbeigšana. Taču vēl arvien īpašuma reģistrēšana, darba tiesisko attiecību regulēšana, būvniecības atļauju saņemšana, uzņēmējdarbības izbeigšana, kā arī nodokļu maksāšana, uzņēmējdarbības uzsākšana ir tās jomas, kurās nepieciešamas </w:t>
      </w:r>
      <w:r w:rsidR="007A07C6">
        <w:rPr>
          <w:sz w:val="28"/>
          <w:szCs w:val="28"/>
        </w:rPr>
        <w:t xml:space="preserve">turpināt </w:t>
      </w:r>
      <w:r w:rsidRPr="002C02EA">
        <w:rPr>
          <w:sz w:val="28"/>
          <w:szCs w:val="28"/>
        </w:rPr>
        <w:t>reformas, lai Latvijas uzņēmējdarbības vide kļūtu pievilcīga gan vietējiem uzņēmējiem, gan ārvalstu investīcijām.</w:t>
      </w:r>
    </w:p>
    <w:p w:rsidR="002C02EA" w:rsidRPr="006B3005" w:rsidRDefault="002C02EA" w:rsidP="00BF4D3C">
      <w:pPr>
        <w:ind w:firstLine="567"/>
        <w:jc w:val="both"/>
        <w:rPr>
          <w:rFonts w:cs="Times New Roman"/>
          <w:sz w:val="10"/>
          <w:szCs w:val="28"/>
        </w:rPr>
      </w:pPr>
    </w:p>
    <w:p w:rsidR="002C02EA" w:rsidRDefault="002C02EA" w:rsidP="00BF4D3C">
      <w:pPr>
        <w:pStyle w:val="Heading3"/>
        <w:rPr>
          <w:sz w:val="28"/>
        </w:rPr>
      </w:pPr>
    </w:p>
    <w:p w:rsidR="002C02EA" w:rsidRDefault="002C02EA" w:rsidP="00BF4D3C">
      <w:pPr>
        <w:pStyle w:val="Heading3"/>
        <w:rPr>
          <w:sz w:val="28"/>
        </w:rPr>
      </w:pPr>
    </w:p>
    <w:p w:rsidR="00BF4D3C" w:rsidRPr="00BF4D3C" w:rsidRDefault="00BF4D3C" w:rsidP="00BF4D3C">
      <w:pPr>
        <w:pStyle w:val="Heading3"/>
        <w:rPr>
          <w:sz w:val="28"/>
        </w:rPr>
      </w:pPr>
      <w:bookmarkStart w:id="13" w:name="_Toc242510361"/>
      <w:r w:rsidRPr="00BF4D3C">
        <w:rPr>
          <w:sz w:val="28"/>
        </w:rPr>
        <w:t>1.3. Tautsaimniecības attīstības scenāriji</w:t>
      </w:r>
      <w:bookmarkEnd w:id="12"/>
      <w:bookmarkEnd w:id="13"/>
    </w:p>
    <w:bookmarkEnd w:id="9"/>
    <w:p w:rsidR="00BF4D3C" w:rsidRDefault="00BF4D3C" w:rsidP="00BF4D3C">
      <w:pPr>
        <w:numPr>
          <w:ilvl w:val="12"/>
          <w:numId w:val="0"/>
        </w:numPr>
        <w:suppressAutoHyphens/>
        <w:ind w:firstLine="720"/>
        <w:jc w:val="both"/>
        <w:rPr>
          <w:rFonts w:eastAsia="Times New Roman"/>
          <w:sz w:val="14"/>
          <w:szCs w:val="14"/>
        </w:rPr>
      </w:pPr>
    </w:p>
    <w:p w:rsidR="007A07C6" w:rsidRDefault="00BF4D3C" w:rsidP="006C1871">
      <w:pPr>
        <w:numPr>
          <w:ilvl w:val="12"/>
          <w:numId w:val="0"/>
        </w:numPr>
        <w:suppressAutoHyphens/>
        <w:ind w:firstLine="720"/>
        <w:jc w:val="both"/>
        <w:rPr>
          <w:rFonts w:eastAsia="Times New Roman"/>
          <w:sz w:val="28"/>
          <w:szCs w:val="28"/>
        </w:rPr>
      </w:pPr>
      <w:r w:rsidRPr="00EB5FEE">
        <w:rPr>
          <w:rFonts w:eastAsia="Times New Roman"/>
          <w:sz w:val="28"/>
          <w:szCs w:val="28"/>
        </w:rPr>
        <w:t xml:space="preserve">Ekonomikas ministrija ir izstrādājusi vidēja termiņa periodam – līdz 2015.gadam – </w:t>
      </w:r>
      <w:r>
        <w:rPr>
          <w:rFonts w:eastAsia="Times New Roman"/>
          <w:sz w:val="28"/>
          <w:szCs w:val="28"/>
        </w:rPr>
        <w:t>divus</w:t>
      </w:r>
      <w:r w:rsidRPr="00EB5FEE">
        <w:rPr>
          <w:rFonts w:eastAsia="Times New Roman"/>
          <w:sz w:val="28"/>
          <w:szCs w:val="28"/>
        </w:rPr>
        <w:t xml:space="preserve"> tautsaimniecības attīstības prognožu </w:t>
      </w:r>
      <w:r>
        <w:rPr>
          <w:rFonts w:eastAsia="Times New Roman"/>
          <w:sz w:val="28"/>
          <w:szCs w:val="28"/>
        </w:rPr>
        <w:t>scenārijus – bāzes</w:t>
      </w:r>
      <w:r w:rsidRPr="00EB5FEE">
        <w:rPr>
          <w:rFonts w:eastAsia="Times New Roman"/>
          <w:sz w:val="28"/>
          <w:szCs w:val="28"/>
        </w:rPr>
        <w:t xml:space="preserve"> un </w:t>
      </w:r>
      <w:r>
        <w:rPr>
          <w:rFonts w:eastAsia="Times New Roman"/>
          <w:sz w:val="28"/>
          <w:szCs w:val="28"/>
        </w:rPr>
        <w:t>mērķa</w:t>
      </w:r>
      <w:r w:rsidR="006C1871">
        <w:rPr>
          <w:rFonts w:eastAsia="Times New Roman"/>
          <w:sz w:val="28"/>
          <w:szCs w:val="28"/>
        </w:rPr>
        <w:t>.</w:t>
      </w:r>
      <w:r w:rsidR="007A07C6">
        <w:rPr>
          <w:rFonts w:eastAsia="Times New Roman"/>
          <w:sz w:val="28"/>
          <w:szCs w:val="28"/>
        </w:rPr>
        <w:t xml:space="preserve"> </w:t>
      </w:r>
      <w:r w:rsidR="006C1871">
        <w:rPr>
          <w:rFonts w:eastAsia="Times New Roman"/>
          <w:sz w:val="28"/>
          <w:szCs w:val="28"/>
        </w:rPr>
        <w:t>Taut</w:t>
      </w:r>
      <w:r w:rsidR="007A07C6">
        <w:rPr>
          <w:rFonts w:eastAsia="Times New Roman"/>
          <w:sz w:val="28"/>
          <w:szCs w:val="28"/>
        </w:rPr>
        <w:t>saimniecības attīstības scenāriju pamatā ir divi galvenie ietekmējošie faktori:</w:t>
      </w:r>
    </w:p>
    <w:p w:rsidR="00BF4D3C" w:rsidRDefault="00BF4D3C" w:rsidP="00BF4D3C">
      <w:pPr>
        <w:pStyle w:val="ListParagraph"/>
        <w:numPr>
          <w:ilvl w:val="0"/>
          <w:numId w:val="24"/>
        </w:numPr>
        <w:suppressAutoHyphens/>
        <w:contextualSpacing w:val="0"/>
        <w:jc w:val="both"/>
        <w:rPr>
          <w:rFonts w:eastAsia="Times New Roman"/>
          <w:sz w:val="28"/>
          <w:szCs w:val="28"/>
        </w:rPr>
      </w:pPr>
      <w:r>
        <w:rPr>
          <w:rFonts w:eastAsia="Times New Roman"/>
          <w:sz w:val="28"/>
          <w:szCs w:val="28"/>
        </w:rPr>
        <w:t>īstenotās ekonomikas atveseļošanas politikas efektivitāte;</w:t>
      </w:r>
    </w:p>
    <w:p w:rsidR="00BF4D3C" w:rsidRDefault="00BF4D3C" w:rsidP="00BF4D3C">
      <w:pPr>
        <w:pStyle w:val="ListParagraph"/>
        <w:numPr>
          <w:ilvl w:val="0"/>
          <w:numId w:val="24"/>
        </w:numPr>
        <w:suppressAutoHyphens/>
        <w:contextualSpacing w:val="0"/>
        <w:jc w:val="both"/>
        <w:rPr>
          <w:rFonts w:eastAsia="Times New Roman"/>
          <w:sz w:val="28"/>
          <w:szCs w:val="28"/>
        </w:rPr>
      </w:pPr>
      <w:r>
        <w:rPr>
          <w:rFonts w:eastAsia="Times New Roman"/>
          <w:sz w:val="28"/>
          <w:szCs w:val="28"/>
        </w:rPr>
        <w:t>pasaules ekonomikas krīzes dziļums un ilgums.</w:t>
      </w:r>
    </w:p>
    <w:p w:rsidR="00BF4D3C" w:rsidRPr="008E433C" w:rsidRDefault="00BF4D3C" w:rsidP="00BF4D3C">
      <w:pPr>
        <w:pStyle w:val="ListParagraph"/>
        <w:suppressAutoHyphens/>
        <w:ind w:left="1440"/>
        <w:jc w:val="both"/>
        <w:rPr>
          <w:rFonts w:eastAsia="Times New Roman"/>
          <w:sz w:val="8"/>
          <w:szCs w:val="16"/>
        </w:rPr>
      </w:pPr>
    </w:p>
    <w:p w:rsidR="00BF4D3C" w:rsidRPr="00EB5FEE" w:rsidRDefault="00BF4D3C" w:rsidP="00CE619A">
      <w:pPr>
        <w:numPr>
          <w:ilvl w:val="12"/>
          <w:numId w:val="0"/>
        </w:numPr>
        <w:suppressAutoHyphens/>
        <w:ind w:firstLine="567"/>
        <w:jc w:val="both"/>
        <w:rPr>
          <w:rFonts w:eastAsia="Times New Roman"/>
          <w:sz w:val="28"/>
          <w:szCs w:val="28"/>
        </w:rPr>
      </w:pPr>
      <w:r w:rsidRPr="005014AA">
        <w:rPr>
          <w:rFonts w:eastAsia="Times New Roman"/>
          <w:sz w:val="28"/>
          <w:szCs w:val="28"/>
        </w:rPr>
        <w:t>Jautājumā par pasaules finanšu krīzes attīstīb</w:t>
      </w:r>
      <w:r w:rsidR="005549E2" w:rsidRPr="005014AA">
        <w:rPr>
          <w:rFonts w:eastAsia="Times New Roman"/>
          <w:sz w:val="28"/>
          <w:szCs w:val="28"/>
        </w:rPr>
        <w:t>u</w:t>
      </w:r>
      <w:r w:rsidRPr="005014AA">
        <w:rPr>
          <w:rFonts w:eastAsia="Times New Roman"/>
          <w:sz w:val="28"/>
          <w:szCs w:val="28"/>
        </w:rPr>
        <w:t xml:space="preserve"> un dziļumu </w:t>
      </w:r>
      <w:r w:rsidR="00CE619A" w:rsidRPr="005014AA">
        <w:rPr>
          <w:rFonts w:eastAsia="Times New Roman"/>
          <w:sz w:val="28"/>
          <w:szCs w:val="28"/>
        </w:rPr>
        <w:t xml:space="preserve">joprojām </w:t>
      </w:r>
      <w:r w:rsidRPr="005014AA">
        <w:rPr>
          <w:rFonts w:eastAsia="Times New Roman"/>
          <w:sz w:val="28"/>
          <w:szCs w:val="28"/>
        </w:rPr>
        <w:t>pastāv diezgan liela nenoteiktī</w:t>
      </w:r>
      <w:r w:rsidR="005549E2" w:rsidRPr="005014AA">
        <w:rPr>
          <w:rFonts w:eastAsia="Times New Roman"/>
          <w:sz w:val="28"/>
          <w:szCs w:val="28"/>
        </w:rPr>
        <w:t>ba</w:t>
      </w:r>
      <w:r w:rsidRPr="005014AA">
        <w:rPr>
          <w:rFonts w:eastAsia="Times New Roman"/>
          <w:sz w:val="28"/>
          <w:szCs w:val="28"/>
        </w:rPr>
        <w:t xml:space="preserve">. Vairums </w:t>
      </w:r>
      <w:r w:rsidR="007A07C6">
        <w:rPr>
          <w:rFonts w:eastAsia="Times New Roman"/>
          <w:sz w:val="28"/>
          <w:szCs w:val="28"/>
        </w:rPr>
        <w:t xml:space="preserve">starptautisko </w:t>
      </w:r>
      <w:r w:rsidRPr="005014AA">
        <w:rPr>
          <w:rFonts w:eastAsia="Times New Roman"/>
          <w:sz w:val="28"/>
          <w:szCs w:val="28"/>
        </w:rPr>
        <w:t xml:space="preserve">ekspertu (SVF, PB, Eiropas Komisija u.c.) </w:t>
      </w:r>
      <w:r w:rsidR="005549E2" w:rsidRPr="005014AA">
        <w:rPr>
          <w:rFonts w:eastAsia="Times New Roman"/>
          <w:sz w:val="28"/>
          <w:szCs w:val="28"/>
        </w:rPr>
        <w:t>norāda, ka 2009.gada otrajā pusē globālajā ekonomikā ir vērojamas stabilizācijas pazīmes</w:t>
      </w:r>
      <w:r w:rsidR="006B3005">
        <w:rPr>
          <w:rFonts w:eastAsia="Times New Roman"/>
          <w:sz w:val="28"/>
          <w:szCs w:val="28"/>
        </w:rPr>
        <w:t>. T</w:t>
      </w:r>
      <w:r w:rsidR="00CE619A" w:rsidRPr="005014AA">
        <w:rPr>
          <w:rFonts w:eastAsia="Times New Roman"/>
          <w:sz w:val="28"/>
          <w:szCs w:val="28"/>
        </w:rPr>
        <w:t xml:space="preserve">omēr </w:t>
      </w:r>
      <w:r w:rsidR="007A07C6">
        <w:rPr>
          <w:rFonts w:eastAsia="Times New Roman"/>
          <w:sz w:val="28"/>
          <w:szCs w:val="28"/>
        </w:rPr>
        <w:t xml:space="preserve">joprojām </w:t>
      </w:r>
      <w:r w:rsidR="00C54084" w:rsidRPr="005014AA">
        <w:rPr>
          <w:rFonts w:eastAsia="Times New Roman"/>
          <w:sz w:val="28"/>
          <w:szCs w:val="28"/>
        </w:rPr>
        <w:t>pastāv</w:t>
      </w:r>
      <w:r w:rsidR="00CE619A" w:rsidRPr="005014AA">
        <w:rPr>
          <w:rFonts w:eastAsia="Times New Roman"/>
          <w:sz w:val="28"/>
          <w:szCs w:val="28"/>
        </w:rPr>
        <w:t xml:space="preserve"> riski, ka atveseļošanās </w:t>
      </w:r>
      <w:r w:rsidR="005014AA" w:rsidRPr="005014AA">
        <w:rPr>
          <w:rFonts w:eastAsia="Times New Roman"/>
          <w:sz w:val="28"/>
          <w:szCs w:val="28"/>
        </w:rPr>
        <w:t xml:space="preserve">var būt </w:t>
      </w:r>
      <w:r w:rsidR="00813CDF" w:rsidRPr="005014AA">
        <w:rPr>
          <w:rFonts w:eastAsia="Times New Roman"/>
          <w:sz w:val="28"/>
          <w:szCs w:val="28"/>
        </w:rPr>
        <w:t xml:space="preserve">ilgstoša </w:t>
      </w:r>
      <w:r w:rsidR="00813CDF">
        <w:rPr>
          <w:rFonts w:eastAsia="Times New Roman"/>
          <w:sz w:val="28"/>
          <w:szCs w:val="28"/>
        </w:rPr>
        <w:t xml:space="preserve">un </w:t>
      </w:r>
      <w:r w:rsidR="00C54084" w:rsidRPr="005014AA">
        <w:rPr>
          <w:rFonts w:eastAsia="Times New Roman"/>
          <w:sz w:val="28"/>
          <w:szCs w:val="28"/>
        </w:rPr>
        <w:t>ne</w:t>
      </w:r>
      <w:r w:rsidR="00CE619A" w:rsidRPr="005014AA">
        <w:rPr>
          <w:rFonts w:eastAsia="Times New Roman"/>
          <w:sz w:val="28"/>
          <w:szCs w:val="28"/>
        </w:rPr>
        <w:t>stabila</w:t>
      </w:r>
      <w:r w:rsidR="007A07C6">
        <w:rPr>
          <w:rFonts w:eastAsia="Times New Roman"/>
          <w:sz w:val="28"/>
          <w:szCs w:val="28"/>
        </w:rPr>
        <w:t>, kā arī g</w:t>
      </w:r>
      <w:r w:rsidR="005014AA" w:rsidRPr="005014AA">
        <w:rPr>
          <w:rFonts w:cs="Times New Roman"/>
          <w:sz w:val="28"/>
          <w:szCs w:val="28"/>
        </w:rPr>
        <w:t>alvenā politiskā prioritāte pasaules ekonomikā joprojām ir saistīta ar finanšu sektora atveseļošanu.</w:t>
      </w:r>
      <w:r w:rsidR="00813CDF">
        <w:rPr>
          <w:rFonts w:cs="Times New Roman"/>
          <w:sz w:val="28"/>
          <w:szCs w:val="28"/>
        </w:rPr>
        <w:t xml:space="preserve"> </w:t>
      </w:r>
      <w:r w:rsidR="007A07C6">
        <w:rPr>
          <w:rFonts w:cs="Times New Roman"/>
          <w:sz w:val="28"/>
          <w:szCs w:val="28"/>
        </w:rPr>
        <w:t xml:space="preserve">Tāpat Ekonomikas ministrija, prognozējot turpmāko Latvijas tautsaimniecības attīstību, ņem vērā, ka </w:t>
      </w:r>
      <w:r w:rsidR="006B3005">
        <w:rPr>
          <w:rFonts w:eastAsia="Times New Roman"/>
          <w:sz w:val="28"/>
          <w:szCs w:val="28"/>
        </w:rPr>
        <w:t xml:space="preserve">pašreizējā situācijā pasaules ekonomikā mainās paradigma. </w:t>
      </w:r>
      <w:r w:rsidR="00CE619A">
        <w:rPr>
          <w:rFonts w:eastAsia="Times New Roman"/>
          <w:sz w:val="28"/>
          <w:szCs w:val="28"/>
        </w:rPr>
        <w:t xml:space="preserve">Ja līdz šim </w:t>
      </w:r>
      <w:r w:rsidR="00C54084">
        <w:rPr>
          <w:rFonts w:eastAsia="Times New Roman"/>
          <w:sz w:val="28"/>
          <w:szCs w:val="28"/>
        </w:rPr>
        <w:t>globālās ekonomikas</w:t>
      </w:r>
      <w:r w:rsidR="00CE619A">
        <w:rPr>
          <w:rFonts w:eastAsia="Times New Roman"/>
          <w:sz w:val="28"/>
          <w:szCs w:val="28"/>
        </w:rPr>
        <w:t xml:space="preserve"> galvenais virzītājs bija pasaules finanšu plūsmas, tad turpmāk</w:t>
      </w:r>
      <w:r w:rsidR="00C54084">
        <w:rPr>
          <w:rFonts w:eastAsia="Times New Roman"/>
          <w:sz w:val="28"/>
          <w:szCs w:val="28"/>
        </w:rPr>
        <w:t xml:space="preserve"> noteicošā loma</w:t>
      </w:r>
      <w:r w:rsidR="00CE619A">
        <w:rPr>
          <w:rFonts w:eastAsia="Times New Roman"/>
          <w:sz w:val="28"/>
          <w:szCs w:val="28"/>
        </w:rPr>
        <w:t xml:space="preserve"> būs valstu konkurētspēja</w:t>
      </w:r>
      <w:r w:rsidR="00C54084">
        <w:rPr>
          <w:rFonts w:eastAsia="Times New Roman"/>
          <w:sz w:val="28"/>
          <w:szCs w:val="28"/>
        </w:rPr>
        <w:t>i</w:t>
      </w:r>
      <w:r w:rsidR="00CE619A">
        <w:rPr>
          <w:rFonts w:eastAsia="Times New Roman"/>
          <w:sz w:val="28"/>
          <w:szCs w:val="28"/>
        </w:rPr>
        <w:t xml:space="preserve"> reāla</w:t>
      </w:r>
      <w:r w:rsidR="00813CDF">
        <w:rPr>
          <w:rFonts w:eastAsia="Times New Roman"/>
          <w:sz w:val="28"/>
          <w:szCs w:val="28"/>
        </w:rPr>
        <w:t>jos preču un pakalpojumu tirgos, savukārt finanšu sektoram būs sekun</w:t>
      </w:r>
      <w:r w:rsidR="007A07C6">
        <w:rPr>
          <w:rFonts w:eastAsia="Times New Roman"/>
          <w:sz w:val="28"/>
          <w:szCs w:val="28"/>
        </w:rPr>
        <w:t>dāra ietekme</w:t>
      </w:r>
      <w:r w:rsidRPr="00EB5FEE">
        <w:rPr>
          <w:rFonts w:eastAsia="Times New Roman"/>
          <w:sz w:val="28"/>
          <w:szCs w:val="28"/>
        </w:rPr>
        <w:t xml:space="preserve">. </w:t>
      </w:r>
    </w:p>
    <w:p w:rsidR="00812D22" w:rsidRPr="00EB5FEE" w:rsidRDefault="00812D22" w:rsidP="00CE619A">
      <w:pPr>
        <w:numPr>
          <w:ilvl w:val="12"/>
          <w:numId w:val="0"/>
        </w:numPr>
        <w:suppressAutoHyphens/>
        <w:ind w:firstLine="567"/>
        <w:jc w:val="both"/>
        <w:rPr>
          <w:color w:val="000000"/>
          <w:spacing w:val="-2"/>
          <w:sz w:val="28"/>
          <w:szCs w:val="28"/>
        </w:rPr>
      </w:pPr>
      <w:r>
        <w:rPr>
          <w:color w:val="000000"/>
          <w:spacing w:val="-2"/>
          <w:sz w:val="28"/>
          <w:szCs w:val="28"/>
        </w:rPr>
        <w:t>Bāzes</w:t>
      </w:r>
      <w:r w:rsidRPr="00EB5FEE">
        <w:rPr>
          <w:color w:val="000000"/>
          <w:spacing w:val="-2"/>
          <w:sz w:val="28"/>
          <w:szCs w:val="28"/>
        </w:rPr>
        <w:t xml:space="preserve"> attīstības scenārija</w:t>
      </w:r>
      <w:r w:rsidR="007A07C6">
        <w:rPr>
          <w:color w:val="000000"/>
          <w:spacing w:val="-2"/>
          <w:sz w:val="28"/>
          <w:szCs w:val="28"/>
        </w:rPr>
        <w:t xml:space="preserve"> pamatā ir pieņēmumi, ka </w:t>
      </w:r>
      <w:r w:rsidRPr="00EB5FEE">
        <w:rPr>
          <w:color w:val="000000"/>
          <w:spacing w:val="-2"/>
          <w:sz w:val="28"/>
          <w:szCs w:val="28"/>
        </w:rPr>
        <w:t>Latvijas ekonomika</w:t>
      </w:r>
      <w:r>
        <w:rPr>
          <w:color w:val="000000"/>
          <w:spacing w:val="-2"/>
          <w:sz w:val="28"/>
          <w:szCs w:val="28"/>
        </w:rPr>
        <w:t>s atveseļošanās atsāksies vēlāk, garāks būs stagnācijas periods un pasaules ekonomikas izaugsmes tempi būs mēren</w:t>
      </w:r>
      <w:r w:rsidR="007828D7">
        <w:rPr>
          <w:color w:val="000000"/>
          <w:spacing w:val="-2"/>
          <w:sz w:val="28"/>
          <w:szCs w:val="28"/>
        </w:rPr>
        <w:t>i</w:t>
      </w:r>
      <w:r w:rsidRPr="00EB5FEE">
        <w:rPr>
          <w:color w:val="000000"/>
          <w:spacing w:val="-2"/>
          <w:sz w:val="28"/>
          <w:szCs w:val="28"/>
        </w:rPr>
        <w:t>.</w:t>
      </w:r>
    </w:p>
    <w:p w:rsidR="006D42D0" w:rsidRDefault="007828D7" w:rsidP="00CE619A">
      <w:pPr>
        <w:numPr>
          <w:ilvl w:val="12"/>
          <w:numId w:val="0"/>
        </w:numPr>
        <w:suppressAutoHyphens/>
        <w:ind w:firstLine="567"/>
        <w:jc w:val="both"/>
        <w:rPr>
          <w:color w:val="000000"/>
          <w:spacing w:val="-2"/>
          <w:sz w:val="28"/>
          <w:szCs w:val="28"/>
        </w:rPr>
      </w:pPr>
      <w:r>
        <w:rPr>
          <w:color w:val="000000"/>
          <w:spacing w:val="-2"/>
          <w:sz w:val="28"/>
          <w:szCs w:val="28"/>
        </w:rPr>
        <w:t>Savukārt tālāk tekstā plašāk aplūkotā mērķa scenārija pamatā ir pieņēmumi, ka</w:t>
      </w:r>
      <w:r w:rsidR="006D42D0">
        <w:rPr>
          <w:color w:val="000000"/>
          <w:spacing w:val="-2"/>
          <w:sz w:val="28"/>
          <w:szCs w:val="28"/>
        </w:rPr>
        <w:t xml:space="preserve"> </w:t>
      </w:r>
      <w:r w:rsidR="00BF4D3C">
        <w:rPr>
          <w:rFonts w:eastAsia="Times New Roman"/>
          <w:sz w:val="28"/>
          <w:szCs w:val="28"/>
        </w:rPr>
        <w:t>īstenotā ekonomikas</w:t>
      </w:r>
      <w:r>
        <w:rPr>
          <w:rFonts w:eastAsia="Times New Roman"/>
          <w:sz w:val="28"/>
          <w:szCs w:val="28"/>
        </w:rPr>
        <w:t xml:space="preserve"> atveseļošanas politika būs efektīva</w:t>
      </w:r>
      <w:r w:rsidR="00BF4D3C">
        <w:rPr>
          <w:color w:val="000000"/>
          <w:spacing w:val="-2"/>
          <w:sz w:val="28"/>
          <w:szCs w:val="28"/>
        </w:rPr>
        <w:t>, kā rezultātā</w:t>
      </w:r>
      <w:r w:rsidR="00BF4D3C" w:rsidRPr="00EB5FEE">
        <w:rPr>
          <w:color w:val="000000"/>
          <w:spacing w:val="-2"/>
          <w:sz w:val="28"/>
          <w:szCs w:val="28"/>
        </w:rPr>
        <w:t xml:space="preserve"> ātrāk atsāksies</w:t>
      </w:r>
      <w:r w:rsidR="00BF4D3C">
        <w:rPr>
          <w:color w:val="000000"/>
          <w:spacing w:val="-2"/>
          <w:sz w:val="28"/>
          <w:szCs w:val="28"/>
        </w:rPr>
        <w:t xml:space="preserve"> ekonomikas</w:t>
      </w:r>
      <w:r w:rsidR="00BF4D3C" w:rsidRPr="00EB5FEE">
        <w:rPr>
          <w:color w:val="000000"/>
          <w:spacing w:val="-2"/>
          <w:sz w:val="28"/>
          <w:szCs w:val="28"/>
        </w:rPr>
        <w:t xml:space="preserve"> atveseļošanās</w:t>
      </w:r>
      <w:r w:rsidR="00BF4D3C">
        <w:rPr>
          <w:color w:val="000000"/>
          <w:spacing w:val="-2"/>
          <w:sz w:val="28"/>
          <w:szCs w:val="28"/>
        </w:rPr>
        <w:t xml:space="preserve"> un </w:t>
      </w:r>
      <w:r w:rsidR="00BF4D3C" w:rsidRPr="00EB5FEE">
        <w:rPr>
          <w:color w:val="000000"/>
          <w:spacing w:val="-2"/>
          <w:sz w:val="28"/>
          <w:szCs w:val="28"/>
        </w:rPr>
        <w:t xml:space="preserve">stagnācijas </w:t>
      </w:r>
      <w:r w:rsidR="0089365C">
        <w:rPr>
          <w:color w:val="000000"/>
          <w:spacing w:val="-2"/>
          <w:sz w:val="28"/>
          <w:szCs w:val="28"/>
        </w:rPr>
        <w:t>periods būs īs</w:t>
      </w:r>
      <w:r w:rsidR="004266E1">
        <w:rPr>
          <w:color w:val="000000"/>
          <w:spacing w:val="-2"/>
          <w:sz w:val="28"/>
          <w:szCs w:val="28"/>
        </w:rPr>
        <w:t xml:space="preserve">āks. Tāpat, izstrādājot mērķa scenāriju, tiek pieņemts, ka </w:t>
      </w:r>
      <w:r w:rsidR="00BF4D3C">
        <w:rPr>
          <w:color w:val="000000"/>
          <w:spacing w:val="-2"/>
          <w:sz w:val="28"/>
          <w:szCs w:val="28"/>
        </w:rPr>
        <w:t>pasaules ekonomika</w:t>
      </w:r>
      <w:r>
        <w:rPr>
          <w:color w:val="000000"/>
          <w:spacing w:val="-2"/>
          <w:sz w:val="28"/>
          <w:szCs w:val="28"/>
        </w:rPr>
        <w:t xml:space="preserve">, un līdz ar to arī </w:t>
      </w:r>
      <w:r w:rsidR="00BF4D3C">
        <w:rPr>
          <w:color w:val="000000"/>
          <w:spacing w:val="-2"/>
          <w:sz w:val="28"/>
          <w:szCs w:val="28"/>
        </w:rPr>
        <w:t xml:space="preserve"> </w:t>
      </w:r>
      <w:r>
        <w:rPr>
          <w:color w:val="000000"/>
          <w:spacing w:val="-2"/>
          <w:sz w:val="28"/>
          <w:szCs w:val="28"/>
        </w:rPr>
        <w:t xml:space="preserve">ārējais pieprasījums, palielināsies </w:t>
      </w:r>
      <w:r w:rsidR="004266E1">
        <w:rPr>
          <w:color w:val="000000"/>
          <w:spacing w:val="-2"/>
          <w:sz w:val="28"/>
          <w:szCs w:val="28"/>
        </w:rPr>
        <w:t>straujāk</w:t>
      </w:r>
      <w:r w:rsidR="00BF4D3C">
        <w:rPr>
          <w:color w:val="000000"/>
          <w:spacing w:val="-2"/>
          <w:sz w:val="28"/>
          <w:szCs w:val="28"/>
        </w:rPr>
        <w:t>.</w:t>
      </w:r>
    </w:p>
    <w:p w:rsidR="00813CDF" w:rsidRPr="00813CDF" w:rsidRDefault="00813CDF" w:rsidP="00CE619A">
      <w:pPr>
        <w:numPr>
          <w:ilvl w:val="12"/>
          <w:numId w:val="0"/>
        </w:numPr>
        <w:suppressAutoHyphens/>
        <w:ind w:firstLine="567"/>
        <w:jc w:val="both"/>
        <w:rPr>
          <w:color w:val="000000"/>
          <w:spacing w:val="-2"/>
          <w:sz w:val="6"/>
          <w:szCs w:val="28"/>
        </w:rPr>
      </w:pPr>
    </w:p>
    <w:p w:rsidR="00BF4D3C" w:rsidRDefault="00EA057A"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right"/>
        <w:rPr>
          <w:rFonts w:cs="Times New Roman"/>
          <w:szCs w:val="24"/>
        </w:rPr>
      </w:pPr>
      <w:r>
        <w:rPr>
          <w:rFonts w:cs="Times New Roman"/>
          <w:szCs w:val="24"/>
        </w:rPr>
        <w:lastRenderedPageBreak/>
        <w:t>4</w:t>
      </w:r>
      <w:r w:rsidR="00BF4D3C" w:rsidRPr="002B297F">
        <w:rPr>
          <w:rFonts w:cs="Times New Roman"/>
          <w:szCs w:val="24"/>
        </w:rPr>
        <w:t>.ielikums</w:t>
      </w:r>
    </w:p>
    <w:p w:rsidR="00BF4D3C"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center"/>
        <w:rPr>
          <w:rFonts w:cs="Times New Roman"/>
          <w:b/>
          <w:szCs w:val="24"/>
        </w:rPr>
      </w:pPr>
      <w:r>
        <w:rPr>
          <w:rFonts w:cs="Times New Roman"/>
          <w:b/>
          <w:szCs w:val="24"/>
        </w:rPr>
        <w:t>Pasaules ekonomikas attīstība</w:t>
      </w:r>
    </w:p>
    <w:p w:rsidR="00BF4D3C" w:rsidRPr="004A304B"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both"/>
        <w:rPr>
          <w:rFonts w:cs="Times New Roman"/>
          <w:sz w:val="20"/>
          <w:szCs w:val="24"/>
        </w:rPr>
      </w:pPr>
    </w:p>
    <w:p w:rsidR="00845514" w:rsidRDefault="007828D7" w:rsidP="00845514">
      <w:pPr>
        <w:pBdr>
          <w:top w:val="single" w:sz="4" w:space="7" w:color="auto"/>
          <w:left w:val="single" w:sz="4" w:space="7" w:color="auto"/>
          <w:bottom w:val="single" w:sz="4" w:space="7" w:color="auto"/>
          <w:right w:val="single" w:sz="4" w:space="7" w:color="auto"/>
        </w:pBdr>
        <w:shd w:val="clear" w:color="auto" w:fill="DDD9C3" w:themeFill="background2" w:themeFillShade="E6"/>
        <w:spacing w:after="80"/>
        <w:ind w:firstLine="567"/>
        <w:jc w:val="both"/>
        <w:rPr>
          <w:rFonts w:cs="Times New Roman"/>
          <w:szCs w:val="24"/>
        </w:rPr>
      </w:pPr>
      <w:r>
        <w:rPr>
          <w:rFonts w:cs="Times New Roman"/>
          <w:szCs w:val="24"/>
        </w:rPr>
        <w:t>Ekonomikas ministrijas</w:t>
      </w:r>
      <w:r w:rsidR="00BF4D3C">
        <w:rPr>
          <w:rFonts w:cs="Times New Roman"/>
          <w:szCs w:val="24"/>
        </w:rPr>
        <w:t xml:space="preserve"> p</w:t>
      </w:r>
      <w:r w:rsidR="00BF4D3C" w:rsidRPr="00580EF2">
        <w:rPr>
          <w:rFonts w:cs="Times New Roman"/>
          <w:szCs w:val="24"/>
        </w:rPr>
        <w:t xml:space="preserve">rognožu izstrādē ārējo tirgu </w:t>
      </w:r>
      <w:r w:rsidR="00BF4D3C">
        <w:rPr>
          <w:rFonts w:cs="Times New Roman"/>
          <w:szCs w:val="24"/>
        </w:rPr>
        <w:t>analīzei un globālās ekonomikas attīstības tendenču novērtēšanai</w:t>
      </w:r>
      <w:r w:rsidR="00BF4D3C" w:rsidRPr="00580EF2">
        <w:rPr>
          <w:rFonts w:cs="Times New Roman"/>
          <w:szCs w:val="24"/>
        </w:rPr>
        <w:t xml:space="preserve"> tiek izmantotas EK</w:t>
      </w:r>
      <w:r w:rsidR="00BF4D3C">
        <w:rPr>
          <w:rStyle w:val="FootnoteReference"/>
          <w:rFonts w:cs="Times New Roman"/>
          <w:szCs w:val="24"/>
        </w:rPr>
        <w:footnoteReference w:id="2"/>
      </w:r>
      <w:r w:rsidR="00BF4D3C" w:rsidRPr="00580EF2">
        <w:rPr>
          <w:rFonts w:cs="Times New Roman"/>
          <w:szCs w:val="24"/>
        </w:rPr>
        <w:t xml:space="preserve"> un SVF</w:t>
      </w:r>
      <w:r w:rsidR="00BF4D3C">
        <w:rPr>
          <w:rStyle w:val="FootnoteReference"/>
          <w:rFonts w:cs="Times New Roman"/>
          <w:szCs w:val="24"/>
        </w:rPr>
        <w:footnoteReference w:id="3"/>
      </w:r>
      <w:r w:rsidR="00BF4D3C" w:rsidRPr="00580EF2">
        <w:rPr>
          <w:rFonts w:cs="Times New Roman"/>
          <w:szCs w:val="24"/>
        </w:rPr>
        <w:t xml:space="preserve"> prognozes. EK prognozes tiek publicētas divas reizes gadā – pavasarī un rudenī, līdzīgi kā SVF – aprīlī un oktobrī. </w:t>
      </w:r>
      <w:r>
        <w:rPr>
          <w:rFonts w:cs="Times New Roman"/>
          <w:szCs w:val="24"/>
        </w:rPr>
        <w:t>Pašlaik pēdējās</w:t>
      </w:r>
      <w:r w:rsidR="00BF4D3C" w:rsidRPr="00580EF2">
        <w:rPr>
          <w:rFonts w:cs="Times New Roman"/>
          <w:szCs w:val="24"/>
        </w:rPr>
        <w:t xml:space="preserve"> EK prognozes ir 2009.gada pavasar</w:t>
      </w:r>
      <w:r w:rsidR="00BF4D3C">
        <w:rPr>
          <w:rFonts w:cs="Times New Roman"/>
          <w:szCs w:val="24"/>
        </w:rPr>
        <w:t>a izdevums</w:t>
      </w:r>
      <w:r>
        <w:rPr>
          <w:rFonts w:cs="Times New Roman"/>
          <w:szCs w:val="24"/>
        </w:rPr>
        <w:t xml:space="preserve"> un jaunākās rudens prognozes tiks </w:t>
      </w:r>
      <w:r w:rsidRPr="002435DA">
        <w:rPr>
          <w:rFonts w:cs="Times New Roman"/>
          <w:szCs w:val="24"/>
        </w:rPr>
        <w:t xml:space="preserve">publicētas </w:t>
      </w:r>
      <w:r w:rsidR="002435DA" w:rsidRPr="002435DA">
        <w:rPr>
          <w:rFonts w:cs="Times New Roman"/>
          <w:szCs w:val="24"/>
        </w:rPr>
        <w:t>3.novembrī</w:t>
      </w:r>
      <w:r w:rsidR="00BF4D3C" w:rsidRPr="002435DA">
        <w:rPr>
          <w:rFonts w:cs="Times New Roman"/>
          <w:szCs w:val="24"/>
        </w:rPr>
        <w:t>,</w:t>
      </w:r>
      <w:r w:rsidR="00BF4D3C">
        <w:rPr>
          <w:rFonts w:cs="Times New Roman"/>
          <w:szCs w:val="24"/>
        </w:rPr>
        <w:t xml:space="preserve"> savukārt </w:t>
      </w:r>
      <w:r w:rsidR="00BF4D3C" w:rsidRPr="00580EF2">
        <w:rPr>
          <w:rFonts w:cs="Times New Roman"/>
          <w:szCs w:val="24"/>
        </w:rPr>
        <w:t>SVF</w:t>
      </w:r>
      <w:r>
        <w:rPr>
          <w:rFonts w:cs="Times New Roman"/>
          <w:szCs w:val="24"/>
        </w:rPr>
        <w:t xml:space="preserve"> jaunākās prognozes ir atrodamas </w:t>
      </w:r>
      <w:r w:rsidR="00BF4D3C" w:rsidRPr="00580EF2">
        <w:rPr>
          <w:rFonts w:cs="Times New Roman"/>
          <w:szCs w:val="24"/>
        </w:rPr>
        <w:t xml:space="preserve">2009.gada </w:t>
      </w:r>
      <w:r>
        <w:rPr>
          <w:rFonts w:cs="Times New Roman"/>
          <w:szCs w:val="24"/>
        </w:rPr>
        <w:t xml:space="preserve">oktobra sākumā publicētajā </w:t>
      </w:r>
      <w:r w:rsidRPr="007828D7">
        <w:rPr>
          <w:rFonts w:cs="Times New Roman"/>
          <w:i/>
          <w:szCs w:val="24"/>
        </w:rPr>
        <w:t>World Economic Outlook</w:t>
      </w:r>
      <w:r w:rsidR="00BF4D3C" w:rsidRPr="00580EF2">
        <w:rPr>
          <w:rFonts w:cs="Times New Roman"/>
          <w:szCs w:val="24"/>
        </w:rPr>
        <w:t>.</w:t>
      </w:r>
      <w:r w:rsidR="00845514">
        <w:rPr>
          <w:rFonts w:cs="Times New Roman"/>
          <w:szCs w:val="24"/>
        </w:rPr>
        <w:t xml:space="preserve"> </w:t>
      </w:r>
      <w:r w:rsidR="00BF4D3C" w:rsidRPr="00580EF2">
        <w:rPr>
          <w:rFonts w:cs="Times New Roman"/>
          <w:szCs w:val="24"/>
        </w:rPr>
        <w:t>EK analītisk</w:t>
      </w:r>
      <w:r w:rsidR="00BF4D3C">
        <w:rPr>
          <w:rFonts w:cs="Times New Roman"/>
          <w:szCs w:val="24"/>
        </w:rPr>
        <w:t>ie</w:t>
      </w:r>
      <w:r w:rsidR="00BF4D3C" w:rsidRPr="00580EF2">
        <w:rPr>
          <w:rFonts w:cs="Times New Roman"/>
          <w:szCs w:val="24"/>
        </w:rPr>
        <w:t xml:space="preserve"> materiāl</w:t>
      </w:r>
      <w:r w:rsidR="00BF4D3C">
        <w:rPr>
          <w:rFonts w:cs="Times New Roman"/>
          <w:szCs w:val="24"/>
        </w:rPr>
        <w:t>i</w:t>
      </w:r>
      <w:r w:rsidR="00BF4D3C" w:rsidRPr="00580EF2">
        <w:rPr>
          <w:rFonts w:cs="Times New Roman"/>
          <w:szCs w:val="24"/>
        </w:rPr>
        <w:t xml:space="preserve"> tiek </w:t>
      </w:r>
      <w:r w:rsidR="00BF4D3C">
        <w:rPr>
          <w:rFonts w:cs="Times New Roman"/>
          <w:szCs w:val="24"/>
        </w:rPr>
        <w:t>izmantoti Latvijas galveno ES tirdzniecības partnervalstu tautsaimniecību analīzei</w:t>
      </w:r>
      <w:r w:rsidR="00BF4D3C" w:rsidRPr="00580EF2">
        <w:rPr>
          <w:rFonts w:cs="Times New Roman"/>
          <w:szCs w:val="24"/>
        </w:rPr>
        <w:t xml:space="preserve">, savukārt SVF dati </w:t>
      </w:r>
      <w:r w:rsidR="00BF4D3C">
        <w:rPr>
          <w:rFonts w:cs="Times New Roman"/>
          <w:szCs w:val="24"/>
        </w:rPr>
        <w:t>tiek izmantoti kopējās pasaules ekonomikas attīstības, kā arī pārējo Latvijas eksporta tirgu tendenču analīzei</w:t>
      </w:r>
      <w:r w:rsidR="00BF4D3C" w:rsidRPr="00580EF2">
        <w:rPr>
          <w:rFonts w:cs="Times New Roman"/>
          <w:szCs w:val="24"/>
        </w:rPr>
        <w:t>.</w:t>
      </w:r>
    </w:p>
    <w:p w:rsidR="00845514" w:rsidRPr="00845514" w:rsidRDefault="00845514" w:rsidP="00845514">
      <w:pPr>
        <w:pBdr>
          <w:top w:val="single" w:sz="4" w:space="7" w:color="auto"/>
          <w:left w:val="single" w:sz="4" w:space="7" w:color="auto"/>
          <w:bottom w:val="single" w:sz="4" w:space="7" w:color="auto"/>
          <w:right w:val="single" w:sz="4" w:space="7" w:color="auto"/>
        </w:pBdr>
        <w:shd w:val="clear" w:color="auto" w:fill="DDD9C3" w:themeFill="background2" w:themeFillShade="E6"/>
        <w:spacing w:after="80"/>
        <w:ind w:firstLine="567"/>
        <w:jc w:val="both"/>
        <w:rPr>
          <w:rFonts w:cs="Times New Roman"/>
          <w:szCs w:val="24"/>
        </w:rPr>
      </w:pPr>
      <w:r w:rsidRPr="00845514">
        <w:rPr>
          <w:rFonts w:cs="Times New Roman"/>
          <w:szCs w:val="24"/>
        </w:rPr>
        <w:t xml:space="preserve">Pasaules ekonomika, saskaņā ar Starptautiskā Valūtas fonda </w:t>
      </w:r>
      <w:r w:rsidR="007828D7">
        <w:rPr>
          <w:rFonts w:cs="Times New Roman"/>
          <w:szCs w:val="24"/>
        </w:rPr>
        <w:t>oktobra</w:t>
      </w:r>
      <w:r w:rsidRPr="00845514">
        <w:rPr>
          <w:rFonts w:cs="Times New Roman"/>
          <w:szCs w:val="24"/>
        </w:rPr>
        <w:t xml:space="preserve"> prognozēm, ir sākusi </w:t>
      </w:r>
      <w:r w:rsidR="00813CDF">
        <w:rPr>
          <w:rFonts w:cs="Times New Roman"/>
          <w:szCs w:val="24"/>
        </w:rPr>
        <w:t xml:space="preserve">pamazām </w:t>
      </w:r>
      <w:r w:rsidRPr="00845514">
        <w:rPr>
          <w:rFonts w:cs="Times New Roman"/>
          <w:szCs w:val="24"/>
        </w:rPr>
        <w:t>atveseļoties no pēdējos gadu desmitos nepieredzēti dziļās lejupslīdes. Tomēr stabilizācija nav vienmērīga un atveseļošanās gaidāma samērā gausa. Finanšu nosacījumi ir uzlabojušies straujāk, nekā sākotnēji cerēts, galvenokārt pateicoties valstu aktīvai rīcībai, un kā liecina jaunākie dati, ekonomisko aktivitāšu samazināšanās</w:t>
      </w:r>
      <w:r w:rsidR="00813CDF">
        <w:rPr>
          <w:rFonts w:cs="Times New Roman"/>
          <w:szCs w:val="24"/>
        </w:rPr>
        <w:t xml:space="preserve"> tempi</w:t>
      </w:r>
      <w:r w:rsidRPr="00845514">
        <w:rPr>
          <w:rFonts w:cs="Times New Roman"/>
          <w:szCs w:val="24"/>
        </w:rPr>
        <w:t xml:space="preserve"> šobrīd palēninās. Neraugoties uz pozitīvajām pazīmēm, globālā lejupslīde nav pilnībā pārvarēta, un atveseļošanās ir lēna, finanšu sistēmas joprojām nav pilnībā stabilizējušās. </w:t>
      </w:r>
      <w:r w:rsidR="00C005A2">
        <w:rPr>
          <w:rFonts w:cs="Times New Roman"/>
          <w:szCs w:val="24"/>
        </w:rPr>
        <w:t>Pasaules e</w:t>
      </w:r>
      <w:r w:rsidRPr="00845514">
        <w:rPr>
          <w:rFonts w:cs="Times New Roman"/>
          <w:szCs w:val="24"/>
        </w:rPr>
        <w:t xml:space="preserve">konomikas izaugsme 2010.gadā, saskaņā ar Starptautiskā Valūtas fonda prognozēm, varētu būt </w:t>
      </w:r>
      <w:r w:rsidR="00C005A2">
        <w:rPr>
          <w:rFonts w:cs="Times New Roman"/>
          <w:szCs w:val="24"/>
        </w:rPr>
        <w:t>vairāk kā par 1</w:t>
      </w:r>
      <w:r w:rsidRPr="00845514">
        <w:rPr>
          <w:rFonts w:cs="Times New Roman"/>
          <w:szCs w:val="24"/>
        </w:rPr>
        <w:t xml:space="preserve"> procentpunkt</w:t>
      </w:r>
      <w:r w:rsidR="00C005A2">
        <w:rPr>
          <w:rFonts w:cs="Times New Roman"/>
          <w:szCs w:val="24"/>
        </w:rPr>
        <w:t>u</w:t>
      </w:r>
      <w:r w:rsidRPr="00845514">
        <w:rPr>
          <w:rFonts w:cs="Times New Roman"/>
          <w:szCs w:val="24"/>
        </w:rPr>
        <w:t xml:space="preserve"> augstāka nekā prognozēts 2009.gada pavasarī, sasniedzot </w:t>
      </w:r>
      <w:r w:rsidR="007828D7">
        <w:rPr>
          <w:rFonts w:cs="Times New Roman"/>
          <w:szCs w:val="24"/>
        </w:rPr>
        <w:t>3,1% 2010.gadā.</w:t>
      </w:r>
    </w:p>
    <w:p w:rsidR="001259B2" w:rsidRDefault="001259B2" w:rsidP="0096648D">
      <w:pPr>
        <w:pStyle w:val="BodyTextIndent"/>
        <w:spacing w:after="0"/>
        <w:ind w:left="0" w:firstLine="567"/>
        <w:jc w:val="both"/>
        <w:rPr>
          <w:color w:val="000000" w:themeColor="text1"/>
          <w:sz w:val="28"/>
          <w:lang w:val="lv-LV"/>
        </w:rPr>
      </w:pPr>
    </w:p>
    <w:p w:rsidR="0096648D" w:rsidRPr="0096648D" w:rsidRDefault="0096648D" w:rsidP="0096648D">
      <w:pPr>
        <w:pStyle w:val="BodyTextIndent"/>
        <w:spacing w:after="0"/>
        <w:ind w:left="0" w:firstLine="567"/>
        <w:jc w:val="both"/>
        <w:rPr>
          <w:sz w:val="28"/>
          <w:szCs w:val="28"/>
          <w:lang w:val="lv-LV"/>
        </w:rPr>
      </w:pPr>
      <w:r w:rsidRPr="006D42D0">
        <w:rPr>
          <w:color w:val="000000" w:themeColor="text1"/>
          <w:sz w:val="28"/>
          <w:lang w:val="lv-LV"/>
        </w:rPr>
        <w:t>Latvijas tautsaimniecības attīstību pašlaik nosaka</w:t>
      </w:r>
      <w:r w:rsidR="00C005A2">
        <w:rPr>
          <w:color w:val="000000" w:themeColor="text1"/>
          <w:sz w:val="28"/>
          <w:lang w:val="lv-LV"/>
        </w:rPr>
        <w:t xml:space="preserve"> gan </w:t>
      </w:r>
      <w:r w:rsidRPr="006D42D0">
        <w:rPr>
          <w:color w:val="000000" w:themeColor="text1"/>
          <w:sz w:val="28"/>
          <w:lang w:val="lv-LV"/>
        </w:rPr>
        <w:t>ārēj</w:t>
      </w:r>
      <w:r w:rsidR="00C005A2">
        <w:rPr>
          <w:color w:val="000000" w:themeColor="text1"/>
          <w:sz w:val="28"/>
          <w:lang w:val="lv-LV"/>
        </w:rPr>
        <w:t>ā, gan iekšējā  pieprasījuma samazināšanās</w:t>
      </w:r>
      <w:r w:rsidRPr="006D42D0">
        <w:rPr>
          <w:color w:val="000000" w:themeColor="text1"/>
          <w:sz w:val="28"/>
          <w:lang w:val="lv-LV"/>
        </w:rPr>
        <w:t>.</w:t>
      </w:r>
      <w:r w:rsidR="00C005A2">
        <w:rPr>
          <w:color w:val="000000" w:themeColor="text1"/>
          <w:sz w:val="28"/>
          <w:lang w:val="lv-LV"/>
        </w:rPr>
        <w:t xml:space="preserve"> </w:t>
      </w:r>
      <w:r w:rsidRPr="006D42D0">
        <w:rPr>
          <w:color w:val="000000" w:themeColor="text1"/>
          <w:sz w:val="28"/>
          <w:lang w:val="lv-LV"/>
        </w:rPr>
        <w:t>Visticamāk, ka 2009.gada 3.ceturksnī</w:t>
      </w:r>
      <w:r w:rsidR="00C005A2">
        <w:rPr>
          <w:color w:val="000000" w:themeColor="text1"/>
          <w:sz w:val="28"/>
          <w:lang w:val="lv-LV"/>
        </w:rPr>
        <w:t>, salīdzinot ar iepriekšējā gada 3.ceturksni,</w:t>
      </w:r>
      <w:r w:rsidRPr="006D42D0">
        <w:rPr>
          <w:color w:val="000000" w:themeColor="text1"/>
          <w:sz w:val="28"/>
          <w:lang w:val="lv-LV"/>
        </w:rPr>
        <w:t xml:space="preserve"> IKP samazinājums būs nedaudz straujāks nekā gada pirmajos divos ceturkšņos. Tomēr sagaidāms, ka pēc tam</w:t>
      </w:r>
      <w:r w:rsidR="00812D22">
        <w:rPr>
          <w:color w:val="000000" w:themeColor="text1"/>
          <w:sz w:val="28"/>
          <w:lang w:val="lv-LV"/>
        </w:rPr>
        <w:t>,</w:t>
      </w:r>
      <w:r w:rsidRPr="006D42D0">
        <w:rPr>
          <w:color w:val="000000" w:themeColor="text1"/>
          <w:sz w:val="28"/>
          <w:lang w:val="lv-LV"/>
        </w:rPr>
        <w:t xml:space="preserve"> līdz 2010.gada </w:t>
      </w:r>
      <w:r w:rsidR="005549E2">
        <w:rPr>
          <w:color w:val="000000" w:themeColor="text1"/>
          <w:sz w:val="28"/>
          <w:lang w:val="lv-LV"/>
        </w:rPr>
        <w:t>vidum</w:t>
      </w:r>
      <w:r w:rsidR="00812D22">
        <w:rPr>
          <w:color w:val="000000" w:themeColor="text1"/>
          <w:sz w:val="28"/>
          <w:lang w:val="lv-LV"/>
        </w:rPr>
        <w:t>,</w:t>
      </w:r>
      <w:r w:rsidRPr="006D42D0">
        <w:rPr>
          <w:color w:val="000000" w:themeColor="text1"/>
          <w:sz w:val="28"/>
          <w:lang w:val="lv-LV"/>
        </w:rPr>
        <w:t xml:space="preserve"> IKP krituma tempi pakāpeniski mazināsies, kad Latvijas ekonomika sasniegs lejupslīdes zemāko punktu. </w:t>
      </w:r>
      <w:r w:rsidR="00C005A2">
        <w:rPr>
          <w:color w:val="000000" w:themeColor="text1"/>
          <w:sz w:val="28"/>
          <w:lang w:val="lv-LV"/>
        </w:rPr>
        <w:t>I</w:t>
      </w:r>
      <w:r w:rsidR="00C005A2" w:rsidRPr="006D42D0">
        <w:rPr>
          <w:color w:val="000000" w:themeColor="text1"/>
          <w:sz w:val="28"/>
          <w:lang w:val="lv-LV"/>
        </w:rPr>
        <w:t xml:space="preserve">zaugsme var atsākties </w:t>
      </w:r>
      <w:r w:rsidRPr="006D42D0">
        <w:rPr>
          <w:color w:val="000000" w:themeColor="text1"/>
          <w:sz w:val="28"/>
          <w:lang w:val="lv-LV"/>
        </w:rPr>
        <w:t xml:space="preserve">2010.gada </w:t>
      </w:r>
      <w:r w:rsidR="005549E2">
        <w:rPr>
          <w:color w:val="000000" w:themeColor="text1"/>
          <w:sz w:val="28"/>
          <w:lang w:val="lv-LV"/>
        </w:rPr>
        <w:t>vidū</w:t>
      </w:r>
      <w:r w:rsidRPr="006D42D0">
        <w:rPr>
          <w:color w:val="000000" w:themeColor="text1"/>
          <w:sz w:val="28"/>
          <w:lang w:val="lv-LV"/>
        </w:rPr>
        <w:t xml:space="preserve"> un izaugsmes stimuli galvenokārt būs saistīti ar</w:t>
      </w:r>
      <w:r w:rsidRPr="0096648D">
        <w:rPr>
          <w:color w:val="000000" w:themeColor="text1"/>
          <w:sz w:val="28"/>
          <w:lang w:val="lv-LV"/>
        </w:rPr>
        <w:t xml:space="preserve"> ārējā pieprasījuma pieaugumu mūsu tirdzniecības partnervalstīs.</w:t>
      </w:r>
      <w:r w:rsidRPr="0096648D">
        <w:rPr>
          <w:sz w:val="28"/>
          <w:szCs w:val="28"/>
          <w:lang w:val="lv-LV"/>
        </w:rPr>
        <w:t xml:space="preserve"> </w:t>
      </w:r>
    </w:p>
    <w:p w:rsidR="00BF4D3C" w:rsidRPr="0096648D" w:rsidRDefault="00C22084" w:rsidP="00BF4D3C">
      <w:pPr>
        <w:numPr>
          <w:ilvl w:val="12"/>
          <w:numId w:val="0"/>
        </w:numPr>
        <w:suppressAutoHyphens/>
        <w:ind w:firstLine="567"/>
        <w:jc w:val="right"/>
        <w:rPr>
          <w:color w:val="000000"/>
          <w:spacing w:val="-2"/>
          <w:sz w:val="28"/>
          <w:szCs w:val="28"/>
        </w:rPr>
      </w:pPr>
      <w:r w:rsidRPr="0096648D">
        <w:rPr>
          <w:color w:val="000000"/>
          <w:spacing w:val="-2"/>
          <w:sz w:val="28"/>
          <w:szCs w:val="28"/>
        </w:rPr>
        <w:t>2</w:t>
      </w:r>
      <w:r w:rsidR="00BF4D3C" w:rsidRPr="0096648D">
        <w:rPr>
          <w:color w:val="000000"/>
          <w:spacing w:val="-2"/>
          <w:sz w:val="28"/>
          <w:szCs w:val="28"/>
        </w:rPr>
        <w:t>.attēls</w:t>
      </w:r>
    </w:p>
    <w:p w:rsidR="00BF4D3C" w:rsidRPr="000B3D5F" w:rsidRDefault="00BF4D3C" w:rsidP="00BF4D3C">
      <w:pPr>
        <w:pStyle w:val="TabvirsrakstsB11"/>
        <w:numPr>
          <w:ilvl w:val="12"/>
          <w:numId w:val="0"/>
        </w:numPr>
        <w:tabs>
          <w:tab w:val="clear" w:pos="4469"/>
          <w:tab w:val="clear" w:pos="5544"/>
          <w:tab w:val="clear" w:pos="6619"/>
          <w:tab w:val="clear" w:pos="7543"/>
          <w:tab w:val="clear" w:pos="8467"/>
          <w:tab w:val="clear" w:pos="9391"/>
          <w:tab w:val="clear" w:pos="10332"/>
          <w:tab w:val="clear" w:pos="11374"/>
          <w:tab w:val="clear" w:pos="12533"/>
        </w:tabs>
        <w:suppressAutoHyphens/>
        <w:rPr>
          <w:spacing w:val="-2"/>
          <w:szCs w:val="28"/>
        </w:rPr>
      </w:pPr>
      <w:r w:rsidRPr="00E34E94">
        <w:rPr>
          <w:spacing w:val="-2"/>
          <w:sz w:val="28"/>
          <w:szCs w:val="28"/>
        </w:rPr>
        <w:t>Latvijas iekšzemes kopprodukta prognoze</w:t>
      </w:r>
      <w:r w:rsidRPr="002F7113">
        <w:rPr>
          <w:b w:val="0"/>
          <w:spacing w:val="-2"/>
          <w:szCs w:val="24"/>
        </w:rPr>
        <w:t>, (</w:t>
      </w:r>
      <w:r w:rsidR="0096648D">
        <w:rPr>
          <w:b w:val="0"/>
          <w:spacing w:val="-2"/>
          <w:szCs w:val="24"/>
        </w:rPr>
        <w:t>%</w:t>
      </w:r>
      <w:r w:rsidRPr="002F7113">
        <w:rPr>
          <w:b w:val="0"/>
          <w:spacing w:val="-2"/>
          <w:szCs w:val="24"/>
        </w:rPr>
        <w:t>, 2004.gad</w:t>
      </w:r>
      <w:r w:rsidR="0096648D">
        <w:rPr>
          <w:b w:val="0"/>
          <w:spacing w:val="-2"/>
          <w:szCs w:val="24"/>
        </w:rPr>
        <w:t>s</w:t>
      </w:r>
      <w:r w:rsidRPr="002F7113">
        <w:rPr>
          <w:b w:val="0"/>
          <w:spacing w:val="-2"/>
          <w:szCs w:val="24"/>
        </w:rPr>
        <w:t xml:space="preserve"> = 100)</w:t>
      </w:r>
      <w:r w:rsidR="00813CDF" w:rsidRPr="00813CDF">
        <w:rPr>
          <w:b w:val="0"/>
          <w:spacing w:val="-2"/>
          <w:sz w:val="22"/>
          <w:szCs w:val="24"/>
        </w:rPr>
        <w:t>*</w:t>
      </w:r>
    </w:p>
    <w:p w:rsidR="00BF4D3C" w:rsidRPr="00AE4557" w:rsidRDefault="00BF4D3C" w:rsidP="00BF4D3C">
      <w:pPr>
        <w:numPr>
          <w:ilvl w:val="12"/>
          <w:numId w:val="0"/>
        </w:numPr>
        <w:suppressAutoHyphens/>
        <w:jc w:val="center"/>
        <w:rPr>
          <w:color w:val="000000"/>
          <w:spacing w:val="-2"/>
          <w:sz w:val="16"/>
          <w:szCs w:val="16"/>
        </w:rPr>
      </w:pPr>
    </w:p>
    <w:p w:rsidR="00BF4D3C" w:rsidRDefault="00BF4D3C" w:rsidP="00BF4D3C">
      <w:pPr>
        <w:numPr>
          <w:ilvl w:val="12"/>
          <w:numId w:val="0"/>
        </w:numPr>
        <w:suppressAutoHyphens/>
        <w:ind w:firstLine="567"/>
        <w:jc w:val="both"/>
        <w:rPr>
          <w:color w:val="000000"/>
          <w:spacing w:val="-2"/>
          <w:sz w:val="28"/>
          <w:szCs w:val="28"/>
        </w:rPr>
      </w:pPr>
      <w:r w:rsidRPr="000D0E9F">
        <w:rPr>
          <w:noProof/>
          <w:color w:val="000000"/>
          <w:spacing w:val="-2"/>
          <w:sz w:val="28"/>
          <w:szCs w:val="28"/>
          <w:lang w:eastAsia="lv-LV"/>
        </w:rPr>
        <w:drawing>
          <wp:inline distT="0" distB="0" distL="0" distR="0">
            <wp:extent cx="5699052" cy="1945758"/>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4D3C" w:rsidRPr="000B3D5F" w:rsidRDefault="00BF4D3C" w:rsidP="00BF4D3C">
      <w:pPr>
        <w:numPr>
          <w:ilvl w:val="12"/>
          <w:numId w:val="0"/>
        </w:numPr>
        <w:suppressAutoHyphens/>
        <w:ind w:firstLine="567"/>
        <w:jc w:val="both"/>
        <w:rPr>
          <w:color w:val="000000"/>
          <w:spacing w:val="-2"/>
          <w:sz w:val="22"/>
          <w:szCs w:val="28"/>
        </w:rPr>
      </w:pPr>
      <w:r w:rsidRPr="000B3D5F">
        <w:rPr>
          <w:sz w:val="20"/>
        </w:rPr>
        <w:t>*līdz 2008.gadam atspoguļoti faktiskie gada dati</w:t>
      </w:r>
    </w:p>
    <w:p w:rsidR="00BF4D3C" w:rsidRPr="002F7113" w:rsidRDefault="00BF4D3C" w:rsidP="00BF4D3C">
      <w:pPr>
        <w:pStyle w:val="BodyTextIndent"/>
        <w:spacing w:after="0"/>
        <w:ind w:left="0" w:firstLine="567"/>
        <w:jc w:val="both"/>
        <w:rPr>
          <w:color w:val="000000"/>
          <w:sz w:val="16"/>
          <w:szCs w:val="28"/>
          <w:lang w:val="lv-LV"/>
        </w:rPr>
      </w:pPr>
    </w:p>
    <w:p w:rsidR="002C02EA" w:rsidRDefault="002C02EA" w:rsidP="006D42D0">
      <w:pPr>
        <w:ind w:firstLine="709"/>
        <w:jc w:val="both"/>
        <w:rPr>
          <w:rFonts w:eastAsia="Times New Roman"/>
          <w:color w:val="000000" w:themeColor="text1"/>
          <w:sz w:val="28"/>
        </w:rPr>
      </w:pPr>
      <w:r w:rsidRPr="0096648D">
        <w:rPr>
          <w:sz w:val="28"/>
          <w:szCs w:val="28"/>
        </w:rPr>
        <w:lastRenderedPageBreak/>
        <w:t>2009</w:t>
      </w:r>
      <w:r w:rsidR="00156DFE">
        <w:rPr>
          <w:sz w:val="28"/>
          <w:szCs w:val="28"/>
        </w:rPr>
        <w:t>.gad</w:t>
      </w:r>
      <w:r w:rsidRPr="0096648D">
        <w:rPr>
          <w:sz w:val="28"/>
          <w:szCs w:val="28"/>
        </w:rPr>
        <w:t>ā tiek prognozēts ievērojams ekonomisko aktivitāšu samazinājums – IKP kritums par 18%. Neraugoties uz situācijas uzlabošanos 2010</w:t>
      </w:r>
      <w:r w:rsidR="00156DFE">
        <w:rPr>
          <w:sz w:val="28"/>
          <w:szCs w:val="28"/>
        </w:rPr>
        <w:t>.gad</w:t>
      </w:r>
      <w:r w:rsidRPr="0096648D">
        <w:rPr>
          <w:sz w:val="28"/>
          <w:szCs w:val="28"/>
        </w:rPr>
        <w:t>a otrajā pusē, gan bāzes, gan mērķa scenārij</w:t>
      </w:r>
      <w:r>
        <w:rPr>
          <w:sz w:val="28"/>
          <w:szCs w:val="28"/>
        </w:rPr>
        <w:t>ā</w:t>
      </w:r>
      <w:r w:rsidRPr="0096648D">
        <w:rPr>
          <w:sz w:val="28"/>
          <w:szCs w:val="28"/>
        </w:rPr>
        <w:t xml:space="preserve"> 2010.</w:t>
      </w:r>
      <w:r>
        <w:rPr>
          <w:sz w:val="28"/>
          <w:szCs w:val="28"/>
        </w:rPr>
        <w:t>g</w:t>
      </w:r>
      <w:r w:rsidRPr="0096648D">
        <w:rPr>
          <w:sz w:val="28"/>
          <w:szCs w:val="28"/>
        </w:rPr>
        <w:t>adā</w:t>
      </w:r>
      <w:r>
        <w:rPr>
          <w:sz w:val="28"/>
          <w:szCs w:val="28"/>
        </w:rPr>
        <w:t xml:space="preserve"> kopumā</w:t>
      </w:r>
      <w:r w:rsidRPr="0096648D">
        <w:rPr>
          <w:sz w:val="28"/>
          <w:szCs w:val="28"/>
        </w:rPr>
        <w:t xml:space="preserve"> saglabāsies negatīvi</w:t>
      </w:r>
      <w:r>
        <w:rPr>
          <w:sz w:val="28"/>
          <w:szCs w:val="28"/>
        </w:rPr>
        <w:t xml:space="preserve"> IKP pieauguma tempi</w:t>
      </w:r>
      <w:r w:rsidRPr="0096648D">
        <w:rPr>
          <w:sz w:val="28"/>
          <w:szCs w:val="28"/>
        </w:rPr>
        <w:t xml:space="preserve"> </w:t>
      </w:r>
      <w:r w:rsidRPr="006D42D0">
        <w:rPr>
          <w:sz w:val="28"/>
          <w:szCs w:val="28"/>
        </w:rPr>
        <w:t>(skat. 2.attēlu un pielikumā 13.tabulu).</w:t>
      </w:r>
    </w:p>
    <w:p w:rsidR="0096648D" w:rsidRDefault="0096648D" w:rsidP="006D42D0">
      <w:pPr>
        <w:ind w:firstLine="709"/>
        <w:jc w:val="both"/>
        <w:rPr>
          <w:rFonts w:eastAsia="Times New Roman"/>
          <w:color w:val="000000" w:themeColor="text1"/>
          <w:sz w:val="28"/>
        </w:rPr>
      </w:pPr>
      <w:r>
        <w:rPr>
          <w:rFonts w:eastAsia="Times New Roman"/>
          <w:color w:val="000000" w:themeColor="text1"/>
          <w:sz w:val="28"/>
        </w:rPr>
        <w:t>2010.gadā valdība turpinās budžeta konsolidāciju un tiek plānots būtiski samazināt valdības izdevumus. Tā</w:t>
      </w:r>
      <w:r w:rsidR="00812D22">
        <w:rPr>
          <w:rFonts w:eastAsia="Times New Roman"/>
          <w:color w:val="000000" w:themeColor="text1"/>
          <w:sz w:val="28"/>
        </w:rPr>
        <w:t xml:space="preserve">pēc </w:t>
      </w:r>
      <w:r>
        <w:rPr>
          <w:rFonts w:eastAsia="Times New Roman"/>
          <w:color w:val="000000" w:themeColor="text1"/>
          <w:sz w:val="28"/>
        </w:rPr>
        <w:t xml:space="preserve">sagaidāms, ka turpinās sarukt gan </w:t>
      </w:r>
      <w:r w:rsidR="00812D22">
        <w:rPr>
          <w:rFonts w:eastAsia="Times New Roman"/>
          <w:color w:val="000000" w:themeColor="text1"/>
          <w:sz w:val="28"/>
        </w:rPr>
        <w:t>sabiedriskais</w:t>
      </w:r>
      <w:r>
        <w:rPr>
          <w:rFonts w:eastAsia="Times New Roman"/>
          <w:color w:val="000000" w:themeColor="text1"/>
          <w:sz w:val="28"/>
        </w:rPr>
        <w:t xml:space="preserve">, gan privātais patēriņš. Joprojām apgrūtinātā kredītu pieejamība ierobežos investīciju apjomus. Vājā iekšzemes pieprasījuma rezultātā </w:t>
      </w:r>
      <w:r w:rsidR="00C005A2">
        <w:rPr>
          <w:rFonts w:eastAsia="Times New Roman"/>
          <w:color w:val="000000" w:themeColor="text1"/>
          <w:sz w:val="28"/>
        </w:rPr>
        <w:t xml:space="preserve">2010.gadā </w:t>
      </w:r>
      <w:r>
        <w:rPr>
          <w:rFonts w:eastAsia="Times New Roman"/>
          <w:color w:val="000000" w:themeColor="text1"/>
          <w:sz w:val="28"/>
        </w:rPr>
        <w:t>turpinās sarukt arī importa apjomi. Turpretim, 2010.gada otrajā pusē, palielinoties ārējam pieprasījumam, kā arī uzlabojoties mūsu ražotāju konkurētspējai, sagaidāms, ka eksporta apjomi var pat nedaudz pārsniegt 2009.gada līmeni.</w:t>
      </w:r>
    </w:p>
    <w:p w:rsidR="0096648D" w:rsidRDefault="0096648D" w:rsidP="006D42D0">
      <w:pPr>
        <w:ind w:firstLine="709"/>
        <w:jc w:val="both"/>
        <w:rPr>
          <w:rFonts w:eastAsia="Times New Roman"/>
          <w:color w:val="000000" w:themeColor="text1"/>
          <w:sz w:val="28"/>
        </w:rPr>
      </w:pPr>
      <w:r>
        <w:rPr>
          <w:rFonts w:eastAsia="Times New Roman"/>
          <w:color w:val="000000" w:themeColor="text1"/>
          <w:sz w:val="28"/>
        </w:rPr>
        <w:t>Nozaru griezumā 2009.gadā izlaides apjomu samazinājums ir sagaidāms visās tautsaimniecības pamatnozarēs. Īpaši liels kritums būs būvniecības, tirdzniecības un apstrādes rūpniecības nozarēs.</w:t>
      </w:r>
    </w:p>
    <w:p w:rsidR="0096648D" w:rsidRDefault="00C005A2" w:rsidP="006D42D0">
      <w:pPr>
        <w:ind w:firstLine="709"/>
        <w:jc w:val="both"/>
        <w:rPr>
          <w:rFonts w:eastAsia="Times New Roman"/>
          <w:color w:val="000000" w:themeColor="text1"/>
          <w:sz w:val="28"/>
        </w:rPr>
      </w:pPr>
      <w:r>
        <w:rPr>
          <w:rFonts w:eastAsia="Times New Roman"/>
          <w:color w:val="000000" w:themeColor="text1"/>
          <w:sz w:val="28"/>
        </w:rPr>
        <w:t xml:space="preserve">Arī </w:t>
      </w:r>
      <w:r w:rsidR="0096648D" w:rsidRPr="00B83365">
        <w:rPr>
          <w:rFonts w:eastAsia="Times New Roman"/>
          <w:color w:val="000000" w:themeColor="text1"/>
          <w:sz w:val="28"/>
        </w:rPr>
        <w:t xml:space="preserve">2010.gadā </w:t>
      </w:r>
      <w:r w:rsidR="0096648D">
        <w:rPr>
          <w:rFonts w:eastAsia="Times New Roman"/>
          <w:color w:val="000000" w:themeColor="text1"/>
          <w:sz w:val="28"/>
        </w:rPr>
        <w:t>turpināsies</w:t>
      </w:r>
      <w:r w:rsidR="0096648D" w:rsidRPr="00B83365">
        <w:rPr>
          <w:rFonts w:eastAsia="Times New Roman"/>
          <w:color w:val="000000" w:themeColor="text1"/>
          <w:sz w:val="28"/>
        </w:rPr>
        <w:t xml:space="preserve"> būvniecības</w:t>
      </w:r>
      <w:r w:rsidR="00812D22">
        <w:rPr>
          <w:rFonts w:eastAsia="Times New Roman"/>
          <w:color w:val="000000" w:themeColor="text1"/>
          <w:sz w:val="28"/>
        </w:rPr>
        <w:t>,</w:t>
      </w:r>
      <w:r w:rsidR="0096648D" w:rsidRPr="00B83365">
        <w:rPr>
          <w:rFonts w:eastAsia="Times New Roman"/>
          <w:color w:val="000000" w:themeColor="text1"/>
          <w:sz w:val="28"/>
        </w:rPr>
        <w:t xml:space="preserve"> </w:t>
      </w:r>
      <w:r w:rsidR="00812D22" w:rsidRPr="00B83365">
        <w:rPr>
          <w:rFonts w:eastAsia="Times New Roman"/>
          <w:color w:val="000000" w:themeColor="text1"/>
          <w:sz w:val="28"/>
        </w:rPr>
        <w:t>tirdzniecības</w:t>
      </w:r>
      <w:r w:rsidR="00812D22">
        <w:rPr>
          <w:rFonts w:eastAsia="Times New Roman"/>
          <w:color w:val="000000" w:themeColor="text1"/>
          <w:sz w:val="28"/>
        </w:rPr>
        <w:t xml:space="preserve"> un citu komercpakalpojumu </w:t>
      </w:r>
      <w:r w:rsidR="0096648D" w:rsidRPr="00B83365">
        <w:rPr>
          <w:rFonts w:eastAsia="Times New Roman"/>
          <w:color w:val="000000" w:themeColor="text1"/>
          <w:sz w:val="28"/>
        </w:rPr>
        <w:t>izlaide</w:t>
      </w:r>
      <w:r w:rsidR="0096648D">
        <w:rPr>
          <w:rFonts w:eastAsia="Times New Roman"/>
          <w:color w:val="000000" w:themeColor="text1"/>
          <w:sz w:val="28"/>
        </w:rPr>
        <w:t>s samazinājums</w:t>
      </w:r>
      <w:r w:rsidR="0096648D" w:rsidRPr="00B83365">
        <w:rPr>
          <w:rFonts w:eastAsia="Times New Roman"/>
          <w:color w:val="000000" w:themeColor="text1"/>
          <w:sz w:val="28"/>
        </w:rPr>
        <w:t>.</w:t>
      </w:r>
      <w:r w:rsidR="0096648D">
        <w:rPr>
          <w:rFonts w:eastAsia="Times New Roman"/>
          <w:color w:val="000000" w:themeColor="text1"/>
          <w:sz w:val="28"/>
        </w:rPr>
        <w:t xml:space="preserve"> Valsts budžeta izdevumu samazinājums atsauksies uz sabiedrisko pakalpojumu nozari (valsts pārvalde, veselības aprūpe un izglītība). Savukārt pieprasījuma pieaugums ārējos tirgos dos pozitīvus izaugsmes stimulus eksportspējīgām nozarēm, galvenokārt apstrādes rūpniecībai, kā arī transporta un sakaru nozarei.</w:t>
      </w:r>
    </w:p>
    <w:p w:rsidR="0096648D" w:rsidRPr="00813CDF" w:rsidRDefault="0096648D" w:rsidP="0030364D">
      <w:pPr>
        <w:pStyle w:val="BodyTextIndent"/>
        <w:spacing w:after="0"/>
        <w:ind w:left="0" w:firstLine="567"/>
        <w:jc w:val="both"/>
        <w:rPr>
          <w:color w:val="000000"/>
          <w:sz w:val="10"/>
          <w:szCs w:val="28"/>
          <w:lang w:val="lv-LV"/>
        </w:rPr>
      </w:pPr>
    </w:p>
    <w:p w:rsidR="0030364D" w:rsidRPr="00EB5FEE" w:rsidRDefault="00384400" w:rsidP="0030364D">
      <w:pPr>
        <w:pStyle w:val="BodyTextIndent"/>
        <w:spacing w:after="0"/>
        <w:ind w:left="0" w:firstLine="567"/>
        <w:jc w:val="both"/>
        <w:rPr>
          <w:color w:val="000000"/>
          <w:sz w:val="28"/>
          <w:szCs w:val="28"/>
          <w:lang w:val="lv-LV"/>
        </w:rPr>
      </w:pPr>
      <w:r>
        <w:rPr>
          <w:color w:val="000000"/>
          <w:sz w:val="28"/>
          <w:szCs w:val="28"/>
          <w:lang w:val="lv-LV"/>
        </w:rPr>
        <w:t xml:space="preserve">Ja ceturkšņu griezumā pozitīva izaugsme jau atsāksies 2010.gada otrajā pusē, tad </w:t>
      </w:r>
      <w:r w:rsidR="0030364D" w:rsidRPr="00EB5FEE">
        <w:rPr>
          <w:color w:val="000000"/>
          <w:sz w:val="28"/>
          <w:szCs w:val="28"/>
          <w:lang w:val="lv-LV"/>
        </w:rPr>
        <w:t>2011.gad</w:t>
      </w:r>
      <w:r w:rsidR="0030364D">
        <w:rPr>
          <w:color w:val="000000"/>
          <w:sz w:val="28"/>
          <w:szCs w:val="28"/>
          <w:lang w:val="lv-LV"/>
        </w:rPr>
        <w:t>ā</w:t>
      </w:r>
      <w:r>
        <w:rPr>
          <w:color w:val="000000"/>
          <w:sz w:val="28"/>
          <w:szCs w:val="28"/>
          <w:lang w:val="lv-LV"/>
        </w:rPr>
        <w:t xml:space="preserve"> sagaidāma izaugsme jau gada griezumā.</w:t>
      </w:r>
      <w:r w:rsidR="0030364D" w:rsidRPr="00EB5FEE">
        <w:rPr>
          <w:color w:val="000000"/>
          <w:sz w:val="28"/>
          <w:szCs w:val="28"/>
          <w:lang w:val="lv-LV"/>
        </w:rPr>
        <w:t xml:space="preserve"> </w:t>
      </w:r>
      <w:r>
        <w:rPr>
          <w:color w:val="000000"/>
          <w:sz w:val="28"/>
          <w:szCs w:val="28"/>
          <w:lang w:val="lv-LV"/>
        </w:rPr>
        <w:t>F</w:t>
      </w:r>
      <w:r w:rsidR="0030364D" w:rsidRPr="00EB5FEE">
        <w:rPr>
          <w:color w:val="000000"/>
          <w:sz w:val="28"/>
          <w:szCs w:val="28"/>
          <w:lang w:val="lv-LV"/>
        </w:rPr>
        <w:t>i</w:t>
      </w:r>
      <w:r>
        <w:rPr>
          <w:color w:val="000000"/>
          <w:sz w:val="28"/>
          <w:szCs w:val="28"/>
          <w:lang w:val="lv-LV"/>
        </w:rPr>
        <w:t>nanšu tirgu</w:t>
      </w:r>
      <w:r w:rsidR="00813CDF">
        <w:rPr>
          <w:color w:val="000000"/>
          <w:sz w:val="28"/>
          <w:szCs w:val="28"/>
          <w:lang w:val="lv-LV"/>
        </w:rPr>
        <w:t xml:space="preserve"> stabilizē</w:t>
      </w:r>
      <w:r>
        <w:rPr>
          <w:color w:val="000000"/>
          <w:sz w:val="28"/>
          <w:szCs w:val="28"/>
          <w:lang w:val="lv-LV"/>
        </w:rPr>
        <w:t>šanās un k</w:t>
      </w:r>
      <w:r w:rsidR="00813CDF">
        <w:rPr>
          <w:color w:val="000000"/>
          <w:sz w:val="28"/>
          <w:szCs w:val="28"/>
          <w:lang w:val="lv-LV"/>
        </w:rPr>
        <w:t>reditēšan</w:t>
      </w:r>
      <w:r w:rsidR="004266E1">
        <w:rPr>
          <w:color w:val="000000"/>
          <w:sz w:val="28"/>
          <w:szCs w:val="28"/>
          <w:lang w:val="lv-LV"/>
        </w:rPr>
        <w:t>a</w:t>
      </w:r>
      <w:r w:rsidR="00813CDF">
        <w:rPr>
          <w:color w:val="000000"/>
          <w:sz w:val="28"/>
          <w:szCs w:val="28"/>
          <w:lang w:val="lv-LV"/>
        </w:rPr>
        <w:t xml:space="preserve">s atjaunošanās </w:t>
      </w:r>
      <w:r w:rsidR="0030364D" w:rsidRPr="00EB5FEE">
        <w:rPr>
          <w:color w:val="000000"/>
          <w:sz w:val="28"/>
          <w:szCs w:val="28"/>
          <w:lang w:val="lv-LV"/>
        </w:rPr>
        <w:t>dos</w:t>
      </w:r>
      <w:r w:rsidR="00813CDF">
        <w:rPr>
          <w:color w:val="000000"/>
          <w:sz w:val="28"/>
          <w:szCs w:val="28"/>
          <w:lang w:val="lv-LV"/>
        </w:rPr>
        <w:t xml:space="preserve"> </w:t>
      </w:r>
      <w:r w:rsidR="0030364D" w:rsidRPr="00EB5FEE">
        <w:rPr>
          <w:color w:val="000000"/>
          <w:sz w:val="28"/>
          <w:szCs w:val="28"/>
          <w:lang w:val="lv-LV"/>
        </w:rPr>
        <w:t>stimulu kā pašmāju uzņēmējiem, tā arī e</w:t>
      </w:r>
      <w:r w:rsidR="00F51F23">
        <w:rPr>
          <w:color w:val="000000"/>
          <w:sz w:val="28"/>
          <w:szCs w:val="28"/>
          <w:lang w:val="lv-LV"/>
        </w:rPr>
        <w:t>konomisko aktivitāšu pakāpeniskam</w:t>
      </w:r>
      <w:r w:rsidR="0030364D" w:rsidRPr="00EB5FEE">
        <w:rPr>
          <w:color w:val="000000"/>
          <w:sz w:val="28"/>
          <w:szCs w:val="28"/>
          <w:lang w:val="lv-LV"/>
        </w:rPr>
        <w:t xml:space="preserve"> pieaugum</w:t>
      </w:r>
      <w:r w:rsidR="00F51F23">
        <w:rPr>
          <w:color w:val="000000"/>
          <w:sz w:val="28"/>
          <w:szCs w:val="28"/>
          <w:lang w:val="lv-LV"/>
        </w:rPr>
        <w:t>am</w:t>
      </w:r>
      <w:r w:rsidR="0030364D" w:rsidRPr="00EB5FEE">
        <w:rPr>
          <w:color w:val="000000"/>
          <w:sz w:val="28"/>
          <w:szCs w:val="28"/>
          <w:lang w:val="lv-LV"/>
        </w:rPr>
        <w:t xml:space="preserve"> mūsu</w:t>
      </w:r>
      <w:r w:rsidR="00F51F23">
        <w:rPr>
          <w:color w:val="000000"/>
          <w:sz w:val="28"/>
          <w:szCs w:val="28"/>
          <w:lang w:val="lv-LV"/>
        </w:rPr>
        <w:t xml:space="preserve"> </w:t>
      </w:r>
      <w:r w:rsidR="0030364D" w:rsidRPr="00EB5FEE">
        <w:rPr>
          <w:color w:val="000000"/>
          <w:sz w:val="28"/>
          <w:szCs w:val="28"/>
          <w:lang w:val="lv-LV"/>
        </w:rPr>
        <w:t>eksporta partnervalstīs, it īpaši ES valstīs.</w:t>
      </w:r>
    </w:p>
    <w:p w:rsidR="00BF4D3C" w:rsidRPr="00EB5FEE" w:rsidRDefault="00BF4D3C" w:rsidP="00BF4D3C">
      <w:pPr>
        <w:pStyle w:val="BodyTextIndent"/>
        <w:spacing w:after="0"/>
        <w:ind w:left="0" w:firstLine="567"/>
        <w:jc w:val="both"/>
        <w:rPr>
          <w:color w:val="000000"/>
          <w:sz w:val="28"/>
          <w:szCs w:val="28"/>
          <w:lang w:val="lv-LV"/>
        </w:rPr>
      </w:pPr>
      <w:r w:rsidRPr="00EB5FEE">
        <w:rPr>
          <w:color w:val="000000"/>
          <w:sz w:val="28"/>
          <w:szCs w:val="28"/>
          <w:lang w:val="lv-LV"/>
        </w:rPr>
        <w:t>Turpmāko periodu galvenais izaugsmes stimuls Latvijai jāsaista ar</w:t>
      </w:r>
      <w:r w:rsidR="00F51F23">
        <w:rPr>
          <w:color w:val="000000"/>
          <w:sz w:val="28"/>
          <w:szCs w:val="28"/>
          <w:lang w:val="lv-LV"/>
        </w:rPr>
        <w:t xml:space="preserve"> eksporta iespēju paplašināšanu, t</w:t>
      </w:r>
      <w:r w:rsidRPr="00EB5FEE">
        <w:rPr>
          <w:color w:val="000000"/>
          <w:sz w:val="28"/>
          <w:szCs w:val="28"/>
          <w:lang w:val="lv-LV"/>
        </w:rPr>
        <w:t xml:space="preserve">āpēc izšķiroša nozīme izaugsmes nodrošināšanai </w:t>
      </w:r>
      <w:r w:rsidRPr="00EB5FEE">
        <w:rPr>
          <w:color w:val="000000"/>
          <w:sz w:val="28"/>
          <w:szCs w:val="28"/>
          <w:lang w:val="lv-LV"/>
        </w:rPr>
        <w:br/>
        <w:t xml:space="preserve">ir galvenās eksporta nozares – </w:t>
      </w:r>
      <w:r w:rsidR="00384400">
        <w:rPr>
          <w:color w:val="000000"/>
          <w:sz w:val="28"/>
          <w:szCs w:val="28"/>
          <w:lang w:val="lv-LV"/>
        </w:rPr>
        <w:t xml:space="preserve">apstrādes </w:t>
      </w:r>
      <w:r w:rsidRPr="00EB5FEE">
        <w:rPr>
          <w:color w:val="000000"/>
          <w:sz w:val="28"/>
          <w:szCs w:val="28"/>
          <w:lang w:val="lv-LV"/>
        </w:rPr>
        <w:t xml:space="preserve">rūpniecības konkurētspējai kā starptautiskos, tā pašmāju tirgos. </w:t>
      </w:r>
      <w:r w:rsidR="00813CDF">
        <w:rPr>
          <w:color w:val="000000"/>
          <w:sz w:val="28"/>
          <w:szCs w:val="28"/>
          <w:lang w:val="lv-LV"/>
        </w:rPr>
        <w:t>Tomēr j</w:t>
      </w:r>
      <w:r w:rsidRPr="00EB5FEE">
        <w:rPr>
          <w:color w:val="000000"/>
          <w:sz w:val="28"/>
          <w:szCs w:val="28"/>
          <w:lang w:val="lv-LV"/>
        </w:rPr>
        <w:t>āņem vērā, ka globālajos preču un pakalpojumu tirgos vērojama cenu konkurences saasināšanās, kas krīzes apstākļos nereti izpaužas kā valstu konkurētspējas korekcija ar nacionālo valūtu devalvāciju un tiešo protekcionismu.</w:t>
      </w:r>
    </w:p>
    <w:p w:rsidR="00BF4D3C" w:rsidRPr="00EB5FEE" w:rsidRDefault="00BF4D3C" w:rsidP="00BF4D3C">
      <w:pPr>
        <w:pStyle w:val="BodyTextIndent"/>
        <w:spacing w:after="0"/>
        <w:ind w:left="0" w:firstLine="567"/>
        <w:jc w:val="both"/>
        <w:rPr>
          <w:color w:val="000000"/>
          <w:sz w:val="28"/>
          <w:szCs w:val="28"/>
          <w:lang w:val="lv-LV"/>
        </w:rPr>
      </w:pPr>
      <w:r w:rsidRPr="00EB5FEE">
        <w:rPr>
          <w:color w:val="000000"/>
          <w:sz w:val="28"/>
          <w:szCs w:val="28"/>
          <w:lang w:val="lv-LV"/>
        </w:rPr>
        <w:t>Latvijas rūpniecības konkurētspēja iepriekšējos gados lielā mērā balstījās uz relatīvi lētu darbaspēku un zemām vispārējām izmaksām. 2006. un 2007</w:t>
      </w:r>
      <w:r w:rsidR="00156DFE">
        <w:rPr>
          <w:color w:val="000000"/>
          <w:sz w:val="28"/>
          <w:szCs w:val="28"/>
          <w:lang w:val="lv-LV"/>
        </w:rPr>
        <w:t>.gad</w:t>
      </w:r>
      <w:r w:rsidR="00384400">
        <w:rPr>
          <w:color w:val="000000"/>
          <w:sz w:val="28"/>
          <w:szCs w:val="28"/>
          <w:lang w:val="lv-LV"/>
        </w:rPr>
        <w:t>ā</w:t>
      </w:r>
      <w:r w:rsidRPr="00EB5FEE">
        <w:rPr>
          <w:color w:val="000000"/>
          <w:sz w:val="28"/>
          <w:szCs w:val="28"/>
          <w:lang w:val="lv-LV"/>
        </w:rPr>
        <w:t xml:space="preserve"> darbaspēka izmaksu kāpuma un cenu pieauguma dēļ</w:t>
      </w:r>
      <w:r w:rsidR="00384400">
        <w:rPr>
          <w:color w:val="000000"/>
          <w:sz w:val="28"/>
          <w:szCs w:val="28"/>
          <w:lang w:val="lv-LV"/>
        </w:rPr>
        <w:t>,</w:t>
      </w:r>
      <w:r w:rsidRPr="00EB5FEE">
        <w:rPr>
          <w:color w:val="000000"/>
          <w:sz w:val="28"/>
          <w:szCs w:val="28"/>
          <w:lang w:val="lv-LV"/>
        </w:rPr>
        <w:t xml:space="preserve"> šīs priekšrocības tika zaudētas. Pašreizējie krīzes apstākļi ar zemo pieprasījumu un striktiem budžeta ierobežojumiem, kad krietni tiek samazinātas algas sabiedriskajā sektorā, rada lielu spiedienu uz kopējo algu līmeni un cenām, kas daļēji uzlabo Latvijas ražotāju konkurētspēju. Tomēr jāņem vērā, ka līdz ar izaugsmes atjaunošanos pārējās ES valstīs</w:t>
      </w:r>
      <w:r>
        <w:rPr>
          <w:color w:val="000000"/>
          <w:sz w:val="28"/>
          <w:szCs w:val="28"/>
          <w:lang w:val="lv-LV"/>
        </w:rPr>
        <w:t>,</w:t>
      </w:r>
      <w:r w:rsidRPr="00EB5FEE">
        <w:rPr>
          <w:color w:val="000000"/>
          <w:sz w:val="28"/>
          <w:szCs w:val="28"/>
          <w:lang w:val="lv-LV"/>
        </w:rPr>
        <w:t xml:space="preserve"> uzturēt konkurētspēju Latvijas ekonomikā ar šīm metodēm nebūs iespējams, tāpēc izšķiroša nozīme būs atbilstošam produktivitātes kāpumam un eksporta produktu komplicētības pieaugumam, kas ļautu daudz veiksmīgāk konkurēt starptautiskajos tirgos.</w:t>
      </w:r>
      <w:r w:rsidR="00F51F23">
        <w:rPr>
          <w:color w:val="000000"/>
          <w:sz w:val="28"/>
          <w:szCs w:val="28"/>
          <w:lang w:val="lv-LV"/>
        </w:rPr>
        <w:t xml:space="preserve"> </w:t>
      </w:r>
      <w:r w:rsidR="00813CDF">
        <w:rPr>
          <w:color w:val="000000"/>
          <w:sz w:val="28"/>
          <w:szCs w:val="28"/>
          <w:lang w:val="lv-LV"/>
        </w:rPr>
        <w:t>Tāpat t</w:t>
      </w:r>
      <w:r>
        <w:rPr>
          <w:color w:val="000000"/>
          <w:sz w:val="28"/>
          <w:szCs w:val="28"/>
          <w:lang w:val="lv-LV"/>
        </w:rPr>
        <w:t xml:space="preserve">iek </w:t>
      </w:r>
      <w:r w:rsidRPr="00EB5FEE">
        <w:rPr>
          <w:color w:val="000000"/>
          <w:sz w:val="28"/>
          <w:szCs w:val="28"/>
          <w:lang w:val="lv-LV"/>
        </w:rPr>
        <w:t>prognozē</w:t>
      </w:r>
      <w:r>
        <w:rPr>
          <w:color w:val="000000"/>
          <w:sz w:val="28"/>
          <w:szCs w:val="28"/>
          <w:lang w:val="lv-LV"/>
        </w:rPr>
        <w:t>t</w:t>
      </w:r>
      <w:r w:rsidRPr="00EB5FEE">
        <w:rPr>
          <w:color w:val="000000"/>
          <w:sz w:val="28"/>
          <w:szCs w:val="28"/>
          <w:lang w:val="lv-LV"/>
        </w:rPr>
        <w:t>s, ka uzlabo</w:t>
      </w:r>
      <w:r>
        <w:rPr>
          <w:color w:val="000000"/>
          <w:sz w:val="28"/>
          <w:szCs w:val="28"/>
          <w:lang w:val="lv-LV"/>
        </w:rPr>
        <w:t>sies</w:t>
      </w:r>
      <w:r w:rsidRPr="00EB5FEE">
        <w:rPr>
          <w:color w:val="000000"/>
          <w:sz w:val="28"/>
          <w:szCs w:val="28"/>
          <w:lang w:val="lv-LV"/>
        </w:rPr>
        <w:t xml:space="preserve"> arī Latvijas ārējo pakalpojumu bilance, kur lielākais devums līdz šim ir bijis transporta pakalpojumiem.</w:t>
      </w:r>
    </w:p>
    <w:p w:rsidR="00BF4D3C" w:rsidRPr="00EB5FEE" w:rsidRDefault="00D46AEA" w:rsidP="00D46AEA">
      <w:pPr>
        <w:ind w:firstLine="567"/>
        <w:jc w:val="both"/>
        <w:rPr>
          <w:bCs/>
          <w:sz w:val="28"/>
          <w:szCs w:val="28"/>
        </w:rPr>
      </w:pPr>
      <w:r>
        <w:rPr>
          <w:bCs/>
          <w:sz w:val="28"/>
          <w:szCs w:val="28"/>
        </w:rPr>
        <w:lastRenderedPageBreak/>
        <w:t>T</w:t>
      </w:r>
      <w:r w:rsidR="00BF4D3C" w:rsidRPr="00EB5FEE">
        <w:rPr>
          <w:bCs/>
          <w:sz w:val="28"/>
          <w:szCs w:val="28"/>
        </w:rPr>
        <w:t>urpmākā izaugsme nevarēs būt tādos tempos kāda tā bija</w:t>
      </w:r>
      <w:r w:rsidR="00813CDF">
        <w:rPr>
          <w:bCs/>
          <w:sz w:val="28"/>
          <w:szCs w:val="28"/>
        </w:rPr>
        <w:t xml:space="preserve"> no 2005.-2007.gadam</w:t>
      </w:r>
      <w:r w:rsidR="00BF4D3C" w:rsidRPr="00EB5FEE">
        <w:rPr>
          <w:bCs/>
          <w:sz w:val="28"/>
          <w:szCs w:val="28"/>
        </w:rPr>
        <w:t>, jo tās dzinējspēks vairs nebūs apjomīgās finansu ieplūdes, kas stimulēja iekšējo patēriņu, un veicināja galvenokārt pakalpojumu attīstību un aktivitātes nekustam</w:t>
      </w:r>
      <w:r w:rsidR="00F51F23">
        <w:rPr>
          <w:bCs/>
          <w:sz w:val="28"/>
          <w:szCs w:val="28"/>
        </w:rPr>
        <w:t>ā</w:t>
      </w:r>
      <w:r w:rsidR="00BF4D3C" w:rsidRPr="00EB5FEE">
        <w:rPr>
          <w:bCs/>
          <w:sz w:val="28"/>
          <w:szCs w:val="28"/>
        </w:rPr>
        <w:t xml:space="preserve"> īpašum</w:t>
      </w:r>
      <w:r w:rsidR="00F51F23">
        <w:rPr>
          <w:bCs/>
          <w:sz w:val="28"/>
          <w:szCs w:val="28"/>
        </w:rPr>
        <w:t>a nozarē</w:t>
      </w:r>
      <w:r w:rsidR="00BF4D3C" w:rsidRPr="00EB5FEE">
        <w:rPr>
          <w:bCs/>
          <w:sz w:val="28"/>
          <w:szCs w:val="28"/>
        </w:rPr>
        <w:t xml:space="preserve">. Izaugsmes galvenais balsts būs ekonomikas konkurētspējas pieaugums atvērtos preču un pakalpojumu tirgos, kas Latvijas gadījumā saistīts </w:t>
      </w:r>
      <w:r w:rsidR="00813CDF" w:rsidRPr="00EB5FEE">
        <w:rPr>
          <w:bCs/>
          <w:sz w:val="28"/>
          <w:szCs w:val="28"/>
        </w:rPr>
        <w:t xml:space="preserve">galvenokārt </w:t>
      </w:r>
      <w:r w:rsidR="00BF4D3C" w:rsidRPr="00EB5FEE">
        <w:rPr>
          <w:bCs/>
          <w:sz w:val="28"/>
          <w:szCs w:val="28"/>
        </w:rPr>
        <w:t xml:space="preserve">ar apstrādes rūpniecības un tranzītpakalpojumu attīstību </w:t>
      </w:r>
      <w:r w:rsidR="006D42D0">
        <w:rPr>
          <w:bCs/>
          <w:sz w:val="28"/>
          <w:szCs w:val="28"/>
        </w:rPr>
        <w:t>(skat. 3.attēlu).</w:t>
      </w:r>
    </w:p>
    <w:p w:rsidR="00BF4D3C" w:rsidRPr="00EB5FEE" w:rsidRDefault="00D46AEA" w:rsidP="00BF4D3C">
      <w:pPr>
        <w:ind w:firstLine="567"/>
        <w:jc w:val="right"/>
        <w:rPr>
          <w:rFonts w:cs="Times New Roman"/>
          <w:bCs/>
          <w:sz w:val="28"/>
          <w:szCs w:val="28"/>
        </w:rPr>
      </w:pPr>
      <w:r>
        <w:rPr>
          <w:rFonts w:cs="Times New Roman"/>
          <w:bCs/>
          <w:sz w:val="28"/>
          <w:szCs w:val="28"/>
        </w:rPr>
        <w:t>3</w:t>
      </w:r>
      <w:r w:rsidR="00BF4D3C" w:rsidRPr="00EB5FEE">
        <w:rPr>
          <w:rFonts w:cs="Times New Roman"/>
          <w:bCs/>
          <w:sz w:val="28"/>
          <w:szCs w:val="28"/>
        </w:rPr>
        <w:t>.attēls</w:t>
      </w:r>
    </w:p>
    <w:p w:rsidR="00BF4D3C" w:rsidRPr="0092665B" w:rsidRDefault="00BF4D3C" w:rsidP="0092665B">
      <w:pPr>
        <w:jc w:val="center"/>
        <w:rPr>
          <w:rFonts w:cs="Times New Roman"/>
          <w:szCs w:val="28"/>
        </w:rPr>
      </w:pPr>
      <w:r w:rsidRPr="0092665B">
        <w:rPr>
          <w:rFonts w:cs="Times New Roman"/>
          <w:b/>
          <w:bCs/>
          <w:sz w:val="28"/>
          <w:szCs w:val="28"/>
        </w:rPr>
        <w:t xml:space="preserve">IKP, produktivitātes, darba samaksas un darbaspēka pieprasījuma izmaiņas </w:t>
      </w:r>
      <w:r w:rsidRPr="0092665B">
        <w:rPr>
          <w:rFonts w:cs="Times New Roman"/>
          <w:bCs/>
          <w:szCs w:val="28"/>
        </w:rPr>
        <w:t>(reālās izmaiņas procentos attiecībā pret iepriekšējo gadu</w:t>
      </w:r>
      <w:r w:rsidR="0092665B" w:rsidRPr="0092665B">
        <w:rPr>
          <w:rFonts w:cs="Times New Roman"/>
          <w:bCs/>
          <w:szCs w:val="28"/>
        </w:rPr>
        <w:t>, mērķa scenārijs</w:t>
      </w:r>
      <w:r w:rsidRPr="0092665B">
        <w:rPr>
          <w:rFonts w:cs="Times New Roman"/>
          <w:bCs/>
          <w:szCs w:val="28"/>
        </w:rPr>
        <w:t>)</w:t>
      </w:r>
    </w:p>
    <w:p w:rsidR="00BF4D3C" w:rsidRPr="00EB5FEE" w:rsidRDefault="00BF4D3C" w:rsidP="00BF4D3C">
      <w:pPr>
        <w:rPr>
          <w:rFonts w:cs="Times New Roman"/>
          <w:sz w:val="28"/>
          <w:szCs w:val="28"/>
        </w:rPr>
      </w:pPr>
      <w:r w:rsidRPr="00EB5FEE">
        <w:rPr>
          <w:rFonts w:cs="Times New Roman"/>
          <w:noProof/>
          <w:sz w:val="28"/>
          <w:szCs w:val="28"/>
          <w:lang w:eastAsia="lv-LV"/>
        </w:rPr>
        <w:drawing>
          <wp:inline distT="0" distB="0" distL="0" distR="0">
            <wp:extent cx="6124354" cy="204145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4D3C" w:rsidRPr="00AB43F2" w:rsidRDefault="00BF4D3C" w:rsidP="00BF4D3C">
      <w:pPr>
        <w:ind w:right="-1" w:firstLine="567"/>
        <w:jc w:val="both"/>
        <w:rPr>
          <w:sz w:val="6"/>
          <w:szCs w:val="28"/>
        </w:rPr>
      </w:pPr>
    </w:p>
    <w:p w:rsidR="00BF4D3C" w:rsidRPr="00AB43F2" w:rsidRDefault="00BF4D3C" w:rsidP="00BF4D3C">
      <w:pPr>
        <w:ind w:firstLine="720"/>
        <w:jc w:val="both"/>
        <w:rPr>
          <w:bCs/>
          <w:sz w:val="18"/>
          <w:szCs w:val="28"/>
        </w:rPr>
      </w:pPr>
    </w:p>
    <w:p w:rsidR="00BF4D3C" w:rsidRPr="00EB5FEE" w:rsidRDefault="00BF4D3C" w:rsidP="00BF4D3C">
      <w:pPr>
        <w:pStyle w:val="Taksts11"/>
        <w:ind w:firstLine="720"/>
        <w:rPr>
          <w:bCs/>
          <w:sz w:val="28"/>
          <w:szCs w:val="28"/>
          <w:lang w:val="lv-LV"/>
        </w:rPr>
      </w:pPr>
      <w:r w:rsidRPr="002F7113">
        <w:rPr>
          <w:bCs/>
          <w:sz w:val="28"/>
          <w:szCs w:val="28"/>
          <w:lang w:val="lv-LV"/>
        </w:rPr>
        <w:t>Ņemot vērā lielo lejupslīdi 2008.-2010.gados, turpmākā izaugsme</w:t>
      </w:r>
      <w:r w:rsidR="006D42D0">
        <w:rPr>
          <w:bCs/>
          <w:sz w:val="28"/>
          <w:szCs w:val="28"/>
          <w:lang w:val="lv-LV"/>
        </w:rPr>
        <w:t xml:space="preserve"> to spēs kompensēt tikai 2015.gadā, savukārt</w:t>
      </w:r>
      <w:r w:rsidRPr="002F7113">
        <w:rPr>
          <w:bCs/>
          <w:sz w:val="28"/>
          <w:szCs w:val="28"/>
          <w:lang w:val="lv-LV"/>
        </w:rPr>
        <w:t xml:space="preserve"> </w:t>
      </w:r>
      <w:r>
        <w:rPr>
          <w:bCs/>
          <w:sz w:val="28"/>
          <w:szCs w:val="28"/>
          <w:lang w:val="lv-LV"/>
        </w:rPr>
        <w:t>bāzes</w:t>
      </w:r>
      <w:r w:rsidRPr="002F7113">
        <w:rPr>
          <w:bCs/>
          <w:sz w:val="28"/>
          <w:szCs w:val="28"/>
          <w:lang w:val="lv-LV"/>
        </w:rPr>
        <w:t xml:space="preserve"> scenārij</w:t>
      </w:r>
      <w:r w:rsidR="005014AA">
        <w:rPr>
          <w:bCs/>
          <w:sz w:val="28"/>
          <w:szCs w:val="28"/>
          <w:lang w:val="lv-LV"/>
        </w:rPr>
        <w:t>ā</w:t>
      </w:r>
      <w:r w:rsidRPr="002F7113">
        <w:rPr>
          <w:bCs/>
          <w:sz w:val="28"/>
          <w:szCs w:val="28"/>
          <w:lang w:val="lv-LV"/>
        </w:rPr>
        <w:t xml:space="preserve"> 2015.</w:t>
      </w:r>
      <w:r w:rsidR="00D46AEA">
        <w:rPr>
          <w:bCs/>
          <w:sz w:val="28"/>
          <w:szCs w:val="28"/>
          <w:lang w:val="lv-LV"/>
        </w:rPr>
        <w:t xml:space="preserve">gadā </w:t>
      </w:r>
      <w:r w:rsidR="005014AA">
        <w:rPr>
          <w:bCs/>
          <w:sz w:val="28"/>
          <w:szCs w:val="28"/>
          <w:lang w:val="lv-LV"/>
        </w:rPr>
        <w:t>tiks</w:t>
      </w:r>
      <w:r w:rsidR="00D46AEA">
        <w:rPr>
          <w:bCs/>
          <w:sz w:val="28"/>
          <w:szCs w:val="28"/>
          <w:lang w:val="lv-LV"/>
        </w:rPr>
        <w:t xml:space="preserve"> </w:t>
      </w:r>
      <w:r w:rsidR="005014AA">
        <w:rPr>
          <w:bCs/>
          <w:sz w:val="28"/>
          <w:szCs w:val="28"/>
          <w:lang w:val="lv-LV"/>
        </w:rPr>
        <w:t>sasniegts</w:t>
      </w:r>
      <w:r w:rsidR="00384400">
        <w:rPr>
          <w:bCs/>
          <w:sz w:val="28"/>
          <w:szCs w:val="28"/>
          <w:lang w:val="lv-LV"/>
        </w:rPr>
        <w:t xml:space="preserve"> tikai</w:t>
      </w:r>
      <w:r w:rsidR="00D46AEA">
        <w:rPr>
          <w:bCs/>
          <w:sz w:val="28"/>
          <w:szCs w:val="28"/>
          <w:lang w:val="lv-LV"/>
        </w:rPr>
        <w:t xml:space="preserve"> 2005</w:t>
      </w:r>
      <w:r w:rsidR="006D42D0">
        <w:rPr>
          <w:bCs/>
          <w:sz w:val="28"/>
          <w:szCs w:val="28"/>
          <w:lang w:val="lv-LV"/>
        </w:rPr>
        <w:t>.-2006</w:t>
      </w:r>
      <w:r w:rsidR="005014AA">
        <w:rPr>
          <w:bCs/>
          <w:sz w:val="28"/>
          <w:szCs w:val="28"/>
          <w:lang w:val="lv-LV"/>
        </w:rPr>
        <w:t>.gada vispārējais</w:t>
      </w:r>
      <w:r w:rsidRPr="002F7113">
        <w:rPr>
          <w:bCs/>
          <w:sz w:val="28"/>
          <w:szCs w:val="28"/>
          <w:lang w:val="lv-LV"/>
        </w:rPr>
        <w:t xml:space="preserve"> ienākumu līmeni</w:t>
      </w:r>
      <w:r w:rsidR="005014AA">
        <w:rPr>
          <w:bCs/>
          <w:sz w:val="28"/>
          <w:szCs w:val="28"/>
          <w:lang w:val="lv-LV"/>
        </w:rPr>
        <w:t>s</w:t>
      </w:r>
      <w:r w:rsidRPr="002F7113">
        <w:rPr>
          <w:bCs/>
          <w:sz w:val="28"/>
          <w:szCs w:val="28"/>
          <w:lang w:val="lv-LV"/>
        </w:rPr>
        <w:t>.</w:t>
      </w:r>
    </w:p>
    <w:p w:rsidR="00BF4D3C" w:rsidRPr="00813CDF" w:rsidRDefault="00BF4D3C" w:rsidP="00BF4D3C">
      <w:pPr>
        <w:pStyle w:val="BodyTextIndent"/>
        <w:spacing w:after="0"/>
        <w:ind w:left="0" w:firstLine="567"/>
        <w:jc w:val="both"/>
        <w:rPr>
          <w:color w:val="000000"/>
          <w:sz w:val="14"/>
          <w:szCs w:val="28"/>
          <w:lang w:val="lv-LV"/>
        </w:rPr>
      </w:pPr>
    </w:p>
    <w:p w:rsidR="00BF4D3C" w:rsidRDefault="00EA057A"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right"/>
        <w:rPr>
          <w:rFonts w:cs="Times New Roman"/>
          <w:szCs w:val="24"/>
        </w:rPr>
      </w:pPr>
      <w:r>
        <w:rPr>
          <w:rFonts w:cs="Times New Roman"/>
          <w:szCs w:val="24"/>
        </w:rPr>
        <w:t>5</w:t>
      </w:r>
      <w:r w:rsidR="00BF4D3C" w:rsidRPr="002B297F">
        <w:rPr>
          <w:rFonts w:cs="Times New Roman"/>
          <w:szCs w:val="24"/>
        </w:rPr>
        <w:t>.ielikums</w:t>
      </w:r>
    </w:p>
    <w:p w:rsidR="00BF4D3C"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center"/>
        <w:rPr>
          <w:rFonts w:cs="Times New Roman"/>
          <w:b/>
          <w:szCs w:val="24"/>
        </w:rPr>
      </w:pPr>
      <w:r>
        <w:rPr>
          <w:rFonts w:cs="Times New Roman"/>
          <w:b/>
          <w:szCs w:val="24"/>
        </w:rPr>
        <w:t>Prognožu izstrādes metodoloģija</w:t>
      </w:r>
    </w:p>
    <w:p w:rsidR="00BF4D3C" w:rsidRPr="00065247"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both"/>
        <w:rPr>
          <w:rFonts w:cs="Times New Roman"/>
          <w:sz w:val="14"/>
          <w:szCs w:val="24"/>
        </w:rPr>
      </w:pPr>
    </w:p>
    <w:p w:rsidR="00BF4D3C" w:rsidRPr="00580EF2"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both"/>
        <w:rPr>
          <w:rFonts w:cs="Times New Roman"/>
          <w:szCs w:val="24"/>
        </w:rPr>
      </w:pPr>
      <w:r w:rsidRPr="00A51091">
        <w:rPr>
          <w:rFonts w:cs="Times New Roman"/>
          <w:b/>
          <w:szCs w:val="24"/>
        </w:rPr>
        <w:t>Tautsaimniecības attīstības prognožu izstrādei</w:t>
      </w:r>
      <w:r>
        <w:rPr>
          <w:rFonts w:cs="Times New Roman"/>
          <w:szCs w:val="24"/>
        </w:rPr>
        <w:t xml:space="preserve"> tiek</w:t>
      </w:r>
      <w:r w:rsidRPr="00580EF2">
        <w:rPr>
          <w:rFonts w:cs="Times New Roman"/>
          <w:szCs w:val="24"/>
        </w:rPr>
        <w:t xml:space="preserve"> izmantots</w:t>
      </w:r>
      <w:r>
        <w:rPr>
          <w:rFonts w:cs="Times New Roman"/>
          <w:szCs w:val="24"/>
        </w:rPr>
        <w:t xml:space="preserve"> Latvijas ekonomikai pielāgots</w:t>
      </w:r>
      <w:r w:rsidRPr="00580EF2">
        <w:rPr>
          <w:rFonts w:cs="Times New Roman"/>
          <w:szCs w:val="24"/>
        </w:rPr>
        <w:t xml:space="preserve"> </w:t>
      </w:r>
      <w:r w:rsidRPr="00580EF2">
        <w:rPr>
          <w:rFonts w:cs="Times New Roman"/>
          <w:i/>
          <w:szCs w:val="24"/>
        </w:rPr>
        <w:t>Hermin</w:t>
      </w:r>
      <w:r w:rsidRPr="00580EF2">
        <w:rPr>
          <w:rFonts w:cs="Times New Roman"/>
          <w:szCs w:val="24"/>
        </w:rPr>
        <w:t xml:space="preserve"> vidēja termiņa modelis, kas ir balstīts uz tradicionālo keinsi</w:t>
      </w:r>
      <w:r>
        <w:rPr>
          <w:rFonts w:cs="Times New Roman"/>
          <w:szCs w:val="24"/>
        </w:rPr>
        <w:t>ā</w:t>
      </w:r>
      <w:r w:rsidRPr="00580EF2">
        <w:rPr>
          <w:rFonts w:cs="Times New Roman"/>
          <w:szCs w:val="24"/>
        </w:rPr>
        <w:t xml:space="preserve">nisko darbības mehānismu – izlaide ir atkarīga </w:t>
      </w:r>
      <w:r>
        <w:rPr>
          <w:rFonts w:cs="Times New Roman"/>
          <w:szCs w:val="24"/>
        </w:rPr>
        <w:t xml:space="preserve">gan no </w:t>
      </w:r>
      <w:r w:rsidRPr="00580EF2">
        <w:rPr>
          <w:rFonts w:cs="Times New Roman"/>
          <w:szCs w:val="24"/>
        </w:rPr>
        <w:t>iekšējā</w:t>
      </w:r>
      <w:r>
        <w:rPr>
          <w:rFonts w:cs="Times New Roman"/>
          <w:szCs w:val="24"/>
        </w:rPr>
        <w:t>, gan no ārējā</w:t>
      </w:r>
      <w:r w:rsidRPr="00580EF2">
        <w:rPr>
          <w:rFonts w:cs="Times New Roman"/>
          <w:szCs w:val="24"/>
        </w:rPr>
        <w:t xml:space="preserve"> pieprasījuma. Tomēr modelim piemīt arī neoklasiskās teorijas īpašības. Tā, piemēram, ražošanas apjomi apstrādes rūpniecības sektorā ir atkarīgi ne tikai no pieprasījuma, bet arī no cenu un izmaksu konkurētspējas. Turklāt, pieprasījums pēc ražošanas faktoriem tiek noteikts ar CES funkciju, kur kapitāla-darbaspēka attiecība ir atkarīga no relatīvām ražošanas faktoru izmaksām. Algu noteikšanas mehānisms iekļauj arī Fīlipa līknes īpašības, jo alg</w:t>
      </w:r>
      <w:r>
        <w:rPr>
          <w:rFonts w:cs="Times New Roman"/>
          <w:szCs w:val="24"/>
        </w:rPr>
        <w:t xml:space="preserve">u dinamika ir </w:t>
      </w:r>
      <w:r w:rsidRPr="00580EF2">
        <w:rPr>
          <w:rFonts w:cs="Times New Roman"/>
          <w:szCs w:val="24"/>
        </w:rPr>
        <w:t>s</w:t>
      </w:r>
      <w:r>
        <w:rPr>
          <w:rFonts w:cs="Times New Roman"/>
          <w:szCs w:val="24"/>
        </w:rPr>
        <w:t>aistīta arī</w:t>
      </w:r>
      <w:r w:rsidRPr="00580EF2">
        <w:rPr>
          <w:rFonts w:cs="Times New Roman"/>
          <w:szCs w:val="24"/>
        </w:rPr>
        <w:t xml:space="preserve"> </w:t>
      </w:r>
      <w:r>
        <w:rPr>
          <w:rFonts w:cs="Times New Roman"/>
          <w:szCs w:val="24"/>
        </w:rPr>
        <w:t xml:space="preserve">ar </w:t>
      </w:r>
      <w:r w:rsidRPr="00580EF2">
        <w:rPr>
          <w:rFonts w:cs="Times New Roman"/>
          <w:szCs w:val="24"/>
        </w:rPr>
        <w:t>bezdarba līme</w:t>
      </w:r>
      <w:r>
        <w:rPr>
          <w:rFonts w:cs="Times New Roman"/>
          <w:szCs w:val="24"/>
        </w:rPr>
        <w:t>ņa izmaiņām</w:t>
      </w:r>
      <w:r w:rsidRPr="00580EF2">
        <w:rPr>
          <w:rFonts w:cs="Times New Roman"/>
          <w:szCs w:val="24"/>
        </w:rPr>
        <w:t>. Tas arī dod iespēju analizēt relatīvo ražošanas faktoru izmaksu ietekmi.</w:t>
      </w:r>
    </w:p>
    <w:p w:rsidR="00BF4D3C"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both"/>
        <w:rPr>
          <w:rFonts w:cs="Times New Roman"/>
          <w:szCs w:val="24"/>
        </w:rPr>
      </w:pPr>
      <w:r w:rsidRPr="00580EF2">
        <w:rPr>
          <w:rFonts w:cs="Times New Roman"/>
          <w:szCs w:val="24"/>
        </w:rPr>
        <w:t>Kopumā modelis sastāv no vairāk kā 200 vienādojumiem. Daudzi vienādojumi ir iekļauti modelī ar mērķi palielināt modeļa caurskatāmību un savienojamību, turklāt liels īpatsvars ir identitātes vienādojumiem, kas ir ierasta prakse simultāno vienādojumu sistēmās, jo identitātes savieno nacionālo kontu mainīgos vienotā sistēmā.</w:t>
      </w:r>
      <w:r>
        <w:rPr>
          <w:rFonts w:cs="Times New Roman"/>
          <w:szCs w:val="24"/>
        </w:rPr>
        <w:t xml:space="preserve"> </w:t>
      </w:r>
      <w:r w:rsidRPr="00580EF2">
        <w:rPr>
          <w:rFonts w:cs="Times New Roman"/>
          <w:szCs w:val="24"/>
        </w:rPr>
        <w:t xml:space="preserve">Modeļa pamatu veido mazāks vienādojumu skaits, kur </w:t>
      </w:r>
      <w:r>
        <w:rPr>
          <w:rFonts w:cs="Times New Roman"/>
          <w:szCs w:val="24"/>
        </w:rPr>
        <w:t>vairāk kā</w:t>
      </w:r>
      <w:r w:rsidRPr="00580EF2">
        <w:rPr>
          <w:rFonts w:cs="Times New Roman"/>
          <w:szCs w:val="24"/>
        </w:rPr>
        <w:t xml:space="preserve"> 20 vienādojumi ir tieši ekonomikas subjektu uzvedības vienādojumi. </w:t>
      </w:r>
    </w:p>
    <w:p w:rsidR="00BF4D3C" w:rsidRPr="00580EF2"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both"/>
        <w:rPr>
          <w:rFonts w:cs="Times New Roman"/>
          <w:szCs w:val="24"/>
        </w:rPr>
      </w:pPr>
      <w:r w:rsidRPr="00580EF2">
        <w:rPr>
          <w:rFonts w:cs="Times New Roman"/>
          <w:szCs w:val="24"/>
        </w:rPr>
        <w:t>Galvenie uzvedības vienādojumi, kuri tika kalibrēti Latvijas HERMIN modeļa veidošanā, ir</w:t>
      </w:r>
      <w:r>
        <w:rPr>
          <w:rFonts w:cs="Times New Roman"/>
          <w:szCs w:val="24"/>
        </w:rPr>
        <w:t>:</w:t>
      </w:r>
      <w:r w:rsidRPr="00580EF2">
        <w:rPr>
          <w:rFonts w:cs="Times New Roman"/>
          <w:szCs w:val="24"/>
        </w:rPr>
        <w:t xml:space="preserve"> IKP</w:t>
      </w:r>
      <w:r>
        <w:rPr>
          <w:rFonts w:cs="Times New Roman"/>
          <w:szCs w:val="24"/>
        </w:rPr>
        <w:t xml:space="preserve"> no </w:t>
      </w:r>
      <w:r w:rsidRPr="00580EF2">
        <w:rPr>
          <w:rFonts w:cs="Times New Roman"/>
          <w:szCs w:val="24"/>
        </w:rPr>
        <w:t xml:space="preserve">ražošanas </w:t>
      </w:r>
      <w:r>
        <w:rPr>
          <w:rFonts w:cs="Times New Roman"/>
          <w:szCs w:val="24"/>
        </w:rPr>
        <w:t>aspekta, r</w:t>
      </w:r>
      <w:r w:rsidRPr="00580EF2">
        <w:rPr>
          <w:rFonts w:cs="Times New Roman"/>
          <w:szCs w:val="24"/>
        </w:rPr>
        <w:t>ažošanas faktoru pieprasī</w:t>
      </w:r>
      <w:r>
        <w:rPr>
          <w:rFonts w:cs="Times New Roman"/>
          <w:szCs w:val="24"/>
        </w:rPr>
        <w:t xml:space="preserve">juma noteikšana, </w:t>
      </w:r>
      <w:r w:rsidRPr="00580EF2">
        <w:rPr>
          <w:rFonts w:cs="Times New Roman"/>
          <w:szCs w:val="24"/>
        </w:rPr>
        <w:t xml:space="preserve">IKP deflators </w:t>
      </w:r>
      <w:r>
        <w:rPr>
          <w:rFonts w:cs="Times New Roman"/>
          <w:szCs w:val="24"/>
        </w:rPr>
        <w:t xml:space="preserve">no </w:t>
      </w:r>
      <w:r w:rsidRPr="00580EF2">
        <w:rPr>
          <w:rFonts w:cs="Times New Roman"/>
          <w:szCs w:val="24"/>
        </w:rPr>
        <w:t xml:space="preserve">ražošanas </w:t>
      </w:r>
      <w:r>
        <w:rPr>
          <w:rFonts w:cs="Times New Roman"/>
          <w:szCs w:val="24"/>
        </w:rPr>
        <w:t>aspekta, d</w:t>
      </w:r>
      <w:r w:rsidRPr="00580EF2">
        <w:rPr>
          <w:rFonts w:cs="Times New Roman"/>
          <w:szCs w:val="24"/>
        </w:rPr>
        <w:t>arba samaksa ražošanas sektorā</w:t>
      </w:r>
      <w:r>
        <w:rPr>
          <w:rFonts w:cs="Times New Roman"/>
          <w:szCs w:val="24"/>
        </w:rPr>
        <w:t xml:space="preserve">, </w:t>
      </w:r>
      <w:r w:rsidRPr="00580EF2">
        <w:rPr>
          <w:rFonts w:cs="Times New Roman"/>
          <w:szCs w:val="24"/>
        </w:rPr>
        <w:t>IKP pakalpojumu sektor</w:t>
      </w:r>
      <w:r>
        <w:rPr>
          <w:rFonts w:cs="Times New Roman"/>
          <w:szCs w:val="24"/>
        </w:rPr>
        <w:t>s, r</w:t>
      </w:r>
      <w:r w:rsidRPr="00580EF2">
        <w:rPr>
          <w:rFonts w:cs="Times New Roman"/>
          <w:szCs w:val="24"/>
        </w:rPr>
        <w:t>ažošanas faktoru pieprasījuma noteikšan</w:t>
      </w:r>
      <w:r>
        <w:rPr>
          <w:rFonts w:cs="Times New Roman"/>
          <w:szCs w:val="24"/>
        </w:rPr>
        <w:t>a, p</w:t>
      </w:r>
      <w:r w:rsidRPr="00580EF2">
        <w:rPr>
          <w:rFonts w:cs="Times New Roman"/>
          <w:szCs w:val="24"/>
        </w:rPr>
        <w:t xml:space="preserve">amatkapitāla veidošana </w:t>
      </w:r>
      <w:r>
        <w:rPr>
          <w:rFonts w:cs="Times New Roman"/>
          <w:szCs w:val="24"/>
        </w:rPr>
        <w:t>primārajās nozarēs, iedzīvotāju dalījums</w:t>
      </w:r>
      <w:r w:rsidRPr="00580EF2">
        <w:rPr>
          <w:rFonts w:cs="Times New Roman"/>
          <w:szCs w:val="24"/>
        </w:rPr>
        <w:t xml:space="preserve"> 3</w:t>
      </w:r>
      <w:r w:rsidR="005014AA">
        <w:rPr>
          <w:rFonts w:cs="Times New Roman"/>
          <w:szCs w:val="24"/>
        </w:rPr>
        <w:t> </w:t>
      </w:r>
      <w:r w:rsidRPr="00580EF2">
        <w:rPr>
          <w:rFonts w:cs="Times New Roman"/>
          <w:szCs w:val="24"/>
        </w:rPr>
        <w:t>kategorijās</w:t>
      </w:r>
      <w:r>
        <w:rPr>
          <w:rFonts w:cs="Times New Roman"/>
          <w:szCs w:val="24"/>
        </w:rPr>
        <w:t xml:space="preserve"> (</w:t>
      </w:r>
      <w:r w:rsidRPr="00580EF2">
        <w:rPr>
          <w:rFonts w:cs="Times New Roman"/>
          <w:szCs w:val="24"/>
        </w:rPr>
        <w:t>pirms darbspējas, darbspējas un pensijas vecuma</w:t>
      </w:r>
      <w:r>
        <w:rPr>
          <w:rFonts w:cs="Times New Roman"/>
          <w:szCs w:val="24"/>
        </w:rPr>
        <w:t>), m</w:t>
      </w:r>
      <w:r w:rsidRPr="00580EF2">
        <w:rPr>
          <w:rFonts w:cs="Times New Roman"/>
          <w:szCs w:val="24"/>
        </w:rPr>
        <w:t>igrācijas plūsma</w:t>
      </w:r>
      <w:r>
        <w:rPr>
          <w:rFonts w:cs="Times New Roman"/>
          <w:szCs w:val="24"/>
        </w:rPr>
        <w:t>, m</w:t>
      </w:r>
      <w:r w:rsidRPr="00580EF2">
        <w:rPr>
          <w:rFonts w:cs="Times New Roman"/>
          <w:szCs w:val="24"/>
        </w:rPr>
        <w:t>ājsaimniecību patēriņš</w:t>
      </w:r>
      <w:r>
        <w:rPr>
          <w:rFonts w:cs="Times New Roman"/>
          <w:szCs w:val="24"/>
        </w:rPr>
        <w:t>, k</w:t>
      </w:r>
      <w:r w:rsidRPr="00580EF2">
        <w:rPr>
          <w:rFonts w:cs="Times New Roman"/>
          <w:szCs w:val="24"/>
        </w:rPr>
        <w:t>rājumu izmaiņas</w:t>
      </w:r>
      <w:r>
        <w:rPr>
          <w:rFonts w:cs="Times New Roman"/>
          <w:szCs w:val="24"/>
        </w:rPr>
        <w:t>, investīciju un p</w:t>
      </w:r>
      <w:r w:rsidRPr="00580EF2">
        <w:rPr>
          <w:rFonts w:cs="Times New Roman"/>
          <w:szCs w:val="24"/>
        </w:rPr>
        <w:t>rivāta patēriņa deflato</w:t>
      </w:r>
      <w:r>
        <w:rPr>
          <w:rFonts w:cs="Times New Roman"/>
          <w:szCs w:val="24"/>
        </w:rPr>
        <w:t>ri</w:t>
      </w:r>
      <w:r w:rsidRPr="00580EF2">
        <w:rPr>
          <w:rFonts w:cs="Times New Roman"/>
          <w:szCs w:val="24"/>
        </w:rPr>
        <w:t>.</w:t>
      </w:r>
    </w:p>
    <w:p w:rsidR="00BF4D3C"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both"/>
        <w:rPr>
          <w:rFonts w:cs="Times New Roman"/>
          <w:szCs w:val="24"/>
        </w:rPr>
      </w:pPr>
      <w:r w:rsidRPr="00580EF2">
        <w:rPr>
          <w:rFonts w:cs="Times New Roman"/>
          <w:szCs w:val="24"/>
        </w:rPr>
        <w:lastRenderedPageBreak/>
        <w:t xml:space="preserve">Modelī ir izmantoti dati no CSP, EUROSTAT un AMECO datubāzēm. Lai palielinātu aprēķinu precizitāti tiek ņemts maksimāli pieejamais laika rindu garums, t.i. dati par laika periodu no 1995.gada līdz 2008.gadam. Tā kā vienādojumu skaits modelī ir vairāk par 200, tas nozīmē, ka arī endogeno mainīgo skaits ir līdzīgs. Papildus mainīgo ģenerācijai no ieejas datiem tika izmantota datorprogramma </w:t>
      </w:r>
      <w:r w:rsidRPr="00A51091">
        <w:rPr>
          <w:rFonts w:cs="Times New Roman"/>
          <w:i/>
          <w:szCs w:val="24"/>
        </w:rPr>
        <w:t>TSP 4.5</w:t>
      </w:r>
      <w:r w:rsidRPr="00580EF2">
        <w:rPr>
          <w:rFonts w:cs="Times New Roman"/>
          <w:szCs w:val="24"/>
        </w:rPr>
        <w:t xml:space="preserve"> – ekonometriskās analīzes pakete.</w:t>
      </w:r>
      <w:r>
        <w:rPr>
          <w:rFonts w:cs="Times New Roman"/>
          <w:szCs w:val="24"/>
        </w:rPr>
        <w:t xml:space="preserve"> </w:t>
      </w:r>
      <w:r w:rsidRPr="00580EF2">
        <w:rPr>
          <w:rFonts w:cs="Times New Roman"/>
          <w:szCs w:val="24"/>
        </w:rPr>
        <w:t xml:space="preserve">Visi uzvedības vienādojumu parametri tika novērtēti ar </w:t>
      </w:r>
      <w:r>
        <w:rPr>
          <w:rFonts w:cs="Times New Roman"/>
          <w:szCs w:val="24"/>
        </w:rPr>
        <w:t>Mazāko kvadrātu metodi (</w:t>
      </w:r>
      <w:r w:rsidRPr="00580EF2">
        <w:rPr>
          <w:rFonts w:cs="Times New Roman"/>
          <w:szCs w:val="24"/>
        </w:rPr>
        <w:t>MKM</w:t>
      </w:r>
      <w:r>
        <w:rPr>
          <w:rFonts w:cs="Times New Roman"/>
          <w:szCs w:val="24"/>
        </w:rPr>
        <w:t>)</w:t>
      </w:r>
      <w:r w:rsidRPr="00580EF2">
        <w:rPr>
          <w:rFonts w:cs="Times New Roman"/>
          <w:szCs w:val="24"/>
        </w:rPr>
        <w:t xml:space="preserve">, izmantojot </w:t>
      </w:r>
      <w:r w:rsidRPr="00A51091">
        <w:rPr>
          <w:rFonts w:cs="Times New Roman"/>
          <w:i/>
          <w:szCs w:val="24"/>
        </w:rPr>
        <w:t>Eviews 6.0</w:t>
      </w:r>
      <w:r w:rsidRPr="00580EF2">
        <w:rPr>
          <w:rFonts w:cs="Times New Roman"/>
          <w:szCs w:val="24"/>
        </w:rPr>
        <w:t xml:space="preserve"> ekonometrisko paketi. Tie parametri, kuri tika kalibrēti vai mākslīgi izveidoti</w:t>
      </w:r>
      <w:r w:rsidR="004266E1">
        <w:rPr>
          <w:rFonts w:cs="Times New Roman"/>
          <w:szCs w:val="24"/>
        </w:rPr>
        <w:t>,</w:t>
      </w:r>
      <w:r w:rsidRPr="00580EF2">
        <w:rPr>
          <w:rFonts w:cs="Times New Roman"/>
          <w:szCs w:val="24"/>
        </w:rPr>
        <w:t xml:space="preserve"> ņemot vērā attiecīgus pieņēmumus, </w:t>
      </w:r>
      <w:r>
        <w:rPr>
          <w:rFonts w:cs="Times New Roman"/>
          <w:szCs w:val="24"/>
        </w:rPr>
        <w:t>ir saskaņā ar ekonomisko teoriju</w:t>
      </w:r>
      <w:r w:rsidRPr="00580EF2">
        <w:rPr>
          <w:rFonts w:cs="Times New Roman"/>
          <w:szCs w:val="24"/>
        </w:rPr>
        <w:t>.</w:t>
      </w:r>
    </w:p>
    <w:p w:rsidR="00BF4D3C" w:rsidRPr="002F7113"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both"/>
        <w:rPr>
          <w:rFonts w:cs="Times New Roman"/>
          <w:sz w:val="8"/>
          <w:szCs w:val="8"/>
        </w:rPr>
      </w:pPr>
    </w:p>
    <w:p w:rsidR="00BF4D3C" w:rsidRPr="00A51091"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both"/>
        <w:rPr>
          <w:rFonts w:cs="Times New Roman"/>
          <w:szCs w:val="24"/>
        </w:rPr>
      </w:pPr>
      <w:r w:rsidRPr="00A51091">
        <w:rPr>
          <w:rFonts w:cs="Times New Roman"/>
          <w:b/>
          <w:szCs w:val="24"/>
        </w:rPr>
        <w:t>Latvijas darba tirgus vidēja termiņa prognožu sagatavošanā</w:t>
      </w:r>
      <w:r>
        <w:rPr>
          <w:rFonts w:cs="Times New Roman"/>
          <w:szCs w:val="24"/>
        </w:rPr>
        <w:t xml:space="preserve"> ti</w:t>
      </w:r>
      <w:r w:rsidRPr="00A51091">
        <w:rPr>
          <w:rFonts w:cs="Times New Roman"/>
          <w:szCs w:val="24"/>
        </w:rPr>
        <w:t>k</w:t>
      </w:r>
      <w:r>
        <w:rPr>
          <w:rFonts w:cs="Times New Roman"/>
          <w:szCs w:val="24"/>
        </w:rPr>
        <w:t>a</w:t>
      </w:r>
      <w:r w:rsidRPr="00A51091">
        <w:rPr>
          <w:rFonts w:cs="Times New Roman"/>
          <w:szCs w:val="24"/>
        </w:rPr>
        <w:t xml:space="preserve"> izmantots Dinamisk</w:t>
      </w:r>
      <w:r>
        <w:rPr>
          <w:rFonts w:cs="Times New Roman"/>
          <w:szCs w:val="24"/>
        </w:rPr>
        <w:t xml:space="preserve">ais optimizācijas modelis (DOM), kura </w:t>
      </w:r>
      <w:r w:rsidRPr="00A51091">
        <w:rPr>
          <w:rFonts w:cs="Times New Roman"/>
          <w:szCs w:val="24"/>
        </w:rPr>
        <w:t xml:space="preserve">pamatā ir sistēmdinamikas pieeja un tas darbojās </w:t>
      </w:r>
      <w:r w:rsidRPr="00A51091">
        <w:rPr>
          <w:rFonts w:cs="Times New Roman"/>
          <w:i/>
          <w:szCs w:val="24"/>
        </w:rPr>
        <w:t>Powersim Studio</w:t>
      </w:r>
      <w:r w:rsidRPr="00A51091">
        <w:rPr>
          <w:rFonts w:cs="Times New Roman"/>
          <w:szCs w:val="24"/>
        </w:rPr>
        <w:t xml:space="preserve"> vidē. DOM sastāv no trīs pamatmoduļiem: sabiedrības moduļa, tautsaimniecības moduļa un darba tirgus moduļa. Tautsaimniecības modulī veidojās darbaspēka pieprasījums, sabiedrības modulī – darbaspēka piedāvājums, bet darba tirgus modulis kalpo kā abu šo pušu līdzsvarošanas mehānisms. Visi moduļi ir savstarpēji saistīti un viens otru papildinoši. Pieprasījuma puse tiek modelēta balstoties uz tautsaimniecības attīstības prognozēm (scenārijiem) nozaru griezumā. Izmaiņas nodarbināto skaita struktūrā katrai nozarei sadalījumā pa profesiju grupām pamatojas uz vēsturiskajiem datiem un prognozējamām izmaiņām, balstoties uz ekspertu vērtējumu.</w:t>
      </w:r>
    </w:p>
    <w:p w:rsidR="00BF4D3C" w:rsidRDefault="00BF4D3C" w:rsidP="00BF4D3C">
      <w:pPr>
        <w:pBdr>
          <w:top w:val="single" w:sz="4" w:space="7" w:color="auto"/>
          <w:left w:val="single" w:sz="4" w:space="7" w:color="auto"/>
          <w:bottom w:val="single" w:sz="4" w:space="7" w:color="auto"/>
          <w:right w:val="single" w:sz="4" w:space="7" w:color="auto"/>
        </w:pBdr>
        <w:shd w:val="clear" w:color="auto" w:fill="DDD9C3" w:themeFill="background2" w:themeFillShade="E6"/>
        <w:ind w:firstLine="567"/>
        <w:jc w:val="both"/>
        <w:rPr>
          <w:rFonts w:cs="Times New Roman"/>
          <w:szCs w:val="24"/>
        </w:rPr>
      </w:pPr>
      <w:r w:rsidRPr="00A51091">
        <w:rPr>
          <w:rFonts w:cs="Times New Roman"/>
          <w:szCs w:val="24"/>
        </w:rPr>
        <w:t>Piedāvājuma puse balstās uz demogrāfijas prognozēm sadalījumā pa vecuma grupām un iedzīvotāju ekonomiskās aktivitātes prognozēm, kā arī izejas datiem par pašreizējo darbaspēka piedāvājumu un potenciālo darbaspēka piedāvāju</w:t>
      </w:r>
      <w:r w:rsidR="004266E1">
        <w:rPr>
          <w:rFonts w:cs="Times New Roman"/>
          <w:szCs w:val="24"/>
        </w:rPr>
        <w:t>mu</w:t>
      </w:r>
      <w:r w:rsidRPr="00A51091">
        <w:rPr>
          <w:rFonts w:cs="Times New Roman"/>
          <w:szCs w:val="24"/>
        </w:rPr>
        <w:t xml:space="preserve">, ko raksturo studējošie dažādos studiju līmeņos un disciplīnās bāzes gadā. </w:t>
      </w:r>
      <w:r>
        <w:rPr>
          <w:rFonts w:cs="Times New Roman"/>
          <w:szCs w:val="24"/>
        </w:rPr>
        <w:t>V</w:t>
      </w:r>
      <w:r w:rsidRPr="00A51091">
        <w:rPr>
          <w:rFonts w:cs="Times New Roman"/>
          <w:szCs w:val="24"/>
        </w:rPr>
        <w:t xml:space="preserve">idēja termiņa darbaspēka piedāvājuma prognozes ataino situāciju, kāda var veidoties darba tirgū prognozējamā periodā, ja izglītības sistēmā nebūs notikušas izmaiņas salīdzinājumā ar pašreizējo situāciju. </w:t>
      </w:r>
    </w:p>
    <w:p w:rsidR="00BF4D3C" w:rsidRDefault="00BF4D3C" w:rsidP="00BF4D3C">
      <w:pPr>
        <w:pBdr>
          <w:top w:val="single" w:sz="4" w:space="7" w:color="auto"/>
          <w:left w:val="single" w:sz="4" w:space="7" w:color="auto"/>
          <w:bottom w:val="single" w:sz="4" w:space="7" w:color="auto"/>
          <w:right w:val="single" w:sz="4" w:space="7" w:color="auto"/>
        </w:pBdr>
        <w:shd w:val="clear" w:color="auto" w:fill="DDD9C3"/>
        <w:ind w:firstLine="567"/>
        <w:jc w:val="both"/>
        <w:rPr>
          <w:rFonts w:cs="Times New Roman"/>
          <w:szCs w:val="24"/>
        </w:rPr>
      </w:pPr>
      <w:r w:rsidRPr="002F7113">
        <w:rPr>
          <w:rFonts w:cs="Times New Roman"/>
          <w:b/>
          <w:szCs w:val="24"/>
        </w:rPr>
        <w:t>Starpnozaru sakaru novērtējumam</w:t>
      </w:r>
      <w:r>
        <w:rPr>
          <w:rFonts w:cs="Times New Roman"/>
          <w:szCs w:val="24"/>
        </w:rPr>
        <w:t xml:space="preserve"> tiek izmantotas i</w:t>
      </w:r>
      <w:r w:rsidRPr="002F7113">
        <w:rPr>
          <w:rFonts w:eastAsia="Calibri" w:cs="Times New Roman"/>
          <w:szCs w:val="24"/>
        </w:rPr>
        <w:t>zmaksu</w:t>
      </w:r>
      <w:r>
        <w:rPr>
          <w:rFonts w:eastAsia="Calibri" w:cs="Times New Roman"/>
          <w:szCs w:val="24"/>
        </w:rPr>
        <w:t>-i</w:t>
      </w:r>
      <w:r w:rsidRPr="002F7113">
        <w:rPr>
          <w:rFonts w:eastAsia="Calibri" w:cs="Times New Roman"/>
          <w:szCs w:val="24"/>
        </w:rPr>
        <w:t>zlaides tabulas (IIT)</w:t>
      </w:r>
      <w:r>
        <w:rPr>
          <w:rFonts w:cs="Times New Roman"/>
          <w:szCs w:val="24"/>
        </w:rPr>
        <w:t>, kas</w:t>
      </w:r>
      <w:r w:rsidRPr="002F7113">
        <w:rPr>
          <w:rFonts w:eastAsia="Calibri" w:cs="Times New Roman"/>
          <w:szCs w:val="24"/>
        </w:rPr>
        <w:t xml:space="preserve"> uzskatāma par visas valsts tautsaimniecības modeli, kur vienotā tabulu sistēmā sīkā nozaru detalizācijā redzamas preču un pakalpojumu plūsmas, starpnozaru un ārējie ekonomiskie sakari, izmaiņas ražošanas tehnoloģijā, iekšzemes kopprodukta veidošanās un tā izlietošan</w:t>
      </w:r>
      <w:r>
        <w:rPr>
          <w:rFonts w:eastAsia="Calibri" w:cs="Times New Roman"/>
          <w:szCs w:val="24"/>
        </w:rPr>
        <w:t>ā</w:t>
      </w:r>
      <w:r w:rsidRPr="002F7113">
        <w:rPr>
          <w:rFonts w:eastAsia="Calibri" w:cs="Times New Roman"/>
          <w:szCs w:val="24"/>
        </w:rPr>
        <w:t>, redzams, kā katras nozares attīstība vai sašaurināšanās ietekmē visu pārējo nozaru attīstību un kā panākt sabalansētību starp produkcijas ražošanu un ārējiem ekonomiskajiem darījumiem katrā nozarē / katram produktam un visā tautsaimniecībā kopā. IIT galvenie nacionālo kontu sistēmas rādītāji tiek atspoguļoti vienotās tabulās sadalījumā pa</w:t>
      </w:r>
      <w:r>
        <w:rPr>
          <w:rFonts w:eastAsia="Calibri" w:cs="Times New Roman"/>
          <w:szCs w:val="24"/>
        </w:rPr>
        <w:t xml:space="preserve"> nozaru (</w:t>
      </w:r>
      <w:r w:rsidRPr="002F7113">
        <w:rPr>
          <w:rFonts w:eastAsia="Calibri" w:cs="Times New Roman"/>
          <w:szCs w:val="24"/>
        </w:rPr>
        <w:t>produktu) veidiem, un, tāpat kā nacionālo kontu sistēmā, resursi ir sabalansēti ar izlietojumu.</w:t>
      </w:r>
    </w:p>
    <w:p w:rsidR="00BF4D3C" w:rsidRPr="007243B5" w:rsidRDefault="00BF4D3C" w:rsidP="00BF4D3C">
      <w:pPr>
        <w:pBdr>
          <w:top w:val="single" w:sz="4" w:space="7" w:color="auto"/>
          <w:left w:val="single" w:sz="4" w:space="7" w:color="auto"/>
          <w:bottom w:val="single" w:sz="4" w:space="7" w:color="auto"/>
          <w:right w:val="single" w:sz="4" w:space="7" w:color="auto"/>
        </w:pBdr>
        <w:shd w:val="clear" w:color="auto" w:fill="DDD9C3"/>
        <w:ind w:firstLine="567"/>
        <w:jc w:val="both"/>
        <w:rPr>
          <w:rFonts w:eastAsia="Calibri" w:cs="Times New Roman"/>
        </w:rPr>
      </w:pPr>
      <w:r>
        <w:t>A</w:t>
      </w:r>
      <w:r w:rsidRPr="00E90C74">
        <w:t>tražošanas procesā izveidojas sarežģīti ražošanas sakari starp nozarēm un produkcijas veidiem</w:t>
      </w:r>
      <w:r>
        <w:t xml:space="preserve"> un š</w:t>
      </w:r>
      <w:r w:rsidRPr="00E90C74">
        <w:t>o sakaru izteikšanai nepietiek noteikt tikai vien</w:t>
      </w:r>
      <w:r>
        <w:t>a</w:t>
      </w:r>
      <w:r w:rsidRPr="00E90C74">
        <w:t xml:space="preserve"> produkt</w:t>
      </w:r>
      <w:r>
        <w:t>a</w:t>
      </w:r>
      <w:r w:rsidRPr="00E90C74">
        <w:t xml:space="preserve"> tiešās iz</w:t>
      </w:r>
      <w:r>
        <w:t xml:space="preserve">maksas citu produktu ražošanai. Tādēļ pilnvērtīgas analīzes veikšanai tika aprēķināti </w:t>
      </w:r>
      <w:r w:rsidRPr="00E90C74">
        <w:t>arī sarežģītie netiešie sakari, kuri izveidoj</w:t>
      </w:r>
      <w:r>
        <w:t>a</w:t>
      </w:r>
      <w:r w:rsidRPr="00E90C74">
        <w:t>s darba dalīšanas rezultātā.</w:t>
      </w:r>
      <w:r>
        <w:t xml:space="preserve"> Analīzes pamatā tika izmantota</w:t>
      </w:r>
      <w:r w:rsidRPr="00E90C74">
        <w:t xml:space="preserve"> </w:t>
      </w:r>
      <w:r>
        <w:t>atjaunota iekšzemes s</w:t>
      </w:r>
      <w:r w:rsidRPr="00EF4FE3">
        <w:rPr>
          <w:rFonts w:eastAsia="Calibri" w:cs="Times New Roman"/>
        </w:rPr>
        <w:t xml:space="preserve">imetriskā </w:t>
      </w:r>
      <w:r>
        <w:rPr>
          <w:rFonts w:eastAsia="Calibri" w:cs="Times New Roman"/>
        </w:rPr>
        <w:t>izmaksu-izlaides tabula</w:t>
      </w:r>
      <w:r w:rsidRPr="00EF4FE3">
        <w:rPr>
          <w:rFonts w:eastAsia="Calibri" w:cs="Times New Roman"/>
        </w:rPr>
        <w:t>, kas apvieno informāciju par piedāvāju</w:t>
      </w:r>
      <w:r>
        <w:rPr>
          <w:rFonts w:eastAsia="Calibri" w:cs="Times New Roman"/>
        </w:rPr>
        <w:t xml:space="preserve">mu un izlietojumu vienā tabulā un </w:t>
      </w:r>
      <w:r w:rsidRPr="00EF4FE3">
        <w:rPr>
          <w:rFonts w:eastAsia="Calibri" w:cs="Times New Roman"/>
        </w:rPr>
        <w:t>detalizēti raksturo nacionālās ekonomikas iekšzemes ražošanas procesus un produktu darījumus.</w:t>
      </w:r>
      <w:r>
        <w:rPr>
          <w:rFonts w:eastAsia="Calibri" w:cs="Times New Roman"/>
        </w:rPr>
        <w:t xml:space="preserve"> Aprēķinātie pilno izmaksu koeficienti, </w:t>
      </w:r>
      <w:r w:rsidRPr="00E90C74">
        <w:t>kas apvieno viena produkta tiešās un netiešās izmaksas otra produkta ražošanai vis</w:t>
      </w:r>
      <w:r>
        <w:t>ās starpnozaru sakaru stadijās,</w:t>
      </w:r>
      <w:r>
        <w:rPr>
          <w:rFonts w:eastAsia="Calibri" w:cs="Times New Roman"/>
        </w:rPr>
        <w:t xml:space="preserve"> ļauj noteikt </w:t>
      </w:r>
      <w:r w:rsidRPr="00E90C74">
        <w:t>kopējo viena produkta daudzumu, kas vajadzīgs otra produkta ra</w:t>
      </w:r>
      <w:r>
        <w:t>žošanai visos ražošanas posmos.</w:t>
      </w:r>
    </w:p>
    <w:p w:rsidR="00BF4D3C" w:rsidRPr="00EB5FEE" w:rsidRDefault="00BF4D3C" w:rsidP="00BF4D3C">
      <w:pPr>
        <w:pStyle w:val="BodyTextIndent"/>
        <w:spacing w:after="0"/>
        <w:ind w:left="0" w:firstLine="567"/>
        <w:jc w:val="both"/>
        <w:rPr>
          <w:color w:val="000000"/>
          <w:sz w:val="28"/>
          <w:szCs w:val="28"/>
          <w:lang w:val="lv-LV"/>
        </w:rPr>
      </w:pPr>
    </w:p>
    <w:p w:rsidR="00EA057A" w:rsidRDefault="00EA057A" w:rsidP="00BF4D3C">
      <w:pPr>
        <w:pStyle w:val="Heading3"/>
        <w:rPr>
          <w:sz w:val="28"/>
        </w:rPr>
      </w:pPr>
      <w:bookmarkStart w:id="14" w:name="_Toc239501354"/>
    </w:p>
    <w:p w:rsidR="00BF4D3C" w:rsidRPr="00BF4D3C" w:rsidRDefault="00BF4D3C" w:rsidP="00BF4D3C">
      <w:pPr>
        <w:pStyle w:val="Heading3"/>
        <w:rPr>
          <w:sz w:val="28"/>
        </w:rPr>
      </w:pPr>
      <w:bookmarkStart w:id="15" w:name="_Toc242510362"/>
      <w:r w:rsidRPr="00BF4D3C">
        <w:rPr>
          <w:sz w:val="28"/>
        </w:rPr>
        <w:t>1.4. Nozaru ieguldījums izaugsmē</w:t>
      </w:r>
      <w:bookmarkEnd w:id="14"/>
      <w:bookmarkEnd w:id="15"/>
    </w:p>
    <w:p w:rsidR="00EA057A" w:rsidRPr="006B3005" w:rsidRDefault="00EA057A" w:rsidP="00BF4D3C">
      <w:pPr>
        <w:rPr>
          <w:sz w:val="12"/>
        </w:rPr>
      </w:pPr>
    </w:p>
    <w:p w:rsidR="00BF4D3C" w:rsidRPr="00EB5FEE" w:rsidRDefault="00BF4D3C" w:rsidP="00BF4D3C">
      <w:pPr>
        <w:ind w:firstLine="567"/>
        <w:jc w:val="both"/>
        <w:rPr>
          <w:rFonts w:cs="Times New Roman"/>
          <w:sz w:val="28"/>
          <w:szCs w:val="28"/>
        </w:rPr>
      </w:pPr>
      <w:r w:rsidRPr="00EB5FEE">
        <w:rPr>
          <w:rFonts w:cs="Times New Roman"/>
          <w:sz w:val="28"/>
          <w:szCs w:val="28"/>
        </w:rPr>
        <w:t>Izstrādājot prognozes tika ņemts vērā gan pašreizējais krīzes dziļums, gan nozaru attīstības potenciāls vidējā termiņā, gan tas, kā mainās ekonomikas paradigma</w:t>
      </w:r>
      <w:r>
        <w:rPr>
          <w:rFonts w:cs="Times New Roman"/>
          <w:sz w:val="28"/>
          <w:szCs w:val="28"/>
        </w:rPr>
        <w:t> </w:t>
      </w:r>
      <w:r w:rsidRPr="00EB5FEE">
        <w:rPr>
          <w:rFonts w:cs="Times New Roman"/>
          <w:sz w:val="28"/>
          <w:szCs w:val="28"/>
        </w:rPr>
        <w:t>– izaugsmes stimuls no iekšējā tirgus uz ārējo. Tāpat</w:t>
      </w:r>
      <w:r>
        <w:rPr>
          <w:rFonts w:cs="Times New Roman"/>
          <w:sz w:val="28"/>
          <w:szCs w:val="28"/>
        </w:rPr>
        <w:t>,</w:t>
      </w:r>
      <w:r w:rsidRPr="00EB5FEE">
        <w:rPr>
          <w:rFonts w:cs="Times New Roman"/>
          <w:sz w:val="28"/>
          <w:szCs w:val="28"/>
        </w:rPr>
        <w:t xml:space="preserve"> prognozējot nozaru attīstību</w:t>
      </w:r>
      <w:r>
        <w:rPr>
          <w:rFonts w:cs="Times New Roman"/>
          <w:sz w:val="28"/>
          <w:szCs w:val="28"/>
        </w:rPr>
        <w:t>,</w:t>
      </w:r>
      <w:r w:rsidRPr="00EB5FEE">
        <w:rPr>
          <w:rFonts w:cs="Times New Roman"/>
          <w:sz w:val="28"/>
          <w:szCs w:val="28"/>
        </w:rPr>
        <w:t xml:space="preserve"> tiek ņemts vērā nozares salīdzinošās priekšrocības, </w:t>
      </w:r>
      <w:r>
        <w:rPr>
          <w:rFonts w:cs="Times New Roman"/>
          <w:sz w:val="28"/>
          <w:szCs w:val="28"/>
        </w:rPr>
        <w:t>pieejamais cilvēkkapitāls un</w:t>
      </w:r>
      <w:r w:rsidRPr="00EB5FEE">
        <w:rPr>
          <w:rFonts w:cs="Times New Roman"/>
          <w:sz w:val="28"/>
          <w:szCs w:val="28"/>
        </w:rPr>
        <w:t xml:space="preserve"> citi ietekmējošie faktori. </w:t>
      </w:r>
    </w:p>
    <w:p w:rsidR="00BF4D3C" w:rsidRDefault="00BF4D3C" w:rsidP="00BF4D3C">
      <w:pPr>
        <w:ind w:firstLine="567"/>
        <w:jc w:val="both"/>
        <w:rPr>
          <w:rFonts w:cs="Times New Roman"/>
          <w:sz w:val="28"/>
          <w:szCs w:val="28"/>
        </w:rPr>
      </w:pPr>
      <w:r>
        <w:rPr>
          <w:rFonts w:cs="Times New Roman"/>
          <w:sz w:val="28"/>
          <w:szCs w:val="28"/>
        </w:rPr>
        <w:lastRenderedPageBreak/>
        <w:t>L</w:t>
      </w:r>
      <w:r w:rsidRPr="00EB5FEE">
        <w:rPr>
          <w:rFonts w:cs="Times New Roman"/>
          <w:sz w:val="28"/>
          <w:szCs w:val="28"/>
        </w:rPr>
        <w:t xml:space="preserve">aika periodā no 2008.-2010.gadam IKP samazināsies par </w:t>
      </w:r>
      <w:r>
        <w:rPr>
          <w:rFonts w:cs="Times New Roman"/>
          <w:sz w:val="28"/>
          <w:szCs w:val="28"/>
        </w:rPr>
        <w:t>23</w:t>
      </w:r>
      <w:r w:rsidRPr="00EB5FEE">
        <w:rPr>
          <w:rFonts w:cs="Times New Roman"/>
          <w:sz w:val="28"/>
          <w:szCs w:val="28"/>
        </w:rPr>
        <w:t xml:space="preserve">%, t.i. par 2/3 no pieauguma, ko Latvija </w:t>
      </w:r>
      <w:r>
        <w:rPr>
          <w:rFonts w:cs="Times New Roman"/>
          <w:sz w:val="28"/>
          <w:szCs w:val="28"/>
        </w:rPr>
        <w:t>panāca no 2004.-2007.gadam</w:t>
      </w:r>
      <w:r w:rsidRPr="00EB5FEE">
        <w:rPr>
          <w:rFonts w:cs="Times New Roman"/>
          <w:sz w:val="28"/>
          <w:szCs w:val="28"/>
        </w:rPr>
        <w:t xml:space="preserve">. </w:t>
      </w:r>
      <w:r w:rsidR="00384400">
        <w:rPr>
          <w:rFonts w:cs="Times New Roman"/>
          <w:sz w:val="28"/>
          <w:szCs w:val="28"/>
        </w:rPr>
        <w:t>M</w:t>
      </w:r>
      <w:r w:rsidR="00813CDF">
        <w:rPr>
          <w:rFonts w:cs="Times New Roman"/>
          <w:sz w:val="28"/>
          <w:szCs w:val="28"/>
        </w:rPr>
        <w:t xml:space="preserve">ērķa scenārijā </w:t>
      </w:r>
      <w:r w:rsidR="00384400">
        <w:rPr>
          <w:rFonts w:cs="Times New Roman"/>
          <w:sz w:val="28"/>
          <w:szCs w:val="28"/>
        </w:rPr>
        <w:t>līdz 2015.gadam</w:t>
      </w:r>
      <w:r w:rsidRPr="00EB5FEE">
        <w:rPr>
          <w:rFonts w:cs="Times New Roman"/>
          <w:sz w:val="28"/>
          <w:szCs w:val="28"/>
        </w:rPr>
        <w:t xml:space="preserve"> izaugsme atgriezīsies 2007.gada līmen</w:t>
      </w:r>
      <w:r w:rsidR="00813CDF">
        <w:rPr>
          <w:rFonts w:cs="Times New Roman"/>
          <w:sz w:val="28"/>
          <w:szCs w:val="28"/>
        </w:rPr>
        <w:t>ī</w:t>
      </w:r>
      <w:r>
        <w:rPr>
          <w:rFonts w:cs="Times New Roman"/>
          <w:sz w:val="28"/>
          <w:szCs w:val="28"/>
        </w:rPr>
        <w:t>. Galvenajam izaugsmes stimulam</w:t>
      </w:r>
      <w:r w:rsidRPr="00EB5FEE">
        <w:rPr>
          <w:rFonts w:cs="Times New Roman"/>
          <w:sz w:val="28"/>
          <w:szCs w:val="28"/>
        </w:rPr>
        <w:t xml:space="preserve"> atšķirībā no iepriekšējiem gadiem ir jābūt eksportam, kā arī spējai aizstāt daļu no importa ar pašmāju ražojumiem.</w:t>
      </w:r>
      <w:r w:rsidRPr="00CD72F8">
        <w:rPr>
          <w:rFonts w:cs="Times New Roman"/>
          <w:sz w:val="28"/>
          <w:szCs w:val="28"/>
        </w:rPr>
        <w:t xml:space="preserve"> </w:t>
      </w:r>
    </w:p>
    <w:p w:rsidR="00BF4D3C" w:rsidRDefault="00BF4D3C" w:rsidP="00BF4D3C">
      <w:pPr>
        <w:ind w:firstLine="567"/>
        <w:jc w:val="both"/>
        <w:rPr>
          <w:rFonts w:cs="Times New Roman"/>
          <w:sz w:val="28"/>
          <w:szCs w:val="28"/>
        </w:rPr>
      </w:pPr>
      <w:r w:rsidRPr="00EB5FEE">
        <w:rPr>
          <w:rFonts w:cs="Times New Roman"/>
          <w:sz w:val="28"/>
          <w:szCs w:val="28"/>
        </w:rPr>
        <w:t xml:space="preserve">Lai nodrošinātu šādu attīstības scenāriju, nepieciešams, lai </w:t>
      </w:r>
      <w:r w:rsidR="00F62882">
        <w:rPr>
          <w:rFonts w:cs="Times New Roman"/>
          <w:sz w:val="28"/>
          <w:szCs w:val="28"/>
        </w:rPr>
        <w:t>eksportspējīgās</w:t>
      </w:r>
      <w:r w:rsidRPr="00EB5FEE">
        <w:rPr>
          <w:rFonts w:cs="Times New Roman"/>
          <w:sz w:val="28"/>
          <w:szCs w:val="28"/>
        </w:rPr>
        <w:t xml:space="preserve"> noz</w:t>
      </w:r>
      <w:r>
        <w:rPr>
          <w:rFonts w:cs="Times New Roman"/>
          <w:sz w:val="28"/>
          <w:szCs w:val="28"/>
        </w:rPr>
        <w:t>ares pieaugtu straujāk nekā IKP un l</w:t>
      </w:r>
      <w:r w:rsidRPr="00EB5FEE">
        <w:rPr>
          <w:rFonts w:cs="Times New Roman"/>
          <w:sz w:val="28"/>
          <w:szCs w:val="28"/>
        </w:rPr>
        <w:t>īdz ar to šajā periodā krietni mazāks ieguldījums bū</w:t>
      </w:r>
      <w:r>
        <w:rPr>
          <w:rFonts w:cs="Times New Roman"/>
          <w:sz w:val="28"/>
          <w:szCs w:val="28"/>
        </w:rPr>
        <w:t>tu</w:t>
      </w:r>
      <w:r w:rsidRPr="00EB5FEE">
        <w:rPr>
          <w:rFonts w:cs="Times New Roman"/>
          <w:sz w:val="28"/>
          <w:szCs w:val="28"/>
        </w:rPr>
        <w:t xml:space="preserve"> uz iekšējo tirgu vērstām nozarēm (tādām kā tirdzniecība, komercpakalpojumi</w:t>
      </w:r>
      <w:r>
        <w:rPr>
          <w:rFonts w:cs="Times New Roman"/>
          <w:sz w:val="28"/>
          <w:szCs w:val="28"/>
        </w:rPr>
        <w:t>, u.c.)</w:t>
      </w:r>
      <w:r w:rsidRPr="00EB5FEE">
        <w:rPr>
          <w:rFonts w:cs="Times New Roman"/>
          <w:sz w:val="28"/>
          <w:szCs w:val="28"/>
        </w:rPr>
        <w:t xml:space="preserve"> </w:t>
      </w:r>
      <w:r w:rsidRPr="006D42D0">
        <w:rPr>
          <w:rFonts w:cs="Times New Roman"/>
          <w:sz w:val="28"/>
          <w:szCs w:val="28"/>
        </w:rPr>
        <w:t>(skat. pielikumā 5. un 14. tabulu)</w:t>
      </w:r>
      <w:r w:rsidRPr="00EB5FEE">
        <w:rPr>
          <w:rFonts w:cs="Times New Roman"/>
          <w:sz w:val="28"/>
          <w:szCs w:val="28"/>
        </w:rPr>
        <w:t>.</w:t>
      </w:r>
    </w:p>
    <w:p w:rsidR="006D42D0" w:rsidRDefault="006D42D0" w:rsidP="006D42D0">
      <w:pPr>
        <w:ind w:firstLine="567"/>
        <w:jc w:val="both"/>
        <w:rPr>
          <w:rFonts w:cs="Times New Roman"/>
          <w:sz w:val="28"/>
          <w:szCs w:val="28"/>
        </w:rPr>
      </w:pPr>
      <w:r>
        <w:rPr>
          <w:rFonts w:cs="Times New Roman"/>
          <w:sz w:val="28"/>
          <w:szCs w:val="28"/>
        </w:rPr>
        <w:t>Lai IKP laika periodā no 2011.-2015.gadam</w:t>
      </w:r>
      <w:r w:rsidR="00C46204">
        <w:rPr>
          <w:rFonts w:cs="Times New Roman"/>
          <w:sz w:val="28"/>
          <w:szCs w:val="28"/>
        </w:rPr>
        <w:t xml:space="preserve"> kopumā</w:t>
      </w:r>
      <w:r>
        <w:rPr>
          <w:rFonts w:cs="Times New Roman"/>
          <w:sz w:val="28"/>
          <w:szCs w:val="28"/>
        </w:rPr>
        <w:t xml:space="preserve"> pieaugtu par 2</w:t>
      </w:r>
      <w:r w:rsidR="00813CDF">
        <w:rPr>
          <w:rFonts w:cs="Times New Roman"/>
          <w:sz w:val="28"/>
          <w:szCs w:val="28"/>
        </w:rPr>
        <w:t>1</w:t>
      </w:r>
      <w:r>
        <w:rPr>
          <w:rFonts w:cs="Times New Roman"/>
          <w:sz w:val="28"/>
          <w:szCs w:val="28"/>
        </w:rPr>
        <w:t>%, apstrādes rūpniecības izlaidei ir jāpalielinās šo piecu gadu laikā par</w:t>
      </w:r>
      <w:r w:rsidR="00813CDF">
        <w:rPr>
          <w:rFonts w:cs="Times New Roman"/>
          <w:sz w:val="28"/>
          <w:szCs w:val="28"/>
        </w:rPr>
        <w:t xml:space="preserve"> vairāk </w:t>
      </w:r>
      <w:r w:rsidR="00156DFE">
        <w:rPr>
          <w:rFonts w:cs="Times New Roman"/>
          <w:sz w:val="28"/>
          <w:szCs w:val="28"/>
        </w:rPr>
        <w:t>ne</w:t>
      </w:r>
      <w:r w:rsidR="00813CDF">
        <w:rPr>
          <w:rFonts w:cs="Times New Roman"/>
          <w:sz w:val="28"/>
          <w:szCs w:val="28"/>
        </w:rPr>
        <w:t>kā</w:t>
      </w:r>
      <w:r>
        <w:rPr>
          <w:rFonts w:cs="Times New Roman"/>
          <w:sz w:val="28"/>
          <w:szCs w:val="28"/>
        </w:rPr>
        <w:t xml:space="preserve"> 25%, kas veidotu 13,7% no visa IKP pieauguma </w:t>
      </w:r>
      <w:r w:rsidRPr="006D42D0">
        <w:rPr>
          <w:rFonts w:cs="Times New Roman"/>
          <w:sz w:val="28"/>
          <w:szCs w:val="28"/>
        </w:rPr>
        <w:t>(skat. 4.attēlu).</w:t>
      </w:r>
      <w:r>
        <w:rPr>
          <w:rFonts w:cs="Times New Roman"/>
          <w:sz w:val="28"/>
          <w:szCs w:val="28"/>
        </w:rPr>
        <w:t xml:space="preserve"> </w:t>
      </w:r>
      <w:r w:rsidR="00F62882">
        <w:rPr>
          <w:rFonts w:cs="Times New Roman"/>
          <w:sz w:val="28"/>
          <w:szCs w:val="28"/>
        </w:rPr>
        <w:t>Apstrādes rūpniecības</w:t>
      </w:r>
      <w:r>
        <w:rPr>
          <w:rFonts w:cs="Times New Roman"/>
          <w:sz w:val="28"/>
          <w:szCs w:val="28"/>
        </w:rPr>
        <w:t xml:space="preserve"> </w:t>
      </w:r>
      <w:r w:rsidR="00F62882">
        <w:rPr>
          <w:rFonts w:cs="Times New Roman"/>
          <w:sz w:val="28"/>
          <w:szCs w:val="28"/>
        </w:rPr>
        <w:t xml:space="preserve">nozares </w:t>
      </w:r>
      <w:r>
        <w:rPr>
          <w:rFonts w:cs="Times New Roman"/>
          <w:sz w:val="28"/>
          <w:szCs w:val="28"/>
        </w:rPr>
        <w:t xml:space="preserve">pieaugums nodrošinātu vairāk kā </w:t>
      </w:r>
      <w:r w:rsidR="00217DB0">
        <w:rPr>
          <w:rFonts w:cs="Times New Roman"/>
          <w:sz w:val="28"/>
          <w:szCs w:val="28"/>
        </w:rPr>
        <w:t>divas trešdaļas</w:t>
      </w:r>
      <w:r>
        <w:rPr>
          <w:rFonts w:cs="Times New Roman"/>
          <w:sz w:val="28"/>
          <w:szCs w:val="28"/>
        </w:rPr>
        <w:t xml:space="preserve"> no k</w:t>
      </w:r>
      <w:r w:rsidR="00217DB0">
        <w:rPr>
          <w:rFonts w:cs="Times New Roman"/>
          <w:sz w:val="28"/>
          <w:szCs w:val="28"/>
        </w:rPr>
        <w:t>opējā eksporta pieauguma (</w:t>
      </w:r>
      <w:r w:rsidR="00C46204">
        <w:rPr>
          <w:rFonts w:cs="Times New Roman"/>
          <w:sz w:val="28"/>
          <w:szCs w:val="28"/>
        </w:rPr>
        <w:t xml:space="preserve">kopumā </w:t>
      </w:r>
      <w:r w:rsidR="00217DB0">
        <w:rPr>
          <w:rFonts w:cs="Times New Roman"/>
          <w:sz w:val="28"/>
          <w:szCs w:val="28"/>
        </w:rPr>
        <w:t xml:space="preserve">eksports </w:t>
      </w:r>
      <w:r>
        <w:rPr>
          <w:rFonts w:cs="Times New Roman"/>
          <w:sz w:val="28"/>
          <w:szCs w:val="28"/>
        </w:rPr>
        <w:t>2011.</w:t>
      </w:r>
      <w:r w:rsidR="00384400">
        <w:rPr>
          <w:rFonts w:cs="Times New Roman"/>
          <w:sz w:val="28"/>
          <w:szCs w:val="28"/>
        </w:rPr>
        <w:t>–</w:t>
      </w:r>
      <w:r>
        <w:rPr>
          <w:rFonts w:cs="Times New Roman"/>
          <w:sz w:val="28"/>
          <w:szCs w:val="28"/>
        </w:rPr>
        <w:t>2015.gadā</w:t>
      </w:r>
      <w:r w:rsidR="00813CDF">
        <w:rPr>
          <w:rFonts w:cs="Times New Roman"/>
          <w:sz w:val="28"/>
          <w:szCs w:val="28"/>
        </w:rPr>
        <w:t xml:space="preserve"> var pieaugt par 31,2% (skat. pielikumā 16.tabulu)</w:t>
      </w:r>
      <w:r w:rsidR="00217DB0">
        <w:rPr>
          <w:rFonts w:cs="Times New Roman"/>
          <w:sz w:val="28"/>
          <w:szCs w:val="28"/>
        </w:rPr>
        <w:t>)</w:t>
      </w:r>
      <w:r w:rsidR="00C46204">
        <w:rPr>
          <w:rFonts w:cs="Times New Roman"/>
          <w:sz w:val="28"/>
          <w:szCs w:val="28"/>
        </w:rPr>
        <w:t>. S</w:t>
      </w:r>
      <w:r w:rsidRPr="00EB5FEE">
        <w:rPr>
          <w:rFonts w:cs="Times New Roman"/>
          <w:sz w:val="28"/>
          <w:szCs w:val="28"/>
        </w:rPr>
        <w:t>avukārt transporta pakalpojumu ieguldījums</w:t>
      </w:r>
      <w:r>
        <w:rPr>
          <w:rFonts w:cs="Times New Roman"/>
          <w:sz w:val="28"/>
          <w:szCs w:val="28"/>
        </w:rPr>
        <w:t xml:space="preserve"> eksporta pieaugumā</w:t>
      </w:r>
      <w:r w:rsidRPr="00EB5FEE">
        <w:rPr>
          <w:rFonts w:cs="Times New Roman"/>
          <w:sz w:val="28"/>
          <w:szCs w:val="28"/>
        </w:rPr>
        <w:t xml:space="preserve"> </w:t>
      </w:r>
      <w:r>
        <w:rPr>
          <w:rFonts w:cs="Times New Roman"/>
          <w:sz w:val="28"/>
          <w:szCs w:val="28"/>
        </w:rPr>
        <w:t xml:space="preserve">šajā pašā laika periodā </w:t>
      </w:r>
      <w:r w:rsidRPr="00EB5FEE">
        <w:rPr>
          <w:rFonts w:cs="Times New Roman"/>
          <w:sz w:val="28"/>
          <w:szCs w:val="28"/>
        </w:rPr>
        <w:t xml:space="preserve">ir </w:t>
      </w:r>
      <w:r>
        <w:rPr>
          <w:rFonts w:cs="Times New Roman"/>
          <w:sz w:val="28"/>
          <w:szCs w:val="28"/>
        </w:rPr>
        <w:t>gandrīz</w:t>
      </w:r>
      <w:r w:rsidR="00813CDF">
        <w:rPr>
          <w:rFonts w:cs="Times New Roman"/>
          <w:sz w:val="28"/>
          <w:szCs w:val="28"/>
        </w:rPr>
        <w:t xml:space="preserve"> 20 </w:t>
      </w:r>
      <w:r w:rsidRPr="00EB5FEE">
        <w:rPr>
          <w:rFonts w:cs="Times New Roman"/>
          <w:sz w:val="28"/>
          <w:szCs w:val="28"/>
        </w:rPr>
        <w:t>procenti.</w:t>
      </w:r>
    </w:p>
    <w:p w:rsidR="006D42D0" w:rsidRPr="006B3005" w:rsidRDefault="006D42D0" w:rsidP="00BF4D3C">
      <w:pPr>
        <w:ind w:firstLine="567"/>
        <w:jc w:val="both"/>
        <w:rPr>
          <w:rFonts w:cs="Times New Roman"/>
          <w:sz w:val="16"/>
          <w:szCs w:val="28"/>
        </w:rPr>
      </w:pPr>
    </w:p>
    <w:p w:rsidR="00BF4D3C" w:rsidRPr="00EB5FEE" w:rsidRDefault="00D46AEA" w:rsidP="00BF4D3C">
      <w:pPr>
        <w:ind w:firstLine="567"/>
        <w:jc w:val="right"/>
        <w:rPr>
          <w:rFonts w:cs="Times New Roman"/>
          <w:bCs/>
          <w:sz w:val="28"/>
          <w:szCs w:val="28"/>
        </w:rPr>
      </w:pPr>
      <w:r>
        <w:rPr>
          <w:rFonts w:cs="Times New Roman"/>
          <w:bCs/>
          <w:sz w:val="28"/>
          <w:szCs w:val="28"/>
        </w:rPr>
        <w:t>4</w:t>
      </w:r>
      <w:r w:rsidR="00BF4D3C" w:rsidRPr="00EB5FEE">
        <w:rPr>
          <w:rFonts w:cs="Times New Roman"/>
          <w:bCs/>
          <w:sz w:val="28"/>
          <w:szCs w:val="28"/>
        </w:rPr>
        <w:t>.attēls</w:t>
      </w:r>
    </w:p>
    <w:p w:rsidR="00BF4D3C" w:rsidRDefault="00BF4D3C" w:rsidP="00BF4D3C">
      <w:pPr>
        <w:jc w:val="center"/>
        <w:rPr>
          <w:rFonts w:cs="Times New Roman"/>
          <w:b/>
          <w:bCs/>
          <w:sz w:val="28"/>
          <w:szCs w:val="28"/>
        </w:rPr>
      </w:pPr>
      <w:r>
        <w:rPr>
          <w:rFonts w:cs="Times New Roman"/>
          <w:b/>
          <w:bCs/>
          <w:sz w:val="28"/>
          <w:szCs w:val="28"/>
        </w:rPr>
        <w:t>Nozaru ieguldījums pieaugumā no 2011.-2015.gadam</w:t>
      </w:r>
      <w:r w:rsidRPr="00EB5FEE">
        <w:rPr>
          <w:rFonts w:cs="Times New Roman"/>
          <w:b/>
          <w:bCs/>
          <w:sz w:val="28"/>
          <w:szCs w:val="28"/>
        </w:rPr>
        <w:t xml:space="preserve"> </w:t>
      </w:r>
    </w:p>
    <w:p w:rsidR="00BF4D3C" w:rsidRPr="00807911" w:rsidRDefault="00BF4D3C" w:rsidP="00BF4D3C">
      <w:pPr>
        <w:jc w:val="center"/>
        <w:rPr>
          <w:rFonts w:cs="Times New Roman"/>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BF4D3C" w:rsidRPr="00807911" w:rsidTr="002F02CF">
        <w:tc>
          <w:tcPr>
            <w:tcW w:w="4927" w:type="dxa"/>
            <w:vAlign w:val="center"/>
          </w:tcPr>
          <w:p w:rsidR="00BF4D3C" w:rsidRPr="00807911" w:rsidRDefault="00BF4D3C" w:rsidP="002F02CF">
            <w:pPr>
              <w:jc w:val="center"/>
              <w:rPr>
                <w:rFonts w:cs="Times New Roman"/>
                <w:sz w:val="24"/>
                <w:szCs w:val="24"/>
                <w:lang w:eastAsia="lv-LV"/>
              </w:rPr>
            </w:pPr>
            <w:r w:rsidRPr="00807911">
              <w:rPr>
                <w:rFonts w:cs="Times New Roman"/>
                <w:sz w:val="24"/>
                <w:szCs w:val="24"/>
                <w:lang w:eastAsia="lv-LV"/>
              </w:rPr>
              <w:t>Īpatsvars no kopējā IKP pieauguma</w:t>
            </w:r>
            <w:r>
              <w:rPr>
                <w:rFonts w:cs="Times New Roman"/>
                <w:sz w:val="24"/>
                <w:szCs w:val="24"/>
                <w:lang w:eastAsia="lv-LV"/>
              </w:rPr>
              <w:t>, %</w:t>
            </w:r>
          </w:p>
        </w:tc>
        <w:tc>
          <w:tcPr>
            <w:tcW w:w="4928" w:type="dxa"/>
            <w:vAlign w:val="center"/>
          </w:tcPr>
          <w:p w:rsidR="00BF4D3C" w:rsidRPr="00807911" w:rsidRDefault="00BF4D3C" w:rsidP="002F02CF">
            <w:pPr>
              <w:jc w:val="center"/>
              <w:rPr>
                <w:rFonts w:cs="Times New Roman"/>
                <w:sz w:val="24"/>
                <w:szCs w:val="24"/>
              </w:rPr>
            </w:pPr>
            <w:r w:rsidRPr="00807911">
              <w:rPr>
                <w:rFonts w:cs="Times New Roman"/>
                <w:sz w:val="24"/>
                <w:szCs w:val="24"/>
              </w:rPr>
              <w:t>Īpatsvars no kopējā eksporta pieauguma</w:t>
            </w:r>
            <w:r>
              <w:rPr>
                <w:rFonts w:cs="Times New Roman"/>
                <w:sz w:val="24"/>
                <w:szCs w:val="24"/>
              </w:rPr>
              <w:t>, %</w:t>
            </w:r>
          </w:p>
        </w:tc>
      </w:tr>
      <w:tr w:rsidR="00BF4D3C" w:rsidTr="002F02CF">
        <w:tc>
          <w:tcPr>
            <w:tcW w:w="4927" w:type="dxa"/>
          </w:tcPr>
          <w:p w:rsidR="00BF4D3C" w:rsidRDefault="00BF4D3C" w:rsidP="002F02CF">
            <w:pPr>
              <w:rPr>
                <w:rFonts w:cs="Times New Roman"/>
                <w:sz w:val="28"/>
                <w:szCs w:val="28"/>
              </w:rPr>
            </w:pPr>
            <w:r w:rsidRPr="00EB5FEE">
              <w:rPr>
                <w:rFonts w:cs="Times New Roman"/>
                <w:noProof/>
                <w:sz w:val="28"/>
                <w:szCs w:val="28"/>
                <w:lang w:eastAsia="lv-LV"/>
              </w:rPr>
              <w:drawing>
                <wp:inline distT="0" distB="0" distL="0" distR="0">
                  <wp:extent cx="2847975" cy="28800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928" w:type="dxa"/>
          </w:tcPr>
          <w:p w:rsidR="00BF4D3C" w:rsidRDefault="00BF4D3C" w:rsidP="002F02CF">
            <w:pPr>
              <w:rPr>
                <w:rFonts w:cs="Times New Roman"/>
                <w:sz w:val="28"/>
                <w:szCs w:val="28"/>
              </w:rPr>
            </w:pPr>
            <w:r w:rsidRPr="00807911">
              <w:rPr>
                <w:rFonts w:cs="Times New Roman"/>
                <w:noProof/>
                <w:sz w:val="28"/>
                <w:szCs w:val="28"/>
                <w:lang w:eastAsia="lv-LV"/>
              </w:rPr>
              <w:drawing>
                <wp:inline distT="0" distB="0" distL="0" distR="0">
                  <wp:extent cx="2847975" cy="2880000"/>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BF4D3C" w:rsidRPr="00C46204" w:rsidRDefault="00BF4D3C" w:rsidP="00BF4D3C">
      <w:pPr>
        <w:ind w:firstLine="567"/>
        <w:jc w:val="both"/>
        <w:rPr>
          <w:rFonts w:cs="Times New Roman"/>
          <w:sz w:val="14"/>
          <w:szCs w:val="28"/>
        </w:rPr>
      </w:pPr>
    </w:p>
    <w:p w:rsidR="00BF4D3C" w:rsidRDefault="00BF4D3C" w:rsidP="00EB401A">
      <w:pPr>
        <w:ind w:firstLine="567"/>
        <w:jc w:val="both"/>
        <w:rPr>
          <w:rFonts w:cs="Times New Roman"/>
          <w:sz w:val="28"/>
          <w:szCs w:val="28"/>
        </w:rPr>
      </w:pPr>
      <w:r w:rsidRPr="00C139D3">
        <w:rPr>
          <w:rFonts w:cs="Times New Roman"/>
          <w:sz w:val="28"/>
          <w:szCs w:val="28"/>
        </w:rPr>
        <w:t>No apstrādes rūpniecības apakšnozarēm vislielākais ieguldījums pievienotās vērtības pieaugumā 2011.-2015.</w:t>
      </w:r>
      <w:r>
        <w:rPr>
          <w:rFonts w:cs="Times New Roman"/>
          <w:sz w:val="28"/>
          <w:szCs w:val="28"/>
        </w:rPr>
        <w:t>g</w:t>
      </w:r>
      <w:r w:rsidRPr="00C139D3">
        <w:rPr>
          <w:rFonts w:cs="Times New Roman"/>
          <w:sz w:val="28"/>
          <w:szCs w:val="28"/>
        </w:rPr>
        <w:t>adā</w:t>
      </w:r>
      <w:r>
        <w:rPr>
          <w:rFonts w:cs="Times New Roman"/>
          <w:sz w:val="28"/>
          <w:szCs w:val="28"/>
        </w:rPr>
        <w:t xml:space="preserve"> </w:t>
      </w:r>
      <w:r w:rsidRPr="00C139D3">
        <w:rPr>
          <w:rFonts w:cs="Times New Roman"/>
          <w:sz w:val="28"/>
          <w:szCs w:val="28"/>
        </w:rPr>
        <w:t>būs kok</w:t>
      </w:r>
      <w:r w:rsidR="0006281D">
        <w:rPr>
          <w:rFonts w:cs="Times New Roman"/>
          <w:sz w:val="28"/>
          <w:szCs w:val="28"/>
        </w:rPr>
        <w:t>rūpniecībai</w:t>
      </w:r>
      <w:r>
        <w:rPr>
          <w:rFonts w:cs="Times New Roman"/>
          <w:sz w:val="28"/>
          <w:szCs w:val="28"/>
        </w:rPr>
        <w:t xml:space="preserve"> un pārtikas ražošanai, kas kopā veidos gandrīz 45% no visas apstrādes rūpniecības pievienotās vērtības pieauguma </w:t>
      </w:r>
      <w:r w:rsidRPr="00C46204">
        <w:rPr>
          <w:rFonts w:cs="Times New Roman"/>
          <w:sz w:val="28"/>
          <w:szCs w:val="28"/>
        </w:rPr>
        <w:t xml:space="preserve">(skat. </w:t>
      </w:r>
      <w:r w:rsidR="00D46AEA" w:rsidRPr="00C46204">
        <w:rPr>
          <w:rFonts w:cs="Times New Roman"/>
          <w:sz w:val="28"/>
          <w:szCs w:val="28"/>
        </w:rPr>
        <w:t>5</w:t>
      </w:r>
      <w:r w:rsidRPr="00C46204">
        <w:rPr>
          <w:rFonts w:cs="Times New Roman"/>
          <w:sz w:val="28"/>
          <w:szCs w:val="28"/>
        </w:rPr>
        <w:t>.attēlu).</w:t>
      </w:r>
      <w:r>
        <w:rPr>
          <w:rFonts w:cs="Times New Roman"/>
          <w:sz w:val="28"/>
          <w:szCs w:val="28"/>
        </w:rPr>
        <w:t xml:space="preserve"> Tāpat liels īpatsvars pieaugumā ir sagaidāms arī </w:t>
      </w:r>
      <w:r w:rsidRPr="00EB5FEE">
        <w:rPr>
          <w:rFonts w:cs="Times New Roman"/>
          <w:sz w:val="28"/>
          <w:szCs w:val="28"/>
        </w:rPr>
        <w:t>ķīmisk</w:t>
      </w:r>
      <w:r>
        <w:rPr>
          <w:rFonts w:cs="Times New Roman"/>
          <w:sz w:val="28"/>
          <w:szCs w:val="28"/>
        </w:rPr>
        <w:t>ajai</w:t>
      </w:r>
      <w:r w:rsidRPr="00EB5FEE">
        <w:rPr>
          <w:rFonts w:cs="Times New Roman"/>
          <w:sz w:val="28"/>
          <w:szCs w:val="28"/>
        </w:rPr>
        <w:t xml:space="preserve"> rūpniecība</w:t>
      </w:r>
      <w:r>
        <w:rPr>
          <w:rFonts w:cs="Times New Roman"/>
          <w:sz w:val="28"/>
          <w:szCs w:val="28"/>
        </w:rPr>
        <w:t>i</w:t>
      </w:r>
      <w:r w:rsidRPr="00EB5FEE">
        <w:rPr>
          <w:rFonts w:cs="Times New Roman"/>
          <w:sz w:val="28"/>
          <w:szCs w:val="28"/>
        </w:rPr>
        <w:t xml:space="preserve"> un tās saskarnozar</w:t>
      </w:r>
      <w:r>
        <w:rPr>
          <w:rFonts w:cs="Times New Roman"/>
          <w:sz w:val="28"/>
          <w:szCs w:val="28"/>
        </w:rPr>
        <w:t>ēm</w:t>
      </w:r>
      <w:r w:rsidRPr="00EB5FEE">
        <w:rPr>
          <w:rFonts w:cs="Times New Roman"/>
          <w:sz w:val="28"/>
          <w:szCs w:val="28"/>
        </w:rPr>
        <w:t>, elektrisko un optisko iekārtu ražošana</w:t>
      </w:r>
      <w:r>
        <w:rPr>
          <w:rFonts w:cs="Times New Roman"/>
          <w:sz w:val="28"/>
          <w:szCs w:val="28"/>
        </w:rPr>
        <w:t>i</w:t>
      </w:r>
      <w:r w:rsidR="00C46204">
        <w:rPr>
          <w:rFonts w:cs="Times New Roman"/>
          <w:sz w:val="28"/>
          <w:szCs w:val="28"/>
        </w:rPr>
        <w:t xml:space="preserve">, kā </w:t>
      </w:r>
      <w:r w:rsidR="00C46204" w:rsidRPr="005A728F">
        <w:rPr>
          <w:rFonts w:cs="Times New Roman"/>
          <w:sz w:val="28"/>
          <w:szCs w:val="28"/>
        </w:rPr>
        <w:t xml:space="preserve">arī </w:t>
      </w:r>
      <w:r w:rsidR="00EB401A" w:rsidRPr="005A728F">
        <w:rPr>
          <w:rFonts w:cs="Times New Roman"/>
          <w:sz w:val="28"/>
          <w:szCs w:val="28"/>
        </w:rPr>
        <w:t>mašīnbūves un metālapstrādes nozarei</w:t>
      </w:r>
      <w:r w:rsidR="00156DFE">
        <w:rPr>
          <w:rFonts w:ascii="Arial" w:hAnsi="Arial" w:cs="Arial"/>
          <w:color w:val="000080"/>
          <w:sz w:val="20"/>
          <w:szCs w:val="20"/>
        </w:rPr>
        <w:t xml:space="preserve"> </w:t>
      </w:r>
      <w:r w:rsidR="00EB401A" w:rsidRPr="00EB401A">
        <w:rPr>
          <w:rFonts w:cs="Times New Roman"/>
          <w:sz w:val="28"/>
          <w:szCs w:val="28"/>
        </w:rPr>
        <w:t>(metāli un metālizstrādājumu ražošana, mašīnu un iekārtu ražošana, kā arī transporta līdzekļu ražošana)</w:t>
      </w:r>
      <w:r w:rsidR="00EB401A" w:rsidRPr="00C46204">
        <w:rPr>
          <w:rFonts w:cs="Times New Roman"/>
          <w:sz w:val="28"/>
          <w:szCs w:val="28"/>
        </w:rPr>
        <w:t xml:space="preserve"> </w:t>
      </w:r>
      <w:r w:rsidRPr="00C46204">
        <w:rPr>
          <w:rFonts w:cs="Times New Roman"/>
          <w:sz w:val="28"/>
          <w:szCs w:val="28"/>
        </w:rPr>
        <w:t>(skat. pielikumā 17.tabulu)</w:t>
      </w:r>
      <w:r w:rsidR="00C46204">
        <w:rPr>
          <w:rFonts w:cs="Times New Roman"/>
          <w:sz w:val="28"/>
          <w:szCs w:val="28"/>
        </w:rPr>
        <w:t>.</w:t>
      </w:r>
    </w:p>
    <w:p w:rsidR="00156DFE" w:rsidRDefault="00156DFE" w:rsidP="00BF4D3C">
      <w:pPr>
        <w:ind w:firstLine="567"/>
        <w:jc w:val="right"/>
        <w:rPr>
          <w:rFonts w:cs="Times New Roman"/>
          <w:bCs/>
          <w:sz w:val="28"/>
          <w:szCs w:val="28"/>
        </w:rPr>
      </w:pPr>
    </w:p>
    <w:p w:rsidR="00156DFE" w:rsidRDefault="00156DFE" w:rsidP="00BF4D3C">
      <w:pPr>
        <w:ind w:firstLine="567"/>
        <w:jc w:val="right"/>
        <w:rPr>
          <w:rFonts w:cs="Times New Roman"/>
          <w:bCs/>
          <w:sz w:val="28"/>
          <w:szCs w:val="28"/>
        </w:rPr>
      </w:pPr>
    </w:p>
    <w:p w:rsidR="00BF4D3C" w:rsidRPr="00EB5FEE" w:rsidRDefault="00D46AEA" w:rsidP="00BF4D3C">
      <w:pPr>
        <w:ind w:firstLine="567"/>
        <w:jc w:val="right"/>
        <w:rPr>
          <w:rFonts w:cs="Times New Roman"/>
          <w:bCs/>
          <w:sz w:val="28"/>
          <w:szCs w:val="28"/>
        </w:rPr>
      </w:pPr>
      <w:r>
        <w:rPr>
          <w:rFonts w:cs="Times New Roman"/>
          <w:bCs/>
          <w:sz w:val="28"/>
          <w:szCs w:val="28"/>
        </w:rPr>
        <w:lastRenderedPageBreak/>
        <w:t>5</w:t>
      </w:r>
      <w:r w:rsidR="00BF4D3C" w:rsidRPr="00EB5FEE">
        <w:rPr>
          <w:rFonts w:cs="Times New Roman"/>
          <w:bCs/>
          <w:sz w:val="28"/>
          <w:szCs w:val="28"/>
        </w:rPr>
        <w:t>.attēls</w:t>
      </w:r>
    </w:p>
    <w:p w:rsidR="00BF4D3C" w:rsidRDefault="00BF4D3C" w:rsidP="00BF4D3C">
      <w:pPr>
        <w:jc w:val="center"/>
        <w:rPr>
          <w:rFonts w:cs="Times New Roman"/>
          <w:b/>
          <w:bCs/>
          <w:sz w:val="28"/>
          <w:szCs w:val="28"/>
        </w:rPr>
      </w:pPr>
      <w:r>
        <w:rPr>
          <w:rFonts w:cs="Times New Roman"/>
          <w:b/>
          <w:bCs/>
          <w:sz w:val="28"/>
          <w:szCs w:val="28"/>
        </w:rPr>
        <w:t>Galveno apstrādes rūpniecības apakšnozaru ieguldījums nozares pievienotās vērtības un eksporta pieaugumā no 2011.-2015.gadam</w:t>
      </w:r>
      <w:r w:rsidRPr="00EB5FEE">
        <w:rPr>
          <w:rFonts w:cs="Times New Roman"/>
          <w:b/>
          <w:bCs/>
          <w:sz w:val="28"/>
          <w:szCs w:val="28"/>
        </w:rPr>
        <w:t xml:space="preserve"> </w:t>
      </w:r>
    </w:p>
    <w:p w:rsidR="00BF4D3C" w:rsidRPr="00807911" w:rsidRDefault="00BF4D3C" w:rsidP="00BF4D3C">
      <w:pPr>
        <w:jc w:val="center"/>
        <w:rPr>
          <w:rFonts w:cs="Times New Roman"/>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BF4D3C" w:rsidRPr="00807911" w:rsidTr="002F02CF">
        <w:tc>
          <w:tcPr>
            <w:tcW w:w="4927" w:type="dxa"/>
            <w:vAlign w:val="center"/>
          </w:tcPr>
          <w:p w:rsidR="00BF4D3C" w:rsidRPr="00807911" w:rsidRDefault="00BF4D3C" w:rsidP="002F02CF">
            <w:pPr>
              <w:spacing w:after="120"/>
              <w:jc w:val="center"/>
              <w:rPr>
                <w:rFonts w:cs="Times New Roman"/>
                <w:sz w:val="24"/>
                <w:szCs w:val="24"/>
                <w:lang w:eastAsia="lv-LV"/>
              </w:rPr>
            </w:pPr>
            <w:r w:rsidRPr="00807911">
              <w:rPr>
                <w:rFonts w:cs="Times New Roman"/>
                <w:sz w:val="24"/>
                <w:szCs w:val="24"/>
                <w:lang w:eastAsia="lv-LV"/>
              </w:rPr>
              <w:t xml:space="preserve">Īpatsvars no kopējā </w:t>
            </w:r>
            <w:r>
              <w:rPr>
                <w:rFonts w:cs="Times New Roman"/>
                <w:sz w:val="24"/>
                <w:szCs w:val="24"/>
                <w:lang w:eastAsia="lv-LV"/>
              </w:rPr>
              <w:t>apstrādes rūpniecības</w:t>
            </w:r>
            <w:r w:rsidRPr="00807911">
              <w:rPr>
                <w:rFonts w:cs="Times New Roman"/>
                <w:sz w:val="24"/>
                <w:szCs w:val="24"/>
                <w:lang w:eastAsia="lv-LV"/>
              </w:rPr>
              <w:t xml:space="preserve"> pieauguma</w:t>
            </w:r>
            <w:r>
              <w:rPr>
                <w:rFonts w:cs="Times New Roman"/>
                <w:sz w:val="24"/>
                <w:szCs w:val="24"/>
                <w:lang w:eastAsia="lv-LV"/>
              </w:rPr>
              <w:t>, %</w:t>
            </w:r>
          </w:p>
        </w:tc>
        <w:tc>
          <w:tcPr>
            <w:tcW w:w="4928" w:type="dxa"/>
            <w:vAlign w:val="center"/>
          </w:tcPr>
          <w:p w:rsidR="00BF4D3C" w:rsidRPr="00807911" w:rsidRDefault="00BF4D3C" w:rsidP="002F02CF">
            <w:pPr>
              <w:spacing w:after="120"/>
              <w:jc w:val="center"/>
              <w:rPr>
                <w:rFonts w:cs="Times New Roman"/>
                <w:sz w:val="24"/>
                <w:szCs w:val="24"/>
              </w:rPr>
            </w:pPr>
            <w:r w:rsidRPr="00807911">
              <w:rPr>
                <w:rFonts w:cs="Times New Roman"/>
                <w:sz w:val="24"/>
                <w:szCs w:val="24"/>
              </w:rPr>
              <w:t xml:space="preserve">Īpatsvars no kopējā </w:t>
            </w:r>
            <w:r>
              <w:rPr>
                <w:rFonts w:cs="Times New Roman"/>
                <w:sz w:val="24"/>
                <w:szCs w:val="24"/>
              </w:rPr>
              <w:t xml:space="preserve">apstrādes rūpniecības </w:t>
            </w:r>
            <w:r w:rsidRPr="00807911">
              <w:rPr>
                <w:rFonts w:cs="Times New Roman"/>
                <w:sz w:val="24"/>
                <w:szCs w:val="24"/>
              </w:rPr>
              <w:t>eksporta pieauguma</w:t>
            </w:r>
            <w:r>
              <w:rPr>
                <w:rFonts w:cs="Times New Roman"/>
                <w:sz w:val="24"/>
                <w:szCs w:val="24"/>
              </w:rPr>
              <w:t>, %</w:t>
            </w:r>
          </w:p>
        </w:tc>
      </w:tr>
      <w:tr w:rsidR="00BF4D3C" w:rsidTr="002F02CF">
        <w:tc>
          <w:tcPr>
            <w:tcW w:w="4927" w:type="dxa"/>
          </w:tcPr>
          <w:p w:rsidR="00BF4D3C" w:rsidRDefault="00BF4D3C" w:rsidP="002F02CF">
            <w:pPr>
              <w:rPr>
                <w:rFonts w:cs="Times New Roman"/>
                <w:sz w:val="28"/>
                <w:szCs w:val="28"/>
              </w:rPr>
            </w:pPr>
            <w:r w:rsidRPr="00EB5FEE">
              <w:rPr>
                <w:rFonts w:cs="Times New Roman"/>
                <w:noProof/>
                <w:sz w:val="28"/>
                <w:szCs w:val="28"/>
                <w:lang w:eastAsia="lv-LV"/>
              </w:rPr>
              <w:drawing>
                <wp:inline distT="0" distB="0" distL="0" distR="0">
                  <wp:extent cx="2847975" cy="2880000"/>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928" w:type="dxa"/>
          </w:tcPr>
          <w:p w:rsidR="00BF4D3C" w:rsidRDefault="00BF4D3C" w:rsidP="002F02CF">
            <w:pPr>
              <w:rPr>
                <w:rFonts w:cs="Times New Roman"/>
                <w:sz w:val="28"/>
                <w:szCs w:val="28"/>
              </w:rPr>
            </w:pPr>
            <w:r w:rsidRPr="007E629C">
              <w:rPr>
                <w:rFonts w:cs="Times New Roman"/>
                <w:noProof/>
                <w:sz w:val="28"/>
                <w:szCs w:val="28"/>
                <w:lang w:eastAsia="lv-LV"/>
              </w:rPr>
              <w:drawing>
                <wp:inline distT="0" distB="0" distL="0" distR="0">
                  <wp:extent cx="2847975" cy="288000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196399" w:rsidRPr="00196399" w:rsidRDefault="00196399" w:rsidP="00BF4D3C">
      <w:pPr>
        <w:ind w:firstLine="567"/>
        <w:jc w:val="both"/>
        <w:rPr>
          <w:rFonts w:cs="Times New Roman"/>
          <w:sz w:val="18"/>
          <w:szCs w:val="28"/>
        </w:rPr>
      </w:pPr>
    </w:p>
    <w:p w:rsidR="00BF4D3C" w:rsidRPr="00EB5FEE" w:rsidRDefault="00BF4D3C" w:rsidP="00BF4D3C">
      <w:pPr>
        <w:ind w:firstLine="567"/>
        <w:jc w:val="both"/>
        <w:rPr>
          <w:rFonts w:cs="Times New Roman"/>
          <w:sz w:val="28"/>
          <w:szCs w:val="28"/>
        </w:rPr>
      </w:pPr>
      <w:r w:rsidRPr="00EB5FEE">
        <w:rPr>
          <w:rFonts w:cs="Times New Roman"/>
          <w:sz w:val="28"/>
          <w:szCs w:val="28"/>
        </w:rPr>
        <w:t>No apstrādes rūpniecības apakšno</w:t>
      </w:r>
      <w:r>
        <w:rPr>
          <w:rFonts w:cs="Times New Roman"/>
          <w:sz w:val="28"/>
          <w:szCs w:val="28"/>
        </w:rPr>
        <w:t>zarēm vislielākais ieguldījums nozares eksporta pieaugumā</w:t>
      </w:r>
      <w:r w:rsidRPr="00EB5FEE">
        <w:rPr>
          <w:rFonts w:cs="Times New Roman"/>
          <w:sz w:val="28"/>
          <w:szCs w:val="28"/>
        </w:rPr>
        <w:t xml:space="preserve"> </w:t>
      </w:r>
      <w:r w:rsidRPr="005A728F">
        <w:rPr>
          <w:rFonts w:cs="Times New Roman"/>
          <w:sz w:val="28"/>
          <w:szCs w:val="28"/>
        </w:rPr>
        <w:t xml:space="preserve">būs </w:t>
      </w:r>
      <w:r w:rsidR="001556B0" w:rsidRPr="005A728F">
        <w:rPr>
          <w:rFonts w:cs="Times New Roman"/>
          <w:sz w:val="28"/>
          <w:szCs w:val="28"/>
        </w:rPr>
        <w:t>mašīnbūves un metālapstrādes nozarei</w:t>
      </w:r>
      <w:r w:rsidRPr="005A728F">
        <w:rPr>
          <w:rFonts w:cs="Times New Roman"/>
          <w:sz w:val="28"/>
          <w:szCs w:val="28"/>
        </w:rPr>
        <w:t>, kas</w:t>
      </w:r>
      <w:r w:rsidRPr="00EB5FEE">
        <w:rPr>
          <w:rFonts w:cs="Times New Roman"/>
          <w:sz w:val="28"/>
          <w:szCs w:val="28"/>
        </w:rPr>
        <w:t xml:space="preserve"> veidos </w:t>
      </w:r>
      <w:r w:rsidR="001556B0">
        <w:rPr>
          <w:rFonts w:cs="Times New Roman"/>
          <w:sz w:val="28"/>
          <w:szCs w:val="28"/>
        </w:rPr>
        <w:t>29</w:t>
      </w:r>
      <w:r>
        <w:rPr>
          <w:rFonts w:cs="Times New Roman"/>
          <w:sz w:val="28"/>
          <w:szCs w:val="28"/>
        </w:rPr>
        <w:t>%</w:t>
      </w:r>
      <w:r w:rsidRPr="00EB5FEE">
        <w:rPr>
          <w:rFonts w:cs="Times New Roman"/>
          <w:sz w:val="28"/>
          <w:szCs w:val="28"/>
        </w:rPr>
        <w:t xml:space="preserve"> no kopējā apstrādes rūp</w:t>
      </w:r>
      <w:r w:rsidR="001556B0">
        <w:rPr>
          <w:rFonts w:cs="Times New Roman"/>
          <w:sz w:val="28"/>
          <w:szCs w:val="28"/>
        </w:rPr>
        <w:t>niecības eksporta pieauguma, savukārt</w:t>
      </w:r>
      <w:r w:rsidRPr="00EB5FEE">
        <w:rPr>
          <w:rFonts w:cs="Times New Roman"/>
          <w:sz w:val="28"/>
          <w:szCs w:val="28"/>
        </w:rPr>
        <w:t xml:space="preserve"> </w:t>
      </w:r>
      <w:r w:rsidR="001556B0">
        <w:rPr>
          <w:rFonts w:cs="Times New Roman"/>
          <w:sz w:val="28"/>
          <w:szCs w:val="28"/>
        </w:rPr>
        <w:t xml:space="preserve">gandrīz </w:t>
      </w:r>
      <w:r w:rsidRPr="001556B0">
        <w:rPr>
          <w:rFonts w:cs="Times New Roman"/>
          <w:sz w:val="28"/>
          <w:szCs w:val="28"/>
        </w:rPr>
        <w:t>2</w:t>
      </w:r>
      <w:r w:rsidR="001556B0" w:rsidRPr="001556B0">
        <w:rPr>
          <w:rFonts w:cs="Times New Roman"/>
          <w:sz w:val="28"/>
          <w:szCs w:val="28"/>
        </w:rPr>
        <w:t>6</w:t>
      </w:r>
      <w:r w:rsidRPr="001556B0">
        <w:rPr>
          <w:rFonts w:cs="Times New Roman"/>
          <w:sz w:val="28"/>
          <w:szCs w:val="28"/>
        </w:rPr>
        <w:t>%</w:t>
      </w:r>
      <w:r w:rsidRPr="00EB5FEE">
        <w:rPr>
          <w:rFonts w:cs="Times New Roman"/>
          <w:sz w:val="28"/>
          <w:szCs w:val="28"/>
        </w:rPr>
        <w:t xml:space="preserve"> no eksporta </w:t>
      </w:r>
      <w:r w:rsidR="001556B0">
        <w:rPr>
          <w:rFonts w:cs="Times New Roman"/>
          <w:sz w:val="28"/>
          <w:szCs w:val="28"/>
        </w:rPr>
        <w:t xml:space="preserve">pieauguma </w:t>
      </w:r>
      <w:r w:rsidRPr="00EB5FEE">
        <w:rPr>
          <w:rFonts w:cs="Times New Roman"/>
          <w:sz w:val="28"/>
          <w:szCs w:val="28"/>
        </w:rPr>
        <w:t>veidos</w:t>
      </w:r>
      <w:r w:rsidR="001556B0" w:rsidRPr="001556B0">
        <w:rPr>
          <w:rFonts w:cs="Times New Roman"/>
          <w:sz w:val="28"/>
          <w:szCs w:val="28"/>
        </w:rPr>
        <w:t xml:space="preserve"> </w:t>
      </w:r>
      <w:r w:rsidR="001556B0" w:rsidRPr="00C139D3">
        <w:rPr>
          <w:rFonts w:cs="Times New Roman"/>
          <w:sz w:val="28"/>
          <w:szCs w:val="28"/>
        </w:rPr>
        <w:t>kok</w:t>
      </w:r>
      <w:r w:rsidR="001556B0">
        <w:rPr>
          <w:rFonts w:cs="Times New Roman"/>
          <w:sz w:val="28"/>
          <w:szCs w:val="28"/>
        </w:rPr>
        <w:t>rūpniecība</w:t>
      </w:r>
      <w:r w:rsidRPr="00EB5FEE">
        <w:rPr>
          <w:rFonts w:cs="Times New Roman"/>
          <w:sz w:val="28"/>
          <w:szCs w:val="28"/>
        </w:rPr>
        <w:t>.</w:t>
      </w:r>
      <w:r>
        <w:rPr>
          <w:rFonts w:cs="Times New Roman"/>
          <w:sz w:val="28"/>
          <w:szCs w:val="28"/>
        </w:rPr>
        <w:t xml:space="preserve"> Savukārt t</w:t>
      </w:r>
      <w:r w:rsidRPr="00EB5FEE">
        <w:rPr>
          <w:rFonts w:cs="Times New Roman"/>
          <w:sz w:val="28"/>
          <w:szCs w:val="28"/>
        </w:rPr>
        <w:t>ādai zināšanu ietilpīgai nozarei kā elektrisko un optisko iekārtu ražošanai ieguldījums eksportā ir relatīvi mazs, jo pagaidām ar nozares izstrādājumiem labāk konkurējam vietējā tirgū, bet nozarē ir vairākas daudzsološas apakšnozares, kas tālākā nākotnē var būtiski palielināt Latvijas eksportu.</w:t>
      </w:r>
    </w:p>
    <w:p w:rsidR="00C46204" w:rsidRPr="00196399" w:rsidRDefault="00C46204" w:rsidP="00BF4D3C">
      <w:pPr>
        <w:ind w:firstLine="567"/>
        <w:jc w:val="both"/>
        <w:rPr>
          <w:rFonts w:cs="Times New Roman"/>
          <w:sz w:val="14"/>
          <w:szCs w:val="28"/>
        </w:rPr>
      </w:pPr>
    </w:p>
    <w:p w:rsidR="00BF4D3C" w:rsidRPr="00EB5FEE" w:rsidRDefault="00BF4D3C" w:rsidP="00BF4D3C">
      <w:pPr>
        <w:ind w:firstLine="567"/>
        <w:jc w:val="both"/>
        <w:rPr>
          <w:rFonts w:cs="Times New Roman"/>
          <w:sz w:val="28"/>
          <w:szCs w:val="28"/>
        </w:rPr>
      </w:pPr>
      <w:r w:rsidRPr="00EB5FEE">
        <w:rPr>
          <w:rFonts w:cs="Times New Roman"/>
          <w:sz w:val="28"/>
          <w:szCs w:val="28"/>
        </w:rPr>
        <w:t xml:space="preserve">Latvijas tautsaimniecībā nav izteiktu starpnozaru sakaru, par ko liecina veiktie aprēķini, izmantojot </w:t>
      </w:r>
      <w:r>
        <w:rPr>
          <w:rFonts w:cs="Times New Roman"/>
          <w:sz w:val="28"/>
          <w:szCs w:val="28"/>
        </w:rPr>
        <w:t xml:space="preserve">atjaunināto </w:t>
      </w:r>
      <w:r w:rsidRPr="00EB5FEE">
        <w:rPr>
          <w:rFonts w:cs="Times New Roman"/>
          <w:sz w:val="28"/>
          <w:szCs w:val="28"/>
        </w:rPr>
        <w:t>izmaksu-izlaides tabulu pilno izmaksu koeficientus.</w:t>
      </w:r>
      <w:r>
        <w:rPr>
          <w:rFonts w:cs="Times New Roman"/>
          <w:sz w:val="28"/>
          <w:szCs w:val="28"/>
        </w:rPr>
        <w:t xml:space="preserve"> </w:t>
      </w:r>
      <w:r w:rsidRPr="00EB5FEE">
        <w:rPr>
          <w:rFonts w:cs="Times New Roman"/>
          <w:sz w:val="28"/>
          <w:szCs w:val="28"/>
        </w:rPr>
        <w:t>Nozare</w:t>
      </w:r>
      <w:r>
        <w:rPr>
          <w:rFonts w:cs="Times New Roman"/>
          <w:sz w:val="28"/>
          <w:szCs w:val="28"/>
        </w:rPr>
        <w:t>s</w:t>
      </w:r>
      <w:r w:rsidRPr="00EB5FEE">
        <w:rPr>
          <w:rFonts w:cs="Times New Roman"/>
          <w:sz w:val="28"/>
          <w:szCs w:val="28"/>
        </w:rPr>
        <w:t xml:space="preserve"> ar vislielākajiem starpnozaru sakariem ir pārtikas rūpniecība un </w:t>
      </w:r>
      <w:r w:rsidR="0006281D" w:rsidRPr="00C139D3">
        <w:rPr>
          <w:rFonts w:cs="Times New Roman"/>
          <w:sz w:val="28"/>
          <w:szCs w:val="28"/>
        </w:rPr>
        <w:t>kok</w:t>
      </w:r>
      <w:r w:rsidR="0006281D">
        <w:rPr>
          <w:rFonts w:cs="Times New Roman"/>
          <w:sz w:val="28"/>
          <w:szCs w:val="28"/>
        </w:rPr>
        <w:t>rūpniecība</w:t>
      </w:r>
      <w:r w:rsidR="00C46204">
        <w:rPr>
          <w:rFonts w:cs="Times New Roman"/>
          <w:sz w:val="28"/>
          <w:szCs w:val="28"/>
        </w:rPr>
        <w:t xml:space="preserve"> </w:t>
      </w:r>
      <w:r w:rsidR="00C46204" w:rsidRPr="00C46204">
        <w:rPr>
          <w:rFonts w:cs="Times New Roman"/>
          <w:sz w:val="28"/>
          <w:szCs w:val="28"/>
        </w:rPr>
        <w:t>(skat. pielikumā 18.tabulu)</w:t>
      </w:r>
      <w:r w:rsidRPr="00EB5FEE">
        <w:rPr>
          <w:rFonts w:cs="Times New Roman"/>
          <w:sz w:val="28"/>
          <w:szCs w:val="28"/>
        </w:rPr>
        <w:t>. Tas nozīmē, ka izaugsme šajās nozarē</w:t>
      </w:r>
      <w:r>
        <w:rPr>
          <w:rFonts w:cs="Times New Roman"/>
          <w:sz w:val="28"/>
          <w:szCs w:val="28"/>
        </w:rPr>
        <w:t>s</w:t>
      </w:r>
      <w:r w:rsidRPr="00EB5FEE">
        <w:rPr>
          <w:rFonts w:cs="Times New Roman"/>
          <w:sz w:val="28"/>
          <w:szCs w:val="28"/>
        </w:rPr>
        <w:t xml:space="preserve">, dod relatīvi lielāku pieprasījuma stimulu citām tautsaimniecības nozarēm. </w:t>
      </w:r>
      <w:r>
        <w:rPr>
          <w:rFonts w:cs="Times New Roman"/>
          <w:sz w:val="28"/>
          <w:szCs w:val="28"/>
        </w:rPr>
        <w:t xml:space="preserve">Piemēram, palielinoties izlaidei </w:t>
      </w:r>
      <w:r w:rsidR="0006281D" w:rsidRPr="00C139D3">
        <w:rPr>
          <w:rFonts w:cs="Times New Roman"/>
          <w:sz w:val="28"/>
          <w:szCs w:val="28"/>
        </w:rPr>
        <w:t>kok</w:t>
      </w:r>
      <w:r w:rsidR="0006281D">
        <w:rPr>
          <w:rFonts w:cs="Times New Roman"/>
          <w:sz w:val="28"/>
          <w:szCs w:val="28"/>
        </w:rPr>
        <w:t>rūpniecība</w:t>
      </w:r>
      <w:r>
        <w:rPr>
          <w:rFonts w:cs="Times New Roman"/>
          <w:sz w:val="28"/>
          <w:szCs w:val="28"/>
        </w:rPr>
        <w:t xml:space="preserve">s nozarē par 1%, IKP palielinās par 0,086%. Tai skaitā primārās nozares pieaug par 0,068%, kas galvenokārt ir saistīts ar </w:t>
      </w:r>
      <w:r w:rsidR="0006281D">
        <w:rPr>
          <w:rFonts w:cs="Times New Roman"/>
          <w:sz w:val="28"/>
          <w:szCs w:val="28"/>
        </w:rPr>
        <w:t xml:space="preserve">mežu </w:t>
      </w:r>
      <w:r w:rsidR="00156DFE">
        <w:rPr>
          <w:rFonts w:cs="Times New Roman"/>
          <w:sz w:val="28"/>
          <w:szCs w:val="28"/>
        </w:rPr>
        <w:t>ap</w:t>
      </w:r>
      <w:r w:rsidR="0006281D">
        <w:rPr>
          <w:rFonts w:cs="Times New Roman"/>
          <w:sz w:val="28"/>
          <w:szCs w:val="28"/>
        </w:rPr>
        <w:t>saimniekošanu</w:t>
      </w:r>
      <w:r>
        <w:rPr>
          <w:rFonts w:cs="Times New Roman"/>
          <w:sz w:val="28"/>
          <w:szCs w:val="28"/>
        </w:rPr>
        <w:t xml:space="preserve">, pārējo apstrādes rūpniecības nozaru izlaide palielinās par 0,202%, kas saistīts ar </w:t>
      </w:r>
      <w:r w:rsidR="0006281D" w:rsidRPr="00C139D3">
        <w:rPr>
          <w:rFonts w:cs="Times New Roman"/>
          <w:sz w:val="28"/>
          <w:szCs w:val="28"/>
        </w:rPr>
        <w:t>kok</w:t>
      </w:r>
      <w:r w:rsidR="0006281D">
        <w:rPr>
          <w:rFonts w:cs="Times New Roman"/>
          <w:sz w:val="28"/>
          <w:szCs w:val="28"/>
        </w:rPr>
        <w:t>rūpniecības</w:t>
      </w:r>
      <w:r>
        <w:rPr>
          <w:rFonts w:cs="Times New Roman"/>
          <w:sz w:val="28"/>
          <w:szCs w:val="28"/>
        </w:rPr>
        <w:t xml:space="preserve"> nozares ražošanas procesā izmantoto citu nozaru produkciju (iekārtas, ķīmiskās vielas u.tml.), savukārt pakalpojumu nozares izlaide pieaug par 0,096%, kas pamatā ir saistīts ar transporta pakalpojumu izmantošanu</w:t>
      </w:r>
      <w:r w:rsidRPr="00C46204">
        <w:rPr>
          <w:rFonts w:cs="Times New Roman"/>
          <w:sz w:val="28"/>
          <w:szCs w:val="28"/>
        </w:rPr>
        <w:t>.</w:t>
      </w:r>
      <w:r>
        <w:rPr>
          <w:rFonts w:cs="Times New Roman"/>
          <w:sz w:val="28"/>
          <w:szCs w:val="28"/>
        </w:rPr>
        <w:t xml:space="preserve"> </w:t>
      </w:r>
    </w:p>
    <w:p w:rsidR="00BF4D3C" w:rsidRPr="00200090" w:rsidRDefault="00BF4D3C" w:rsidP="00BF4D3C">
      <w:pPr>
        <w:ind w:firstLine="567"/>
        <w:jc w:val="both"/>
        <w:rPr>
          <w:rFonts w:cs="Times New Roman"/>
          <w:sz w:val="12"/>
          <w:szCs w:val="12"/>
        </w:rPr>
      </w:pPr>
    </w:p>
    <w:p w:rsidR="00B979D3" w:rsidRDefault="00BF4D3C" w:rsidP="00196399">
      <w:pPr>
        <w:ind w:firstLine="567"/>
        <w:jc w:val="both"/>
        <w:rPr>
          <w:rFonts w:cs="Times New Roman"/>
          <w:sz w:val="28"/>
          <w:szCs w:val="28"/>
        </w:rPr>
      </w:pPr>
      <w:r w:rsidRPr="00EB5FEE">
        <w:rPr>
          <w:rFonts w:cs="Times New Roman"/>
          <w:sz w:val="28"/>
          <w:szCs w:val="28"/>
        </w:rPr>
        <w:t>Ir jāapzinās, ka rūpniecības struktūru īsā laikā nav iespējams kardināli mainīt, tāpēc izaugsmes periodā no 2011.-2015.gadam galvenās apstrādes rūpniecības velkošās nozares būs nozares, kas balstās uz dabiskajām priekšrocībām un Latvijas ekonomikas tradicionālajiem eksporta tirgiem.</w:t>
      </w:r>
      <w:bookmarkStart w:id="16" w:name="_Toc239501355"/>
    </w:p>
    <w:p w:rsidR="00BF4D3C" w:rsidRPr="00BF4D3C" w:rsidRDefault="00BF4D3C" w:rsidP="00BF4D3C">
      <w:pPr>
        <w:pStyle w:val="Heading3"/>
        <w:rPr>
          <w:sz w:val="28"/>
        </w:rPr>
      </w:pPr>
      <w:bookmarkStart w:id="17" w:name="_Toc242510363"/>
      <w:r w:rsidRPr="00BF4D3C">
        <w:rPr>
          <w:sz w:val="28"/>
        </w:rPr>
        <w:lastRenderedPageBreak/>
        <w:t>1.5. Darba tirgus attīstības tendences</w:t>
      </w:r>
      <w:bookmarkEnd w:id="16"/>
      <w:bookmarkEnd w:id="17"/>
    </w:p>
    <w:p w:rsidR="00BF4D3C" w:rsidRDefault="00BF4D3C" w:rsidP="00BF4D3C">
      <w:pPr>
        <w:ind w:firstLine="567"/>
        <w:jc w:val="both"/>
        <w:rPr>
          <w:rFonts w:cs="Times New Roman"/>
          <w:sz w:val="28"/>
          <w:szCs w:val="28"/>
        </w:rPr>
      </w:pPr>
    </w:p>
    <w:p w:rsidR="00BF4D3C" w:rsidRPr="003318A6" w:rsidRDefault="00BF4D3C" w:rsidP="00BF4D3C">
      <w:pPr>
        <w:ind w:firstLine="720"/>
        <w:jc w:val="both"/>
        <w:rPr>
          <w:sz w:val="28"/>
          <w:szCs w:val="28"/>
        </w:rPr>
      </w:pPr>
      <w:r w:rsidRPr="003318A6">
        <w:rPr>
          <w:sz w:val="28"/>
          <w:szCs w:val="28"/>
        </w:rPr>
        <w:t>Turpmāko ekonomisko attīstību vairāk noteiks produktivitātes pieaugums un mazākā mērā nodarbinātības palielināšanās. Tāpēc nodarbināto skaita palielinājums</w:t>
      </w:r>
      <w:r>
        <w:rPr>
          <w:sz w:val="28"/>
          <w:szCs w:val="28"/>
        </w:rPr>
        <w:t xml:space="preserve"> līdz 2015.gadam</w:t>
      </w:r>
      <w:r w:rsidRPr="003318A6">
        <w:rPr>
          <w:sz w:val="28"/>
          <w:szCs w:val="28"/>
        </w:rPr>
        <w:t xml:space="preserve"> būs krietni mērenāks nekā nodarbinātības</w:t>
      </w:r>
      <w:r w:rsidR="00C46204">
        <w:rPr>
          <w:sz w:val="28"/>
          <w:szCs w:val="28"/>
        </w:rPr>
        <w:t xml:space="preserve"> līmeņa</w:t>
      </w:r>
      <w:r w:rsidRPr="003318A6">
        <w:rPr>
          <w:sz w:val="28"/>
          <w:szCs w:val="28"/>
        </w:rPr>
        <w:t xml:space="preserve"> pieaugums un nodarbināto skaits būs </w:t>
      </w:r>
      <w:r>
        <w:rPr>
          <w:sz w:val="28"/>
          <w:szCs w:val="28"/>
        </w:rPr>
        <w:t>tikai aptuveni</w:t>
      </w:r>
      <w:r w:rsidRPr="003318A6">
        <w:rPr>
          <w:sz w:val="28"/>
          <w:szCs w:val="28"/>
        </w:rPr>
        <w:t xml:space="preserve"> 2005.gada līme</w:t>
      </w:r>
      <w:r>
        <w:rPr>
          <w:sz w:val="28"/>
          <w:szCs w:val="28"/>
        </w:rPr>
        <w:t>nī</w:t>
      </w:r>
      <w:r w:rsidRPr="003318A6">
        <w:rPr>
          <w:sz w:val="28"/>
          <w:szCs w:val="28"/>
        </w:rPr>
        <w:t>. Pieaugs konkurence darba tirgū.</w:t>
      </w:r>
    </w:p>
    <w:p w:rsidR="00D46AEA" w:rsidRDefault="00D46AEA" w:rsidP="00D46AEA">
      <w:pPr>
        <w:spacing w:before="60" w:after="60"/>
        <w:ind w:firstLine="709"/>
        <w:jc w:val="both"/>
        <w:rPr>
          <w:rFonts w:eastAsia="Times New Roman"/>
          <w:color w:val="000000" w:themeColor="text1"/>
          <w:sz w:val="28"/>
        </w:rPr>
      </w:pPr>
      <w:r>
        <w:rPr>
          <w:sz w:val="28"/>
          <w:szCs w:val="28"/>
        </w:rPr>
        <w:t>N</w:t>
      </w:r>
      <w:r w:rsidR="00BF4D3C">
        <w:rPr>
          <w:sz w:val="28"/>
          <w:szCs w:val="28"/>
        </w:rPr>
        <w:t>odarbinātības kritums ir sagaidāms 2009.-2010</w:t>
      </w:r>
      <w:r w:rsidR="00156DFE">
        <w:rPr>
          <w:sz w:val="28"/>
          <w:szCs w:val="28"/>
        </w:rPr>
        <w:t>.gad</w:t>
      </w:r>
      <w:r w:rsidR="00BF4D3C">
        <w:rPr>
          <w:sz w:val="28"/>
          <w:szCs w:val="28"/>
        </w:rPr>
        <w:t>ā, kad nodarbināto skaits</w:t>
      </w:r>
      <w:r>
        <w:rPr>
          <w:sz w:val="28"/>
          <w:szCs w:val="28"/>
        </w:rPr>
        <w:t>, piemēram,</w:t>
      </w:r>
      <w:r w:rsidR="00BF4D3C">
        <w:rPr>
          <w:sz w:val="28"/>
          <w:szCs w:val="28"/>
        </w:rPr>
        <w:t xml:space="preserve"> </w:t>
      </w:r>
      <w:r>
        <w:rPr>
          <w:sz w:val="28"/>
          <w:szCs w:val="28"/>
        </w:rPr>
        <w:t>mērķa</w:t>
      </w:r>
      <w:r w:rsidR="00BF4D3C">
        <w:rPr>
          <w:sz w:val="28"/>
          <w:szCs w:val="28"/>
        </w:rPr>
        <w:t xml:space="preserve"> scenārijā var samazināties </w:t>
      </w:r>
      <w:r>
        <w:rPr>
          <w:sz w:val="28"/>
          <w:szCs w:val="28"/>
        </w:rPr>
        <w:t>par</w:t>
      </w:r>
      <w:r w:rsidR="00BF4D3C">
        <w:rPr>
          <w:sz w:val="28"/>
          <w:szCs w:val="28"/>
        </w:rPr>
        <w:t xml:space="preserve"> 1</w:t>
      </w:r>
      <w:r>
        <w:rPr>
          <w:sz w:val="28"/>
          <w:szCs w:val="28"/>
        </w:rPr>
        <w:t>5</w:t>
      </w:r>
      <w:r w:rsidR="00BF4D3C">
        <w:rPr>
          <w:sz w:val="28"/>
          <w:szCs w:val="28"/>
        </w:rPr>
        <w:t xml:space="preserve">%, bet </w:t>
      </w:r>
      <w:r>
        <w:rPr>
          <w:sz w:val="28"/>
          <w:szCs w:val="28"/>
        </w:rPr>
        <w:t xml:space="preserve">bāzes </w:t>
      </w:r>
      <w:r w:rsidR="00BF4D3C">
        <w:rPr>
          <w:sz w:val="28"/>
          <w:szCs w:val="28"/>
        </w:rPr>
        <w:t>scenārijā pat līdz 1</w:t>
      </w:r>
      <w:r>
        <w:rPr>
          <w:sz w:val="28"/>
          <w:szCs w:val="28"/>
        </w:rPr>
        <w:t>8</w:t>
      </w:r>
      <w:r w:rsidR="00BF4D3C">
        <w:rPr>
          <w:sz w:val="28"/>
          <w:szCs w:val="28"/>
        </w:rPr>
        <w:t>%, salīdzinot ar 2008</w:t>
      </w:r>
      <w:r w:rsidR="00156DFE">
        <w:rPr>
          <w:sz w:val="28"/>
          <w:szCs w:val="28"/>
        </w:rPr>
        <w:t>.gad</w:t>
      </w:r>
      <w:r w:rsidR="00BF4D3C">
        <w:rPr>
          <w:sz w:val="28"/>
          <w:szCs w:val="28"/>
        </w:rPr>
        <w:t xml:space="preserve">u. </w:t>
      </w:r>
      <w:r>
        <w:rPr>
          <w:rFonts w:eastAsia="Times New Roman"/>
          <w:color w:val="000000" w:themeColor="text1"/>
          <w:sz w:val="28"/>
        </w:rPr>
        <w:t>2009.gadā vidējais</w:t>
      </w:r>
      <w:r w:rsidRPr="00B83365">
        <w:rPr>
          <w:rFonts w:eastAsia="Times New Roman"/>
          <w:color w:val="000000" w:themeColor="text1"/>
          <w:sz w:val="28"/>
        </w:rPr>
        <w:t xml:space="preserve"> bezdarba līmenis</w:t>
      </w:r>
      <w:r>
        <w:rPr>
          <w:rFonts w:eastAsia="Times New Roman"/>
          <w:color w:val="000000" w:themeColor="text1"/>
          <w:sz w:val="28"/>
        </w:rPr>
        <w:t xml:space="preserve"> (darba meklētāju skaits, procentos no ekonomiski aktīvo iedzīvotāju skaita)</w:t>
      </w:r>
      <w:r w:rsidRPr="00B83365">
        <w:rPr>
          <w:rFonts w:eastAsia="Times New Roman"/>
          <w:color w:val="000000" w:themeColor="text1"/>
          <w:sz w:val="28"/>
        </w:rPr>
        <w:t xml:space="preserve"> varētu būt 1</w:t>
      </w:r>
      <w:r>
        <w:rPr>
          <w:rFonts w:eastAsia="Times New Roman"/>
          <w:color w:val="000000" w:themeColor="text1"/>
          <w:sz w:val="28"/>
        </w:rPr>
        <w:t>6</w:t>
      </w:r>
      <w:r w:rsidR="00156DFE">
        <w:rPr>
          <w:rFonts w:eastAsia="Times New Roman"/>
          <w:color w:val="000000" w:themeColor="text1"/>
          <w:sz w:val="28"/>
        </w:rPr>
        <w:t xml:space="preserve"> </w:t>
      </w:r>
      <w:r>
        <w:rPr>
          <w:rFonts w:eastAsia="Times New Roman"/>
          <w:color w:val="000000" w:themeColor="text1"/>
          <w:sz w:val="28"/>
        </w:rPr>
        <w:t>–</w:t>
      </w:r>
      <w:r w:rsidR="00156DFE">
        <w:rPr>
          <w:rFonts w:eastAsia="Times New Roman"/>
          <w:color w:val="000000" w:themeColor="text1"/>
          <w:sz w:val="28"/>
        </w:rPr>
        <w:t xml:space="preserve"> </w:t>
      </w:r>
      <w:r>
        <w:rPr>
          <w:rFonts w:eastAsia="Times New Roman"/>
          <w:color w:val="000000" w:themeColor="text1"/>
          <w:sz w:val="28"/>
        </w:rPr>
        <w:t xml:space="preserve">17% un tādā pat līmenī saglabāties 2010.gadā. </w:t>
      </w:r>
      <w:r>
        <w:rPr>
          <w:sz w:val="28"/>
          <w:szCs w:val="28"/>
        </w:rPr>
        <w:t>Nostabilizējoties situācijai valstī</w:t>
      </w:r>
      <w:r w:rsidR="00156DFE">
        <w:rPr>
          <w:sz w:val="28"/>
          <w:szCs w:val="28"/>
        </w:rPr>
        <w:t>,</w:t>
      </w:r>
      <w:r w:rsidRPr="00D46AEA">
        <w:rPr>
          <w:sz w:val="28"/>
          <w:szCs w:val="28"/>
        </w:rPr>
        <w:t xml:space="preserve"> </w:t>
      </w:r>
      <w:r>
        <w:rPr>
          <w:sz w:val="28"/>
          <w:szCs w:val="28"/>
        </w:rPr>
        <w:t>ir paredzams, ka darbaspēka pieprasījums varētu atsākt pieaugt 2011.-2012.gadā, p</w:t>
      </w:r>
      <w:r>
        <w:rPr>
          <w:rFonts w:eastAsia="Times New Roman"/>
          <w:color w:val="000000" w:themeColor="text1"/>
          <w:sz w:val="28"/>
        </w:rPr>
        <w:t xml:space="preserve">akāpeniski </w:t>
      </w:r>
      <w:r w:rsidRPr="00B83365">
        <w:rPr>
          <w:rFonts w:eastAsia="Times New Roman"/>
          <w:color w:val="000000" w:themeColor="text1"/>
          <w:sz w:val="28"/>
        </w:rPr>
        <w:t>samazin</w:t>
      </w:r>
      <w:r>
        <w:rPr>
          <w:rFonts w:eastAsia="Times New Roman"/>
          <w:color w:val="000000" w:themeColor="text1"/>
          <w:sz w:val="28"/>
        </w:rPr>
        <w:t>oties</w:t>
      </w:r>
      <w:r w:rsidR="00C46204">
        <w:rPr>
          <w:rFonts w:eastAsia="Times New Roman"/>
          <w:color w:val="000000" w:themeColor="text1"/>
          <w:sz w:val="28"/>
        </w:rPr>
        <w:t xml:space="preserve"> arī</w:t>
      </w:r>
      <w:r>
        <w:rPr>
          <w:rFonts w:eastAsia="Times New Roman"/>
          <w:color w:val="000000" w:themeColor="text1"/>
          <w:sz w:val="28"/>
        </w:rPr>
        <w:t xml:space="preserve"> bezdarbam </w:t>
      </w:r>
      <w:r w:rsidRPr="00C46204">
        <w:rPr>
          <w:rFonts w:cs="Times New Roman"/>
          <w:sz w:val="28"/>
          <w:szCs w:val="28"/>
        </w:rPr>
        <w:t>(skat. 6.attēlu)</w:t>
      </w:r>
      <w:r w:rsidRPr="00C46204">
        <w:rPr>
          <w:rFonts w:eastAsia="Times New Roman"/>
          <w:color w:val="000000" w:themeColor="text1"/>
          <w:sz w:val="28"/>
        </w:rPr>
        <w:t>.</w:t>
      </w:r>
      <w:r>
        <w:rPr>
          <w:rFonts w:eastAsia="Times New Roman"/>
          <w:color w:val="000000" w:themeColor="text1"/>
          <w:sz w:val="28"/>
        </w:rPr>
        <w:t xml:space="preserve"> </w:t>
      </w:r>
    </w:p>
    <w:p w:rsidR="00BF4D3C" w:rsidRPr="00E2720B" w:rsidRDefault="00D46AEA" w:rsidP="00BF4D3C">
      <w:pPr>
        <w:jc w:val="right"/>
        <w:rPr>
          <w:sz w:val="28"/>
          <w:szCs w:val="28"/>
        </w:rPr>
      </w:pPr>
      <w:r>
        <w:rPr>
          <w:sz w:val="28"/>
          <w:szCs w:val="28"/>
        </w:rPr>
        <w:t>6</w:t>
      </w:r>
      <w:r w:rsidR="00BF4D3C" w:rsidRPr="00E2720B">
        <w:rPr>
          <w:sz w:val="28"/>
          <w:szCs w:val="28"/>
        </w:rPr>
        <w:t>. attēls</w:t>
      </w:r>
    </w:p>
    <w:p w:rsidR="00BF4D3C" w:rsidRPr="00AA0522" w:rsidRDefault="00BF4D3C" w:rsidP="00BF4D3C">
      <w:pPr>
        <w:jc w:val="center"/>
        <w:rPr>
          <w:bCs/>
          <w:szCs w:val="28"/>
        </w:rPr>
      </w:pPr>
      <w:r w:rsidRPr="00266CF0">
        <w:rPr>
          <w:b/>
          <w:sz w:val="28"/>
          <w:szCs w:val="28"/>
        </w:rPr>
        <w:t>Darbaspēka pieprasījums (nodarbinātie</w:t>
      </w:r>
      <w:r w:rsidRPr="00AA0522">
        <w:rPr>
          <w:szCs w:val="28"/>
        </w:rPr>
        <w:t xml:space="preserve">)*, </w:t>
      </w:r>
      <w:r>
        <w:rPr>
          <w:szCs w:val="28"/>
        </w:rPr>
        <w:t>vecuma grupā</w:t>
      </w:r>
      <w:r w:rsidRPr="00AA0522">
        <w:rPr>
          <w:szCs w:val="28"/>
        </w:rPr>
        <w:t xml:space="preserve">15-74 gadi </w:t>
      </w:r>
      <w:r w:rsidRPr="00AA0522">
        <w:rPr>
          <w:bCs/>
          <w:szCs w:val="28"/>
        </w:rPr>
        <w:t>(tūkst. cilvēku)</w:t>
      </w:r>
    </w:p>
    <w:p w:rsidR="00BF4D3C" w:rsidRDefault="00BF4D3C" w:rsidP="00BF4D3C">
      <w:pPr>
        <w:jc w:val="center"/>
        <w:rPr>
          <w:bCs/>
          <w:sz w:val="28"/>
          <w:szCs w:val="28"/>
        </w:rPr>
      </w:pPr>
      <w:r w:rsidRPr="00AA0522">
        <w:rPr>
          <w:bCs/>
          <w:noProof/>
          <w:sz w:val="28"/>
          <w:szCs w:val="28"/>
          <w:lang w:eastAsia="lv-LV"/>
        </w:rPr>
        <w:drawing>
          <wp:inline distT="0" distB="0" distL="0" distR="0">
            <wp:extent cx="5876925" cy="211455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4D3C" w:rsidRPr="00AA0522" w:rsidRDefault="00BF4D3C" w:rsidP="00BF4D3C">
      <w:pPr>
        <w:jc w:val="both"/>
        <w:rPr>
          <w:sz w:val="20"/>
        </w:rPr>
      </w:pPr>
      <w:r w:rsidRPr="00AA0522">
        <w:rPr>
          <w:sz w:val="20"/>
        </w:rPr>
        <w:t>*līdz 2008.gadam atspoguļoti faktiskie gada dati, avots - CSP</w:t>
      </w:r>
    </w:p>
    <w:p w:rsidR="00BF4D3C" w:rsidRDefault="00BF4D3C" w:rsidP="00BF4D3C">
      <w:pPr>
        <w:ind w:firstLine="720"/>
        <w:jc w:val="both"/>
        <w:rPr>
          <w:sz w:val="28"/>
          <w:szCs w:val="28"/>
        </w:rPr>
      </w:pPr>
    </w:p>
    <w:p w:rsidR="00EB401A" w:rsidRDefault="00EB401A" w:rsidP="00EB401A">
      <w:pPr>
        <w:ind w:firstLine="720"/>
        <w:jc w:val="both"/>
        <w:rPr>
          <w:rFonts w:eastAsia="Calibri" w:cs="Times New Roman"/>
          <w:sz w:val="28"/>
          <w:szCs w:val="28"/>
        </w:rPr>
      </w:pPr>
      <w:r>
        <w:rPr>
          <w:sz w:val="28"/>
          <w:szCs w:val="28"/>
        </w:rPr>
        <w:t>D</w:t>
      </w:r>
      <w:r w:rsidRPr="003318A6">
        <w:rPr>
          <w:rFonts w:eastAsia="Calibri" w:cs="Times New Roman"/>
          <w:sz w:val="28"/>
          <w:szCs w:val="28"/>
        </w:rPr>
        <w:t>arbaspēka piedāvājuma un pieprasījuma vidēja te</w:t>
      </w:r>
      <w:r>
        <w:rPr>
          <w:sz w:val="28"/>
          <w:szCs w:val="28"/>
        </w:rPr>
        <w:t>rmiņa prognozes līdz 2015.gadam ir gatavotas</w:t>
      </w:r>
      <w:r w:rsidR="005169CF">
        <w:rPr>
          <w:sz w:val="28"/>
          <w:szCs w:val="28"/>
        </w:rPr>
        <w:t>,</w:t>
      </w:r>
      <w:r w:rsidRPr="003318A6">
        <w:rPr>
          <w:rFonts w:eastAsia="Calibri" w:cs="Times New Roman"/>
          <w:sz w:val="28"/>
          <w:szCs w:val="28"/>
        </w:rPr>
        <w:t xml:space="preserve"> </w:t>
      </w:r>
      <w:r>
        <w:rPr>
          <w:sz w:val="28"/>
          <w:szCs w:val="28"/>
        </w:rPr>
        <w:t>balstoties uz pašreizējo</w:t>
      </w:r>
      <w:r w:rsidRPr="003318A6">
        <w:rPr>
          <w:rFonts w:eastAsia="Calibri" w:cs="Times New Roman"/>
          <w:sz w:val="28"/>
          <w:szCs w:val="28"/>
        </w:rPr>
        <w:t xml:space="preserve"> da</w:t>
      </w:r>
      <w:r>
        <w:rPr>
          <w:sz w:val="28"/>
          <w:szCs w:val="28"/>
        </w:rPr>
        <w:t>rbaspēka sagatavošanas sistēmu, tāpēc, veicot tajā atbilstošas korekcijas, problēmas 2015.gadā var nebūt tik aktuālas.</w:t>
      </w:r>
      <w:r w:rsidR="00156DFE">
        <w:rPr>
          <w:sz w:val="28"/>
          <w:szCs w:val="28"/>
        </w:rPr>
        <w:t xml:space="preserve"> </w:t>
      </w:r>
      <w:r w:rsidRPr="003318A6">
        <w:rPr>
          <w:rFonts w:eastAsia="Calibri" w:cs="Times New Roman"/>
          <w:sz w:val="28"/>
          <w:szCs w:val="28"/>
        </w:rPr>
        <w:t xml:space="preserve"> </w:t>
      </w:r>
    </w:p>
    <w:p w:rsidR="00EB401A" w:rsidRPr="00EB401A" w:rsidRDefault="00EB401A" w:rsidP="00BF4D3C">
      <w:pPr>
        <w:ind w:firstLine="720"/>
        <w:jc w:val="both"/>
        <w:rPr>
          <w:sz w:val="14"/>
          <w:szCs w:val="14"/>
        </w:rPr>
      </w:pPr>
    </w:p>
    <w:p w:rsidR="00BF4D3C" w:rsidRDefault="00BF4D3C" w:rsidP="00BF4D3C">
      <w:pPr>
        <w:ind w:firstLine="720"/>
        <w:jc w:val="both"/>
        <w:rPr>
          <w:sz w:val="28"/>
          <w:szCs w:val="28"/>
        </w:rPr>
      </w:pPr>
      <w:r>
        <w:rPr>
          <w:sz w:val="28"/>
          <w:szCs w:val="28"/>
        </w:rPr>
        <w:t>2015.gadā, salīdzinot ar 2008.gadu, vislielākais nodarbināto skaita samazinājums nozaru griezumā sagaidāms sabiedrisko pakalpojumu nozarēs (valsts pārvaldē, izglītībā un medicīnā). To nosaka valsts pārvaldes optimizācijas pasākumi un gaidāmie budžeta ierobežojumi.</w:t>
      </w:r>
    </w:p>
    <w:p w:rsidR="00BF4D3C" w:rsidRDefault="00BF4D3C" w:rsidP="00BF4D3C">
      <w:pPr>
        <w:ind w:firstLine="720"/>
        <w:jc w:val="both"/>
        <w:rPr>
          <w:sz w:val="28"/>
          <w:szCs w:val="28"/>
        </w:rPr>
      </w:pPr>
      <w:r>
        <w:rPr>
          <w:sz w:val="28"/>
          <w:szCs w:val="28"/>
        </w:rPr>
        <w:t>Būtisks nodarbināto skaita samazinājums būs arī lauksaimniecībā</w:t>
      </w:r>
      <w:r w:rsidRPr="002431FB">
        <w:rPr>
          <w:sz w:val="28"/>
          <w:szCs w:val="28"/>
        </w:rPr>
        <w:t xml:space="preserve"> </w:t>
      </w:r>
      <w:r>
        <w:rPr>
          <w:sz w:val="28"/>
          <w:szCs w:val="28"/>
        </w:rPr>
        <w:t>un tirdzniecībā. Mazākos tempos samazināsies strādājošo skaits rūpniecībā, būvniecībā un komercpakalpojumu nozarē.</w:t>
      </w:r>
    </w:p>
    <w:p w:rsidR="00BF4D3C" w:rsidRDefault="00BF4D3C" w:rsidP="00BF4D3C">
      <w:pPr>
        <w:ind w:firstLine="720"/>
        <w:jc w:val="both"/>
        <w:rPr>
          <w:color w:val="000000"/>
          <w:sz w:val="28"/>
          <w:szCs w:val="28"/>
        </w:rPr>
      </w:pPr>
      <w:r w:rsidRPr="00027EEE">
        <w:rPr>
          <w:sz w:val="28"/>
          <w:szCs w:val="28"/>
        </w:rPr>
        <w:t xml:space="preserve">Savukārt </w:t>
      </w:r>
      <w:r>
        <w:rPr>
          <w:sz w:val="28"/>
          <w:szCs w:val="28"/>
        </w:rPr>
        <w:t>visātrāk</w:t>
      </w:r>
      <w:r w:rsidRPr="00027EEE">
        <w:rPr>
          <w:sz w:val="28"/>
          <w:szCs w:val="28"/>
        </w:rPr>
        <w:t xml:space="preserve"> no ekonomiskās lejupslīdes radītām sekām varētu atgūties transporta nozare, kur 201</w:t>
      </w:r>
      <w:r>
        <w:rPr>
          <w:sz w:val="28"/>
          <w:szCs w:val="28"/>
        </w:rPr>
        <w:t>5</w:t>
      </w:r>
      <w:r w:rsidR="00156DFE">
        <w:rPr>
          <w:sz w:val="28"/>
          <w:szCs w:val="28"/>
        </w:rPr>
        <w:t>.gad</w:t>
      </w:r>
      <w:r w:rsidRPr="00027EEE">
        <w:rPr>
          <w:sz w:val="28"/>
          <w:szCs w:val="28"/>
        </w:rPr>
        <w:t>ā, salīdzinot ar 2008</w:t>
      </w:r>
      <w:r w:rsidR="00156DFE">
        <w:rPr>
          <w:sz w:val="28"/>
          <w:szCs w:val="28"/>
        </w:rPr>
        <w:t>.gad</w:t>
      </w:r>
      <w:r w:rsidRPr="00027EEE">
        <w:rPr>
          <w:sz w:val="28"/>
          <w:szCs w:val="28"/>
        </w:rPr>
        <w:t xml:space="preserve">u, nodarbināto skaits </w:t>
      </w:r>
      <w:r>
        <w:rPr>
          <w:sz w:val="28"/>
          <w:szCs w:val="28"/>
        </w:rPr>
        <w:t>būs palielinājies par 9 procentiem</w:t>
      </w:r>
      <w:r>
        <w:rPr>
          <w:color w:val="000000"/>
          <w:sz w:val="28"/>
          <w:szCs w:val="28"/>
        </w:rPr>
        <w:t>.</w:t>
      </w:r>
    </w:p>
    <w:p w:rsidR="00BF4D3C" w:rsidRPr="00F80111" w:rsidRDefault="00BF4D3C" w:rsidP="00BF4D3C">
      <w:pPr>
        <w:ind w:firstLine="720"/>
        <w:jc w:val="both"/>
        <w:rPr>
          <w:sz w:val="28"/>
          <w:szCs w:val="28"/>
        </w:rPr>
      </w:pPr>
      <w:r w:rsidRPr="004D66FE">
        <w:rPr>
          <w:sz w:val="28"/>
          <w:szCs w:val="28"/>
        </w:rPr>
        <w:t>Neskatoties uz to, ka līdz ar ekonomikas lejupslīdi samazinās arī ekonomiski</w:t>
      </w:r>
      <w:r w:rsidRPr="00F80111">
        <w:rPr>
          <w:sz w:val="28"/>
          <w:szCs w:val="28"/>
        </w:rPr>
        <w:t xml:space="preserve"> aktīvo iedzīvotāju skaits, tomēr ir sagaidāms, ka līdz 2014.gadam </w:t>
      </w:r>
      <w:r>
        <w:rPr>
          <w:sz w:val="28"/>
          <w:szCs w:val="28"/>
        </w:rPr>
        <w:t>abos</w:t>
      </w:r>
      <w:r w:rsidRPr="00F80111">
        <w:rPr>
          <w:sz w:val="28"/>
          <w:szCs w:val="28"/>
        </w:rPr>
        <w:t xml:space="preserve"> </w:t>
      </w:r>
      <w:r w:rsidRPr="00F80111">
        <w:rPr>
          <w:sz w:val="28"/>
          <w:szCs w:val="28"/>
        </w:rPr>
        <w:lastRenderedPageBreak/>
        <w:t>tautsaimniecības attīstības scenārijos saglabāsies ievērojams darbaspēka piedāvājuma pārsvars pār pieprasījumu</w:t>
      </w:r>
      <w:r>
        <w:rPr>
          <w:sz w:val="28"/>
          <w:szCs w:val="28"/>
        </w:rPr>
        <w:t>, saasinot konkurenci darba tirgū kopumā. Tomēr jāatzīmē, ka atsevišķos darba tirgus segmentos (profesiju griezumā) būs vērojams arī darba spēka iztrūkums.</w:t>
      </w:r>
    </w:p>
    <w:p w:rsidR="00BF4D3C" w:rsidRDefault="00BF4D3C" w:rsidP="00BF4D3C">
      <w:pPr>
        <w:ind w:firstLine="720"/>
        <w:jc w:val="both"/>
        <w:rPr>
          <w:sz w:val="28"/>
          <w:szCs w:val="28"/>
        </w:rPr>
      </w:pPr>
      <w:r w:rsidRPr="003318A6">
        <w:rPr>
          <w:sz w:val="28"/>
          <w:szCs w:val="28"/>
        </w:rPr>
        <w:t xml:space="preserve">Vislielākā konkurence būs augstākās izglītības profesiju grupās. Starp trīs kvalifikācijas līmeņiem (augstākās </w:t>
      </w:r>
      <w:r>
        <w:rPr>
          <w:sz w:val="28"/>
          <w:szCs w:val="28"/>
        </w:rPr>
        <w:t>kvalifikācij</w:t>
      </w:r>
      <w:r w:rsidRPr="003318A6">
        <w:rPr>
          <w:sz w:val="28"/>
          <w:szCs w:val="28"/>
        </w:rPr>
        <w:t xml:space="preserve">as, vidējas kvalifikācijas un mazkvalificēto profesiju grupas) augstākās izglītības grupā būs lielākā neatbilstība starp darbaspēka piedāvājumu un pieprasījumu. </w:t>
      </w:r>
    </w:p>
    <w:p w:rsidR="00BF4D3C" w:rsidRDefault="00BF4D3C" w:rsidP="00BF4D3C">
      <w:pPr>
        <w:ind w:firstLine="720"/>
        <w:jc w:val="both"/>
        <w:rPr>
          <w:sz w:val="28"/>
          <w:szCs w:val="28"/>
        </w:rPr>
      </w:pPr>
      <w:r>
        <w:rPr>
          <w:sz w:val="28"/>
          <w:szCs w:val="28"/>
        </w:rPr>
        <w:t>Augstākās izglītības profesiju grupā lielākai</w:t>
      </w:r>
      <w:r w:rsidRPr="007268AD">
        <w:rPr>
          <w:sz w:val="28"/>
          <w:szCs w:val="28"/>
        </w:rPr>
        <w:t xml:space="preserve">s darbaspēka pārpalikums </w:t>
      </w:r>
      <w:r>
        <w:rPr>
          <w:sz w:val="28"/>
          <w:szCs w:val="28"/>
        </w:rPr>
        <w:t>būs</w:t>
      </w:r>
      <w:r w:rsidRPr="007268AD">
        <w:rPr>
          <w:sz w:val="28"/>
          <w:szCs w:val="28"/>
        </w:rPr>
        <w:t xml:space="preserve"> vērojams h</w:t>
      </w:r>
      <w:r>
        <w:rPr>
          <w:sz w:val="28"/>
          <w:szCs w:val="28"/>
        </w:rPr>
        <w:t>umanitārās un sociālās zinātnēs.</w:t>
      </w:r>
      <w:r w:rsidRPr="007268AD">
        <w:rPr>
          <w:sz w:val="28"/>
          <w:szCs w:val="28"/>
        </w:rPr>
        <w:t xml:space="preserve"> </w:t>
      </w:r>
      <w:r>
        <w:rPr>
          <w:sz w:val="28"/>
          <w:szCs w:val="28"/>
        </w:rPr>
        <w:t>Iemesli ir gan minētais</w:t>
      </w:r>
      <w:r w:rsidRPr="007268AD">
        <w:rPr>
          <w:sz w:val="28"/>
          <w:szCs w:val="28"/>
        </w:rPr>
        <w:t xml:space="preserve"> ievērojam</w:t>
      </w:r>
      <w:r>
        <w:rPr>
          <w:sz w:val="28"/>
          <w:szCs w:val="28"/>
        </w:rPr>
        <w:t>ais</w:t>
      </w:r>
      <w:r w:rsidRPr="007268AD">
        <w:rPr>
          <w:sz w:val="28"/>
          <w:szCs w:val="28"/>
        </w:rPr>
        <w:t xml:space="preserve"> studējošo skait</w:t>
      </w:r>
      <w:r>
        <w:rPr>
          <w:sz w:val="28"/>
          <w:szCs w:val="28"/>
        </w:rPr>
        <w:t>s</w:t>
      </w:r>
      <w:r w:rsidRPr="007268AD">
        <w:rPr>
          <w:sz w:val="28"/>
          <w:szCs w:val="28"/>
        </w:rPr>
        <w:t xml:space="preserve"> šajās jomās, </w:t>
      </w:r>
      <w:r>
        <w:rPr>
          <w:sz w:val="28"/>
          <w:szCs w:val="28"/>
        </w:rPr>
        <w:t xml:space="preserve">gan tas, ka </w:t>
      </w:r>
      <w:r w:rsidRPr="000A4621">
        <w:rPr>
          <w:sz w:val="28"/>
          <w:szCs w:val="28"/>
        </w:rPr>
        <w:t xml:space="preserve">aptuveni 3/4 humanitāro un sociālo zinātņu speciālisti ir nodarbināti pakalpojumu nozarēs, kur darbaspēka pieprasījuma samazināšanos ievērojami ietekmē ekonomiskā lejupslīde. </w:t>
      </w:r>
    </w:p>
    <w:p w:rsidR="00BF4D3C" w:rsidRDefault="00BF4D3C" w:rsidP="00BF4D3C">
      <w:pPr>
        <w:ind w:firstLine="720"/>
        <w:jc w:val="both"/>
        <w:rPr>
          <w:sz w:val="28"/>
          <w:szCs w:val="28"/>
        </w:rPr>
      </w:pPr>
      <w:r>
        <w:rPr>
          <w:sz w:val="28"/>
          <w:szCs w:val="28"/>
        </w:rPr>
        <w:t>Lai gan inženieru, arhitektu profesiju grupā paredzams, ka nebūs darbaspēka iztrūkums, tomēr jāpatur prātā, ka straujākas izaugsmes scenārija gadījumā pieprasījums pēc noteiktu inženieru profesiju grupas pārstāvjiem var netikt pilnībā apmierināts.</w:t>
      </w:r>
    </w:p>
    <w:p w:rsidR="00BF4D3C" w:rsidRDefault="00BF4D3C" w:rsidP="00BF4D3C">
      <w:pPr>
        <w:ind w:firstLine="720"/>
        <w:jc w:val="both"/>
        <w:rPr>
          <w:sz w:val="28"/>
          <w:szCs w:val="28"/>
        </w:rPr>
      </w:pPr>
      <w:r>
        <w:rPr>
          <w:sz w:val="28"/>
          <w:szCs w:val="28"/>
        </w:rPr>
        <w:t>Savukārt tādā budžeta profesijā kā pedagogi, kas ietver gan skolotājus, gan zinātnes darbinieku</w:t>
      </w:r>
      <w:r w:rsidR="00156DFE">
        <w:rPr>
          <w:sz w:val="28"/>
          <w:szCs w:val="28"/>
        </w:rPr>
        <w:t>s</w:t>
      </w:r>
      <w:r>
        <w:rPr>
          <w:sz w:val="28"/>
          <w:szCs w:val="28"/>
        </w:rPr>
        <w:t xml:space="preserve"> un augstskolu pasniedzējus (akadēmiskais personāls), piedāvājums samazinās, un</w:t>
      </w:r>
      <w:r w:rsidRPr="00D10A8C">
        <w:rPr>
          <w:sz w:val="28"/>
          <w:szCs w:val="28"/>
        </w:rPr>
        <w:t xml:space="preserve"> </w:t>
      </w:r>
      <w:r>
        <w:rPr>
          <w:sz w:val="28"/>
          <w:szCs w:val="28"/>
        </w:rPr>
        <w:t>pie noteiktajiem budžeta ierobežojumiem šajā profesiju grupā 2015.gadā var būt iespējamas problēmas ar pieprasījuma apmierināšanu.</w:t>
      </w:r>
    </w:p>
    <w:p w:rsidR="00BF4D3C" w:rsidRDefault="00BF4D3C" w:rsidP="00BF4D3C">
      <w:pPr>
        <w:ind w:firstLine="720"/>
        <w:jc w:val="both"/>
        <w:rPr>
          <w:sz w:val="28"/>
          <w:szCs w:val="28"/>
        </w:rPr>
      </w:pPr>
      <w:r>
        <w:rPr>
          <w:sz w:val="28"/>
          <w:szCs w:val="28"/>
        </w:rPr>
        <w:t>Lai gan medicīnas darbinieku profesiju grupā tiek prognozēts pārpalikums, pastāv risks</w:t>
      </w:r>
      <w:r w:rsidRPr="00EF4ABC">
        <w:rPr>
          <w:sz w:val="28"/>
          <w:szCs w:val="28"/>
        </w:rPr>
        <w:t xml:space="preserve"> </w:t>
      </w:r>
      <w:r>
        <w:rPr>
          <w:sz w:val="28"/>
          <w:szCs w:val="28"/>
        </w:rPr>
        <w:t>veidoties darbaspēka trūkumam, ievērojot ievērojamās atšķirības starp dažādām specialitātēm profesijas ietvaros.</w:t>
      </w:r>
    </w:p>
    <w:p w:rsidR="00BF4D3C" w:rsidRDefault="00BF4D3C" w:rsidP="00BF4D3C">
      <w:pPr>
        <w:ind w:firstLine="720"/>
        <w:jc w:val="both"/>
        <w:rPr>
          <w:sz w:val="28"/>
          <w:szCs w:val="28"/>
        </w:rPr>
      </w:pPr>
      <w:r w:rsidRPr="003318A6">
        <w:rPr>
          <w:sz w:val="28"/>
          <w:szCs w:val="28"/>
        </w:rPr>
        <w:t xml:space="preserve">Vismazākais pārpalikums būs vidējās kvalifikācijas profesijās. Tā kā piedāvājums pārsniegs pieprasījumu nelielā apmērā, var rasties situācija, ka nodrošinājums ar vidējās kvalifikācijas speciālistiem ir nepietiekams. Šāda situācija var rasties, ja ir pārāk mazs šo specialitāšu absolventu skaits vai viņu iegūtās prasmes nebūs atbilstošas. </w:t>
      </w:r>
    </w:p>
    <w:p w:rsidR="00BF4D3C" w:rsidRDefault="00BF4D3C" w:rsidP="00BF4D3C">
      <w:pPr>
        <w:ind w:firstLine="720"/>
        <w:jc w:val="both"/>
        <w:rPr>
          <w:sz w:val="28"/>
          <w:szCs w:val="28"/>
        </w:rPr>
      </w:pPr>
      <w:r>
        <w:rPr>
          <w:sz w:val="28"/>
          <w:szCs w:val="28"/>
        </w:rPr>
        <w:t>Starp vidējās kvalifikācijas profesijām vismazākās problēmas darba tirgū būs mehāniķiem un atslēdzniekiem, transporta līdzekļu vadītājiem. Šajās profesiju grupās vidējā termiņā var būt pat problēmas ar pieprasījuma apmierināšanu.</w:t>
      </w:r>
    </w:p>
    <w:p w:rsidR="00BF4D3C" w:rsidRDefault="00BF4D3C" w:rsidP="00BF4D3C">
      <w:pPr>
        <w:ind w:firstLine="720"/>
        <w:jc w:val="both"/>
        <w:rPr>
          <w:sz w:val="28"/>
          <w:szCs w:val="28"/>
        </w:rPr>
      </w:pPr>
      <w:r>
        <w:rPr>
          <w:sz w:val="28"/>
          <w:szCs w:val="28"/>
        </w:rPr>
        <w:t>Īpaši uzmanība jāpievērš mehāniķu, atslēdznieku profesiju grupai, kas ietver kvalificētus strādniekus un amatniekus, elektrotehnikas u.c.</w:t>
      </w:r>
      <w:r w:rsidRPr="00DE773D">
        <w:rPr>
          <w:sz w:val="28"/>
          <w:szCs w:val="28"/>
        </w:rPr>
        <w:t xml:space="preserve"> </w:t>
      </w:r>
      <w:r>
        <w:rPr>
          <w:sz w:val="28"/>
          <w:szCs w:val="28"/>
        </w:rPr>
        <w:t>speciālistus, pēc kuriem būs pieprasījums dažādās nozarēs, taču jo īpaši apstrādes rūpniecībā. Jāatzīmē, ka šī ir skaitliski lielākā profesiju grupa – 2008.gadā tajā bija 171 tūkst. nodarbināto, un 2015.gadā sagaidāms 155 tūkst. Atsākoties ekonomiskajai izaugsmei ir īpaši nozīmīgi, lai šo speciālistu piedāvājums gan kvantitatīvi, gan kvalitatīvi, īpaši ņemot vērā jauno tehnoloģiju ātro izplatību, atbilstu pieprasījumam.</w:t>
      </w:r>
    </w:p>
    <w:p w:rsidR="00BF4D3C" w:rsidRDefault="00BF4D3C" w:rsidP="00BF4D3C">
      <w:pPr>
        <w:ind w:firstLine="720"/>
        <w:jc w:val="both"/>
        <w:rPr>
          <w:sz w:val="28"/>
          <w:szCs w:val="28"/>
        </w:rPr>
      </w:pPr>
      <w:r>
        <w:rPr>
          <w:sz w:val="28"/>
          <w:szCs w:val="28"/>
        </w:rPr>
        <w:t>Problēmas var būt arī ar vidējā medicīniskā personāla nodrošinājumu, neraugoties uz to, ka šai profesijai piedāvājuma un pieprasījuma koeficients sasniedz 100% sakarā ar profesijas zemo profesionālo mobilitāti.</w:t>
      </w:r>
    </w:p>
    <w:p w:rsidR="00BF4D3C" w:rsidRDefault="00BF4D3C" w:rsidP="00BF4D3C">
      <w:pPr>
        <w:ind w:firstLine="720"/>
        <w:jc w:val="both"/>
        <w:rPr>
          <w:sz w:val="28"/>
          <w:szCs w:val="28"/>
        </w:rPr>
      </w:pPr>
      <w:r>
        <w:rPr>
          <w:sz w:val="28"/>
          <w:szCs w:val="28"/>
        </w:rPr>
        <w:lastRenderedPageBreak/>
        <w:t>No pārējiem vidējās kvalifikācijas profesiju grupas pārstāvjiem jāmin aprūpes darbinieki, pēc kuriem pieprasījums var pārsniegt piedāvājumu, īpaši gados vecāku cilvēku un bērnu aprūpē.</w:t>
      </w:r>
    </w:p>
    <w:p w:rsidR="00BF4D3C" w:rsidRDefault="00BF4D3C" w:rsidP="00BF4D3C">
      <w:pPr>
        <w:ind w:firstLine="720"/>
        <w:jc w:val="both"/>
        <w:rPr>
          <w:sz w:val="28"/>
          <w:szCs w:val="28"/>
        </w:rPr>
      </w:pPr>
      <w:r>
        <w:rPr>
          <w:sz w:val="28"/>
          <w:szCs w:val="28"/>
        </w:rPr>
        <w:t>Nozīmīgākais pārpalikums būs vērojams būvniecības un lauksaimniecības vidējas kvalifikācijas speciālistu grupās, kā arī</w:t>
      </w:r>
      <w:r w:rsidRPr="00562111">
        <w:rPr>
          <w:sz w:val="28"/>
          <w:szCs w:val="28"/>
        </w:rPr>
        <w:t xml:space="preserve"> </w:t>
      </w:r>
      <w:r>
        <w:rPr>
          <w:sz w:val="28"/>
          <w:szCs w:val="28"/>
        </w:rPr>
        <w:t>pēc vidējās kvalifikācijas k</w:t>
      </w:r>
      <w:r w:rsidRPr="00C13D32">
        <w:rPr>
          <w:sz w:val="28"/>
          <w:szCs w:val="28"/>
        </w:rPr>
        <w:t>omerciālo un individuālo pakalpojumu sniedzēji</w:t>
      </w:r>
      <w:r>
        <w:rPr>
          <w:sz w:val="28"/>
          <w:szCs w:val="28"/>
        </w:rPr>
        <w:t>em, ko ietekmēs nozaru lēnā atgūšanās un iekšējā patēriņa kritums.</w:t>
      </w:r>
    </w:p>
    <w:p w:rsidR="00BF4D3C" w:rsidRDefault="00BF4D3C" w:rsidP="00BF4D3C">
      <w:pPr>
        <w:ind w:firstLine="720"/>
        <w:jc w:val="both"/>
        <w:rPr>
          <w:spacing w:val="-4"/>
          <w:sz w:val="28"/>
          <w:szCs w:val="28"/>
        </w:rPr>
      </w:pPr>
      <w:r>
        <w:rPr>
          <w:spacing w:val="-4"/>
          <w:sz w:val="28"/>
          <w:szCs w:val="28"/>
        </w:rPr>
        <w:t>V</w:t>
      </w:r>
      <w:r w:rsidRPr="00506978">
        <w:rPr>
          <w:spacing w:val="-4"/>
          <w:sz w:val="28"/>
          <w:szCs w:val="28"/>
        </w:rPr>
        <w:t xml:space="preserve">idēja termiņa periodā (līdz 2015.gadam) Latvijā turpinās samazināties gan iedzīvotāju skaits kopumā, gan iedzīvotāju skaits darbaspējas vecumā. Līdz ar iedzīvotāju skaita samazinājumu un ekonomikas lejupslīdi, sagaidāms, ka samazināsies arī kopējais darbaspēka piedāvājums. Straujais darbaspēka pieprasījuma samazinājums 2009. un 2010.gadā krietni samazinās ekonomiskās līdzdalības līmeni, kas var atstāt ietekmi arī uz turpmāko gadu kopējo darbaspēka piedāvājumu. It īpaši liels risks ir </w:t>
      </w:r>
      <w:r w:rsidR="00C46204">
        <w:rPr>
          <w:spacing w:val="-4"/>
          <w:sz w:val="28"/>
          <w:szCs w:val="28"/>
        </w:rPr>
        <w:t>lēnākas ekonomikas izaugsmes</w:t>
      </w:r>
      <w:r w:rsidRPr="00506978">
        <w:rPr>
          <w:spacing w:val="-4"/>
          <w:sz w:val="28"/>
          <w:szCs w:val="28"/>
        </w:rPr>
        <w:t xml:space="preserve"> gadījumā, kad </w:t>
      </w:r>
      <w:r w:rsidR="00C46204">
        <w:rPr>
          <w:spacing w:val="-4"/>
          <w:sz w:val="28"/>
          <w:szCs w:val="28"/>
        </w:rPr>
        <w:t>būtiski</w:t>
      </w:r>
      <w:r>
        <w:rPr>
          <w:spacing w:val="-4"/>
          <w:sz w:val="28"/>
          <w:szCs w:val="28"/>
        </w:rPr>
        <w:t xml:space="preserve"> </w:t>
      </w:r>
      <w:r w:rsidRPr="00506978">
        <w:rPr>
          <w:spacing w:val="-4"/>
          <w:sz w:val="28"/>
          <w:szCs w:val="28"/>
        </w:rPr>
        <w:t>var palielināties iedzīvotāju emigrācija.</w:t>
      </w:r>
    </w:p>
    <w:p w:rsidR="00BF4D3C" w:rsidRDefault="00BF4D3C" w:rsidP="00BF4D3C"/>
    <w:p w:rsidR="00E25D13" w:rsidRPr="00E25D13" w:rsidRDefault="00E25D13" w:rsidP="00E25D13">
      <w:pPr>
        <w:ind w:firstLine="720"/>
        <w:jc w:val="both"/>
        <w:rPr>
          <w:rFonts w:cs="Times New Roman"/>
          <w:i/>
          <w:sz w:val="28"/>
          <w:szCs w:val="28"/>
        </w:rPr>
      </w:pPr>
      <w:r>
        <w:rPr>
          <w:rFonts w:cs="Times New Roman"/>
          <w:sz w:val="28"/>
          <w:szCs w:val="28"/>
        </w:rPr>
        <w:t xml:space="preserve">Plašāka informācija par darba tirgus attīstības tendencēm ir atrodama </w:t>
      </w:r>
      <w:r w:rsidRPr="0088758F">
        <w:rPr>
          <w:rFonts w:cs="Times New Roman"/>
          <w:sz w:val="28"/>
          <w:szCs w:val="28"/>
        </w:rPr>
        <w:t>Ekonomikas ministrijas sagatavota</w:t>
      </w:r>
      <w:r>
        <w:rPr>
          <w:rFonts w:cs="Times New Roman"/>
          <w:sz w:val="28"/>
          <w:szCs w:val="28"/>
        </w:rPr>
        <w:t>jā</w:t>
      </w:r>
      <w:r w:rsidRPr="0088758F">
        <w:rPr>
          <w:rFonts w:cs="Times New Roman"/>
          <w:sz w:val="28"/>
          <w:szCs w:val="28"/>
        </w:rPr>
        <w:t xml:space="preserve"> </w:t>
      </w:r>
      <w:r w:rsidRPr="00E25D13">
        <w:rPr>
          <w:rFonts w:cs="Times New Roman"/>
          <w:i/>
          <w:sz w:val="28"/>
          <w:szCs w:val="28"/>
        </w:rPr>
        <w:t>Informatīva</w:t>
      </w:r>
      <w:r>
        <w:rPr>
          <w:rFonts w:cs="Times New Roman"/>
          <w:i/>
          <w:sz w:val="28"/>
          <w:szCs w:val="28"/>
        </w:rPr>
        <w:t>jā ziņojumā</w:t>
      </w:r>
      <w:r w:rsidRPr="00E25D13">
        <w:rPr>
          <w:rFonts w:cs="Times New Roman"/>
          <w:i/>
          <w:sz w:val="28"/>
          <w:szCs w:val="28"/>
        </w:rPr>
        <w:t xml:space="preserve"> par prognozēm darbaspēka pieprasījuma un piedāvājuma atbilstībai vidējā termiņā</w:t>
      </w:r>
      <w:r>
        <w:rPr>
          <w:rFonts w:eastAsia="Calibri"/>
          <w:sz w:val="28"/>
          <w:szCs w:val="28"/>
        </w:rPr>
        <w:t xml:space="preserve">, kas </w:t>
      </w:r>
      <w:r w:rsidRPr="0088758F">
        <w:rPr>
          <w:rFonts w:eastAsia="Calibri"/>
          <w:sz w:val="28"/>
          <w:szCs w:val="28"/>
        </w:rPr>
        <w:t xml:space="preserve">tika </w:t>
      </w:r>
      <w:r>
        <w:rPr>
          <w:rFonts w:eastAsia="Calibri"/>
          <w:sz w:val="28"/>
          <w:szCs w:val="28"/>
        </w:rPr>
        <w:t>izskatīts MK</w:t>
      </w:r>
      <w:r w:rsidRPr="0088758F">
        <w:rPr>
          <w:rFonts w:eastAsia="Calibri"/>
          <w:sz w:val="28"/>
          <w:szCs w:val="28"/>
        </w:rPr>
        <w:t xml:space="preserve"> 2009.gada </w:t>
      </w:r>
      <w:r>
        <w:rPr>
          <w:rFonts w:eastAsia="Calibri"/>
          <w:sz w:val="28"/>
          <w:szCs w:val="28"/>
        </w:rPr>
        <w:t>14.jūlija</w:t>
      </w:r>
      <w:r w:rsidRPr="0088758F">
        <w:rPr>
          <w:rFonts w:eastAsia="Calibri"/>
          <w:sz w:val="28"/>
          <w:szCs w:val="28"/>
        </w:rPr>
        <w:t xml:space="preserve"> sēdē. </w:t>
      </w:r>
    </w:p>
    <w:p w:rsidR="00E25D13" w:rsidRPr="002707C5" w:rsidRDefault="00E25D13" w:rsidP="00BF4D3C"/>
    <w:p w:rsidR="00BF4D3C" w:rsidRDefault="00BF4D3C">
      <w:pPr>
        <w:spacing w:after="200" w:line="276" w:lineRule="auto"/>
        <w:rPr>
          <w:rFonts w:eastAsiaTheme="majorEastAsia" w:cstheme="majorBidi"/>
          <w:b/>
          <w:bCs/>
          <w:sz w:val="32"/>
          <w:szCs w:val="28"/>
        </w:rPr>
      </w:pPr>
    </w:p>
    <w:p w:rsidR="00BF4D3C" w:rsidRDefault="00BF4D3C">
      <w:pPr>
        <w:spacing w:after="200" w:line="276" w:lineRule="auto"/>
        <w:rPr>
          <w:rFonts w:eastAsiaTheme="majorEastAsia" w:cstheme="majorBidi"/>
          <w:b/>
          <w:bCs/>
          <w:sz w:val="32"/>
          <w:szCs w:val="28"/>
        </w:rPr>
      </w:pPr>
      <w:r>
        <w:br w:type="page"/>
      </w:r>
    </w:p>
    <w:p w:rsidR="00B5187D" w:rsidRPr="0088758F" w:rsidRDefault="00BF4D3C" w:rsidP="00B5187D">
      <w:pPr>
        <w:pStyle w:val="Heading1"/>
      </w:pPr>
      <w:bookmarkStart w:id="18" w:name="_Toc242510364"/>
      <w:r>
        <w:lastRenderedPageBreak/>
        <w:t>2</w:t>
      </w:r>
      <w:r w:rsidR="00B5187D" w:rsidRPr="0088758F">
        <w:t>. </w:t>
      </w:r>
      <w:r w:rsidR="007F644C" w:rsidRPr="0088758F">
        <w:t xml:space="preserve">Ekonomiskās politikas </w:t>
      </w:r>
      <w:r w:rsidR="00DA13F9" w:rsidRPr="0088758F">
        <w:t>vidēja termiņa mērķi</w:t>
      </w:r>
      <w:r w:rsidR="007F644C" w:rsidRPr="0088758F">
        <w:t xml:space="preserve"> un uzdevumi</w:t>
      </w:r>
      <w:bookmarkEnd w:id="18"/>
    </w:p>
    <w:p w:rsidR="00B5187D" w:rsidRPr="0088758F" w:rsidRDefault="00B5187D" w:rsidP="00A85F20">
      <w:pPr>
        <w:pStyle w:val="Heading1"/>
        <w:ind w:firstLine="567"/>
        <w:rPr>
          <w:b w:val="0"/>
          <w:sz w:val="16"/>
          <w:szCs w:val="16"/>
        </w:rPr>
      </w:pPr>
    </w:p>
    <w:bookmarkEnd w:id="2"/>
    <w:p w:rsidR="00B801F2" w:rsidRPr="0088758F" w:rsidRDefault="00B801F2" w:rsidP="00B801F2">
      <w:pPr>
        <w:pStyle w:val="Default"/>
        <w:ind w:firstLine="567"/>
        <w:jc w:val="both"/>
        <w:rPr>
          <w:color w:val="auto"/>
          <w:sz w:val="28"/>
          <w:szCs w:val="28"/>
        </w:rPr>
      </w:pPr>
      <w:r w:rsidRPr="0088758F">
        <w:rPr>
          <w:i/>
          <w:color w:val="auto"/>
          <w:sz w:val="28"/>
          <w:szCs w:val="28"/>
        </w:rPr>
        <w:t xml:space="preserve">Latvijas ekonomikas stabilizācijas un izaugsmes atjaunošanas </w:t>
      </w:r>
      <w:r w:rsidRPr="0088758F">
        <w:rPr>
          <w:i/>
          <w:color w:val="auto"/>
          <w:spacing w:val="-4"/>
          <w:sz w:val="28"/>
          <w:szCs w:val="28"/>
        </w:rPr>
        <w:t xml:space="preserve">programmā, </w:t>
      </w:r>
      <w:r w:rsidRPr="0088758F">
        <w:rPr>
          <w:color w:val="auto"/>
          <w:spacing w:val="-4"/>
          <w:sz w:val="28"/>
          <w:szCs w:val="28"/>
        </w:rPr>
        <w:t>ko Saeima pieņēma 2008</w:t>
      </w:r>
      <w:r w:rsidR="00156DFE">
        <w:rPr>
          <w:color w:val="auto"/>
          <w:spacing w:val="-4"/>
          <w:sz w:val="28"/>
          <w:szCs w:val="28"/>
        </w:rPr>
        <w:t>.gad</w:t>
      </w:r>
      <w:r w:rsidRPr="0088758F">
        <w:rPr>
          <w:color w:val="auto"/>
          <w:spacing w:val="-4"/>
          <w:sz w:val="28"/>
          <w:szCs w:val="28"/>
        </w:rPr>
        <w:t>a 12.</w:t>
      </w:r>
      <w:r w:rsidRPr="0088758F">
        <w:rPr>
          <w:color w:val="auto"/>
          <w:sz w:val="28"/>
          <w:szCs w:val="28"/>
        </w:rPr>
        <w:t> </w:t>
      </w:r>
      <w:r w:rsidRPr="0088758F">
        <w:rPr>
          <w:color w:val="auto"/>
          <w:spacing w:val="-4"/>
          <w:sz w:val="28"/>
          <w:szCs w:val="28"/>
        </w:rPr>
        <w:t>decembrī un atjaunoja 2009.gada 16.jūnijā,</w:t>
      </w:r>
      <w:r w:rsidRPr="0088758F">
        <w:rPr>
          <w:bCs/>
          <w:color w:val="auto"/>
          <w:sz w:val="28"/>
          <w:szCs w:val="28"/>
        </w:rPr>
        <w:t xml:space="preserve"> ir nosprausti galvenie ekonomiskās krīzes pārvarēšanas rīcības virzieni un tie </w:t>
      </w:r>
      <w:r w:rsidRPr="0088758F">
        <w:rPr>
          <w:color w:val="auto"/>
          <w:sz w:val="28"/>
          <w:szCs w:val="28"/>
        </w:rPr>
        <w:t xml:space="preserve">ir šādi: </w:t>
      </w:r>
    </w:p>
    <w:p w:rsidR="00B801F2" w:rsidRPr="0088758F" w:rsidRDefault="00B801F2" w:rsidP="00B801F2">
      <w:pPr>
        <w:numPr>
          <w:ilvl w:val="0"/>
          <w:numId w:val="17"/>
        </w:numPr>
        <w:ind w:left="284" w:hanging="283"/>
        <w:jc w:val="both"/>
        <w:rPr>
          <w:rFonts w:eastAsia="Calibri" w:cs="Times New Roman"/>
          <w:sz w:val="28"/>
          <w:szCs w:val="28"/>
        </w:rPr>
      </w:pPr>
      <w:r w:rsidRPr="0088758F">
        <w:rPr>
          <w:rFonts w:eastAsia="Calibri" w:cs="Times New Roman"/>
          <w:bCs/>
          <w:sz w:val="28"/>
          <w:szCs w:val="28"/>
        </w:rPr>
        <w:t>stingra un stabila monetārā politika</w:t>
      </w:r>
      <w:r w:rsidRPr="0088758F">
        <w:rPr>
          <w:rFonts w:eastAsia="Calibri" w:cs="Times New Roman"/>
          <w:sz w:val="28"/>
          <w:szCs w:val="28"/>
        </w:rPr>
        <w:t>, kas balstīta uz fiksētu nacionālās valūtas piesaisti vienot</w:t>
      </w:r>
      <w:r w:rsidR="0088758F">
        <w:rPr>
          <w:rFonts w:eastAsia="Calibri" w:cs="Times New Roman"/>
          <w:sz w:val="28"/>
          <w:szCs w:val="28"/>
        </w:rPr>
        <w:t>ai</w:t>
      </w:r>
      <w:r w:rsidRPr="0088758F">
        <w:rPr>
          <w:rFonts w:eastAsia="Calibri" w:cs="Times New Roman"/>
          <w:sz w:val="28"/>
          <w:szCs w:val="28"/>
        </w:rPr>
        <w:t xml:space="preserve"> Eiropas valūtai. Valdība veiks visus nepieciešamos soļus, lai izpildītu Māstrihtas konverģences kritērijus, kas nodrošinātu eiro ieviešanu iespējami ātri; </w:t>
      </w:r>
    </w:p>
    <w:p w:rsidR="00B801F2" w:rsidRPr="0088758F" w:rsidRDefault="00B801F2" w:rsidP="00B801F2">
      <w:pPr>
        <w:numPr>
          <w:ilvl w:val="0"/>
          <w:numId w:val="17"/>
        </w:numPr>
        <w:ind w:left="284" w:hanging="283"/>
        <w:jc w:val="both"/>
        <w:rPr>
          <w:rFonts w:eastAsia="Calibri" w:cs="Times New Roman"/>
          <w:sz w:val="28"/>
          <w:szCs w:val="28"/>
        </w:rPr>
      </w:pPr>
      <w:r w:rsidRPr="0088758F">
        <w:rPr>
          <w:rFonts w:eastAsia="Calibri" w:cs="Times New Roman"/>
          <w:bCs/>
          <w:sz w:val="28"/>
          <w:szCs w:val="28"/>
        </w:rPr>
        <w:t xml:space="preserve">stingra fiskālā politika </w:t>
      </w:r>
      <w:r w:rsidRPr="0088758F">
        <w:rPr>
          <w:rFonts w:eastAsia="Calibri" w:cs="Times New Roman"/>
          <w:sz w:val="28"/>
          <w:szCs w:val="28"/>
        </w:rPr>
        <w:t>– valsts un pašvaldību tēriņu sabalansēšana ar ieņēmumu sniegtajām iespējām. Lai nodrošinātu turpmāku kopbudžeta deficīta mazināšanos, fiskālās konsolidācijas pasākumu rezultātā, kā mērķis tiek izvirzīts 2012.gadā samazināt kopbudžeta deficītu līdz 3% no IKP;</w:t>
      </w:r>
    </w:p>
    <w:p w:rsidR="00B801F2" w:rsidRPr="0088758F" w:rsidRDefault="00B801F2" w:rsidP="00B801F2">
      <w:pPr>
        <w:numPr>
          <w:ilvl w:val="0"/>
          <w:numId w:val="17"/>
        </w:numPr>
        <w:ind w:left="284" w:hanging="283"/>
        <w:jc w:val="both"/>
        <w:rPr>
          <w:rFonts w:eastAsia="Calibri" w:cs="Times New Roman"/>
          <w:sz w:val="28"/>
          <w:szCs w:val="28"/>
        </w:rPr>
      </w:pPr>
      <w:r w:rsidRPr="0088758F">
        <w:rPr>
          <w:rFonts w:eastAsia="Calibri" w:cs="Times New Roman"/>
          <w:sz w:val="28"/>
          <w:szCs w:val="28"/>
        </w:rPr>
        <w:t xml:space="preserve">Latvijas tautsaimniecībā (gan publiskajā sektorā – valsts pārvaldē un pakalpojumos, gan privātajā sektorā) nodarbināto </w:t>
      </w:r>
      <w:r w:rsidRPr="0088758F">
        <w:rPr>
          <w:rFonts w:eastAsia="Calibri" w:cs="Times New Roman"/>
          <w:bCs/>
          <w:sz w:val="28"/>
          <w:szCs w:val="28"/>
        </w:rPr>
        <w:t xml:space="preserve">atalgojuma līmeņa samazināšana </w:t>
      </w:r>
      <w:r w:rsidR="0088758F">
        <w:rPr>
          <w:rFonts w:eastAsia="Calibri" w:cs="Times New Roman"/>
          <w:sz w:val="28"/>
          <w:szCs w:val="28"/>
        </w:rPr>
        <w:t>un</w:t>
      </w:r>
      <w:r w:rsidRPr="0088758F">
        <w:rPr>
          <w:rFonts w:eastAsia="Calibri" w:cs="Times New Roman"/>
          <w:sz w:val="28"/>
          <w:szCs w:val="28"/>
        </w:rPr>
        <w:t xml:space="preserve"> pieskaņošana tautsaimniecības produktivitātes sniegtajām iespējām;</w:t>
      </w:r>
    </w:p>
    <w:p w:rsidR="00B801F2" w:rsidRPr="0088758F" w:rsidRDefault="00B801F2" w:rsidP="00B801F2">
      <w:pPr>
        <w:numPr>
          <w:ilvl w:val="0"/>
          <w:numId w:val="17"/>
        </w:numPr>
        <w:ind w:left="284" w:hanging="283"/>
        <w:jc w:val="both"/>
        <w:rPr>
          <w:rFonts w:eastAsia="Calibri" w:cs="Times New Roman"/>
          <w:sz w:val="28"/>
          <w:szCs w:val="28"/>
        </w:rPr>
      </w:pPr>
      <w:r w:rsidRPr="0088758F">
        <w:rPr>
          <w:rFonts w:eastAsia="Calibri" w:cs="Times New Roman"/>
          <w:bCs/>
          <w:sz w:val="28"/>
          <w:szCs w:val="28"/>
        </w:rPr>
        <w:t>valsts pārvaldes aparāta efektivizēšana</w:t>
      </w:r>
      <w:r w:rsidRPr="0088758F">
        <w:rPr>
          <w:rFonts w:eastAsia="Calibri" w:cs="Times New Roman"/>
          <w:sz w:val="28"/>
          <w:szCs w:val="28"/>
        </w:rPr>
        <w:t>, izglītības, veselības un citu publisko pakalpojumu sektoru reformas, samazinot un pārstrukturējot šajos sektoros nodarbinātos cilvēkresursus, ministriju un to padotībā esošo aģentūru darbības un skaita optimizēšana;</w:t>
      </w:r>
    </w:p>
    <w:p w:rsidR="00B801F2" w:rsidRPr="0088758F" w:rsidRDefault="00B801F2" w:rsidP="00B801F2">
      <w:pPr>
        <w:numPr>
          <w:ilvl w:val="0"/>
          <w:numId w:val="17"/>
        </w:numPr>
        <w:ind w:left="284" w:hanging="283"/>
        <w:jc w:val="both"/>
        <w:rPr>
          <w:rFonts w:eastAsia="Calibri" w:cs="Times New Roman"/>
          <w:sz w:val="28"/>
          <w:szCs w:val="28"/>
        </w:rPr>
      </w:pPr>
      <w:r w:rsidRPr="0088758F">
        <w:rPr>
          <w:rFonts w:eastAsia="Calibri" w:cs="Times New Roman"/>
          <w:bCs/>
          <w:sz w:val="28"/>
          <w:szCs w:val="28"/>
        </w:rPr>
        <w:t>darba tirgus elastības palielināšana</w:t>
      </w:r>
      <w:r w:rsidRPr="0088758F">
        <w:rPr>
          <w:rFonts w:eastAsia="Calibri" w:cs="Times New Roman"/>
          <w:sz w:val="28"/>
          <w:szCs w:val="28"/>
        </w:rPr>
        <w:t>, veicinot bezdarbnieku pārkvalificēšanos un atgriešanos darbā;</w:t>
      </w:r>
    </w:p>
    <w:p w:rsidR="00B801F2" w:rsidRPr="0088758F" w:rsidRDefault="00B801F2" w:rsidP="00B801F2">
      <w:pPr>
        <w:numPr>
          <w:ilvl w:val="0"/>
          <w:numId w:val="17"/>
        </w:numPr>
        <w:ind w:left="284" w:hanging="283"/>
        <w:jc w:val="both"/>
        <w:rPr>
          <w:rFonts w:eastAsia="Calibri" w:cs="Times New Roman"/>
          <w:sz w:val="28"/>
          <w:szCs w:val="28"/>
        </w:rPr>
      </w:pPr>
      <w:r w:rsidRPr="0088758F">
        <w:rPr>
          <w:rFonts w:eastAsia="Calibri" w:cs="Times New Roman"/>
          <w:bCs/>
          <w:sz w:val="28"/>
          <w:szCs w:val="28"/>
        </w:rPr>
        <w:t xml:space="preserve">ekonomikas konkurētspējas uzlabošana, </w:t>
      </w:r>
      <w:r w:rsidRPr="0088758F">
        <w:rPr>
          <w:rFonts w:eastAsia="Calibri" w:cs="Times New Roman"/>
          <w:sz w:val="28"/>
          <w:szCs w:val="28"/>
        </w:rPr>
        <w:t>koncentrējot ES struktūrfondu finansējumu, lai palielinātu atbalstu eksportspējīgām nozarēm un infrastruktūras projektiem;</w:t>
      </w:r>
    </w:p>
    <w:p w:rsidR="00B801F2" w:rsidRPr="0088758F" w:rsidRDefault="00B801F2" w:rsidP="00B801F2">
      <w:pPr>
        <w:numPr>
          <w:ilvl w:val="0"/>
          <w:numId w:val="17"/>
        </w:numPr>
        <w:ind w:left="284" w:hanging="283"/>
        <w:jc w:val="both"/>
        <w:rPr>
          <w:rFonts w:eastAsia="Calibri" w:cs="Times New Roman"/>
          <w:sz w:val="28"/>
          <w:szCs w:val="28"/>
        </w:rPr>
      </w:pPr>
      <w:r w:rsidRPr="0088758F">
        <w:rPr>
          <w:rFonts w:eastAsia="Calibri" w:cs="Times New Roman"/>
          <w:sz w:val="28"/>
          <w:szCs w:val="28"/>
        </w:rPr>
        <w:t>administratīva sloga samazināšana</w:t>
      </w:r>
      <w:r w:rsidR="0088758F" w:rsidRPr="0088758F">
        <w:rPr>
          <w:rFonts w:eastAsia="Calibri" w:cs="Times New Roman"/>
          <w:sz w:val="28"/>
          <w:szCs w:val="28"/>
        </w:rPr>
        <w:t xml:space="preserve"> komersantiem</w:t>
      </w:r>
      <w:r w:rsidRPr="0088758F">
        <w:rPr>
          <w:rFonts w:eastAsia="Calibri" w:cs="Times New Roman"/>
          <w:sz w:val="28"/>
          <w:szCs w:val="28"/>
        </w:rPr>
        <w:t>, jo īpaši maziem un vidējiem uzņēmumiem;</w:t>
      </w:r>
    </w:p>
    <w:p w:rsidR="00B801F2" w:rsidRPr="0088758F" w:rsidRDefault="00B801F2" w:rsidP="00B801F2">
      <w:pPr>
        <w:numPr>
          <w:ilvl w:val="0"/>
          <w:numId w:val="17"/>
        </w:numPr>
        <w:ind w:left="284" w:hanging="283"/>
        <w:jc w:val="both"/>
        <w:rPr>
          <w:rFonts w:eastAsia="Calibri" w:cs="Times New Roman"/>
          <w:sz w:val="28"/>
          <w:szCs w:val="28"/>
        </w:rPr>
      </w:pPr>
      <w:r w:rsidRPr="0088758F">
        <w:rPr>
          <w:rFonts w:eastAsia="Calibri" w:cs="Times New Roman"/>
          <w:bCs/>
          <w:sz w:val="28"/>
          <w:szCs w:val="28"/>
        </w:rPr>
        <w:t xml:space="preserve">finanšu sektora stabilizācija </w:t>
      </w:r>
      <w:r w:rsidRPr="0088758F">
        <w:rPr>
          <w:rFonts w:eastAsia="Calibri" w:cs="Times New Roman"/>
          <w:sz w:val="28"/>
          <w:szCs w:val="28"/>
        </w:rPr>
        <w:t>– valsts atbalsta sniegšana kredītiestāžu uzticamības un darbības spēju stiprināšanai līdz ar kredītiestāžu pastiprinātu uzraudzību;</w:t>
      </w:r>
    </w:p>
    <w:p w:rsidR="00B801F2" w:rsidRPr="0088758F" w:rsidRDefault="00B801F2" w:rsidP="00B801F2">
      <w:pPr>
        <w:numPr>
          <w:ilvl w:val="0"/>
          <w:numId w:val="17"/>
        </w:numPr>
        <w:ind w:left="284" w:hanging="283"/>
        <w:jc w:val="both"/>
        <w:rPr>
          <w:rFonts w:eastAsia="Calibri" w:cs="Times New Roman"/>
          <w:sz w:val="28"/>
          <w:szCs w:val="28"/>
        </w:rPr>
      </w:pPr>
      <w:r w:rsidRPr="0088758F">
        <w:rPr>
          <w:rFonts w:eastAsia="Calibri" w:cs="Times New Roman"/>
          <w:bCs/>
          <w:sz w:val="28"/>
          <w:szCs w:val="28"/>
        </w:rPr>
        <w:t xml:space="preserve">sociālās aizsardzības pasākumu saglabāšana </w:t>
      </w:r>
      <w:r w:rsidRPr="0088758F">
        <w:rPr>
          <w:rFonts w:eastAsia="Calibri" w:cs="Times New Roman"/>
          <w:sz w:val="28"/>
          <w:szCs w:val="28"/>
        </w:rPr>
        <w:t>sociālās spriedzes mazināšanai.</w:t>
      </w:r>
    </w:p>
    <w:p w:rsidR="00B801F2" w:rsidRPr="0088758F" w:rsidRDefault="00B801F2" w:rsidP="00B801F2">
      <w:pPr>
        <w:pStyle w:val="ListParagraph"/>
        <w:ind w:left="0" w:firstLine="567"/>
        <w:jc w:val="both"/>
        <w:rPr>
          <w:rFonts w:eastAsia="Calibri" w:cs="Times New Roman"/>
          <w:sz w:val="8"/>
          <w:szCs w:val="8"/>
        </w:rPr>
      </w:pP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 xml:space="preserve">Valdībai ir izdevies stabilizēt valsts finanšu sistēmu. Ir uzsāktas vairākas būtiskas reformas, piemēram, tiek uzlabota valsts pārvaldes efektivitāte, reformētas izglītības un veselības sistēmas. Šo reformu rezultāti būs redzami </w:t>
      </w:r>
      <w:r w:rsidR="0088758F">
        <w:rPr>
          <w:rFonts w:eastAsia="Calibri" w:cs="Times New Roman"/>
          <w:sz w:val="28"/>
          <w:szCs w:val="28"/>
        </w:rPr>
        <w:t>vidējā termiņā</w:t>
      </w:r>
      <w:r w:rsidRPr="0088758F">
        <w:rPr>
          <w:rFonts w:eastAsia="Calibri" w:cs="Times New Roman"/>
          <w:sz w:val="28"/>
          <w:szCs w:val="28"/>
        </w:rPr>
        <w:t xml:space="preserve">. Vienlaikus valdība īsteno virkni pasākumus uzņēmējdarbības veicināšanai un </w:t>
      </w:r>
      <w:r w:rsidRPr="0088758F">
        <w:rPr>
          <w:rFonts w:eastAsia="Calibri" w:cs="Times New Roman"/>
          <w:sz w:val="28"/>
          <w:szCs w:val="28"/>
          <w:lang w:eastAsia="lv-LV"/>
        </w:rPr>
        <w:t xml:space="preserve">administratīvo šķēršļu novēršanai. </w:t>
      </w:r>
      <w:r w:rsidR="0088758F">
        <w:rPr>
          <w:rFonts w:eastAsia="Calibri" w:cs="Times New Roman"/>
          <w:sz w:val="28"/>
          <w:szCs w:val="28"/>
          <w:lang w:eastAsia="lv-LV"/>
        </w:rPr>
        <w:t>U</w:t>
      </w:r>
      <w:r w:rsidRPr="0088758F">
        <w:rPr>
          <w:rFonts w:eastAsia="Calibri" w:cs="Times New Roman"/>
          <w:sz w:val="28"/>
          <w:szCs w:val="28"/>
          <w:lang w:eastAsia="lv-LV"/>
        </w:rPr>
        <w:t>zņēmējdarbības atbalsta</w:t>
      </w:r>
      <w:r w:rsidR="0088758F">
        <w:rPr>
          <w:rFonts w:eastAsia="Calibri" w:cs="Times New Roman"/>
          <w:sz w:val="28"/>
          <w:szCs w:val="28"/>
          <w:lang w:eastAsia="lv-LV"/>
        </w:rPr>
        <w:t>m</w:t>
      </w:r>
      <w:r w:rsidRPr="0088758F">
        <w:rPr>
          <w:rFonts w:eastAsia="Calibri" w:cs="Times New Roman"/>
          <w:sz w:val="28"/>
          <w:szCs w:val="28"/>
          <w:lang w:eastAsia="lv-LV"/>
        </w:rPr>
        <w:t xml:space="preserve"> </w:t>
      </w:r>
      <w:r w:rsidR="0088758F" w:rsidRPr="0088758F">
        <w:rPr>
          <w:rFonts w:eastAsia="Calibri" w:cs="Times New Roman"/>
          <w:bCs/>
          <w:sz w:val="28"/>
          <w:szCs w:val="28"/>
          <w:lang w:eastAsia="lv-LV"/>
        </w:rPr>
        <w:t>2009.-2010</w:t>
      </w:r>
      <w:r w:rsidR="00156DFE">
        <w:rPr>
          <w:rFonts w:eastAsia="Calibri" w:cs="Times New Roman"/>
          <w:bCs/>
          <w:sz w:val="28"/>
          <w:szCs w:val="28"/>
          <w:lang w:eastAsia="lv-LV"/>
        </w:rPr>
        <w:t>.gad</w:t>
      </w:r>
      <w:r w:rsidR="0088758F" w:rsidRPr="0088758F">
        <w:rPr>
          <w:rFonts w:eastAsia="Calibri" w:cs="Times New Roman"/>
          <w:bCs/>
          <w:sz w:val="28"/>
          <w:szCs w:val="28"/>
          <w:lang w:eastAsia="lv-LV"/>
        </w:rPr>
        <w:t>ā</w:t>
      </w:r>
      <w:r w:rsidR="0088758F" w:rsidRPr="0088758F">
        <w:rPr>
          <w:rFonts w:eastAsia="Calibri" w:cs="Times New Roman"/>
          <w:sz w:val="28"/>
          <w:szCs w:val="28"/>
          <w:lang w:eastAsia="lv-LV"/>
        </w:rPr>
        <w:t xml:space="preserve"> Latvijas ekonomikā </w:t>
      </w:r>
      <w:r w:rsidRPr="0088758F">
        <w:rPr>
          <w:rFonts w:eastAsia="Calibri" w:cs="Times New Roman"/>
          <w:sz w:val="28"/>
          <w:szCs w:val="28"/>
          <w:lang w:eastAsia="lv-LV"/>
        </w:rPr>
        <w:t xml:space="preserve">tiek </w:t>
      </w:r>
      <w:r w:rsidRPr="0088758F">
        <w:rPr>
          <w:rFonts w:eastAsia="Calibri" w:cs="Times New Roman"/>
          <w:bCs/>
          <w:sz w:val="28"/>
          <w:szCs w:val="28"/>
          <w:lang w:eastAsia="lv-LV"/>
        </w:rPr>
        <w:t>iepludināti 600-700 milj</w:t>
      </w:r>
      <w:r w:rsidR="00282F9F" w:rsidRPr="0088758F">
        <w:rPr>
          <w:rFonts w:eastAsia="Calibri" w:cs="Times New Roman"/>
          <w:bCs/>
          <w:sz w:val="28"/>
          <w:szCs w:val="28"/>
          <w:lang w:eastAsia="lv-LV"/>
        </w:rPr>
        <w:t>.</w:t>
      </w:r>
      <w:r w:rsidRPr="0088758F">
        <w:rPr>
          <w:rFonts w:eastAsia="Calibri" w:cs="Times New Roman"/>
          <w:bCs/>
          <w:sz w:val="28"/>
          <w:szCs w:val="28"/>
          <w:lang w:eastAsia="lv-LV"/>
        </w:rPr>
        <w:t xml:space="preserve"> latu</w:t>
      </w:r>
      <w:r w:rsidRPr="0088758F">
        <w:rPr>
          <w:rFonts w:eastAsia="Calibri" w:cs="Times New Roman"/>
          <w:sz w:val="28"/>
          <w:szCs w:val="28"/>
          <w:lang w:eastAsia="lv-LV"/>
        </w:rPr>
        <w:t>.</w:t>
      </w:r>
    </w:p>
    <w:p w:rsidR="00B801F2" w:rsidRPr="0088758F" w:rsidRDefault="00B801F2" w:rsidP="00B801F2">
      <w:pPr>
        <w:ind w:firstLine="567"/>
        <w:jc w:val="both"/>
        <w:rPr>
          <w:rFonts w:eastAsia="Calibri" w:cs="Times New Roman"/>
          <w:sz w:val="12"/>
          <w:szCs w:val="28"/>
        </w:rPr>
      </w:pP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 xml:space="preserve">Tomēr, lai Latvijas uzņēmēji būtu konkurētspējīgi atvērtos tirgos atsākoties globālai izaugsmei, ar šī brīža aktivitātēm ir par maz. Ekonomikas teorija un empīriskie pētījumi liecina, ka bez aktīvas struktūrpolitikas valstu nākotnes attīstība un labklājība nespēj izrauties no līdzšinējās tautsaimniecības struktūras uzliktajiem nosacījumiem. </w:t>
      </w:r>
    </w:p>
    <w:p w:rsidR="00B801F2" w:rsidRPr="002435DA" w:rsidRDefault="00B801F2" w:rsidP="00B801F2">
      <w:pPr>
        <w:ind w:firstLine="567"/>
        <w:jc w:val="both"/>
        <w:rPr>
          <w:rFonts w:eastAsia="Calibri" w:cs="Times New Roman"/>
          <w:sz w:val="28"/>
          <w:szCs w:val="28"/>
        </w:rPr>
      </w:pPr>
      <w:r w:rsidRPr="002435DA">
        <w:rPr>
          <w:rFonts w:eastAsia="Calibri" w:cs="Times New Roman"/>
          <w:sz w:val="28"/>
          <w:szCs w:val="28"/>
        </w:rPr>
        <w:t xml:space="preserve">Tāpēc Ekonomikas ministrija, kā papildinājumu </w:t>
      </w:r>
      <w:r w:rsidRPr="002435DA">
        <w:rPr>
          <w:rFonts w:eastAsia="Calibri" w:cs="Times New Roman"/>
          <w:i/>
          <w:sz w:val="28"/>
          <w:szCs w:val="28"/>
        </w:rPr>
        <w:t xml:space="preserve">Latvijas ekonomikas stabilizācijas un izaugsmes atjaunošanas </w:t>
      </w:r>
      <w:r w:rsidRPr="002435DA">
        <w:rPr>
          <w:rFonts w:eastAsia="Calibri" w:cs="Times New Roman"/>
          <w:i/>
          <w:spacing w:val="-4"/>
          <w:sz w:val="28"/>
          <w:szCs w:val="28"/>
        </w:rPr>
        <w:t>programmai,</w:t>
      </w:r>
      <w:r w:rsidRPr="002435DA">
        <w:rPr>
          <w:rFonts w:eastAsia="Calibri" w:cs="Times New Roman"/>
          <w:sz w:val="28"/>
          <w:szCs w:val="28"/>
        </w:rPr>
        <w:t xml:space="preserve"> ir izstrādājusi vidēja termiņa </w:t>
      </w:r>
      <w:r w:rsidR="00390C34" w:rsidRPr="002435DA">
        <w:rPr>
          <w:rFonts w:eastAsia="Calibri" w:cs="Times New Roman"/>
          <w:sz w:val="28"/>
          <w:szCs w:val="28"/>
        </w:rPr>
        <w:lastRenderedPageBreak/>
        <w:t>ekonomikas atveseļošanas plānu, k</w:t>
      </w:r>
      <w:r w:rsidRPr="002435DA">
        <w:rPr>
          <w:rFonts w:eastAsia="Calibri" w:cs="Times New Roman"/>
          <w:sz w:val="28"/>
          <w:szCs w:val="28"/>
        </w:rPr>
        <w:t>as paredz valdības darbību koncentrēt divos virzienos (un tiem būtu jākļūst par galvenajām ekonomiskās politikas prioritātēm):</w:t>
      </w:r>
    </w:p>
    <w:p w:rsidR="00C12A78" w:rsidRPr="002435DA" w:rsidRDefault="00B801F2" w:rsidP="0088758F">
      <w:pPr>
        <w:pStyle w:val="ListParagraph"/>
        <w:numPr>
          <w:ilvl w:val="0"/>
          <w:numId w:val="2"/>
        </w:numPr>
        <w:ind w:left="993" w:hanging="357"/>
        <w:contextualSpacing w:val="0"/>
        <w:jc w:val="both"/>
        <w:rPr>
          <w:rFonts w:cs="Times New Roman"/>
          <w:sz w:val="28"/>
          <w:szCs w:val="28"/>
        </w:rPr>
      </w:pPr>
      <w:r w:rsidRPr="002435DA">
        <w:rPr>
          <w:rFonts w:cs="Times New Roman"/>
          <w:sz w:val="28"/>
          <w:szCs w:val="28"/>
        </w:rPr>
        <w:t>valsts atbalstam ir jābūt mērķtiecīgam un selektīvam</w:t>
      </w:r>
      <w:r w:rsidR="00C12A78" w:rsidRPr="002435DA">
        <w:rPr>
          <w:rFonts w:cs="Times New Roman"/>
          <w:sz w:val="28"/>
          <w:szCs w:val="28"/>
        </w:rPr>
        <w:t>;</w:t>
      </w:r>
    </w:p>
    <w:p w:rsidR="00B801F2" w:rsidRPr="002435DA" w:rsidRDefault="00B801F2" w:rsidP="0088758F">
      <w:pPr>
        <w:pStyle w:val="ListParagraph"/>
        <w:numPr>
          <w:ilvl w:val="0"/>
          <w:numId w:val="2"/>
        </w:numPr>
        <w:ind w:left="993" w:hanging="357"/>
        <w:contextualSpacing w:val="0"/>
        <w:jc w:val="both"/>
        <w:rPr>
          <w:rFonts w:cs="Times New Roman"/>
          <w:sz w:val="28"/>
          <w:szCs w:val="28"/>
        </w:rPr>
      </w:pPr>
      <w:r w:rsidRPr="002435DA">
        <w:rPr>
          <w:rFonts w:cs="Times New Roman"/>
          <w:sz w:val="28"/>
          <w:szCs w:val="28"/>
        </w:rPr>
        <w:t>jāveicina konkurētspējai labvēlīga vide.</w:t>
      </w:r>
    </w:p>
    <w:p w:rsidR="000F56C0" w:rsidRPr="000F56C0" w:rsidRDefault="000F56C0" w:rsidP="00B801F2">
      <w:pPr>
        <w:ind w:firstLine="567"/>
        <w:jc w:val="both"/>
        <w:rPr>
          <w:rFonts w:eastAsia="Calibri" w:cs="Times New Roman"/>
          <w:sz w:val="16"/>
          <w:szCs w:val="28"/>
        </w:rPr>
      </w:pPr>
    </w:p>
    <w:p w:rsidR="00B801F2" w:rsidRPr="0088758F" w:rsidRDefault="00B801F2" w:rsidP="00B801F2">
      <w:pPr>
        <w:ind w:firstLine="567"/>
        <w:jc w:val="both"/>
        <w:rPr>
          <w:rFonts w:eastAsia="Calibri" w:cs="Times New Roman"/>
          <w:sz w:val="28"/>
          <w:szCs w:val="28"/>
        </w:rPr>
      </w:pPr>
      <w:r w:rsidRPr="002435DA">
        <w:rPr>
          <w:rFonts w:eastAsia="Calibri" w:cs="Times New Roman"/>
          <w:sz w:val="28"/>
          <w:szCs w:val="28"/>
        </w:rPr>
        <w:t>Šajā nodaļā ir definēti ekonomikas politikas vi</w:t>
      </w:r>
      <w:r w:rsidR="0088758F" w:rsidRPr="002435DA">
        <w:rPr>
          <w:rFonts w:eastAsia="Calibri" w:cs="Times New Roman"/>
          <w:sz w:val="28"/>
          <w:szCs w:val="28"/>
        </w:rPr>
        <w:t>dēja termiņa mērķi un uzdevumi,</w:t>
      </w:r>
      <w:r w:rsidR="0088758F">
        <w:rPr>
          <w:rFonts w:eastAsia="Calibri" w:cs="Times New Roman"/>
          <w:sz w:val="28"/>
          <w:szCs w:val="28"/>
        </w:rPr>
        <w:t xml:space="preserve"> bet n</w:t>
      </w:r>
      <w:r w:rsidRPr="0088758F">
        <w:rPr>
          <w:rFonts w:eastAsia="Calibri" w:cs="Times New Roman"/>
          <w:sz w:val="28"/>
          <w:szCs w:val="28"/>
        </w:rPr>
        <w:t>ākamajās nodaļas ir detalizēti mērķi un veicamie pasākumi to sasniegšanai.</w:t>
      </w:r>
    </w:p>
    <w:p w:rsidR="000F56C0" w:rsidRPr="000F56C0" w:rsidRDefault="000F56C0" w:rsidP="00B801F2">
      <w:pPr>
        <w:ind w:firstLine="567"/>
        <w:jc w:val="both"/>
        <w:rPr>
          <w:rFonts w:eastAsia="Calibri" w:cs="Times New Roman"/>
          <w:b/>
          <w:sz w:val="16"/>
          <w:szCs w:val="16"/>
        </w:rPr>
      </w:pPr>
    </w:p>
    <w:p w:rsidR="00B801F2" w:rsidRPr="0088758F" w:rsidRDefault="00B801F2" w:rsidP="00B801F2">
      <w:pPr>
        <w:ind w:firstLine="567"/>
        <w:jc w:val="both"/>
        <w:rPr>
          <w:rFonts w:eastAsia="Calibri" w:cs="Times New Roman"/>
          <w:sz w:val="28"/>
          <w:szCs w:val="28"/>
        </w:rPr>
      </w:pPr>
      <w:r w:rsidRPr="00390C34">
        <w:rPr>
          <w:rFonts w:eastAsia="Calibri" w:cs="Times New Roman"/>
          <w:b/>
          <w:sz w:val="28"/>
          <w:szCs w:val="28"/>
        </w:rPr>
        <w:t>Latvija par galvenajiem ekonomiskās politikas mērķiem 2015.gadā izvirza</w:t>
      </w:r>
      <w:r w:rsidRPr="0088758F">
        <w:rPr>
          <w:rFonts w:eastAsia="Calibri" w:cs="Times New Roman"/>
          <w:sz w:val="28"/>
          <w:szCs w:val="28"/>
        </w:rPr>
        <w:t>:</w:t>
      </w:r>
    </w:p>
    <w:p w:rsidR="00FA164D" w:rsidRPr="0088758F" w:rsidRDefault="00FA164D" w:rsidP="00B801F2">
      <w:pPr>
        <w:pStyle w:val="ListParagraph"/>
        <w:numPr>
          <w:ilvl w:val="0"/>
          <w:numId w:val="2"/>
        </w:numPr>
        <w:ind w:left="993" w:hanging="357"/>
        <w:contextualSpacing w:val="0"/>
        <w:jc w:val="both"/>
        <w:rPr>
          <w:rFonts w:eastAsia="Calibri" w:cs="Times New Roman"/>
          <w:sz w:val="28"/>
          <w:szCs w:val="28"/>
        </w:rPr>
      </w:pPr>
      <w:r w:rsidRPr="0088758F">
        <w:rPr>
          <w:rFonts w:cs="Times New Roman"/>
          <w:sz w:val="28"/>
          <w:szCs w:val="28"/>
        </w:rPr>
        <w:t>2013.–2015.gadā vidējais IKP pieauguma temps 5% gadā, saglabāta mērena inflācija, kā rezultātā perioda beigās IKP sasniedz 17 miljardus latu</w:t>
      </w:r>
      <w:r w:rsidR="00C72A34" w:rsidRPr="0088758F">
        <w:rPr>
          <w:rFonts w:eastAsia="Calibri" w:cs="Times New Roman"/>
          <w:sz w:val="28"/>
          <w:szCs w:val="28"/>
        </w:rPr>
        <w:t>;</w:t>
      </w:r>
    </w:p>
    <w:p w:rsidR="00B801F2" w:rsidRPr="0088758F" w:rsidRDefault="00B801F2" w:rsidP="00B801F2">
      <w:pPr>
        <w:pStyle w:val="ListParagraph"/>
        <w:numPr>
          <w:ilvl w:val="0"/>
          <w:numId w:val="2"/>
        </w:numPr>
        <w:ind w:left="993" w:hanging="357"/>
        <w:contextualSpacing w:val="0"/>
        <w:jc w:val="both"/>
        <w:rPr>
          <w:rFonts w:eastAsia="Calibri" w:cs="Times New Roman"/>
          <w:sz w:val="28"/>
          <w:szCs w:val="28"/>
        </w:rPr>
      </w:pPr>
      <w:r w:rsidRPr="0088758F">
        <w:rPr>
          <w:rFonts w:eastAsia="Calibri" w:cs="Times New Roman"/>
          <w:sz w:val="28"/>
          <w:szCs w:val="28"/>
        </w:rPr>
        <w:t>bezdarba līmenis mazāks par 8%;</w:t>
      </w:r>
    </w:p>
    <w:p w:rsidR="00B801F2" w:rsidRPr="0088758F" w:rsidRDefault="00B801F2" w:rsidP="00B801F2">
      <w:pPr>
        <w:pStyle w:val="ListParagraph"/>
        <w:numPr>
          <w:ilvl w:val="0"/>
          <w:numId w:val="2"/>
        </w:numPr>
        <w:ind w:left="993" w:hanging="357"/>
        <w:contextualSpacing w:val="0"/>
        <w:jc w:val="both"/>
        <w:rPr>
          <w:rFonts w:eastAsia="Calibri" w:cs="Times New Roman"/>
          <w:sz w:val="28"/>
          <w:szCs w:val="28"/>
        </w:rPr>
      </w:pPr>
      <w:r w:rsidRPr="0088758F">
        <w:rPr>
          <w:rFonts w:eastAsia="Calibri" w:cs="Times New Roman"/>
          <w:sz w:val="28"/>
          <w:szCs w:val="28"/>
        </w:rPr>
        <w:t xml:space="preserve">pētniecībai un attīstībai novirzīti līdzekļi 1,5% apmērā no IKP. </w:t>
      </w:r>
    </w:p>
    <w:p w:rsidR="00582EE4" w:rsidRPr="00582EE4" w:rsidRDefault="00582EE4" w:rsidP="00B801F2">
      <w:pPr>
        <w:ind w:firstLine="567"/>
        <w:jc w:val="both"/>
        <w:rPr>
          <w:rFonts w:eastAsia="Calibri" w:cs="Times New Roman"/>
          <w:sz w:val="16"/>
          <w:szCs w:val="28"/>
        </w:rPr>
      </w:pP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Lai sasniegtu nospraustos mērķus ir jāveido apstākļi, kas palielinātu Latvijas uzņēmēju konkurētspēju atvērtos preču un pakalpojumu tirgos, kā arī jārada priekšnoteikumi zināšanu ietilpīgu produktu ražošanai, kas nodrošinās lielākus ienākumus nākotnē.</w:t>
      </w: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Ierobežota budžeta apstākļos valsts atbalstam ir jābūt mērķtiecīgam un selektīvam, jo līdzšinējās tautsaimniecības attīstības tendences ir pierādījušas, ka tirgus mehānismi paši par sevi negarantē pārstrukturēšanos uz ienesīgākām ražošanas nozarēm, un tādējādi netiek veicināta pāreja no zemo tehnoloģiju un lētā darbaspēka izmantošanas balstītā uz zināšanām un inovācijām balstīta modeļa.</w:t>
      </w: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 xml:space="preserve">Vidējā un ilgtermiņā valstij ir jārada priekšnoteikumi uz zināšanām balstīto ekonomisko priekšrocību eksporta nozaru attīstībai, tai skaitā augstu tehnoloģiju nozarēm ar augstu pievienoto vērtību, kurām būs noteicošā loma </w:t>
      </w:r>
      <w:r w:rsidR="008078B2">
        <w:rPr>
          <w:rFonts w:eastAsia="Calibri" w:cs="Times New Roman"/>
          <w:sz w:val="28"/>
          <w:szCs w:val="28"/>
        </w:rPr>
        <w:t xml:space="preserve">turpmākajā </w:t>
      </w:r>
      <w:r w:rsidRPr="0088758F">
        <w:rPr>
          <w:rFonts w:eastAsia="Calibri" w:cs="Times New Roman"/>
          <w:sz w:val="28"/>
          <w:szCs w:val="28"/>
        </w:rPr>
        <w:t>ekonomikas attīstībā.</w:t>
      </w:r>
    </w:p>
    <w:p w:rsidR="00B801F2" w:rsidRPr="0088758F" w:rsidRDefault="00B801F2" w:rsidP="00B801F2">
      <w:pPr>
        <w:ind w:firstLine="567"/>
        <w:jc w:val="both"/>
        <w:rPr>
          <w:rFonts w:eastAsia="Calibri" w:cs="Times New Roman"/>
          <w:sz w:val="12"/>
          <w:szCs w:val="28"/>
        </w:rPr>
      </w:pPr>
    </w:p>
    <w:p w:rsidR="00390C34" w:rsidRPr="0088758F" w:rsidRDefault="00B801F2" w:rsidP="00390C34">
      <w:pPr>
        <w:ind w:firstLine="567"/>
        <w:jc w:val="both"/>
        <w:rPr>
          <w:rFonts w:eastAsia="Calibri" w:cs="Times New Roman"/>
          <w:sz w:val="28"/>
          <w:szCs w:val="28"/>
        </w:rPr>
      </w:pPr>
      <w:r w:rsidRPr="0088758F">
        <w:rPr>
          <w:rFonts w:eastAsia="Calibri" w:cs="Times New Roman"/>
          <w:sz w:val="28"/>
          <w:szCs w:val="28"/>
        </w:rPr>
        <w:t>Ņemot vērā gan Ekonomikas ministrijas veikto analīzi tautsaimniecības nozaru griezumā, gan Latvijas Bankas pētījumus ir izkristalizējušies vairāki valsts atbalst</w:t>
      </w:r>
      <w:r w:rsidR="00217DB0">
        <w:rPr>
          <w:rFonts w:eastAsia="Calibri" w:cs="Times New Roman"/>
          <w:sz w:val="28"/>
          <w:szCs w:val="28"/>
        </w:rPr>
        <w:t>a prioritārie segmenti (skat. 3</w:t>
      </w:r>
      <w:r w:rsidRPr="0088758F">
        <w:rPr>
          <w:rFonts w:eastAsia="Calibri" w:cs="Times New Roman"/>
          <w:sz w:val="28"/>
          <w:szCs w:val="28"/>
        </w:rPr>
        <w:t>.1.nodaļu). Galvenie valsts atbalsta virzieni šo pr</w:t>
      </w:r>
      <w:r w:rsidR="00390C34">
        <w:rPr>
          <w:rFonts w:eastAsia="Calibri" w:cs="Times New Roman"/>
          <w:sz w:val="28"/>
          <w:szCs w:val="28"/>
        </w:rPr>
        <w:t xml:space="preserve">ioritāro segmentu atbalstam ir nodokļu stimuli, </w:t>
      </w:r>
      <w:r w:rsidRPr="0088758F">
        <w:rPr>
          <w:rFonts w:eastAsia="Calibri" w:cs="Times New Roman"/>
          <w:sz w:val="28"/>
          <w:szCs w:val="28"/>
        </w:rPr>
        <w:t xml:space="preserve">ES struktūrfondi </w:t>
      </w:r>
      <w:r w:rsidR="00390C34">
        <w:rPr>
          <w:rFonts w:eastAsia="Calibri" w:cs="Times New Roman"/>
          <w:sz w:val="28"/>
          <w:szCs w:val="28"/>
        </w:rPr>
        <w:t>un finanšu atbalsta instrumenti, izglītība un zinātne, kā arī a</w:t>
      </w:r>
      <w:r w:rsidR="00390C34" w:rsidRPr="00390C34">
        <w:rPr>
          <w:rFonts w:eastAsia="Calibri" w:cs="Times New Roman"/>
          <w:sz w:val="28"/>
          <w:szCs w:val="28"/>
        </w:rPr>
        <w:t>tsevišķās nozarēs papildus identificēti</w:t>
      </w:r>
      <w:r w:rsidR="00390C34">
        <w:rPr>
          <w:rFonts w:eastAsia="Calibri" w:cs="Times New Roman"/>
          <w:sz w:val="28"/>
          <w:szCs w:val="28"/>
        </w:rPr>
        <w:t xml:space="preserve">e </w:t>
      </w:r>
      <w:r w:rsidR="00390C34" w:rsidRPr="00390C34">
        <w:rPr>
          <w:rFonts w:eastAsia="Calibri" w:cs="Times New Roman"/>
          <w:sz w:val="28"/>
          <w:szCs w:val="28"/>
        </w:rPr>
        <w:t>specifiski</w:t>
      </w:r>
      <w:r w:rsidR="00390C34">
        <w:rPr>
          <w:rFonts w:eastAsia="Calibri" w:cs="Times New Roman"/>
          <w:sz w:val="28"/>
          <w:szCs w:val="28"/>
        </w:rPr>
        <w:t>e</w:t>
      </w:r>
      <w:r w:rsidR="00390C34" w:rsidRPr="00390C34">
        <w:rPr>
          <w:rFonts w:eastAsia="Calibri" w:cs="Times New Roman"/>
          <w:sz w:val="28"/>
          <w:szCs w:val="28"/>
        </w:rPr>
        <w:t xml:space="preserve"> pasākumi, kuru ieviešana nepiecieša</w:t>
      </w:r>
      <w:r w:rsidR="00390C34">
        <w:rPr>
          <w:rFonts w:eastAsia="Calibri" w:cs="Times New Roman"/>
          <w:sz w:val="28"/>
          <w:szCs w:val="28"/>
        </w:rPr>
        <w:t>ma konkurētspējas veicināšanai.</w:t>
      </w:r>
    </w:p>
    <w:p w:rsidR="00C12A78" w:rsidRPr="00C12A78" w:rsidRDefault="00C12A78" w:rsidP="00B801F2">
      <w:pPr>
        <w:ind w:firstLine="567"/>
        <w:jc w:val="both"/>
        <w:rPr>
          <w:rFonts w:eastAsia="Calibri" w:cs="Times New Roman"/>
          <w:sz w:val="8"/>
          <w:szCs w:val="8"/>
        </w:rPr>
      </w:pPr>
    </w:p>
    <w:p w:rsidR="00B801F2" w:rsidRPr="0088758F" w:rsidRDefault="008078B2" w:rsidP="00B801F2">
      <w:pPr>
        <w:ind w:firstLine="567"/>
        <w:jc w:val="both"/>
        <w:rPr>
          <w:rFonts w:eastAsia="Calibri" w:cs="Times New Roman"/>
          <w:sz w:val="28"/>
          <w:szCs w:val="28"/>
        </w:rPr>
      </w:pPr>
      <w:r>
        <w:rPr>
          <w:rFonts w:eastAsia="Calibri" w:cs="Times New Roman"/>
          <w:sz w:val="28"/>
          <w:szCs w:val="28"/>
        </w:rPr>
        <w:t>K</w:t>
      </w:r>
      <w:r w:rsidRPr="0088758F">
        <w:rPr>
          <w:rFonts w:eastAsia="Calibri" w:cs="Times New Roman"/>
          <w:sz w:val="28"/>
          <w:szCs w:val="28"/>
        </w:rPr>
        <w:t>onkurētspējas</w:t>
      </w:r>
      <w:r>
        <w:rPr>
          <w:rFonts w:eastAsia="Calibri" w:cs="Times New Roman"/>
          <w:sz w:val="28"/>
          <w:szCs w:val="28"/>
        </w:rPr>
        <w:t xml:space="preserve"> jomā</w:t>
      </w:r>
      <w:r w:rsidRPr="0088758F">
        <w:rPr>
          <w:rFonts w:eastAsia="Calibri" w:cs="Times New Roman"/>
          <w:sz w:val="28"/>
          <w:szCs w:val="28"/>
        </w:rPr>
        <w:t xml:space="preserve"> </w:t>
      </w:r>
      <w:r w:rsidR="00B801F2" w:rsidRPr="0088758F">
        <w:rPr>
          <w:rFonts w:eastAsia="Calibri" w:cs="Times New Roman"/>
          <w:sz w:val="28"/>
          <w:szCs w:val="28"/>
        </w:rPr>
        <w:t xml:space="preserve">Latvijas vājās pozīcijas globālajos tirgos parāda Pasaules ekonomikas foruma sastādītais </w:t>
      </w:r>
      <w:r w:rsidR="00B801F2" w:rsidRPr="0088758F">
        <w:rPr>
          <w:rFonts w:eastAsia="Calibri" w:cs="Times New Roman"/>
          <w:i/>
          <w:sz w:val="28"/>
          <w:szCs w:val="28"/>
        </w:rPr>
        <w:t>Globālās konkurētspējas indeksa reitings</w:t>
      </w:r>
      <w:r w:rsidR="00B801F2" w:rsidRPr="0088758F">
        <w:rPr>
          <w:rFonts w:eastAsia="Calibri" w:cs="Times New Roman"/>
          <w:sz w:val="28"/>
          <w:szCs w:val="28"/>
        </w:rPr>
        <w:t xml:space="preserve"> un Pasaules Bankas veidotais</w:t>
      </w:r>
      <w:r w:rsidR="00B801F2" w:rsidRPr="0088758F">
        <w:rPr>
          <w:rFonts w:eastAsia="Calibri" w:cs="Times New Roman"/>
          <w:i/>
          <w:sz w:val="28"/>
          <w:szCs w:val="28"/>
        </w:rPr>
        <w:t xml:space="preserve"> </w:t>
      </w:r>
      <w:r w:rsidR="00B801F2" w:rsidRPr="00BF007D">
        <w:rPr>
          <w:rFonts w:eastAsia="Calibri" w:cs="Times New Roman"/>
          <w:i/>
          <w:sz w:val="28"/>
          <w:szCs w:val="28"/>
        </w:rPr>
        <w:t>Doing Business</w:t>
      </w:r>
      <w:r w:rsidR="00B801F2" w:rsidRPr="0088758F">
        <w:rPr>
          <w:rFonts w:eastAsia="Calibri" w:cs="Times New Roman"/>
          <w:sz w:val="28"/>
          <w:szCs w:val="28"/>
        </w:rPr>
        <w:t xml:space="preserve"> indekss. Tieši šo vājo vietu pārvarēšanai ir jākļūst par Latvijas vienām no galvenajām prioritātēm ekonomikas</w:t>
      </w:r>
      <w:r w:rsidR="00C12A78">
        <w:rPr>
          <w:rFonts w:eastAsia="Calibri" w:cs="Times New Roman"/>
          <w:sz w:val="28"/>
          <w:szCs w:val="28"/>
        </w:rPr>
        <w:t xml:space="preserve"> politikas</w:t>
      </w:r>
      <w:r w:rsidR="00B801F2" w:rsidRPr="0088758F">
        <w:rPr>
          <w:rFonts w:eastAsia="Calibri" w:cs="Times New Roman"/>
          <w:sz w:val="28"/>
          <w:szCs w:val="28"/>
        </w:rPr>
        <w:t xml:space="preserve"> jomā. </w:t>
      </w:r>
    </w:p>
    <w:p w:rsidR="00582EE4" w:rsidRDefault="00B801F2" w:rsidP="00390C34">
      <w:pPr>
        <w:ind w:firstLine="567"/>
        <w:jc w:val="both"/>
        <w:rPr>
          <w:rFonts w:eastAsia="Calibri" w:cs="Times New Roman"/>
          <w:noProof/>
          <w:sz w:val="28"/>
        </w:rPr>
      </w:pPr>
      <w:r w:rsidRPr="0088758F">
        <w:rPr>
          <w:rFonts w:eastAsia="Calibri" w:cs="Times New Roman"/>
          <w:sz w:val="28"/>
        </w:rPr>
        <w:t xml:space="preserve">Konkurētspējai labvēlīgas vides radīšanai </w:t>
      </w:r>
      <w:r w:rsidR="00C72A34" w:rsidRPr="0088758F">
        <w:rPr>
          <w:rFonts w:eastAsia="Calibri" w:cs="Times New Roman"/>
          <w:sz w:val="28"/>
        </w:rPr>
        <w:t>(skat</w:t>
      </w:r>
      <w:r w:rsidR="00C46204">
        <w:rPr>
          <w:rFonts w:eastAsia="Calibri" w:cs="Times New Roman"/>
          <w:sz w:val="28"/>
        </w:rPr>
        <w:t>.</w:t>
      </w:r>
      <w:r w:rsidR="00C72A34" w:rsidRPr="0088758F">
        <w:rPr>
          <w:rFonts w:eastAsia="Calibri" w:cs="Times New Roman"/>
          <w:sz w:val="28"/>
        </w:rPr>
        <w:t xml:space="preserve"> </w:t>
      </w:r>
      <w:r w:rsidR="00C46204">
        <w:rPr>
          <w:rFonts w:eastAsia="Calibri" w:cs="Times New Roman"/>
          <w:sz w:val="28"/>
        </w:rPr>
        <w:t>4</w:t>
      </w:r>
      <w:r w:rsidR="00C72A34" w:rsidRPr="0088758F">
        <w:rPr>
          <w:rFonts w:eastAsia="Calibri" w:cs="Times New Roman"/>
          <w:sz w:val="28"/>
        </w:rPr>
        <w:t xml:space="preserve">.nodaļu) </w:t>
      </w:r>
      <w:r w:rsidRPr="0088758F">
        <w:rPr>
          <w:rFonts w:eastAsia="Calibri" w:cs="Times New Roman"/>
          <w:sz w:val="28"/>
        </w:rPr>
        <w:t>galvenie darbības virzieni ir</w:t>
      </w:r>
      <w:r w:rsidR="00582EE4">
        <w:rPr>
          <w:rFonts w:eastAsia="Calibri" w:cs="Times New Roman"/>
          <w:sz w:val="28"/>
        </w:rPr>
        <w:t xml:space="preserve"> </w:t>
      </w:r>
      <w:r w:rsidRPr="0088758F">
        <w:rPr>
          <w:rFonts w:eastAsia="Calibri" w:cs="Times New Roman"/>
          <w:noProof/>
          <w:sz w:val="28"/>
        </w:rPr>
        <w:t>nodokļu politikas pilnveidošana</w:t>
      </w:r>
      <w:r w:rsidR="00582EE4">
        <w:rPr>
          <w:rFonts w:eastAsia="Calibri" w:cs="Times New Roman"/>
          <w:noProof/>
          <w:sz w:val="28"/>
        </w:rPr>
        <w:t xml:space="preserve">, </w:t>
      </w:r>
      <w:r w:rsidRPr="0088758F">
        <w:rPr>
          <w:rFonts w:eastAsia="Calibri" w:cs="Times New Roman"/>
          <w:noProof/>
          <w:sz w:val="28"/>
        </w:rPr>
        <w:t>administratīvā sloga mazināšana</w:t>
      </w:r>
      <w:r w:rsidR="00582EE4">
        <w:rPr>
          <w:rFonts w:eastAsia="Calibri" w:cs="Times New Roman"/>
          <w:noProof/>
          <w:sz w:val="28"/>
        </w:rPr>
        <w:t xml:space="preserve">, </w:t>
      </w:r>
      <w:r w:rsidRPr="0088758F">
        <w:rPr>
          <w:rFonts w:eastAsia="Calibri" w:cs="Times New Roman"/>
          <w:noProof/>
          <w:sz w:val="28"/>
        </w:rPr>
        <w:t>mikro uzņēmumu atbalsta pasākumi</w:t>
      </w:r>
      <w:r w:rsidR="00582EE4">
        <w:rPr>
          <w:rFonts w:eastAsia="Calibri" w:cs="Times New Roman"/>
          <w:noProof/>
          <w:sz w:val="28"/>
        </w:rPr>
        <w:t xml:space="preserve">, </w:t>
      </w:r>
      <w:r w:rsidRPr="0088758F">
        <w:rPr>
          <w:rFonts w:eastAsia="Calibri" w:cs="Times New Roman"/>
          <w:noProof/>
          <w:sz w:val="28"/>
        </w:rPr>
        <w:t>inovāciju veicināšana</w:t>
      </w:r>
      <w:r w:rsidR="00582EE4">
        <w:rPr>
          <w:rFonts w:eastAsia="Calibri" w:cs="Times New Roman"/>
          <w:noProof/>
          <w:sz w:val="28"/>
        </w:rPr>
        <w:t>, finanšu instrumenti u</w:t>
      </w:r>
      <w:r w:rsidRPr="0088758F">
        <w:rPr>
          <w:rFonts w:eastAsia="Calibri" w:cs="Times New Roman"/>
          <w:noProof/>
          <w:sz w:val="28"/>
        </w:rPr>
        <w:t>zņēmējdarbības atbalstam</w:t>
      </w:r>
      <w:r w:rsidR="00574B99" w:rsidRPr="00574B99">
        <w:rPr>
          <w:rFonts w:eastAsia="Calibri" w:cs="Times New Roman"/>
          <w:noProof/>
          <w:sz w:val="28"/>
        </w:rPr>
        <w:t xml:space="preserve"> </w:t>
      </w:r>
      <w:r w:rsidR="00574B99" w:rsidRPr="0088758F">
        <w:rPr>
          <w:rFonts w:eastAsia="Calibri" w:cs="Times New Roman"/>
          <w:noProof/>
          <w:sz w:val="28"/>
        </w:rPr>
        <w:t>tai skaitā atbalsts uzņēmējdarbības uzsācējiem</w:t>
      </w:r>
      <w:r w:rsidR="00582EE4">
        <w:rPr>
          <w:rFonts w:eastAsia="Calibri" w:cs="Times New Roman"/>
          <w:noProof/>
          <w:sz w:val="28"/>
        </w:rPr>
        <w:t xml:space="preserve">, </w:t>
      </w:r>
      <w:r w:rsidRPr="0088758F">
        <w:rPr>
          <w:rFonts w:eastAsia="Calibri" w:cs="Times New Roman"/>
          <w:noProof/>
          <w:sz w:val="28"/>
        </w:rPr>
        <w:t>preču un pakalpojumu eksporta stimulēšana</w:t>
      </w:r>
      <w:r w:rsidR="00582EE4">
        <w:rPr>
          <w:rFonts w:eastAsia="Calibri" w:cs="Times New Roman"/>
          <w:noProof/>
          <w:sz w:val="28"/>
        </w:rPr>
        <w:t xml:space="preserve">, </w:t>
      </w:r>
      <w:r w:rsidR="00C12A78">
        <w:rPr>
          <w:rFonts w:eastAsia="Calibri" w:cs="Times New Roman"/>
          <w:noProof/>
          <w:sz w:val="28"/>
        </w:rPr>
        <w:t xml:space="preserve">publiskās un privātās partnerības projektu īstenošana, </w:t>
      </w:r>
      <w:r w:rsidRPr="0088758F">
        <w:rPr>
          <w:rFonts w:eastAsia="Calibri" w:cs="Times New Roman"/>
          <w:noProof/>
          <w:sz w:val="28"/>
        </w:rPr>
        <w:t xml:space="preserve">apmācības, </w:t>
      </w:r>
      <w:r w:rsidR="00582EE4">
        <w:rPr>
          <w:rFonts w:eastAsia="Calibri" w:cs="Times New Roman"/>
          <w:noProof/>
          <w:sz w:val="28"/>
        </w:rPr>
        <w:t xml:space="preserve">kā arī </w:t>
      </w:r>
      <w:r w:rsidRPr="0088758F">
        <w:rPr>
          <w:rFonts w:eastAsia="Calibri" w:cs="Times New Roman"/>
          <w:noProof/>
          <w:sz w:val="28"/>
        </w:rPr>
        <w:t>izglītība un zinātne.</w:t>
      </w:r>
      <w:r w:rsidR="00582EE4">
        <w:rPr>
          <w:rFonts w:eastAsia="Calibri" w:cs="Times New Roman"/>
          <w:noProof/>
          <w:sz w:val="28"/>
        </w:rPr>
        <w:br w:type="page"/>
      </w:r>
    </w:p>
    <w:p w:rsidR="00C12A78" w:rsidRDefault="00C12A78" w:rsidP="00582EE4">
      <w:pPr>
        <w:pStyle w:val="Heading1"/>
      </w:pPr>
      <w:bookmarkStart w:id="19" w:name="_Toc242510365"/>
    </w:p>
    <w:p w:rsidR="00B5187D" w:rsidRPr="00582EE4" w:rsidRDefault="00582EE4" w:rsidP="00582EE4">
      <w:pPr>
        <w:pStyle w:val="Heading1"/>
        <w:rPr>
          <w:rFonts w:eastAsia="Calibri" w:cs="Times New Roman"/>
          <w:sz w:val="28"/>
        </w:rPr>
      </w:pPr>
      <w:r>
        <w:t>3</w:t>
      </w:r>
      <w:r w:rsidR="00B5187D" w:rsidRPr="0088758F">
        <w:t xml:space="preserve">. </w:t>
      </w:r>
      <w:r w:rsidR="007102C0" w:rsidRPr="0088758F">
        <w:t>Mērķtiecīgs un selektīvs valsts atbalsts</w:t>
      </w:r>
      <w:bookmarkEnd w:id="19"/>
    </w:p>
    <w:p w:rsidR="000F0D78" w:rsidRPr="002E6A9A" w:rsidRDefault="000F0D78" w:rsidP="000F0D78">
      <w:pPr>
        <w:rPr>
          <w:sz w:val="20"/>
        </w:rPr>
      </w:pPr>
    </w:p>
    <w:p w:rsidR="00432863" w:rsidRPr="0088758F" w:rsidRDefault="00582EE4" w:rsidP="00432863">
      <w:pPr>
        <w:pStyle w:val="Heading3"/>
        <w:rPr>
          <w:rFonts w:cs="Times New Roman"/>
          <w:sz w:val="28"/>
          <w:szCs w:val="28"/>
        </w:rPr>
      </w:pPr>
      <w:bookmarkStart w:id="20" w:name="_Toc242510366"/>
      <w:r>
        <w:rPr>
          <w:rFonts w:cs="Times New Roman"/>
          <w:sz w:val="28"/>
          <w:szCs w:val="28"/>
        </w:rPr>
        <w:t>3</w:t>
      </w:r>
      <w:r w:rsidR="00432863" w:rsidRPr="0088758F">
        <w:rPr>
          <w:rFonts w:cs="Times New Roman"/>
          <w:sz w:val="28"/>
          <w:szCs w:val="28"/>
        </w:rPr>
        <w:t xml:space="preserve">.1. </w:t>
      </w:r>
      <w:r w:rsidR="00432863" w:rsidRPr="0088758F">
        <w:rPr>
          <w:sz w:val="28"/>
        </w:rPr>
        <w:t>Valsts atbalsta prioritārie segmenti</w:t>
      </w:r>
      <w:bookmarkEnd w:id="20"/>
    </w:p>
    <w:p w:rsidR="0030364D" w:rsidRPr="0030364D" w:rsidRDefault="0030364D" w:rsidP="0030364D">
      <w:pPr>
        <w:ind w:firstLine="567"/>
        <w:jc w:val="both"/>
        <w:rPr>
          <w:rFonts w:cs="Times New Roman"/>
          <w:sz w:val="18"/>
          <w:szCs w:val="28"/>
        </w:rPr>
      </w:pPr>
    </w:p>
    <w:p w:rsidR="0030364D" w:rsidRPr="00985677" w:rsidRDefault="0030364D" w:rsidP="0030364D">
      <w:pPr>
        <w:ind w:firstLine="567"/>
        <w:jc w:val="both"/>
        <w:rPr>
          <w:rFonts w:cs="Times New Roman"/>
          <w:sz w:val="28"/>
          <w:szCs w:val="28"/>
        </w:rPr>
      </w:pPr>
      <w:r>
        <w:rPr>
          <w:rFonts w:cs="Times New Roman"/>
          <w:sz w:val="28"/>
          <w:szCs w:val="28"/>
        </w:rPr>
        <w:t>Ņemot vērā ziņojuma pirmajā nodaļā veikto Latvijas tautsaimniecības nozaru analīzi</w:t>
      </w:r>
      <w:r w:rsidRPr="00EB5FEE">
        <w:rPr>
          <w:rFonts w:cs="Times New Roman"/>
          <w:sz w:val="28"/>
          <w:szCs w:val="28"/>
        </w:rPr>
        <w:t xml:space="preserve">, </w:t>
      </w:r>
      <w:r>
        <w:rPr>
          <w:rFonts w:cs="Times New Roman"/>
          <w:sz w:val="28"/>
          <w:szCs w:val="28"/>
        </w:rPr>
        <w:t xml:space="preserve">kas balstīta uz </w:t>
      </w:r>
      <w:r w:rsidRPr="00EB5FEE">
        <w:rPr>
          <w:rFonts w:cs="Times New Roman"/>
          <w:sz w:val="28"/>
          <w:szCs w:val="28"/>
        </w:rPr>
        <w:t>pašreizēj</w:t>
      </w:r>
      <w:r>
        <w:rPr>
          <w:rFonts w:cs="Times New Roman"/>
          <w:sz w:val="28"/>
          <w:szCs w:val="28"/>
        </w:rPr>
        <w:t>ā</w:t>
      </w:r>
      <w:r w:rsidRPr="00EB5FEE">
        <w:rPr>
          <w:rFonts w:cs="Times New Roman"/>
          <w:sz w:val="28"/>
          <w:szCs w:val="28"/>
        </w:rPr>
        <w:t>s krīzes dziļum</w:t>
      </w:r>
      <w:r>
        <w:rPr>
          <w:rFonts w:cs="Times New Roman"/>
          <w:sz w:val="28"/>
          <w:szCs w:val="28"/>
        </w:rPr>
        <w:t>u</w:t>
      </w:r>
      <w:r w:rsidRPr="00EB5FEE">
        <w:rPr>
          <w:rFonts w:cs="Times New Roman"/>
          <w:sz w:val="28"/>
          <w:szCs w:val="28"/>
        </w:rPr>
        <w:t xml:space="preserve">, nozaru attīstības </w:t>
      </w:r>
      <w:r w:rsidR="00AB775E">
        <w:rPr>
          <w:rFonts w:cs="Times New Roman"/>
          <w:sz w:val="28"/>
          <w:szCs w:val="28"/>
        </w:rPr>
        <w:t>iespējām</w:t>
      </w:r>
      <w:r w:rsidRPr="00EB5FEE">
        <w:rPr>
          <w:rFonts w:cs="Times New Roman"/>
          <w:sz w:val="28"/>
          <w:szCs w:val="28"/>
        </w:rPr>
        <w:t xml:space="preserve"> vidējā termiņā, ekonomikas paradigma</w:t>
      </w:r>
      <w:r>
        <w:rPr>
          <w:rFonts w:cs="Times New Roman"/>
          <w:sz w:val="28"/>
          <w:szCs w:val="28"/>
        </w:rPr>
        <w:t>s maiņu,</w:t>
      </w:r>
      <w:r w:rsidRPr="00EB5FEE">
        <w:rPr>
          <w:rFonts w:cs="Times New Roman"/>
          <w:sz w:val="28"/>
          <w:szCs w:val="28"/>
        </w:rPr>
        <w:t xml:space="preserve"> </w:t>
      </w:r>
      <w:r>
        <w:rPr>
          <w:rFonts w:cs="Times New Roman"/>
          <w:sz w:val="28"/>
          <w:szCs w:val="28"/>
        </w:rPr>
        <w:t>nozares salīdzinošām</w:t>
      </w:r>
      <w:r w:rsidRPr="00EB5FEE">
        <w:rPr>
          <w:rFonts w:cs="Times New Roman"/>
          <w:sz w:val="28"/>
          <w:szCs w:val="28"/>
        </w:rPr>
        <w:t xml:space="preserve"> priekšrocīb</w:t>
      </w:r>
      <w:r>
        <w:rPr>
          <w:rFonts w:cs="Times New Roman"/>
          <w:sz w:val="28"/>
          <w:szCs w:val="28"/>
        </w:rPr>
        <w:t>ām</w:t>
      </w:r>
      <w:r w:rsidRPr="00EB5FEE">
        <w:rPr>
          <w:rFonts w:cs="Times New Roman"/>
          <w:sz w:val="28"/>
          <w:szCs w:val="28"/>
        </w:rPr>
        <w:t>, pieejam</w:t>
      </w:r>
      <w:r>
        <w:rPr>
          <w:rFonts w:cs="Times New Roman"/>
          <w:sz w:val="28"/>
          <w:szCs w:val="28"/>
        </w:rPr>
        <w:t xml:space="preserve">ajiem cilvēkresursiem un infrastruktūru, kā arī citiem </w:t>
      </w:r>
      <w:r w:rsidRPr="00EB5FEE">
        <w:rPr>
          <w:rFonts w:cs="Times New Roman"/>
          <w:sz w:val="28"/>
          <w:szCs w:val="28"/>
        </w:rPr>
        <w:t>ietekmējoš</w:t>
      </w:r>
      <w:r>
        <w:rPr>
          <w:rFonts w:cs="Times New Roman"/>
          <w:sz w:val="28"/>
          <w:szCs w:val="28"/>
        </w:rPr>
        <w:t>iem</w:t>
      </w:r>
      <w:r w:rsidRPr="00EB5FEE">
        <w:rPr>
          <w:rFonts w:cs="Times New Roman"/>
          <w:sz w:val="28"/>
          <w:szCs w:val="28"/>
        </w:rPr>
        <w:t xml:space="preserve"> faktor</w:t>
      </w:r>
      <w:r>
        <w:rPr>
          <w:rFonts w:cs="Times New Roman"/>
          <w:sz w:val="28"/>
          <w:szCs w:val="28"/>
        </w:rPr>
        <w:t xml:space="preserve">iem, var noteikt vairākas nozares, </w:t>
      </w:r>
      <w:r w:rsidR="00E25D13">
        <w:rPr>
          <w:rFonts w:cs="Times New Roman"/>
          <w:sz w:val="28"/>
          <w:szCs w:val="28"/>
        </w:rPr>
        <w:t>kurām būs</w:t>
      </w:r>
      <w:r w:rsidR="005549E2">
        <w:rPr>
          <w:rFonts w:cs="Times New Roman"/>
          <w:sz w:val="28"/>
          <w:szCs w:val="28"/>
        </w:rPr>
        <w:t xml:space="preserve"> vislielākais ieguldījums ekonomikas atveseļošanā</w:t>
      </w:r>
      <w:r>
        <w:rPr>
          <w:rFonts w:cs="Times New Roman"/>
          <w:sz w:val="28"/>
          <w:szCs w:val="28"/>
        </w:rPr>
        <w:t>.</w:t>
      </w:r>
      <w:r w:rsidR="005549E2">
        <w:rPr>
          <w:rFonts w:cs="Times New Roman"/>
          <w:sz w:val="28"/>
          <w:szCs w:val="28"/>
        </w:rPr>
        <w:t xml:space="preserve"> V</w:t>
      </w:r>
      <w:r w:rsidR="00E25D13">
        <w:rPr>
          <w:rFonts w:cs="Times New Roman"/>
          <w:sz w:val="28"/>
          <w:szCs w:val="28"/>
        </w:rPr>
        <w:t>ienlaikus</w:t>
      </w:r>
      <w:r>
        <w:rPr>
          <w:rFonts w:cs="Times New Roman"/>
          <w:sz w:val="28"/>
          <w:szCs w:val="28"/>
        </w:rPr>
        <w:t xml:space="preserve"> vidējā un ilgtermiņā valstij ir jārada priekšnoteikumi </w:t>
      </w:r>
      <w:r w:rsidRPr="00985677">
        <w:rPr>
          <w:rFonts w:cs="Times New Roman"/>
          <w:sz w:val="28"/>
          <w:szCs w:val="28"/>
        </w:rPr>
        <w:t>uz zināšanām balstīto ekonomisko priekšr</w:t>
      </w:r>
      <w:r>
        <w:rPr>
          <w:rFonts w:cs="Times New Roman"/>
          <w:sz w:val="28"/>
          <w:szCs w:val="28"/>
        </w:rPr>
        <w:t>ocību eksporta nozaru attīstībai</w:t>
      </w:r>
      <w:r w:rsidRPr="00985677">
        <w:rPr>
          <w:rFonts w:cs="Times New Roman"/>
          <w:sz w:val="28"/>
          <w:szCs w:val="28"/>
        </w:rPr>
        <w:t xml:space="preserve">, tai skaitā </w:t>
      </w:r>
      <w:r>
        <w:rPr>
          <w:rFonts w:cs="Times New Roman"/>
          <w:sz w:val="28"/>
          <w:szCs w:val="28"/>
        </w:rPr>
        <w:t>augstu tehnoloģiju nozarēm</w:t>
      </w:r>
      <w:r w:rsidRPr="00985677">
        <w:rPr>
          <w:rFonts w:cs="Times New Roman"/>
          <w:sz w:val="28"/>
          <w:szCs w:val="28"/>
        </w:rPr>
        <w:t xml:space="preserve"> ar augstu pievienoto vērtību</w:t>
      </w:r>
      <w:r>
        <w:rPr>
          <w:rFonts w:cs="Times New Roman"/>
          <w:sz w:val="28"/>
          <w:szCs w:val="28"/>
        </w:rPr>
        <w:t xml:space="preserve">, kurām būs noteicošā loma ekonomikas attīstībā arī pēc </w:t>
      </w:r>
      <w:r w:rsidRPr="00985677">
        <w:rPr>
          <w:rFonts w:cs="Times New Roman"/>
          <w:sz w:val="28"/>
          <w:szCs w:val="28"/>
        </w:rPr>
        <w:t>2015.gad</w:t>
      </w:r>
      <w:r>
        <w:rPr>
          <w:rFonts w:cs="Times New Roman"/>
          <w:sz w:val="28"/>
          <w:szCs w:val="28"/>
        </w:rPr>
        <w:t>a</w:t>
      </w:r>
      <w:r w:rsidRPr="00985677">
        <w:rPr>
          <w:rFonts w:cs="Times New Roman"/>
          <w:sz w:val="28"/>
          <w:szCs w:val="28"/>
        </w:rPr>
        <w:t>.</w:t>
      </w:r>
    </w:p>
    <w:p w:rsidR="00D46AEA" w:rsidRPr="00C46204" w:rsidRDefault="00D46AEA" w:rsidP="0030364D">
      <w:pPr>
        <w:ind w:firstLine="567"/>
        <w:jc w:val="both"/>
        <w:rPr>
          <w:sz w:val="14"/>
          <w:szCs w:val="28"/>
        </w:rPr>
      </w:pPr>
    </w:p>
    <w:p w:rsidR="0030364D" w:rsidRPr="00C85C65" w:rsidRDefault="0030364D" w:rsidP="0030364D">
      <w:pPr>
        <w:ind w:firstLine="567"/>
        <w:jc w:val="both"/>
        <w:rPr>
          <w:sz w:val="28"/>
          <w:szCs w:val="28"/>
        </w:rPr>
      </w:pPr>
      <w:r w:rsidRPr="00C85C65">
        <w:rPr>
          <w:sz w:val="28"/>
          <w:szCs w:val="28"/>
        </w:rPr>
        <w:t>Latvijas Banka 2008.gada martā, balstoties uz iepriekšējo gadu datiem, veica pētījumu</w:t>
      </w:r>
      <w:r>
        <w:rPr>
          <w:sz w:val="28"/>
          <w:szCs w:val="28"/>
        </w:rPr>
        <w:t xml:space="preserve"> par prioritārajām nozarēm.</w:t>
      </w:r>
      <w:r w:rsidR="00C46204">
        <w:rPr>
          <w:sz w:val="28"/>
          <w:szCs w:val="28"/>
        </w:rPr>
        <w:t xml:space="preserve"> </w:t>
      </w:r>
      <w:r w:rsidRPr="00C85C65">
        <w:rPr>
          <w:sz w:val="28"/>
          <w:szCs w:val="28"/>
        </w:rPr>
        <w:t xml:space="preserve">Lai noteiktu nozares, kas sekmētu valsts virzību uz augstākās pievienotās vērtības produktu ražošanu, tika noteikti tādi kritēriji, kā eksporta potenciāls, prioritāro nozaru būtiskāks ieguldījums līdzšinējā pievienotās vērtības līmeņa kāpināšanā valstī un neliela industriālās bāzes klātbūtne, lai nebūtu nepieciešami pārlieku lieli resursi vai ilgs laiks zināšanu </w:t>
      </w:r>
      <w:r w:rsidR="00813CDF" w:rsidRPr="00C85C65">
        <w:rPr>
          <w:sz w:val="28"/>
          <w:szCs w:val="28"/>
        </w:rPr>
        <w:t xml:space="preserve">attīstīšanai </w:t>
      </w:r>
      <w:r w:rsidRPr="00C85C65">
        <w:rPr>
          <w:sz w:val="28"/>
          <w:szCs w:val="28"/>
        </w:rPr>
        <w:t>kādā fundamentāli jaunā nozarē.</w:t>
      </w:r>
    </w:p>
    <w:p w:rsidR="0030364D" w:rsidRDefault="0030364D" w:rsidP="00D46AEA">
      <w:pPr>
        <w:ind w:firstLine="567"/>
        <w:jc w:val="both"/>
        <w:rPr>
          <w:sz w:val="28"/>
          <w:szCs w:val="28"/>
        </w:rPr>
      </w:pPr>
      <w:r w:rsidRPr="00C85C65">
        <w:rPr>
          <w:sz w:val="28"/>
          <w:szCs w:val="28"/>
        </w:rPr>
        <w:t>Minētais pētījums tika veikts ar strukturālās transformācijas preču telpā potenciālo iespēju analīzi, kas tika balstīta uz starptautiskās tirdzniecības datos ietverto informāciju un vadoties no augstākminētajiem kritērijiem.</w:t>
      </w:r>
      <w:r w:rsidR="00D46AEA">
        <w:rPr>
          <w:sz w:val="28"/>
          <w:szCs w:val="28"/>
        </w:rPr>
        <w:t xml:space="preserve"> </w:t>
      </w:r>
      <w:r w:rsidRPr="00C85C65">
        <w:rPr>
          <w:sz w:val="28"/>
          <w:szCs w:val="28"/>
        </w:rPr>
        <w:t>Šajā pētījumā analīze tika veikta produktu griezumā un tika secināts, ka prioritār</w:t>
      </w:r>
      <w:r w:rsidR="00D46AEA">
        <w:rPr>
          <w:sz w:val="28"/>
          <w:szCs w:val="28"/>
        </w:rPr>
        <w:t xml:space="preserve">ie eksporta produkti varētu būt </w:t>
      </w:r>
      <w:r w:rsidRPr="002E5700">
        <w:rPr>
          <w:sz w:val="28"/>
          <w:szCs w:val="28"/>
        </w:rPr>
        <w:t>farmaceitiskie preparāti (hormonu preparāt</w:t>
      </w:r>
      <w:r w:rsidR="00D46AEA">
        <w:rPr>
          <w:sz w:val="28"/>
          <w:szCs w:val="28"/>
        </w:rPr>
        <w:t>i, antibiotikas, augu alkoloīdi</w:t>
      </w:r>
      <w:r w:rsidR="000B7433">
        <w:rPr>
          <w:sz w:val="28"/>
          <w:szCs w:val="28"/>
        </w:rPr>
        <w:t xml:space="preserve"> u.c.</w:t>
      </w:r>
      <w:r w:rsidR="00D46AEA">
        <w:rPr>
          <w:sz w:val="28"/>
          <w:szCs w:val="28"/>
        </w:rPr>
        <w:t xml:space="preserve">), </w:t>
      </w:r>
      <w:r w:rsidRPr="002E5700">
        <w:rPr>
          <w:sz w:val="28"/>
          <w:szCs w:val="28"/>
        </w:rPr>
        <w:t xml:space="preserve">organiskās ķīmijas pamatvielas (amīnfunkcijas savienojumi, karboksilskābes, laktami, </w:t>
      </w:r>
      <w:r w:rsidR="00C12A78">
        <w:rPr>
          <w:sz w:val="28"/>
          <w:szCs w:val="28"/>
        </w:rPr>
        <w:t>fenoli</w:t>
      </w:r>
      <w:r w:rsidR="00D46AEA">
        <w:rPr>
          <w:sz w:val="28"/>
          <w:szCs w:val="28"/>
        </w:rPr>
        <w:t xml:space="preserve"> u.c.), </w:t>
      </w:r>
      <w:r w:rsidRPr="002E5700">
        <w:rPr>
          <w:sz w:val="28"/>
          <w:szCs w:val="28"/>
        </w:rPr>
        <w:t>medicīniskie un precīzijas instrumenti (zobārstniecības instrumenti, mērniecības rīki, automātis</w:t>
      </w:r>
      <w:r w:rsidR="00D46AEA">
        <w:rPr>
          <w:sz w:val="28"/>
          <w:szCs w:val="28"/>
        </w:rPr>
        <w:t>kās kontroles instrumenti</w:t>
      </w:r>
      <w:r w:rsidR="00C12A78">
        <w:rPr>
          <w:sz w:val="28"/>
          <w:szCs w:val="28"/>
        </w:rPr>
        <w:t xml:space="preserve"> </w:t>
      </w:r>
      <w:r w:rsidR="000B7433">
        <w:rPr>
          <w:sz w:val="28"/>
          <w:szCs w:val="28"/>
        </w:rPr>
        <w:t>u.c.</w:t>
      </w:r>
      <w:r w:rsidR="00D46AEA">
        <w:rPr>
          <w:sz w:val="28"/>
          <w:szCs w:val="28"/>
        </w:rPr>
        <w:t>),</w:t>
      </w:r>
      <w:r w:rsidR="00813CDF">
        <w:rPr>
          <w:sz w:val="28"/>
          <w:szCs w:val="28"/>
        </w:rPr>
        <w:t xml:space="preserve"> kā arī</w:t>
      </w:r>
      <w:r w:rsidR="00D46AEA">
        <w:rPr>
          <w:sz w:val="28"/>
          <w:szCs w:val="28"/>
        </w:rPr>
        <w:t xml:space="preserve"> </w:t>
      </w:r>
      <w:r w:rsidRPr="002E5700">
        <w:rPr>
          <w:sz w:val="28"/>
          <w:szCs w:val="28"/>
        </w:rPr>
        <w:t>mašīnas un iekārtas (lauksa</w:t>
      </w:r>
      <w:r w:rsidR="000B7433">
        <w:rPr>
          <w:sz w:val="28"/>
          <w:szCs w:val="28"/>
        </w:rPr>
        <w:t>imniecības tehnika, iekraušanas-</w:t>
      </w:r>
      <w:r w:rsidRPr="002E5700">
        <w:rPr>
          <w:sz w:val="28"/>
          <w:szCs w:val="28"/>
        </w:rPr>
        <w:t>izkraušanas mašīnas, gāzģen</w:t>
      </w:r>
      <w:r w:rsidR="00D46AEA">
        <w:rPr>
          <w:sz w:val="28"/>
          <w:szCs w:val="28"/>
        </w:rPr>
        <w:t>eratori, metālapstrādes mašīnas</w:t>
      </w:r>
      <w:r w:rsidR="000B7433">
        <w:rPr>
          <w:sz w:val="28"/>
          <w:szCs w:val="28"/>
        </w:rPr>
        <w:t xml:space="preserve"> u.c.</w:t>
      </w:r>
      <w:r w:rsidRPr="002E5700">
        <w:rPr>
          <w:sz w:val="28"/>
          <w:szCs w:val="28"/>
        </w:rPr>
        <w:t>).</w:t>
      </w:r>
    </w:p>
    <w:p w:rsidR="00D46AEA" w:rsidRDefault="00D46AEA" w:rsidP="0030364D">
      <w:pPr>
        <w:ind w:firstLine="567"/>
        <w:jc w:val="both"/>
        <w:rPr>
          <w:rFonts w:cs="Times New Roman"/>
          <w:sz w:val="20"/>
          <w:szCs w:val="28"/>
        </w:rPr>
      </w:pPr>
    </w:p>
    <w:p w:rsidR="000B7433" w:rsidRPr="000B7433" w:rsidRDefault="000B7433" w:rsidP="0030364D">
      <w:pPr>
        <w:ind w:firstLine="567"/>
        <w:jc w:val="both"/>
        <w:rPr>
          <w:rFonts w:cs="Times New Roman"/>
          <w:sz w:val="20"/>
          <w:szCs w:val="28"/>
        </w:rPr>
      </w:pPr>
    </w:p>
    <w:p w:rsidR="0030364D" w:rsidRDefault="0030364D" w:rsidP="0030364D">
      <w:pPr>
        <w:ind w:firstLine="567"/>
        <w:jc w:val="both"/>
        <w:rPr>
          <w:rFonts w:cs="Times New Roman"/>
          <w:sz w:val="28"/>
          <w:szCs w:val="28"/>
        </w:rPr>
      </w:pPr>
      <w:r>
        <w:rPr>
          <w:rFonts w:cs="Times New Roman"/>
          <w:sz w:val="28"/>
          <w:szCs w:val="28"/>
        </w:rPr>
        <w:t>Ņemot vērā</w:t>
      </w:r>
      <w:r w:rsidRPr="00EB5FEE">
        <w:rPr>
          <w:rFonts w:cs="Times New Roman"/>
          <w:sz w:val="28"/>
          <w:szCs w:val="28"/>
        </w:rPr>
        <w:t xml:space="preserve"> </w:t>
      </w:r>
      <w:r>
        <w:rPr>
          <w:rFonts w:cs="Times New Roman"/>
          <w:sz w:val="28"/>
          <w:szCs w:val="28"/>
        </w:rPr>
        <w:t xml:space="preserve">gan </w:t>
      </w:r>
      <w:r w:rsidRPr="00EB5FEE">
        <w:rPr>
          <w:rFonts w:cs="Times New Roman"/>
          <w:sz w:val="28"/>
          <w:szCs w:val="28"/>
        </w:rPr>
        <w:t>Ekonomikas ministrija</w:t>
      </w:r>
      <w:r>
        <w:rPr>
          <w:rFonts w:cs="Times New Roman"/>
          <w:sz w:val="28"/>
          <w:szCs w:val="28"/>
        </w:rPr>
        <w:t>s veikto analīzi tautsaimniecības nozaru griezumā, gan Latvijas Bankas pētījumus</w:t>
      </w:r>
      <w:r w:rsidR="007533A7">
        <w:rPr>
          <w:rFonts w:cs="Times New Roman"/>
          <w:sz w:val="28"/>
          <w:szCs w:val="28"/>
        </w:rPr>
        <w:t>,</w:t>
      </w:r>
      <w:r>
        <w:rPr>
          <w:rFonts w:cs="Times New Roman"/>
          <w:sz w:val="28"/>
          <w:szCs w:val="28"/>
        </w:rPr>
        <w:t xml:space="preserve"> ir izkristalizējušies sekojoši prioritārie segmenti:</w:t>
      </w:r>
    </w:p>
    <w:p w:rsidR="00D465A3" w:rsidRPr="0088758F" w:rsidRDefault="00D465A3" w:rsidP="00D465A3">
      <w:pPr>
        <w:pStyle w:val="EndnoteText"/>
        <w:ind w:firstLine="720"/>
        <w:jc w:val="both"/>
        <w:rPr>
          <w:sz w:val="12"/>
          <w:szCs w:val="12"/>
        </w:rPr>
      </w:pPr>
    </w:p>
    <w:p w:rsidR="00361C14" w:rsidRPr="0088758F" w:rsidRDefault="00DE5D24" w:rsidP="000F0D78">
      <w:pPr>
        <w:spacing w:after="120"/>
        <w:ind w:left="426"/>
        <w:jc w:val="both"/>
        <w:rPr>
          <w:sz w:val="28"/>
          <w:szCs w:val="24"/>
        </w:rPr>
      </w:pPr>
      <w:r w:rsidRPr="0088758F">
        <w:rPr>
          <w:b/>
          <w:sz w:val="28"/>
          <w:szCs w:val="24"/>
        </w:rPr>
        <w:t>A.</w:t>
      </w:r>
      <w:r w:rsidRPr="0088758F">
        <w:rPr>
          <w:sz w:val="28"/>
          <w:szCs w:val="24"/>
        </w:rPr>
        <w:t xml:space="preserve"> konkurētspējīgi uzņēmumi ar </w:t>
      </w:r>
      <w:r w:rsidR="00D465A3" w:rsidRPr="0088758F">
        <w:rPr>
          <w:sz w:val="28"/>
          <w:szCs w:val="24"/>
        </w:rPr>
        <w:t xml:space="preserve">augstu izaugsmes </w:t>
      </w:r>
      <w:r w:rsidR="000F0D78" w:rsidRPr="0088758F">
        <w:rPr>
          <w:sz w:val="28"/>
          <w:szCs w:val="24"/>
        </w:rPr>
        <w:t xml:space="preserve">un eksporta </w:t>
      </w:r>
      <w:r w:rsidR="00D465A3" w:rsidRPr="0088758F">
        <w:rPr>
          <w:sz w:val="28"/>
          <w:szCs w:val="24"/>
        </w:rPr>
        <w:t>potenciālu</w:t>
      </w:r>
      <w:r w:rsidRPr="0088758F">
        <w:rPr>
          <w:sz w:val="28"/>
          <w:szCs w:val="24"/>
        </w:rPr>
        <w:t xml:space="preserve">. </w:t>
      </w:r>
    </w:p>
    <w:p w:rsidR="00DE5D24" w:rsidRPr="0088758F" w:rsidRDefault="00DE5D24" w:rsidP="000F0D78">
      <w:pPr>
        <w:spacing w:after="120"/>
        <w:ind w:left="426"/>
        <w:jc w:val="both"/>
        <w:rPr>
          <w:sz w:val="28"/>
          <w:szCs w:val="24"/>
        </w:rPr>
      </w:pPr>
      <w:r w:rsidRPr="0088758F">
        <w:rPr>
          <w:b/>
          <w:sz w:val="28"/>
          <w:szCs w:val="24"/>
        </w:rPr>
        <w:t>B.</w:t>
      </w:r>
      <w:r w:rsidRPr="0088758F">
        <w:rPr>
          <w:sz w:val="28"/>
          <w:szCs w:val="24"/>
        </w:rPr>
        <w:t xml:space="preserve"> apstrādes rūpniecības nozares ar nozīmīgu ieguldījumu pievienotās vērtības un eksporta pieaugumā, kā arī ar augstu izaugsmes un eksporta potenciālu nākotnē. </w:t>
      </w:r>
    </w:p>
    <w:p w:rsidR="00DE5D24" w:rsidRPr="0088758F" w:rsidRDefault="00DE5D24" w:rsidP="000F0D78">
      <w:pPr>
        <w:spacing w:after="120"/>
        <w:ind w:left="426"/>
        <w:jc w:val="both"/>
        <w:rPr>
          <w:sz w:val="28"/>
          <w:szCs w:val="24"/>
        </w:rPr>
      </w:pPr>
      <w:r w:rsidRPr="0088758F">
        <w:rPr>
          <w:b/>
          <w:sz w:val="28"/>
          <w:szCs w:val="24"/>
        </w:rPr>
        <w:t>C.</w:t>
      </w:r>
      <w:r w:rsidRPr="0088758F">
        <w:rPr>
          <w:sz w:val="28"/>
          <w:szCs w:val="24"/>
        </w:rPr>
        <w:t xml:space="preserve"> uz eksportu </w:t>
      </w:r>
      <w:r w:rsidR="000F0D78" w:rsidRPr="0088758F">
        <w:rPr>
          <w:sz w:val="28"/>
          <w:szCs w:val="24"/>
        </w:rPr>
        <w:t>orientētas pakalpojumu nozares</w:t>
      </w:r>
      <w:r w:rsidR="00361C14" w:rsidRPr="0088758F">
        <w:rPr>
          <w:sz w:val="28"/>
          <w:szCs w:val="24"/>
        </w:rPr>
        <w:t>.</w:t>
      </w:r>
    </w:p>
    <w:p w:rsidR="000B7433" w:rsidRDefault="000B7433" w:rsidP="000F0D78">
      <w:pPr>
        <w:pStyle w:val="ListParagraph"/>
        <w:ind w:left="0"/>
        <w:jc w:val="both"/>
        <w:rPr>
          <w:b/>
          <w:sz w:val="28"/>
          <w:szCs w:val="24"/>
        </w:rPr>
      </w:pPr>
    </w:p>
    <w:p w:rsidR="00C46204" w:rsidRDefault="00C46204">
      <w:pPr>
        <w:spacing w:after="200" w:line="276" w:lineRule="auto"/>
        <w:rPr>
          <w:b/>
          <w:sz w:val="28"/>
          <w:szCs w:val="24"/>
        </w:rPr>
      </w:pPr>
      <w:r>
        <w:rPr>
          <w:b/>
          <w:sz w:val="28"/>
          <w:szCs w:val="24"/>
        </w:rPr>
        <w:br w:type="page"/>
      </w:r>
    </w:p>
    <w:p w:rsidR="00DE5D24" w:rsidRPr="0088758F" w:rsidRDefault="000F0D78" w:rsidP="000F0D78">
      <w:pPr>
        <w:pStyle w:val="ListParagraph"/>
        <w:ind w:left="0"/>
        <w:jc w:val="both"/>
        <w:rPr>
          <w:sz w:val="28"/>
        </w:rPr>
      </w:pPr>
      <w:r w:rsidRPr="0088758F">
        <w:rPr>
          <w:b/>
          <w:sz w:val="28"/>
          <w:szCs w:val="24"/>
        </w:rPr>
        <w:lastRenderedPageBreak/>
        <w:t>A. </w:t>
      </w:r>
      <w:r w:rsidR="00DE5D24" w:rsidRPr="0088758F">
        <w:rPr>
          <w:b/>
          <w:sz w:val="28"/>
          <w:szCs w:val="24"/>
        </w:rPr>
        <w:t>konkurētspējīgi uzņēmumi ar augstu izaugsmes un</w:t>
      </w:r>
      <w:r w:rsidR="00156DFE">
        <w:rPr>
          <w:b/>
          <w:sz w:val="28"/>
          <w:szCs w:val="24"/>
        </w:rPr>
        <w:t xml:space="preserve"> </w:t>
      </w:r>
      <w:r w:rsidR="00DE5D24" w:rsidRPr="0088758F">
        <w:rPr>
          <w:b/>
          <w:sz w:val="28"/>
          <w:szCs w:val="24"/>
        </w:rPr>
        <w:t>eksporta</w:t>
      </w:r>
      <w:r w:rsidR="0098102F" w:rsidRPr="0088758F">
        <w:rPr>
          <w:b/>
          <w:sz w:val="28"/>
          <w:szCs w:val="24"/>
        </w:rPr>
        <w:t xml:space="preserve"> potenciālu.</w:t>
      </w:r>
    </w:p>
    <w:p w:rsidR="00DE5D24" w:rsidRPr="0088758F" w:rsidRDefault="00DE5D24" w:rsidP="0098102F">
      <w:pPr>
        <w:ind w:firstLine="426"/>
        <w:jc w:val="both"/>
        <w:rPr>
          <w:sz w:val="28"/>
        </w:rPr>
      </w:pPr>
      <w:r w:rsidRPr="0088758F">
        <w:rPr>
          <w:sz w:val="28"/>
        </w:rPr>
        <w:t xml:space="preserve">Lai izvērtētu </w:t>
      </w:r>
      <w:r w:rsidR="00AB775E">
        <w:rPr>
          <w:sz w:val="28"/>
        </w:rPr>
        <w:t xml:space="preserve">atbalstāmos </w:t>
      </w:r>
      <w:r w:rsidRPr="0088758F">
        <w:rPr>
          <w:sz w:val="28"/>
        </w:rPr>
        <w:t>uzņēmumus, tiks izstrādāti noteikti kritēriji, kas raksturo</w:t>
      </w:r>
      <w:r w:rsidR="008078B2">
        <w:rPr>
          <w:sz w:val="28"/>
        </w:rPr>
        <w:t xml:space="preserve"> to</w:t>
      </w:r>
      <w:r w:rsidRPr="0088758F">
        <w:rPr>
          <w:sz w:val="28"/>
        </w:rPr>
        <w:t>:</w:t>
      </w:r>
    </w:p>
    <w:p w:rsidR="00DE5D24" w:rsidRPr="0088758F" w:rsidRDefault="00DE5D24" w:rsidP="005A17E9">
      <w:pPr>
        <w:pStyle w:val="ListParagraph"/>
        <w:numPr>
          <w:ilvl w:val="0"/>
          <w:numId w:val="3"/>
        </w:numPr>
        <w:ind w:left="1134" w:hanging="425"/>
        <w:contextualSpacing w:val="0"/>
        <w:rPr>
          <w:sz w:val="28"/>
        </w:rPr>
      </w:pPr>
      <w:r w:rsidRPr="0088758F">
        <w:rPr>
          <w:sz w:val="28"/>
        </w:rPr>
        <w:t>konkurētspēju;</w:t>
      </w:r>
    </w:p>
    <w:p w:rsidR="00DE5D24" w:rsidRPr="0088758F" w:rsidRDefault="00DE5D24" w:rsidP="005A17E9">
      <w:pPr>
        <w:pStyle w:val="ListParagraph"/>
        <w:numPr>
          <w:ilvl w:val="0"/>
          <w:numId w:val="3"/>
        </w:numPr>
        <w:ind w:left="1134" w:hanging="425"/>
        <w:contextualSpacing w:val="0"/>
        <w:rPr>
          <w:sz w:val="28"/>
        </w:rPr>
      </w:pPr>
      <w:r w:rsidRPr="0088758F">
        <w:rPr>
          <w:sz w:val="28"/>
        </w:rPr>
        <w:t>iespējas palielināt produktivitāti;</w:t>
      </w:r>
    </w:p>
    <w:p w:rsidR="00DE5D24" w:rsidRPr="0088758F" w:rsidRDefault="00DE5D24" w:rsidP="005A17E9">
      <w:pPr>
        <w:pStyle w:val="ListParagraph"/>
        <w:numPr>
          <w:ilvl w:val="0"/>
          <w:numId w:val="3"/>
        </w:numPr>
        <w:ind w:left="1134" w:hanging="425"/>
        <w:contextualSpacing w:val="0"/>
        <w:rPr>
          <w:sz w:val="28"/>
        </w:rPr>
      </w:pPr>
      <w:r w:rsidRPr="0088758F">
        <w:rPr>
          <w:sz w:val="28"/>
        </w:rPr>
        <w:t>pakārtoto ietekmi uz citu nozaru attīstību.</w:t>
      </w:r>
    </w:p>
    <w:p w:rsidR="00582EE4" w:rsidRDefault="00582EE4" w:rsidP="00DE5D24">
      <w:pPr>
        <w:ind w:firstLine="567"/>
        <w:jc w:val="both"/>
        <w:rPr>
          <w:rFonts w:cs="Times New Roman"/>
          <w:sz w:val="12"/>
          <w:szCs w:val="28"/>
        </w:rPr>
      </w:pPr>
    </w:p>
    <w:p w:rsidR="009A3441" w:rsidRDefault="009A3441" w:rsidP="00DE5D24">
      <w:pPr>
        <w:ind w:firstLine="567"/>
        <w:jc w:val="both"/>
        <w:rPr>
          <w:rFonts w:cs="Times New Roman"/>
          <w:sz w:val="12"/>
          <w:szCs w:val="28"/>
        </w:rPr>
      </w:pPr>
    </w:p>
    <w:p w:rsidR="00DE5D24" w:rsidRPr="0088758F" w:rsidRDefault="00DE5D24" w:rsidP="00EF7A10">
      <w:pPr>
        <w:rPr>
          <w:rFonts w:cs="Times New Roman"/>
          <w:b/>
          <w:sz w:val="20"/>
          <w:szCs w:val="28"/>
        </w:rPr>
      </w:pPr>
      <w:r w:rsidRPr="0088758F">
        <w:rPr>
          <w:b/>
          <w:sz w:val="28"/>
          <w:szCs w:val="24"/>
        </w:rPr>
        <w:t>B. apstrādes rūpniecības nozares ar nozīmīgu ieguldījumu pievienotās vērtības un eksporta pieaugumā, kā arī ar augstu izaugsmes un eksporta potenciālu nākotnē</w:t>
      </w:r>
      <w:r w:rsidR="0098102F" w:rsidRPr="0088758F">
        <w:rPr>
          <w:b/>
          <w:sz w:val="28"/>
          <w:szCs w:val="24"/>
        </w:rPr>
        <w:t>.</w:t>
      </w:r>
    </w:p>
    <w:p w:rsidR="00DE5D24" w:rsidRPr="0088758F" w:rsidRDefault="00DE5D24" w:rsidP="00DE5D24">
      <w:pPr>
        <w:ind w:firstLine="567"/>
        <w:jc w:val="both"/>
        <w:rPr>
          <w:rFonts w:cs="Times New Roman"/>
          <w:sz w:val="28"/>
          <w:szCs w:val="28"/>
        </w:rPr>
      </w:pPr>
      <w:r w:rsidRPr="0088758F">
        <w:rPr>
          <w:rFonts w:cs="Times New Roman"/>
          <w:sz w:val="28"/>
          <w:szCs w:val="28"/>
        </w:rPr>
        <w:t>Ekonomikas ministrijas noteiktas prioritārās apstrādes rūpniecības nozares</w:t>
      </w:r>
      <w:r w:rsidR="000F0D78" w:rsidRPr="0088758F">
        <w:rPr>
          <w:rFonts w:cs="Times New Roman"/>
          <w:sz w:val="28"/>
          <w:szCs w:val="28"/>
        </w:rPr>
        <w:t>:</w:t>
      </w:r>
      <w:r w:rsidRPr="0088758F">
        <w:rPr>
          <w:rFonts w:cs="Times New Roman"/>
          <w:sz w:val="28"/>
          <w:szCs w:val="28"/>
        </w:rPr>
        <w:t xml:space="preserve"> </w:t>
      </w:r>
    </w:p>
    <w:p w:rsidR="00D46AEA" w:rsidRPr="000B7433" w:rsidRDefault="00D46AEA" w:rsidP="00DE5D24">
      <w:pPr>
        <w:jc w:val="center"/>
        <w:rPr>
          <w:rFonts w:cs="Times New Roman"/>
          <w:sz w:val="12"/>
          <w:szCs w:val="28"/>
        </w:rPr>
      </w:pPr>
    </w:p>
    <w:tbl>
      <w:tblPr>
        <w:tblStyle w:val="TableGrid"/>
        <w:tblW w:w="10207" w:type="dxa"/>
        <w:tblInd w:w="-176" w:type="dxa"/>
        <w:tblLayout w:type="fixed"/>
        <w:tblLook w:val="04A0"/>
      </w:tblPr>
      <w:tblGrid>
        <w:gridCol w:w="1702"/>
        <w:gridCol w:w="2410"/>
        <w:gridCol w:w="6095"/>
      </w:tblGrid>
      <w:tr w:rsidR="00DE5D24" w:rsidRPr="000B7433" w:rsidTr="00AB775E">
        <w:trPr>
          <w:trHeight w:val="431"/>
          <w:tblHeader/>
        </w:trPr>
        <w:tc>
          <w:tcPr>
            <w:tcW w:w="1702" w:type="dxa"/>
            <w:shd w:val="clear" w:color="auto" w:fill="D9D9D9" w:themeFill="background1" w:themeFillShade="D9"/>
            <w:vAlign w:val="center"/>
          </w:tcPr>
          <w:p w:rsidR="00DE5D24" w:rsidRPr="000B7433" w:rsidRDefault="00DE5D24" w:rsidP="000B7433">
            <w:pPr>
              <w:spacing w:before="40" w:after="40"/>
              <w:jc w:val="center"/>
              <w:rPr>
                <w:rFonts w:eastAsiaTheme="majorEastAsia" w:cstheme="majorBidi"/>
                <w:b/>
                <w:bCs/>
                <w:sz w:val="24"/>
              </w:rPr>
            </w:pPr>
            <w:r w:rsidRPr="000B7433">
              <w:rPr>
                <w:rFonts w:eastAsiaTheme="majorEastAsia" w:cstheme="majorBidi"/>
                <w:b/>
                <w:bCs/>
                <w:sz w:val="24"/>
              </w:rPr>
              <w:t>Nozare</w:t>
            </w:r>
          </w:p>
        </w:tc>
        <w:tc>
          <w:tcPr>
            <w:tcW w:w="2410" w:type="dxa"/>
            <w:shd w:val="clear" w:color="auto" w:fill="D9D9D9" w:themeFill="background1" w:themeFillShade="D9"/>
            <w:vAlign w:val="center"/>
          </w:tcPr>
          <w:p w:rsidR="00DE5D24" w:rsidRPr="000B7433" w:rsidRDefault="00DE5D24" w:rsidP="000B7433">
            <w:pPr>
              <w:spacing w:before="40" w:after="40"/>
              <w:jc w:val="center"/>
              <w:rPr>
                <w:rFonts w:eastAsiaTheme="majorEastAsia" w:cstheme="majorBidi"/>
                <w:b/>
                <w:bCs/>
                <w:sz w:val="24"/>
              </w:rPr>
            </w:pPr>
            <w:r w:rsidRPr="000B7433">
              <w:rPr>
                <w:rFonts w:eastAsiaTheme="majorEastAsia" w:cstheme="majorBidi"/>
                <w:b/>
                <w:bCs/>
                <w:sz w:val="24"/>
              </w:rPr>
              <w:t xml:space="preserve">Klasifikācija pēc </w:t>
            </w:r>
            <w:r w:rsidRPr="000B7433">
              <w:rPr>
                <w:rFonts w:eastAsiaTheme="majorEastAsia" w:cstheme="majorBidi"/>
                <w:b/>
                <w:bCs/>
                <w:sz w:val="24"/>
              </w:rPr>
              <w:br/>
              <w:t xml:space="preserve">NACE </w:t>
            </w:r>
            <w:r w:rsidR="00361C14" w:rsidRPr="000B7433">
              <w:rPr>
                <w:rFonts w:eastAsiaTheme="majorEastAsia" w:cstheme="majorBidi"/>
                <w:b/>
                <w:bCs/>
                <w:sz w:val="24"/>
              </w:rPr>
              <w:t>2</w:t>
            </w:r>
            <w:r w:rsidRPr="000B7433">
              <w:rPr>
                <w:rFonts w:eastAsiaTheme="majorEastAsia" w:cstheme="majorBidi"/>
                <w:b/>
                <w:bCs/>
                <w:sz w:val="24"/>
              </w:rPr>
              <w:t>.red</w:t>
            </w:r>
            <w:r w:rsidR="00DA2484" w:rsidRPr="000B7433">
              <w:rPr>
                <w:rFonts w:eastAsiaTheme="majorEastAsia" w:cstheme="majorBidi"/>
                <w:b/>
                <w:bCs/>
                <w:sz w:val="24"/>
              </w:rPr>
              <w:t>.</w:t>
            </w:r>
          </w:p>
        </w:tc>
        <w:tc>
          <w:tcPr>
            <w:tcW w:w="6095" w:type="dxa"/>
            <w:shd w:val="clear" w:color="auto" w:fill="D9D9D9" w:themeFill="background1" w:themeFillShade="D9"/>
            <w:vAlign w:val="center"/>
          </w:tcPr>
          <w:p w:rsidR="00DE5D24" w:rsidRPr="000B7433" w:rsidRDefault="00DE5D24" w:rsidP="000B7433">
            <w:pPr>
              <w:spacing w:before="40" w:after="40"/>
              <w:jc w:val="center"/>
              <w:rPr>
                <w:rFonts w:eastAsiaTheme="majorEastAsia" w:cstheme="majorBidi"/>
                <w:b/>
                <w:bCs/>
                <w:sz w:val="24"/>
              </w:rPr>
            </w:pPr>
            <w:r w:rsidRPr="000B7433">
              <w:rPr>
                <w:rFonts w:eastAsiaTheme="majorEastAsia" w:cstheme="majorBidi"/>
                <w:b/>
                <w:bCs/>
                <w:sz w:val="24"/>
              </w:rPr>
              <w:t>Pamatojums</w:t>
            </w:r>
          </w:p>
        </w:tc>
      </w:tr>
      <w:tr w:rsidR="000F0D78" w:rsidRPr="000B7433" w:rsidTr="0098102F">
        <w:tc>
          <w:tcPr>
            <w:tcW w:w="10207" w:type="dxa"/>
            <w:gridSpan w:val="3"/>
          </w:tcPr>
          <w:p w:rsidR="000F0D78" w:rsidRPr="000B7433" w:rsidRDefault="00772545" w:rsidP="000B7433">
            <w:pPr>
              <w:spacing w:before="40" w:after="40"/>
              <w:rPr>
                <w:rFonts w:eastAsiaTheme="majorEastAsia" w:cstheme="majorBidi"/>
                <w:b/>
                <w:bCs/>
                <w:sz w:val="24"/>
              </w:rPr>
            </w:pPr>
            <w:r w:rsidRPr="000B7433">
              <w:rPr>
                <w:rFonts w:cs="Times New Roman"/>
                <w:b/>
                <w:sz w:val="24"/>
              </w:rPr>
              <w:t xml:space="preserve">Apstrādes rūpniecības nozares ar </w:t>
            </w:r>
            <w:r w:rsidR="000F0D78" w:rsidRPr="000B7433">
              <w:rPr>
                <w:rFonts w:cs="Times New Roman"/>
                <w:b/>
                <w:sz w:val="24"/>
              </w:rPr>
              <w:t xml:space="preserve">vislielāko ieguldījumu izaugsmē </w:t>
            </w:r>
            <w:r w:rsidR="00EF7A10" w:rsidRPr="000B7433">
              <w:rPr>
                <w:rFonts w:cs="Times New Roman"/>
                <w:b/>
                <w:sz w:val="24"/>
              </w:rPr>
              <w:t>vidēja termiņa periodā</w:t>
            </w:r>
            <w:r w:rsidR="000F0D78" w:rsidRPr="000B7433">
              <w:rPr>
                <w:rFonts w:cs="Times New Roman"/>
                <w:b/>
                <w:sz w:val="24"/>
              </w:rPr>
              <w:t>.</w:t>
            </w:r>
          </w:p>
        </w:tc>
      </w:tr>
      <w:tr w:rsidR="00DE5D24" w:rsidRPr="000B7433" w:rsidTr="00AB775E">
        <w:tc>
          <w:tcPr>
            <w:tcW w:w="1702" w:type="dxa"/>
          </w:tcPr>
          <w:p w:rsidR="00DE5D24" w:rsidRPr="000B7433" w:rsidRDefault="00DE5D24" w:rsidP="000B7433">
            <w:pPr>
              <w:spacing w:before="40" w:after="40"/>
              <w:rPr>
                <w:rFonts w:eastAsiaTheme="majorEastAsia" w:cs="Times New Roman"/>
                <w:b/>
                <w:bCs/>
                <w:sz w:val="24"/>
              </w:rPr>
            </w:pPr>
            <w:r w:rsidRPr="000B7433">
              <w:rPr>
                <w:rFonts w:eastAsiaTheme="majorEastAsia" w:cs="Times New Roman"/>
                <w:b/>
                <w:bCs/>
                <w:sz w:val="24"/>
              </w:rPr>
              <w:t>Pārtikas rūpniecība</w:t>
            </w:r>
          </w:p>
        </w:tc>
        <w:tc>
          <w:tcPr>
            <w:tcW w:w="2410" w:type="dxa"/>
          </w:tcPr>
          <w:p w:rsidR="00237E54" w:rsidRPr="000B7433" w:rsidRDefault="00DE5D24" w:rsidP="000B7433">
            <w:pPr>
              <w:spacing w:before="40" w:after="40"/>
              <w:rPr>
                <w:rFonts w:eastAsiaTheme="majorEastAsia" w:cs="Times New Roman"/>
                <w:bCs/>
                <w:sz w:val="24"/>
              </w:rPr>
            </w:pPr>
            <w:r w:rsidRPr="000B7433">
              <w:rPr>
                <w:rFonts w:eastAsiaTheme="majorEastAsia" w:cs="Times New Roman"/>
                <w:bCs/>
                <w:sz w:val="24"/>
              </w:rPr>
              <w:t xml:space="preserve">Pārtikas produktu un dzērienu ražošana </w:t>
            </w:r>
          </w:p>
          <w:p w:rsidR="00DE5D24" w:rsidRPr="000B7433" w:rsidRDefault="00DE5D24" w:rsidP="000B7433">
            <w:pPr>
              <w:spacing w:before="40" w:after="40"/>
              <w:rPr>
                <w:rFonts w:eastAsiaTheme="majorEastAsia" w:cs="Times New Roman"/>
                <w:b/>
                <w:bCs/>
                <w:sz w:val="24"/>
              </w:rPr>
            </w:pPr>
            <w:r w:rsidRPr="000B7433">
              <w:rPr>
                <w:rFonts w:eastAsiaTheme="majorEastAsia" w:cs="Times New Roman"/>
                <w:bCs/>
                <w:sz w:val="24"/>
              </w:rPr>
              <w:t>(</w:t>
            </w:r>
            <w:r w:rsidR="00237E54" w:rsidRPr="000B7433">
              <w:rPr>
                <w:rFonts w:eastAsiaTheme="majorEastAsia" w:cs="Times New Roman"/>
                <w:bCs/>
                <w:sz w:val="24"/>
              </w:rPr>
              <w:t>C10-11</w:t>
            </w:r>
            <w:r w:rsidRPr="000B7433">
              <w:rPr>
                <w:rFonts w:eastAsiaTheme="majorEastAsia" w:cs="Times New Roman"/>
                <w:bCs/>
                <w:sz w:val="24"/>
              </w:rPr>
              <w:t>)</w:t>
            </w:r>
          </w:p>
        </w:tc>
        <w:tc>
          <w:tcPr>
            <w:tcW w:w="6095" w:type="dxa"/>
          </w:tcPr>
          <w:p w:rsidR="00DE5D24" w:rsidRPr="000B7433" w:rsidRDefault="00CD1A26" w:rsidP="00E42475">
            <w:pPr>
              <w:spacing w:before="40" w:after="40"/>
              <w:rPr>
                <w:rFonts w:eastAsiaTheme="majorEastAsia" w:cstheme="majorBidi"/>
                <w:bCs/>
                <w:sz w:val="24"/>
              </w:rPr>
            </w:pPr>
            <w:r w:rsidRPr="000B7433">
              <w:rPr>
                <w:rFonts w:eastAsiaTheme="majorEastAsia" w:cstheme="majorBidi"/>
                <w:bCs/>
                <w:sz w:val="24"/>
              </w:rPr>
              <w:t xml:space="preserve">Pārtikas rūpniecība </w:t>
            </w:r>
            <w:r w:rsidR="00EF7A10" w:rsidRPr="000B7433">
              <w:rPr>
                <w:rFonts w:eastAsiaTheme="majorEastAsia" w:cstheme="majorBidi"/>
                <w:bCs/>
                <w:sz w:val="24"/>
              </w:rPr>
              <w:t>veido aptuveni 20% no visas apstrādes rūpniecības nozares</w:t>
            </w:r>
            <w:r w:rsidRPr="000B7433">
              <w:rPr>
                <w:rFonts w:eastAsiaTheme="majorEastAsia" w:cstheme="majorBidi"/>
                <w:bCs/>
                <w:sz w:val="24"/>
              </w:rPr>
              <w:t xml:space="preserve"> pievienotās vērtības. Nozares </w:t>
            </w:r>
            <w:r w:rsidR="00DE5D24" w:rsidRPr="000B7433">
              <w:rPr>
                <w:rFonts w:eastAsiaTheme="majorEastAsia" w:cstheme="majorBidi"/>
                <w:bCs/>
                <w:sz w:val="24"/>
              </w:rPr>
              <w:t>izaugsmes potenciāls balstās uz vietējā ražojuma</w:t>
            </w:r>
            <w:r w:rsidR="00156DFE">
              <w:rPr>
                <w:rFonts w:eastAsiaTheme="majorEastAsia" w:cstheme="majorBidi"/>
                <w:bCs/>
                <w:sz w:val="24"/>
              </w:rPr>
              <w:t xml:space="preserve"> </w:t>
            </w:r>
            <w:r w:rsidR="00DE5D24" w:rsidRPr="000B7433">
              <w:rPr>
                <w:rFonts w:eastAsiaTheme="majorEastAsia" w:cstheme="majorBidi"/>
                <w:bCs/>
                <w:sz w:val="24"/>
              </w:rPr>
              <w:t xml:space="preserve">pārtikas preču segmenta pieaugumu kopējā pārtikas preču tirgū Latvijā. Nozares konkurētspējas pieaugums nodrošinās vietējās produkcijas tirgus daļas pieaugumu, samazinot importa segmentu. Izaugsme šajā nozarē dod stimulu pieprasījuma pieaugumam </w:t>
            </w:r>
            <w:r w:rsidR="00EF7A10" w:rsidRPr="000B7433">
              <w:rPr>
                <w:rFonts w:eastAsiaTheme="majorEastAsia" w:cstheme="majorBidi"/>
                <w:bCs/>
                <w:sz w:val="24"/>
              </w:rPr>
              <w:t>gan lauksaimniecībai</w:t>
            </w:r>
            <w:r w:rsidR="0027016A" w:rsidRPr="000B7433">
              <w:rPr>
                <w:rFonts w:eastAsiaTheme="majorEastAsia" w:cstheme="majorBidi"/>
                <w:bCs/>
                <w:sz w:val="24"/>
              </w:rPr>
              <w:t xml:space="preserve"> – </w:t>
            </w:r>
            <w:r w:rsidR="00EF7A10" w:rsidRPr="000B7433">
              <w:rPr>
                <w:rFonts w:eastAsiaTheme="majorEastAsia" w:cstheme="majorBidi"/>
                <w:bCs/>
                <w:sz w:val="24"/>
              </w:rPr>
              <w:t>galvena</w:t>
            </w:r>
            <w:r w:rsidR="0027016A" w:rsidRPr="000B7433">
              <w:rPr>
                <w:rFonts w:eastAsiaTheme="majorEastAsia" w:cstheme="majorBidi"/>
                <w:bCs/>
                <w:sz w:val="24"/>
              </w:rPr>
              <w:t>jai</w:t>
            </w:r>
            <w:r w:rsidR="00EF7A10" w:rsidRPr="000B7433">
              <w:rPr>
                <w:rFonts w:eastAsiaTheme="majorEastAsia" w:cstheme="majorBidi"/>
                <w:bCs/>
                <w:sz w:val="24"/>
              </w:rPr>
              <w:t xml:space="preserve"> izejvielu </w:t>
            </w:r>
            <w:r w:rsidR="0027016A" w:rsidRPr="000B7433">
              <w:rPr>
                <w:rFonts w:eastAsiaTheme="majorEastAsia" w:cstheme="majorBidi"/>
                <w:bCs/>
                <w:sz w:val="24"/>
              </w:rPr>
              <w:t xml:space="preserve">piegādātājai, gan </w:t>
            </w:r>
            <w:r w:rsidR="00DE5D24" w:rsidRPr="000B7433">
              <w:rPr>
                <w:rFonts w:eastAsiaTheme="majorEastAsia" w:cstheme="majorBidi"/>
                <w:bCs/>
                <w:sz w:val="24"/>
              </w:rPr>
              <w:t>pakalpojumu nozar</w:t>
            </w:r>
            <w:r w:rsidR="0027016A" w:rsidRPr="000B7433">
              <w:rPr>
                <w:rFonts w:eastAsiaTheme="majorEastAsia" w:cstheme="majorBidi"/>
                <w:bCs/>
                <w:sz w:val="24"/>
              </w:rPr>
              <w:t>ēm</w:t>
            </w:r>
            <w:r w:rsidR="00DE5D24" w:rsidRPr="000B7433">
              <w:rPr>
                <w:rFonts w:eastAsiaTheme="majorEastAsia" w:cstheme="majorBidi"/>
                <w:bCs/>
                <w:sz w:val="24"/>
              </w:rPr>
              <w:t xml:space="preserve">. Pārtikas ražošanai </w:t>
            </w:r>
            <w:r w:rsidR="00EF7A10" w:rsidRPr="000B7433">
              <w:rPr>
                <w:rFonts w:eastAsiaTheme="majorEastAsia" w:cstheme="majorBidi"/>
                <w:bCs/>
                <w:sz w:val="24"/>
              </w:rPr>
              <w:t>vidēja termiņa periodā</w:t>
            </w:r>
            <w:r w:rsidR="00DE5D24" w:rsidRPr="000B7433">
              <w:rPr>
                <w:rFonts w:eastAsiaTheme="majorEastAsia" w:cstheme="majorBidi"/>
                <w:bCs/>
                <w:sz w:val="24"/>
              </w:rPr>
              <w:t xml:space="preserve"> sagaidāms vislielākais ieguldījums apstrādes rūpniecības kopējās pievienotās vērtības pieaugumā (23%) un </w:t>
            </w:r>
            <w:r w:rsidR="00EF7A10" w:rsidRPr="000B7433">
              <w:rPr>
                <w:rFonts w:eastAsiaTheme="majorEastAsia" w:cstheme="majorBidi"/>
                <w:bCs/>
                <w:sz w:val="24"/>
              </w:rPr>
              <w:t>viens no lielākajiem</w:t>
            </w:r>
            <w:r w:rsidR="00DE5D24" w:rsidRPr="000B7433">
              <w:rPr>
                <w:rFonts w:eastAsiaTheme="majorEastAsia" w:cstheme="majorBidi"/>
                <w:bCs/>
                <w:sz w:val="24"/>
              </w:rPr>
              <w:t xml:space="preserve"> ieguldījum</w:t>
            </w:r>
            <w:r w:rsidR="00EF7A10" w:rsidRPr="000B7433">
              <w:rPr>
                <w:rFonts w:eastAsiaTheme="majorEastAsia" w:cstheme="majorBidi"/>
                <w:bCs/>
                <w:sz w:val="24"/>
              </w:rPr>
              <w:t>iem</w:t>
            </w:r>
            <w:r w:rsidR="00DE5D24" w:rsidRPr="000B7433">
              <w:rPr>
                <w:rFonts w:eastAsiaTheme="majorEastAsia" w:cstheme="majorBidi"/>
                <w:bCs/>
                <w:sz w:val="24"/>
              </w:rPr>
              <w:t xml:space="preserve"> eksporta pieaugumā (</w:t>
            </w:r>
            <w:r w:rsidR="00EF7A10" w:rsidRPr="000B7433">
              <w:rPr>
                <w:rFonts w:eastAsiaTheme="majorEastAsia" w:cstheme="majorBidi"/>
                <w:bCs/>
                <w:sz w:val="24"/>
              </w:rPr>
              <w:t>18</w:t>
            </w:r>
            <w:r w:rsidR="00DE5D24" w:rsidRPr="000B7433">
              <w:rPr>
                <w:rFonts w:eastAsiaTheme="majorEastAsia" w:cstheme="majorBidi"/>
                <w:bCs/>
                <w:sz w:val="24"/>
              </w:rPr>
              <w:t>%).</w:t>
            </w:r>
          </w:p>
        </w:tc>
      </w:tr>
      <w:tr w:rsidR="00DE5D24" w:rsidRPr="000B7433" w:rsidTr="00AB775E">
        <w:tc>
          <w:tcPr>
            <w:tcW w:w="1702" w:type="dxa"/>
          </w:tcPr>
          <w:p w:rsidR="00DE5D24" w:rsidRPr="00AB775E" w:rsidRDefault="00DE5D24" w:rsidP="0006281D">
            <w:pPr>
              <w:spacing w:before="40" w:after="40"/>
              <w:rPr>
                <w:rFonts w:eastAsiaTheme="majorEastAsia" w:cs="Times New Roman"/>
                <w:b/>
                <w:bCs/>
                <w:spacing w:val="-10"/>
                <w:sz w:val="24"/>
              </w:rPr>
            </w:pPr>
            <w:r w:rsidRPr="00AB775E">
              <w:rPr>
                <w:rFonts w:eastAsiaTheme="majorEastAsia" w:cs="Times New Roman"/>
                <w:b/>
                <w:bCs/>
                <w:spacing w:val="-10"/>
                <w:sz w:val="24"/>
              </w:rPr>
              <w:t>Kok</w:t>
            </w:r>
            <w:r w:rsidR="0006281D" w:rsidRPr="00AB775E">
              <w:rPr>
                <w:rFonts w:eastAsiaTheme="majorEastAsia" w:cs="Times New Roman"/>
                <w:b/>
                <w:bCs/>
                <w:spacing w:val="-10"/>
                <w:sz w:val="24"/>
              </w:rPr>
              <w:t>rūpniecība</w:t>
            </w:r>
          </w:p>
        </w:tc>
        <w:tc>
          <w:tcPr>
            <w:tcW w:w="2410" w:type="dxa"/>
          </w:tcPr>
          <w:p w:rsidR="00237E54" w:rsidRPr="000B7433" w:rsidRDefault="00DE5D24" w:rsidP="000B7433">
            <w:pPr>
              <w:spacing w:before="40" w:after="40"/>
              <w:rPr>
                <w:rFonts w:cs="Times New Roman"/>
                <w:sz w:val="24"/>
              </w:rPr>
            </w:pPr>
            <w:r w:rsidRPr="000B7433">
              <w:rPr>
                <w:rFonts w:cs="Times New Roman"/>
                <w:sz w:val="24"/>
              </w:rPr>
              <w:t xml:space="preserve">Koksnes un koka izstrādājumu ražošana </w:t>
            </w:r>
          </w:p>
          <w:p w:rsidR="00DE5D24" w:rsidRPr="000B7433" w:rsidRDefault="00DE5D24" w:rsidP="000B7433">
            <w:pPr>
              <w:spacing w:before="40" w:after="40"/>
              <w:rPr>
                <w:rFonts w:eastAsiaTheme="majorEastAsia" w:cs="Times New Roman"/>
                <w:b/>
                <w:bCs/>
                <w:sz w:val="24"/>
              </w:rPr>
            </w:pPr>
            <w:r w:rsidRPr="000B7433">
              <w:rPr>
                <w:rFonts w:cs="Times New Roman"/>
                <w:sz w:val="24"/>
              </w:rPr>
              <w:t>(</w:t>
            </w:r>
            <w:r w:rsidR="00237E54" w:rsidRPr="000B7433">
              <w:rPr>
                <w:rFonts w:cs="Times New Roman"/>
                <w:sz w:val="24"/>
              </w:rPr>
              <w:t>C16</w:t>
            </w:r>
            <w:r w:rsidRPr="000B7433">
              <w:rPr>
                <w:rFonts w:cs="Times New Roman"/>
                <w:sz w:val="24"/>
              </w:rPr>
              <w:t>)</w:t>
            </w:r>
          </w:p>
        </w:tc>
        <w:tc>
          <w:tcPr>
            <w:tcW w:w="6095" w:type="dxa"/>
          </w:tcPr>
          <w:p w:rsidR="000B7433" w:rsidRPr="000B7433" w:rsidRDefault="00DE5D24" w:rsidP="0006281D">
            <w:pPr>
              <w:spacing w:before="40" w:after="40"/>
              <w:rPr>
                <w:rFonts w:eastAsiaTheme="majorEastAsia" w:cstheme="majorBidi"/>
                <w:bCs/>
                <w:sz w:val="24"/>
              </w:rPr>
            </w:pPr>
            <w:r w:rsidRPr="000B7433">
              <w:rPr>
                <w:rFonts w:eastAsiaTheme="majorEastAsia" w:cstheme="majorBidi"/>
                <w:bCs/>
                <w:sz w:val="24"/>
              </w:rPr>
              <w:t xml:space="preserve">Kokrūpniecības salīdzinošas priekšrocības ir vietējo resursu nodrošinājums un tai ir stabils eksporta tirgus. Izaugsme </w:t>
            </w:r>
            <w:r w:rsidR="005E0DB1" w:rsidRPr="000B7433">
              <w:rPr>
                <w:rFonts w:eastAsiaTheme="majorEastAsia" w:cstheme="majorBidi"/>
                <w:bCs/>
                <w:sz w:val="24"/>
              </w:rPr>
              <w:t>kok</w:t>
            </w:r>
            <w:r w:rsidR="0006281D">
              <w:rPr>
                <w:rFonts w:eastAsiaTheme="majorEastAsia" w:cstheme="majorBidi"/>
                <w:bCs/>
                <w:sz w:val="24"/>
              </w:rPr>
              <w:t xml:space="preserve">rūpniecībā </w:t>
            </w:r>
            <w:r w:rsidR="0027016A" w:rsidRPr="000B7433">
              <w:rPr>
                <w:rFonts w:eastAsiaTheme="majorEastAsia" w:cstheme="majorBidi"/>
                <w:bCs/>
                <w:sz w:val="24"/>
              </w:rPr>
              <w:t>veicina</w:t>
            </w:r>
            <w:r w:rsidRPr="000B7433">
              <w:rPr>
                <w:rFonts w:eastAsiaTheme="majorEastAsia" w:cstheme="majorBidi"/>
                <w:bCs/>
                <w:sz w:val="24"/>
              </w:rPr>
              <w:t xml:space="preserve"> pieprasījuma</w:t>
            </w:r>
            <w:r w:rsidR="0027016A" w:rsidRPr="000B7433">
              <w:rPr>
                <w:rFonts w:eastAsiaTheme="majorEastAsia" w:cstheme="majorBidi"/>
                <w:bCs/>
                <w:sz w:val="24"/>
              </w:rPr>
              <w:t xml:space="preserve"> pieaugumu gan mežsaimniecības nozarē – kā izejmateriālu piegādātājai, gan</w:t>
            </w:r>
            <w:r w:rsidRPr="000B7433">
              <w:rPr>
                <w:rFonts w:eastAsiaTheme="majorEastAsia" w:cstheme="majorBidi"/>
                <w:bCs/>
                <w:sz w:val="24"/>
              </w:rPr>
              <w:t xml:space="preserve"> pakalpojumu nozarēm</w:t>
            </w:r>
            <w:r w:rsidR="0027016A" w:rsidRPr="000B7433">
              <w:rPr>
                <w:rFonts w:eastAsiaTheme="majorEastAsia" w:cstheme="majorBidi"/>
                <w:bCs/>
                <w:sz w:val="24"/>
              </w:rPr>
              <w:t>, īpaši transportam</w:t>
            </w:r>
            <w:r w:rsidRPr="000B7433">
              <w:rPr>
                <w:rFonts w:eastAsiaTheme="majorEastAsia" w:cstheme="majorBidi"/>
                <w:bCs/>
                <w:sz w:val="24"/>
              </w:rPr>
              <w:t>. Kok</w:t>
            </w:r>
            <w:r w:rsidR="0006281D">
              <w:rPr>
                <w:rFonts w:eastAsiaTheme="majorEastAsia" w:cstheme="majorBidi"/>
                <w:bCs/>
                <w:sz w:val="24"/>
              </w:rPr>
              <w:t>rūpniecība</w:t>
            </w:r>
            <w:r w:rsidRPr="000B7433">
              <w:rPr>
                <w:rFonts w:eastAsiaTheme="majorEastAsia" w:cstheme="majorBidi"/>
                <w:bCs/>
                <w:sz w:val="24"/>
              </w:rPr>
              <w:t xml:space="preserve"> </w:t>
            </w:r>
            <w:r w:rsidR="0027016A" w:rsidRPr="000B7433">
              <w:rPr>
                <w:rFonts w:eastAsiaTheme="majorEastAsia" w:cstheme="majorBidi"/>
                <w:bCs/>
                <w:sz w:val="24"/>
              </w:rPr>
              <w:t>vidējā termiņā</w:t>
            </w:r>
            <w:r w:rsidR="003717D8" w:rsidRPr="000B7433">
              <w:rPr>
                <w:rFonts w:eastAsiaTheme="majorEastAsia" w:cstheme="majorBidi"/>
                <w:bCs/>
                <w:sz w:val="24"/>
              </w:rPr>
              <w:t xml:space="preserve"> veidos vairāk kā piektdaļu no kopējās pievienotās vērtības pieauguma apstrādes rūpniecībā </w:t>
            </w:r>
            <w:r w:rsidRPr="000B7433">
              <w:rPr>
                <w:rFonts w:eastAsiaTheme="majorEastAsia" w:cstheme="majorBidi"/>
                <w:bCs/>
                <w:sz w:val="24"/>
              </w:rPr>
              <w:t>un</w:t>
            </w:r>
            <w:r w:rsidR="003717D8" w:rsidRPr="000B7433">
              <w:rPr>
                <w:rFonts w:eastAsiaTheme="majorEastAsia" w:cstheme="majorBidi"/>
                <w:bCs/>
                <w:sz w:val="24"/>
              </w:rPr>
              <w:t xml:space="preserve"> dos vislielāko ieguldījumu apstrādes rūpniecības kopējā </w:t>
            </w:r>
            <w:r w:rsidR="000F0D78" w:rsidRPr="000B7433">
              <w:rPr>
                <w:rFonts w:eastAsiaTheme="majorEastAsia" w:cstheme="majorBidi"/>
                <w:bCs/>
                <w:sz w:val="24"/>
              </w:rPr>
              <w:t>eksporta pieaugumā (26%).</w:t>
            </w:r>
          </w:p>
        </w:tc>
      </w:tr>
      <w:tr w:rsidR="000F0D78" w:rsidRPr="000B7433" w:rsidTr="0098102F">
        <w:tc>
          <w:tcPr>
            <w:tcW w:w="10207" w:type="dxa"/>
            <w:gridSpan w:val="3"/>
          </w:tcPr>
          <w:p w:rsidR="000F0D78" w:rsidRPr="000B7433" w:rsidRDefault="000F0D78" w:rsidP="000B7433">
            <w:pPr>
              <w:spacing w:before="40" w:after="40"/>
              <w:rPr>
                <w:rFonts w:eastAsiaTheme="majorEastAsia" w:cstheme="majorBidi"/>
                <w:b/>
                <w:bCs/>
                <w:sz w:val="24"/>
              </w:rPr>
            </w:pPr>
            <w:r w:rsidRPr="000B7433">
              <w:rPr>
                <w:rFonts w:cs="Times New Roman"/>
                <w:b/>
                <w:sz w:val="24"/>
              </w:rPr>
              <w:t xml:space="preserve">Apstrādes rūpniecības nozares ar vidēji augstu un augstu pievienoto </w:t>
            </w:r>
            <w:r w:rsidR="005E0DB1" w:rsidRPr="000B7433">
              <w:rPr>
                <w:rFonts w:cs="Times New Roman"/>
                <w:b/>
                <w:sz w:val="24"/>
              </w:rPr>
              <w:t xml:space="preserve">vērtību un izaugsmes potenciālu </w:t>
            </w:r>
            <w:r w:rsidRPr="000B7433">
              <w:rPr>
                <w:rFonts w:cs="Times New Roman"/>
                <w:b/>
                <w:sz w:val="24"/>
              </w:rPr>
              <w:t>nākotnē.</w:t>
            </w:r>
          </w:p>
        </w:tc>
      </w:tr>
      <w:tr w:rsidR="00DE5D24" w:rsidRPr="000B7433" w:rsidTr="00AB775E">
        <w:tc>
          <w:tcPr>
            <w:tcW w:w="1702" w:type="dxa"/>
          </w:tcPr>
          <w:p w:rsidR="00DA2484" w:rsidRPr="000B7433" w:rsidRDefault="00DE5D24" w:rsidP="000B7433">
            <w:pPr>
              <w:spacing w:before="40" w:after="40"/>
              <w:rPr>
                <w:rFonts w:cs="Times New Roman"/>
                <w:b/>
                <w:sz w:val="24"/>
              </w:rPr>
            </w:pPr>
            <w:r w:rsidRPr="000B7433">
              <w:rPr>
                <w:rFonts w:cs="Times New Roman"/>
                <w:b/>
                <w:sz w:val="24"/>
              </w:rPr>
              <w:t xml:space="preserve">Ķīmiskā rūpniecība </w:t>
            </w:r>
          </w:p>
          <w:p w:rsidR="00DE5D24" w:rsidRPr="000B7433" w:rsidRDefault="00DE5D24" w:rsidP="000B7433">
            <w:pPr>
              <w:spacing w:before="40" w:after="40"/>
              <w:rPr>
                <w:rFonts w:eastAsiaTheme="majorEastAsia" w:cs="Times New Roman"/>
                <w:b/>
                <w:bCs/>
                <w:sz w:val="24"/>
              </w:rPr>
            </w:pPr>
            <w:r w:rsidRPr="000B7433">
              <w:rPr>
                <w:rFonts w:cs="Times New Roman"/>
                <w:b/>
                <w:sz w:val="24"/>
              </w:rPr>
              <w:t>un tās saskarnozares</w:t>
            </w:r>
          </w:p>
        </w:tc>
        <w:tc>
          <w:tcPr>
            <w:tcW w:w="2410" w:type="dxa"/>
          </w:tcPr>
          <w:p w:rsidR="00237E54" w:rsidRPr="000B7433" w:rsidRDefault="00237E54" w:rsidP="000B7433">
            <w:pPr>
              <w:spacing w:before="40" w:after="40"/>
              <w:rPr>
                <w:rFonts w:cs="Times New Roman"/>
                <w:sz w:val="24"/>
              </w:rPr>
            </w:pPr>
            <w:r w:rsidRPr="000B7433">
              <w:rPr>
                <w:rFonts w:cs="Times New Roman"/>
                <w:sz w:val="24"/>
              </w:rPr>
              <w:t xml:space="preserve">Ķīmisko vielu un produktu, farmaceitisko pamatvielu un preparātu, kā arī gumijas un plastmasas izstrādājumu ražošana </w:t>
            </w:r>
          </w:p>
          <w:p w:rsidR="00DE5D24" w:rsidRPr="000B7433" w:rsidRDefault="00237E54" w:rsidP="000B7433">
            <w:pPr>
              <w:spacing w:before="40" w:after="40"/>
              <w:rPr>
                <w:sz w:val="24"/>
              </w:rPr>
            </w:pPr>
            <w:r w:rsidRPr="000B7433">
              <w:rPr>
                <w:rFonts w:cs="Times New Roman"/>
                <w:sz w:val="24"/>
              </w:rPr>
              <w:t>(C20-22)</w:t>
            </w:r>
          </w:p>
        </w:tc>
        <w:tc>
          <w:tcPr>
            <w:tcW w:w="6095" w:type="dxa"/>
          </w:tcPr>
          <w:p w:rsidR="00DE5D24" w:rsidRPr="000B7433" w:rsidRDefault="00DE5D24" w:rsidP="00AB775E">
            <w:pPr>
              <w:spacing w:before="40" w:after="40"/>
              <w:rPr>
                <w:rFonts w:eastAsiaTheme="majorEastAsia" w:cstheme="majorBidi"/>
                <w:bCs/>
                <w:sz w:val="24"/>
              </w:rPr>
            </w:pPr>
            <w:r w:rsidRPr="000B7433">
              <w:rPr>
                <w:rFonts w:eastAsiaTheme="majorEastAsia" w:cstheme="majorBidi"/>
                <w:bCs/>
                <w:sz w:val="24"/>
              </w:rPr>
              <w:t xml:space="preserve">Ķīmiskai rūpniecībai ir augsts izaugsmes un eksporta potenciāls. Nozare nodarbina augsti kvalificētu darbaspēku un </w:t>
            </w:r>
            <w:r w:rsidR="009F15D2" w:rsidRPr="000B7433">
              <w:rPr>
                <w:rFonts w:eastAsiaTheme="majorEastAsia" w:cstheme="majorBidi"/>
                <w:bCs/>
                <w:sz w:val="24"/>
              </w:rPr>
              <w:t>tās produkcija</w:t>
            </w:r>
            <w:r w:rsidR="00CD1A26" w:rsidRPr="000B7433">
              <w:rPr>
                <w:rFonts w:eastAsiaTheme="majorEastAsia" w:cstheme="majorBidi"/>
                <w:bCs/>
                <w:sz w:val="24"/>
              </w:rPr>
              <w:t>i</w:t>
            </w:r>
            <w:r w:rsidR="009F15D2" w:rsidRPr="000B7433">
              <w:rPr>
                <w:rFonts w:eastAsiaTheme="majorEastAsia" w:cstheme="majorBidi"/>
                <w:bCs/>
                <w:sz w:val="24"/>
              </w:rPr>
              <w:t xml:space="preserve"> ir relatīvi </w:t>
            </w:r>
            <w:r w:rsidRPr="000B7433">
              <w:rPr>
                <w:rFonts w:eastAsiaTheme="majorEastAsia" w:cstheme="majorBidi"/>
                <w:bCs/>
                <w:sz w:val="24"/>
              </w:rPr>
              <w:t>augst</w:t>
            </w:r>
            <w:r w:rsidR="009F15D2" w:rsidRPr="000B7433">
              <w:rPr>
                <w:rFonts w:eastAsiaTheme="majorEastAsia" w:cstheme="majorBidi"/>
                <w:bCs/>
                <w:sz w:val="24"/>
              </w:rPr>
              <w:t>a</w:t>
            </w:r>
            <w:r w:rsidRPr="000B7433">
              <w:rPr>
                <w:rFonts w:eastAsiaTheme="majorEastAsia" w:cstheme="majorBidi"/>
                <w:bCs/>
                <w:sz w:val="24"/>
              </w:rPr>
              <w:t xml:space="preserve"> pievienot</w:t>
            </w:r>
            <w:r w:rsidR="009F15D2" w:rsidRPr="000B7433">
              <w:rPr>
                <w:rFonts w:eastAsiaTheme="majorEastAsia" w:cstheme="majorBidi"/>
                <w:bCs/>
                <w:sz w:val="24"/>
              </w:rPr>
              <w:t>ā</w:t>
            </w:r>
            <w:r w:rsidRPr="000B7433">
              <w:rPr>
                <w:rFonts w:eastAsiaTheme="majorEastAsia" w:cstheme="majorBidi"/>
                <w:bCs/>
                <w:sz w:val="24"/>
              </w:rPr>
              <w:t xml:space="preserve"> vērtīb</w:t>
            </w:r>
            <w:r w:rsidR="009F15D2" w:rsidRPr="000B7433">
              <w:rPr>
                <w:rFonts w:eastAsiaTheme="majorEastAsia" w:cstheme="majorBidi"/>
                <w:bCs/>
                <w:sz w:val="24"/>
              </w:rPr>
              <w:t>a.</w:t>
            </w:r>
            <w:r w:rsidRPr="000B7433">
              <w:rPr>
                <w:rFonts w:eastAsiaTheme="majorEastAsia" w:cstheme="majorBidi"/>
                <w:bCs/>
                <w:sz w:val="24"/>
              </w:rPr>
              <w:t xml:space="preserve"> </w:t>
            </w:r>
            <w:r w:rsidR="00CD1A26" w:rsidRPr="000B7433">
              <w:rPr>
                <w:rFonts w:eastAsiaTheme="majorEastAsia" w:cstheme="majorBidi"/>
                <w:bCs/>
                <w:sz w:val="24"/>
              </w:rPr>
              <w:t>Nozarei</w:t>
            </w:r>
            <w:r w:rsidRPr="000B7433">
              <w:rPr>
                <w:rFonts w:eastAsiaTheme="majorEastAsia" w:cstheme="majorBidi"/>
                <w:bCs/>
                <w:sz w:val="24"/>
              </w:rPr>
              <w:t xml:space="preserve"> </w:t>
            </w:r>
            <w:r w:rsidR="009F15D2" w:rsidRPr="000B7433">
              <w:rPr>
                <w:rFonts w:eastAsiaTheme="majorEastAsia" w:cstheme="majorBidi"/>
                <w:bCs/>
                <w:sz w:val="24"/>
              </w:rPr>
              <w:t xml:space="preserve">vidējā termiņā </w:t>
            </w:r>
            <w:r w:rsidRPr="000B7433">
              <w:rPr>
                <w:rFonts w:eastAsiaTheme="majorEastAsia" w:cstheme="majorBidi"/>
                <w:bCs/>
                <w:sz w:val="24"/>
              </w:rPr>
              <w:t>sagaidāms trešais lielākais ieguldījums apstrādes rūpniecības kopējās pievienotās vērtības pieaugumā (</w:t>
            </w:r>
            <w:r w:rsidR="009F15D2" w:rsidRPr="000B7433">
              <w:rPr>
                <w:rFonts w:eastAsiaTheme="majorEastAsia" w:cstheme="majorBidi"/>
                <w:bCs/>
                <w:sz w:val="24"/>
              </w:rPr>
              <w:t>12</w:t>
            </w:r>
            <w:r w:rsidRPr="000B7433">
              <w:rPr>
                <w:rFonts w:eastAsiaTheme="majorEastAsia" w:cstheme="majorBidi"/>
                <w:bCs/>
                <w:sz w:val="24"/>
              </w:rPr>
              <w:t>%).</w:t>
            </w:r>
            <w:r w:rsidR="00AB775E">
              <w:rPr>
                <w:rFonts w:eastAsiaTheme="majorEastAsia" w:cstheme="majorBidi"/>
                <w:bCs/>
                <w:sz w:val="24"/>
              </w:rPr>
              <w:t xml:space="preserve"> </w:t>
            </w:r>
            <w:r w:rsidR="009F15D2" w:rsidRPr="000B7433">
              <w:rPr>
                <w:rFonts w:eastAsiaTheme="majorEastAsia" w:cstheme="majorBidi"/>
                <w:bCs/>
                <w:sz w:val="24"/>
              </w:rPr>
              <w:t>Ilgtermiņā a</w:t>
            </w:r>
            <w:r w:rsidRPr="000B7433">
              <w:rPr>
                <w:rFonts w:eastAsiaTheme="majorEastAsia" w:cstheme="majorBidi"/>
                <w:bCs/>
                <w:sz w:val="24"/>
              </w:rPr>
              <w:t xml:space="preserve">rvien lielāku ieguldījumu dos tādas uz zināšanām balstītu nozares produktu ražošana kā </w:t>
            </w:r>
            <w:r w:rsidRPr="000B7433">
              <w:rPr>
                <w:sz w:val="24"/>
              </w:rPr>
              <w:t>farmaceitiskie preparāti</w:t>
            </w:r>
            <w:r w:rsidR="009F15D2" w:rsidRPr="000B7433">
              <w:rPr>
                <w:sz w:val="24"/>
              </w:rPr>
              <w:t xml:space="preserve">, </w:t>
            </w:r>
            <w:r w:rsidRPr="000B7433">
              <w:rPr>
                <w:sz w:val="24"/>
              </w:rPr>
              <w:t>organiskās ķīmijas pamatvielas u.tml.</w:t>
            </w:r>
          </w:p>
        </w:tc>
      </w:tr>
      <w:tr w:rsidR="00DE5D24" w:rsidRPr="000B7433" w:rsidTr="00AB775E">
        <w:tc>
          <w:tcPr>
            <w:tcW w:w="1702" w:type="dxa"/>
          </w:tcPr>
          <w:p w:rsidR="00DA2484" w:rsidRPr="000B7433" w:rsidRDefault="00DE5D24" w:rsidP="000B7433">
            <w:pPr>
              <w:spacing w:before="40" w:after="40"/>
              <w:rPr>
                <w:rFonts w:cs="Times New Roman"/>
                <w:b/>
                <w:sz w:val="24"/>
              </w:rPr>
            </w:pPr>
            <w:r w:rsidRPr="000B7433">
              <w:rPr>
                <w:rFonts w:cs="Times New Roman"/>
                <w:b/>
                <w:sz w:val="24"/>
              </w:rPr>
              <w:lastRenderedPageBreak/>
              <w:t xml:space="preserve">Elektrisko </w:t>
            </w:r>
          </w:p>
          <w:p w:rsidR="00DE5D24" w:rsidRPr="000B7433" w:rsidRDefault="00DE5D24" w:rsidP="000B7433">
            <w:pPr>
              <w:spacing w:before="40" w:after="40"/>
              <w:rPr>
                <w:rFonts w:eastAsiaTheme="majorEastAsia" w:cs="Times New Roman"/>
                <w:b/>
                <w:bCs/>
                <w:sz w:val="24"/>
              </w:rPr>
            </w:pPr>
            <w:r w:rsidRPr="000B7433">
              <w:rPr>
                <w:rFonts w:cs="Times New Roman"/>
                <w:b/>
                <w:sz w:val="24"/>
              </w:rPr>
              <w:t>un optisko iekārtu ražošana</w:t>
            </w:r>
          </w:p>
        </w:tc>
        <w:tc>
          <w:tcPr>
            <w:tcW w:w="2410" w:type="dxa"/>
          </w:tcPr>
          <w:p w:rsidR="00237E54" w:rsidRPr="000B7433" w:rsidRDefault="00237E54" w:rsidP="000B7433">
            <w:pPr>
              <w:spacing w:before="40" w:after="40"/>
              <w:rPr>
                <w:rFonts w:cs="Times New Roman"/>
                <w:sz w:val="24"/>
              </w:rPr>
            </w:pPr>
            <w:r w:rsidRPr="000B7433">
              <w:rPr>
                <w:rFonts w:cs="Times New Roman"/>
                <w:sz w:val="24"/>
              </w:rPr>
              <w:t xml:space="preserve">Datoru, elektronisko, </w:t>
            </w:r>
            <w:r w:rsidRPr="000B7433">
              <w:rPr>
                <w:rFonts w:eastAsia="Calibri" w:cs="Times New Roman"/>
                <w:sz w:val="24"/>
              </w:rPr>
              <w:t xml:space="preserve">optisko </w:t>
            </w:r>
            <w:r w:rsidRPr="000B7433">
              <w:rPr>
                <w:rFonts w:cs="Times New Roman"/>
                <w:sz w:val="24"/>
              </w:rPr>
              <w:t xml:space="preserve">un elektrisko </w:t>
            </w:r>
            <w:r w:rsidRPr="000B7433">
              <w:rPr>
                <w:rFonts w:eastAsia="Calibri" w:cs="Times New Roman"/>
                <w:sz w:val="24"/>
              </w:rPr>
              <w:t>iekārtu ražošana</w:t>
            </w:r>
            <w:r w:rsidRPr="000B7433">
              <w:rPr>
                <w:rFonts w:cs="Times New Roman"/>
                <w:sz w:val="24"/>
              </w:rPr>
              <w:t xml:space="preserve"> </w:t>
            </w:r>
          </w:p>
          <w:p w:rsidR="00DE5D24" w:rsidRPr="000B7433" w:rsidRDefault="00237E54" w:rsidP="000B7433">
            <w:pPr>
              <w:spacing w:before="40" w:after="40"/>
              <w:rPr>
                <w:rFonts w:eastAsiaTheme="majorEastAsia" w:cs="Times New Roman"/>
                <w:b/>
                <w:bCs/>
                <w:sz w:val="24"/>
              </w:rPr>
            </w:pPr>
            <w:r w:rsidRPr="000B7433">
              <w:rPr>
                <w:rFonts w:cs="Times New Roman"/>
                <w:sz w:val="24"/>
              </w:rPr>
              <w:t>(C26-27)</w:t>
            </w:r>
          </w:p>
        </w:tc>
        <w:tc>
          <w:tcPr>
            <w:tcW w:w="6095" w:type="dxa"/>
          </w:tcPr>
          <w:p w:rsidR="00DE5D24" w:rsidRPr="000B7433" w:rsidRDefault="00DE5D24" w:rsidP="000B7433">
            <w:pPr>
              <w:spacing w:before="40" w:after="40"/>
              <w:rPr>
                <w:rFonts w:eastAsiaTheme="majorEastAsia" w:cstheme="majorBidi"/>
                <w:bCs/>
                <w:sz w:val="24"/>
              </w:rPr>
            </w:pPr>
            <w:r w:rsidRPr="000B7433">
              <w:rPr>
                <w:rFonts w:cs="Times New Roman"/>
                <w:sz w:val="24"/>
              </w:rPr>
              <w:t>Elektrisko un optisko iekārtu ražošanai</w:t>
            </w:r>
            <w:r w:rsidRPr="000B7433">
              <w:rPr>
                <w:rFonts w:eastAsiaTheme="majorEastAsia" w:cstheme="majorBidi"/>
                <w:bCs/>
                <w:sz w:val="24"/>
              </w:rPr>
              <w:t xml:space="preserve"> ir augsts izaugsmes un eksporta potenciāls. Nozare nodarbina augsti kvalificētu darbaspēku un </w:t>
            </w:r>
            <w:r w:rsidR="00CD1A26" w:rsidRPr="000B7433">
              <w:rPr>
                <w:rFonts w:eastAsiaTheme="majorEastAsia" w:cstheme="majorBidi"/>
                <w:bCs/>
                <w:sz w:val="24"/>
              </w:rPr>
              <w:t>saražotajai produkcijai ir augsta pievienotā</w:t>
            </w:r>
            <w:r w:rsidRPr="000B7433">
              <w:rPr>
                <w:rFonts w:eastAsiaTheme="majorEastAsia" w:cstheme="majorBidi"/>
                <w:bCs/>
                <w:sz w:val="24"/>
              </w:rPr>
              <w:t xml:space="preserve"> vērtīb</w:t>
            </w:r>
            <w:r w:rsidR="00CD1A26" w:rsidRPr="000B7433">
              <w:rPr>
                <w:rFonts w:eastAsiaTheme="majorEastAsia" w:cstheme="majorBidi"/>
                <w:bCs/>
                <w:sz w:val="24"/>
              </w:rPr>
              <w:t xml:space="preserve">a. </w:t>
            </w:r>
            <w:r w:rsidRPr="000B7433">
              <w:rPr>
                <w:rFonts w:cs="Times New Roman"/>
                <w:sz w:val="24"/>
              </w:rPr>
              <w:t>Elektrisko un optisko iekārtu ražošana</w:t>
            </w:r>
            <w:r w:rsidRPr="000B7433">
              <w:rPr>
                <w:rFonts w:eastAsiaTheme="majorEastAsia" w:cstheme="majorBidi"/>
                <w:bCs/>
                <w:sz w:val="24"/>
              </w:rPr>
              <w:t xml:space="preserve">i </w:t>
            </w:r>
            <w:r w:rsidR="0098102F" w:rsidRPr="000B7433">
              <w:rPr>
                <w:rFonts w:eastAsiaTheme="majorEastAsia" w:cstheme="majorBidi"/>
                <w:bCs/>
                <w:sz w:val="24"/>
              </w:rPr>
              <w:t>vidējā termiņā</w:t>
            </w:r>
            <w:r w:rsidRPr="000B7433">
              <w:rPr>
                <w:rFonts w:eastAsiaTheme="majorEastAsia" w:cstheme="majorBidi"/>
                <w:bCs/>
                <w:sz w:val="24"/>
              </w:rPr>
              <w:t xml:space="preserve"> sagaidāms ceturtais lielākais ieguldījums apstrādes rūpniecības kopējās pievienotās vērtības pieaugumā (1</w:t>
            </w:r>
            <w:r w:rsidR="0098102F" w:rsidRPr="000B7433">
              <w:rPr>
                <w:rFonts w:eastAsiaTheme="majorEastAsia" w:cstheme="majorBidi"/>
                <w:bCs/>
                <w:sz w:val="24"/>
              </w:rPr>
              <w:t>1</w:t>
            </w:r>
            <w:r w:rsidRPr="000B7433">
              <w:rPr>
                <w:rFonts w:eastAsiaTheme="majorEastAsia" w:cstheme="majorBidi"/>
                <w:bCs/>
                <w:sz w:val="24"/>
              </w:rPr>
              <w:t>%).</w:t>
            </w:r>
          </w:p>
          <w:p w:rsidR="00DE5D24" w:rsidRPr="000B7433" w:rsidRDefault="00DE5D24" w:rsidP="000B7433">
            <w:pPr>
              <w:spacing w:before="40" w:after="40"/>
              <w:rPr>
                <w:rFonts w:eastAsiaTheme="majorEastAsia" w:cstheme="majorBidi"/>
                <w:bCs/>
                <w:sz w:val="24"/>
              </w:rPr>
            </w:pPr>
            <w:r w:rsidRPr="000B7433">
              <w:rPr>
                <w:rFonts w:eastAsiaTheme="majorEastAsia" w:cstheme="majorBidi"/>
                <w:bCs/>
                <w:sz w:val="24"/>
              </w:rPr>
              <w:t xml:space="preserve">Arvien lielāku ieguldījumu nākotnē dos tādas uz zināšanām balstītu nozares produktu ražošana kā </w:t>
            </w:r>
            <w:r w:rsidRPr="000B7433">
              <w:rPr>
                <w:sz w:val="24"/>
              </w:rPr>
              <w:t xml:space="preserve">medicīniskie un precīzijas instrumenti, </w:t>
            </w:r>
            <w:r w:rsidR="00EF1F2B" w:rsidRPr="000B7433">
              <w:rPr>
                <w:sz w:val="24"/>
              </w:rPr>
              <w:t>elektroniskās iekārtas</w:t>
            </w:r>
            <w:r w:rsidRPr="000B7433">
              <w:rPr>
                <w:sz w:val="24"/>
              </w:rPr>
              <w:t xml:space="preserve"> u.tml.</w:t>
            </w:r>
          </w:p>
        </w:tc>
      </w:tr>
      <w:tr w:rsidR="00361C14" w:rsidRPr="000B7433" w:rsidTr="00AB775E">
        <w:tc>
          <w:tcPr>
            <w:tcW w:w="1702" w:type="dxa"/>
          </w:tcPr>
          <w:p w:rsidR="00361C14" w:rsidRPr="000B7433" w:rsidRDefault="00EB401A" w:rsidP="00EB401A">
            <w:pPr>
              <w:spacing w:before="40" w:after="40"/>
              <w:rPr>
                <w:rFonts w:eastAsiaTheme="majorEastAsia" w:cs="Times New Roman"/>
                <w:b/>
                <w:bCs/>
                <w:sz w:val="24"/>
              </w:rPr>
            </w:pPr>
            <w:r>
              <w:rPr>
                <w:rFonts w:cs="Times New Roman"/>
                <w:b/>
                <w:sz w:val="24"/>
              </w:rPr>
              <w:t>M</w:t>
            </w:r>
            <w:r w:rsidRPr="000B7433">
              <w:rPr>
                <w:rFonts w:cs="Times New Roman"/>
                <w:b/>
                <w:sz w:val="24"/>
              </w:rPr>
              <w:t xml:space="preserve">ašīnbūve </w:t>
            </w:r>
            <w:r>
              <w:rPr>
                <w:rFonts w:cs="Times New Roman"/>
                <w:b/>
                <w:sz w:val="24"/>
              </w:rPr>
              <w:t>un m</w:t>
            </w:r>
            <w:r w:rsidR="00361C14" w:rsidRPr="000B7433">
              <w:rPr>
                <w:rFonts w:cs="Times New Roman"/>
                <w:b/>
                <w:sz w:val="24"/>
              </w:rPr>
              <w:t>etāl</w:t>
            </w:r>
            <w:r>
              <w:rPr>
                <w:rFonts w:cs="Times New Roman"/>
                <w:b/>
                <w:sz w:val="24"/>
              </w:rPr>
              <w:t>apstrāde</w:t>
            </w:r>
          </w:p>
        </w:tc>
        <w:tc>
          <w:tcPr>
            <w:tcW w:w="2410" w:type="dxa"/>
          </w:tcPr>
          <w:p w:rsidR="00237E54" w:rsidRPr="000B7433" w:rsidRDefault="00237E54" w:rsidP="000B7433">
            <w:pPr>
              <w:spacing w:before="40" w:after="40"/>
              <w:rPr>
                <w:rFonts w:cs="Times New Roman"/>
                <w:sz w:val="24"/>
              </w:rPr>
            </w:pPr>
            <w:r w:rsidRPr="000B7433">
              <w:rPr>
                <w:rFonts w:eastAsia="Calibri" w:cs="Times New Roman"/>
                <w:sz w:val="24"/>
              </w:rPr>
              <w:t xml:space="preserve">Metālu </w:t>
            </w:r>
            <w:r w:rsidRPr="000B7433">
              <w:rPr>
                <w:rFonts w:cs="Times New Roman"/>
                <w:sz w:val="24"/>
              </w:rPr>
              <w:t>un g</w:t>
            </w:r>
            <w:r w:rsidRPr="000B7433">
              <w:rPr>
                <w:rFonts w:eastAsia="Calibri" w:cs="Times New Roman"/>
                <w:sz w:val="24"/>
              </w:rPr>
              <w:t>atavo metālizstrādājumu</w:t>
            </w:r>
            <w:r w:rsidRPr="000B7433">
              <w:rPr>
                <w:rFonts w:cs="Times New Roman"/>
                <w:sz w:val="24"/>
              </w:rPr>
              <w:t xml:space="preserve">, </w:t>
            </w:r>
            <w:r w:rsidRPr="000B7433">
              <w:rPr>
                <w:rFonts w:eastAsia="Calibri" w:cs="Times New Roman"/>
                <w:sz w:val="24"/>
              </w:rPr>
              <w:t>iekārtu, mehānismu un darba mašīnu</w:t>
            </w:r>
            <w:r w:rsidR="00CD1A26" w:rsidRPr="000B7433">
              <w:rPr>
                <w:rFonts w:eastAsia="Calibri" w:cs="Times New Roman"/>
                <w:sz w:val="24"/>
              </w:rPr>
              <w:t>, kā arī transportlīdzekļu</w:t>
            </w:r>
            <w:r w:rsidRPr="000B7433">
              <w:rPr>
                <w:rFonts w:eastAsia="Calibri" w:cs="Times New Roman"/>
                <w:sz w:val="24"/>
              </w:rPr>
              <w:t xml:space="preserve"> ražošana</w:t>
            </w:r>
          </w:p>
          <w:p w:rsidR="00361C14" w:rsidRPr="000B7433" w:rsidRDefault="00237E54" w:rsidP="00E42475">
            <w:pPr>
              <w:spacing w:before="40" w:after="40"/>
              <w:rPr>
                <w:rFonts w:cs="Times New Roman"/>
                <w:sz w:val="24"/>
              </w:rPr>
            </w:pPr>
            <w:r w:rsidRPr="000B7433">
              <w:rPr>
                <w:rFonts w:cs="Times New Roman"/>
                <w:sz w:val="24"/>
              </w:rPr>
              <w:t>(C24-25; C28</w:t>
            </w:r>
            <w:r w:rsidR="00CD1A26" w:rsidRPr="000B7433">
              <w:rPr>
                <w:rFonts w:cs="Times New Roman"/>
                <w:sz w:val="24"/>
              </w:rPr>
              <w:t>-30</w:t>
            </w:r>
            <w:r w:rsidRPr="000B7433">
              <w:rPr>
                <w:rFonts w:cs="Times New Roman"/>
                <w:sz w:val="24"/>
              </w:rPr>
              <w:t>)</w:t>
            </w:r>
          </w:p>
        </w:tc>
        <w:tc>
          <w:tcPr>
            <w:tcW w:w="6095" w:type="dxa"/>
          </w:tcPr>
          <w:p w:rsidR="00361C14" w:rsidRPr="000B7433" w:rsidRDefault="008E378A" w:rsidP="00EB401A">
            <w:pPr>
              <w:spacing w:before="40" w:after="40"/>
              <w:rPr>
                <w:rFonts w:cs="Times New Roman"/>
                <w:sz w:val="24"/>
              </w:rPr>
            </w:pPr>
            <w:r w:rsidRPr="000B7433">
              <w:rPr>
                <w:rFonts w:cs="Times New Roman"/>
                <w:sz w:val="24"/>
              </w:rPr>
              <w:t>Metālu, metālu izstrādājumu</w:t>
            </w:r>
            <w:r w:rsidR="00CD1A26" w:rsidRPr="000B7433">
              <w:rPr>
                <w:rFonts w:cs="Times New Roman"/>
                <w:sz w:val="24"/>
              </w:rPr>
              <w:t xml:space="preserve">, </w:t>
            </w:r>
            <w:r w:rsidRPr="000B7433">
              <w:rPr>
                <w:rFonts w:cs="Times New Roman"/>
                <w:sz w:val="24"/>
              </w:rPr>
              <w:t>mašīnu</w:t>
            </w:r>
            <w:r w:rsidR="00CD1A26" w:rsidRPr="000B7433">
              <w:rPr>
                <w:rFonts w:cs="Times New Roman"/>
                <w:sz w:val="24"/>
              </w:rPr>
              <w:t>,</w:t>
            </w:r>
            <w:r w:rsidRPr="000B7433">
              <w:rPr>
                <w:rFonts w:cs="Times New Roman"/>
                <w:sz w:val="24"/>
              </w:rPr>
              <w:t xml:space="preserve"> iekārtu</w:t>
            </w:r>
            <w:r w:rsidR="00CD1A26" w:rsidRPr="000B7433">
              <w:rPr>
                <w:rFonts w:cs="Times New Roman"/>
                <w:sz w:val="24"/>
              </w:rPr>
              <w:t xml:space="preserve"> un transportlīdzekļu</w:t>
            </w:r>
            <w:r w:rsidRPr="000B7433">
              <w:rPr>
                <w:rFonts w:cs="Times New Roman"/>
                <w:sz w:val="24"/>
              </w:rPr>
              <w:t xml:space="preserve"> ražošanas nozarei ir plaši attīstīti ārējie ekonomiskie sakari.</w:t>
            </w:r>
            <w:r w:rsidR="00CD1A26" w:rsidRPr="000B7433">
              <w:rPr>
                <w:rFonts w:cs="Times New Roman"/>
                <w:sz w:val="24"/>
              </w:rPr>
              <w:t xml:space="preserve"> Produkcija tiek eksportēta uz vairāk kā 100 pasaules valstīm.</w:t>
            </w:r>
            <w:r w:rsidRPr="000B7433">
              <w:rPr>
                <w:rFonts w:cs="Times New Roman"/>
                <w:sz w:val="24"/>
              </w:rPr>
              <w:t xml:space="preserve"> </w:t>
            </w:r>
            <w:r w:rsidR="00EB401A">
              <w:rPr>
                <w:rFonts w:cs="Times New Roman"/>
                <w:sz w:val="24"/>
              </w:rPr>
              <w:t>M</w:t>
            </w:r>
            <w:r w:rsidRPr="000B7433">
              <w:rPr>
                <w:rFonts w:eastAsiaTheme="majorEastAsia" w:cstheme="majorBidi"/>
                <w:bCs/>
                <w:sz w:val="24"/>
              </w:rPr>
              <w:t>ašīnbūves</w:t>
            </w:r>
            <w:r w:rsidR="00EB401A">
              <w:rPr>
                <w:rFonts w:eastAsiaTheme="majorEastAsia" w:cstheme="majorBidi"/>
                <w:bCs/>
                <w:sz w:val="24"/>
              </w:rPr>
              <w:t xml:space="preserve"> un metālapstrādes</w:t>
            </w:r>
            <w:r w:rsidRPr="000B7433">
              <w:rPr>
                <w:rFonts w:eastAsiaTheme="majorEastAsia" w:cstheme="majorBidi"/>
                <w:bCs/>
                <w:sz w:val="24"/>
              </w:rPr>
              <w:t xml:space="preserve"> nozare vidējā termiņā veidos vairāk kā 10% no kopējās pievienotās vērtības pieauguma apstrādes rūpniecībā un dos lielu ieguldījumu apstrādes rūpniecības kopējā eksporta pieaugumā. Nozarei ir liels importa aizstāšanas potenciāls, jo saražotās iekārtas un izstrādājumus var ne tikai realizēt ārējos tirgos, bet arī izmantot vietējos uzņēmumos. Tādējādi nozarei ir liels pakārtotais efekts arī uz citu nozaru ražošanas attīstības potenciālu.</w:t>
            </w:r>
          </w:p>
        </w:tc>
      </w:tr>
    </w:tbl>
    <w:p w:rsidR="00EF34F1" w:rsidRDefault="00EF34F1" w:rsidP="00EF34F1">
      <w:pPr>
        <w:spacing w:after="120"/>
        <w:jc w:val="both"/>
        <w:rPr>
          <w:b/>
          <w:sz w:val="14"/>
          <w:szCs w:val="24"/>
        </w:rPr>
      </w:pPr>
    </w:p>
    <w:p w:rsidR="00D46AEA" w:rsidRPr="0088758F" w:rsidRDefault="00D46AEA" w:rsidP="00EF34F1">
      <w:pPr>
        <w:spacing w:after="120"/>
        <w:jc w:val="both"/>
        <w:rPr>
          <w:b/>
          <w:sz w:val="14"/>
          <w:szCs w:val="24"/>
        </w:rPr>
      </w:pPr>
    </w:p>
    <w:p w:rsidR="00DE5D24" w:rsidRDefault="00DE5D24" w:rsidP="00EF34F1">
      <w:pPr>
        <w:spacing w:after="120"/>
        <w:jc w:val="both"/>
        <w:rPr>
          <w:b/>
          <w:sz w:val="28"/>
          <w:szCs w:val="24"/>
        </w:rPr>
      </w:pPr>
      <w:r w:rsidRPr="0088758F">
        <w:rPr>
          <w:b/>
          <w:sz w:val="28"/>
          <w:szCs w:val="24"/>
        </w:rPr>
        <w:t>C. uz eksportu orientētas pakalpojumu nozares</w:t>
      </w:r>
    </w:p>
    <w:tbl>
      <w:tblPr>
        <w:tblStyle w:val="TableGrid"/>
        <w:tblW w:w="10207" w:type="dxa"/>
        <w:tblInd w:w="-176" w:type="dxa"/>
        <w:tblLayout w:type="fixed"/>
        <w:tblLook w:val="04A0"/>
      </w:tblPr>
      <w:tblGrid>
        <w:gridCol w:w="1702"/>
        <w:gridCol w:w="2410"/>
        <w:gridCol w:w="6095"/>
      </w:tblGrid>
      <w:tr w:rsidR="00DE5D24" w:rsidRPr="000B7433" w:rsidTr="00E42475">
        <w:trPr>
          <w:trHeight w:val="431"/>
          <w:tblHeader/>
        </w:trPr>
        <w:tc>
          <w:tcPr>
            <w:tcW w:w="1702" w:type="dxa"/>
            <w:shd w:val="clear" w:color="auto" w:fill="D9D9D9" w:themeFill="background1" w:themeFillShade="D9"/>
            <w:vAlign w:val="center"/>
          </w:tcPr>
          <w:p w:rsidR="00DE5D24" w:rsidRPr="000B7433" w:rsidRDefault="00DE5D24" w:rsidP="000B7433">
            <w:pPr>
              <w:spacing w:before="120" w:after="120"/>
              <w:jc w:val="center"/>
              <w:rPr>
                <w:rFonts w:eastAsiaTheme="majorEastAsia" w:cstheme="majorBidi"/>
                <w:b/>
                <w:bCs/>
                <w:sz w:val="24"/>
              </w:rPr>
            </w:pPr>
            <w:r w:rsidRPr="000B7433">
              <w:rPr>
                <w:rFonts w:eastAsiaTheme="majorEastAsia" w:cstheme="majorBidi"/>
                <w:b/>
                <w:bCs/>
                <w:sz w:val="24"/>
              </w:rPr>
              <w:t>Nozare</w:t>
            </w:r>
          </w:p>
        </w:tc>
        <w:tc>
          <w:tcPr>
            <w:tcW w:w="2410" w:type="dxa"/>
            <w:shd w:val="clear" w:color="auto" w:fill="D9D9D9" w:themeFill="background1" w:themeFillShade="D9"/>
            <w:vAlign w:val="center"/>
          </w:tcPr>
          <w:p w:rsidR="00DE5D24" w:rsidRPr="000B7433" w:rsidRDefault="00DE5D24" w:rsidP="000B7433">
            <w:pPr>
              <w:spacing w:before="120" w:after="120"/>
              <w:jc w:val="center"/>
              <w:rPr>
                <w:rFonts w:eastAsiaTheme="majorEastAsia" w:cstheme="majorBidi"/>
                <w:b/>
                <w:bCs/>
                <w:sz w:val="24"/>
              </w:rPr>
            </w:pPr>
            <w:r w:rsidRPr="000B7433">
              <w:rPr>
                <w:rFonts w:eastAsiaTheme="majorEastAsia" w:cstheme="majorBidi"/>
                <w:b/>
                <w:bCs/>
                <w:sz w:val="24"/>
              </w:rPr>
              <w:t xml:space="preserve">Klasifikācija pēc </w:t>
            </w:r>
            <w:r w:rsidRPr="000B7433">
              <w:rPr>
                <w:rFonts w:eastAsiaTheme="majorEastAsia" w:cstheme="majorBidi"/>
                <w:b/>
                <w:bCs/>
                <w:sz w:val="24"/>
              </w:rPr>
              <w:br/>
              <w:t xml:space="preserve">NACE </w:t>
            </w:r>
            <w:r w:rsidR="000B3BBA" w:rsidRPr="000B7433">
              <w:rPr>
                <w:rFonts w:eastAsiaTheme="majorEastAsia" w:cstheme="majorBidi"/>
                <w:b/>
                <w:bCs/>
                <w:sz w:val="24"/>
              </w:rPr>
              <w:t>2</w:t>
            </w:r>
            <w:r w:rsidRPr="000B7433">
              <w:rPr>
                <w:rFonts w:eastAsiaTheme="majorEastAsia" w:cstheme="majorBidi"/>
                <w:b/>
                <w:bCs/>
                <w:sz w:val="24"/>
              </w:rPr>
              <w:t>.red.</w:t>
            </w:r>
          </w:p>
        </w:tc>
        <w:tc>
          <w:tcPr>
            <w:tcW w:w="6095" w:type="dxa"/>
            <w:shd w:val="clear" w:color="auto" w:fill="D9D9D9" w:themeFill="background1" w:themeFillShade="D9"/>
            <w:vAlign w:val="center"/>
          </w:tcPr>
          <w:p w:rsidR="00DE5D24" w:rsidRPr="000B7433" w:rsidRDefault="00DE5D24" w:rsidP="000B7433">
            <w:pPr>
              <w:spacing w:before="120" w:after="120"/>
              <w:jc w:val="center"/>
              <w:rPr>
                <w:rFonts w:eastAsiaTheme="majorEastAsia" w:cstheme="majorBidi"/>
                <w:b/>
                <w:bCs/>
                <w:sz w:val="24"/>
              </w:rPr>
            </w:pPr>
            <w:r w:rsidRPr="000B7433">
              <w:rPr>
                <w:rFonts w:eastAsiaTheme="majorEastAsia" w:cstheme="majorBidi"/>
                <w:b/>
                <w:bCs/>
                <w:sz w:val="24"/>
              </w:rPr>
              <w:t>Pamatojums</w:t>
            </w:r>
          </w:p>
        </w:tc>
      </w:tr>
      <w:tr w:rsidR="00DE5D24" w:rsidRPr="000B7433" w:rsidTr="00E42475">
        <w:tc>
          <w:tcPr>
            <w:tcW w:w="1702" w:type="dxa"/>
          </w:tcPr>
          <w:p w:rsidR="00DE5D24" w:rsidRPr="000B7433" w:rsidRDefault="00DE5D24" w:rsidP="000B7433">
            <w:pPr>
              <w:spacing w:before="40" w:after="40" w:line="276" w:lineRule="auto"/>
              <w:rPr>
                <w:rFonts w:eastAsiaTheme="majorEastAsia" w:cs="Times New Roman"/>
                <w:b/>
                <w:bCs/>
                <w:sz w:val="24"/>
              </w:rPr>
            </w:pPr>
            <w:r w:rsidRPr="000B7433">
              <w:rPr>
                <w:rFonts w:eastAsiaTheme="majorEastAsia" w:cs="Times New Roman"/>
                <w:b/>
                <w:bCs/>
                <w:sz w:val="24"/>
              </w:rPr>
              <w:t>Transports</w:t>
            </w:r>
            <w:r w:rsidR="00361C14" w:rsidRPr="000B7433">
              <w:rPr>
                <w:rFonts w:eastAsiaTheme="majorEastAsia" w:cs="Times New Roman"/>
                <w:b/>
                <w:bCs/>
                <w:sz w:val="24"/>
              </w:rPr>
              <w:t xml:space="preserve"> un loģistika</w:t>
            </w:r>
          </w:p>
        </w:tc>
        <w:tc>
          <w:tcPr>
            <w:tcW w:w="2410" w:type="dxa"/>
          </w:tcPr>
          <w:p w:rsidR="00E42475" w:rsidRDefault="00BF1A68" w:rsidP="000B7433">
            <w:pPr>
              <w:spacing w:before="40" w:after="40"/>
              <w:rPr>
                <w:rFonts w:cs="Times New Roman"/>
                <w:sz w:val="24"/>
              </w:rPr>
            </w:pPr>
            <w:r w:rsidRPr="000B7433">
              <w:rPr>
                <w:rFonts w:cs="Times New Roman"/>
                <w:sz w:val="24"/>
              </w:rPr>
              <w:t xml:space="preserve">Sauszemes, ūdens un gaisa transports; cauruļvadu transports, kā arī uzglabāšanas un transporta palīgdarbības </w:t>
            </w:r>
          </w:p>
          <w:p w:rsidR="00BD4BD6" w:rsidRPr="000B7433" w:rsidRDefault="00BF1A68" w:rsidP="000B7433">
            <w:pPr>
              <w:spacing w:before="40" w:after="40"/>
              <w:rPr>
                <w:rFonts w:cs="Times New Roman"/>
                <w:sz w:val="24"/>
              </w:rPr>
            </w:pPr>
            <w:r w:rsidRPr="000B7433">
              <w:rPr>
                <w:rFonts w:cs="Times New Roman"/>
                <w:sz w:val="24"/>
              </w:rPr>
              <w:t>(H49-52)</w:t>
            </w:r>
          </w:p>
        </w:tc>
        <w:tc>
          <w:tcPr>
            <w:tcW w:w="6095" w:type="dxa"/>
          </w:tcPr>
          <w:p w:rsidR="00E51319" w:rsidRPr="000B7433" w:rsidRDefault="00EF1F2B" w:rsidP="000B7433">
            <w:pPr>
              <w:spacing w:before="40" w:after="40"/>
              <w:rPr>
                <w:rFonts w:cs="Times New Roman"/>
                <w:sz w:val="24"/>
              </w:rPr>
            </w:pPr>
            <w:r w:rsidRPr="000B7433">
              <w:rPr>
                <w:rFonts w:cs="Times New Roman"/>
                <w:sz w:val="24"/>
              </w:rPr>
              <w:t>Transports un loģistika ir eksportspējīga pakalpojumu nozare un p</w:t>
            </w:r>
            <w:r w:rsidR="00EF7A10" w:rsidRPr="000B7433">
              <w:rPr>
                <w:rFonts w:cs="Times New Roman"/>
                <w:sz w:val="24"/>
              </w:rPr>
              <w:t>asaules ekonomikas globalizācijas proces</w:t>
            </w:r>
            <w:r w:rsidRPr="000B7433">
              <w:rPr>
                <w:rFonts w:cs="Times New Roman"/>
                <w:sz w:val="24"/>
              </w:rPr>
              <w:t>os</w:t>
            </w:r>
            <w:r w:rsidR="00EF7A10" w:rsidRPr="000B7433">
              <w:rPr>
                <w:rFonts w:cs="Times New Roman"/>
                <w:sz w:val="24"/>
              </w:rPr>
              <w:t xml:space="preserve"> </w:t>
            </w:r>
            <w:r w:rsidR="00FC3AE3" w:rsidRPr="000B7433">
              <w:rPr>
                <w:rFonts w:cs="Times New Roman"/>
                <w:sz w:val="24"/>
              </w:rPr>
              <w:t xml:space="preserve">rodas </w:t>
            </w:r>
            <w:r w:rsidRPr="000B7433">
              <w:rPr>
                <w:rFonts w:cs="Times New Roman"/>
                <w:sz w:val="24"/>
              </w:rPr>
              <w:t xml:space="preserve">arvien lielāks pieprasījums </w:t>
            </w:r>
            <w:r w:rsidR="00EF7A10" w:rsidRPr="000B7433">
              <w:rPr>
                <w:rFonts w:cs="Times New Roman"/>
                <w:sz w:val="24"/>
              </w:rPr>
              <w:t>pēc</w:t>
            </w:r>
            <w:r w:rsidRPr="000B7433">
              <w:rPr>
                <w:rFonts w:cs="Times New Roman"/>
                <w:sz w:val="24"/>
              </w:rPr>
              <w:t xml:space="preserve"> nozares pakalpojumiem</w:t>
            </w:r>
            <w:r w:rsidR="00EF7A10" w:rsidRPr="000B7433">
              <w:rPr>
                <w:rFonts w:cs="Times New Roman"/>
                <w:sz w:val="24"/>
              </w:rPr>
              <w:t>.</w:t>
            </w:r>
            <w:r w:rsidRPr="000B7433">
              <w:rPr>
                <w:rFonts w:cs="Times New Roman"/>
                <w:sz w:val="24"/>
              </w:rPr>
              <w:t xml:space="preserve"> Latvijas ģeogrāfiskās priekšrocības dod iespēju sniegt transporta un loģistikas pakalpojumu īsā laikā</w:t>
            </w:r>
            <w:r w:rsidR="00FC3AE3" w:rsidRPr="000B7433">
              <w:rPr>
                <w:rFonts w:cs="Times New Roman"/>
                <w:sz w:val="24"/>
              </w:rPr>
              <w:t xml:space="preserve"> plašā teritorijā (Centrāleiropa</w:t>
            </w:r>
            <w:r w:rsidRPr="000B7433">
              <w:rPr>
                <w:rFonts w:cs="Times New Roman"/>
                <w:sz w:val="24"/>
              </w:rPr>
              <w:t>,</w:t>
            </w:r>
            <w:r w:rsidR="00FC3AE3" w:rsidRPr="000B7433">
              <w:rPr>
                <w:rFonts w:cs="Times New Roman"/>
                <w:sz w:val="24"/>
              </w:rPr>
              <w:t xml:space="preserve"> </w:t>
            </w:r>
            <w:r w:rsidRPr="000B7433">
              <w:rPr>
                <w:rFonts w:cs="Times New Roman"/>
                <w:sz w:val="24"/>
              </w:rPr>
              <w:t>S</w:t>
            </w:r>
            <w:r w:rsidR="00E51319" w:rsidRPr="000B7433">
              <w:rPr>
                <w:rFonts w:cs="Times New Roman"/>
                <w:sz w:val="24"/>
              </w:rPr>
              <w:t>k</w:t>
            </w:r>
            <w:r w:rsidRPr="000B7433">
              <w:rPr>
                <w:rFonts w:cs="Times New Roman"/>
                <w:sz w:val="24"/>
              </w:rPr>
              <w:t>andināvij</w:t>
            </w:r>
            <w:r w:rsidR="00FC3AE3" w:rsidRPr="000B7433">
              <w:rPr>
                <w:rFonts w:cs="Times New Roman"/>
                <w:sz w:val="24"/>
              </w:rPr>
              <w:t>a</w:t>
            </w:r>
            <w:r w:rsidRPr="000B7433">
              <w:rPr>
                <w:rFonts w:cs="Times New Roman"/>
                <w:sz w:val="24"/>
              </w:rPr>
              <w:t>, NVS valstīs</w:t>
            </w:r>
            <w:r w:rsidR="00FC3AE3" w:rsidRPr="000B7433">
              <w:rPr>
                <w:rFonts w:cs="Times New Roman"/>
                <w:sz w:val="24"/>
              </w:rPr>
              <w:t>)</w:t>
            </w:r>
            <w:r w:rsidRPr="000B7433">
              <w:rPr>
                <w:rFonts w:cs="Times New Roman"/>
                <w:sz w:val="24"/>
              </w:rPr>
              <w:t>, tādējādi aptverot</w:t>
            </w:r>
            <w:r w:rsidR="00156DFE">
              <w:rPr>
                <w:rFonts w:cs="Times New Roman"/>
                <w:sz w:val="24"/>
              </w:rPr>
              <w:t xml:space="preserve"> </w:t>
            </w:r>
            <w:r w:rsidR="00FC3AE3" w:rsidRPr="000B7433">
              <w:rPr>
                <w:rFonts w:cs="Times New Roman"/>
                <w:sz w:val="24"/>
              </w:rPr>
              <w:t xml:space="preserve">lielu </w:t>
            </w:r>
            <w:r w:rsidRPr="000B7433">
              <w:rPr>
                <w:rFonts w:cs="Times New Roman"/>
                <w:sz w:val="24"/>
              </w:rPr>
              <w:t>ti</w:t>
            </w:r>
            <w:r w:rsidR="00E51319" w:rsidRPr="000B7433">
              <w:rPr>
                <w:rFonts w:cs="Times New Roman"/>
                <w:sz w:val="24"/>
              </w:rPr>
              <w:t>r</w:t>
            </w:r>
            <w:r w:rsidRPr="000B7433">
              <w:rPr>
                <w:rFonts w:cs="Times New Roman"/>
                <w:sz w:val="24"/>
              </w:rPr>
              <w:t xml:space="preserve">gu. Latvijā ir </w:t>
            </w:r>
            <w:r w:rsidR="00E51319" w:rsidRPr="000B7433">
              <w:rPr>
                <w:rFonts w:cs="Times New Roman"/>
                <w:sz w:val="24"/>
              </w:rPr>
              <w:t>visi infrastruktūras priekšnosacījumi – ceļu tīkls, dzelzceļš, ostas, cauruļvadi.</w:t>
            </w:r>
            <w:r w:rsidR="00EC7766" w:rsidRPr="000B7433">
              <w:rPr>
                <w:rFonts w:cs="Times New Roman"/>
                <w:sz w:val="24"/>
              </w:rPr>
              <w:t xml:space="preserve"> Turpmākā transporta un loģistikas attīstība, īpaši tranzīta koridora paplašināšana un distribūcijas centru paplašināšana ir nozīmīga visas tautsaimniecības attīstībai nākotnē.</w:t>
            </w:r>
          </w:p>
        </w:tc>
      </w:tr>
      <w:tr w:rsidR="00DE5D24" w:rsidRPr="000B7433" w:rsidTr="00E42475">
        <w:tc>
          <w:tcPr>
            <w:tcW w:w="1702" w:type="dxa"/>
          </w:tcPr>
          <w:p w:rsidR="00DE5D24" w:rsidRPr="000B7433" w:rsidRDefault="00DE5D24" w:rsidP="000B7433">
            <w:pPr>
              <w:spacing w:before="40" w:after="40" w:line="276" w:lineRule="auto"/>
              <w:rPr>
                <w:rFonts w:eastAsiaTheme="majorEastAsia" w:cs="Times New Roman"/>
                <w:b/>
                <w:bCs/>
                <w:sz w:val="24"/>
              </w:rPr>
            </w:pPr>
            <w:r w:rsidRPr="000B7433">
              <w:rPr>
                <w:rFonts w:eastAsiaTheme="majorEastAsia" w:cs="Times New Roman"/>
                <w:b/>
                <w:bCs/>
                <w:sz w:val="24"/>
              </w:rPr>
              <w:t>Tūrisms</w:t>
            </w:r>
          </w:p>
        </w:tc>
        <w:tc>
          <w:tcPr>
            <w:tcW w:w="2410" w:type="dxa"/>
          </w:tcPr>
          <w:p w:rsidR="00BF1A68" w:rsidRPr="000B7433" w:rsidRDefault="00BF1A68" w:rsidP="000B7433">
            <w:pPr>
              <w:spacing w:before="40" w:after="40"/>
              <w:rPr>
                <w:rFonts w:cs="Times New Roman"/>
                <w:sz w:val="24"/>
              </w:rPr>
            </w:pPr>
            <w:r w:rsidRPr="000B7433">
              <w:rPr>
                <w:rFonts w:cs="Times New Roman"/>
                <w:sz w:val="24"/>
              </w:rPr>
              <w:t xml:space="preserve">Izmitināšana viesnīcās, </w:t>
            </w:r>
            <w:bookmarkStart w:id="21" w:name="62893"/>
            <w:bookmarkEnd w:id="21"/>
            <w:r w:rsidRPr="000B7433">
              <w:rPr>
                <w:rFonts w:cs="Times New Roman"/>
                <w:sz w:val="24"/>
              </w:rPr>
              <w:t>viesu mājās un cita veida īslaicīgas apmešanās vietās</w:t>
            </w:r>
            <w:r w:rsidR="003717D8" w:rsidRPr="000B7433">
              <w:rPr>
                <w:rFonts w:cs="Times New Roman"/>
                <w:sz w:val="24"/>
              </w:rPr>
              <w:t>; ceļojumu biroju un tūrisma operatoru pakalpojumi</w:t>
            </w:r>
          </w:p>
          <w:p w:rsidR="00430D84" w:rsidRPr="000B7433" w:rsidRDefault="00BF1A68" w:rsidP="000B7433">
            <w:pPr>
              <w:spacing w:before="40" w:after="40"/>
              <w:rPr>
                <w:rFonts w:cs="Times New Roman"/>
                <w:sz w:val="24"/>
              </w:rPr>
            </w:pPr>
            <w:r w:rsidRPr="000B7433">
              <w:rPr>
                <w:rFonts w:cs="Times New Roman"/>
                <w:sz w:val="24"/>
              </w:rPr>
              <w:t>(I55</w:t>
            </w:r>
            <w:r w:rsidR="003717D8" w:rsidRPr="000B7433">
              <w:rPr>
                <w:rFonts w:cs="Times New Roman"/>
                <w:sz w:val="24"/>
              </w:rPr>
              <w:t>; N79</w:t>
            </w:r>
            <w:r w:rsidRPr="000B7433">
              <w:rPr>
                <w:rFonts w:cs="Times New Roman"/>
                <w:sz w:val="24"/>
              </w:rPr>
              <w:t>)</w:t>
            </w:r>
          </w:p>
        </w:tc>
        <w:tc>
          <w:tcPr>
            <w:tcW w:w="6095" w:type="dxa"/>
          </w:tcPr>
          <w:p w:rsidR="00EC7766" w:rsidRPr="000B7433" w:rsidRDefault="00EC7766" w:rsidP="000B7433">
            <w:pPr>
              <w:spacing w:before="40" w:after="40"/>
              <w:rPr>
                <w:rFonts w:cs="Times New Roman"/>
                <w:sz w:val="24"/>
              </w:rPr>
            </w:pPr>
            <w:r w:rsidRPr="000B7433">
              <w:rPr>
                <w:rFonts w:cs="Times New Roman"/>
                <w:sz w:val="24"/>
              </w:rPr>
              <w:t>Tūrisms ir uz eksportu orientēta pakalpojumu nozare. Nozarei ir liels multiplikācijas efekts un nozares izaugsme dod pieprasījuma stimulu ēdināšanas, transporta, izklaides un tirdzniecības pakalpojumiem. Attīstot tūrisma infrastruktūru, kā arī veicinot tūrisma pakalpojumu dažādību tiks mazināta reģionālā nevienlīdzība. Nozarei ir arī sociālā loma vietējās kultūras un amatu attīstības veicināšanā, kā arī vides saglabāšanā un aizsardzībā.</w:t>
            </w:r>
          </w:p>
          <w:p w:rsidR="00430D84" w:rsidRPr="000B7433" w:rsidRDefault="00430D84" w:rsidP="000B7433">
            <w:pPr>
              <w:spacing w:before="40" w:after="40"/>
              <w:rPr>
                <w:rFonts w:cs="Times New Roman"/>
                <w:sz w:val="24"/>
              </w:rPr>
            </w:pPr>
          </w:p>
        </w:tc>
      </w:tr>
      <w:tr w:rsidR="00974FFD" w:rsidRPr="000B7433" w:rsidTr="00E42475">
        <w:tc>
          <w:tcPr>
            <w:tcW w:w="1702" w:type="dxa"/>
          </w:tcPr>
          <w:p w:rsidR="00974FFD" w:rsidRPr="000B7433" w:rsidRDefault="00974FFD" w:rsidP="000B7433">
            <w:pPr>
              <w:spacing w:before="40" w:after="40" w:line="276" w:lineRule="auto"/>
              <w:rPr>
                <w:rFonts w:eastAsiaTheme="majorEastAsia" w:cs="Times New Roman"/>
                <w:b/>
                <w:bCs/>
                <w:sz w:val="24"/>
              </w:rPr>
            </w:pPr>
            <w:r w:rsidRPr="000B7433">
              <w:rPr>
                <w:rFonts w:eastAsiaTheme="majorEastAsia" w:cs="Times New Roman"/>
                <w:b/>
                <w:bCs/>
                <w:sz w:val="24"/>
              </w:rPr>
              <w:lastRenderedPageBreak/>
              <w:t>Informācijas</w:t>
            </w:r>
            <w:r w:rsidR="0006281D">
              <w:rPr>
                <w:rFonts w:eastAsiaTheme="majorEastAsia" w:cs="Times New Roman"/>
                <w:b/>
                <w:bCs/>
                <w:sz w:val="24"/>
              </w:rPr>
              <w:t xml:space="preserve"> un komunikāciju</w:t>
            </w:r>
            <w:r w:rsidRPr="000B7433">
              <w:rPr>
                <w:rFonts w:eastAsiaTheme="majorEastAsia" w:cs="Times New Roman"/>
                <w:b/>
                <w:bCs/>
                <w:sz w:val="24"/>
              </w:rPr>
              <w:t xml:space="preserve"> tehnoloģijas</w:t>
            </w:r>
          </w:p>
        </w:tc>
        <w:tc>
          <w:tcPr>
            <w:tcW w:w="2410" w:type="dxa"/>
          </w:tcPr>
          <w:p w:rsidR="00974FFD" w:rsidRPr="000B7433" w:rsidRDefault="00BF1A68" w:rsidP="000B7433">
            <w:pPr>
              <w:spacing w:before="40" w:after="40"/>
              <w:rPr>
                <w:rFonts w:cs="Times New Roman"/>
                <w:sz w:val="24"/>
              </w:rPr>
            </w:pPr>
            <w:r w:rsidRPr="000B7433">
              <w:rPr>
                <w:rFonts w:cs="Times New Roman"/>
                <w:sz w:val="24"/>
              </w:rPr>
              <w:t>Datorprogrammēšana, konsultēšana un ar to saistītas darbības</w:t>
            </w:r>
          </w:p>
          <w:p w:rsidR="00BF1A68" w:rsidRPr="000B7433" w:rsidRDefault="00BF1A68" w:rsidP="000B7433">
            <w:pPr>
              <w:spacing w:before="40" w:after="40"/>
              <w:rPr>
                <w:rFonts w:eastAsiaTheme="majorEastAsia" w:cs="Times New Roman"/>
                <w:b/>
                <w:bCs/>
                <w:sz w:val="24"/>
              </w:rPr>
            </w:pPr>
            <w:r w:rsidRPr="000B7433">
              <w:rPr>
                <w:rFonts w:cs="Times New Roman"/>
                <w:sz w:val="24"/>
              </w:rPr>
              <w:t>(J</w:t>
            </w:r>
            <w:r w:rsidR="00AB775E">
              <w:rPr>
                <w:rFonts w:cs="Times New Roman"/>
                <w:sz w:val="24"/>
              </w:rPr>
              <w:t>61-</w:t>
            </w:r>
            <w:r w:rsidRPr="000B7433">
              <w:rPr>
                <w:rFonts w:cs="Times New Roman"/>
                <w:sz w:val="24"/>
              </w:rPr>
              <w:t>62)</w:t>
            </w:r>
          </w:p>
        </w:tc>
        <w:tc>
          <w:tcPr>
            <w:tcW w:w="6095" w:type="dxa"/>
          </w:tcPr>
          <w:p w:rsidR="00AB775E" w:rsidRPr="000B7433" w:rsidRDefault="00AB775E" w:rsidP="000B7433">
            <w:pPr>
              <w:spacing w:before="40" w:after="40"/>
              <w:rPr>
                <w:rFonts w:cs="Times New Roman"/>
                <w:sz w:val="24"/>
              </w:rPr>
            </w:pPr>
            <w:r w:rsidRPr="00AB775E">
              <w:rPr>
                <w:rFonts w:cs="Times New Roman"/>
                <w:sz w:val="24"/>
              </w:rPr>
              <w:t>Informācijas un komunikāciju tehnoloģijām ir augsts izaugsmes un eksporta potenciāls. Nozare nodarbina augsti kvalificētu darbaspēku un tās produkcijai ir augsta pievienotā vērtība. Nozares eksporta potenciāls pašreiz netiek pilnībā izmantots, turklāt nozares izaugsme saistāma arī ar kopējo tautsaimniecības attīstību, jo jaunāko IT un datu pārraides risinājumu pielietojums ir būtisks faktors darba ražīguma palielināšanā pārējās tautsaimniecības nozarēs.</w:t>
            </w:r>
          </w:p>
        </w:tc>
      </w:tr>
    </w:tbl>
    <w:p w:rsidR="00DE5D24" w:rsidRPr="0088758F" w:rsidRDefault="00DE5D24" w:rsidP="00140E32">
      <w:pPr>
        <w:ind w:firstLine="720"/>
        <w:jc w:val="both"/>
        <w:rPr>
          <w:rFonts w:eastAsiaTheme="majorEastAsia" w:cstheme="majorBidi"/>
          <w:bCs/>
          <w:sz w:val="28"/>
          <w:szCs w:val="28"/>
        </w:rPr>
      </w:pPr>
    </w:p>
    <w:p w:rsidR="000B7433" w:rsidRDefault="000B7433" w:rsidP="00EF1F2B">
      <w:pPr>
        <w:pStyle w:val="Heading3"/>
        <w:rPr>
          <w:rFonts w:cs="Times New Roman"/>
          <w:sz w:val="28"/>
          <w:szCs w:val="28"/>
        </w:rPr>
      </w:pPr>
    </w:p>
    <w:p w:rsidR="00D115EC" w:rsidRPr="0088758F" w:rsidRDefault="00D115EC" w:rsidP="00D115EC">
      <w:pPr>
        <w:pStyle w:val="Heading3"/>
        <w:rPr>
          <w:rFonts w:cs="Times New Roman"/>
          <w:sz w:val="28"/>
          <w:szCs w:val="28"/>
        </w:rPr>
      </w:pPr>
      <w:bookmarkStart w:id="22" w:name="_Toc242510367"/>
      <w:r>
        <w:rPr>
          <w:rFonts w:cs="Times New Roman"/>
          <w:sz w:val="28"/>
          <w:szCs w:val="28"/>
        </w:rPr>
        <w:t>3</w:t>
      </w:r>
      <w:r w:rsidRPr="0088758F">
        <w:rPr>
          <w:rFonts w:cs="Times New Roman"/>
          <w:sz w:val="28"/>
          <w:szCs w:val="28"/>
        </w:rPr>
        <w:t>.2. Prioritāro segmentu atbalsta virzieni</w:t>
      </w:r>
      <w:bookmarkEnd w:id="22"/>
      <w:r w:rsidRPr="0088758F">
        <w:rPr>
          <w:rFonts w:cs="Times New Roman"/>
          <w:sz w:val="28"/>
          <w:szCs w:val="28"/>
        </w:rPr>
        <w:t xml:space="preserve"> </w:t>
      </w:r>
    </w:p>
    <w:p w:rsidR="00D115EC" w:rsidRDefault="00D115EC" w:rsidP="00D115EC">
      <w:pPr>
        <w:pStyle w:val="EndnoteText"/>
        <w:ind w:firstLine="720"/>
        <w:jc w:val="both"/>
        <w:rPr>
          <w:sz w:val="12"/>
          <w:szCs w:val="12"/>
        </w:rPr>
      </w:pPr>
    </w:p>
    <w:p w:rsidR="00D115EC" w:rsidRPr="0088758F" w:rsidRDefault="00D115EC" w:rsidP="00D115EC">
      <w:pPr>
        <w:rPr>
          <w:rFonts w:cs="Times New Roman"/>
          <w:b/>
          <w:sz w:val="28"/>
          <w:u w:val="single"/>
        </w:rPr>
      </w:pPr>
      <w:r w:rsidRPr="0088758F">
        <w:rPr>
          <w:b/>
          <w:sz w:val="28"/>
          <w:u w:val="single"/>
        </w:rPr>
        <w:t xml:space="preserve">Nodokļu stimuli </w:t>
      </w:r>
    </w:p>
    <w:p w:rsidR="00D115EC" w:rsidRPr="0088758F" w:rsidRDefault="00D115EC" w:rsidP="00D115EC">
      <w:pPr>
        <w:pStyle w:val="ListParagraph"/>
        <w:numPr>
          <w:ilvl w:val="0"/>
          <w:numId w:val="7"/>
        </w:numPr>
        <w:ind w:left="426"/>
        <w:contextualSpacing w:val="0"/>
        <w:jc w:val="both"/>
        <w:rPr>
          <w:sz w:val="28"/>
          <w:szCs w:val="28"/>
        </w:rPr>
      </w:pPr>
      <w:r w:rsidRPr="0088758F">
        <w:rPr>
          <w:sz w:val="28"/>
          <w:szCs w:val="28"/>
        </w:rPr>
        <w:t>UIN atlaide lielajām investīcijām, kas veiktas noteiktā laika periodā. Ārvalstu investoru piesaistei, kā arī jaunu darba vietu radīšanai prioritārajos segmentos, tiks atjaunoti atvi</w:t>
      </w:r>
      <w:r>
        <w:rPr>
          <w:sz w:val="28"/>
          <w:szCs w:val="28"/>
        </w:rPr>
        <w:t>eglojumi lielajām investīcijām;</w:t>
      </w:r>
    </w:p>
    <w:p w:rsidR="00D115EC" w:rsidRPr="0088758F" w:rsidRDefault="00D115EC" w:rsidP="00D115EC">
      <w:pPr>
        <w:pStyle w:val="ListParagraph"/>
        <w:numPr>
          <w:ilvl w:val="0"/>
          <w:numId w:val="7"/>
        </w:numPr>
        <w:ind w:left="426"/>
        <w:contextualSpacing w:val="0"/>
        <w:jc w:val="both"/>
        <w:rPr>
          <w:sz w:val="28"/>
          <w:szCs w:val="28"/>
        </w:rPr>
      </w:pPr>
      <w:r w:rsidRPr="0088758F">
        <w:rPr>
          <w:sz w:val="28"/>
          <w:szCs w:val="28"/>
        </w:rPr>
        <w:t>apliekamā ienākuma samazināšana par visu investīciju l</w:t>
      </w:r>
      <w:r w:rsidR="00C12A78">
        <w:rPr>
          <w:sz w:val="28"/>
          <w:szCs w:val="28"/>
        </w:rPr>
        <w:t xml:space="preserve">ielumu tehnoloģiskajās iekārtās, lai </w:t>
      </w:r>
      <w:r w:rsidRPr="0088758F">
        <w:rPr>
          <w:sz w:val="28"/>
          <w:szCs w:val="28"/>
        </w:rPr>
        <w:t>prioritāros segmentus pārstāvošiem komersantiem būs iespēja palielināt investīciju apjomu, kas savukārt nodrošinās gan papildus peļņu</w:t>
      </w:r>
      <w:r w:rsidR="00C12A78">
        <w:rPr>
          <w:sz w:val="28"/>
          <w:szCs w:val="28"/>
        </w:rPr>
        <w:t xml:space="preserve"> uzņēmumiem</w:t>
      </w:r>
      <w:r w:rsidRPr="0088758F">
        <w:rPr>
          <w:sz w:val="28"/>
          <w:szCs w:val="28"/>
        </w:rPr>
        <w:t>, gan palielinās nodokļu ieņēmumus</w:t>
      </w:r>
      <w:r w:rsidR="00C12A78">
        <w:rPr>
          <w:sz w:val="28"/>
          <w:szCs w:val="28"/>
        </w:rPr>
        <w:t xml:space="preserve"> valsts budžetā</w:t>
      </w:r>
      <w:r w:rsidRPr="0088758F">
        <w:rPr>
          <w:sz w:val="28"/>
          <w:szCs w:val="28"/>
        </w:rPr>
        <w:t xml:space="preserve">. </w:t>
      </w:r>
    </w:p>
    <w:p w:rsidR="00D115EC" w:rsidRPr="0088758F" w:rsidRDefault="00D115EC" w:rsidP="00D115EC">
      <w:pPr>
        <w:ind w:left="1080"/>
        <w:jc w:val="both"/>
        <w:rPr>
          <w:sz w:val="12"/>
          <w:szCs w:val="28"/>
        </w:rPr>
      </w:pPr>
    </w:p>
    <w:p w:rsidR="00B66509" w:rsidRDefault="00B66509" w:rsidP="00B66509">
      <w:pPr>
        <w:rPr>
          <w:sz w:val="28"/>
          <w:szCs w:val="28"/>
        </w:rPr>
      </w:pPr>
      <w:r>
        <w:rPr>
          <w:sz w:val="28"/>
          <w:szCs w:val="28"/>
        </w:rPr>
        <w:t>Atbalsts pārtikas ražošanas nozares</w:t>
      </w:r>
      <w:r w:rsidRPr="00B55AAB">
        <w:rPr>
          <w:sz w:val="28"/>
          <w:szCs w:val="28"/>
        </w:rPr>
        <w:t xml:space="preserve"> attīstībai</w:t>
      </w:r>
      <w:r>
        <w:rPr>
          <w:sz w:val="28"/>
          <w:szCs w:val="28"/>
        </w:rPr>
        <w:t>:</w:t>
      </w:r>
    </w:p>
    <w:p w:rsidR="00B66509" w:rsidRPr="005A728F" w:rsidRDefault="00B66509" w:rsidP="00B66509">
      <w:pPr>
        <w:pStyle w:val="ListParagraph"/>
        <w:numPr>
          <w:ilvl w:val="0"/>
          <w:numId w:val="45"/>
        </w:numPr>
        <w:ind w:left="426"/>
        <w:contextualSpacing w:val="0"/>
        <w:jc w:val="both"/>
        <w:rPr>
          <w:sz w:val="28"/>
          <w:szCs w:val="28"/>
        </w:rPr>
      </w:pPr>
      <w:r>
        <w:rPr>
          <w:sz w:val="28"/>
          <w:szCs w:val="28"/>
        </w:rPr>
        <w:t>v</w:t>
      </w:r>
      <w:r w:rsidRPr="005A728F">
        <w:rPr>
          <w:sz w:val="28"/>
          <w:szCs w:val="28"/>
        </w:rPr>
        <w:t>eikt izmaiņas muitas eksporta procedūrās, atjaunot Latvijas izcelsmes preču eksportu caur Latvijas muitas noliktavām, lai muitas noliktavās varētu veikt ar PVN neapliekamus darījumus Latvijas izcelsmes precēm un Latvijas eksporta darījumi netiktu īstenoti caur Igaunijas vai Lietuvas muitas</w:t>
      </w:r>
      <w:r w:rsidR="00390C34">
        <w:rPr>
          <w:sz w:val="28"/>
          <w:szCs w:val="28"/>
        </w:rPr>
        <w:t xml:space="preserve"> noliktavām.</w:t>
      </w:r>
    </w:p>
    <w:p w:rsidR="00B66509" w:rsidRPr="00B66509" w:rsidRDefault="00B66509" w:rsidP="00D115EC">
      <w:pPr>
        <w:rPr>
          <w:sz w:val="22"/>
          <w:szCs w:val="28"/>
        </w:rPr>
      </w:pPr>
    </w:p>
    <w:p w:rsidR="00FC1194" w:rsidRPr="00B55AAB" w:rsidRDefault="00FC1194" w:rsidP="00FC1194">
      <w:pPr>
        <w:rPr>
          <w:sz w:val="28"/>
          <w:szCs w:val="28"/>
        </w:rPr>
      </w:pPr>
      <w:r w:rsidRPr="00B55AAB">
        <w:rPr>
          <w:sz w:val="28"/>
          <w:szCs w:val="28"/>
        </w:rPr>
        <w:t>Atbalsts kok</w:t>
      </w:r>
      <w:r>
        <w:rPr>
          <w:sz w:val="28"/>
          <w:szCs w:val="28"/>
        </w:rPr>
        <w:t>rūpniecības</w:t>
      </w:r>
      <w:r w:rsidRPr="00B55AAB">
        <w:rPr>
          <w:sz w:val="28"/>
          <w:szCs w:val="28"/>
        </w:rPr>
        <w:t xml:space="preserve"> attīstībai:</w:t>
      </w:r>
    </w:p>
    <w:p w:rsidR="00FC1194" w:rsidRPr="00B55AAB" w:rsidRDefault="00FC1194" w:rsidP="00FC1194">
      <w:pPr>
        <w:pStyle w:val="ListParagraph"/>
        <w:numPr>
          <w:ilvl w:val="0"/>
          <w:numId w:val="7"/>
        </w:numPr>
        <w:ind w:left="426"/>
        <w:contextualSpacing w:val="0"/>
        <w:jc w:val="both"/>
        <w:rPr>
          <w:sz w:val="28"/>
          <w:szCs w:val="28"/>
        </w:rPr>
      </w:pPr>
      <w:r w:rsidRPr="00B55AAB">
        <w:rPr>
          <w:sz w:val="28"/>
          <w:szCs w:val="28"/>
        </w:rPr>
        <w:t>saglabāt nosacījumus, ka IIN no ienākumiem kas gūti darījumos ar privātā īpašumā esošu augošu mežu un tajā sagatavoto kokmateriālu pārdošanu nav</w:t>
      </w:r>
      <w:r>
        <w:rPr>
          <w:sz w:val="28"/>
          <w:szCs w:val="28"/>
        </w:rPr>
        <w:t xml:space="preserve"> jāmaksā vismaz līdz 2014.gadam;</w:t>
      </w:r>
    </w:p>
    <w:p w:rsidR="00FC1194" w:rsidRPr="00FC1194" w:rsidRDefault="00FC1194" w:rsidP="00FC1194">
      <w:pPr>
        <w:pStyle w:val="ListParagraph"/>
        <w:numPr>
          <w:ilvl w:val="0"/>
          <w:numId w:val="7"/>
        </w:numPr>
        <w:ind w:left="426"/>
        <w:contextualSpacing w:val="0"/>
        <w:jc w:val="both"/>
        <w:rPr>
          <w:sz w:val="28"/>
          <w:szCs w:val="28"/>
        </w:rPr>
      </w:pPr>
      <w:r w:rsidRPr="00FC1194">
        <w:rPr>
          <w:sz w:val="28"/>
          <w:szCs w:val="28"/>
        </w:rPr>
        <w:t>saglabāt PVN reverso maksāšanas kārtību darījumos ar kokmateriāliem vismaz līdz 2014.gada 31.decembrim;</w:t>
      </w:r>
    </w:p>
    <w:p w:rsidR="00FC1194" w:rsidRPr="00FC1194" w:rsidRDefault="00FC1194" w:rsidP="00FC1194">
      <w:pPr>
        <w:pStyle w:val="ListParagraph"/>
        <w:numPr>
          <w:ilvl w:val="0"/>
          <w:numId w:val="7"/>
        </w:numPr>
        <w:ind w:left="426"/>
        <w:contextualSpacing w:val="0"/>
        <w:jc w:val="both"/>
        <w:rPr>
          <w:sz w:val="28"/>
          <w:szCs w:val="28"/>
        </w:rPr>
      </w:pPr>
      <w:r w:rsidRPr="00FC1194">
        <w:rPr>
          <w:sz w:val="28"/>
          <w:szCs w:val="28"/>
        </w:rPr>
        <w:t>piemērot akcīzes nodokļa atlaidi dīzeļdegvielai mežsaimnieciskajos darbos.</w:t>
      </w:r>
    </w:p>
    <w:p w:rsidR="00FC1194" w:rsidRPr="00987EE3" w:rsidRDefault="00FC1194" w:rsidP="00FC1194">
      <w:pPr>
        <w:jc w:val="both"/>
        <w:rPr>
          <w:rFonts w:cs="Times New Roman"/>
          <w:sz w:val="14"/>
          <w:szCs w:val="28"/>
        </w:rPr>
      </w:pPr>
    </w:p>
    <w:p w:rsidR="00FC1194" w:rsidRPr="0088758F" w:rsidRDefault="00FC1194" w:rsidP="00FC1194">
      <w:pPr>
        <w:jc w:val="both"/>
        <w:rPr>
          <w:rFonts w:cs="Times New Roman"/>
          <w:sz w:val="28"/>
          <w:szCs w:val="28"/>
        </w:rPr>
      </w:pPr>
      <w:r w:rsidRPr="0088758F">
        <w:rPr>
          <w:rFonts w:cs="Times New Roman"/>
          <w:sz w:val="28"/>
          <w:szCs w:val="28"/>
        </w:rPr>
        <w:t>Atbalsts transporta un loģistikas sektora attīstībai:</w:t>
      </w:r>
    </w:p>
    <w:p w:rsidR="00FC1194" w:rsidRPr="0088758F" w:rsidRDefault="00FC1194" w:rsidP="00FC1194">
      <w:pPr>
        <w:pStyle w:val="ListParagraph"/>
        <w:numPr>
          <w:ilvl w:val="0"/>
          <w:numId w:val="7"/>
        </w:numPr>
        <w:ind w:left="426"/>
        <w:contextualSpacing w:val="0"/>
        <w:jc w:val="both"/>
        <w:rPr>
          <w:sz w:val="28"/>
          <w:szCs w:val="28"/>
        </w:rPr>
      </w:pPr>
      <w:r>
        <w:rPr>
          <w:sz w:val="28"/>
          <w:szCs w:val="28"/>
        </w:rPr>
        <w:t xml:space="preserve">svītrot no likuma </w:t>
      </w:r>
      <w:r w:rsidRPr="00D5278A">
        <w:rPr>
          <w:i/>
          <w:sz w:val="28"/>
          <w:szCs w:val="28"/>
        </w:rPr>
        <w:t>Par pievienotās vērtības nodokli</w:t>
      </w:r>
      <w:r>
        <w:rPr>
          <w:sz w:val="28"/>
          <w:szCs w:val="28"/>
        </w:rPr>
        <w:t xml:space="preserve"> </w:t>
      </w:r>
      <w:r w:rsidRPr="0088758F">
        <w:rPr>
          <w:sz w:val="28"/>
          <w:szCs w:val="28"/>
        </w:rPr>
        <w:t>12. panta 2.3</w:t>
      </w:r>
      <w:r w:rsidR="00C12A78">
        <w:rPr>
          <w:sz w:val="28"/>
          <w:szCs w:val="28"/>
        </w:rPr>
        <w:t>.</w:t>
      </w:r>
      <w:r w:rsidRPr="0088758F">
        <w:rPr>
          <w:sz w:val="28"/>
          <w:szCs w:val="28"/>
        </w:rPr>
        <w:t>daļu, atdalot muitas galvojumu muitas parādam no muitas galvojuma PVN parādam;</w:t>
      </w:r>
    </w:p>
    <w:p w:rsidR="00FC1194" w:rsidRPr="00FC1194" w:rsidRDefault="00FC1194" w:rsidP="00FC1194">
      <w:pPr>
        <w:pStyle w:val="ListParagraph"/>
        <w:numPr>
          <w:ilvl w:val="0"/>
          <w:numId w:val="7"/>
        </w:numPr>
        <w:ind w:left="426"/>
        <w:contextualSpacing w:val="0"/>
        <w:jc w:val="both"/>
        <w:rPr>
          <w:sz w:val="28"/>
          <w:szCs w:val="28"/>
        </w:rPr>
      </w:pPr>
      <w:r w:rsidRPr="00FC1194">
        <w:rPr>
          <w:sz w:val="28"/>
          <w:szCs w:val="28"/>
        </w:rPr>
        <w:t xml:space="preserve">izdarīt grozījumus normatīvajos aktos, nosakot, ka distribūcijas centri ir tiesīgi piemērot PVN likmi 0% apmērā visām preču partijām gadījumos, kad prece uz citu ES dalībvalsti tiek pārdota, vēl atrodoties distribūcijas centrā, saskaņojot šos grozījumus ar </w:t>
      </w:r>
      <w:r w:rsidRPr="00C12A78">
        <w:rPr>
          <w:i/>
          <w:sz w:val="28"/>
          <w:szCs w:val="28"/>
        </w:rPr>
        <w:t>Padomes direktīvas 2006/112/EK</w:t>
      </w:r>
      <w:r w:rsidRPr="00FC1194">
        <w:rPr>
          <w:sz w:val="28"/>
          <w:szCs w:val="28"/>
        </w:rPr>
        <w:t xml:space="preserve"> prasībām;</w:t>
      </w:r>
    </w:p>
    <w:p w:rsidR="00FC1194" w:rsidRDefault="00FC1194" w:rsidP="00FC1194">
      <w:pPr>
        <w:pStyle w:val="ListParagraph"/>
        <w:numPr>
          <w:ilvl w:val="0"/>
          <w:numId w:val="7"/>
        </w:numPr>
        <w:ind w:left="426"/>
        <w:contextualSpacing w:val="0"/>
        <w:jc w:val="both"/>
        <w:rPr>
          <w:sz w:val="28"/>
          <w:szCs w:val="28"/>
        </w:rPr>
      </w:pPr>
      <w:r w:rsidRPr="00FC1194">
        <w:rPr>
          <w:sz w:val="28"/>
          <w:szCs w:val="28"/>
        </w:rPr>
        <w:lastRenderedPageBreak/>
        <w:t>ieviest fiskālās pārstāvības institūtu Latvijas tiesību sistēmā, vienlaikus veicinot distribūcijas centru veidošanos Latvijā, tādējādi veicinot tranzīta un loģistikas attīstību, uzlabojot citu valstu komersantu interešu pārstāvību trešajās valstīs caur Latvijas komersantiem</w:t>
      </w:r>
      <w:r>
        <w:rPr>
          <w:sz w:val="28"/>
          <w:szCs w:val="28"/>
        </w:rPr>
        <w:t>;</w:t>
      </w:r>
    </w:p>
    <w:p w:rsidR="00D115EC" w:rsidRPr="00D5278A" w:rsidRDefault="00D115EC" w:rsidP="00D115EC">
      <w:pPr>
        <w:pStyle w:val="ListParagraph"/>
        <w:numPr>
          <w:ilvl w:val="0"/>
          <w:numId w:val="7"/>
        </w:numPr>
        <w:ind w:left="426"/>
        <w:contextualSpacing w:val="0"/>
        <w:jc w:val="both"/>
        <w:rPr>
          <w:sz w:val="28"/>
          <w:szCs w:val="28"/>
        </w:rPr>
      </w:pPr>
      <w:r w:rsidRPr="00D5278A">
        <w:rPr>
          <w:sz w:val="28"/>
          <w:szCs w:val="28"/>
        </w:rPr>
        <w:t>uzsākt valsts finansēšanas līdzdalību dzelzceļa infrastruktūras uzturēšanā, ieviešot akcīzes nodokļa par degvielu kompensāciju par dzelzceļa pārvadājumos izmantoto degvielu;</w:t>
      </w:r>
    </w:p>
    <w:p w:rsidR="00D115EC" w:rsidRPr="00D5278A" w:rsidRDefault="00D115EC" w:rsidP="00D115EC">
      <w:pPr>
        <w:pStyle w:val="ListParagraph"/>
        <w:numPr>
          <w:ilvl w:val="0"/>
          <w:numId w:val="7"/>
        </w:numPr>
        <w:ind w:left="426"/>
        <w:contextualSpacing w:val="0"/>
        <w:jc w:val="both"/>
        <w:rPr>
          <w:sz w:val="28"/>
          <w:szCs w:val="28"/>
        </w:rPr>
      </w:pPr>
      <w:r w:rsidRPr="00D5278A">
        <w:rPr>
          <w:sz w:val="28"/>
          <w:szCs w:val="28"/>
        </w:rPr>
        <w:t xml:space="preserve">paātrināt likumprojekta </w:t>
      </w:r>
      <w:r w:rsidRPr="00D5278A">
        <w:rPr>
          <w:i/>
          <w:sz w:val="28"/>
          <w:szCs w:val="28"/>
        </w:rPr>
        <w:t>Grozījumi likumā „Par pievienotās vērtības nodokli</w:t>
      </w:r>
      <w:r w:rsidR="00D5278A">
        <w:rPr>
          <w:i/>
          <w:sz w:val="28"/>
          <w:szCs w:val="28"/>
        </w:rPr>
        <w:t>”</w:t>
      </w:r>
      <w:r w:rsidRPr="00D5278A">
        <w:rPr>
          <w:sz w:val="28"/>
          <w:szCs w:val="28"/>
        </w:rPr>
        <w:t xml:space="preserve"> pieņemšanu un spēkā stāšanos, ar kuru paredzēts ieviest atlikto nodokļa režīmu par preču importu.</w:t>
      </w:r>
    </w:p>
    <w:p w:rsidR="007667B9" w:rsidRPr="00B66509" w:rsidRDefault="007667B9" w:rsidP="007667B9">
      <w:pPr>
        <w:rPr>
          <w:sz w:val="14"/>
          <w:szCs w:val="28"/>
        </w:rPr>
      </w:pPr>
    </w:p>
    <w:p w:rsidR="007667B9" w:rsidRPr="00CE51CD" w:rsidRDefault="007667B9" w:rsidP="007667B9">
      <w:pPr>
        <w:rPr>
          <w:sz w:val="28"/>
          <w:szCs w:val="28"/>
        </w:rPr>
      </w:pPr>
      <w:r w:rsidRPr="00CE51CD">
        <w:rPr>
          <w:sz w:val="28"/>
          <w:szCs w:val="28"/>
        </w:rPr>
        <w:t xml:space="preserve">Atbalsts </w:t>
      </w:r>
      <w:r>
        <w:rPr>
          <w:sz w:val="28"/>
          <w:szCs w:val="28"/>
        </w:rPr>
        <w:t>tūrisma nozares attīstībai:</w:t>
      </w:r>
    </w:p>
    <w:p w:rsidR="007667B9" w:rsidRPr="007667B9" w:rsidRDefault="007667B9" w:rsidP="007667B9">
      <w:pPr>
        <w:pStyle w:val="ListParagraph"/>
        <w:numPr>
          <w:ilvl w:val="0"/>
          <w:numId w:val="43"/>
        </w:numPr>
        <w:ind w:left="426"/>
        <w:contextualSpacing w:val="0"/>
        <w:jc w:val="both"/>
        <w:rPr>
          <w:sz w:val="28"/>
          <w:szCs w:val="28"/>
        </w:rPr>
      </w:pPr>
      <w:r w:rsidRPr="007667B9">
        <w:rPr>
          <w:sz w:val="28"/>
          <w:szCs w:val="28"/>
        </w:rPr>
        <w:t>piemērot viesu izmitināšanas pakalpojumiem viesu izmitināšanas mītnēs un restorānu pakalp</w:t>
      </w:r>
      <w:r w:rsidR="00390C34">
        <w:rPr>
          <w:sz w:val="28"/>
          <w:szCs w:val="28"/>
        </w:rPr>
        <w:t>ojumiem samazināto PVN likmi.</w:t>
      </w:r>
    </w:p>
    <w:p w:rsidR="007667B9" w:rsidRPr="00B66509" w:rsidRDefault="007667B9" w:rsidP="00D115EC">
      <w:pPr>
        <w:rPr>
          <w:b/>
          <w:sz w:val="22"/>
          <w:u w:val="single"/>
        </w:rPr>
      </w:pPr>
    </w:p>
    <w:p w:rsidR="00D115EC" w:rsidRPr="0088758F" w:rsidRDefault="00D115EC" w:rsidP="00D115EC">
      <w:pPr>
        <w:rPr>
          <w:b/>
          <w:sz w:val="28"/>
          <w:u w:val="single"/>
        </w:rPr>
      </w:pPr>
      <w:r w:rsidRPr="0088758F">
        <w:rPr>
          <w:b/>
          <w:sz w:val="28"/>
          <w:u w:val="single"/>
        </w:rPr>
        <w:t>ES struktūrfondi un finanšu atbalsta instrumenti</w:t>
      </w:r>
    </w:p>
    <w:p w:rsidR="00D115EC" w:rsidRPr="0088758F" w:rsidRDefault="00D115EC" w:rsidP="00D115EC">
      <w:pPr>
        <w:pStyle w:val="EndnoteText"/>
        <w:ind w:firstLine="720"/>
        <w:jc w:val="both"/>
        <w:rPr>
          <w:sz w:val="12"/>
          <w:szCs w:val="12"/>
        </w:rPr>
      </w:pPr>
    </w:p>
    <w:p w:rsidR="00D115EC" w:rsidRPr="0088758F" w:rsidRDefault="00D115EC" w:rsidP="00D115EC">
      <w:pPr>
        <w:ind w:firstLine="567"/>
        <w:jc w:val="both"/>
        <w:rPr>
          <w:rFonts w:cs="Times New Roman"/>
          <w:sz w:val="28"/>
          <w:szCs w:val="28"/>
        </w:rPr>
      </w:pPr>
      <w:r w:rsidRPr="0088758F">
        <w:rPr>
          <w:rFonts w:cs="Times New Roman"/>
          <w:sz w:val="28"/>
          <w:szCs w:val="28"/>
        </w:rPr>
        <w:t>Pašlaik</w:t>
      </w:r>
      <w:r w:rsidR="00D5278A">
        <w:rPr>
          <w:rFonts w:cs="Times New Roman"/>
          <w:sz w:val="28"/>
          <w:szCs w:val="28"/>
        </w:rPr>
        <w:t>,</w:t>
      </w:r>
      <w:r w:rsidRPr="0088758F">
        <w:rPr>
          <w:rFonts w:cs="Times New Roman"/>
          <w:sz w:val="28"/>
          <w:szCs w:val="28"/>
        </w:rPr>
        <w:t xml:space="preserve"> p</w:t>
      </w:r>
      <w:r w:rsidRPr="0088758F">
        <w:rPr>
          <w:sz w:val="28"/>
        </w:rPr>
        <w:t>retendējot uz ES struktūrfondu atbalsta saņemšanu,</w:t>
      </w:r>
      <w:r w:rsidRPr="0088758F">
        <w:rPr>
          <w:rFonts w:cs="Times New Roman"/>
          <w:sz w:val="28"/>
          <w:szCs w:val="28"/>
        </w:rPr>
        <w:t xml:space="preserve"> valsts atbalsts tiek sniegts projektiem, kuri atbilstoši sekojošiem vērtēšanas kritērijiem saņem visvairāk punktu: </w:t>
      </w:r>
    </w:p>
    <w:p w:rsidR="00D115EC" w:rsidRPr="0088758F" w:rsidRDefault="00D115EC" w:rsidP="00D115EC">
      <w:pPr>
        <w:pStyle w:val="ListParagraph"/>
        <w:numPr>
          <w:ilvl w:val="0"/>
          <w:numId w:val="10"/>
        </w:numPr>
        <w:ind w:left="284" w:hanging="357"/>
        <w:contextualSpacing w:val="0"/>
        <w:jc w:val="both"/>
        <w:rPr>
          <w:rFonts w:cs="Times New Roman"/>
          <w:sz w:val="28"/>
          <w:szCs w:val="28"/>
        </w:rPr>
      </w:pPr>
      <w:r w:rsidRPr="0088758F">
        <w:rPr>
          <w:rFonts w:cs="Times New Roman"/>
          <w:sz w:val="28"/>
          <w:szCs w:val="28"/>
        </w:rPr>
        <w:t xml:space="preserve">nozare tiek uzskatīta par </w:t>
      </w:r>
      <w:r w:rsidR="00C12A78">
        <w:rPr>
          <w:rFonts w:cs="Times New Roman"/>
          <w:sz w:val="28"/>
          <w:szCs w:val="28"/>
        </w:rPr>
        <w:t>tehnoloģiski</w:t>
      </w:r>
      <w:r w:rsidR="00C12A78" w:rsidRPr="0088758F">
        <w:rPr>
          <w:rFonts w:cs="Times New Roman"/>
          <w:sz w:val="28"/>
          <w:szCs w:val="28"/>
        </w:rPr>
        <w:t xml:space="preserve"> </w:t>
      </w:r>
      <w:r w:rsidRPr="0088758F">
        <w:rPr>
          <w:rFonts w:cs="Times New Roman"/>
          <w:sz w:val="28"/>
          <w:szCs w:val="28"/>
        </w:rPr>
        <w:t>augst</w:t>
      </w:r>
      <w:r w:rsidR="00C12A78">
        <w:rPr>
          <w:rFonts w:cs="Times New Roman"/>
          <w:sz w:val="28"/>
          <w:szCs w:val="28"/>
        </w:rPr>
        <w:t>u</w:t>
      </w:r>
      <w:r w:rsidRPr="0088758F">
        <w:rPr>
          <w:rFonts w:cs="Times New Roman"/>
          <w:sz w:val="28"/>
          <w:szCs w:val="28"/>
        </w:rPr>
        <w:t>;</w:t>
      </w:r>
    </w:p>
    <w:p w:rsidR="00D115EC" w:rsidRPr="0088758F" w:rsidRDefault="00D115EC" w:rsidP="00D115EC">
      <w:pPr>
        <w:pStyle w:val="ListParagraph"/>
        <w:numPr>
          <w:ilvl w:val="0"/>
          <w:numId w:val="10"/>
        </w:numPr>
        <w:ind w:left="284" w:hanging="357"/>
        <w:contextualSpacing w:val="0"/>
        <w:jc w:val="both"/>
        <w:rPr>
          <w:rFonts w:cs="Times New Roman"/>
          <w:sz w:val="28"/>
          <w:szCs w:val="28"/>
        </w:rPr>
      </w:pPr>
      <w:r>
        <w:rPr>
          <w:rFonts w:cs="Times New Roman"/>
          <w:sz w:val="28"/>
          <w:szCs w:val="28"/>
        </w:rPr>
        <w:t>projekts</w:t>
      </w:r>
      <w:r w:rsidRPr="0088758F">
        <w:rPr>
          <w:rFonts w:cs="Times New Roman"/>
          <w:sz w:val="28"/>
          <w:szCs w:val="28"/>
        </w:rPr>
        <w:t xml:space="preserve"> rada augstu pievienoto vērtību;</w:t>
      </w:r>
    </w:p>
    <w:p w:rsidR="00D115EC" w:rsidRPr="0088758F" w:rsidRDefault="00D115EC" w:rsidP="00D115EC">
      <w:pPr>
        <w:pStyle w:val="ListParagraph"/>
        <w:numPr>
          <w:ilvl w:val="0"/>
          <w:numId w:val="10"/>
        </w:numPr>
        <w:ind w:left="284" w:hanging="357"/>
        <w:contextualSpacing w:val="0"/>
        <w:jc w:val="both"/>
        <w:rPr>
          <w:rFonts w:cs="Times New Roman"/>
          <w:sz w:val="28"/>
          <w:szCs w:val="28"/>
        </w:rPr>
      </w:pPr>
      <w:r w:rsidRPr="0088758F">
        <w:rPr>
          <w:rFonts w:cs="Times New Roman"/>
          <w:sz w:val="28"/>
          <w:szCs w:val="28"/>
        </w:rPr>
        <w:t>nozare tiek novērtēta ar augstu eksporta potenciālu;</w:t>
      </w:r>
    </w:p>
    <w:p w:rsidR="00D115EC" w:rsidRPr="0088758F" w:rsidRDefault="00D115EC" w:rsidP="00D115EC">
      <w:pPr>
        <w:pStyle w:val="ListParagraph"/>
        <w:numPr>
          <w:ilvl w:val="0"/>
          <w:numId w:val="10"/>
        </w:numPr>
        <w:ind w:left="284" w:hanging="357"/>
        <w:contextualSpacing w:val="0"/>
        <w:jc w:val="both"/>
        <w:rPr>
          <w:rFonts w:cs="Times New Roman"/>
          <w:sz w:val="28"/>
          <w:szCs w:val="28"/>
        </w:rPr>
      </w:pPr>
      <w:r w:rsidRPr="0088758F">
        <w:rPr>
          <w:rFonts w:cs="Times New Roman"/>
          <w:sz w:val="28"/>
          <w:szCs w:val="28"/>
        </w:rPr>
        <w:t>projekta izmaksu efektivitāte.</w:t>
      </w:r>
    </w:p>
    <w:p w:rsidR="007C49D7" w:rsidRPr="007C49D7" w:rsidRDefault="007C49D7" w:rsidP="007C49D7">
      <w:pPr>
        <w:jc w:val="both"/>
        <w:rPr>
          <w:rFonts w:cs="Times New Roman"/>
          <w:sz w:val="22"/>
          <w:szCs w:val="28"/>
        </w:rPr>
      </w:pPr>
    </w:p>
    <w:p w:rsidR="007C49D7" w:rsidRPr="007C49D7" w:rsidRDefault="007C49D7" w:rsidP="007C49D7">
      <w:pPr>
        <w:ind w:firstLine="567"/>
        <w:jc w:val="both"/>
        <w:rPr>
          <w:sz w:val="28"/>
          <w:szCs w:val="28"/>
        </w:rPr>
      </w:pPr>
      <w:r w:rsidRPr="007C49D7">
        <w:rPr>
          <w:rFonts w:cs="Times New Roman"/>
          <w:sz w:val="28"/>
          <w:szCs w:val="28"/>
        </w:rPr>
        <w:t>ES struktūrfondu atbalsts prioritārajiem segmentiem tiks nodrošināts ES fondu aktivitātes „</w:t>
      </w:r>
      <w:r w:rsidRPr="007C49D7">
        <w:rPr>
          <w:rFonts w:cs="Times New Roman"/>
          <w:i/>
          <w:sz w:val="28"/>
          <w:szCs w:val="28"/>
        </w:rPr>
        <w:t>Jaunu produktu un tehnoloģiju izstrāde”</w:t>
      </w:r>
      <w:r w:rsidRPr="007C49D7">
        <w:rPr>
          <w:rFonts w:cs="Times New Roman"/>
          <w:sz w:val="28"/>
          <w:szCs w:val="28"/>
        </w:rPr>
        <w:t xml:space="preserve"> ietvaros. Savukārt aktivitātes „</w:t>
      </w:r>
      <w:r w:rsidRPr="007C49D7">
        <w:rPr>
          <w:rFonts w:cs="Times New Roman"/>
          <w:i/>
          <w:sz w:val="28"/>
          <w:szCs w:val="28"/>
        </w:rPr>
        <w:t>Aizdevumi komersantu konkurētspējas uzlabošanai”</w:t>
      </w:r>
      <w:r w:rsidRPr="007C49D7">
        <w:rPr>
          <w:rFonts w:cs="Times New Roman"/>
          <w:sz w:val="28"/>
          <w:szCs w:val="28"/>
        </w:rPr>
        <w:t xml:space="preserve"> ietvaros, kur sniedz apgrozāmo līdzekļu un investīciju aizdevumus, atbalsta saņēmēju mērķa grupas ir komersanti, kuri darbojas apstrādes rūpniecības nozarēs neatkarīgi no to lieluma</w:t>
      </w:r>
      <w:r w:rsidRPr="007C49D7">
        <w:rPr>
          <w:sz w:val="28"/>
          <w:szCs w:val="28"/>
        </w:rPr>
        <w:t>, kā arī mazie un vidējie komersanti.</w:t>
      </w:r>
    </w:p>
    <w:p w:rsidR="00D115EC" w:rsidRPr="0088758F" w:rsidRDefault="00D115EC" w:rsidP="00390C34">
      <w:pPr>
        <w:spacing w:before="120"/>
        <w:ind w:firstLine="567"/>
        <w:jc w:val="both"/>
        <w:rPr>
          <w:sz w:val="28"/>
          <w:szCs w:val="28"/>
        </w:rPr>
      </w:pPr>
    </w:p>
    <w:p w:rsidR="00D115EC" w:rsidRPr="0088758F" w:rsidRDefault="00D115EC" w:rsidP="00D115EC">
      <w:pPr>
        <w:rPr>
          <w:b/>
          <w:sz w:val="28"/>
          <w:u w:val="single"/>
        </w:rPr>
      </w:pPr>
      <w:r w:rsidRPr="0088758F">
        <w:rPr>
          <w:b/>
          <w:sz w:val="28"/>
          <w:u w:val="single"/>
        </w:rPr>
        <w:t>Izglītība un zinātne</w:t>
      </w:r>
    </w:p>
    <w:p w:rsidR="00D115EC" w:rsidRPr="0088758F" w:rsidRDefault="00D115EC" w:rsidP="00D115EC">
      <w:pPr>
        <w:pStyle w:val="EndnoteText"/>
        <w:ind w:firstLine="720"/>
        <w:jc w:val="both"/>
        <w:rPr>
          <w:sz w:val="12"/>
          <w:szCs w:val="12"/>
        </w:rPr>
      </w:pPr>
    </w:p>
    <w:p w:rsidR="00D115EC" w:rsidRPr="00B55AAB" w:rsidRDefault="00D115EC" w:rsidP="00D115EC">
      <w:pPr>
        <w:ind w:firstLine="567"/>
        <w:jc w:val="both"/>
        <w:rPr>
          <w:rFonts w:cs="Times New Roman"/>
          <w:sz w:val="28"/>
          <w:szCs w:val="28"/>
        </w:rPr>
      </w:pPr>
      <w:r w:rsidRPr="00B55AAB">
        <w:rPr>
          <w:rFonts w:cs="Times New Roman"/>
          <w:sz w:val="28"/>
          <w:szCs w:val="28"/>
        </w:rPr>
        <w:t>Valsts atbalsts prioritārajiem segmentiem izglītībā un zinātnē:</w:t>
      </w:r>
    </w:p>
    <w:p w:rsidR="005A728F" w:rsidRPr="00D5278A" w:rsidRDefault="005A728F" w:rsidP="005A728F">
      <w:pPr>
        <w:pStyle w:val="ListParagraph"/>
        <w:numPr>
          <w:ilvl w:val="0"/>
          <w:numId w:val="7"/>
        </w:numPr>
        <w:ind w:left="426"/>
        <w:contextualSpacing w:val="0"/>
        <w:jc w:val="both"/>
        <w:rPr>
          <w:sz w:val="28"/>
          <w:szCs w:val="28"/>
        </w:rPr>
      </w:pPr>
      <w:r w:rsidRPr="005A728F">
        <w:rPr>
          <w:sz w:val="28"/>
          <w:szCs w:val="28"/>
        </w:rPr>
        <w:t xml:space="preserve">sekmēt atbilstošu augstas kvalifikācijas profesionālu speciālistu sagatavošanu, </w:t>
      </w:r>
      <w:r w:rsidRPr="00D5278A">
        <w:rPr>
          <w:sz w:val="28"/>
          <w:szCs w:val="28"/>
        </w:rPr>
        <w:t>izveidojot nozaru bāzes skolas, atbalstot prioritāro nozaru programmas augstskolās, kā arī izveidojot praktiskās apmācības centrus;</w:t>
      </w:r>
    </w:p>
    <w:p w:rsidR="005A728F" w:rsidRPr="005A728F" w:rsidRDefault="005A728F" w:rsidP="005A728F">
      <w:pPr>
        <w:pStyle w:val="ListParagraph"/>
        <w:numPr>
          <w:ilvl w:val="0"/>
          <w:numId w:val="7"/>
        </w:numPr>
        <w:ind w:left="426"/>
        <w:contextualSpacing w:val="0"/>
        <w:jc w:val="both"/>
        <w:rPr>
          <w:sz w:val="28"/>
          <w:szCs w:val="28"/>
        </w:rPr>
      </w:pPr>
      <w:r w:rsidRPr="005A728F">
        <w:rPr>
          <w:sz w:val="28"/>
          <w:szCs w:val="28"/>
        </w:rPr>
        <w:t>veicināt nozaru augstas kvalifikācijas speciālistu integrāciju zinātniski pētnieciskajos un izglītošanas procesos;</w:t>
      </w:r>
    </w:p>
    <w:p w:rsidR="005A728F" w:rsidRPr="005A728F" w:rsidRDefault="005A728F" w:rsidP="005A728F">
      <w:pPr>
        <w:pStyle w:val="ListParagraph"/>
        <w:numPr>
          <w:ilvl w:val="0"/>
          <w:numId w:val="7"/>
        </w:numPr>
        <w:ind w:left="426"/>
        <w:contextualSpacing w:val="0"/>
        <w:jc w:val="both"/>
        <w:rPr>
          <w:sz w:val="28"/>
          <w:szCs w:val="28"/>
        </w:rPr>
      </w:pPr>
      <w:r w:rsidRPr="005A728F">
        <w:rPr>
          <w:sz w:val="28"/>
          <w:szCs w:val="28"/>
        </w:rPr>
        <w:t>sasaistīt prioritāros tautsaimniecības sektorus ar izglītības un zinātnes sistēmu, attīstot lietišķos pētījumus jauno tehnoloģiju jomā, radot priekšnoteikumus zinātniskiem pētījumiem prioritārās nozarēs un tajās nozarēs, kurās ir attīstības perspektīvas;</w:t>
      </w:r>
    </w:p>
    <w:p w:rsidR="005A728F" w:rsidRPr="005A728F" w:rsidRDefault="005A728F" w:rsidP="005A728F">
      <w:pPr>
        <w:pStyle w:val="ListParagraph"/>
        <w:numPr>
          <w:ilvl w:val="0"/>
          <w:numId w:val="7"/>
        </w:numPr>
        <w:ind w:left="426"/>
        <w:contextualSpacing w:val="0"/>
        <w:jc w:val="both"/>
        <w:rPr>
          <w:sz w:val="28"/>
          <w:szCs w:val="28"/>
        </w:rPr>
      </w:pPr>
      <w:r w:rsidRPr="005A728F">
        <w:rPr>
          <w:sz w:val="28"/>
          <w:szCs w:val="28"/>
        </w:rPr>
        <w:lastRenderedPageBreak/>
        <w:t>sekmēt efektīvu infrastruktūras izmantošanu lietišķajos pētījumos prioritārajās nozarēs;</w:t>
      </w:r>
    </w:p>
    <w:p w:rsidR="005A728F" w:rsidRPr="005A728F" w:rsidRDefault="005A728F" w:rsidP="005A728F">
      <w:pPr>
        <w:pStyle w:val="ListParagraph"/>
        <w:numPr>
          <w:ilvl w:val="0"/>
          <w:numId w:val="7"/>
        </w:numPr>
        <w:ind w:left="426"/>
        <w:contextualSpacing w:val="0"/>
        <w:jc w:val="both"/>
        <w:rPr>
          <w:sz w:val="28"/>
          <w:szCs w:val="28"/>
        </w:rPr>
      </w:pPr>
      <w:r w:rsidRPr="005A728F">
        <w:rPr>
          <w:sz w:val="28"/>
          <w:szCs w:val="28"/>
        </w:rPr>
        <w:t>reizi četros gados noteikt zinātnes prioritāros virzienus, nodrošinot tajos valsts pētījumu programmu īstenošanu, un veicinot komersantu ieinteresētību izmantot nacionālo zinātnisko potenciālu;</w:t>
      </w:r>
    </w:p>
    <w:p w:rsidR="005A728F" w:rsidRPr="00D5278A" w:rsidRDefault="005A728F" w:rsidP="005A728F">
      <w:pPr>
        <w:pStyle w:val="ListParagraph"/>
        <w:numPr>
          <w:ilvl w:val="0"/>
          <w:numId w:val="7"/>
        </w:numPr>
        <w:ind w:left="426"/>
        <w:contextualSpacing w:val="0"/>
        <w:jc w:val="both"/>
        <w:rPr>
          <w:sz w:val="28"/>
          <w:szCs w:val="28"/>
        </w:rPr>
      </w:pPr>
      <w:r w:rsidRPr="00D5278A">
        <w:rPr>
          <w:sz w:val="28"/>
          <w:szCs w:val="28"/>
        </w:rPr>
        <w:t>palielināt finansējumu lietišķajiem pētījumiem;</w:t>
      </w:r>
    </w:p>
    <w:p w:rsidR="005A728F" w:rsidRPr="00D5278A" w:rsidRDefault="005A728F" w:rsidP="005A728F">
      <w:pPr>
        <w:numPr>
          <w:ilvl w:val="0"/>
          <w:numId w:val="7"/>
        </w:numPr>
        <w:ind w:left="426"/>
        <w:jc w:val="both"/>
        <w:rPr>
          <w:rFonts w:cs="Times New Roman"/>
          <w:sz w:val="28"/>
          <w:szCs w:val="28"/>
        </w:rPr>
      </w:pPr>
      <w:r w:rsidRPr="00D5278A">
        <w:rPr>
          <w:rFonts w:cs="Times New Roman"/>
          <w:sz w:val="28"/>
          <w:szCs w:val="28"/>
        </w:rPr>
        <w:t>pasniedzēju atalgojumu profesionālās izglītības institūcijās pielīdzināt vidējam inženiertehniskā personāla atalgojuma līmenim nozarē;</w:t>
      </w:r>
    </w:p>
    <w:p w:rsidR="005A728F" w:rsidRPr="00D5278A" w:rsidRDefault="005A728F" w:rsidP="005A728F">
      <w:pPr>
        <w:numPr>
          <w:ilvl w:val="0"/>
          <w:numId w:val="7"/>
        </w:numPr>
        <w:ind w:left="426"/>
        <w:jc w:val="both"/>
        <w:rPr>
          <w:rFonts w:cs="Times New Roman"/>
          <w:sz w:val="28"/>
          <w:szCs w:val="28"/>
        </w:rPr>
      </w:pPr>
      <w:r w:rsidRPr="00D5278A">
        <w:rPr>
          <w:rFonts w:cs="Times New Roman"/>
          <w:sz w:val="28"/>
          <w:szCs w:val="28"/>
        </w:rPr>
        <w:t>paredzēt arodskolu pasniedzēju regulāru kvalifikācijas paaugstināšanu inženiertehniskajos priekšmetos un stažēšanos nozares uzņēmumos;</w:t>
      </w:r>
    </w:p>
    <w:p w:rsidR="005A728F" w:rsidRPr="00D5278A" w:rsidRDefault="00C12A78" w:rsidP="005A728F">
      <w:pPr>
        <w:numPr>
          <w:ilvl w:val="0"/>
          <w:numId w:val="7"/>
        </w:numPr>
        <w:ind w:left="426"/>
        <w:jc w:val="both"/>
        <w:rPr>
          <w:rFonts w:cs="Times New Roman"/>
          <w:sz w:val="28"/>
          <w:szCs w:val="28"/>
        </w:rPr>
      </w:pPr>
      <w:r>
        <w:rPr>
          <w:rFonts w:cs="Times New Roman"/>
          <w:sz w:val="28"/>
          <w:szCs w:val="28"/>
        </w:rPr>
        <w:t>ņ</w:t>
      </w:r>
      <w:r w:rsidR="005A728F" w:rsidRPr="00D5278A">
        <w:rPr>
          <w:rFonts w:cs="Times New Roman"/>
          <w:sz w:val="28"/>
          <w:szCs w:val="28"/>
        </w:rPr>
        <w:t xml:space="preserve">emot vērā lielās iekārtu un materiālu izmaksas mašīnbūves un metālapstrādes profesionālajā izglītībā, pārskatīt MK 2007.gada 2.oktobra noteikumos </w:t>
      </w:r>
      <w:r w:rsidRPr="00C12A78">
        <w:rPr>
          <w:rFonts w:cs="Times New Roman"/>
          <w:i/>
          <w:sz w:val="28"/>
          <w:szCs w:val="28"/>
        </w:rPr>
        <w:t>„</w:t>
      </w:r>
      <w:r w:rsidR="005A728F" w:rsidRPr="00C12A78">
        <w:rPr>
          <w:bCs/>
          <w:i/>
          <w:sz w:val="28"/>
          <w:szCs w:val="28"/>
        </w:rPr>
        <w:t>par profesionālās izglītības programmu īstenošanas izmaksu minimumu uz vienu izglītojamo</w:t>
      </w:r>
      <w:r w:rsidR="005A728F" w:rsidRPr="00C12A78">
        <w:rPr>
          <w:b/>
          <w:bCs/>
          <w:i/>
          <w:sz w:val="28"/>
          <w:szCs w:val="28"/>
        </w:rPr>
        <w:t>”</w:t>
      </w:r>
      <w:r w:rsidR="005A728F" w:rsidRPr="00D5278A">
        <w:rPr>
          <w:b/>
          <w:bCs/>
          <w:sz w:val="28"/>
          <w:szCs w:val="28"/>
        </w:rPr>
        <w:t xml:space="preserve"> </w:t>
      </w:r>
      <w:r w:rsidR="005A728F" w:rsidRPr="00D5278A">
        <w:rPr>
          <w:rFonts w:cs="Times New Roman"/>
          <w:sz w:val="28"/>
          <w:szCs w:val="28"/>
        </w:rPr>
        <w:t>noteikto koeficientu 1,35, nosakot to ne mazāku kā 2,0.</w:t>
      </w:r>
    </w:p>
    <w:p w:rsidR="00D115EC" w:rsidRDefault="00D115EC" w:rsidP="005A728F">
      <w:pPr>
        <w:pStyle w:val="Heading1"/>
        <w:ind w:left="426" w:hanging="426"/>
        <w:jc w:val="both"/>
        <w:rPr>
          <w:rFonts w:cs="Times New Roman"/>
        </w:rPr>
      </w:pPr>
    </w:p>
    <w:p w:rsidR="00D115EC" w:rsidRPr="0088758F" w:rsidRDefault="00C62567" w:rsidP="00D115EC">
      <w:pPr>
        <w:rPr>
          <w:b/>
          <w:sz w:val="28"/>
          <w:u w:val="single"/>
        </w:rPr>
      </w:pPr>
      <w:r>
        <w:rPr>
          <w:b/>
          <w:sz w:val="28"/>
          <w:u w:val="single"/>
        </w:rPr>
        <w:t>Atsevišķās nozarēs papildus identificēti</w:t>
      </w:r>
      <w:r w:rsidR="00C12A78">
        <w:rPr>
          <w:b/>
          <w:sz w:val="28"/>
          <w:u w:val="single"/>
        </w:rPr>
        <w:t>e</w:t>
      </w:r>
      <w:r>
        <w:rPr>
          <w:b/>
          <w:sz w:val="28"/>
          <w:u w:val="single"/>
        </w:rPr>
        <w:t xml:space="preserve"> </w:t>
      </w:r>
      <w:r w:rsidR="00C12A78">
        <w:rPr>
          <w:b/>
          <w:sz w:val="28"/>
          <w:u w:val="single"/>
        </w:rPr>
        <w:t>specifiski pasākumi</w:t>
      </w:r>
      <w:r>
        <w:rPr>
          <w:b/>
          <w:sz w:val="28"/>
          <w:u w:val="single"/>
        </w:rPr>
        <w:t>:</w:t>
      </w:r>
    </w:p>
    <w:p w:rsidR="00D115EC" w:rsidRPr="00012D8B" w:rsidRDefault="00D115EC" w:rsidP="00D115EC">
      <w:pPr>
        <w:rPr>
          <w:sz w:val="12"/>
        </w:rPr>
      </w:pPr>
    </w:p>
    <w:p w:rsidR="00D115EC" w:rsidRDefault="00D115EC" w:rsidP="00D115EC">
      <w:pPr>
        <w:rPr>
          <w:sz w:val="28"/>
          <w:szCs w:val="28"/>
        </w:rPr>
      </w:pPr>
      <w:r>
        <w:rPr>
          <w:sz w:val="28"/>
          <w:szCs w:val="28"/>
        </w:rPr>
        <w:t>Atbalsts pārtikas ražošanas nozares</w:t>
      </w:r>
      <w:r w:rsidRPr="00B55AAB">
        <w:rPr>
          <w:sz w:val="28"/>
          <w:szCs w:val="28"/>
        </w:rPr>
        <w:t xml:space="preserve"> attīstībai</w:t>
      </w:r>
      <w:r>
        <w:rPr>
          <w:sz w:val="28"/>
          <w:szCs w:val="28"/>
        </w:rPr>
        <w:t>:</w:t>
      </w:r>
    </w:p>
    <w:p w:rsidR="005A728F" w:rsidRPr="005A728F" w:rsidRDefault="005A728F" w:rsidP="005A728F">
      <w:pPr>
        <w:pStyle w:val="ListParagraph"/>
        <w:numPr>
          <w:ilvl w:val="0"/>
          <w:numId w:val="45"/>
        </w:numPr>
        <w:ind w:left="426"/>
        <w:contextualSpacing w:val="0"/>
        <w:jc w:val="both"/>
        <w:rPr>
          <w:sz w:val="28"/>
          <w:szCs w:val="28"/>
        </w:rPr>
      </w:pPr>
      <w:r>
        <w:rPr>
          <w:sz w:val="28"/>
          <w:szCs w:val="28"/>
        </w:rPr>
        <w:t>n</w:t>
      </w:r>
      <w:r w:rsidRPr="005A728F">
        <w:rPr>
          <w:sz w:val="28"/>
          <w:szCs w:val="28"/>
        </w:rPr>
        <w:t>odrošināt valsts kredītu garantiju izsniegšanu apstrādes uzņēmumiem izejvielu krājumu veidošanai</w:t>
      </w:r>
      <w:r w:rsidR="00C12A78">
        <w:rPr>
          <w:sz w:val="28"/>
          <w:szCs w:val="28"/>
        </w:rPr>
        <w:t xml:space="preserve">, kā </w:t>
      </w:r>
      <w:r w:rsidRPr="005A728F">
        <w:rPr>
          <w:sz w:val="28"/>
          <w:szCs w:val="28"/>
        </w:rPr>
        <w:t>nozar</w:t>
      </w:r>
      <w:r w:rsidR="00C12A78">
        <w:rPr>
          <w:sz w:val="28"/>
          <w:szCs w:val="28"/>
        </w:rPr>
        <w:t>ei, kurā</w:t>
      </w:r>
      <w:r w:rsidRPr="005A728F">
        <w:rPr>
          <w:sz w:val="28"/>
          <w:szCs w:val="28"/>
        </w:rPr>
        <w:t xml:space="preserve"> izejvielām ir sezonāls raksturs;</w:t>
      </w:r>
    </w:p>
    <w:p w:rsidR="00AA5C31" w:rsidRPr="00AA5C31" w:rsidRDefault="00870BC8" w:rsidP="00AA5C31">
      <w:pPr>
        <w:pStyle w:val="ListParagraph"/>
        <w:numPr>
          <w:ilvl w:val="0"/>
          <w:numId w:val="7"/>
        </w:numPr>
        <w:ind w:left="426"/>
        <w:jc w:val="both"/>
        <w:rPr>
          <w:rFonts w:cs="Times New Roman"/>
          <w:sz w:val="28"/>
          <w:szCs w:val="28"/>
        </w:rPr>
      </w:pPr>
      <w:r>
        <w:rPr>
          <w:rFonts w:cs="Times New Roman"/>
          <w:sz w:val="28"/>
          <w:szCs w:val="28"/>
        </w:rPr>
        <w:t xml:space="preserve">ekonomiskās </w:t>
      </w:r>
      <w:r w:rsidR="00AA5C31" w:rsidRPr="00AA5C31">
        <w:rPr>
          <w:rFonts w:cs="Times New Roman"/>
          <w:sz w:val="28"/>
          <w:szCs w:val="28"/>
        </w:rPr>
        <w:t>sadarbīb</w:t>
      </w:r>
      <w:r>
        <w:rPr>
          <w:rFonts w:cs="Times New Roman"/>
          <w:sz w:val="28"/>
          <w:szCs w:val="28"/>
        </w:rPr>
        <w:t xml:space="preserve">as veicināšana ar </w:t>
      </w:r>
      <w:r w:rsidR="00AA5C31" w:rsidRPr="00AA5C31">
        <w:rPr>
          <w:rFonts w:cs="Times New Roman"/>
          <w:sz w:val="28"/>
          <w:szCs w:val="28"/>
        </w:rPr>
        <w:t>NVS valstīm, slēdzot LR divpusējos ekonomiskās sadarbības līgumus un īstenojot LR ekonomisko un tirdzniecības</w:t>
      </w:r>
      <w:r w:rsidR="00156DFE">
        <w:rPr>
          <w:rFonts w:cs="Times New Roman"/>
          <w:sz w:val="28"/>
          <w:szCs w:val="28"/>
        </w:rPr>
        <w:t xml:space="preserve"> </w:t>
      </w:r>
      <w:r w:rsidR="00AA5C31" w:rsidRPr="00AA5C31">
        <w:rPr>
          <w:rFonts w:cs="Times New Roman"/>
          <w:sz w:val="28"/>
          <w:szCs w:val="28"/>
        </w:rPr>
        <w:t xml:space="preserve">interešu realizāciju šo līgumu ietvaros </w:t>
      </w:r>
      <w:r w:rsidR="00C12A78">
        <w:rPr>
          <w:rFonts w:cs="Times New Roman"/>
          <w:sz w:val="28"/>
          <w:szCs w:val="28"/>
        </w:rPr>
        <w:t>izveidoto Starpvaldību komisiju</w:t>
      </w:r>
      <w:r w:rsidR="00AA5C31" w:rsidRPr="00AA5C31">
        <w:rPr>
          <w:rFonts w:cs="Times New Roman"/>
          <w:sz w:val="28"/>
          <w:szCs w:val="28"/>
        </w:rPr>
        <w:t>/Apvienoto komiteju ietvaros.</w:t>
      </w:r>
    </w:p>
    <w:p w:rsidR="00D115EC" w:rsidRPr="00012D8B" w:rsidRDefault="00D115EC" w:rsidP="00D115EC">
      <w:pPr>
        <w:rPr>
          <w:sz w:val="16"/>
          <w:szCs w:val="28"/>
        </w:rPr>
      </w:pPr>
    </w:p>
    <w:p w:rsidR="00D115EC" w:rsidRPr="00B55AAB" w:rsidRDefault="00D115EC" w:rsidP="00D115EC">
      <w:pPr>
        <w:rPr>
          <w:sz w:val="28"/>
          <w:szCs w:val="28"/>
        </w:rPr>
      </w:pPr>
      <w:r w:rsidRPr="00B55AAB">
        <w:rPr>
          <w:sz w:val="28"/>
          <w:szCs w:val="28"/>
        </w:rPr>
        <w:t>Atbalsts kok</w:t>
      </w:r>
      <w:r>
        <w:rPr>
          <w:sz w:val="28"/>
          <w:szCs w:val="28"/>
        </w:rPr>
        <w:t>rūpniecības</w:t>
      </w:r>
      <w:r w:rsidRPr="00B55AAB">
        <w:rPr>
          <w:sz w:val="28"/>
          <w:szCs w:val="28"/>
        </w:rPr>
        <w:t xml:space="preserve"> attīstībai:</w:t>
      </w:r>
    </w:p>
    <w:p w:rsidR="00D115EC" w:rsidRPr="00987EE3" w:rsidRDefault="00FC1194" w:rsidP="00012D8B">
      <w:pPr>
        <w:pStyle w:val="ListParagraph"/>
        <w:numPr>
          <w:ilvl w:val="0"/>
          <w:numId w:val="7"/>
        </w:numPr>
        <w:ind w:left="426"/>
        <w:contextualSpacing w:val="0"/>
        <w:jc w:val="both"/>
        <w:rPr>
          <w:sz w:val="28"/>
          <w:szCs w:val="28"/>
        </w:rPr>
      </w:pPr>
      <w:r w:rsidRPr="00987EE3">
        <w:rPr>
          <w:sz w:val="28"/>
          <w:szCs w:val="28"/>
        </w:rPr>
        <w:t xml:space="preserve">līdz 2009.gada 31.decembrim noteikt maksimāli pieļaujamos ciršanas apjomus valsts mežos </w:t>
      </w:r>
      <w:r>
        <w:rPr>
          <w:sz w:val="28"/>
          <w:szCs w:val="28"/>
        </w:rPr>
        <w:t xml:space="preserve">no </w:t>
      </w:r>
      <w:r w:rsidRPr="00987EE3">
        <w:rPr>
          <w:sz w:val="28"/>
          <w:szCs w:val="28"/>
        </w:rPr>
        <w:t>2011.-2015.g</w:t>
      </w:r>
      <w:r>
        <w:rPr>
          <w:sz w:val="28"/>
          <w:szCs w:val="28"/>
        </w:rPr>
        <w:t>adam</w:t>
      </w:r>
      <w:r w:rsidRPr="00987EE3">
        <w:rPr>
          <w:sz w:val="28"/>
          <w:szCs w:val="28"/>
        </w:rPr>
        <w:t>, lai</w:t>
      </w:r>
      <w:r>
        <w:rPr>
          <w:sz w:val="28"/>
          <w:szCs w:val="28"/>
        </w:rPr>
        <w:t xml:space="preserve"> nozare laicīgi varētu plānot apaļ</w:t>
      </w:r>
      <w:r w:rsidR="00B40B1E">
        <w:rPr>
          <w:sz w:val="28"/>
          <w:szCs w:val="28"/>
        </w:rPr>
        <w:t>o kokmateriālu</w:t>
      </w:r>
      <w:r>
        <w:rPr>
          <w:sz w:val="28"/>
          <w:szCs w:val="28"/>
        </w:rPr>
        <w:t xml:space="preserve"> pieejamību un līdzsvarotu pieprasījumu ar piedāvājumu</w:t>
      </w:r>
      <w:r w:rsidR="00D115EC" w:rsidRPr="00987EE3">
        <w:rPr>
          <w:sz w:val="28"/>
          <w:szCs w:val="28"/>
        </w:rPr>
        <w:t>;</w:t>
      </w:r>
    </w:p>
    <w:p w:rsidR="00D115EC" w:rsidRPr="00987EE3" w:rsidRDefault="00D115EC" w:rsidP="00012D8B">
      <w:pPr>
        <w:pStyle w:val="ListParagraph"/>
        <w:numPr>
          <w:ilvl w:val="0"/>
          <w:numId w:val="7"/>
        </w:numPr>
        <w:ind w:left="426"/>
        <w:jc w:val="both"/>
        <w:rPr>
          <w:rFonts w:cs="Times New Roman"/>
          <w:sz w:val="28"/>
          <w:szCs w:val="28"/>
        </w:rPr>
      </w:pPr>
      <w:r w:rsidRPr="00987EE3">
        <w:rPr>
          <w:rFonts w:cs="Times New Roman"/>
          <w:sz w:val="28"/>
          <w:szCs w:val="28"/>
        </w:rPr>
        <w:t>nodrošināt</w:t>
      </w:r>
      <w:r w:rsidR="00156DFE">
        <w:rPr>
          <w:rFonts w:cs="Times New Roman"/>
          <w:sz w:val="28"/>
          <w:szCs w:val="28"/>
        </w:rPr>
        <w:t xml:space="preserve"> </w:t>
      </w:r>
      <w:r w:rsidRPr="00987EE3">
        <w:rPr>
          <w:rFonts w:cs="Times New Roman"/>
          <w:sz w:val="28"/>
          <w:szCs w:val="28"/>
        </w:rPr>
        <w:t>regulāru statistisko meža inventarizāciju;</w:t>
      </w:r>
    </w:p>
    <w:p w:rsidR="00D115EC" w:rsidRPr="00987EE3" w:rsidRDefault="00D115EC" w:rsidP="00012D8B">
      <w:pPr>
        <w:pStyle w:val="ListParagraph"/>
        <w:numPr>
          <w:ilvl w:val="0"/>
          <w:numId w:val="7"/>
        </w:numPr>
        <w:ind w:left="426"/>
        <w:jc w:val="both"/>
        <w:rPr>
          <w:rFonts w:cs="Times New Roman"/>
          <w:sz w:val="28"/>
          <w:szCs w:val="28"/>
        </w:rPr>
      </w:pPr>
      <w:r w:rsidRPr="00987EE3">
        <w:rPr>
          <w:rFonts w:cs="Times New Roman"/>
          <w:sz w:val="28"/>
          <w:szCs w:val="28"/>
        </w:rPr>
        <w:t>izstrādāt programmu privāto meža īpašnieku kooperācijas veicināšanai;</w:t>
      </w:r>
    </w:p>
    <w:p w:rsidR="00D115EC" w:rsidRPr="00987EE3" w:rsidRDefault="00D115EC" w:rsidP="00012D8B">
      <w:pPr>
        <w:pStyle w:val="ListParagraph"/>
        <w:numPr>
          <w:ilvl w:val="0"/>
          <w:numId w:val="7"/>
        </w:numPr>
        <w:ind w:left="426"/>
        <w:jc w:val="both"/>
        <w:rPr>
          <w:rFonts w:cs="Times New Roman"/>
          <w:sz w:val="28"/>
          <w:szCs w:val="28"/>
        </w:rPr>
      </w:pPr>
      <w:r>
        <w:rPr>
          <w:sz w:val="28"/>
          <w:szCs w:val="28"/>
        </w:rPr>
        <w:t>p</w:t>
      </w:r>
      <w:r w:rsidRPr="00987EE3">
        <w:rPr>
          <w:sz w:val="28"/>
          <w:szCs w:val="28"/>
        </w:rPr>
        <w:t xml:space="preserve">ārskatīt </w:t>
      </w:r>
      <w:r w:rsidRPr="00987EE3">
        <w:rPr>
          <w:i/>
          <w:sz w:val="28"/>
          <w:szCs w:val="28"/>
        </w:rPr>
        <w:t>Meža likumā</w:t>
      </w:r>
      <w:r w:rsidRPr="00987EE3">
        <w:rPr>
          <w:sz w:val="28"/>
          <w:szCs w:val="28"/>
        </w:rPr>
        <w:t xml:space="preserve"> noteiktos meža apsaimniekošanu ierobežojošos faktorus, t.i.</w:t>
      </w:r>
      <w:r w:rsidR="00B40B1E">
        <w:rPr>
          <w:sz w:val="28"/>
          <w:szCs w:val="28"/>
        </w:rPr>
        <w:t>,</w:t>
      </w:r>
      <w:r w:rsidRPr="00987EE3">
        <w:rPr>
          <w:sz w:val="28"/>
          <w:szCs w:val="28"/>
        </w:rPr>
        <w:t xml:space="preserve"> ekonomiski pamatots ciršanas caurmērs un vecums, pieguļošās teritorijas, neproduktīvu audžu aizstāšana ar produktīvām; </w:t>
      </w:r>
    </w:p>
    <w:p w:rsidR="00D115EC" w:rsidRDefault="00D115EC" w:rsidP="00012D8B">
      <w:pPr>
        <w:pStyle w:val="ListParagraph"/>
        <w:numPr>
          <w:ilvl w:val="0"/>
          <w:numId w:val="7"/>
        </w:numPr>
        <w:ind w:left="426"/>
        <w:jc w:val="both"/>
        <w:rPr>
          <w:rFonts w:cs="Times New Roman"/>
          <w:sz w:val="28"/>
          <w:szCs w:val="28"/>
        </w:rPr>
      </w:pPr>
      <w:r>
        <w:rPr>
          <w:sz w:val="28"/>
          <w:szCs w:val="28"/>
        </w:rPr>
        <w:t>k</w:t>
      </w:r>
      <w:r w:rsidRPr="00987EE3">
        <w:rPr>
          <w:sz w:val="28"/>
          <w:szCs w:val="28"/>
        </w:rPr>
        <w:t xml:space="preserve">onceptuāli pārskatīt likuma </w:t>
      </w:r>
      <w:r w:rsidRPr="00987EE3">
        <w:rPr>
          <w:i/>
          <w:sz w:val="28"/>
          <w:szCs w:val="28"/>
        </w:rPr>
        <w:t>"Par koku un apaļo kokmateriālu uzskaiti"</w:t>
      </w:r>
      <w:r w:rsidRPr="00987EE3">
        <w:rPr>
          <w:sz w:val="28"/>
          <w:szCs w:val="28"/>
        </w:rPr>
        <w:t xml:space="preserve"> un ar to saistīto noteikumu normas</w:t>
      </w:r>
      <w:r>
        <w:rPr>
          <w:rFonts w:cs="Times New Roman"/>
          <w:sz w:val="28"/>
          <w:szCs w:val="28"/>
        </w:rPr>
        <w:t>;</w:t>
      </w:r>
    </w:p>
    <w:p w:rsidR="00D115EC" w:rsidRDefault="00D115EC" w:rsidP="00012D8B">
      <w:pPr>
        <w:pStyle w:val="ListParagraph"/>
        <w:numPr>
          <w:ilvl w:val="0"/>
          <w:numId w:val="7"/>
        </w:numPr>
        <w:ind w:left="426"/>
        <w:jc w:val="both"/>
        <w:rPr>
          <w:rFonts w:cs="Times New Roman"/>
          <w:sz w:val="28"/>
          <w:szCs w:val="28"/>
        </w:rPr>
      </w:pPr>
      <w:r w:rsidRPr="00987EE3">
        <w:rPr>
          <w:sz w:val="28"/>
          <w:szCs w:val="28"/>
        </w:rPr>
        <w:t>samazināt administratīvo slogu meža apsaimniekošanā, piem</w:t>
      </w:r>
      <w:r>
        <w:rPr>
          <w:sz w:val="28"/>
          <w:szCs w:val="28"/>
        </w:rPr>
        <w:t>ēram,</w:t>
      </w:r>
      <w:r w:rsidRPr="00987EE3">
        <w:rPr>
          <w:sz w:val="28"/>
          <w:szCs w:val="28"/>
        </w:rPr>
        <w:t xml:space="preserve"> ciršanas apliecinājumu form</w:t>
      </w:r>
      <w:r w:rsidR="00B40B1E">
        <w:rPr>
          <w:sz w:val="28"/>
          <w:szCs w:val="28"/>
        </w:rPr>
        <w:t>u</w:t>
      </w:r>
      <w:r w:rsidRPr="00987EE3">
        <w:rPr>
          <w:sz w:val="28"/>
          <w:szCs w:val="28"/>
        </w:rPr>
        <w:t xml:space="preserve"> un termiņ</w:t>
      </w:r>
      <w:r w:rsidR="00B40B1E">
        <w:rPr>
          <w:sz w:val="28"/>
          <w:szCs w:val="28"/>
        </w:rPr>
        <w:t>us</w:t>
      </w:r>
      <w:r w:rsidRPr="00987EE3">
        <w:rPr>
          <w:sz w:val="28"/>
          <w:szCs w:val="28"/>
        </w:rPr>
        <w:t>, meža inventarizācijas kārtīb</w:t>
      </w:r>
      <w:r w:rsidR="00B40B1E">
        <w:rPr>
          <w:sz w:val="28"/>
          <w:szCs w:val="28"/>
        </w:rPr>
        <w:t>u</w:t>
      </w:r>
      <w:r w:rsidRPr="00987EE3">
        <w:rPr>
          <w:sz w:val="28"/>
          <w:szCs w:val="28"/>
        </w:rPr>
        <w:t>, u.c</w:t>
      </w:r>
      <w:r>
        <w:rPr>
          <w:sz w:val="28"/>
          <w:szCs w:val="28"/>
        </w:rPr>
        <w:t>.</w:t>
      </w:r>
      <w:r w:rsidRPr="00987EE3">
        <w:rPr>
          <w:rFonts w:cs="Times New Roman"/>
          <w:sz w:val="28"/>
          <w:szCs w:val="28"/>
        </w:rPr>
        <w:t>;</w:t>
      </w:r>
    </w:p>
    <w:p w:rsidR="00D115EC" w:rsidRPr="002435DA" w:rsidRDefault="00D115EC" w:rsidP="00012D8B">
      <w:pPr>
        <w:pStyle w:val="ListParagraph"/>
        <w:numPr>
          <w:ilvl w:val="0"/>
          <w:numId w:val="7"/>
        </w:numPr>
        <w:ind w:left="426"/>
        <w:jc w:val="both"/>
        <w:rPr>
          <w:rFonts w:cs="Times New Roman"/>
          <w:sz w:val="28"/>
          <w:szCs w:val="28"/>
        </w:rPr>
      </w:pPr>
      <w:r w:rsidRPr="002435DA">
        <w:rPr>
          <w:rFonts w:cs="Times New Roman"/>
          <w:sz w:val="28"/>
          <w:szCs w:val="28"/>
        </w:rPr>
        <w:t>vienkāršot pr</w:t>
      </w:r>
      <w:r w:rsidR="00B40B1E" w:rsidRPr="002435DA">
        <w:rPr>
          <w:rFonts w:cs="Times New Roman"/>
          <w:sz w:val="28"/>
          <w:szCs w:val="28"/>
        </w:rPr>
        <w:t>asības mežu</w:t>
      </w:r>
      <w:r w:rsidRPr="002435DA">
        <w:rPr>
          <w:rFonts w:cs="Times New Roman"/>
          <w:sz w:val="28"/>
          <w:szCs w:val="28"/>
        </w:rPr>
        <w:t xml:space="preserve"> īpašniekiem un meža zemes transformācijai veicamās procedūras;</w:t>
      </w:r>
    </w:p>
    <w:p w:rsidR="00D115EC" w:rsidRDefault="00D115EC" w:rsidP="00012D8B">
      <w:pPr>
        <w:pStyle w:val="ListParagraph"/>
        <w:numPr>
          <w:ilvl w:val="0"/>
          <w:numId w:val="7"/>
        </w:numPr>
        <w:ind w:left="426"/>
        <w:jc w:val="both"/>
        <w:rPr>
          <w:rFonts w:cs="Times New Roman"/>
          <w:sz w:val="28"/>
          <w:szCs w:val="28"/>
        </w:rPr>
      </w:pPr>
      <w:r w:rsidRPr="00987EE3">
        <w:rPr>
          <w:sz w:val="28"/>
          <w:szCs w:val="28"/>
        </w:rPr>
        <w:t>samazināt administratīvo slogu mežsaimniecības loģistikas uzņēmumiem</w:t>
      </w:r>
      <w:r w:rsidR="00B979D3">
        <w:rPr>
          <w:rFonts w:cs="Times New Roman"/>
          <w:sz w:val="28"/>
          <w:szCs w:val="28"/>
        </w:rPr>
        <w:t>;</w:t>
      </w:r>
    </w:p>
    <w:p w:rsidR="00D115EC" w:rsidRPr="007667B9" w:rsidRDefault="007667B9" w:rsidP="00012D8B">
      <w:pPr>
        <w:pStyle w:val="ListParagraph"/>
        <w:numPr>
          <w:ilvl w:val="0"/>
          <w:numId w:val="7"/>
        </w:numPr>
        <w:ind w:left="426"/>
        <w:jc w:val="both"/>
        <w:rPr>
          <w:rFonts w:cs="Times New Roman"/>
          <w:sz w:val="28"/>
          <w:szCs w:val="28"/>
        </w:rPr>
      </w:pPr>
      <w:r>
        <w:rPr>
          <w:rFonts w:cs="Times New Roman"/>
          <w:sz w:val="28"/>
          <w:szCs w:val="28"/>
        </w:rPr>
        <w:t>veikt normatīvo aktu grozījumus</w:t>
      </w:r>
      <w:r w:rsidR="00D115EC" w:rsidRPr="007667B9">
        <w:rPr>
          <w:rFonts w:cs="Times New Roman"/>
          <w:sz w:val="28"/>
          <w:szCs w:val="28"/>
        </w:rPr>
        <w:t>,</w:t>
      </w:r>
      <w:r>
        <w:rPr>
          <w:rFonts w:cs="Times New Roman"/>
          <w:sz w:val="28"/>
          <w:szCs w:val="28"/>
        </w:rPr>
        <w:t xml:space="preserve"> lai veicinātu </w:t>
      </w:r>
      <w:r w:rsidR="00D115EC" w:rsidRPr="007667B9">
        <w:rPr>
          <w:rFonts w:cs="Times New Roman"/>
          <w:sz w:val="28"/>
          <w:szCs w:val="28"/>
        </w:rPr>
        <w:t>biomasas izmantošanu enerģijas ražošanā, izvērtējot un attīstot nacionālo atjaunojamo energoresursu atbalsta politiku.</w:t>
      </w:r>
    </w:p>
    <w:p w:rsidR="00D115EC" w:rsidRPr="00012D8B" w:rsidRDefault="00D115EC" w:rsidP="00D115EC">
      <w:pPr>
        <w:rPr>
          <w:rFonts w:cs="Times New Roman"/>
          <w:i/>
          <w:sz w:val="16"/>
          <w:szCs w:val="16"/>
        </w:rPr>
      </w:pPr>
    </w:p>
    <w:p w:rsidR="005A728F" w:rsidRPr="00CE51CD" w:rsidRDefault="005A728F" w:rsidP="005A728F">
      <w:pPr>
        <w:rPr>
          <w:sz w:val="28"/>
          <w:szCs w:val="28"/>
        </w:rPr>
      </w:pPr>
      <w:r w:rsidRPr="00CE51CD">
        <w:rPr>
          <w:sz w:val="28"/>
          <w:szCs w:val="28"/>
        </w:rPr>
        <w:lastRenderedPageBreak/>
        <w:t>Atbalsts ķīmiskās rūpniecības un tās saskarnozaru attīstībai</w:t>
      </w:r>
      <w:r>
        <w:rPr>
          <w:sz w:val="28"/>
          <w:szCs w:val="28"/>
        </w:rPr>
        <w:t>:</w:t>
      </w:r>
    </w:p>
    <w:p w:rsidR="007667B9" w:rsidRDefault="007667B9" w:rsidP="007667B9">
      <w:pPr>
        <w:pStyle w:val="ListParagraph"/>
        <w:numPr>
          <w:ilvl w:val="0"/>
          <w:numId w:val="7"/>
        </w:numPr>
        <w:ind w:left="426"/>
        <w:jc w:val="both"/>
        <w:rPr>
          <w:rFonts w:cs="Times New Roman"/>
          <w:sz w:val="28"/>
          <w:szCs w:val="28"/>
        </w:rPr>
      </w:pPr>
      <w:r w:rsidRPr="002435DA">
        <w:rPr>
          <w:rFonts w:cs="Times New Roman"/>
          <w:sz w:val="28"/>
          <w:szCs w:val="28"/>
        </w:rPr>
        <w:t>i</w:t>
      </w:r>
      <w:r w:rsidRPr="002435DA">
        <w:rPr>
          <w:rFonts w:eastAsia="Calibri" w:cs="Times New Roman"/>
          <w:sz w:val="28"/>
          <w:szCs w:val="28"/>
        </w:rPr>
        <w:t>novāciju infrastruktūras radīšana (</w:t>
      </w:r>
      <w:r w:rsidR="00574B99" w:rsidRPr="002435DA">
        <w:rPr>
          <w:rFonts w:eastAsia="Calibri" w:cs="Times New Roman"/>
          <w:sz w:val="28"/>
          <w:szCs w:val="28"/>
        </w:rPr>
        <w:t>farmakoloģijas izpētes centrs un saistītās</w:t>
      </w:r>
      <w:r w:rsidR="00574B99">
        <w:rPr>
          <w:rFonts w:eastAsia="Calibri" w:cs="Times New Roman"/>
          <w:sz w:val="28"/>
          <w:szCs w:val="28"/>
        </w:rPr>
        <w:t xml:space="preserve"> </w:t>
      </w:r>
      <w:r w:rsidRPr="007667B9">
        <w:rPr>
          <w:rFonts w:eastAsia="Calibri" w:cs="Times New Roman"/>
          <w:sz w:val="28"/>
          <w:szCs w:val="28"/>
        </w:rPr>
        <w:t>laboratorijas, tirgus informācijas/patentu datubāzes iepirkšana)</w:t>
      </w:r>
      <w:r>
        <w:rPr>
          <w:rFonts w:cs="Times New Roman"/>
          <w:sz w:val="28"/>
          <w:szCs w:val="28"/>
        </w:rPr>
        <w:t>;</w:t>
      </w:r>
    </w:p>
    <w:p w:rsidR="007667B9" w:rsidRPr="007667B9" w:rsidRDefault="007667B9" w:rsidP="005A728F">
      <w:pPr>
        <w:pStyle w:val="ListParagraph"/>
        <w:numPr>
          <w:ilvl w:val="0"/>
          <w:numId w:val="7"/>
        </w:numPr>
        <w:ind w:left="426"/>
        <w:jc w:val="both"/>
        <w:rPr>
          <w:sz w:val="28"/>
          <w:szCs w:val="28"/>
        </w:rPr>
      </w:pPr>
      <w:r>
        <w:rPr>
          <w:rFonts w:cs="Times New Roman"/>
          <w:sz w:val="28"/>
          <w:szCs w:val="28"/>
        </w:rPr>
        <w:t>i</w:t>
      </w:r>
      <w:r w:rsidRPr="007667B9">
        <w:rPr>
          <w:rFonts w:eastAsia="Calibri" w:cs="Times New Roman"/>
          <w:sz w:val="28"/>
          <w:szCs w:val="28"/>
        </w:rPr>
        <w:t>zveid</w:t>
      </w:r>
      <w:r>
        <w:rPr>
          <w:rFonts w:cs="Times New Roman"/>
          <w:sz w:val="28"/>
          <w:szCs w:val="28"/>
        </w:rPr>
        <w:t>ot infrastruktūru, lai nodrošinātu nozares speciālistu praktisko apmācību.</w:t>
      </w:r>
    </w:p>
    <w:p w:rsidR="005A728F" w:rsidRPr="005A728F" w:rsidRDefault="005A728F" w:rsidP="00D115EC">
      <w:pPr>
        <w:rPr>
          <w:sz w:val="12"/>
          <w:szCs w:val="28"/>
        </w:rPr>
      </w:pPr>
    </w:p>
    <w:p w:rsidR="00D115EC" w:rsidRPr="00CE51CD" w:rsidRDefault="00D115EC" w:rsidP="00D115EC">
      <w:pPr>
        <w:rPr>
          <w:sz w:val="28"/>
          <w:szCs w:val="28"/>
        </w:rPr>
      </w:pPr>
      <w:r w:rsidRPr="00CE51CD">
        <w:rPr>
          <w:sz w:val="28"/>
          <w:szCs w:val="28"/>
        </w:rPr>
        <w:t xml:space="preserve">Atbalsts </w:t>
      </w:r>
      <w:r>
        <w:rPr>
          <w:sz w:val="28"/>
          <w:szCs w:val="28"/>
        </w:rPr>
        <w:t>tūrisma nozares attīstībai:</w:t>
      </w:r>
    </w:p>
    <w:p w:rsidR="00D115EC" w:rsidRPr="000846B9" w:rsidRDefault="00D115EC" w:rsidP="00D115EC">
      <w:pPr>
        <w:pStyle w:val="ListParagraph"/>
        <w:numPr>
          <w:ilvl w:val="0"/>
          <w:numId w:val="43"/>
        </w:numPr>
        <w:ind w:left="426"/>
        <w:contextualSpacing w:val="0"/>
        <w:jc w:val="both"/>
        <w:rPr>
          <w:color w:val="000000"/>
          <w:sz w:val="28"/>
          <w:szCs w:val="28"/>
        </w:rPr>
      </w:pPr>
      <w:r>
        <w:rPr>
          <w:color w:val="000000"/>
          <w:sz w:val="28"/>
          <w:szCs w:val="28"/>
        </w:rPr>
        <w:t>d</w:t>
      </w:r>
      <w:r w:rsidRPr="000846B9">
        <w:rPr>
          <w:color w:val="000000"/>
          <w:sz w:val="28"/>
          <w:szCs w:val="28"/>
        </w:rPr>
        <w:t>efinēt prioritāri atbalstāmos tūrisma veidus;</w:t>
      </w:r>
    </w:p>
    <w:p w:rsidR="00D115EC" w:rsidRPr="000846B9" w:rsidRDefault="00D115EC" w:rsidP="00D115EC">
      <w:pPr>
        <w:pStyle w:val="ListParagraph"/>
        <w:numPr>
          <w:ilvl w:val="0"/>
          <w:numId w:val="43"/>
        </w:numPr>
        <w:ind w:left="426"/>
        <w:contextualSpacing w:val="0"/>
        <w:jc w:val="both"/>
        <w:rPr>
          <w:sz w:val="28"/>
          <w:szCs w:val="28"/>
        </w:rPr>
      </w:pPr>
      <w:r>
        <w:rPr>
          <w:sz w:val="28"/>
          <w:szCs w:val="28"/>
        </w:rPr>
        <w:t>a</w:t>
      </w:r>
      <w:r w:rsidRPr="000846B9">
        <w:rPr>
          <w:sz w:val="28"/>
          <w:szCs w:val="28"/>
        </w:rPr>
        <w:t>tbalstīt prioritāro tūrisma produktu/pakalpojumu attīstību, sekmējot to kvalitātes paaugstināšanos, pieejamību un atpazīstamību kā vietējā, tā arī starptautiskā tirgū, kā arī mazinot sezonalitātes negatīvo ietekmi;</w:t>
      </w:r>
    </w:p>
    <w:p w:rsidR="00D115EC" w:rsidRPr="000846B9" w:rsidRDefault="00D115EC" w:rsidP="00D115EC">
      <w:pPr>
        <w:pStyle w:val="ListParagraph"/>
        <w:numPr>
          <w:ilvl w:val="0"/>
          <w:numId w:val="43"/>
        </w:numPr>
        <w:ind w:left="426"/>
        <w:contextualSpacing w:val="0"/>
        <w:jc w:val="both"/>
        <w:rPr>
          <w:sz w:val="28"/>
          <w:szCs w:val="28"/>
        </w:rPr>
      </w:pPr>
      <w:r>
        <w:rPr>
          <w:sz w:val="28"/>
          <w:szCs w:val="28"/>
        </w:rPr>
        <w:t>v</w:t>
      </w:r>
      <w:r w:rsidRPr="000846B9">
        <w:rPr>
          <w:sz w:val="28"/>
          <w:szCs w:val="28"/>
        </w:rPr>
        <w:t>eikt prioritārajiem tūrisma veidiem specifiskās un uz attiecīgajām tūrisma grupām vērstas mārketinga aktivitātes;</w:t>
      </w:r>
    </w:p>
    <w:p w:rsidR="00D115EC" w:rsidRPr="000846B9" w:rsidRDefault="00D115EC" w:rsidP="00D115EC">
      <w:pPr>
        <w:pStyle w:val="naisf"/>
        <w:numPr>
          <w:ilvl w:val="0"/>
          <w:numId w:val="43"/>
        </w:numPr>
        <w:spacing w:before="0" w:after="0"/>
        <w:ind w:left="426"/>
        <w:rPr>
          <w:sz w:val="28"/>
          <w:szCs w:val="28"/>
        </w:rPr>
      </w:pPr>
      <w:r>
        <w:rPr>
          <w:sz w:val="28"/>
          <w:szCs w:val="28"/>
        </w:rPr>
        <w:t>p</w:t>
      </w:r>
      <w:r w:rsidRPr="000846B9">
        <w:rPr>
          <w:sz w:val="28"/>
          <w:szCs w:val="28"/>
        </w:rPr>
        <w:t>ārskatīt pašreizējo ES un citu finanšu instrumentu finansējuma sadali, novirzot finanšu līdzekļus tūrisma nozares attīstībai;</w:t>
      </w:r>
    </w:p>
    <w:p w:rsidR="00D115EC" w:rsidRPr="000846B9" w:rsidRDefault="00D115EC" w:rsidP="00D115EC">
      <w:pPr>
        <w:pStyle w:val="ListParagraph"/>
        <w:numPr>
          <w:ilvl w:val="0"/>
          <w:numId w:val="43"/>
        </w:numPr>
        <w:ind w:left="426"/>
        <w:contextualSpacing w:val="0"/>
        <w:jc w:val="both"/>
        <w:rPr>
          <w:sz w:val="28"/>
          <w:szCs w:val="28"/>
        </w:rPr>
      </w:pPr>
      <w:r>
        <w:rPr>
          <w:sz w:val="28"/>
          <w:szCs w:val="28"/>
        </w:rPr>
        <w:t>n</w:t>
      </w:r>
      <w:r w:rsidRPr="000846B9">
        <w:rPr>
          <w:sz w:val="28"/>
          <w:szCs w:val="28"/>
        </w:rPr>
        <w:t>odrošināt labvēlīgu vidi ārvalstu un vietējo investīciju piesaistei tūrisma nozarei;</w:t>
      </w:r>
    </w:p>
    <w:p w:rsidR="00D115EC" w:rsidRPr="000846B9" w:rsidRDefault="00D115EC" w:rsidP="00D115EC">
      <w:pPr>
        <w:pStyle w:val="ListParagraph"/>
        <w:numPr>
          <w:ilvl w:val="0"/>
          <w:numId w:val="43"/>
        </w:numPr>
        <w:ind w:left="426"/>
        <w:contextualSpacing w:val="0"/>
        <w:jc w:val="both"/>
        <w:rPr>
          <w:sz w:val="28"/>
          <w:szCs w:val="28"/>
        </w:rPr>
      </w:pPr>
      <w:r>
        <w:rPr>
          <w:sz w:val="28"/>
          <w:szCs w:val="28"/>
        </w:rPr>
        <w:t>n</w:t>
      </w:r>
      <w:r w:rsidRPr="000846B9">
        <w:rPr>
          <w:sz w:val="28"/>
          <w:szCs w:val="28"/>
        </w:rPr>
        <w:t>odrošināt moderno tehnoloģiju efektīvu pielietošanu Latvijas valsts tēla atpazīstamības veicināšanas procesā;</w:t>
      </w:r>
    </w:p>
    <w:p w:rsidR="00D115EC" w:rsidRPr="000846B9" w:rsidRDefault="00D115EC" w:rsidP="00D115EC">
      <w:pPr>
        <w:pStyle w:val="ListParagraph"/>
        <w:numPr>
          <w:ilvl w:val="0"/>
          <w:numId w:val="43"/>
        </w:numPr>
        <w:ind w:left="426"/>
        <w:contextualSpacing w:val="0"/>
        <w:jc w:val="both"/>
        <w:rPr>
          <w:sz w:val="28"/>
          <w:szCs w:val="28"/>
        </w:rPr>
      </w:pPr>
      <w:r>
        <w:rPr>
          <w:sz w:val="28"/>
          <w:szCs w:val="28"/>
        </w:rPr>
        <w:t>v</w:t>
      </w:r>
      <w:r w:rsidRPr="000846B9">
        <w:rPr>
          <w:sz w:val="28"/>
          <w:szCs w:val="28"/>
        </w:rPr>
        <w:t>eicināt publiskā un privātā sektora kopīgu dalību tūrisma mārketinga aktivitāšu sagatavošanā un īstenošanā;</w:t>
      </w:r>
    </w:p>
    <w:p w:rsidR="00D115EC" w:rsidRPr="000846B9" w:rsidRDefault="00D115EC" w:rsidP="00D115EC">
      <w:pPr>
        <w:pStyle w:val="ListParagraph"/>
        <w:numPr>
          <w:ilvl w:val="0"/>
          <w:numId w:val="43"/>
        </w:numPr>
        <w:ind w:left="426"/>
        <w:contextualSpacing w:val="0"/>
        <w:jc w:val="both"/>
        <w:rPr>
          <w:sz w:val="28"/>
          <w:szCs w:val="28"/>
        </w:rPr>
      </w:pPr>
      <w:r>
        <w:rPr>
          <w:sz w:val="28"/>
          <w:szCs w:val="28"/>
        </w:rPr>
        <w:t>n</w:t>
      </w:r>
      <w:r w:rsidRPr="000846B9">
        <w:rPr>
          <w:sz w:val="28"/>
          <w:szCs w:val="28"/>
        </w:rPr>
        <w:t>odrošināt periodiskus, konkrētai sezonai atbilstošu mārketinga pasākumu īstenošanu vietējā tūrisma tirgū;</w:t>
      </w:r>
    </w:p>
    <w:p w:rsidR="00D115EC" w:rsidRPr="000846B9" w:rsidRDefault="00D115EC" w:rsidP="00D115EC">
      <w:pPr>
        <w:pStyle w:val="ListParagraph"/>
        <w:numPr>
          <w:ilvl w:val="0"/>
          <w:numId w:val="43"/>
        </w:numPr>
        <w:ind w:left="426"/>
        <w:contextualSpacing w:val="0"/>
        <w:jc w:val="both"/>
        <w:rPr>
          <w:sz w:val="28"/>
          <w:szCs w:val="28"/>
        </w:rPr>
      </w:pPr>
      <w:r>
        <w:rPr>
          <w:sz w:val="28"/>
          <w:szCs w:val="28"/>
        </w:rPr>
        <w:t>n</w:t>
      </w:r>
      <w:r w:rsidRPr="000846B9">
        <w:rPr>
          <w:sz w:val="28"/>
          <w:szCs w:val="28"/>
        </w:rPr>
        <w:t>odrošināt Latvijas pārstāvniecību ārvalstīs (diplomātisko, konsulāro, ekonomisko) aktīvu iesaisti un sadarbību Latvijas tūrisma produktu un pakalpojumu virzīšanā attiecīgajos mērķ</w:t>
      </w:r>
      <w:r w:rsidR="00012D8B">
        <w:rPr>
          <w:sz w:val="28"/>
          <w:szCs w:val="28"/>
        </w:rPr>
        <w:t xml:space="preserve">a </w:t>
      </w:r>
      <w:r w:rsidR="00B979D3">
        <w:rPr>
          <w:sz w:val="28"/>
          <w:szCs w:val="28"/>
        </w:rPr>
        <w:t>tirgos.</w:t>
      </w:r>
    </w:p>
    <w:p w:rsidR="00D115EC" w:rsidRPr="00B66509" w:rsidRDefault="00D115EC" w:rsidP="00D115EC">
      <w:pPr>
        <w:rPr>
          <w:sz w:val="12"/>
          <w:szCs w:val="16"/>
        </w:rPr>
      </w:pPr>
    </w:p>
    <w:p w:rsidR="00D115EC" w:rsidRDefault="00D115EC" w:rsidP="00D115EC">
      <w:pPr>
        <w:rPr>
          <w:sz w:val="28"/>
          <w:szCs w:val="28"/>
        </w:rPr>
      </w:pPr>
      <w:r w:rsidRPr="00CE51CD">
        <w:rPr>
          <w:sz w:val="28"/>
          <w:szCs w:val="28"/>
        </w:rPr>
        <w:t>Atbalsts</w:t>
      </w:r>
      <w:r w:rsidR="00156DFE">
        <w:rPr>
          <w:sz w:val="28"/>
          <w:szCs w:val="28"/>
        </w:rPr>
        <w:t xml:space="preserve"> </w:t>
      </w:r>
      <w:r>
        <w:rPr>
          <w:sz w:val="28"/>
          <w:szCs w:val="28"/>
        </w:rPr>
        <w:t>i</w:t>
      </w:r>
      <w:r w:rsidRPr="00CE51CD">
        <w:rPr>
          <w:sz w:val="28"/>
          <w:szCs w:val="28"/>
        </w:rPr>
        <w:t>nformācijas un komunikāciju tehnoloģij</w:t>
      </w:r>
      <w:r>
        <w:rPr>
          <w:sz w:val="28"/>
          <w:szCs w:val="28"/>
        </w:rPr>
        <w:t>u nozares attīstībai:</w:t>
      </w:r>
    </w:p>
    <w:p w:rsidR="005A728F" w:rsidRPr="00B66509" w:rsidRDefault="005A728F" w:rsidP="00B66509">
      <w:pPr>
        <w:pStyle w:val="ListParagraph"/>
        <w:numPr>
          <w:ilvl w:val="0"/>
          <w:numId w:val="7"/>
        </w:numPr>
        <w:ind w:left="426"/>
        <w:jc w:val="both"/>
        <w:rPr>
          <w:rFonts w:cs="Times New Roman"/>
          <w:sz w:val="28"/>
          <w:szCs w:val="28"/>
        </w:rPr>
      </w:pPr>
      <w:bookmarkStart w:id="23" w:name="_Toc240432243"/>
      <w:r w:rsidRPr="00B66509">
        <w:rPr>
          <w:rFonts w:cs="Times New Roman"/>
          <w:sz w:val="28"/>
          <w:szCs w:val="28"/>
        </w:rPr>
        <w:t>veicināt</w:t>
      </w:r>
      <w:r w:rsidR="00156DFE">
        <w:rPr>
          <w:rFonts w:cs="Times New Roman"/>
          <w:sz w:val="28"/>
          <w:szCs w:val="28"/>
        </w:rPr>
        <w:t xml:space="preserve"> </w:t>
      </w:r>
      <w:r w:rsidRPr="00B66509">
        <w:rPr>
          <w:rFonts w:cs="Times New Roman"/>
          <w:sz w:val="28"/>
          <w:szCs w:val="28"/>
        </w:rPr>
        <w:t>elektronisko dokumentu apriti, samazināt</w:t>
      </w:r>
      <w:r w:rsidR="00156DFE">
        <w:rPr>
          <w:rFonts w:cs="Times New Roman"/>
          <w:sz w:val="28"/>
          <w:szCs w:val="28"/>
        </w:rPr>
        <w:t xml:space="preserve"> </w:t>
      </w:r>
      <w:r w:rsidRPr="00B66509">
        <w:rPr>
          <w:rFonts w:cs="Times New Roman"/>
          <w:sz w:val="28"/>
          <w:szCs w:val="28"/>
        </w:rPr>
        <w:t xml:space="preserve">izziņu </w:t>
      </w:r>
      <w:r w:rsidR="00B979D3">
        <w:rPr>
          <w:rFonts w:cs="Times New Roman"/>
          <w:sz w:val="28"/>
          <w:szCs w:val="28"/>
        </w:rPr>
        <w:t>un citu papīra dokumentu apriti.</w:t>
      </w:r>
    </w:p>
    <w:p w:rsidR="00D115EC" w:rsidRDefault="00D115EC">
      <w:pPr>
        <w:spacing w:after="200" w:line="276" w:lineRule="auto"/>
        <w:rPr>
          <w:rFonts w:eastAsiaTheme="majorEastAsia" w:cs="Times New Roman"/>
          <w:b/>
          <w:bCs/>
          <w:sz w:val="32"/>
          <w:szCs w:val="28"/>
        </w:rPr>
      </w:pPr>
    </w:p>
    <w:p w:rsidR="005A728F" w:rsidRDefault="005A728F">
      <w:pPr>
        <w:spacing w:after="200" w:line="276" w:lineRule="auto"/>
        <w:rPr>
          <w:rFonts w:eastAsiaTheme="majorEastAsia" w:cs="Times New Roman"/>
          <w:b/>
          <w:bCs/>
          <w:sz w:val="32"/>
          <w:szCs w:val="28"/>
        </w:rPr>
      </w:pPr>
      <w:r>
        <w:rPr>
          <w:rFonts w:cs="Times New Roman"/>
        </w:rPr>
        <w:br w:type="page"/>
      </w:r>
    </w:p>
    <w:p w:rsidR="00EF1F2B" w:rsidRPr="0088758F" w:rsidRDefault="00582EE4" w:rsidP="00EF1F2B">
      <w:pPr>
        <w:pStyle w:val="Heading1"/>
        <w:jc w:val="both"/>
        <w:rPr>
          <w:rFonts w:cs="Times New Roman"/>
        </w:rPr>
      </w:pPr>
      <w:bookmarkStart w:id="24" w:name="_Toc242510368"/>
      <w:r>
        <w:rPr>
          <w:rFonts w:cs="Times New Roman"/>
        </w:rPr>
        <w:lastRenderedPageBreak/>
        <w:t>4</w:t>
      </w:r>
      <w:r w:rsidR="00EF1F2B" w:rsidRPr="0088758F">
        <w:rPr>
          <w:rFonts w:cs="Times New Roman"/>
        </w:rPr>
        <w:t>. Konkurētspējai labvēlīgas vides radīšana</w:t>
      </w:r>
      <w:bookmarkEnd w:id="23"/>
      <w:bookmarkEnd w:id="24"/>
      <w:r w:rsidR="00EF1F2B" w:rsidRPr="0088758F">
        <w:rPr>
          <w:rFonts w:cs="Times New Roman"/>
        </w:rPr>
        <w:t xml:space="preserve"> </w:t>
      </w:r>
    </w:p>
    <w:p w:rsidR="00EF1F2B" w:rsidRPr="0088758F" w:rsidRDefault="00EF1F2B" w:rsidP="00EF1F2B">
      <w:pPr>
        <w:rPr>
          <w:sz w:val="12"/>
        </w:rPr>
      </w:pPr>
      <w:bookmarkStart w:id="25" w:name="_Toc240432244"/>
    </w:p>
    <w:p w:rsidR="00EF1F2B" w:rsidRPr="0088758F" w:rsidRDefault="00582EE4" w:rsidP="00EF1F2B">
      <w:pPr>
        <w:pStyle w:val="Heading3"/>
        <w:rPr>
          <w:rFonts w:cs="Times New Roman"/>
          <w:sz w:val="28"/>
          <w:szCs w:val="28"/>
        </w:rPr>
      </w:pPr>
      <w:bookmarkStart w:id="26" w:name="_Toc242510369"/>
      <w:r>
        <w:rPr>
          <w:rFonts w:cs="Times New Roman"/>
          <w:sz w:val="28"/>
          <w:szCs w:val="28"/>
        </w:rPr>
        <w:t>4</w:t>
      </w:r>
      <w:r w:rsidR="00EF1F2B" w:rsidRPr="0088758F">
        <w:rPr>
          <w:rFonts w:cs="Times New Roman"/>
          <w:sz w:val="28"/>
          <w:szCs w:val="28"/>
        </w:rPr>
        <w:t>.1. Nodokļu politikas pilnveidošana</w:t>
      </w:r>
      <w:bookmarkEnd w:id="26"/>
    </w:p>
    <w:p w:rsidR="00EF1F2B" w:rsidRPr="0088758F" w:rsidRDefault="00EF1F2B" w:rsidP="00EF1F2B">
      <w:pPr>
        <w:ind w:firstLine="567"/>
        <w:jc w:val="both"/>
        <w:rPr>
          <w:rFonts w:cs="Times New Roman"/>
          <w:b/>
          <w:sz w:val="12"/>
          <w:szCs w:val="28"/>
        </w:rPr>
      </w:pPr>
    </w:p>
    <w:p w:rsidR="00AA5C31" w:rsidRPr="0088758F" w:rsidRDefault="00AA5C31" w:rsidP="00AA5C31">
      <w:pPr>
        <w:spacing w:after="80"/>
        <w:jc w:val="both"/>
        <w:rPr>
          <w:rFonts w:cs="Times New Roman"/>
          <w:sz w:val="28"/>
          <w:szCs w:val="28"/>
        </w:rPr>
      </w:pPr>
      <w:r w:rsidRPr="0088758F">
        <w:rPr>
          <w:rFonts w:cs="Times New Roman"/>
          <w:b/>
          <w:sz w:val="28"/>
          <w:szCs w:val="28"/>
        </w:rPr>
        <w:t xml:space="preserve">Mērķis: </w:t>
      </w:r>
      <w:r w:rsidRPr="0088758F">
        <w:rPr>
          <w:rFonts w:cs="Times New Roman"/>
          <w:sz w:val="28"/>
          <w:szCs w:val="28"/>
        </w:rPr>
        <w:t>izstrādāt nodokļu politiku, kas</w:t>
      </w:r>
      <w:r>
        <w:rPr>
          <w:rFonts w:cs="Times New Roman"/>
          <w:sz w:val="28"/>
          <w:szCs w:val="28"/>
        </w:rPr>
        <w:t xml:space="preserve"> veicina</w:t>
      </w:r>
      <w:r w:rsidRPr="0088758F">
        <w:rPr>
          <w:rFonts w:cs="Times New Roman"/>
          <w:sz w:val="28"/>
          <w:szCs w:val="28"/>
        </w:rPr>
        <w:t xml:space="preserve"> uzņēmējdarbīb</w:t>
      </w:r>
      <w:r>
        <w:rPr>
          <w:rFonts w:cs="Times New Roman"/>
          <w:sz w:val="28"/>
          <w:szCs w:val="28"/>
        </w:rPr>
        <w:t>u</w:t>
      </w:r>
      <w:r w:rsidRPr="0088758F">
        <w:rPr>
          <w:rFonts w:cs="Times New Roman"/>
          <w:sz w:val="28"/>
          <w:szCs w:val="28"/>
        </w:rPr>
        <w:t xml:space="preserve"> </w:t>
      </w:r>
      <w:r>
        <w:rPr>
          <w:rFonts w:cs="Times New Roman"/>
          <w:sz w:val="28"/>
          <w:szCs w:val="28"/>
        </w:rPr>
        <w:t xml:space="preserve">un sabalansētu </w:t>
      </w:r>
      <w:r w:rsidRPr="0088758F">
        <w:rPr>
          <w:rFonts w:cs="Times New Roman"/>
          <w:sz w:val="28"/>
          <w:szCs w:val="28"/>
        </w:rPr>
        <w:t>ekonomikas attīstību.</w:t>
      </w:r>
    </w:p>
    <w:p w:rsidR="00AA5C31" w:rsidRPr="0088758F" w:rsidRDefault="00AA5C31" w:rsidP="00AA5C31">
      <w:pPr>
        <w:ind w:firstLine="284"/>
        <w:jc w:val="both"/>
        <w:rPr>
          <w:sz w:val="28"/>
          <w:szCs w:val="28"/>
        </w:rPr>
      </w:pPr>
      <w:r w:rsidRPr="0088758F">
        <w:rPr>
          <w:sz w:val="28"/>
          <w:szCs w:val="28"/>
        </w:rPr>
        <w:t xml:space="preserve">Lai veiksmīgi realizētu nodokļu </w:t>
      </w:r>
      <w:r>
        <w:rPr>
          <w:sz w:val="28"/>
          <w:szCs w:val="28"/>
        </w:rPr>
        <w:t>s</w:t>
      </w:r>
      <w:r w:rsidRPr="0088758F">
        <w:rPr>
          <w:sz w:val="28"/>
          <w:szCs w:val="28"/>
        </w:rPr>
        <w:t>istēmas reformas</w:t>
      </w:r>
      <w:r>
        <w:rPr>
          <w:sz w:val="28"/>
          <w:szCs w:val="28"/>
        </w:rPr>
        <w:t>,</w:t>
      </w:r>
      <w:r w:rsidRPr="0088758F">
        <w:rPr>
          <w:sz w:val="28"/>
          <w:szCs w:val="28"/>
        </w:rPr>
        <w:t xml:space="preserve"> tiek ievēroti vairāki principi:</w:t>
      </w:r>
    </w:p>
    <w:p w:rsidR="00AA5C31" w:rsidRPr="0088758F" w:rsidRDefault="00AA5C31" w:rsidP="00AA5C31">
      <w:pPr>
        <w:pStyle w:val="ListParagraph"/>
        <w:numPr>
          <w:ilvl w:val="0"/>
          <w:numId w:val="7"/>
        </w:numPr>
        <w:ind w:left="709"/>
        <w:contextualSpacing w:val="0"/>
        <w:jc w:val="both"/>
        <w:rPr>
          <w:sz w:val="28"/>
          <w:szCs w:val="28"/>
        </w:rPr>
      </w:pPr>
      <w:r w:rsidRPr="0088758F">
        <w:rPr>
          <w:sz w:val="28"/>
          <w:szCs w:val="28"/>
        </w:rPr>
        <w:t>ilgtermiņa skats: stabilitāte un prognozējamība;</w:t>
      </w:r>
    </w:p>
    <w:p w:rsidR="00AA5C31" w:rsidRPr="0088758F" w:rsidRDefault="00AA5C31" w:rsidP="00AA5C31">
      <w:pPr>
        <w:pStyle w:val="ListParagraph"/>
        <w:numPr>
          <w:ilvl w:val="0"/>
          <w:numId w:val="7"/>
        </w:numPr>
        <w:ind w:left="709"/>
        <w:contextualSpacing w:val="0"/>
        <w:jc w:val="both"/>
        <w:rPr>
          <w:sz w:val="28"/>
          <w:szCs w:val="28"/>
        </w:rPr>
      </w:pPr>
      <w:r w:rsidRPr="0088758F">
        <w:rPr>
          <w:sz w:val="28"/>
          <w:szCs w:val="28"/>
        </w:rPr>
        <w:t>skaidra un pārdomāta mērķu un rīcības komunikācija;</w:t>
      </w:r>
    </w:p>
    <w:p w:rsidR="00AA5C31" w:rsidRPr="0088758F" w:rsidRDefault="00AA5C31" w:rsidP="00AA5C31">
      <w:pPr>
        <w:pStyle w:val="ListParagraph"/>
        <w:numPr>
          <w:ilvl w:val="0"/>
          <w:numId w:val="7"/>
        </w:numPr>
        <w:ind w:left="709"/>
        <w:contextualSpacing w:val="0"/>
        <w:jc w:val="both"/>
        <w:rPr>
          <w:sz w:val="28"/>
          <w:szCs w:val="28"/>
        </w:rPr>
      </w:pPr>
      <w:r w:rsidRPr="0088758F">
        <w:rPr>
          <w:sz w:val="28"/>
          <w:szCs w:val="28"/>
        </w:rPr>
        <w:t>atba</w:t>
      </w:r>
      <w:r>
        <w:rPr>
          <w:sz w:val="28"/>
          <w:szCs w:val="28"/>
        </w:rPr>
        <w:t>lsts eksporta nozaru attīstībai</w:t>
      </w:r>
      <w:r w:rsidRPr="0088758F">
        <w:rPr>
          <w:sz w:val="28"/>
          <w:szCs w:val="28"/>
        </w:rPr>
        <w:t>;</w:t>
      </w:r>
    </w:p>
    <w:p w:rsidR="00AA5C31" w:rsidRPr="0088758F" w:rsidRDefault="00AA5C31" w:rsidP="00AA5C31">
      <w:pPr>
        <w:pStyle w:val="ListParagraph"/>
        <w:numPr>
          <w:ilvl w:val="0"/>
          <w:numId w:val="7"/>
        </w:numPr>
        <w:ind w:left="709"/>
        <w:contextualSpacing w:val="0"/>
        <w:jc w:val="both"/>
        <w:rPr>
          <w:sz w:val="28"/>
          <w:szCs w:val="28"/>
        </w:rPr>
      </w:pPr>
      <w:r w:rsidRPr="0088758F">
        <w:rPr>
          <w:sz w:val="28"/>
          <w:szCs w:val="28"/>
        </w:rPr>
        <w:t>samērojami nodokļi par līdzīgiem ienākumu veidiem, izlīdzinot nodokļu slogu;</w:t>
      </w:r>
    </w:p>
    <w:p w:rsidR="00AA5C31" w:rsidRPr="0088758F" w:rsidRDefault="00AA5C31" w:rsidP="00AA5C31">
      <w:pPr>
        <w:pStyle w:val="ListParagraph"/>
        <w:numPr>
          <w:ilvl w:val="0"/>
          <w:numId w:val="7"/>
        </w:numPr>
        <w:ind w:left="709"/>
        <w:contextualSpacing w:val="0"/>
        <w:jc w:val="both"/>
        <w:rPr>
          <w:sz w:val="28"/>
          <w:szCs w:val="28"/>
        </w:rPr>
      </w:pPr>
      <w:r w:rsidRPr="0088758F">
        <w:rPr>
          <w:sz w:val="28"/>
          <w:szCs w:val="28"/>
        </w:rPr>
        <w:t>relatīvi viegla administrēšana (vienkārša un efektīva);</w:t>
      </w:r>
    </w:p>
    <w:p w:rsidR="00AA5C31" w:rsidRDefault="00AA5C31" w:rsidP="00AA5C31">
      <w:pPr>
        <w:pStyle w:val="ListParagraph"/>
        <w:numPr>
          <w:ilvl w:val="0"/>
          <w:numId w:val="7"/>
        </w:numPr>
        <w:ind w:left="709"/>
        <w:contextualSpacing w:val="0"/>
        <w:jc w:val="both"/>
        <w:rPr>
          <w:sz w:val="28"/>
          <w:szCs w:val="28"/>
        </w:rPr>
      </w:pPr>
      <w:r w:rsidRPr="0088758F">
        <w:rPr>
          <w:sz w:val="28"/>
          <w:szCs w:val="28"/>
        </w:rPr>
        <w:t>sistēmiska nodokļu politikas analīze, vei</w:t>
      </w:r>
      <w:r>
        <w:rPr>
          <w:sz w:val="28"/>
          <w:szCs w:val="28"/>
        </w:rPr>
        <w:t>kts kopējās ietekmes izvērtējums;</w:t>
      </w:r>
    </w:p>
    <w:p w:rsidR="00AA5C31" w:rsidRPr="0088758F" w:rsidRDefault="00AA5C31" w:rsidP="00AA5C31">
      <w:pPr>
        <w:pStyle w:val="ListParagraph"/>
        <w:numPr>
          <w:ilvl w:val="0"/>
          <w:numId w:val="7"/>
        </w:numPr>
        <w:ind w:left="709"/>
        <w:contextualSpacing w:val="0"/>
        <w:jc w:val="both"/>
        <w:rPr>
          <w:sz w:val="28"/>
          <w:szCs w:val="28"/>
        </w:rPr>
      </w:pPr>
      <w:r w:rsidRPr="0088758F">
        <w:rPr>
          <w:sz w:val="28"/>
          <w:szCs w:val="28"/>
        </w:rPr>
        <w:t>nodokļu likmju samērojamība Baltijas valstu ietvaros.</w:t>
      </w:r>
    </w:p>
    <w:p w:rsidR="00AA5C31" w:rsidRPr="0088758F" w:rsidRDefault="00AA5C31" w:rsidP="00AA5C31">
      <w:pPr>
        <w:jc w:val="both"/>
        <w:rPr>
          <w:rFonts w:eastAsiaTheme="majorEastAsia" w:cstheme="majorBidi"/>
          <w:bCs/>
          <w:sz w:val="18"/>
          <w:szCs w:val="28"/>
        </w:rPr>
      </w:pPr>
    </w:p>
    <w:p w:rsidR="00AA5C31" w:rsidRPr="0088758F" w:rsidRDefault="00AA5C31" w:rsidP="00AA5C31">
      <w:pPr>
        <w:ind w:firstLine="567"/>
        <w:jc w:val="both"/>
        <w:rPr>
          <w:rFonts w:eastAsia="Calibri"/>
          <w:sz w:val="28"/>
          <w:szCs w:val="28"/>
        </w:rPr>
      </w:pPr>
      <w:r w:rsidRPr="0088758F">
        <w:rPr>
          <w:rFonts w:cs="Times New Roman"/>
          <w:sz w:val="28"/>
          <w:szCs w:val="28"/>
        </w:rPr>
        <w:t xml:space="preserve">Ekonomikas ministrijas sagatavotais </w:t>
      </w:r>
      <w:r w:rsidRPr="0088758F">
        <w:rPr>
          <w:rFonts w:eastAsia="Calibri"/>
          <w:i/>
          <w:sz w:val="28"/>
          <w:szCs w:val="28"/>
        </w:rPr>
        <w:t>Informatīvais ziņojums par nodokļu politikas pārskatīšanu ekonomikas stimulēšanai</w:t>
      </w:r>
      <w:r w:rsidRPr="0088758F">
        <w:rPr>
          <w:rFonts w:eastAsia="Calibri"/>
          <w:sz w:val="28"/>
          <w:szCs w:val="28"/>
        </w:rPr>
        <w:t xml:space="preserve"> tika konceptuāli atbalstīts </w:t>
      </w:r>
      <w:r>
        <w:rPr>
          <w:rFonts w:eastAsia="Calibri"/>
          <w:sz w:val="28"/>
          <w:szCs w:val="28"/>
        </w:rPr>
        <w:t>MK</w:t>
      </w:r>
      <w:r w:rsidRPr="0088758F">
        <w:rPr>
          <w:rFonts w:eastAsia="Calibri"/>
          <w:sz w:val="28"/>
          <w:szCs w:val="28"/>
        </w:rPr>
        <w:t xml:space="preserve"> 2009.gada 15.septembra sēdē. </w:t>
      </w:r>
      <w:r>
        <w:rPr>
          <w:rFonts w:eastAsia="Calibri"/>
          <w:sz w:val="28"/>
          <w:szCs w:val="28"/>
        </w:rPr>
        <w:t>Ministru kabineta sēdes proto</w:t>
      </w:r>
      <w:r w:rsidR="00B40B1E">
        <w:rPr>
          <w:rFonts w:eastAsia="Calibri"/>
          <w:sz w:val="28"/>
          <w:szCs w:val="28"/>
        </w:rPr>
        <w:t>ko</w:t>
      </w:r>
      <w:r>
        <w:rPr>
          <w:rFonts w:eastAsia="Calibri"/>
          <w:sz w:val="28"/>
          <w:szCs w:val="28"/>
        </w:rPr>
        <w:t xml:space="preserve">llēmuma projekts </w:t>
      </w:r>
      <w:r w:rsidRPr="00B40B1E">
        <w:rPr>
          <w:rFonts w:eastAsia="Calibri"/>
          <w:i/>
          <w:sz w:val="28"/>
          <w:szCs w:val="28"/>
        </w:rPr>
        <w:t xml:space="preserve">„Par </w:t>
      </w:r>
      <w:r w:rsidRPr="00B40B1E">
        <w:rPr>
          <w:i/>
          <w:sz w:val="28"/>
          <w:szCs w:val="28"/>
        </w:rPr>
        <w:t>veicamajiem pasākumiem nodokļu politikas pārskatīšanai ekonomikas stimulēšana”</w:t>
      </w:r>
      <w:r>
        <w:rPr>
          <w:sz w:val="28"/>
          <w:szCs w:val="28"/>
        </w:rPr>
        <w:t xml:space="preserve"> tika pieņemts Ministru kabineta 29.</w:t>
      </w:r>
      <w:r w:rsidR="00DE6B78">
        <w:rPr>
          <w:sz w:val="28"/>
          <w:szCs w:val="28"/>
        </w:rPr>
        <w:t>septembra</w:t>
      </w:r>
      <w:r w:rsidR="00B40B1E">
        <w:rPr>
          <w:sz w:val="28"/>
          <w:szCs w:val="28"/>
        </w:rPr>
        <w:t xml:space="preserve"> sēdē.</w:t>
      </w:r>
    </w:p>
    <w:p w:rsidR="00AA5C31" w:rsidRPr="0088758F" w:rsidRDefault="00AA5C31" w:rsidP="00AA5C31">
      <w:pPr>
        <w:jc w:val="both"/>
        <w:rPr>
          <w:rFonts w:eastAsia="Calibri"/>
          <w:sz w:val="28"/>
          <w:szCs w:val="28"/>
          <w:u w:val="single"/>
        </w:rPr>
      </w:pPr>
    </w:p>
    <w:p w:rsidR="00AA5C31" w:rsidRPr="0088758F" w:rsidRDefault="00AA5C31" w:rsidP="00AA5C31">
      <w:pPr>
        <w:jc w:val="both"/>
        <w:rPr>
          <w:rFonts w:eastAsia="Calibri"/>
          <w:sz w:val="28"/>
          <w:szCs w:val="28"/>
          <w:u w:val="single"/>
        </w:rPr>
      </w:pPr>
      <w:r w:rsidRPr="0088758F">
        <w:rPr>
          <w:rFonts w:eastAsia="Calibri"/>
          <w:sz w:val="28"/>
          <w:szCs w:val="28"/>
          <w:u w:val="single"/>
        </w:rPr>
        <w:t xml:space="preserve">Galvenie </w:t>
      </w:r>
      <w:r>
        <w:rPr>
          <w:rFonts w:eastAsia="Calibri"/>
          <w:sz w:val="28"/>
          <w:szCs w:val="28"/>
          <w:u w:val="single"/>
        </w:rPr>
        <w:t xml:space="preserve">horizontālie </w:t>
      </w:r>
      <w:r w:rsidRPr="0088758F">
        <w:rPr>
          <w:rFonts w:eastAsia="Calibri"/>
          <w:sz w:val="28"/>
          <w:szCs w:val="28"/>
          <w:u w:val="single"/>
        </w:rPr>
        <w:t>veicamie pasākumi nodokļu politikas pilnveidošanas jomā:</w:t>
      </w:r>
    </w:p>
    <w:p w:rsidR="00FC1194" w:rsidRPr="00FC1194" w:rsidRDefault="00FC1194" w:rsidP="00FC1194">
      <w:pPr>
        <w:pStyle w:val="ListParagraph"/>
        <w:numPr>
          <w:ilvl w:val="0"/>
          <w:numId w:val="7"/>
        </w:numPr>
        <w:ind w:left="426"/>
        <w:contextualSpacing w:val="0"/>
        <w:jc w:val="both"/>
        <w:rPr>
          <w:sz w:val="28"/>
          <w:szCs w:val="28"/>
        </w:rPr>
      </w:pPr>
      <w:r w:rsidRPr="00FC1194">
        <w:rPr>
          <w:rStyle w:val="spelle"/>
          <w:sz w:val="28"/>
          <w:szCs w:val="28"/>
        </w:rPr>
        <w:t>pārskatīt uzņēmumu ienākuma nodokļa avansa maksājumu kārtību</w:t>
      </w:r>
      <w:r w:rsidRPr="00FC1194">
        <w:rPr>
          <w:sz w:val="28"/>
          <w:szCs w:val="28"/>
        </w:rPr>
        <w:t>;</w:t>
      </w:r>
    </w:p>
    <w:p w:rsidR="00FC1194" w:rsidRPr="00FC1194" w:rsidRDefault="00FC1194" w:rsidP="00FC1194">
      <w:pPr>
        <w:pStyle w:val="ListParagraph"/>
        <w:numPr>
          <w:ilvl w:val="0"/>
          <w:numId w:val="7"/>
        </w:numPr>
        <w:ind w:left="426"/>
        <w:contextualSpacing w:val="0"/>
        <w:jc w:val="both"/>
        <w:rPr>
          <w:sz w:val="28"/>
          <w:szCs w:val="28"/>
        </w:rPr>
      </w:pPr>
      <w:r w:rsidRPr="00FC1194">
        <w:rPr>
          <w:sz w:val="28"/>
          <w:szCs w:val="28"/>
        </w:rPr>
        <w:t>veikt izmaiņas PVN avansēšanas sistēmā, nodrošinot iespēju pagarināt PVN nomaksas termiņu pēc rēķina saņemšanas;</w:t>
      </w:r>
    </w:p>
    <w:p w:rsidR="00FC1194" w:rsidRPr="00FC1194" w:rsidRDefault="00FC1194" w:rsidP="00FC1194">
      <w:pPr>
        <w:pStyle w:val="ListParagraph"/>
        <w:numPr>
          <w:ilvl w:val="0"/>
          <w:numId w:val="7"/>
        </w:numPr>
        <w:ind w:left="426"/>
        <w:contextualSpacing w:val="0"/>
        <w:jc w:val="both"/>
        <w:rPr>
          <w:sz w:val="28"/>
          <w:szCs w:val="28"/>
        </w:rPr>
      </w:pPr>
      <w:r w:rsidRPr="00FC1194">
        <w:rPr>
          <w:sz w:val="28"/>
          <w:szCs w:val="28"/>
        </w:rPr>
        <w:t>paaugstināt PVN reģistrācijas slieksni;</w:t>
      </w:r>
    </w:p>
    <w:p w:rsidR="00FC1194" w:rsidRPr="00FC1194" w:rsidRDefault="00FC1194" w:rsidP="00FC1194">
      <w:pPr>
        <w:pStyle w:val="ListParagraph"/>
        <w:numPr>
          <w:ilvl w:val="0"/>
          <w:numId w:val="7"/>
        </w:numPr>
        <w:ind w:left="426"/>
        <w:contextualSpacing w:val="0"/>
        <w:jc w:val="both"/>
        <w:rPr>
          <w:sz w:val="28"/>
          <w:szCs w:val="28"/>
        </w:rPr>
      </w:pPr>
      <w:r w:rsidRPr="00FC1194">
        <w:rPr>
          <w:sz w:val="28"/>
          <w:szCs w:val="28"/>
        </w:rPr>
        <w:t>noteikt skaidru PVN pārmaksu atmaksu sistēmu, izslēdzot nepamatotus ierobežojumus;</w:t>
      </w:r>
    </w:p>
    <w:p w:rsidR="00FC1194" w:rsidRPr="00FC1194" w:rsidRDefault="00FC1194" w:rsidP="00FC1194">
      <w:pPr>
        <w:pStyle w:val="ListParagraph"/>
        <w:numPr>
          <w:ilvl w:val="0"/>
          <w:numId w:val="7"/>
        </w:numPr>
        <w:ind w:left="426"/>
        <w:contextualSpacing w:val="0"/>
        <w:jc w:val="both"/>
        <w:rPr>
          <w:sz w:val="28"/>
          <w:szCs w:val="28"/>
        </w:rPr>
      </w:pPr>
      <w:r w:rsidRPr="00FC1194">
        <w:rPr>
          <w:sz w:val="28"/>
          <w:szCs w:val="28"/>
        </w:rPr>
        <w:t>nodokļu samaksas termiņa pagarināšana vai papildus nosacījumu piemērošana, ja nodokļu maksātājs noteiktajā termiņā un pilnā apmērā nespēj nomaksāt nodokļu maksājumus;</w:t>
      </w:r>
    </w:p>
    <w:p w:rsidR="00FC1194" w:rsidRPr="00FC1194" w:rsidRDefault="00FC1194" w:rsidP="00FC1194">
      <w:pPr>
        <w:pStyle w:val="ListParagraph"/>
        <w:numPr>
          <w:ilvl w:val="0"/>
          <w:numId w:val="7"/>
        </w:numPr>
        <w:ind w:left="426"/>
        <w:contextualSpacing w:val="0"/>
        <w:jc w:val="both"/>
        <w:rPr>
          <w:sz w:val="28"/>
          <w:szCs w:val="28"/>
        </w:rPr>
      </w:pPr>
      <w:r w:rsidRPr="00FC1194">
        <w:rPr>
          <w:sz w:val="28"/>
          <w:szCs w:val="28"/>
        </w:rPr>
        <w:t>atvieglot nosacījumus apliekamā ienākuma samazināšanai par zaudēto parādu summu;</w:t>
      </w:r>
    </w:p>
    <w:p w:rsidR="00FC1194" w:rsidRPr="0088758F" w:rsidRDefault="00FC1194" w:rsidP="00FC1194">
      <w:pPr>
        <w:pStyle w:val="ListParagraph"/>
        <w:numPr>
          <w:ilvl w:val="0"/>
          <w:numId w:val="7"/>
        </w:numPr>
        <w:ind w:left="426"/>
        <w:contextualSpacing w:val="0"/>
        <w:jc w:val="both"/>
        <w:rPr>
          <w:sz w:val="28"/>
          <w:szCs w:val="28"/>
        </w:rPr>
      </w:pPr>
      <w:r w:rsidRPr="00FC1194">
        <w:rPr>
          <w:sz w:val="28"/>
          <w:szCs w:val="28"/>
        </w:rPr>
        <w:t>pilnveidot akcīzes nodokļa nodrošinājumu izsniegšanas un dzēšanas kārtību</w:t>
      </w:r>
      <w:r w:rsidRPr="0088758F">
        <w:rPr>
          <w:sz w:val="28"/>
          <w:szCs w:val="28"/>
        </w:rPr>
        <w:t>;</w:t>
      </w:r>
    </w:p>
    <w:p w:rsidR="00FC1194" w:rsidRPr="0088758F" w:rsidRDefault="00FC1194" w:rsidP="00FC1194">
      <w:pPr>
        <w:pStyle w:val="ListParagraph"/>
        <w:numPr>
          <w:ilvl w:val="0"/>
          <w:numId w:val="7"/>
        </w:numPr>
        <w:ind w:left="426"/>
        <w:contextualSpacing w:val="0"/>
        <w:jc w:val="both"/>
        <w:rPr>
          <w:sz w:val="28"/>
          <w:szCs w:val="28"/>
        </w:rPr>
      </w:pPr>
      <w:r w:rsidRPr="0088758F">
        <w:rPr>
          <w:sz w:val="28"/>
          <w:szCs w:val="28"/>
        </w:rPr>
        <w:t>efektivizēt administrēšanas procedūras, koncentrējoties uz ēnu ekonomiku un nodokļu nemaksātājiem;</w:t>
      </w:r>
    </w:p>
    <w:p w:rsidR="00AA5C31" w:rsidRPr="0088758F" w:rsidRDefault="00FC1194" w:rsidP="00FC1194">
      <w:pPr>
        <w:pStyle w:val="ListParagraph"/>
        <w:numPr>
          <w:ilvl w:val="0"/>
          <w:numId w:val="7"/>
        </w:numPr>
        <w:ind w:left="426"/>
        <w:contextualSpacing w:val="0"/>
        <w:jc w:val="both"/>
        <w:rPr>
          <w:sz w:val="28"/>
          <w:szCs w:val="28"/>
        </w:rPr>
      </w:pPr>
      <w:r w:rsidRPr="0088758F">
        <w:rPr>
          <w:sz w:val="28"/>
          <w:szCs w:val="28"/>
        </w:rPr>
        <w:t>atjaunot maksimālo gada algas apjomu no kura maksājamas VSAOI</w:t>
      </w:r>
      <w:r w:rsidR="00AA5C31" w:rsidRPr="0088758F">
        <w:rPr>
          <w:sz w:val="28"/>
          <w:szCs w:val="28"/>
        </w:rPr>
        <w:t>.</w:t>
      </w:r>
    </w:p>
    <w:p w:rsidR="007F54E5" w:rsidRDefault="007F54E5" w:rsidP="007F54E5">
      <w:pPr>
        <w:ind w:firstLine="567"/>
        <w:jc w:val="both"/>
        <w:rPr>
          <w:rFonts w:eastAsia="Calibri"/>
          <w:sz w:val="28"/>
          <w:szCs w:val="28"/>
        </w:rPr>
      </w:pPr>
    </w:p>
    <w:p w:rsidR="007533A7" w:rsidRPr="00634249" w:rsidRDefault="007533A7" w:rsidP="007F54E5">
      <w:pPr>
        <w:ind w:firstLine="567"/>
        <w:jc w:val="both"/>
        <w:rPr>
          <w:rFonts w:eastAsia="Calibri"/>
          <w:sz w:val="20"/>
          <w:szCs w:val="28"/>
        </w:rPr>
      </w:pPr>
    </w:p>
    <w:p w:rsidR="00EF1F2B" w:rsidRPr="0088758F" w:rsidRDefault="00582EE4" w:rsidP="00EF1F2B">
      <w:pPr>
        <w:pStyle w:val="Heading3"/>
        <w:rPr>
          <w:rFonts w:cs="Times New Roman"/>
          <w:sz w:val="28"/>
          <w:szCs w:val="28"/>
        </w:rPr>
      </w:pPr>
      <w:bookmarkStart w:id="27" w:name="_Toc242510370"/>
      <w:r>
        <w:rPr>
          <w:rFonts w:cs="Times New Roman"/>
          <w:sz w:val="28"/>
          <w:szCs w:val="28"/>
        </w:rPr>
        <w:t>4</w:t>
      </w:r>
      <w:r w:rsidR="00EF1F2B" w:rsidRPr="0088758F">
        <w:rPr>
          <w:rFonts w:cs="Times New Roman"/>
          <w:sz w:val="28"/>
          <w:szCs w:val="28"/>
        </w:rPr>
        <w:t>.2. Administratīvā sloga mazināšana</w:t>
      </w:r>
      <w:bookmarkEnd w:id="25"/>
      <w:bookmarkEnd w:id="27"/>
    </w:p>
    <w:p w:rsidR="00EF1F2B" w:rsidRPr="00634249" w:rsidRDefault="00EF1F2B" w:rsidP="00EF1F2B">
      <w:pPr>
        <w:pStyle w:val="EndnoteText"/>
        <w:ind w:firstLine="720"/>
        <w:jc w:val="both"/>
        <w:rPr>
          <w:sz w:val="16"/>
          <w:szCs w:val="12"/>
        </w:rPr>
      </w:pPr>
    </w:p>
    <w:p w:rsidR="007F54E5" w:rsidRPr="0088758F" w:rsidRDefault="007F54E5" w:rsidP="00C72A34">
      <w:pPr>
        <w:spacing w:after="120"/>
        <w:jc w:val="both"/>
        <w:rPr>
          <w:rFonts w:cs="Times New Roman"/>
          <w:sz w:val="28"/>
          <w:szCs w:val="28"/>
        </w:rPr>
      </w:pPr>
      <w:bookmarkStart w:id="28" w:name="_Toc240184234"/>
      <w:bookmarkStart w:id="29" w:name="_Toc240432246"/>
      <w:r w:rsidRPr="0088758F">
        <w:rPr>
          <w:rFonts w:cs="Times New Roman"/>
          <w:b/>
          <w:sz w:val="28"/>
          <w:szCs w:val="28"/>
        </w:rPr>
        <w:t>Mērķis:</w:t>
      </w:r>
      <w:r w:rsidRPr="0088758F">
        <w:rPr>
          <w:rFonts w:cs="Times New Roman"/>
          <w:sz w:val="28"/>
          <w:szCs w:val="28"/>
        </w:rPr>
        <w:t xml:space="preserve"> nodrošināt uzņēmējdarbības veikšanai un investīciju piesaistei labvēlīgu uzņēmējdarbības vidi. </w:t>
      </w:r>
    </w:p>
    <w:p w:rsidR="007F54E5" w:rsidRPr="0088758F" w:rsidRDefault="00CD5551" w:rsidP="007F54E5">
      <w:pPr>
        <w:ind w:firstLine="720"/>
        <w:jc w:val="both"/>
        <w:rPr>
          <w:sz w:val="28"/>
        </w:rPr>
      </w:pPr>
      <w:r>
        <w:rPr>
          <w:sz w:val="28"/>
        </w:rPr>
        <w:t xml:space="preserve">Uzņēmējdarbības vide ir nosacījumu kopums, kas tiek ņemts vērā pieņemot lēmumu uzsākt vai turpināt ekonomisko darbību noteiktā teritorijā un laikā. Līdz ar to </w:t>
      </w:r>
      <w:r>
        <w:rPr>
          <w:sz w:val="28"/>
        </w:rPr>
        <w:lastRenderedPageBreak/>
        <w:t>labvēlīga uzņēmējdarbības vide</w:t>
      </w:r>
      <w:r w:rsidR="00B979D3">
        <w:rPr>
          <w:sz w:val="28"/>
        </w:rPr>
        <w:t xml:space="preserve"> </w:t>
      </w:r>
      <w:r>
        <w:rPr>
          <w:sz w:val="28"/>
        </w:rPr>
        <w:t>ir viens no galvenajiem tautsaimniecības</w:t>
      </w:r>
      <w:r w:rsidR="00156DFE">
        <w:rPr>
          <w:sz w:val="28"/>
        </w:rPr>
        <w:t xml:space="preserve"> </w:t>
      </w:r>
      <w:r>
        <w:rPr>
          <w:sz w:val="28"/>
        </w:rPr>
        <w:t xml:space="preserve">konkurētspējas priekšnosacījumiem. </w:t>
      </w:r>
      <w:r w:rsidR="007F54E5" w:rsidRPr="0088758F">
        <w:rPr>
          <w:sz w:val="28"/>
        </w:rPr>
        <w:t xml:space="preserve">Kvalitatīva uzņēmējdarbības vide veicina uzņēmumu attīstību un konkurētspējas paaugstināšanos, jaundibinātu uzņēmumu skaita pieaugumu un nelegālās uzņēmējdarbības mazināšanos. </w:t>
      </w:r>
    </w:p>
    <w:p w:rsidR="007F54E5" w:rsidRPr="0088758F" w:rsidRDefault="007F54E5" w:rsidP="007F54E5">
      <w:pPr>
        <w:pStyle w:val="Header"/>
        <w:tabs>
          <w:tab w:val="clear" w:pos="4153"/>
          <w:tab w:val="clear" w:pos="8306"/>
        </w:tabs>
        <w:ind w:firstLine="720"/>
        <w:jc w:val="both"/>
        <w:rPr>
          <w:sz w:val="28"/>
        </w:rPr>
      </w:pPr>
      <w:r w:rsidRPr="0088758F">
        <w:rPr>
          <w:sz w:val="28"/>
        </w:rPr>
        <w:t xml:space="preserve">Labvēlīga uzņēmējdarbības vide sekmē arī jaunu ārvalstu investīciju piesaisti, tāpēc uzņēmējdarbības vides uzlabošanas pasākumi ir svarīgi Latvijas uzņēmējdarbības vides konkurētspējas paaugstināšanai citu valstu vidū. </w:t>
      </w:r>
    </w:p>
    <w:p w:rsidR="008C1012" w:rsidRDefault="007F54E5" w:rsidP="007F54E5">
      <w:pPr>
        <w:jc w:val="both"/>
        <w:rPr>
          <w:rFonts w:cs="Times New Roman"/>
          <w:sz w:val="28"/>
          <w:szCs w:val="28"/>
        </w:rPr>
      </w:pPr>
      <w:r w:rsidRPr="0088758F">
        <w:rPr>
          <w:rFonts w:cs="Times New Roman"/>
          <w:sz w:val="28"/>
          <w:szCs w:val="28"/>
        </w:rPr>
        <w:tab/>
      </w:r>
      <w:r w:rsidR="00CD5551">
        <w:rPr>
          <w:rFonts w:cs="Times New Roman"/>
          <w:sz w:val="28"/>
          <w:szCs w:val="28"/>
        </w:rPr>
        <w:t>V</w:t>
      </w:r>
      <w:r w:rsidR="00CD5551" w:rsidRPr="0088758F">
        <w:rPr>
          <w:rFonts w:cs="Times New Roman"/>
          <w:sz w:val="28"/>
          <w:szCs w:val="28"/>
        </w:rPr>
        <w:t xml:space="preserve">iens no instrumentiem </w:t>
      </w:r>
      <w:r w:rsidRPr="0088758F">
        <w:rPr>
          <w:rFonts w:cs="Times New Roman"/>
          <w:sz w:val="28"/>
          <w:szCs w:val="28"/>
        </w:rPr>
        <w:t xml:space="preserve">Latvijas uzņēmējdarbības vides izvērtēšanai un tās konkurētspējas salīdzināšanai ar citām valstīm ir Pasaules bankas salīdzinošais pētījums </w:t>
      </w:r>
      <w:r w:rsidRPr="00BF007D">
        <w:rPr>
          <w:rFonts w:cs="Times New Roman"/>
          <w:i/>
          <w:sz w:val="28"/>
          <w:szCs w:val="28"/>
        </w:rPr>
        <w:t>Doing Business</w:t>
      </w:r>
      <w:r w:rsidRPr="0088758F">
        <w:rPr>
          <w:rFonts w:cs="Times New Roman"/>
          <w:sz w:val="28"/>
          <w:szCs w:val="28"/>
        </w:rPr>
        <w:t xml:space="preserve">, kas aptver 10 uzņēmējdarbības jomas un aplūko 183 valstu ekonomikas. </w:t>
      </w:r>
      <w:r w:rsidR="00CD5551">
        <w:rPr>
          <w:rFonts w:cs="Times New Roman"/>
          <w:sz w:val="28"/>
          <w:szCs w:val="28"/>
        </w:rPr>
        <w:t>J</w:t>
      </w:r>
      <w:r w:rsidRPr="0088758F">
        <w:rPr>
          <w:rFonts w:cs="Times New Roman"/>
          <w:sz w:val="28"/>
          <w:szCs w:val="28"/>
        </w:rPr>
        <w:t xml:space="preserve">aunākajā </w:t>
      </w:r>
      <w:r w:rsidRPr="00BF007D">
        <w:rPr>
          <w:rFonts w:cs="Times New Roman"/>
          <w:i/>
          <w:sz w:val="28"/>
          <w:szCs w:val="28"/>
        </w:rPr>
        <w:t>Doing Business</w:t>
      </w:r>
      <w:r w:rsidRPr="0088758F">
        <w:rPr>
          <w:rFonts w:cs="Times New Roman"/>
          <w:i/>
          <w:sz w:val="28"/>
          <w:szCs w:val="28"/>
        </w:rPr>
        <w:t xml:space="preserve"> 2010</w:t>
      </w:r>
      <w:r w:rsidRPr="0088758F">
        <w:rPr>
          <w:rFonts w:cs="Times New Roman"/>
          <w:sz w:val="28"/>
          <w:szCs w:val="28"/>
        </w:rPr>
        <w:t xml:space="preserve"> </w:t>
      </w:r>
      <w:r w:rsidR="00CD5551" w:rsidRPr="0088758F">
        <w:rPr>
          <w:rFonts w:cs="Times New Roman"/>
          <w:sz w:val="28"/>
          <w:szCs w:val="28"/>
        </w:rPr>
        <w:t xml:space="preserve">pētījumā Latvija </w:t>
      </w:r>
      <w:r w:rsidRPr="0088758F">
        <w:rPr>
          <w:rFonts w:cs="Times New Roman"/>
          <w:sz w:val="28"/>
          <w:szCs w:val="28"/>
        </w:rPr>
        <w:t>ieņem 27</w:t>
      </w:r>
      <w:r w:rsidR="00597D41">
        <w:rPr>
          <w:rFonts w:cs="Times New Roman"/>
          <w:sz w:val="28"/>
          <w:szCs w:val="28"/>
        </w:rPr>
        <w:t>.</w:t>
      </w:r>
      <w:r w:rsidRPr="0088758F">
        <w:rPr>
          <w:rFonts w:cs="Times New Roman"/>
          <w:sz w:val="28"/>
          <w:szCs w:val="28"/>
        </w:rPr>
        <w:t xml:space="preserve">vietu, pakāpjoties par divām vietām kopējā novērtējumā salīdzinājumā pret iepriekšējo gadu. </w:t>
      </w:r>
    </w:p>
    <w:p w:rsidR="00C72A34" w:rsidRDefault="00C72A34" w:rsidP="00C72A34">
      <w:pPr>
        <w:spacing w:after="80"/>
        <w:rPr>
          <w:rFonts w:cs="Times New Roman"/>
          <w:sz w:val="4"/>
          <w:szCs w:val="28"/>
        </w:rPr>
      </w:pPr>
    </w:p>
    <w:p w:rsidR="00582EE4" w:rsidRPr="003040B1" w:rsidRDefault="00582EE4" w:rsidP="00C72A34">
      <w:pPr>
        <w:spacing w:after="80"/>
        <w:rPr>
          <w:rFonts w:cs="Times New Roman"/>
          <w:sz w:val="4"/>
          <w:szCs w:val="28"/>
        </w:rPr>
      </w:pPr>
    </w:p>
    <w:p w:rsidR="007F54E5" w:rsidRPr="0088758F" w:rsidRDefault="007F54E5" w:rsidP="00C72A34">
      <w:pPr>
        <w:spacing w:after="80"/>
        <w:rPr>
          <w:rFonts w:cs="Times New Roman"/>
          <w:sz w:val="28"/>
          <w:szCs w:val="28"/>
          <w:u w:val="single"/>
        </w:rPr>
      </w:pPr>
      <w:r w:rsidRPr="0088758F">
        <w:rPr>
          <w:rFonts w:cs="Times New Roman"/>
          <w:sz w:val="28"/>
          <w:szCs w:val="28"/>
          <w:u w:val="single"/>
        </w:rPr>
        <w:t>Sasniedzamie rādītāji:</w:t>
      </w:r>
    </w:p>
    <w:tbl>
      <w:tblPr>
        <w:tblStyle w:val="LightShading2"/>
        <w:tblW w:w="0" w:type="auto"/>
        <w:tblLook w:val="04A0"/>
      </w:tblPr>
      <w:tblGrid>
        <w:gridCol w:w="6487"/>
        <w:gridCol w:w="1701"/>
        <w:gridCol w:w="1559"/>
      </w:tblGrid>
      <w:tr w:rsidR="007F54E5" w:rsidRPr="0088758F" w:rsidTr="00C72A34">
        <w:trPr>
          <w:cnfStyle w:val="100000000000"/>
        </w:trPr>
        <w:tc>
          <w:tcPr>
            <w:cnfStyle w:val="001000000000"/>
            <w:tcW w:w="6487" w:type="dxa"/>
            <w:hideMark/>
          </w:tcPr>
          <w:p w:rsidR="007F54E5" w:rsidRPr="0088758F" w:rsidRDefault="007F54E5" w:rsidP="00C72A34">
            <w:pPr>
              <w:spacing w:before="40" w:after="40"/>
              <w:jc w:val="center"/>
              <w:rPr>
                <w:rFonts w:eastAsia="Calibri" w:cs="Times New Roman"/>
                <w:bCs w:val="0"/>
                <w:color w:val="auto"/>
                <w:sz w:val="24"/>
                <w:szCs w:val="28"/>
              </w:rPr>
            </w:pPr>
            <w:r w:rsidRPr="0088758F">
              <w:rPr>
                <w:rFonts w:eastAsia="Calibri" w:cs="Times New Roman"/>
                <w:color w:val="auto"/>
                <w:sz w:val="24"/>
                <w:szCs w:val="28"/>
              </w:rPr>
              <w:t>Rādītājs</w:t>
            </w:r>
          </w:p>
        </w:tc>
        <w:tc>
          <w:tcPr>
            <w:tcW w:w="1701" w:type="dxa"/>
            <w:hideMark/>
          </w:tcPr>
          <w:p w:rsidR="007F54E5" w:rsidRPr="0088758F" w:rsidRDefault="007F54E5" w:rsidP="00C72A34">
            <w:pPr>
              <w:spacing w:before="40" w:after="40"/>
              <w:jc w:val="center"/>
              <w:cnfStyle w:val="100000000000"/>
              <w:rPr>
                <w:rFonts w:eastAsia="Calibri" w:cs="Times New Roman"/>
                <w:bCs w:val="0"/>
                <w:color w:val="auto"/>
                <w:sz w:val="24"/>
                <w:szCs w:val="28"/>
              </w:rPr>
            </w:pPr>
            <w:r w:rsidRPr="0088758F">
              <w:rPr>
                <w:rFonts w:eastAsia="Calibri" w:cs="Times New Roman"/>
                <w:color w:val="auto"/>
                <w:sz w:val="24"/>
                <w:szCs w:val="28"/>
              </w:rPr>
              <w:t>2009</w:t>
            </w:r>
          </w:p>
        </w:tc>
        <w:tc>
          <w:tcPr>
            <w:tcW w:w="1559" w:type="dxa"/>
            <w:hideMark/>
          </w:tcPr>
          <w:p w:rsidR="007F54E5" w:rsidRPr="0088758F" w:rsidRDefault="007F54E5" w:rsidP="00C72A34">
            <w:pPr>
              <w:spacing w:before="40" w:after="40"/>
              <w:jc w:val="center"/>
              <w:cnfStyle w:val="100000000000"/>
              <w:rPr>
                <w:rFonts w:eastAsia="Calibri" w:cs="Times New Roman"/>
                <w:bCs w:val="0"/>
                <w:color w:val="auto"/>
                <w:sz w:val="24"/>
                <w:szCs w:val="28"/>
              </w:rPr>
            </w:pPr>
            <w:r w:rsidRPr="0088758F">
              <w:rPr>
                <w:rFonts w:eastAsia="Calibri" w:cs="Times New Roman"/>
                <w:color w:val="auto"/>
                <w:sz w:val="24"/>
                <w:szCs w:val="28"/>
              </w:rPr>
              <w:t>2015</w:t>
            </w:r>
          </w:p>
        </w:tc>
      </w:tr>
      <w:tr w:rsidR="007F54E5" w:rsidRPr="0088758F" w:rsidTr="00C72A34">
        <w:trPr>
          <w:cnfStyle w:val="000000100000"/>
        </w:trPr>
        <w:tc>
          <w:tcPr>
            <w:cnfStyle w:val="001000000000"/>
            <w:tcW w:w="6487" w:type="dxa"/>
            <w:hideMark/>
          </w:tcPr>
          <w:p w:rsidR="007F54E5" w:rsidRPr="0088758F" w:rsidRDefault="007F54E5" w:rsidP="00C72A34">
            <w:pPr>
              <w:spacing w:before="40" w:after="40"/>
              <w:jc w:val="both"/>
              <w:rPr>
                <w:rFonts w:eastAsia="Calibri" w:cs="Times New Roman"/>
                <w:b w:val="0"/>
                <w:color w:val="auto"/>
                <w:sz w:val="24"/>
                <w:szCs w:val="28"/>
              </w:rPr>
            </w:pPr>
            <w:r w:rsidRPr="0088758F">
              <w:rPr>
                <w:rFonts w:eastAsia="Calibri" w:cs="Times New Roman"/>
                <w:b w:val="0"/>
                <w:color w:val="auto"/>
                <w:sz w:val="24"/>
                <w:szCs w:val="28"/>
              </w:rPr>
              <w:t>Latvijas vieta „</w:t>
            </w:r>
            <w:r w:rsidRPr="0088758F">
              <w:rPr>
                <w:rFonts w:eastAsia="Calibri" w:cs="Times New Roman"/>
                <w:b w:val="0"/>
                <w:i/>
                <w:color w:val="auto"/>
                <w:sz w:val="24"/>
                <w:szCs w:val="28"/>
                <w:lang w:val="en-US"/>
              </w:rPr>
              <w:t>Doing Business</w:t>
            </w:r>
            <w:r w:rsidRPr="0088758F">
              <w:rPr>
                <w:rFonts w:eastAsia="Calibri" w:cs="Times New Roman"/>
                <w:b w:val="0"/>
                <w:color w:val="auto"/>
                <w:sz w:val="24"/>
                <w:szCs w:val="28"/>
              </w:rPr>
              <w:t>” kopumā</w:t>
            </w:r>
          </w:p>
        </w:tc>
        <w:tc>
          <w:tcPr>
            <w:tcW w:w="1701" w:type="dxa"/>
            <w:hideMark/>
          </w:tcPr>
          <w:p w:rsidR="007F54E5" w:rsidRPr="0088758F" w:rsidRDefault="007F54E5" w:rsidP="00C72A34">
            <w:pPr>
              <w:spacing w:before="40" w:after="40"/>
              <w:jc w:val="center"/>
              <w:cnfStyle w:val="000000100000"/>
              <w:rPr>
                <w:rFonts w:eastAsia="Calibri" w:cs="Times New Roman"/>
                <w:color w:val="auto"/>
                <w:sz w:val="24"/>
                <w:szCs w:val="28"/>
              </w:rPr>
            </w:pPr>
            <w:r w:rsidRPr="0088758F">
              <w:rPr>
                <w:rFonts w:eastAsia="Calibri" w:cs="Times New Roman"/>
                <w:color w:val="auto"/>
                <w:sz w:val="24"/>
                <w:szCs w:val="28"/>
              </w:rPr>
              <w:t>27</w:t>
            </w:r>
          </w:p>
        </w:tc>
        <w:tc>
          <w:tcPr>
            <w:tcW w:w="1559" w:type="dxa"/>
            <w:hideMark/>
          </w:tcPr>
          <w:p w:rsidR="007F54E5" w:rsidRPr="0088758F" w:rsidRDefault="007F54E5" w:rsidP="00C72A34">
            <w:pPr>
              <w:spacing w:before="40" w:after="40"/>
              <w:jc w:val="center"/>
              <w:cnfStyle w:val="000000100000"/>
              <w:rPr>
                <w:rFonts w:eastAsia="Calibri" w:cs="Times New Roman"/>
                <w:color w:val="auto"/>
                <w:sz w:val="24"/>
                <w:szCs w:val="28"/>
              </w:rPr>
            </w:pPr>
            <w:r w:rsidRPr="0088758F">
              <w:rPr>
                <w:rFonts w:eastAsia="Calibri" w:cs="Times New Roman"/>
                <w:color w:val="auto"/>
                <w:sz w:val="24"/>
                <w:szCs w:val="28"/>
              </w:rPr>
              <w:t>20</w:t>
            </w:r>
          </w:p>
        </w:tc>
      </w:tr>
      <w:tr w:rsidR="007F54E5" w:rsidRPr="0088758F" w:rsidTr="00C72A34">
        <w:tc>
          <w:tcPr>
            <w:cnfStyle w:val="001000000000"/>
            <w:tcW w:w="6487" w:type="dxa"/>
            <w:hideMark/>
          </w:tcPr>
          <w:p w:rsidR="007F54E5" w:rsidRPr="0088758F" w:rsidRDefault="007F54E5" w:rsidP="00C72A34">
            <w:pPr>
              <w:spacing w:before="40" w:after="40"/>
              <w:ind w:left="426"/>
              <w:jc w:val="both"/>
              <w:rPr>
                <w:rFonts w:eastAsia="Calibri" w:cs="Times New Roman"/>
                <w:b w:val="0"/>
                <w:color w:val="auto"/>
                <w:sz w:val="24"/>
                <w:szCs w:val="28"/>
              </w:rPr>
            </w:pPr>
            <w:r w:rsidRPr="0088758F">
              <w:rPr>
                <w:rFonts w:eastAsia="Calibri" w:cs="Times New Roman"/>
                <w:b w:val="0"/>
                <w:color w:val="auto"/>
                <w:sz w:val="24"/>
                <w:szCs w:val="28"/>
              </w:rPr>
              <w:t>uzņēmējdarbības uzsākšana</w:t>
            </w:r>
          </w:p>
        </w:tc>
        <w:tc>
          <w:tcPr>
            <w:tcW w:w="1701" w:type="dxa"/>
            <w:hideMark/>
          </w:tcPr>
          <w:p w:rsidR="007F54E5" w:rsidRPr="0088758F" w:rsidRDefault="007F54E5" w:rsidP="00C72A34">
            <w:pPr>
              <w:spacing w:before="40" w:after="40"/>
              <w:jc w:val="center"/>
              <w:cnfStyle w:val="000000000000"/>
              <w:rPr>
                <w:rFonts w:eastAsia="Calibri" w:cs="Times New Roman"/>
                <w:color w:val="auto"/>
                <w:sz w:val="24"/>
                <w:szCs w:val="28"/>
              </w:rPr>
            </w:pPr>
            <w:r w:rsidRPr="0088758F">
              <w:rPr>
                <w:rFonts w:eastAsia="Calibri" w:cs="Times New Roman"/>
                <w:color w:val="auto"/>
                <w:sz w:val="24"/>
                <w:szCs w:val="28"/>
              </w:rPr>
              <w:t>51</w:t>
            </w:r>
          </w:p>
        </w:tc>
        <w:tc>
          <w:tcPr>
            <w:tcW w:w="1559" w:type="dxa"/>
            <w:hideMark/>
          </w:tcPr>
          <w:p w:rsidR="007F54E5" w:rsidRPr="0088758F" w:rsidRDefault="007F54E5" w:rsidP="00C72A34">
            <w:pPr>
              <w:spacing w:before="40" w:after="40"/>
              <w:jc w:val="center"/>
              <w:cnfStyle w:val="000000000000"/>
              <w:rPr>
                <w:rFonts w:eastAsia="Calibri" w:cs="Times New Roman"/>
                <w:color w:val="auto"/>
                <w:sz w:val="24"/>
                <w:szCs w:val="28"/>
              </w:rPr>
            </w:pPr>
            <w:r w:rsidRPr="0088758F">
              <w:rPr>
                <w:rFonts w:eastAsia="Calibri" w:cs="Times New Roman"/>
                <w:color w:val="auto"/>
                <w:sz w:val="24"/>
                <w:szCs w:val="28"/>
              </w:rPr>
              <w:t>30</w:t>
            </w:r>
          </w:p>
        </w:tc>
      </w:tr>
      <w:tr w:rsidR="007F54E5" w:rsidRPr="0088758F" w:rsidTr="00C72A34">
        <w:trPr>
          <w:cnfStyle w:val="000000100000"/>
        </w:trPr>
        <w:tc>
          <w:tcPr>
            <w:cnfStyle w:val="001000000000"/>
            <w:tcW w:w="6487" w:type="dxa"/>
            <w:hideMark/>
          </w:tcPr>
          <w:p w:rsidR="007F54E5" w:rsidRPr="0088758F" w:rsidRDefault="007F54E5" w:rsidP="00C72A34">
            <w:pPr>
              <w:spacing w:before="40" w:after="40"/>
              <w:ind w:left="426"/>
              <w:jc w:val="both"/>
              <w:rPr>
                <w:rFonts w:eastAsia="Calibri" w:cs="Times New Roman"/>
                <w:b w:val="0"/>
                <w:color w:val="auto"/>
                <w:sz w:val="24"/>
                <w:szCs w:val="28"/>
              </w:rPr>
            </w:pPr>
            <w:r w:rsidRPr="0088758F">
              <w:rPr>
                <w:rFonts w:eastAsia="Calibri" w:cs="Times New Roman"/>
                <w:b w:val="0"/>
                <w:color w:val="auto"/>
                <w:sz w:val="24"/>
                <w:szCs w:val="28"/>
              </w:rPr>
              <w:t>būvniecības saskaņošana</w:t>
            </w:r>
          </w:p>
        </w:tc>
        <w:tc>
          <w:tcPr>
            <w:tcW w:w="1701" w:type="dxa"/>
            <w:hideMark/>
          </w:tcPr>
          <w:p w:rsidR="007F54E5" w:rsidRPr="0088758F" w:rsidRDefault="007F54E5" w:rsidP="00C72A34">
            <w:pPr>
              <w:spacing w:before="40" w:after="40"/>
              <w:jc w:val="center"/>
              <w:cnfStyle w:val="000000100000"/>
              <w:rPr>
                <w:rFonts w:eastAsia="Calibri" w:cs="Times New Roman"/>
                <w:color w:val="auto"/>
                <w:sz w:val="24"/>
                <w:szCs w:val="28"/>
              </w:rPr>
            </w:pPr>
            <w:r w:rsidRPr="0088758F">
              <w:rPr>
                <w:rFonts w:eastAsia="Calibri" w:cs="Times New Roman"/>
                <w:color w:val="auto"/>
                <w:sz w:val="24"/>
                <w:szCs w:val="28"/>
              </w:rPr>
              <w:t>78</w:t>
            </w:r>
          </w:p>
        </w:tc>
        <w:tc>
          <w:tcPr>
            <w:tcW w:w="1559" w:type="dxa"/>
            <w:hideMark/>
          </w:tcPr>
          <w:p w:rsidR="007F54E5" w:rsidRPr="0088758F" w:rsidRDefault="007F54E5" w:rsidP="00C72A34">
            <w:pPr>
              <w:spacing w:before="40" w:after="40"/>
              <w:jc w:val="center"/>
              <w:cnfStyle w:val="000000100000"/>
              <w:rPr>
                <w:rFonts w:eastAsia="Calibri" w:cs="Times New Roman"/>
                <w:color w:val="auto"/>
                <w:sz w:val="24"/>
                <w:szCs w:val="28"/>
              </w:rPr>
            </w:pPr>
            <w:r w:rsidRPr="0088758F">
              <w:rPr>
                <w:rFonts w:eastAsia="Calibri" w:cs="Times New Roman"/>
                <w:color w:val="auto"/>
                <w:sz w:val="24"/>
                <w:szCs w:val="28"/>
              </w:rPr>
              <w:t>50</w:t>
            </w:r>
          </w:p>
        </w:tc>
      </w:tr>
      <w:tr w:rsidR="007F54E5" w:rsidRPr="0088758F" w:rsidTr="00C72A34">
        <w:tc>
          <w:tcPr>
            <w:cnfStyle w:val="001000000000"/>
            <w:tcW w:w="6487" w:type="dxa"/>
            <w:hideMark/>
          </w:tcPr>
          <w:p w:rsidR="007F54E5" w:rsidRPr="0088758F" w:rsidRDefault="007F54E5" w:rsidP="00C72A34">
            <w:pPr>
              <w:spacing w:before="40" w:after="40"/>
              <w:ind w:left="426"/>
              <w:jc w:val="both"/>
              <w:rPr>
                <w:rFonts w:eastAsia="Calibri" w:cs="Times New Roman"/>
                <w:b w:val="0"/>
                <w:color w:val="auto"/>
                <w:sz w:val="24"/>
                <w:szCs w:val="28"/>
              </w:rPr>
            </w:pPr>
            <w:r w:rsidRPr="0088758F">
              <w:rPr>
                <w:rFonts w:eastAsia="Calibri" w:cs="Times New Roman"/>
                <w:b w:val="0"/>
                <w:color w:val="auto"/>
                <w:sz w:val="24"/>
                <w:szCs w:val="28"/>
              </w:rPr>
              <w:t>īpašuma reģistrēšana</w:t>
            </w:r>
          </w:p>
        </w:tc>
        <w:tc>
          <w:tcPr>
            <w:tcW w:w="1701" w:type="dxa"/>
            <w:hideMark/>
          </w:tcPr>
          <w:p w:rsidR="007F54E5" w:rsidRPr="0088758F" w:rsidRDefault="007F54E5" w:rsidP="00C72A34">
            <w:pPr>
              <w:spacing w:before="40" w:after="40"/>
              <w:jc w:val="center"/>
              <w:cnfStyle w:val="000000000000"/>
              <w:rPr>
                <w:rFonts w:eastAsia="Calibri" w:cs="Times New Roman"/>
                <w:color w:val="auto"/>
                <w:sz w:val="24"/>
                <w:szCs w:val="28"/>
              </w:rPr>
            </w:pPr>
            <w:r w:rsidRPr="0088758F">
              <w:rPr>
                <w:rFonts w:eastAsia="Calibri" w:cs="Times New Roman"/>
                <w:color w:val="auto"/>
                <w:sz w:val="24"/>
                <w:szCs w:val="28"/>
              </w:rPr>
              <w:t>58</w:t>
            </w:r>
          </w:p>
        </w:tc>
        <w:tc>
          <w:tcPr>
            <w:tcW w:w="1559" w:type="dxa"/>
            <w:hideMark/>
          </w:tcPr>
          <w:p w:rsidR="007F54E5" w:rsidRPr="0088758F" w:rsidRDefault="007F54E5" w:rsidP="00C72A34">
            <w:pPr>
              <w:spacing w:before="40" w:after="40"/>
              <w:jc w:val="center"/>
              <w:cnfStyle w:val="000000000000"/>
              <w:rPr>
                <w:rFonts w:eastAsia="Calibri" w:cs="Times New Roman"/>
                <w:color w:val="auto"/>
                <w:sz w:val="24"/>
                <w:szCs w:val="28"/>
              </w:rPr>
            </w:pPr>
            <w:r w:rsidRPr="0088758F">
              <w:rPr>
                <w:rFonts w:eastAsia="Calibri" w:cs="Times New Roman"/>
                <w:color w:val="auto"/>
                <w:sz w:val="24"/>
                <w:szCs w:val="28"/>
              </w:rPr>
              <w:t>25</w:t>
            </w:r>
          </w:p>
        </w:tc>
      </w:tr>
      <w:tr w:rsidR="007F54E5" w:rsidRPr="0088758F" w:rsidTr="00C72A34">
        <w:trPr>
          <w:cnfStyle w:val="000000100000"/>
        </w:trPr>
        <w:tc>
          <w:tcPr>
            <w:cnfStyle w:val="001000000000"/>
            <w:tcW w:w="6487" w:type="dxa"/>
            <w:hideMark/>
          </w:tcPr>
          <w:p w:rsidR="007F54E5" w:rsidRPr="0088758F" w:rsidRDefault="007F54E5" w:rsidP="00C72A34">
            <w:pPr>
              <w:spacing w:before="40" w:after="40"/>
              <w:ind w:left="426"/>
              <w:jc w:val="both"/>
              <w:rPr>
                <w:rFonts w:eastAsia="Calibri" w:cs="Times New Roman"/>
                <w:b w:val="0"/>
                <w:color w:val="auto"/>
                <w:sz w:val="24"/>
                <w:szCs w:val="28"/>
              </w:rPr>
            </w:pPr>
            <w:r w:rsidRPr="0088758F">
              <w:rPr>
                <w:rFonts w:eastAsia="Calibri" w:cs="Times New Roman"/>
                <w:b w:val="0"/>
                <w:color w:val="auto"/>
                <w:sz w:val="24"/>
                <w:szCs w:val="28"/>
              </w:rPr>
              <w:t>nodokļu maksāšana</w:t>
            </w:r>
          </w:p>
        </w:tc>
        <w:tc>
          <w:tcPr>
            <w:tcW w:w="1701" w:type="dxa"/>
            <w:hideMark/>
          </w:tcPr>
          <w:p w:rsidR="007F54E5" w:rsidRPr="0088758F" w:rsidRDefault="007F54E5" w:rsidP="00C72A34">
            <w:pPr>
              <w:spacing w:before="40" w:after="40"/>
              <w:jc w:val="center"/>
              <w:cnfStyle w:val="000000100000"/>
              <w:rPr>
                <w:rFonts w:eastAsia="Calibri" w:cs="Times New Roman"/>
                <w:color w:val="auto"/>
                <w:sz w:val="24"/>
                <w:szCs w:val="28"/>
              </w:rPr>
            </w:pPr>
            <w:r w:rsidRPr="0088758F">
              <w:rPr>
                <w:rFonts w:eastAsia="Calibri" w:cs="Times New Roman"/>
                <w:color w:val="auto"/>
                <w:sz w:val="24"/>
                <w:szCs w:val="28"/>
              </w:rPr>
              <w:t>45</w:t>
            </w:r>
          </w:p>
        </w:tc>
        <w:tc>
          <w:tcPr>
            <w:tcW w:w="1559" w:type="dxa"/>
            <w:hideMark/>
          </w:tcPr>
          <w:p w:rsidR="007F54E5" w:rsidRPr="0088758F" w:rsidRDefault="007F54E5" w:rsidP="00C72A34">
            <w:pPr>
              <w:spacing w:before="40" w:after="40"/>
              <w:jc w:val="center"/>
              <w:cnfStyle w:val="000000100000"/>
              <w:rPr>
                <w:rFonts w:eastAsia="Calibri" w:cs="Times New Roman"/>
                <w:color w:val="auto"/>
                <w:sz w:val="24"/>
                <w:szCs w:val="28"/>
              </w:rPr>
            </w:pPr>
            <w:r w:rsidRPr="0088758F">
              <w:rPr>
                <w:rFonts w:eastAsia="Calibri" w:cs="Times New Roman"/>
                <w:color w:val="auto"/>
                <w:sz w:val="24"/>
                <w:szCs w:val="28"/>
              </w:rPr>
              <w:t>30</w:t>
            </w:r>
          </w:p>
        </w:tc>
      </w:tr>
      <w:tr w:rsidR="007F54E5" w:rsidRPr="0088758F" w:rsidTr="00C72A34">
        <w:tc>
          <w:tcPr>
            <w:cnfStyle w:val="001000000000"/>
            <w:tcW w:w="6487" w:type="dxa"/>
            <w:hideMark/>
          </w:tcPr>
          <w:p w:rsidR="007F54E5" w:rsidRPr="0088758F" w:rsidRDefault="007F54E5" w:rsidP="00C72A34">
            <w:pPr>
              <w:spacing w:before="40" w:after="40"/>
              <w:ind w:left="426"/>
              <w:jc w:val="both"/>
              <w:rPr>
                <w:rFonts w:eastAsia="Calibri" w:cs="Times New Roman"/>
                <w:b w:val="0"/>
                <w:color w:val="auto"/>
                <w:sz w:val="24"/>
                <w:szCs w:val="28"/>
              </w:rPr>
            </w:pPr>
            <w:r w:rsidRPr="0088758F">
              <w:rPr>
                <w:rFonts w:eastAsia="Calibri" w:cs="Times New Roman"/>
                <w:b w:val="0"/>
                <w:color w:val="auto"/>
                <w:sz w:val="24"/>
                <w:szCs w:val="28"/>
              </w:rPr>
              <w:t>ārējā tirdzniecība</w:t>
            </w:r>
          </w:p>
        </w:tc>
        <w:tc>
          <w:tcPr>
            <w:tcW w:w="1701" w:type="dxa"/>
            <w:hideMark/>
          </w:tcPr>
          <w:p w:rsidR="007F54E5" w:rsidRPr="0088758F" w:rsidRDefault="007F54E5" w:rsidP="00C72A34">
            <w:pPr>
              <w:spacing w:before="40" w:after="40"/>
              <w:jc w:val="center"/>
              <w:cnfStyle w:val="000000000000"/>
              <w:rPr>
                <w:rFonts w:eastAsia="Calibri" w:cs="Times New Roman"/>
                <w:color w:val="auto"/>
                <w:sz w:val="24"/>
                <w:szCs w:val="28"/>
              </w:rPr>
            </w:pPr>
            <w:r w:rsidRPr="0088758F">
              <w:rPr>
                <w:rFonts w:eastAsia="Calibri" w:cs="Times New Roman"/>
                <w:color w:val="auto"/>
                <w:sz w:val="24"/>
                <w:szCs w:val="28"/>
              </w:rPr>
              <w:t>22</w:t>
            </w:r>
          </w:p>
        </w:tc>
        <w:tc>
          <w:tcPr>
            <w:tcW w:w="1559" w:type="dxa"/>
            <w:hideMark/>
          </w:tcPr>
          <w:p w:rsidR="007F54E5" w:rsidRPr="0088758F" w:rsidRDefault="007F54E5" w:rsidP="00C72A34">
            <w:pPr>
              <w:spacing w:before="40" w:after="40"/>
              <w:jc w:val="center"/>
              <w:cnfStyle w:val="000000000000"/>
              <w:rPr>
                <w:rFonts w:eastAsia="Calibri" w:cs="Times New Roman"/>
                <w:color w:val="auto"/>
                <w:sz w:val="24"/>
                <w:szCs w:val="28"/>
              </w:rPr>
            </w:pPr>
            <w:r w:rsidRPr="0088758F">
              <w:rPr>
                <w:rFonts w:eastAsia="Calibri" w:cs="Times New Roman"/>
                <w:color w:val="auto"/>
                <w:sz w:val="24"/>
                <w:szCs w:val="28"/>
              </w:rPr>
              <w:t>15</w:t>
            </w:r>
          </w:p>
        </w:tc>
      </w:tr>
      <w:tr w:rsidR="007F54E5" w:rsidRPr="0088758F" w:rsidTr="00C72A34">
        <w:trPr>
          <w:cnfStyle w:val="000000100000"/>
        </w:trPr>
        <w:tc>
          <w:tcPr>
            <w:cnfStyle w:val="001000000000"/>
            <w:tcW w:w="6487" w:type="dxa"/>
            <w:hideMark/>
          </w:tcPr>
          <w:p w:rsidR="007F54E5" w:rsidRPr="0088758F" w:rsidRDefault="007F54E5" w:rsidP="00C72A34">
            <w:pPr>
              <w:spacing w:before="40" w:after="40"/>
              <w:ind w:left="426"/>
              <w:jc w:val="both"/>
              <w:rPr>
                <w:rFonts w:eastAsia="Calibri" w:cs="Times New Roman"/>
                <w:b w:val="0"/>
                <w:color w:val="auto"/>
                <w:sz w:val="24"/>
                <w:szCs w:val="28"/>
              </w:rPr>
            </w:pPr>
            <w:r w:rsidRPr="0088758F">
              <w:rPr>
                <w:rFonts w:eastAsia="Calibri" w:cs="Times New Roman"/>
                <w:b w:val="0"/>
                <w:color w:val="auto"/>
                <w:sz w:val="24"/>
                <w:szCs w:val="28"/>
              </w:rPr>
              <w:t>uzņēmējdarbības izbeigšana</w:t>
            </w:r>
          </w:p>
        </w:tc>
        <w:tc>
          <w:tcPr>
            <w:tcW w:w="1701" w:type="dxa"/>
            <w:hideMark/>
          </w:tcPr>
          <w:p w:rsidR="007F54E5" w:rsidRPr="0088758F" w:rsidRDefault="007F54E5" w:rsidP="00C72A34">
            <w:pPr>
              <w:spacing w:before="40" w:after="40"/>
              <w:jc w:val="center"/>
              <w:cnfStyle w:val="000000100000"/>
              <w:rPr>
                <w:rFonts w:eastAsia="Calibri" w:cs="Times New Roman"/>
                <w:color w:val="auto"/>
                <w:sz w:val="24"/>
                <w:szCs w:val="28"/>
              </w:rPr>
            </w:pPr>
            <w:r w:rsidRPr="0088758F">
              <w:rPr>
                <w:rFonts w:eastAsia="Calibri" w:cs="Times New Roman"/>
                <w:color w:val="auto"/>
                <w:sz w:val="24"/>
                <w:szCs w:val="28"/>
              </w:rPr>
              <w:t>88</w:t>
            </w:r>
          </w:p>
        </w:tc>
        <w:tc>
          <w:tcPr>
            <w:tcW w:w="1559" w:type="dxa"/>
            <w:hideMark/>
          </w:tcPr>
          <w:p w:rsidR="007F54E5" w:rsidRPr="0088758F" w:rsidRDefault="007F54E5" w:rsidP="00C72A34">
            <w:pPr>
              <w:spacing w:before="40" w:after="40"/>
              <w:jc w:val="center"/>
              <w:cnfStyle w:val="000000100000"/>
              <w:rPr>
                <w:rFonts w:eastAsia="Calibri" w:cs="Times New Roman"/>
                <w:color w:val="auto"/>
                <w:sz w:val="24"/>
                <w:szCs w:val="28"/>
              </w:rPr>
            </w:pPr>
            <w:r w:rsidRPr="0088758F">
              <w:rPr>
                <w:rFonts w:eastAsia="Calibri" w:cs="Times New Roman"/>
                <w:color w:val="auto"/>
                <w:sz w:val="24"/>
                <w:szCs w:val="28"/>
              </w:rPr>
              <w:t>50</w:t>
            </w:r>
          </w:p>
        </w:tc>
      </w:tr>
    </w:tbl>
    <w:p w:rsidR="003040B1" w:rsidRDefault="003040B1" w:rsidP="008C1012">
      <w:pPr>
        <w:ind w:firstLine="720"/>
        <w:jc w:val="both"/>
        <w:rPr>
          <w:rFonts w:cs="Times New Roman"/>
          <w:sz w:val="18"/>
          <w:szCs w:val="28"/>
        </w:rPr>
      </w:pPr>
    </w:p>
    <w:p w:rsidR="008C1012" w:rsidRPr="0088758F" w:rsidRDefault="008C1012" w:rsidP="008C1012">
      <w:pPr>
        <w:ind w:firstLine="720"/>
        <w:jc w:val="both"/>
        <w:rPr>
          <w:rFonts w:cs="Times New Roman"/>
          <w:sz w:val="28"/>
          <w:szCs w:val="28"/>
        </w:rPr>
      </w:pPr>
      <w:r w:rsidRPr="0088758F">
        <w:rPr>
          <w:rFonts w:cs="Times New Roman"/>
          <w:sz w:val="28"/>
          <w:szCs w:val="28"/>
        </w:rPr>
        <w:t>Neskatoties uz pozitīvajām izmaiņām</w:t>
      </w:r>
      <w:r>
        <w:rPr>
          <w:rFonts w:cs="Times New Roman"/>
          <w:sz w:val="28"/>
          <w:szCs w:val="28"/>
        </w:rPr>
        <w:t xml:space="preserve"> pēdējā gada laikā</w:t>
      </w:r>
      <w:r w:rsidRPr="0088758F">
        <w:rPr>
          <w:rFonts w:cs="Times New Roman"/>
          <w:sz w:val="28"/>
          <w:szCs w:val="28"/>
        </w:rPr>
        <w:t>, tādās jomās, kā uzņēmējdarbības uzsākšana un izbeigšana, būvniecība, nekustamā īpašuma reģistrācija, kā arī nodokļu maksāšana un ārējā tirdzniecība</w:t>
      </w:r>
      <w:r>
        <w:rPr>
          <w:rFonts w:cs="Times New Roman"/>
          <w:sz w:val="28"/>
          <w:szCs w:val="28"/>
        </w:rPr>
        <w:t>,</w:t>
      </w:r>
      <w:r w:rsidRPr="0088758F">
        <w:rPr>
          <w:rFonts w:cs="Times New Roman"/>
          <w:sz w:val="28"/>
          <w:szCs w:val="28"/>
        </w:rPr>
        <w:t xml:space="preserve"> ir </w:t>
      </w:r>
      <w:r>
        <w:rPr>
          <w:rFonts w:cs="Times New Roman"/>
          <w:sz w:val="28"/>
          <w:szCs w:val="28"/>
        </w:rPr>
        <w:t>nepieciešams turpināt</w:t>
      </w:r>
      <w:r w:rsidRPr="0088758F">
        <w:rPr>
          <w:rFonts w:cs="Times New Roman"/>
          <w:sz w:val="28"/>
          <w:szCs w:val="28"/>
        </w:rPr>
        <w:t xml:space="preserve"> virkn</w:t>
      </w:r>
      <w:r>
        <w:rPr>
          <w:rFonts w:cs="Times New Roman"/>
          <w:sz w:val="28"/>
          <w:szCs w:val="28"/>
        </w:rPr>
        <w:t>i</w:t>
      </w:r>
      <w:r w:rsidRPr="0088758F">
        <w:rPr>
          <w:rFonts w:cs="Times New Roman"/>
          <w:sz w:val="28"/>
          <w:szCs w:val="28"/>
        </w:rPr>
        <w:t xml:space="preserve"> pasākumu šo jomu darbības efektivizēšanai.</w:t>
      </w:r>
    </w:p>
    <w:p w:rsidR="003040B1" w:rsidRPr="00987EE3" w:rsidRDefault="003040B1" w:rsidP="007F54E5">
      <w:pPr>
        <w:jc w:val="both"/>
        <w:rPr>
          <w:rFonts w:cs="Times New Roman"/>
          <w:sz w:val="12"/>
          <w:szCs w:val="28"/>
          <w:u w:val="single"/>
        </w:rPr>
      </w:pPr>
    </w:p>
    <w:p w:rsidR="007F54E5" w:rsidRPr="0088758F" w:rsidRDefault="007F54E5" w:rsidP="007F54E5">
      <w:pPr>
        <w:jc w:val="both"/>
        <w:rPr>
          <w:rFonts w:cs="Times New Roman"/>
          <w:sz w:val="28"/>
          <w:szCs w:val="28"/>
          <w:u w:val="single"/>
        </w:rPr>
      </w:pPr>
      <w:r w:rsidRPr="0088758F">
        <w:rPr>
          <w:rFonts w:cs="Times New Roman"/>
          <w:sz w:val="28"/>
          <w:szCs w:val="28"/>
          <w:u w:val="single"/>
        </w:rPr>
        <w:t>Galvenie veicamie pasākumi:</w:t>
      </w:r>
    </w:p>
    <w:p w:rsidR="007F54E5" w:rsidRPr="0088758F" w:rsidRDefault="007F54E5" w:rsidP="008F3C5E">
      <w:pPr>
        <w:spacing w:before="60"/>
        <w:jc w:val="both"/>
        <w:rPr>
          <w:rFonts w:cs="Times New Roman"/>
          <w:sz w:val="28"/>
          <w:szCs w:val="28"/>
        </w:rPr>
      </w:pPr>
      <w:r w:rsidRPr="0088758F">
        <w:rPr>
          <w:rFonts w:cs="Times New Roman"/>
          <w:sz w:val="28"/>
          <w:szCs w:val="28"/>
        </w:rPr>
        <w:t>Būvniecības jomā:</w:t>
      </w:r>
    </w:p>
    <w:p w:rsidR="007F54E5" w:rsidRPr="0088758F" w:rsidRDefault="007F54E5" w:rsidP="008F3C5E">
      <w:pPr>
        <w:pStyle w:val="ListParagraph"/>
        <w:numPr>
          <w:ilvl w:val="0"/>
          <w:numId w:val="7"/>
        </w:numPr>
        <w:ind w:left="709" w:hanging="357"/>
        <w:contextualSpacing w:val="0"/>
        <w:jc w:val="both"/>
        <w:rPr>
          <w:sz w:val="28"/>
          <w:szCs w:val="28"/>
        </w:rPr>
      </w:pPr>
      <w:r w:rsidRPr="0088758F">
        <w:rPr>
          <w:sz w:val="28"/>
          <w:szCs w:val="28"/>
        </w:rPr>
        <w:t xml:space="preserve">sagatavot jaunu </w:t>
      </w:r>
      <w:r w:rsidRPr="00597D41">
        <w:rPr>
          <w:i/>
          <w:sz w:val="28"/>
          <w:szCs w:val="28"/>
        </w:rPr>
        <w:t>Būvniecības likumu</w:t>
      </w:r>
      <w:r w:rsidRPr="0088758F">
        <w:rPr>
          <w:sz w:val="28"/>
          <w:szCs w:val="28"/>
        </w:rPr>
        <w:t>, paredzot samazināt būvprojektu saskaņošanā iesaistīto valsts un pašvaldību institūciju skaitu no 5 līdz 1, un maksimāli patērējamo laiku no pašreizējām vairāk kā 180 dienām līdz 60 dienām;</w:t>
      </w:r>
    </w:p>
    <w:p w:rsidR="007F54E5" w:rsidRPr="0088758F" w:rsidRDefault="007F54E5" w:rsidP="008F3C5E">
      <w:pPr>
        <w:pStyle w:val="ListParagraph"/>
        <w:numPr>
          <w:ilvl w:val="0"/>
          <w:numId w:val="7"/>
        </w:numPr>
        <w:ind w:left="709" w:hanging="357"/>
        <w:contextualSpacing w:val="0"/>
        <w:jc w:val="both"/>
        <w:rPr>
          <w:sz w:val="32"/>
          <w:szCs w:val="28"/>
        </w:rPr>
      </w:pPr>
      <w:r w:rsidRPr="0088758F">
        <w:rPr>
          <w:sz w:val="28"/>
        </w:rPr>
        <w:t>p</w:t>
      </w:r>
      <w:r w:rsidRPr="0088758F">
        <w:rPr>
          <w:rFonts w:eastAsia="Calibri" w:cs="Times New Roman"/>
          <w:sz w:val="28"/>
        </w:rPr>
        <w:t>ilnveidot būvju (telpu grupu) datu ieguves un tālāk izmantošanas procesu, uzlabojot datu kvalitāti, nodrošinot aktualitāti un samazinot nepieciešamos resursus</w:t>
      </w:r>
      <w:r w:rsidRPr="0088758F">
        <w:rPr>
          <w:sz w:val="28"/>
        </w:rPr>
        <w:t>;</w:t>
      </w:r>
    </w:p>
    <w:p w:rsidR="007F54E5" w:rsidRPr="0088758F" w:rsidRDefault="007F54E5" w:rsidP="008F3C5E">
      <w:pPr>
        <w:pStyle w:val="ListParagraph"/>
        <w:numPr>
          <w:ilvl w:val="0"/>
          <w:numId w:val="7"/>
        </w:numPr>
        <w:ind w:left="709" w:hanging="357"/>
        <w:contextualSpacing w:val="0"/>
        <w:jc w:val="both"/>
        <w:rPr>
          <w:sz w:val="32"/>
          <w:szCs w:val="28"/>
        </w:rPr>
      </w:pPr>
      <w:r w:rsidRPr="0088758F">
        <w:rPr>
          <w:sz w:val="28"/>
        </w:rPr>
        <w:t>sagatavot paraugu darba aizsardzības plāna izstrādei būvniecībā;</w:t>
      </w:r>
    </w:p>
    <w:p w:rsidR="007F54E5" w:rsidRPr="0088758F" w:rsidRDefault="007F54E5" w:rsidP="008F3C5E">
      <w:pPr>
        <w:pStyle w:val="ListParagraph"/>
        <w:numPr>
          <w:ilvl w:val="0"/>
          <w:numId w:val="7"/>
        </w:numPr>
        <w:ind w:left="709" w:hanging="357"/>
        <w:contextualSpacing w:val="0"/>
        <w:jc w:val="both"/>
        <w:rPr>
          <w:sz w:val="28"/>
          <w:szCs w:val="28"/>
        </w:rPr>
      </w:pPr>
      <w:r w:rsidRPr="0088758F">
        <w:rPr>
          <w:sz w:val="28"/>
          <w:szCs w:val="28"/>
        </w:rPr>
        <w:t>uzsākt īstenot projektu, lai ieviest</w:t>
      </w:r>
      <w:r w:rsidR="00B979D3">
        <w:rPr>
          <w:sz w:val="28"/>
          <w:szCs w:val="28"/>
        </w:rPr>
        <w:t>u</w:t>
      </w:r>
      <w:r w:rsidRPr="0088758F">
        <w:rPr>
          <w:sz w:val="28"/>
          <w:szCs w:val="28"/>
        </w:rPr>
        <w:t xml:space="preserve"> būvniecības informācijas sistēmu, iekļaujot informāciju no būvniecības pieteikuma līdz būves pieņemšanai ekspluatācijā, nodrošinot visas ar būvniecības procesu saistītās informācijas un prasību pieejamību vienuviet.</w:t>
      </w:r>
    </w:p>
    <w:p w:rsidR="000B7433" w:rsidRPr="00987EE3" w:rsidRDefault="000B7433" w:rsidP="008F3C5E">
      <w:pPr>
        <w:spacing w:before="60"/>
        <w:jc w:val="both"/>
        <w:rPr>
          <w:rFonts w:cs="Times New Roman"/>
          <w:sz w:val="2"/>
          <w:szCs w:val="28"/>
        </w:rPr>
      </w:pPr>
    </w:p>
    <w:p w:rsidR="007F54E5" w:rsidRPr="0088758F" w:rsidRDefault="007F54E5" w:rsidP="008F3C5E">
      <w:pPr>
        <w:spacing w:before="60"/>
        <w:jc w:val="both"/>
        <w:rPr>
          <w:rFonts w:cs="Times New Roman"/>
          <w:sz w:val="28"/>
          <w:szCs w:val="28"/>
        </w:rPr>
      </w:pPr>
      <w:r w:rsidRPr="0088758F">
        <w:rPr>
          <w:rFonts w:cs="Times New Roman"/>
          <w:sz w:val="28"/>
          <w:szCs w:val="28"/>
        </w:rPr>
        <w:lastRenderedPageBreak/>
        <w:t>Nekustamā īpašuma jomā:</w:t>
      </w:r>
    </w:p>
    <w:p w:rsidR="008C1012" w:rsidRDefault="007F54E5" w:rsidP="008F3C5E">
      <w:pPr>
        <w:pStyle w:val="ListParagraph"/>
        <w:numPr>
          <w:ilvl w:val="0"/>
          <w:numId w:val="7"/>
        </w:numPr>
        <w:ind w:left="709"/>
        <w:contextualSpacing w:val="0"/>
        <w:jc w:val="both"/>
        <w:rPr>
          <w:sz w:val="28"/>
          <w:szCs w:val="28"/>
        </w:rPr>
      </w:pPr>
      <w:r w:rsidRPr="0088758F">
        <w:rPr>
          <w:sz w:val="28"/>
          <w:szCs w:val="28"/>
        </w:rPr>
        <w:t>atteik</w:t>
      </w:r>
      <w:r w:rsidR="008C1012">
        <w:rPr>
          <w:sz w:val="28"/>
          <w:szCs w:val="28"/>
        </w:rPr>
        <w:t>ties</w:t>
      </w:r>
      <w:r w:rsidRPr="0088758F">
        <w:rPr>
          <w:sz w:val="28"/>
          <w:szCs w:val="28"/>
        </w:rPr>
        <w:t xml:space="preserve"> no internetbanku maksājumu uzdevumu apstiprināšanas</w:t>
      </w:r>
      <w:r w:rsidR="008C1012">
        <w:rPr>
          <w:sz w:val="28"/>
          <w:szCs w:val="28"/>
        </w:rPr>
        <w:t>;</w:t>
      </w:r>
    </w:p>
    <w:p w:rsidR="007F54E5" w:rsidRPr="004B0C22" w:rsidRDefault="008C1012" w:rsidP="008F3C5E">
      <w:pPr>
        <w:pStyle w:val="ListParagraph"/>
        <w:numPr>
          <w:ilvl w:val="0"/>
          <w:numId w:val="7"/>
        </w:numPr>
        <w:ind w:left="709"/>
        <w:contextualSpacing w:val="0"/>
        <w:jc w:val="both"/>
        <w:rPr>
          <w:sz w:val="28"/>
          <w:szCs w:val="28"/>
        </w:rPr>
      </w:pPr>
      <w:r w:rsidRPr="004B0C22">
        <w:rPr>
          <w:sz w:val="28"/>
          <w:szCs w:val="28"/>
        </w:rPr>
        <w:t xml:space="preserve">nodrošināt </w:t>
      </w:r>
      <w:r w:rsidR="007F54E5" w:rsidRPr="004B0C22">
        <w:rPr>
          <w:sz w:val="28"/>
          <w:szCs w:val="28"/>
        </w:rPr>
        <w:t>elektr</w:t>
      </w:r>
      <w:r w:rsidRPr="004B0C22">
        <w:rPr>
          <w:sz w:val="28"/>
          <w:szCs w:val="28"/>
        </w:rPr>
        <w:t>onisko norēķinu karšu pieņemšanu</w:t>
      </w:r>
      <w:r w:rsidR="007F54E5" w:rsidRPr="004B0C22">
        <w:rPr>
          <w:sz w:val="28"/>
          <w:szCs w:val="28"/>
        </w:rPr>
        <w:t xml:space="preserve"> Zemesgrāmatu nodaļā</w:t>
      </w:r>
      <w:r w:rsidR="00FF54E8" w:rsidRPr="004B0C22">
        <w:rPr>
          <w:sz w:val="28"/>
          <w:szCs w:val="28"/>
        </w:rPr>
        <w:t xml:space="preserve"> un citās iestādēs</w:t>
      </w:r>
      <w:r w:rsidR="007F54E5" w:rsidRPr="004B0C22">
        <w:rPr>
          <w:sz w:val="28"/>
          <w:szCs w:val="28"/>
        </w:rPr>
        <w:t>;</w:t>
      </w:r>
    </w:p>
    <w:p w:rsidR="007F54E5" w:rsidRPr="0088758F" w:rsidRDefault="007F54E5" w:rsidP="008F3C5E">
      <w:pPr>
        <w:pStyle w:val="ListParagraph"/>
        <w:numPr>
          <w:ilvl w:val="0"/>
          <w:numId w:val="7"/>
        </w:numPr>
        <w:ind w:left="709"/>
        <w:contextualSpacing w:val="0"/>
        <w:jc w:val="both"/>
        <w:rPr>
          <w:sz w:val="28"/>
          <w:szCs w:val="28"/>
        </w:rPr>
      </w:pPr>
      <w:r w:rsidRPr="0088758F">
        <w:rPr>
          <w:sz w:val="28"/>
          <w:szCs w:val="28"/>
        </w:rPr>
        <w:t>attiecināt pašvaldību pirmpirkuma tiesības tikai uz attīstības plānos paredzētajiem objektiem.</w:t>
      </w:r>
    </w:p>
    <w:p w:rsidR="00FC1194" w:rsidRPr="0088758F" w:rsidRDefault="00FC1194" w:rsidP="00FC1194">
      <w:pPr>
        <w:spacing w:before="60"/>
        <w:jc w:val="both"/>
        <w:rPr>
          <w:rFonts w:cs="Times New Roman"/>
          <w:sz w:val="28"/>
          <w:szCs w:val="28"/>
        </w:rPr>
      </w:pPr>
      <w:r w:rsidRPr="0088758F">
        <w:rPr>
          <w:rFonts w:cs="Times New Roman"/>
          <w:sz w:val="28"/>
          <w:szCs w:val="28"/>
        </w:rPr>
        <w:t>Uzņēmējdarbības uzsākšanas jomā:</w:t>
      </w:r>
    </w:p>
    <w:p w:rsidR="00FC1194" w:rsidRPr="00FC1194" w:rsidRDefault="00FC1194" w:rsidP="00FC1194">
      <w:pPr>
        <w:pStyle w:val="ListParagraph"/>
        <w:numPr>
          <w:ilvl w:val="0"/>
          <w:numId w:val="7"/>
        </w:numPr>
        <w:ind w:left="709"/>
        <w:contextualSpacing w:val="0"/>
        <w:jc w:val="both"/>
        <w:rPr>
          <w:sz w:val="28"/>
          <w:szCs w:val="28"/>
        </w:rPr>
      </w:pPr>
      <w:r w:rsidRPr="00FC1194">
        <w:rPr>
          <w:sz w:val="28"/>
          <w:szCs w:val="28"/>
        </w:rPr>
        <w:t xml:space="preserve">samazināt sabiedrības ar ierobežotu atbildību pamatkapitāla prasības no 2000 uz 100 latiem, </w:t>
      </w:r>
      <w:r w:rsidRPr="00FC1194">
        <w:rPr>
          <w:rFonts w:cs="Times New Roman"/>
          <w:sz w:val="28"/>
          <w:szCs w:val="28"/>
        </w:rPr>
        <w:t>paralēli izskatot iespēju samazināt kapitāla prasības arī akciju sabiedrībām</w:t>
      </w:r>
      <w:r w:rsidRPr="00FC1194">
        <w:rPr>
          <w:sz w:val="28"/>
          <w:szCs w:val="28"/>
        </w:rPr>
        <w:t>;</w:t>
      </w:r>
    </w:p>
    <w:p w:rsidR="00FC1194" w:rsidRPr="00FC1194" w:rsidRDefault="00FC1194" w:rsidP="00FC1194">
      <w:pPr>
        <w:pStyle w:val="ListParagraph"/>
        <w:numPr>
          <w:ilvl w:val="0"/>
          <w:numId w:val="7"/>
        </w:numPr>
        <w:ind w:left="709"/>
        <w:contextualSpacing w:val="0"/>
        <w:jc w:val="both"/>
        <w:rPr>
          <w:sz w:val="28"/>
          <w:szCs w:val="28"/>
        </w:rPr>
      </w:pPr>
      <w:r w:rsidRPr="00FC1194">
        <w:rPr>
          <w:sz w:val="28"/>
          <w:szCs w:val="28"/>
        </w:rPr>
        <w:t>samazināt ar uzņēmuma reģistrāciju un publikāciju saistītās izmaksas atbilstoši 15.09.2009. konceptuāli atbalstītās koncepcijas „Par mikrouzņēmumu atbalsta pasākumiem” noteiktajiem risinājumiem.</w:t>
      </w:r>
    </w:p>
    <w:p w:rsidR="00FC1194" w:rsidRPr="00FC1194" w:rsidRDefault="00FC1194" w:rsidP="00FC1194">
      <w:pPr>
        <w:spacing w:before="60"/>
        <w:jc w:val="both"/>
        <w:rPr>
          <w:rFonts w:cs="Times New Roman"/>
          <w:sz w:val="28"/>
          <w:szCs w:val="28"/>
        </w:rPr>
      </w:pPr>
      <w:r w:rsidRPr="00FC1194">
        <w:rPr>
          <w:rFonts w:cs="Times New Roman"/>
          <w:sz w:val="28"/>
          <w:szCs w:val="28"/>
        </w:rPr>
        <w:t>Uzņēmējdarbības izbeigšanas jomā:</w:t>
      </w:r>
    </w:p>
    <w:p w:rsidR="00FC1194" w:rsidRPr="00FC1194" w:rsidRDefault="00FC1194" w:rsidP="00FC1194">
      <w:pPr>
        <w:pStyle w:val="ListParagraph"/>
        <w:numPr>
          <w:ilvl w:val="0"/>
          <w:numId w:val="7"/>
        </w:numPr>
        <w:ind w:left="709"/>
        <w:contextualSpacing w:val="0"/>
        <w:jc w:val="both"/>
        <w:rPr>
          <w:sz w:val="28"/>
          <w:szCs w:val="28"/>
        </w:rPr>
      </w:pPr>
      <w:r w:rsidRPr="00FC1194">
        <w:rPr>
          <w:sz w:val="28"/>
          <w:szCs w:val="28"/>
        </w:rPr>
        <w:t>ieviest vienkāršotu uzņēmumu likvidāciju,</w:t>
      </w:r>
      <w:r w:rsidRPr="00FC1194">
        <w:t xml:space="preserve"> </w:t>
      </w:r>
      <w:r w:rsidRPr="00FC1194">
        <w:rPr>
          <w:sz w:val="28"/>
          <w:szCs w:val="28"/>
        </w:rPr>
        <w:t>paredzot tiesai iespēju, pēc administratora atzinuma un VID piekrišanas saņemšanas, pasludināt uzņēmumu par bankrotējušu un izslēgt to no UR;</w:t>
      </w:r>
    </w:p>
    <w:p w:rsidR="00FC1194" w:rsidRPr="00FC1194" w:rsidRDefault="00FC1194" w:rsidP="00FC1194">
      <w:pPr>
        <w:pStyle w:val="ListParagraph"/>
        <w:numPr>
          <w:ilvl w:val="0"/>
          <w:numId w:val="7"/>
        </w:numPr>
        <w:ind w:left="709"/>
        <w:contextualSpacing w:val="0"/>
        <w:jc w:val="both"/>
        <w:rPr>
          <w:sz w:val="28"/>
          <w:szCs w:val="28"/>
        </w:rPr>
      </w:pPr>
      <w:r w:rsidRPr="00FC1194">
        <w:rPr>
          <w:sz w:val="28"/>
          <w:szCs w:val="28"/>
        </w:rPr>
        <w:t>vienkāršot maksātnespējas procesu, paātrinot maksātnespējas pieteikumu izskatīšanu, vienkāršojot maksātnespējas pieteikumu sagatavošanu, risinot jautājumus par parādnieku mantas ātrāku pārdošanu.</w:t>
      </w:r>
    </w:p>
    <w:p w:rsidR="00FC1194" w:rsidRPr="00FC1194" w:rsidRDefault="00FC1194" w:rsidP="00FC1194">
      <w:pPr>
        <w:spacing w:before="60"/>
        <w:jc w:val="both"/>
        <w:rPr>
          <w:rFonts w:cs="Times New Roman"/>
          <w:sz w:val="28"/>
          <w:szCs w:val="28"/>
        </w:rPr>
      </w:pPr>
      <w:r w:rsidRPr="00FC1194">
        <w:rPr>
          <w:rFonts w:cs="Times New Roman"/>
          <w:sz w:val="28"/>
          <w:szCs w:val="28"/>
        </w:rPr>
        <w:t>Nodokļu administrēšanas jomā:</w:t>
      </w:r>
    </w:p>
    <w:p w:rsidR="00FC1194" w:rsidRPr="00FC1194" w:rsidRDefault="00FC1194" w:rsidP="00FC1194">
      <w:pPr>
        <w:pStyle w:val="ListParagraph"/>
        <w:numPr>
          <w:ilvl w:val="0"/>
          <w:numId w:val="21"/>
        </w:numPr>
        <w:ind w:left="709" w:hanging="426"/>
        <w:jc w:val="both"/>
        <w:rPr>
          <w:rFonts w:cs="Times New Roman"/>
          <w:sz w:val="28"/>
          <w:szCs w:val="28"/>
        </w:rPr>
      </w:pPr>
      <w:r w:rsidRPr="00FC1194">
        <w:rPr>
          <w:rStyle w:val="spelle"/>
          <w:rFonts w:cs="Times New Roman"/>
          <w:sz w:val="28"/>
          <w:szCs w:val="28"/>
        </w:rPr>
        <w:t>noteikt skaidru pievienotās vērtības nodokļa pārmaksu atmaksu sistēmu, izslēdzot nepamatotus ierobežojumus;</w:t>
      </w:r>
    </w:p>
    <w:p w:rsidR="00FC1194" w:rsidRPr="00FC1194" w:rsidRDefault="00FC1194" w:rsidP="00FC1194">
      <w:pPr>
        <w:pStyle w:val="ListParagraph"/>
        <w:numPr>
          <w:ilvl w:val="0"/>
          <w:numId w:val="21"/>
        </w:numPr>
        <w:ind w:left="709" w:hanging="426"/>
        <w:jc w:val="both"/>
        <w:rPr>
          <w:rFonts w:cs="Times New Roman"/>
          <w:sz w:val="28"/>
          <w:szCs w:val="28"/>
        </w:rPr>
      </w:pPr>
      <w:r w:rsidRPr="00FC1194">
        <w:rPr>
          <w:rFonts w:cs="Times New Roman"/>
          <w:sz w:val="28"/>
          <w:szCs w:val="28"/>
        </w:rPr>
        <w:t>ieviest uzticamiem komersantiem atbrīvojumu no galvojuma preču pagaidu uzglabāšanai un pirmsmuitošanas darbībām;</w:t>
      </w:r>
    </w:p>
    <w:p w:rsidR="00FC1194" w:rsidRPr="00FC1194" w:rsidRDefault="00FC1194" w:rsidP="00FC1194">
      <w:pPr>
        <w:pStyle w:val="ListParagraph"/>
        <w:numPr>
          <w:ilvl w:val="0"/>
          <w:numId w:val="21"/>
        </w:numPr>
        <w:ind w:left="709" w:hanging="426"/>
        <w:jc w:val="both"/>
        <w:rPr>
          <w:rFonts w:cs="Times New Roman"/>
          <w:sz w:val="28"/>
          <w:szCs w:val="28"/>
        </w:rPr>
      </w:pPr>
      <w:r w:rsidRPr="00FC1194">
        <w:rPr>
          <w:rFonts w:cs="Times New Roman"/>
          <w:sz w:val="28"/>
          <w:szCs w:val="28"/>
        </w:rPr>
        <w:t>vienkāršot kases čeku un citu izdevumus attaisnojošo dokumentu noformēšanas prasības, elektroniskā un papīra formātā nosūtīto rēķinu grāmatvedības prasības;</w:t>
      </w:r>
    </w:p>
    <w:p w:rsidR="00FC1194" w:rsidRPr="0088758F" w:rsidRDefault="00FC1194" w:rsidP="00FC1194">
      <w:pPr>
        <w:pStyle w:val="ListParagraph"/>
        <w:numPr>
          <w:ilvl w:val="0"/>
          <w:numId w:val="21"/>
        </w:numPr>
        <w:ind w:left="709" w:hanging="426"/>
        <w:jc w:val="both"/>
        <w:rPr>
          <w:rFonts w:cs="Times New Roman"/>
          <w:sz w:val="28"/>
          <w:szCs w:val="28"/>
        </w:rPr>
      </w:pPr>
      <w:r w:rsidRPr="00FC1194">
        <w:rPr>
          <w:rFonts w:cs="Times New Roman"/>
          <w:sz w:val="28"/>
          <w:szCs w:val="28"/>
        </w:rPr>
        <w:t>ieviest papildus nosacījumus akcīzes nodokļa maksimālā nodrošinājuma apjoma samazināšanai</w:t>
      </w:r>
      <w:r w:rsidRPr="0088758F">
        <w:rPr>
          <w:rFonts w:cs="Times New Roman"/>
          <w:sz w:val="28"/>
          <w:szCs w:val="28"/>
        </w:rPr>
        <w:t xml:space="preserve"> un vienkāršot atskaišu sagatavošanas kārtību;</w:t>
      </w:r>
    </w:p>
    <w:p w:rsidR="00987EE3" w:rsidRPr="00987EE3" w:rsidRDefault="00987EE3" w:rsidP="00987EE3">
      <w:pPr>
        <w:spacing w:before="60"/>
        <w:jc w:val="both"/>
        <w:rPr>
          <w:rFonts w:cs="Times New Roman"/>
          <w:sz w:val="28"/>
          <w:szCs w:val="28"/>
        </w:rPr>
      </w:pPr>
      <w:r w:rsidRPr="00987EE3">
        <w:rPr>
          <w:rFonts w:cs="Times New Roman"/>
          <w:sz w:val="28"/>
          <w:szCs w:val="28"/>
        </w:rPr>
        <w:t>Kok</w:t>
      </w:r>
      <w:r w:rsidR="0006281D">
        <w:rPr>
          <w:rFonts w:cs="Times New Roman"/>
          <w:sz w:val="28"/>
          <w:szCs w:val="28"/>
        </w:rPr>
        <w:t>rūpniecības</w:t>
      </w:r>
      <w:r w:rsidRPr="00987EE3">
        <w:rPr>
          <w:rFonts w:cs="Times New Roman"/>
          <w:sz w:val="28"/>
          <w:szCs w:val="28"/>
        </w:rPr>
        <w:t xml:space="preserve"> jomā:</w:t>
      </w:r>
    </w:p>
    <w:p w:rsidR="00987EE3" w:rsidRPr="00987EE3" w:rsidRDefault="00987EE3" w:rsidP="00987EE3">
      <w:pPr>
        <w:pStyle w:val="ListParagraph"/>
        <w:numPr>
          <w:ilvl w:val="0"/>
          <w:numId w:val="21"/>
        </w:numPr>
        <w:ind w:left="709" w:hanging="426"/>
        <w:jc w:val="both"/>
        <w:rPr>
          <w:rFonts w:cs="Times New Roman"/>
          <w:sz w:val="28"/>
          <w:szCs w:val="28"/>
        </w:rPr>
      </w:pPr>
      <w:r w:rsidRPr="00987EE3">
        <w:rPr>
          <w:sz w:val="28"/>
          <w:szCs w:val="28"/>
        </w:rPr>
        <w:t>samazināt administratīvo slogu meža apsaimniekošanā, piem</w:t>
      </w:r>
      <w:r>
        <w:rPr>
          <w:sz w:val="28"/>
          <w:szCs w:val="28"/>
        </w:rPr>
        <w:t>ēram,</w:t>
      </w:r>
      <w:r w:rsidRPr="00987EE3">
        <w:rPr>
          <w:sz w:val="28"/>
          <w:szCs w:val="28"/>
        </w:rPr>
        <w:t xml:space="preserve"> ciršanas apliecinājumu forma un termiņi, meža inventarizācijas kārtība, u.c</w:t>
      </w:r>
      <w:r>
        <w:rPr>
          <w:sz w:val="28"/>
          <w:szCs w:val="28"/>
        </w:rPr>
        <w:t>.</w:t>
      </w:r>
      <w:r w:rsidRPr="00987EE3">
        <w:rPr>
          <w:rFonts w:cs="Times New Roman"/>
          <w:sz w:val="28"/>
          <w:szCs w:val="28"/>
        </w:rPr>
        <w:t>;</w:t>
      </w:r>
    </w:p>
    <w:p w:rsidR="00DB60FC" w:rsidRDefault="00987EE3" w:rsidP="00DB60FC">
      <w:pPr>
        <w:pStyle w:val="ListParagraph"/>
        <w:numPr>
          <w:ilvl w:val="0"/>
          <w:numId w:val="22"/>
        </w:numPr>
        <w:ind w:left="709" w:hanging="426"/>
        <w:jc w:val="both"/>
        <w:rPr>
          <w:rFonts w:cs="Times New Roman"/>
          <w:sz w:val="28"/>
          <w:szCs w:val="28"/>
        </w:rPr>
      </w:pPr>
      <w:r w:rsidRPr="00987EE3">
        <w:rPr>
          <w:sz w:val="28"/>
          <w:szCs w:val="28"/>
        </w:rPr>
        <w:t>samazināt administratīvo slogu mežsaimniecības loģistikas uzņēmumiem</w:t>
      </w:r>
      <w:r w:rsidR="00DB60FC">
        <w:rPr>
          <w:rFonts w:cs="Times New Roman"/>
          <w:sz w:val="28"/>
          <w:szCs w:val="28"/>
        </w:rPr>
        <w:t>;</w:t>
      </w:r>
    </w:p>
    <w:p w:rsidR="00DB60FC" w:rsidRPr="00B55AAB" w:rsidRDefault="00DB60FC" w:rsidP="00DB60FC">
      <w:pPr>
        <w:pStyle w:val="ListParagraph"/>
        <w:numPr>
          <w:ilvl w:val="0"/>
          <w:numId w:val="22"/>
        </w:numPr>
        <w:ind w:left="709" w:hanging="426"/>
        <w:jc w:val="both"/>
        <w:rPr>
          <w:rFonts w:cs="Times New Roman"/>
          <w:sz w:val="28"/>
          <w:szCs w:val="28"/>
        </w:rPr>
      </w:pPr>
      <w:r w:rsidRPr="00B55AAB">
        <w:rPr>
          <w:rFonts w:cs="Times New Roman"/>
          <w:sz w:val="28"/>
          <w:szCs w:val="28"/>
        </w:rPr>
        <w:t>vienkāršot prasības meža īpašniekiem un meža zemes tran</w:t>
      </w:r>
      <w:r>
        <w:rPr>
          <w:rFonts w:cs="Times New Roman"/>
          <w:sz w:val="28"/>
          <w:szCs w:val="28"/>
        </w:rPr>
        <w:t>sformācijai veicamās procedūras.</w:t>
      </w:r>
    </w:p>
    <w:p w:rsidR="00B55AAB" w:rsidRPr="00B55AAB" w:rsidRDefault="00B55AAB" w:rsidP="00B55AAB">
      <w:pPr>
        <w:spacing w:before="60"/>
        <w:jc w:val="both"/>
        <w:rPr>
          <w:rFonts w:cs="Times New Roman"/>
          <w:sz w:val="28"/>
          <w:szCs w:val="28"/>
        </w:rPr>
      </w:pPr>
      <w:r w:rsidRPr="00B55AAB">
        <w:rPr>
          <w:rFonts w:cs="Times New Roman"/>
          <w:sz w:val="28"/>
          <w:szCs w:val="28"/>
        </w:rPr>
        <w:t>Citās jomās:</w:t>
      </w:r>
    </w:p>
    <w:p w:rsidR="00B55AAB" w:rsidRPr="00B55AAB" w:rsidRDefault="00B55AAB" w:rsidP="00B55AAB">
      <w:pPr>
        <w:pStyle w:val="ListParagraph"/>
        <w:numPr>
          <w:ilvl w:val="0"/>
          <w:numId w:val="22"/>
        </w:numPr>
        <w:ind w:left="709" w:hanging="426"/>
        <w:jc w:val="both"/>
        <w:rPr>
          <w:rFonts w:cs="Times New Roman"/>
          <w:sz w:val="32"/>
          <w:szCs w:val="28"/>
        </w:rPr>
      </w:pPr>
      <w:r w:rsidRPr="00B55AAB">
        <w:rPr>
          <w:sz w:val="28"/>
        </w:rPr>
        <w:t>ieviest</w:t>
      </w:r>
      <w:r w:rsidRPr="00B55AAB">
        <w:rPr>
          <w:rFonts w:eastAsia="Calibri" w:cs="Times New Roman"/>
          <w:sz w:val="28"/>
        </w:rPr>
        <w:t xml:space="preserve"> vi</w:t>
      </w:r>
      <w:r w:rsidRPr="00B55AAB">
        <w:rPr>
          <w:sz w:val="28"/>
        </w:rPr>
        <w:t>enas pieturas aģentūras principu darba atļaujas</w:t>
      </w:r>
      <w:r w:rsidRPr="00B55AAB">
        <w:rPr>
          <w:rFonts w:eastAsia="Calibri" w:cs="Times New Roman"/>
          <w:sz w:val="28"/>
        </w:rPr>
        <w:t xml:space="preserve"> un uzturēšanās atļaujas saņemšanai, optimizējot darba izsaukuma un izsaukuma uzturēšanās atļaujas procedūras, veicot tās vienas iestādes un apmeklējuma ietvaros</w:t>
      </w:r>
      <w:r w:rsidRPr="00B55AAB">
        <w:rPr>
          <w:sz w:val="28"/>
        </w:rPr>
        <w:t>;</w:t>
      </w:r>
    </w:p>
    <w:p w:rsidR="00B55AAB" w:rsidRPr="00B55AAB" w:rsidRDefault="00B55AAB" w:rsidP="00B55AAB">
      <w:pPr>
        <w:pStyle w:val="ListParagraph"/>
        <w:numPr>
          <w:ilvl w:val="0"/>
          <w:numId w:val="22"/>
        </w:numPr>
        <w:ind w:left="709" w:hanging="426"/>
        <w:jc w:val="both"/>
        <w:rPr>
          <w:rFonts w:cs="Times New Roman"/>
          <w:sz w:val="28"/>
          <w:szCs w:val="28"/>
        </w:rPr>
      </w:pPr>
      <w:r w:rsidRPr="00B55AAB">
        <w:rPr>
          <w:sz w:val="28"/>
          <w:szCs w:val="28"/>
        </w:rPr>
        <w:lastRenderedPageBreak/>
        <w:t xml:space="preserve">atļaut </w:t>
      </w:r>
      <w:r w:rsidRPr="00B55AAB">
        <w:rPr>
          <w:rFonts w:eastAsia="Calibri" w:cs="Times New Roman"/>
          <w:sz w:val="28"/>
          <w:szCs w:val="28"/>
        </w:rPr>
        <w:t>Latvijā zinātniskajiem institūtiem un augstākās izglītības iestādēm reģistrēt un uzturēt uz sava vārda par valsts budžeta līdzekļiem izstrādātos patentus, kā arī risināt sarunas par šo patentu komercializāciju</w:t>
      </w:r>
      <w:r w:rsidRPr="00B55AAB">
        <w:rPr>
          <w:sz w:val="28"/>
          <w:szCs w:val="28"/>
        </w:rPr>
        <w:t>;</w:t>
      </w:r>
    </w:p>
    <w:p w:rsidR="00B55AAB" w:rsidRPr="00B55AAB" w:rsidRDefault="00B55AAB" w:rsidP="00B55AAB">
      <w:pPr>
        <w:pStyle w:val="ListParagraph"/>
        <w:numPr>
          <w:ilvl w:val="0"/>
          <w:numId w:val="22"/>
        </w:numPr>
        <w:ind w:left="709" w:hanging="426"/>
        <w:jc w:val="both"/>
        <w:rPr>
          <w:rFonts w:cs="Times New Roman"/>
          <w:sz w:val="28"/>
          <w:szCs w:val="28"/>
        </w:rPr>
      </w:pPr>
      <w:r w:rsidRPr="00B55AAB">
        <w:rPr>
          <w:rFonts w:cs="Times New Roman"/>
          <w:sz w:val="28"/>
          <w:szCs w:val="28"/>
        </w:rPr>
        <w:t>noteikt vienkāršotas prasības „zaļajiem tirdziņiem” un paplašināt ielu tirdzniecības vietās atļauto preču sortimentu;</w:t>
      </w:r>
    </w:p>
    <w:p w:rsidR="00B55AAB" w:rsidRPr="00B55AAB" w:rsidRDefault="00B55AAB" w:rsidP="00B55AAB">
      <w:pPr>
        <w:pStyle w:val="ListParagraph"/>
        <w:numPr>
          <w:ilvl w:val="0"/>
          <w:numId w:val="22"/>
        </w:numPr>
        <w:ind w:left="709" w:hanging="426"/>
        <w:jc w:val="both"/>
        <w:rPr>
          <w:rFonts w:cs="Times New Roman"/>
          <w:sz w:val="28"/>
          <w:szCs w:val="28"/>
        </w:rPr>
      </w:pPr>
      <w:r w:rsidRPr="00B55AAB">
        <w:rPr>
          <w:rFonts w:cs="Times New Roman"/>
          <w:sz w:val="28"/>
          <w:szCs w:val="28"/>
        </w:rPr>
        <w:t>pagarināt vasaras kafejnīcās alkohola tirdzniecības atļauju termiņu, saskaņojot to ar šādu kafejnīcu darbības termiņu</w:t>
      </w:r>
      <w:r w:rsidR="00C46204">
        <w:rPr>
          <w:rFonts w:cs="Times New Roman"/>
          <w:sz w:val="28"/>
          <w:szCs w:val="28"/>
        </w:rPr>
        <w:t>;</w:t>
      </w:r>
    </w:p>
    <w:p w:rsidR="007F54E5" w:rsidRPr="00FC1194" w:rsidRDefault="00FC1194" w:rsidP="00FC1194">
      <w:pPr>
        <w:pStyle w:val="ListParagraph"/>
        <w:numPr>
          <w:ilvl w:val="0"/>
          <w:numId w:val="22"/>
        </w:numPr>
        <w:ind w:left="709" w:hanging="426"/>
        <w:jc w:val="both"/>
        <w:rPr>
          <w:rFonts w:cs="Times New Roman"/>
          <w:sz w:val="28"/>
          <w:szCs w:val="28"/>
        </w:rPr>
      </w:pPr>
      <w:r w:rsidRPr="00FC1194">
        <w:rPr>
          <w:rFonts w:cs="Times New Roman"/>
          <w:sz w:val="28"/>
          <w:szCs w:val="28"/>
        </w:rPr>
        <w:t xml:space="preserve">no 2010.gada 1.janvāra atcelt pavadzīmju ar </w:t>
      </w:r>
      <w:r w:rsidR="00B40B1E">
        <w:rPr>
          <w:rFonts w:cs="Times New Roman"/>
          <w:sz w:val="28"/>
          <w:szCs w:val="28"/>
        </w:rPr>
        <w:t>VID</w:t>
      </w:r>
      <w:r w:rsidRPr="00FC1194">
        <w:rPr>
          <w:rFonts w:cs="Times New Roman"/>
          <w:sz w:val="28"/>
          <w:szCs w:val="28"/>
        </w:rPr>
        <w:t xml:space="preserve"> piešķirtiem numuriem lietošanu atbilstoši </w:t>
      </w:r>
      <w:r w:rsidR="00B40B1E">
        <w:rPr>
          <w:rFonts w:cs="Times New Roman"/>
          <w:sz w:val="28"/>
          <w:szCs w:val="28"/>
        </w:rPr>
        <w:t>MK</w:t>
      </w:r>
      <w:r w:rsidRPr="00FC1194">
        <w:rPr>
          <w:rFonts w:cs="Times New Roman"/>
          <w:sz w:val="28"/>
          <w:szCs w:val="28"/>
        </w:rPr>
        <w:t xml:space="preserve"> </w:t>
      </w:r>
      <w:r w:rsidR="00B40B1E">
        <w:rPr>
          <w:rFonts w:cs="Times New Roman"/>
          <w:sz w:val="28"/>
          <w:szCs w:val="28"/>
        </w:rPr>
        <w:t>2009</w:t>
      </w:r>
      <w:r w:rsidRPr="00FC1194">
        <w:rPr>
          <w:rFonts w:cs="Times New Roman"/>
          <w:sz w:val="28"/>
          <w:szCs w:val="28"/>
        </w:rPr>
        <w:t>.</w:t>
      </w:r>
      <w:r w:rsidR="00B40B1E">
        <w:rPr>
          <w:rFonts w:cs="Times New Roman"/>
          <w:sz w:val="28"/>
          <w:szCs w:val="28"/>
        </w:rPr>
        <w:t>gada</w:t>
      </w:r>
      <w:r w:rsidRPr="00FC1194">
        <w:rPr>
          <w:rFonts w:cs="Times New Roman"/>
          <w:sz w:val="28"/>
          <w:szCs w:val="28"/>
        </w:rPr>
        <w:t xml:space="preserve"> 15.septembra lēmumam (prot. Nr.15, 51.§.)</w:t>
      </w:r>
      <w:r w:rsidR="00B55AAB" w:rsidRPr="00FC1194">
        <w:rPr>
          <w:rFonts w:cs="Times New Roman"/>
          <w:sz w:val="28"/>
          <w:szCs w:val="28"/>
        </w:rPr>
        <w:t>.</w:t>
      </w:r>
    </w:p>
    <w:p w:rsidR="00FC1194" w:rsidRDefault="00FC1194" w:rsidP="00FC1194"/>
    <w:p w:rsidR="00FC1194" w:rsidRPr="00FC1194" w:rsidRDefault="00FC1194" w:rsidP="00FC1194"/>
    <w:p w:rsidR="00EF1F2B" w:rsidRPr="0088758F" w:rsidRDefault="00582EE4" w:rsidP="00EF1F2B">
      <w:pPr>
        <w:pStyle w:val="Heading3"/>
        <w:rPr>
          <w:rFonts w:cs="Times New Roman"/>
          <w:sz w:val="28"/>
          <w:szCs w:val="28"/>
        </w:rPr>
      </w:pPr>
      <w:bookmarkStart w:id="30" w:name="_Toc242510371"/>
      <w:r>
        <w:rPr>
          <w:rFonts w:cs="Times New Roman"/>
          <w:sz w:val="28"/>
          <w:szCs w:val="28"/>
        </w:rPr>
        <w:t>4</w:t>
      </w:r>
      <w:r w:rsidR="00EF1F2B" w:rsidRPr="0088758F">
        <w:rPr>
          <w:rFonts w:cs="Times New Roman"/>
          <w:sz w:val="28"/>
          <w:szCs w:val="28"/>
        </w:rPr>
        <w:t>.3. Mikro uzņēmumu atbalsta pasākumi</w:t>
      </w:r>
      <w:bookmarkEnd w:id="28"/>
      <w:bookmarkEnd w:id="29"/>
      <w:bookmarkEnd w:id="30"/>
    </w:p>
    <w:p w:rsidR="00EF1F2B" w:rsidRPr="00634249" w:rsidRDefault="00EF1F2B" w:rsidP="00EF1F2B">
      <w:pPr>
        <w:ind w:firstLine="720"/>
        <w:jc w:val="both"/>
        <w:rPr>
          <w:rFonts w:cs="Times New Roman"/>
          <w:sz w:val="6"/>
          <w:szCs w:val="28"/>
        </w:rPr>
      </w:pPr>
    </w:p>
    <w:p w:rsidR="00FF54E8" w:rsidRPr="0088758F" w:rsidRDefault="00FF54E8" w:rsidP="00FF54E8">
      <w:pPr>
        <w:spacing w:after="120"/>
        <w:jc w:val="both"/>
        <w:rPr>
          <w:rFonts w:cs="Times New Roman"/>
          <w:sz w:val="28"/>
          <w:szCs w:val="28"/>
        </w:rPr>
      </w:pPr>
      <w:r w:rsidRPr="0088758F">
        <w:rPr>
          <w:rFonts w:cs="Times New Roman"/>
          <w:b/>
          <w:sz w:val="28"/>
          <w:szCs w:val="28"/>
        </w:rPr>
        <w:t xml:space="preserve">Mērķis: </w:t>
      </w:r>
      <w:r w:rsidRPr="0088758F">
        <w:rPr>
          <w:rFonts w:cs="Times New Roman"/>
          <w:sz w:val="28"/>
          <w:szCs w:val="28"/>
        </w:rPr>
        <w:t>radīt priekšnoteikumus mikro uzņēmumu darbībai.</w:t>
      </w:r>
    </w:p>
    <w:p w:rsidR="00FF54E8" w:rsidRPr="0088758F" w:rsidRDefault="00FF54E8" w:rsidP="00FF54E8">
      <w:pPr>
        <w:jc w:val="both"/>
        <w:rPr>
          <w:rFonts w:cs="Times New Roman"/>
          <w:sz w:val="28"/>
          <w:szCs w:val="28"/>
        </w:rPr>
      </w:pPr>
      <w:r w:rsidRPr="0088758F">
        <w:rPr>
          <w:rFonts w:cs="Times New Roman"/>
          <w:sz w:val="28"/>
          <w:szCs w:val="28"/>
        </w:rPr>
        <w:tab/>
        <w:t>Mikro uzņēmumiem ir jānodrošina draudzīga nodokļu politika, vienkāršota nodokļu administrēšana, kā arī atvieglotas nodokļu un grāmatvedības uzskaites prasības, tāpat jāsamazina mikro uzņēmuma dibināšanas izmaksas, kas saistītas ar pamatkapitāla samazināšanu un ar uzņēmuma reģistrāciju Uzņēmumu reģistrā saistītās izmaksas.</w:t>
      </w:r>
    </w:p>
    <w:p w:rsidR="00FF54E8" w:rsidRPr="0088758F" w:rsidRDefault="00FF54E8" w:rsidP="00FF54E8">
      <w:pPr>
        <w:jc w:val="both"/>
        <w:rPr>
          <w:rFonts w:cs="Times New Roman"/>
          <w:sz w:val="20"/>
          <w:szCs w:val="28"/>
          <w:u w:val="single"/>
        </w:rPr>
      </w:pPr>
    </w:p>
    <w:p w:rsidR="00FC1194" w:rsidRPr="002435DA" w:rsidRDefault="00FC1194" w:rsidP="00FC1194">
      <w:pPr>
        <w:jc w:val="both"/>
        <w:rPr>
          <w:rFonts w:cs="Times New Roman"/>
          <w:sz w:val="28"/>
          <w:szCs w:val="28"/>
          <w:u w:val="single"/>
        </w:rPr>
      </w:pPr>
      <w:r w:rsidRPr="002435DA">
        <w:rPr>
          <w:rFonts w:cs="Times New Roman"/>
          <w:sz w:val="28"/>
          <w:szCs w:val="28"/>
          <w:u w:val="single"/>
        </w:rPr>
        <w:t xml:space="preserve">Galvenie veicamie pasākumi, atbilstoši 2009.gada 15.septembrī konceptuāli atbalstītajai koncepcijai </w:t>
      </w:r>
      <w:r w:rsidRPr="002435DA">
        <w:rPr>
          <w:rFonts w:cs="Times New Roman"/>
          <w:i/>
          <w:sz w:val="28"/>
          <w:szCs w:val="28"/>
          <w:u w:val="single"/>
        </w:rPr>
        <w:t>„Par mikrouzņēmumu atbalsta pasākumiem”</w:t>
      </w:r>
      <w:r w:rsidRPr="002435DA">
        <w:rPr>
          <w:rFonts w:cs="Times New Roman"/>
          <w:sz w:val="28"/>
          <w:szCs w:val="28"/>
          <w:u w:val="single"/>
        </w:rPr>
        <w:t xml:space="preserve">: </w:t>
      </w:r>
    </w:p>
    <w:p w:rsidR="00FC1194" w:rsidRPr="002435DA" w:rsidRDefault="00FC1194" w:rsidP="00FC1194">
      <w:pPr>
        <w:pStyle w:val="ListParagraph"/>
        <w:numPr>
          <w:ilvl w:val="0"/>
          <w:numId w:val="7"/>
        </w:numPr>
        <w:ind w:left="426"/>
        <w:contextualSpacing w:val="0"/>
        <w:jc w:val="both"/>
        <w:rPr>
          <w:rFonts w:eastAsia="Calibri" w:cs="Times New Roman"/>
          <w:sz w:val="28"/>
          <w:szCs w:val="28"/>
        </w:rPr>
      </w:pPr>
      <w:r w:rsidRPr="002435DA">
        <w:rPr>
          <w:rFonts w:eastAsia="Calibri" w:cs="Times New Roman"/>
          <w:sz w:val="28"/>
          <w:szCs w:val="28"/>
        </w:rPr>
        <w:t>samazināt mikro</w:t>
      </w:r>
      <w:r w:rsidR="00B40B1E" w:rsidRPr="002435DA">
        <w:rPr>
          <w:rFonts w:eastAsia="Calibri" w:cs="Times New Roman"/>
          <w:sz w:val="28"/>
          <w:szCs w:val="28"/>
        </w:rPr>
        <w:t xml:space="preserve"> </w:t>
      </w:r>
      <w:r w:rsidRPr="002435DA">
        <w:rPr>
          <w:rFonts w:eastAsia="Calibri" w:cs="Times New Roman"/>
          <w:sz w:val="28"/>
          <w:szCs w:val="28"/>
        </w:rPr>
        <w:t>uzņēmumu komercdarbības uzsākšanas izmaksas;</w:t>
      </w:r>
    </w:p>
    <w:p w:rsidR="00FC1194" w:rsidRPr="0088758F" w:rsidRDefault="00FC1194" w:rsidP="00FC1194">
      <w:pPr>
        <w:pStyle w:val="ListParagraph"/>
        <w:numPr>
          <w:ilvl w:val="0"/>
          <w:numId w:val="7"/>
        </w:numPr>
        <w:ind w:left="426"/>
        <w:contextualSpacing w:val="0"/>
        <w:jc w:val="both"/>
        <w:rPr>
          <w:rFonts w:eastAsia="Calibri" w:cs="Times New Roman"/>
          <w:sz w:val="28"/>
          <w:szCs w:val="28"/>
        </w:rPr>
      </w:pPr>
      <w:r w:rsidRPr="0088758F">
        <w:rPr>
          <w:rFonts w:eastAsia="Calibri" w:cs="Times New Roman"/>
          <w:sz w:val="28"/>
          <w:szCs w:val="28"/>
        </w:rPr>
        <w:t>ieviest mikro uzņēmumiem draudzīgu nodokļu politiku;</w:t>
      </w:r>
    </w:p>
    <w:p w:rsidR="00FC1194" w:rsidRPr="0088758F" w:rsidRDefault="00FC1194" w:rsidP="00FC1194">
      <w:pPr>
        <w:pStyle w:val="ListParagraph"/>
        <w:numPr>
          <w:ilvl w:val="0"/>
          <w:numId w:val="7"/>
        </w:numPr>
        <w:ind w:left="426"/>
        <w:contextualSpacing w:val="0"/>
        <w:jc w:val="both"/>
        <w:rPr>
          <w:rFonts w:eastAsia="Calibri" w:cs="Times New Roman"/>
          <w:sz w:val="28"/>
          <w:szCs w:val="28"/>
        </w:rPr>
      </w:pPr>
      <w:r w:rsidRPr="0088758F">
        <w:rPr>
          <w:rFonts w:eastAsia="Calibri" w:cs="Times New Roman"/>
          <w:sz w:val="28"/>
          <w:szCs w:val="28"/>
        </w:rPr>
        <w:t>panākt, ka mikro uzņēmējs pats ir spējīgs kārtot grāmatvedību;</w:t>
      </w:r>
    </w:p>
    <w:p w:rsidR="00FC1194" w:rsidRPr="0088758F" w:rsidRDefault="00FC1194" w:rsidP="00FC1194">
      <w:pPr>
        <w:pStyle w:val="ListParagraph"/>
        <w:numPr>
          <w:ilvl w:val="0"/>
          <w:numId w:val="7"/>
        </w:numPr>
        <w:ind w:left="426"/>
        <w:contextualSpacing w:val="0"/>
        <w:jc w:val="both"/>
        <w:rPr>
          <w:rFonts w:eastAsia="Calibri" w:cs="Times New Roman"/>
          <w:sz w:val="28"/>
          <w:szCs w:val="28"/>
        </w:rPr>
      </w:pPr>
      <w:r w:rsidRPr="0088758F">
        <w:rPr>
          <w:rFonts w:eastAsia="Calibri" w:cs="Times New Roman"/>
          <w:sz w:val="28"/>
          <w:szCs w:val="28"/>
        </w:rPr>
        <w:t>nodrošināt finanšu pieejamību mikro uzņēmumiem;</w:t>
      </w:r>
    </w:p>
    <w:p w:rsidR="00FC1194" w:rsidRPr="0088758F" w:rsidRDefault="00FC1194" w:rsidP="00FC1194">
      <w:pPr>
        <w:pStyle w:val="ListParagraph"/>
        <w:numPr>
          <w:ilvl w:val="0"/>
          <w:numId w:val="7"/>
        </w:numPr>
        <w:ind w:left="426"/>
        <w:contextualSpacing w:val="0"/>
        <w:jc w:val="both"/>
        <w:rPr>
          <w:rFonts w:eastAsia="Calibri" w:cs="Times New Roman"/>
          <w:sz w:val="28"/>
          <w:szCs w:val="28"/>
        </w:rPr>
      </w:pPr>
      <w:r w:rsidRPr="0088758F">
        <w:rPr>
          <w:rFonts w:eastAsia="Calibri" w:cs="Times New Roman"/>
          <w:sz w:val="28"/>
          <w:szCs w:val="28"/>
        </w:rPr>
        <w:t>nodrošināt pilnvērtīgas informācijas pieejamību mikro uzņēmumiem;</w:t>
      </w:r>
    </w:p>
    <w:p w:rsidR="00FC1194" w:rsidRPr="0088758F" w:rsidRDefault="00FC1194" w:rsidP="00FC1194">
      <w:pPr>
        <w:pStyle w:val="ListParagraph"/>
        <w:numPr>
          <w:ilvl w:val="0"/>
          <w:numId w:val="7"/>
        </w:numPr>
        <w:ind w:left="426"/>
        <w:contextualSpacing w:val="0"/>
        <w:jc w:val="both"/>
        <w:rPr>
          <w:rFonts w:eastAsia="Calibri" w:cs="Times New Roman"/>
          <w:sz w:val="28"/>
          <w:szCs w:val="28"/>
        </w:rPr>
      </w:pPr>
      <w:r w:rsidRPr="0088758F">
        <w:rPr>
          <w:rFonts w:eastAsia="Calibri" w:cs="Times New Roman"/>
          <w:sz w:val="28"/>
          <w:szCs w:val="28"/>
        </w:rPr>
        <w:t>paplašināt apmācību, kas nepieciešamas uzņēmējdarbības uzsākšanai, pieejamību jaunajiem mikro uzņēmējiem.</w:t>
      </w:r>
    </w:p>
    <w:p w:rsidR="00FC1194" w:rsidRPr="0088758F" w:rsidRDefault="00FC1194" w:rsidP="00FC1194">
      <w:pPr>
        <w:jc w:val="both"/>
        <w:rPr>
          <w:rFonts w:eastAsia="Calibri"/>
          <w:i/>
          <w:sz w:val="20"/>
          <w:szCs w:val="28"/>
        </w:rPr>
      </w:pPr>
    </w:p>
    <w:p w:rsidR="007C49D7" w:rsidRPr="007C49D7" w:rsidRDefault="007C49D7" w:rsidP="007C49D7">
      <w:pPr>
        <w:ind w:firstLine="567"/>
        <w:jc w:val="both"/>
        <w:rPr>
          <w:rFonts w:cs="Times New Roman"/>
          <w:sz w:val="28"/>
          <w:szCs w:val="28"/>
        </w:rPr>
      </w:pPr>
      <w:r w:rsidRPr="007C49D7">
        <w:rPr>
          <w:rFonts w:cs="Times New Roman"/>
          <w:sz w:val="28"/>
          <w:szCs w:val="28"/>
        </w:rPr>
        <w:t>Mazo uzņēmumu darbības vides problēmas sevišķi izgaismojas krīzes apstākļos. Lai veicinātu ekonomiskās aktivitātes, ir izveidoti arī īpašie atbalsta pasākumi mikro, maziem un vidējiem uzņēmumiem (kopējais finansējums 45,8 milj. latu). Pasākumi veicinās bez darba palikušos cilvēkus uzsākt komercdarbību, kas papildus ļautu risināt arī nodarbinātības problēmu.</w:t>
      </w:r>
    </w:p>
    <w:p w:rsidR="007C49D7" w:rsidRPr="007C49D7" w:rsidRDefault="007C49D7" w:rsidP="007C49D7">
      <w:pPr>
        <w:ind w:firstLine="567"/>
        <w:jc w:val="both"/>
        <w:rPr>
          <w:rFonts w:cs="Times New Roman"/>
          <w:sz w:val="28"/>
          <w:szCs w:val="28"/>
        </w:rPr>
      </w:pPr>
      <w:r w:rsidRPr="007C49D7">
        <w:rPr>
          <w:rFonts w:cs="Times New Roman"/>
          <w:sz w:val="28"/>
          <w:szCs w:val="28"/>
        </w:rPr>
        <w:t xml:space="preserve">Mikro uzņēmumiem no 2010.gada pirmā ceturkšņa ES fondu aktivitātes ietvaros būs pieejami </w:t>
      </w:r>
      <w:r w:rsidRPr="0069286F">
        <w:rPr>
          <w:rFonts w:cs="Times New Roman"/>
          <w:i/>
          <w:sz w:val="28"/>
          <w:szCs w:val="28"/>
        </w:rPr>
        <w:t>Biznesa inkubatoru</w:t>
      </w:r>
      <w:r w:rsidRPr="007C49D7">
        <w:rPr>
          <w:rFonts w:cs="Times New Roman"/>
          <w:sz w:val="28"/>
          <w:szCs w:val="28"/>
        </w:rPr>
        <w:t xml:space="preserve"> pakalpojumi (komersantu nodrošināšana ar komercdarbībai nepieciešamo vidi un konsultatīvajiem pakalpojumiem - finansējums 20,2 milj. latu) desmit biznesa inkubatoros visā Latvijā.</w:t>
      </w:r>
    </w:p>
    <w:p w:rsidR="007C49D7" w:rsidRPr="007C49D7" w:rsidRDefault="007C49D7" w:rsidP="007C49D7">
      <w:pPr>
        <w:ind w:firstLine="567"/>
        <w:jc w:val="both"/>
        <w:rPr>
          <w:rFonts w:cs="Times New Roman"/>
          <w:sz w:val="12"/>
          <w:szCs w:val="12"/>
        </w:rPr>
      </w:pPr>
    </w:p>
    <w:p w:rsidR="007C49D7" w:rsidRPr="007C49D7" w:rsidRDefault="007C49D7" w:rsidP="007C49D7">
      <w:pPr>
        <w:ind w:firstLine="567"/>
        <w:jc w:val="both"/>
        <w:rPr>
          <w:rFonts w:cs="Times New Roman"/>
          <w:sz w:val="28"/>
          <w:szCs w:val="28"/>
        </w:rPr>
      </w:pPr>
      <w:r w:rsidRPr="007C49D7">
        <w:rPr>
          <w:rFonts w:cs="Times New Roman"/>
          <w:sz w:val="28"/>
          <w:szCs w:val="28"/>
        </w:rPr>
        <w:t xml:space="preserve">Mikro uzņēmumiem līdz 2009.gada beigām pieejams arī ES fondu atbalsts aktivitātes </w:t>
      </w:r>
      <w:r w:rsidRPr="0069286F">
        <w:rPr>
          <w:rFonts w:cs="Times New Roman"/>
          <w:i/>
          <w:sz w:val="28"/>
          <w:szCs w:val="28"/>
        </w:rPr>
        <w:t>„Atbalsts ieguldījumiem mikro, maziem un vidējiem komersantiem īpaši atbalstāmās teritorijās”</w:t>
      </w:r>
      <w:r w:rsidRPr="007C49D7">
        <w:rPr>
          <w:rFonts w:cs="Times New Roman"/>
          <w:sz w:val="28"/>
          <w:szCs w:val="28"/>
        </w:rPr>
        <w:t xml:space="preserve"> ietvaros. </w:t>
      </w:r>
    </w:p>
    <w:p w:rsidR="00FF54E8" w:rsidRDefault="00FF54E8" w:rsidP="00FF54E8"/>
    <w:p w:rsidR="00FC1194" w:rsidRDefault="00FC1194" w:rsidP="00EF1F2B">
      <w:pPr>
        <w:pStyle w:val="Heading3"/>
        <w:rPr>
          <w:rFonts w:cs="Times New Roman"/>
          <w:sz w:val="28"/>
          <w:szCs w:val="28"/>
        </w:rPr>
      </w:pPr>
      <w:bookmarkStart w:id="31" w:name="_Toc242510372"/>
    </w:p>
    <w:p w:rsidR="002435DA" w:rsidRPr="002435DA" w:rsidRDefault="002435DA" w:rsidP="002435DA"/>
    <w:p w:rsidR="00EF1F2B" w:rsidRPr="0088758F" w:rsidRDefault="00582EE4" w:rsidP="00EF1F2B">
      <w:pPr>
        <w:pStyle w:val="Heading3"/>
        <w:rPr>
          <w:rFonts w:cs="Times New Roman"/>
          <w:sz w:val="28"/>
          <w:szCs w:val="28"/>
        </w:rPr>
      </w:pPr>
      <w:r>
        <w:rPr>
          <w:rFonts w:cs="Times New Roman"/>
          <w:sz w:val="28"/>
          <w:szCs w:val="28"/>
        </w:rPr>
        <w:lastRenderedPageBreak/>
        <w:t>4</w:t>
      </w:r>
      <w:r w:rsidR="00EF1F2B" w:rsidRPr="0088758F">
        <w:rPr>
          <w:rFonts w:cs="Times New Roman"/>
          <w:sz w:val="28"/>
          <w:szCs w:val="28"/>
        </w:rPr>
        <w:t>.4. Inovāciju veicināšana</w:t>
      </w:r>
      <w:bookmarkEnd w:id="31"/>
    </w:p>
    <w:p w:rsidR="00EF1F2B" w:rsidRPr="0088758F" w:rsidRDefault="00EF1F2B" w:rsidP="00EF1F2B">
      <w:pPr>
        <w:ind w:firstLine="720"/>
        <w:jc w:val="both"/>
        <w:rPr>
          <w:rFonts w:cs="Times New Roman"/>
          <w:sz w:val="16"/>
          <w:szCs w:val="28"/>
        </w:rPr>
      </w:pPr>
    </w:p>
    <w:p w:rsidR="00EF1F2B" w:rsidRPr="0088758F" w:rsidRDefault="00EF1F2B" w:rsidP="008F3C5E">
      <w:pPr>
        <w:spacing w:after="120"/>
        <w:jc w:val="both"/>
        <w:rPr>
          <w:rFonts w:cs="Times New Roman"/>
          <w:sz w:val="28"/>
          <w:szCs w:val="28"/>
        </w:rPr>
      </w:pPr>
      <w:r w:rsidRPr="0088758F">
        <w:rPr>
          <w:rFonts w:cs="Times New Roman"/>
          <w:b/>
          <w:sz w:val="28"/>
          <w:szCs w:val="28"/>
        </w:rPr>
        <w:t>Mērķis:</w:t>
      </w:r>
      <w:r w:rsidRPr="0088758F">
        <w:rPr>
          <w:rFonts w:cs="Times New Roman"/>
          <w:sz w:val="28"/>
          <w:szCs w:val="28"/>
        </w:rPr>
        <w:t xml:space="preserve"> veicināt jaunu produktu un tehnoloģiju izstrādi un ieviešanu uzņēmumos, paaugstinot inovācijas sistēmas kapacitāti un efektivitāti.</w:t>
      </w:r>
    </w:p>
    <w:p w:rsidR="00EF1F2B" w:rsidRPr="0088758F" w:rsidRDefault="00EF1F2B" w:rsidP="00EF1F2B">
      <w:pPr>
        <w:jc w:val="both"/>
        <w:rPr>
          <w:sz w:val="28"/>
          <w:szCs w:val="28"/>
          <w:u w:val="single"/>
        </w:rPr>
      </w:pPr>
      <w:r w:rsidRPr="0088758F">
        <w:rPr>
          <w:sz w:val="28"/>
          <w:szCs w:val="28"/>
          <w:u w:val="single"/>
        </w:rPr>
        <w:t xml:space="preserve">Galvenie veicamie </w:t>
      </w:r>
      <w:r w:rsidR="00282F9F" w:rsidRPr="0088758F">
        <w:rPr>
          <w:sz w:val="28"/>
          <w:szCs w:val="28"/>
          <w:u w:val="single"/>
        </w:rPr>
        <w:t>pasākumi</w:t>
      </w:r>
      <w:r w:rsidRPr="0088758F">
        <w:rPr>
          <w:sz w:val="28"/>
          <w:szCs w:val="28"/>
          <w:u w:val="single"/>
        </w:rPr>
        <w:t>:</w:t>
      </w:r>
    </w:p>
    <w:p w:rsidR="00EF1F2B" w:rsidRPr="0088758F" w:rsidRDefault="00EF1F2B" w:rsidP="00EF1F2B">
      <w:pPr>
        <w:pStyle w:val="ListParagraph"/>
        <w:numPr>
          <w:ilvl w:val="0"/>
          <w:numId w:val="7"/>
        </w:numPr>
        <w:ind w:left="426"/>
        <w:contextualSpacing w:val="0"/>
        <w:jc w:val="both"/>
        <w:rPr>
          <w:sz w:val="28"/>
          <w:szCs w:val="28"/>
        </w:rPr>
      </w:pPr>
      <w:r w:rsidRPr="0088758F">
        <w:rPr>
          <w:sz w:val="28"/>
          <w:szCs w:val="28"/>
        </w:rPr>
        <w:t>sekmēt zinātnes un privātā sektora sadarbību, atbalstot kopīgi veiktus rūpnieciskos pētījumus un pētniecī</w:t>
      </w:r>
      <w:r w:rsidR="008C1012">
        <w:rPr>
          <w:sz w:val="28"/>
          <w:szCs w:val="28"/>
        </w:rPr>
        <w:t>bas rezultātu pārnesi ražošanā;</w:t>
      </w:r>
    </w:p>
    <w:p w:rsidR="00EF1F2B" w:rsidRPr="0088758F" w:rsidRDefault="00EF1F2B" w:rsidP="00EF1F2B">
      <w:pPr>
        <w:pStyle w:val="ListParagraph"/>
        <w:numPr>
          <w:ilvl w:val="0"/>
          <w:numId w:val="7"/>
        </w:numPr>
        <w:ind w:left="426"/>
        <w:contextualSpacing w:val="0"/>
        <w:jc w:val="both"/>
        <w:rPr>
          <w:sz w:val="28"/>
          <w:szCs w:val="28"/>
        </w:rPr>
      </w:pPr>
      <w:r w:rsidRPr="0088758F">
        <w:rPr>
          <w:sz w:val="28"/>
          <w:szCs w:val="28"/>
        </w:rPr>
        <w:t>sekmēt privātā sektora ieguldījumus zinātniskajā darbībā un attīstībā, atbalstot jaunu produktu un tehnoloģiju</w:t>
      </w:r>
      <w:r w:rsidR="001911DD">
        <w:rPr>
          <w:sz w:val="28"/>
          <w:szCs w:val="28"/>
        </w:rPr>
        <w:t xml:space="preserve"> izstrādi un ieviešanu ražošanā;</w:t>
      </w:r>
    </w:p>
    <w:p w:rsidR="00EF1F2B" w:rsidRPr="0088758F" w:rsidRDefault="00EF1F2B" w:rsidP="00EF1F2B">
      <w:pPr>
        <w:pStyle w:val="ListParagraph"/>
        <w:numPr>
          <w:ilvl w:val="0"/>
          <w:numId w:val="7"/>
        </w:numPr>
        <w:ind w:left="426"/>
        <w:contextualSpacing w:val="0"/>
        <w:jc w:val="both"/>
        <w:rPr>
          <w:sz w:val="28"/>
          <w:szCs w:val="28"/>
        </w:rPr>
      </w:pPr>
      <w:r w:rsidRPr="0088758F">
        <w:rPr>
          <w:sz w:val="28"/>
          <w:szCs w:val="28"/>
        </w:rPr>
        <w:t>sekmēt jaunu inovatīvu komersantu veidošanos un attīstību, rosinot pēc iespējas plašāku sabiedrības daļu iesaistīties uzņēmējdarbībā un jaunu biznesa ideju īstenošanā.</w:t>
      </w:r>
    </w:p>
    <w:p w:rsidR="00EF1F2B" w:rsidRPr="00E67484" w:rsidRDefault="00EF1F2B" w:rsidP="00EF1F2B">
      <w:pPr>
        <w:jc w:val="both"/>
        <w:rPr>
          <w:sz w:val="12"/>
          <w:szCs w:val="28"/>
        </w:rPr>
      </w:pPr>
    </w:p>
    <w:p w:rsidR="00EF1F2B" w:rsidRPr="0088758F" w:rsidRDefault="00EF1F2B" w:rsidP="008F3C5E">
      <w:pPr>
        <w:spacing w:after="100"/>
        <w:jc w:val="both"/>
        <w:rPr>
          <w:sz w:val="28"/>
          <w:szCs w:val="28"/>
          <w:u w:val="single"/>
        </w:rPr>
      </w:pPr>
      <w:r w:rsidRPr="0088758F">
        <w:rPr>
          <w:sz w:val="28"/>
          <w:szCs w:val="28"/>
          <w:u w:val="single"/>
        </w:rPr>
        <w:t>Sasniedzamie rādītāji:</w:t>
      </w:r>
    </w:p>
    <w:tbl>
      <w:tblPr>
        <w:tblStyle w:val="LightShading3"/>
        <w:tblW w:w="5000" w:type="pct"/>
        <w:tblLook w:val="04A0"/>
      </w:tblPr>
      <w:tblGrid>
        <w:gridCol w:w="6487"/>
        <w:gridCol w:w="1683"/>
        <w:gridCol w:w="1685"/>
      </w:tblGrid>
      <w:tr w:rsidR="00EF1F2B" w:rsidRPr="0088758F" w:rsidTr="00EF1F2B">
        <w:trPr>
          <w:cnfStyle w:val="100000000000"/>
        </w:trPr>
        <w:tc>
          <w:tcPr>
            <w:cnfStyle w:val="001000000000"/>
            <w:tcW w:w="3291" w:type="pct"/>
          </w:tcPr>
          <w:p w:rsidR="00EF1F2B" w:rsidRPr="0088758F" w:rsidRDefault="00EF1F2B" w:rsidP="00EF1F2B">
            <w:pPr>
              <w:jc w:val="center"/>
              <w:rPr>
                <w:color w:val="auto"/>
                <w:sz w:val="24"/>
                <w:szCs w:val="28"/>
              </w:rPr>
            </w:pPr>
            <w:r w:rsidRPr="0088758F">
              <w:rPr>
                <w:color w:val="auto"/>
                <w:sz w:val="24"/>
                <w:szCs w:val="28"/>
              </w:rPr>
              <w:t>Rādītājs</w:t>
            </w:r>
          </w:p>
        </w:tc>
        <w:tc>
          <w:tcPr>
            <w:tcW w:w="854" w:type="pct"/>
            <w:vAlign w:val="center"/>
          </w:tcPr>
          <w:p w:rsidR="00EF1F2B" w:rsidRPr="0088758F" w:rsidRDefault="00EF1F2B" w:rsidP="00EF1F2B">
            <w:pPr>
              <w:jc w:val="center"/>
              <w:cnfStyle w:val="100000000000"/>
              <w:rPr>
                <w:color w:val="auto"/>
                <w:sz w:val="24"/>
                <w:szCs w:val="28"/>
              </w:rPr>
            </w:pPr>
            <w:r w:rsidRPr="0088758F">
              <w:rPr>
                <w:color w:val="auto"/>
                <w:sz w:val="24"/>
                <w:szCs w:val="28"/>
              </w:rPr>
              <w:t>2008</w:t>
            </w:r>
          </w:p>
        </w:tc>
        <w:tc>
          <w:tcPr>
            <w:tcW w:w="855" w:type="pct"/>
            <w:vAlign w:val="center"/>
          </w:tcPr>
          <w:p w:rsidR="00EF1F2B" w:rsidRPr="0088758F" w:rsidRDefault="00EF1F2B" w:rsidP="00EF1F2B">
            <w:pPr>
              <w:jc w:val="center"/>
              <w:cnfStyle w:val="100000000000"/>
              <w:rPr>
                <w:color w:val="auto"/>
                <w:sz w:val="24"/>
                <w:szCs w:val="28"/>
              </w:rPr>
            </w:pPr>
            <w:r w:rsidRPr="0088758F">
              <w:rPr>
                <w:color w:val="auto"/>
                <w:sz w:val="24"/>
                <w:szCs w:val="28"/>
              </w:rPr>
              <w:t>2015</w:t>
            </w:r>
          </w:p>
        </w:tc>
      </w:tr>
      <w:tr w:rsidR="00EF1F2B" w:rsidRPr="0088758F" w:rsidTr="00EF1F2B">
        <w:trPr>
          <w:cnfStyle w:val="000000100000"/>
        </w:trPr>
        <w:tc>
          <w:tcPr>
            <w:cnfStyle w:val="001000000000"/>
            <w:tcW w:w="3291" w:type="pct"/>
          </w:tcPr>
          <w:p w:rsidR="00EF1F2B" w:rsidRPr="0088758F" w:rsidRDefault="00EF1F2B" w:rsidP="00CF5EAA">
            <w:pPr>
              <w:spacing w:before="40" w:after="40"/>
              <w:jc w:val="both"/>
              <w:rPr>
                <w:b w:val="0"/>
                <w:color w:val="auto"/>
                <w:sz w:val="24"/>
                <w:szCs w:val="28"/>
              </w:rPr>
            </w:pPr>
            <w:r w:rsidRPr="0088758F">
              <w:rPr>
                <w:b w:val="0"/>
                <w:color w:val="auto"/>
                <w:sz w:val="24"/>
                <w:szCs w:val="28"/>
              </w:rPr>
              <w:t>Privātā sektora investīcijas pētniecībā un attīstībā</w:t>
            </w:r>
            <w:r w:rsidR="00CF5EAA">
              <w:rPr>
                <w:b w:val="0"/>
                <w:color w:val="auto"/>
                <w:sz w:val="24"/>
                <w:szCs w:val="28"/>
              </w:rPr>
              <w:t xml:space="preserve">, </w:t>
            </w:r>
            <w:r w:rsidRPr="0088758F">
              <w:rPr>
                <w:b w:val="0"/>
                <w:color w:val="auto"/>
                <w:sz w:val="24"/>
                <w:szCs w:val="28"/>
              </w:rPr>
              <w:t>% no kopējām investīcijām P&amp;A</w:t>
            </w:r>
          </w:p>
        </w:tc>
        <w:tc>
          <w:tcPr>
            <w:tcW w:w="854" w:type="pct"/>
            <w:vAlign w:val="center"/>
          </w:tcPr>
          <w:p w:rsidR="00EF1F2B" w:rsidRPr="0088758F" w:rsidRDefault="00EF1F2B" w:rsidP="00EF1F2B">
            <w:pPr>
              <w:spacing w:before="40" w:after="40"/>
              <w:jc w:val="center"/>
              <w:cnfStyle w:val="000000100000"/>
              <w:rPr>
                <w:color w:val="auto"/>
                <w:sz w:val="24"/>
                <w:szCs w:val="28"/>
              </w:rPr>
            </w:pPr>
            <w:r w:rsidRPr="0088758F">
              <w:rPr>
                <w:color w:val="auto"/>
                <w:sz w:val="24"/>
                <w:szCs w:val="28"/>
              </w:rPr>
              <w:t>27</w:t>
            </w:r>
          </w:p>
        </w:tc>
        <w:tc>
          <w:tcPr>
            <w:tcW w:w="855" w:type="pct"/>
            <w:vAlign w:val="center"/>
          </w:tcPr>
          <w:p w:rsidR="00EF1F2B" w:rsidRPr="0088758F" w:rsidRDefault="00EF1F2B" w:rsidP="00EF1F2B">
            <w:pPr>
              <w:spacing w:before="40" w:after="40"/>
              <w:jc w:val="center"/>
              <w:cnfStyle w:val="000000100000"/>
              <w:rPr>
                <w:color w:val="auto"/>
                <w:sz w:val="24"/>
                <w:szCs w:val="28"/>
              </w:rPr>
            </w:pPr>
            <w:r w:rsidRPr="0088758F">
              <w:rPr>
                <w:color w:val="auto"/>
                <w:sz w:val="24"/>
                <w:szCs w:val="28"/>
              </w:rPr>
              <w:t>50</w:t>
            </w:r>
          </w:p>
        </w:tc>
      </w:tr>
      <w:tr w:rsidR="00EF1F2B" w:rsidRPr="0088758F" w:rsidTr="00EF1F2B">
        <w:tc>
          <w:tcPr>
            <w:cnfStyle w:val="001000000000"/>
            <w:tcW w:w="3291" w:type="pct"/>
          </w:tcPr>
          <w:p w:rsidR="00EF1F2B" w:rsidRPr="0088758F" w:rsidRDefault="00EF1F2B" w:rsidP="00E42475">
            <w:pPr>
              <w:spacing w:before="40" w:after="40"/>
              <w:jc w:val="both"/>
              <w:rPr>
                <w:b w:val="0"/>
                <w:color w:val="auto"/>
                <w:sz w:val="24"/>
                <w:szCs w:val="28"/>
              </w:rPr>
            </w:pPr>
            <w:r w:rsidRPr="0088758F">
              <w:rPr>
                <w:b w:val="0"/>
                <w:color w:val="auto"/>
                <w:sz w:val="24"/>
                <w:szCs w:val="28"/>
              </w:rPr>
              <w:t xml:space="preserve">Inovatīvo uzņēmumu īpatsvars, % </w:t>
            </w:r>
          </w:p>
        </w:tc>
        <w:tc>
          <w:tcPr>
            <w:tcW w:w="854" w:type="pct"/>
            <w:vAlign w:val="center"/>
          </w:tcPr>
          <w:p w:rsidR="00EF1F2B" w:rsidRPr="0088758F" w:rsidRDefault="00EF1F2B" w:rsidP="00EF1F2B">
            <w:pPr>
              <w:spacing w:before="40" w:after="40"/>
              <w:jc w:val="center"/>
              <w:cnfStyle w:val="000000000000"/>
              <w:rPr>
                <w:color w:val="auto"/>
                <w:sz w:val="24"/>
                <w:szCs w:val="28"/>
              </w:rPr>
            </w:pPr>
            <w:r w:rsidRPr="0088758F">
              <w:rPr>
                <w:color w:val="auto"/>
                <w:sz w:val="24"/>
                <w:szCs w:val="28"/>
              </w:rPr>
              <w:t>19,6</w:t>
            </w:r>
          </w:p>
        </w:tc>
        <w:tc>
          <w:tcPr>
            <w:tcW w:w="855" w:type="pct"/>
            <w:vAlign w:val="center"/>
          </w:tcPr>
          <w:p w:rsidR="00EF1F2B" w:rsidRPr="0088758F" w:rsidRDefault="00EF1F2B" w:rsidP="00EF1F2B">
            <w:pPr>
              <w:spacing w:before="40" w:after="40"/>
              <w:jc w:val="center"/>
              <w:cnfStyle w:val="000000000000"/>
              <w:rPr>
                <w:color w:val="auto"/>
                <w:sz w:val="24"/>
                <w:szCs w:val="28"/>
              </w:rPr>
            </w:pPr>
            <w:r w:rsidRPr="0088758F">
              <w:rPr>
                <w:color w:val="auto"/>
                <w:sz w:val="24"/>
                <w:szCs w:val="28"/>
              </w:rPr>
              <w:t>30</w:t>
            </w:r>
          </w:p>
        </w:tc>
      </w:tr>
      <w:tr w:rsidR="00EF1F2B" w:rsidRPr="0088758F" w:rsidTr="00EF1F2B">
        <w:trPr>
          <w:cnfStyle w:val="000000100000"/>
        </w:trPr>
        <w:tc>
          <w:tcPr>
            <w:cnfStyle w:val="001000000000"/>
            <w:tcW w:w="3291" w:type="pct"/>
          </w:tcPr>
          <w:p w:rsidR="00EF1F2B" w:rsidRPr="0088758F" w:rsidRDefault="00EF1F2B" w:rsidP="00EF1F2B">
            <w:pPr>
              <w:spacing w:before="40" w:after="40"/>
              <w:jc w:val="both"/>
              <w:rPr>
                <w:b w:val="0"/>
                <w:color w:val="auto"/>
                <w:sz w:val="24"/>
                <w:szCs w:val="28"/>
              </w:rPr>
            </w:pPr>
            <w:r w:rsidRPr="0088758F">
              <w:rPr>
                <w:b w:val="0"/>
                <w:color w:val="auto"/>
                <w:sz w:val="24"/>
                <w:szCs w:val="28"/>
              </w:rPr>
              <w:t xml:space="preserve">Augsto un vidēji augsto tehnoloģiju nozaru īpatsvars </w:t>
            </w:r>
          </w:p>
          <w:p w:rsidR="00EF1F2B" w:rsidRPr="0088758F" w:rsidRDefault="00EF1F2B" w:rsidP="00EF1F2B">
            <w:pPr>
              <w:spacing w:before="40" w:after="40"/>
              <w:jc w:val="both"/>
              <w:rPr>
                <w:b w:val="0"/>
                <w:color w:val="auto"/>
                <w:sz w:val="24"/>
                <w:szCs w:val="28"/>
              </w:rPr>
            </w:pPr>
            <w:r w:rsidRPr="0088758F">
              <w:rPr>
                <w:b w:val="0"/>
                <w:color w:val="auto"/>
                <w:sz w:val="24"/>
                <w:szCs w:val="28"/>
              </w:rPr>
              <w:t xml:space="preserve">apstrādes rūpniecībā, % </w:t>
            </w:r>
          </w:p>
        </w:tc>
        <w:tc>
          <w:tcPr>
            <w:tcW w:w="854" w:type="pct"/>
            <w:vAlign w:val="center"/>
          </w:tcPr>
          <w:p w:rsidR="00EF1F2B" w:rsidRPr="0088758F" w:rsidRDefault="00EF1F2B" w:rsidP="00EF1F2B">
            <w:pPr>
              <w:spacing w:before="40" w:after="40"/>
              <w:jc w:val="center"/>
              <w:cnfStyle w:val="000000100000"/>
              <w:rPr>
                <w:color w:val="auto"/>
                <w:sz w:val="24"/>
                <w:szCs w:val="28"/>
              </w:rPr>
            </w:pPr>
            <w:r w:rsidRPr="0088758F">
              <w:rPr>
                <w:color w:val="auto"/>
                <w:sz w:val="24"/>
                <w:szCs w:val="28"/>
              </w:rPr>
              <w:t>15,3</w:t>
            </w:r>
          </w:p>
        </w:tc>
        <w:tc>
          <w:tcPr>
            <w:tcW w:w="855" w:type="pct"/>
            <w:vAlign w:val="center"/>
          </w:tcPr>
          <w:p w:rsidR="00EF1F2B" w:rsidRPr="0088758F" w:rsidRDefault="00EF1F2B" w:rsidP="00EF1F2B">
            <w:pPr>
              <w:spacing w:before="40" w:after="40"/>
              <w:jc w:val="center"/>
              <w:cnfStyle w:val="000000100000"/>
              <w:rPr>
                <w:color w:val="auto"/>
                <w:sz w:val="24"/>
                <w:szCs w:val="28"/>
              </w:rPr>
            </w:pPr>
            <w:r w:rsidRPr="0088758F">
              <w:rPr>
                <w:color w:val="auto"/>
                <w:sz w:val="24"/>
                <w:szCs w:val="28"/>
              </w:rPr>
              <w:t>21</w:t>
            </w:r>
          </w:p>
        </w:tc>
      </w:tr>
    </w:tbl>
    <w:p w:rsidR="00EF1F2B" w:rsidRPr="003040B1" w:rsidRDefault="00EF1F2B" w:rsidP="00EF1F2B">
      <w:pPr>
        <w:jc w:val="both"/>
        <w:rPr>
          <w:sz w:val="20"/>
          <w:szCs w:val="28"/>
        </w:rPr>
      </w:pPr>
    </w:p>
    <w:p w:rsidR="00EF1F2B" w:rsidRPr="0088758F" w:rsidRDefault="00EF1F2B" w:rsidP="008F3C5E">
      <w:pPr>
        <w:pStyle w:val="ListParagraph"/>
        <w:ind w:left="0" w:firstLine="720"/>
        <w:contextualSpacing w:val="0"/>
        <w:jc w:val="both"/>
        <w:rPr>
          <w:sz w:val="28"/>
          <w:szCs w:val="28"/>
        </w:rPr>
      </w:pPr>
      <w:r w:rsidRPr="0088758F">
        <w:rPr>
          <w:sz w:val="28"/>
          <w:szCs w:val="28"/>
        </w:rPr>
        <w:t>Ekonomikas ministrija (LIAA) pašlaik ievieš vairākas ES fondu līdzfinansētas programmas, kas orientētas uz jaunu, inovatīvu produktu un tehnoloģiju ieviešanu</w:t>
      </w:r>
      <w:r w:rsidR="00597D41">
        <w:rPr>
          <w:sz w:val="28"/>
          <w:szCs w:val="28"/>
        </w:rPr>
        <w:t>:</w:t>
      </w:r>
      <w:r w:rsidRPr="0088758F">
        <w:rPr>
          <w:sz w:val="28"/>
          <w:szCs w:val="28"/>
        </w:rPr>
        <w:t xml:space="preserve"> </w:t>
      </w:r>
      <w:r w:rsidRPr="0069286F">
        <w:rPr>
          <w:rFonts w:cs="Times New Roman"/>
          <w:i/>
          <w:sz w:val="28"/>
          <w:szCs w:val="28"/>
        </w:rPr>
        <w:t>Tehnoloģiju pārneses kontaktpunktu valsts atbalsta programmu, Atbalsts jaunu produktu un tehnoloģiju izstrādei, Atbalsts jaunu produktu un te</w:t>
      </w:r>
      <w:r w:rsidR="00597D41" w:rsidRPr="0069286F">
        <w:rPr>
          <w:rFonts w:cs="Times New Roman"/>
          <w:i/>
          <w:sz w:val="28"/>
          <w:szCs w:val="28"/>
        </w:rPr>
        <w:t>hnoloģiju ieviešanai ražošanā</w:t>
      </w:r>
      <w:r w:rsidR="00597D41">
        <w:rPr>
          <w:sz w:val="28"/>
          <w:szCs w:val="28"/>
        </w:rPr>
        <w:t xml:space="preserve">, </w:t>
      </w:r>
      <w:r w:rsidRPr="0088758F">
        <w:rPr>
          <w:sz w:val="28"/>
          <w:szCs w:val="28"/>
        </w:rPr>
        <w:t>pasākumus motivācijas celšanai inovācijām un uzņēmējdarbības uzsākšanai</w:t>
      </w:r>
      <w:r w:rsidR="00597D41">
        <w:rPr>
          <w:sz w:val="28"/>
          <w:szCs w:val="28"/>
        </w:rPr>
        <w:t>, u.c</w:t>
      </w:r>
      <w:r w:rsidRPr="0088758F">
        <w:rPr>
          <w:sz w:val="28"/>
          <w:szCs w:val="28"/>
        </w:rPr>
        <w:t>. Minētajās programmās atlikušais pieejama</w:t>
      </w:r>
      <w:r w:rsidR="00772545" w:rsidRPr="0088758F">
        <w:rPr>
          <w:sz w:val="28"/>
          <w:szCs w:val="28"/>
        </w:rPr>
        <w:t xml:space="preserve">is finansējums </w:t>
      </w:r>
      <w:r w:rsidR="00B979D3">
        <w:rPr>
          <w:sz w:val="28"/>
          <w:szCs w:val="28"/>
        </w:rPr>
        <w:t xml:space="preserve">ir </w:t>
      </w:r>
      <w:r w:rsidR="00772545" w:rsidRPr="0088758F">
        <w:rPr>
          <w:sz w:val="28"/>
          <w:szCs w:val="28"/>
        </w:rPr>
        <w:t>90 milj.</w:t>
      </w:r>
      <w:r w:rsidRPr="0088758F">
        <w:rPr>
          <w:sz w:val="28"/>
          <w:szCs w:val="28"/>
        </w:rPr>
        <w:t xml:space="preserve"> latu.</w:t>
      </w:r>
    </w:p>
    <w:p w:rsidR="00EF1F2B" w:rsidRPr="003040B1" w:rsidRDefault="00EF1F2B" w:rsidP="00EF1F2B">
      <w:pPr>
        <w:pStyle w:val="ListParagraph"/>
        <w:ind w:left="0"/>
        <w:contextualSpacing w:val="0"/>
        <w:jc w:val="both"/>
        <w:rPr>
          <w:sz w:val="6"/>
          <w:szCs w:val="12"/>
        </w:rPr>
      </w:pPr>
    </w:p>
    <w:p w:rsidR="00EF1F2B" w:rsidRPr="0088758F" w:rsidRDefault="00EF1F2B" w:rsidP="008C1012">
      <w:pPr>
        <w:pStyle w:val="ListParagraph"/>
        <w:ind w:left="0" w:firstLine="720"/>
        <w:contextualSpacing w:val="0"/>
        <w:jc w:val="both"/>
        <w:rPr>
          <w:sz w:val="28"/>
          <w:szCs w:val="28"/>
        </w:rPr>
      </w:pPr>
      <w:r w:rsidRPr="0088758F">
        <w:rPr>
          <w:sz w:val="28"/>
          <w:szCs w:val="28"/>
        </w:rPr>
        <w:t xml:space="preserve">Papildus Ekonomikas ministrija ne vēlāk kā 2010.gada 1.ceturksnī uzsāks īstenot </w:t>
      </w:r>
      <w:r w:rsidRPr="0069286F">
        <w:rPr>
          <w:rFonts w:cs="Times New Roman"/>
          <w:i/>
          <w:sz w:val="28"/>
          <w:szCs w:val="28"/>
        </w:rPr>
        <w:t>Kompetences centru valsts atbalsta programmu</w:t>
      </w:r>
      <w:r w:rsidRPr="0088758F">
        <w:rPr>
          <w:sz w:val="28"/>
          <w:szCs w:val="28"/>
        </w:rPr>
        <w:t>. Pasākuma mērķis ir praktiski realizēt zinātnieku un komersantu sadarbību un komersantu konkurētspējas paaugstināšan</w:t>
      </w:r>
      <w:r w:rsidR="00B979D3">
        <w:rPr>
          <w:sz w:val="28"/>
          <w:szCs w:val="28"/>
        </w:rPr>
        <w:t>u</w:t>
      </w:r>
      <w:r w:rsidRPr="0088758F">
        <w:rPr>
          <w:sz w:val="28"/>
          <w:szCs w:val="28"/>
        </w:rPr>
        <w:t>, veicinot pētniecības un rūpniecības sektoru sadarbību rūpniecisko pētījumu, jaunu produktu un tehnoloģiju attīstības projektu īstenošanā. Paredzēts atbalstīt 5</w:t>
      </w:r>
      <w:r w:rsidR="001911DD">
        <w:rPr>
          <w:sz w:val="28"/>
          <w:szCs w:val="28"/>
        </w:rPr>
        <w:t>–</w:t>
      </w:r>
      <w:r w:rsidRPr="0088758F">
        <w:rPr>
          <w:sz w:val="28"/>
          <w:szCs w:val="28"/>
        </w:rPr>
        <w:t>7 komp</w:t>
      </w:r>
      <w:r w:rsidR="00597D41">
        <w:rPr>
          <w:sz w:val="28"/>
          <w:szCs w:val="28"/>
        </w:rPr>
        <w:t xml:space="preserve">etences centrus. Pasākums tiek </w:t>
      </w:r>
      <w:r w:rsidRPr="0088758F">
        <w:rPr>
          <w:sz w:val="28"/>
          <w:szCs w:val="28"/>
        </w:rPr>
        <w:t>finansēts no ERAF līdzekļiem. Kopējais pasākuma publisko līdzekļu finansējums ir 42,7 milj. latu un tas nodrošinās privātā sektora finansējuma piesaisti pētniecības un attīstības pasākumiem 12,1 milj. latu apmērā.</w:t>
      </w:r>
      <w:r w:rsidR="008C1012">
        <w:rPr>
          <w:sz w:val="28"/>
          <w:szCs w:val="28"/>
        </w:rPr>
        <w:t xml:space="preserve"> </w:t>
      </w:r>
      <w:r w:rsidRPr="0088758F">
        <w:rPr>
          <w:sz w:val="28"/>
          <w:szCs w:val="28"/>
        </w:rPr>
        <w:t>Papildus</w:t>
      </w:r>
      <w:r w:rsidR="00B979D3">
        <w:rPr>
          <w:sz w:val="28"/>
          <w:szCs w:val="28"/>
        </w:rPr>
        <w:t>,</w:t>
      </w:r>
      <w:r w:rsidRPr="0088758F">
        <w:rPr>
          <w:sz w:val="28"/>
          <w:szCs w:val="28"/>
        </w:rPr>
        <w:t xml:space="preserve"> ne vēlāk kā 2010.gada 1.ceturksnī līdz </w:t>
      </w:r>
      <w:r w:rsidRPr="001911DD">
        <w:rPr>
          <w:sz w:val="28"/>
          <w:szCs w:val="28"/>
        </w:rPr>
        <w:t>ar Kompetences centru</w:t>
      </w:r>
      <w:r w:rsidR="00156DFE">
        <w:rPr>
          <w:sz w:val="28"/>
          <w:szCs w:val="28"/>
        </w:rPr>
        <w:t xml:space="preserve"> </w:t>
      </w:r>
      <w:r w:rsidRPr="001911DD">
        <w:rPr>
          <w:sz w:val="28"/>
          <w:szCs w:val="28"/>
        </w:rPr>
        <w:t>programmu</w:t>
      </w:r>
      <w:r w:rsidR="00B979D3">
        <w:rPr>
          <w:sz w:val="28"/>
          <w:szCs w:val="28"/>
        </w:rPr>
        <w:t>,</w:t>
      </w:r>
      <w:r w:rsidRPr="001911DD">
        <w:rPr>
          <w:sz w:val="28"/>
          <w:szCs w:val="28"/>
        </w:rPr>
        <w:t xml:space="preserve"> </w:t>
      </w:r>
      <w:r w:rsidRPr="0088758F">
        <w:rPr>
          <w:sz w:val="28"/>
          <w:szCs w:val="28"/>
        </w:rPr>
        <w:t xml:space="preserve">nepieciešams īstenot </w:t>
      </w:r>
      <w:r w:rsidR="008C1012">
        <w:rPr>
          <w:sz w:val="28"/>
          <w:szCs w:val="28"/>
        </w:rPr>
        <w:t>I</w:t>
      </w:r>
      <w:r w:rsidR="00947C75">
        <w:rPr>
          <w:sz w:val="28"/>
          <w:szCs w:val="28"/>
        </w:rPr>
        <w:t>zglītības un zinātnes ministrijas p</w:t>
      </w:r>
      <w:r w:rsidR="008C1012">
        <w:rPr>
          <w:sz w:val="28"/>
          <w:szCs w:val="28"/>
        </w:rPr>
        <w:t xml:space="preserve">ārraudzībā esošo </w:t>
      </w:r>
      <w:r w:rsidRPr="0088758F">
        <w:rPr>
          <w:sz w:val="28"/>
          <w:szCs w:val="28"/>
        </w:rPr>
        <w:t>zinātnes infrastruktūras modernizēšanas progr</w:t>
      </w:r>
      <w:r w:rsidR="008C1012">
        <w:rPr>
          <w:sz w:val="28"/>
          <w:szCs w:val="28"/>
        </w:rPr>
        <w:t>ammu</w:t>
      </w:r>
      <w:r w:rsidRPr="0088758F">
        <w:rPr>
          <w:sz w:val="28"/>
          <w:szCs w:val="28"/>
        </w:rPr>
        <w:t>.</w:t>
      </w:r>
    </w:p>
    <w:p w:rsidR="008F3C5E" w:rsidRDefault="008F3C5E" w:rsidP="00EF1F2B">
      <w:pPr>
        <w:pStyle w:val="Heading3"/>
        <w:rPr>
          <w:rFonts w:cs="Times New Roman"/>
          <w:sz w:val="28"/>
          <w:szCs w:val="28"/>
        </w:rPr>
      </w:pPr>
    </w:p>
    <w:p w:rsidR="00FC1194" w:rsidRDefault="00FC1194" w:rsidP="00FC1194"/>
    <w:p w:rsidR="007C49D7" w:rsidRDefault="007C49D7">
      <w:pPr>
        <w:spacing w:after="200" w:line="276" w:lineRule="auto"/>
        <w:rPr>
          <w:rFonts w:eastAsiaTheme="majorEastAsia" w:cs="Times New Roman"/>
          <w:b/>
          <w:bCs/>
          <w:sz w:val="28"/>
          <w:szCs w:val="28"/>
        </w:rPr>
      </w:pPr>
      <w:bookmarkStart w:id="32" w:name="_Toc242510373"/>
      <w:r>
        <w:rPr>
          <w:rFonts w:cs="Times New Roman"/>
          <w:sz w:val="28"/>
          <w:szCs w:val="28"/>
        </w:rPr>
        <w:br w:type="page"/>
      </w:r>
    </w:p>
    <w:p w:rsidR="00EF1F2B" w:rsidRPr="0088758F" w:rsidRDefault="00582EE4" w:rsidP="00EF1F2B">
      <w:pPr>
        <w:pStyle w:val="Heading3"/>
        <w:rPr>
          <w:rFonts w:cs="Times New Roman"/>
          <w:sz w:val="28"/>
          <w:szCs w:val="28"/>
        </w:rPr>
      </w:pPr>
      <w:r>
        <w:rPr>
          <w:rFonts w:cs="Times New Roman"/>
          <w:sz w:val="28"/>
          <w:szCs w:val="28"/>
        </w:rPr>
        <w:lastRenderedPageBreak/>
        <w:t>4</w:t>
      </w:r>
      <w:r w:rsidR="00EF1F2B" w:rsidRPr="0088758F">
        <w:rPr>
          <w:rFonts w:cs="Times New Roman"/>
          <w:sz w:val="28"/>
          <w:szCs w:val="28"/>
        </w:rPr>
        <w:t>.5. Finanšu instrumenti uzņēmējdarbības atbalstam</w:t>
      </w:r>
      <w:bookmarkEnd w:id="32"/>
    </w:p>
    <w:p w:rsidR="008F3C5E" w:rsidRPr="0088758F" w:rsidRDefault="008F3C5E" w:rsidP="00EF1F2B">
      <w:pPr>
        <w:ind w:firstLine="567"/>
        <w:jc w:val="both"/>
        <w:rPr>
          <w:rFonts w:cs="Times New Roman"/>
          <w:sz w:val="16"/>
          <w:szCs w:val="16"/>
        </w:rPr>
      </w:pPr>
    </w:p>
    <w:p w:rsidR="007C49D7" w:rsidRPr="007C49D7" w:rsidRDefault="007C49D7" w:rsidP="007C49D7">
      <w:pPr>
        <w:spacing w:after="120"/>
        <w:jc w:val="both"/>
        <w:rPr>
          <w:rFonts w:cs="Times New Roman"/>
          <w:sz w:val="28"/>
          <w:szCs w:val="28"/>
        </w:rPr>
      </w:pPr>
      <w:r w:rsidRPr="007C49D7">
        <w:rPr>
          <w:rFonts w:cs="Times New Roman"/>
          <w:b/>
          <w:sz w:val="28"/>
          <w:szCs w:val="28"/>
        </w:rPr>
        <w:t>Mērķis</w:t>
      </w:r>
      <w:r w:rsidRPr="007C49D7">
        <w:rPr>
          <w:rFonts w:cs="Times New Roman"/>
          <w:sz w:val="28"/>
          <w:szCs w:val="28"/>
        </w:rPr>
        <w:t>: uzlabot komersantiem piekļuvi finansējumam, lai realizētu uzņēmumu investīciju plānus un mazinātu problēmas ar apgrozāmajiem līdzekļiem normālas ekonomiskās darbības veikšanai.</w:t>
      </w:r>
    </w:p>
    <w:p w:rsidR="007C49D7" w:rsidRPr="007C49D7" w:rsidRDefault="007C49D7" w:rsidP="007C49D7">
      <w:pPr>
        <w:ind w:firstLine="567"/>
        <w:jc w:val="both"/>
        <w:rPr>
          <w:rFonts w:cs="Times New Roman"/>
          <w:sz w:val="28"/>
          <w:szCs w:val="28"/>
        </w:rPr>
      </w:pPr>
      <w:r w:rsidRPr="007C49D7">
        <w:rPr>
          <w:rFonts w:cs="Times New Roman"/>
          <w:sz w:val="28"/>
          <w:szCs w:val="28"/>
        </w:rPr>
        <w:t xml:space="preserve">Kopš 2009.gada aprīļa komersantiem ir pieejamas </w:t>
      </w:r>
      <w:r w:rsidRPr="0069286F">
        <w:rPr>
          <w:rFonts w:cs="Times New Roman"/>
          <w:i/>
          <w:sz w:val="28"/>
          <w:szCs w:val="28"/>
        </w:rPr>
        <w:t>Garantijas komersantu konkurētspējas uzlabošanai</w:t>
      </w:r>
      <w:r w:rsidRPr="007C49D7">
        <w:rPr>
          <w:rFonts w:cs="Times New Roman"/>
          <w:b/>
          <w:sz w:val="28"/>
          <w:szCs w:val="28"/>
        </w:rPr>
        <w:t xml:space="preserve"> </w:t>
      </w:r>
      <w:r w:rsidRPr="007C49D7">
        <w:rPr>
          <w:rFonts w:cs="Times New Roman"/>
          <w:sz w:val="28"/>
          <w:szCs w:val="28"/>
        </w:rPr>
        <w:t xml:space="preserve">(eksporta kredītu garantijas un garantijas par finanšu pakalpojumiem: apgrozāmo līdzekļu un investīciju aizdevumi, finanšu līzings,  faktorings, kurā parādnieki ir Latvijā reģistrēti komersanti), kā arī </w:t>
      </w:r>
      <w:r w:rsidRPr="0069286F">
        <w:rPr>
          <w:rFonts w:cs="Times New Roman"/>
          <w:i/>
          <w:sz w:val="28"/>
          <w:szCs w:val="28"/>
        </w:rPr>
        <w:t>Aizdevumi komersantu konkurētspējas uzlabošanai</w:t>
      </w:r>
      <w:r w:rsidRPr="007C49D7">
        <w:rPr>
          <w:rFonts w:cs="Times New Roman"/>
          <w:b/>
          <w:sz w:val="28"/>
          <w:szCs w:val="28"/>
        </w:rPr>
        <w:t xml:space="preserve"> </w:t>
      </w:r>
      <w:r w:rsidRPr="007C49D7">
        <w:rPr>
          <w:rFonts w:cs="Times New Roman"/>
          <w:sz w:val="28"/>
          <w:szCs w:val="28"/>
        </w:rPr>
        <w:t xml:space="preserve">(apgrozāmo līdzekļu un investīciju aizdevumi). </w:t>
      </w:r>
    </w:p>
    <w:p w:rsidR="007C49D7" w:rsidRPr="007C49D7" w:rsidRDefault="007C49D7" w:rsidP="007C49D7">
      <w:pPr>
        <w:ind w:firstLine="567"/>
        <w:jc w:val="both"/>
        <w:rPr>
          <w:rFonts w:cs="Times New Roman"/>
          <w:sz w:val="12"/>
          <w:szCs w:val="12"/>
        </w:rPr>
      </w:pPr>
    </w:p>
    <w:p w:rsidR="007C49D7" w:rsidRPr="0088758F" w:rsidRDefault="007C49D7" w:rsidP="007C49D7">
      <w:pPr>
        <w:ind w:firstLine="567"/>
        <w:jc w:val="both"/>
      </w:pPr>
      <w:r w:rsidRPr="0069286F">
        <w:rPr>
          <w:rFonts w:cs="Times New Roman"/>
          <w:i/>
          <w:sz w:val="28"/>
          <w:szCs w:val="28"/>
        </w:rPr>
        <w:t>Ieguldījumu fonda</w:t>
      </w:r>
      <w:r w:rsidRPr="007C49D7">
        <w:rPr>
          <w:rFonts w:cs="Times New Roman"/>
          <w:b/>
          <w:sz w:val="28"/>
          <w:szCs w:val="28"/>
        </w:rPr>
        <w:t xml:space="preserve"> </w:t>
      </w:r>
      <w:r w:rsidRPr="0069286F">
        <w:rPr>
          <w:rFonts w:cs="Times New Roman"/>
          <w:sz w:val="28"/>
          <w:szCs w:val="28"/>
        </w:rPr>
        <w:t>ietvaros ir paredzēts finansējums</w:t>
      </w:r>
      <w:r w:rsidRPr="007C49D7">
        <w:rPr>
          <w:rFonts w:cs="Times New Roman"/>
          <w:b/>
          <w:sz w:val="28"/>
          <w:szCs w:val="28"/>
        </w:rPr>
        <w:t xml:space="preserve"> </w:t>
      </w:r>
      <w:r w:rsidRPr="0069286F">
        <w:rPr>
          <w:rFonts w:cs="Times New Roman"/>
          <w:i/>
          <w:sz w:val="28"/>
          <w:szCs w:val="28"/>
        </w:rPr>
        <w:t>paaugstināta riska aizdevumiem</w:t>
      </w:r>
      <w:r w:rsidRPr="007C49D7">
        <w:rPr>
          <w:rFonts w:cs="Times New Roman"/>
          <w:b/>
          <w:sz w:val="28"/>
          <w:szCs w:val="28"/>
        </w:rPr>
        <w:t xml:space="preserve"> </w:t>
      </w:r>
      <w:r w:rsidRPr="0069286F">
        <w:rPr>
          <w:rFonts w:cs="Times New Roman"/>
          <w:sz w:val="28"/>
          <w:szCs w:val="28"/>
        </w:rPr>
        <w:t>(</w:t>
      </w:r>
      <w:r w:rsidRPr="007C49D7">
        <w:rPr>
          <w:rFonts w:cs="Times New Roman"/>
          <w:sz w:val="28"/>
          <w:szCs w:val="28"/>
        </w:rPr>
        <w:t>38 milj. lati</w:t>
      </w:r>
      <w:r w:rsidRPr="0069286F">
        <w:rPr>
          <w:rFonts w:cs="Times New Roman"/>
          <w:sz w:val="28"/>
          <w:szCs w:val="28"/>
        </w:rPr>
        <w:t>)</w:t>
      </w:r>
      <w:r w:rsidRPr="007C49D7">
        <w:rPr>
          <w:rFonts w:cs="Times New Roman"/>
          <w:b/>
          <w:sz w:val="28"/>
          <w:szCs w:val="28"/>
        </w:rPr>
        <w:t xml:space="preserve"> </w:t>
      </w:r>
      <w:r w:rsidRPr="0069286F">
        <w:rPr>
          <w:rFonts w:cs="Times New Roman"/>
          <w:sz w:val="28"/>
          <w:szCs w:val="28"/>
        </w:rPr>
        <w:t>un</w:t>
      </w:r>
      <w:r w:rsidRPr="007C49D7">
        <w:rPr>
          <w:rFonts w:cs="Times New Roman"/>
          <w:b/>
          <w:sz w:val="28"/>
          <w:szCs w:val="28"/>
        </w:rPr>
        <w:t xml:space="preserve"> </w:t>
      </w:r>
      <w:r w:rsidRPr="0069286F">
        <w:rPr>
          <w:rFonts w:cs="Times New Roman"/>
          <w:i/>
          <w:sz w:val="28"/>
          <w:szCs w:val="28"/>
        </w:rPr>
        <w:t>riska kapitāla finansējums</w:t>
      </w:r>
      <w:r w:rsidRPr="007C49D7">
        <w:rPr>
          <w:rFonts w:cs="Times New Roman"/>
          <w:b/>
          <w:sz w:val="28"/>
          <w:szCs w:val="28"/>
        </w:rPr>
        <w:t xml:space="preserve"> </w:t>
      </w:r>
      <w:r w:rsidRPr="007C49D7">
        <w:rPr>
          <w:rFonts w:cs="Times New Roman"/>
          <w:sz w:val="28"/>
          <w:szCs w:val="28"/>
        </w:rPr>
        <w:t>(riska kapitāla fonds14,1 milj. lati; sēklas un uzsācēju fond</w:t>
      </w:r>
      <w:r w:rsidR="009F60E4">
        <w:rPr>
          <w:rFonts w:cs="Times New Roman"/>
          <w:sz w:val="28"/>
          <w:szCs w:val="28"/>
        </w:rPr>
        <w:t>s</w:t>
      </w:r>
      <w:r w:rsidRPr="007C49D7">
        <w:rPr>
          <w:rFonts w:cs="Times New Roman"/>
          <w:sz w:val="28"/>
          <w:szCs w:val="28"/>
        </w:rPr>
        <w:t xml:space="preserve"> 10,3 milj. lati).</w:t>
      </w:r>
      <w:r w:rsidRPr="007C49D7">
        <w:rPr>
          <w:rFonts w:cs="Times New Roman"/>
          <w:b/>
          <w:sz w:val="28"/>
          <w:szCs w:val="28"/>
        </w:rPr>
        <w:t xml:space="preserve"> </w:t>
      </w:r>
      <w:r w:rsidRPr="007C49D7">
        <w:rPr>
          <w:rFonts w:cs="Times New Roman"/>
          <w:sz w:val="28"/>
          <w:szCs w:val="28"/>
        </w:rPr>
        <w:t xml:space="preserve">Finansējums komersantiem būs pieejams no 2010.gada 1.ceturkšņa.  </w:t>
      </w:r>
    </w:p>
    <w:p w:rsidR="00FC1194" w:rsidRDefault="00FC1194" w:rsidP="00FF54E8"/>
    <w:p w:rsidR="0069286F" w:rsidRPr="00374A0E" w:rsidRDefault="0069286F" w:rsidP="0069286F">
      <w:pPr>
        <w:ind w:firstLine="720"/>
        <w:jc w:val="both"/>
        <w:rPr>
          <w:sz w:val="28"/>
          <w:szCs w:val="28"/>
        </w:rPr>
      </w:pPr>
      <w:r>
        <w:rPr>
          <w:sz w:val="28"/>
          <w:szCs w:val="28"/>
        </w:rPr>
        <w:t>Komercb</w:t>
      </w:r>
      <w:r w:rsidRPr="00374A0E">
        <w:rPr>
          <w:sz w:val="28"/>
          <w:szCs w:val="28"/>
        </w:rPr>
        <w:t>anku finansējums tautsaimniecības kreditēšanai tuvākaj</w:t>
      </w:r>
      <w:r>
        <w:rPr>
          <w:sz w:val="28"/>
          <w:szCs w:val="28"/>
        </w:rPr>
        <w:t xml:space="preserve">ā laikā </w:t>
      </w:r>
      <w:r w:rsidRPr="00374A0E">
        <w:rPr>
          <w:sz w:val="28"/>
          <w:szCs w:val="28"/>
        </w:rPr>
        <w:t>būs ļoti ierobežots, ņemot vērā negatīvās izmaiņas banku kredītportfeļu kvalitātē un no tā izrietošo izsniegto kredītu atlikumu samazināšanos</w:t>
      </w:r>
      <w:r>
        <w:rPr>
          <w:rStyle w:val="FootnoteReference"/>
          <w:sz w:val="28"/>
          <w:szCs w:val="28"/>
        </w:rPr>
        <w:footnoteReference w:id="4"/>
      </w:r>
      <w:r w:rsidRPr="00374A0E">
        <w:rPr>
          <w:sz w:val="28"/>
          <w:szCs w:val="28"/>
        </w:rPr>
        <w:t xml:space="preserve">. </w:t>
      </w:r>
    </w:p>
    <w:p w:rsidR="0069286F" w:rsidRPr="00374A0E" w:rsidRDefault="0069286F" w:rsidP="0069286F">
      <w:pPr>
        <w:ind w:firstLine="720"/>
        <w:jc w:val="both"/>
        <w:rPr>
          <w:sz w:val="28"/>
          <w:szCs w:val="28"/>
        </w:rPr>
      </w:pPr>
      <w:r w:rsidRPr="00374A0E">
        <w:rPr>
          <w:sz w:val="28"/>
          <w:szCs w:val="28"/>
        </w:rPr>
        <w:t>Minētā tendence negatīvi ietekmēs nepieciešamo tautsaimniecības konkurētspējas atjaunošanos īstermiņā un restrukturizāciju vidējā termiņā t</w:t>
      </w:r>
      <w:r>
        <w:rPr>
          <w:sz w:val="28"/>
          <w:szCs w:val="28"/>
        </w:rPr>
        <w:t xml:space="preserve">ais </w:t>
      </w:r>
      <w:r w:rsidRPr="00374A0E">
        <w:rPr>
          <w:sz w:val="28"/>
          <w:szCs w:val="28"/>
        </w:rPr>
        <w:t>sk</w:t>
      </w:r>
      <w:r>
        <w:rPr>
          <w:sz w:val="28"/>
          <w:szCs w:val="28"/>
        </w:rPr>
        <w:t>aitā</w:t>
      </w:r>
      <w:r w:rsidRPr="00374A0E">
        <w:rPr>
          <w:sz w:val="28"/>
          <w:szCs w:val="28"/>
        </w:rPr>
        <w:t>, šim mērķim paredzēto ES fondu programmu apguvi.</w:t>
      </w:r>
    </w:p>
    <w:p w:rsidR="0069286F" w:rsidRPr="00374A0E" w:rsidRDefault="0069286F" w:rsidP="0069286F">
      <w:pPr>
        <w:ind w:firstLine="720"/>
        <w:jc w:val="both"/>
        <w:rPr>
          <w:sz w:val="28"/>
          <w:szCs w:val="28"/>
        </w:rPr>
      </w:pPr>
      <w:r w:rsidRPr="00374A0E">
        <w:rPr>
          <w:sz w:val="28"/>
          <w:szCs w:val="28"/>
        </w:rPr>
        <w:t>Pastāv augsts risks, ka ierobežoto kredītiestāžu resursu ietvaros</w:t>
      </w:r>
      <w:r>
        <w:rPr>
          <w:sz w:val="28"/>
          <w:szCs w:val="28"/>
        </w:rPr>
        <w:t>,</w:t>
      </w:r>
      <w:r w:rsidRPr="00374A0E">
        <w:rPr>
          <w:sz w:val="28"/>
          <w:szCs w:val="28"/>
        </w:rPr>
        <w:t xml:space="preserve"> pieaugs starpība starp ES fondu programmās pieejamiem līdzekļiem (apstiprinātajiem projektiem) un to projektu/līdzekļu apjomu, kuriem ir nepieciešamais līdzfinansējums vai kredītiestāžu piešķirto aizdevumu apjoms t.i., ievērojams pieejamo ES fondu apjoms nebūs nosegts ar nepieciešamo projektu ieviesēju līdzfinansējumu/priekšfinansējumu, kuru projektu ieviesēji piesaista aizņēmumu veidā no komercbanku sistēmas. </w:t>
      </w:r>
    </w:p>
    <w:p w:rsidR="0069286F" w:rsidRPr="00374A0E" w:rsidRDefault="0069286F" w:rsidP="0069286F">
      <w:pPr>
        <w:ind w:firstLine="720"/>
        <w:jc w:val="both"/>
        <w:rPr>
          <w:sz w:val="28"/>
          <w:szCs w:val="28"/>
        </w:rPr>
      </w:pPr>
      <w:r w:rsidRPr="00374A0E">
        <w:rPr>
          <w:sz w:val="28"/>
          <w:szCs w:val="28"/>
        </w:rPr>
        <w:t>Līdz šim veiktie pasākumi (Latvijas garantiju aģentūras garantiju programmas, aizdevumu programmas caur Hipotēku un zemes banku), kā arī plānotie pasākumi (riska kapitāla instrumentu atbalsts) finanšu resursu pieejamības nodrošināšanai t.sk., ES fondu ieviešanai tautsaimniecības konkurētspējas atjaunošanai ir nepietiekami līdz šim minētajām programmām piešķirto ierobežoto resursu dēļ.</w:t>
      </w:r>
    </w:p>
    <w:p w:rsidR="0069286F" w:rsidRPr="00374A0E" w:rsidRDefault="0069286F" w:rsidP="0069286F">
      <w:pPr>
        <w:ind w:firstLine="720"/>
        <w:jc w:val="both"/>
        <w:rPr>
          <w:sz w:val="28"/>
          <w:szCs w:val="28"/>
        </w:rPr>
      </w:pPr>
      <w:r w:rsidRPr="00374A0E">
        <w:rPr>
          <w:sz w:val="28"/>
          <w:szCs w:val="28"/>
        </w:rPr>
        <w:t xml:space="preserve">Tāpēc steidzami nepieciešami papildus pasākumi ar mērķi palielināt komercbanku kreditēšanas apjomus nozarēs, kas orientētas </w:t>
      </w:r>
      <w:r>
        <w:rPr>
          <w:sz w:val="28"/>
          <w:szCs w:val="28"/>
        </w:rPr>
        <w:t>uz ārējo pieprasījumu (apstrādes</w:t>
      </w:r>
      <w:r w:rsidRPr="00374A0E">
        <w:rPr>
          <w:sz w:val="28"/>
          <w:szCs w:val="28"/>
        </w:rPr>
        <w:t xml:space="preserve"> rūpniecība, atsevišķas pakalpojumu nozares</w:t>
      </w:r>
      <w:r>
        <w:rPr>
          <w:sz w:val="28"/>
          <w:szCs w:val="28"/>
        </w:rPr>
        <w:t>, tādas kā</w:t>
      </w:r>
      <w:r w:rsidRPr="00374A0E">
        <w:rPr>
          <w:sz w:val="28"/>
          <w:szCs w:val="28"/>
        </w:rPr>
        <w:t xml:space="preserve"> transports/loģistika, IKT). Kā iespējamais papildus instruments ir līdzekļu aizdevuma konkurss komercbankām ar mērķi izsniegt kredītus tautsaimniecībai, kur konkursa priekšmets ir banku līdzfinansējuma apjoms (ne mazāks kā 50%) un līdzekļu administrēšanas izdevumi, kā arī bankas kapacitāte.</w:t>
      </w:r>
    </w:p>
    <w:p w:rsidR="0069286F" w:rsidRPr="00374A0E" w:rsidRDefault="0069286F" w:rsidP="0069286F">
      <w:pPr>
        <w:ind w:firstLine="720"/>
        <w:jc w:val="both"/>
        <w:rPr>
          <w:sz w:val="28"/>
          <w:szCs w:val="28"/>
        </w:rPr>
      </w:pPr>
      <w:r w:rsidRPr="00374A0E">
        <w:rPr>
          <w:sz w:val="28"/>
          <w:szCs w:val="28"/>
        </w:rPr>
        <w:lastRenderedPageBreak/>
        <w:t>Kā iespējamais līdzekļu avots ir Valsts kases līdzekļi (īstermiņa aizdevumiem) un ES fondu pārdales rezultātā iegūtie līdzekļi (ilgtermiņa aizdevumiem).</w:t>
      </w:r>
    </w:p>
    <w:p w:rsidR="0069286F" w:rsidRPr="0088758F" w:rsidRDefault="0069286F" w:rsidP="009F60E4">
      <w:pPr>
        <w:ind w:firstLine="720"/>
        <w:jc w:val="both"/>
      </w:pPr>
      <w:r w:rsidRPr="00374A0E">
        <w:rPr>
          <w:sz w:val="28"/>
          <w:szCs w:val="28"/>
        </w:rPr>
        <w:t>Kā iespējamās ES fondu programmas, kuras var būt izmantotas konkurētspējas atjaunošanas finansēšanai ir jomā, kas nav tieši saistītas ar izaugsmes atjaunošanu (vide, atsevišķi transporta nozares projekti) un kuru ieviešanai nepieciešami ievērojami finanšu un administratīvie resursi kā arī tās nevar būt uzsākt</w:t>
      </w:r>
      <w:r>
        <w:rPr>
          <w:sz w:val="28"/>
          <w:szCs w:val="28"/>
        </w:rPr>
        <w:t>as nākamo 12-18 mēnešu laikā.</w:t>
      </w:r>
    </w:p>
    <w:p w:rsidR="00E67484" w:rsidRDefault="00E67484" w:rsidP="00FF54E8">
      <w:pPr>
        <w:pStyle w:val="Heading3"/>
        <w:rPr>
          <w:rFonts w:cs="Times New Roman"/>
          <w:sz w:val="28"/>
          <w:szCs w:val="28"/>
        </w:rPr>
      </w:pPr>
      <w:bookmarkStart w:id="33" w:name="_Toc241422326"/>
    </w:p>
    <w:p w:rsidR="002435DA" w:rsidRPr="002435DA" w:rsidRDefault="002435DA" w:rsidP="002435DA"/>
    <w:p w:rsidR="00FF54E8" w:rsidRPr="0088758F" w:rsidRDefault="00582EE4" w:rsidP="00FF54E8">
      <w:pPr>
        <w:pStyle w:val="Heading3"/>
        <w:rPr>
          <w:rFonts w:cs="Times New Roman"/>
          <w:sz w:val="28"/>
          <w:szCs w:val="28"/>
        </w:rPr>
      </w:pPr>
      <w:bookmarkStart w:id="34" w:name="_Toc242510374"/>
      <w:r>
        <w:rPr>
          <w:rFonts w:cs="Times New Roman"/>
          <w:sz w:val="28"/>
          <w:szCs w:val="28"/>
        </w:rPr>
        <w:t>4</w:t>
      </w:r>
      <w:r w:rsidR="00FF54E8" w:rsidRPr="0088758F">
        <w:rPr>
          <w:rFonts w:cs="Times New Roman"/>
          <w:sz w:val="28"/>
          <w:szCs w:val="28"/>
        </w:rPr>
        <w:t>.</w:t>
      </w:r>
      <w:r w:rsidR="00FF54E8">
        <w:rPr>
          <w:rFonts w:cs="Times New Roman"/>
          <w:sz w:val="28"/>
          <w:szCs w:val="28"/>
        </w:rPr>
        <w:t>6</w:t>
      </w:r>
      <w:r w:rsidR="00FF54E8" w:rsidRPr="0088758F">
        <w:rPr>
          <w:rFonts w:cs="Times New Roman"/>
          <w:sz w:val="28"/>
          <w:szCs w:val="28"/>
        </w:rPr>
        <w:t>. Preču un pakalpojumu eksporta stimulēšana</w:t>
      </w:r>
      <w:bookmarkEnd w:id="33"/>
      <w:bookmarkEnd w:id="34"/>
    </w:p>
    <w:p w:rsidR="00FF54E8" w:rsidRPr="001411F8" w:rsidRDefault="00FF54E8" w:rsidP="00FF54E8">
      <w:pPr>
        <w:ind w:firstLine="567"/>
        <w:jc w:val="both"/>
        <w:rPr>
          <w:b/>
          <w:sz w:val="20"/>
          <w:szCs w:val="28"/>
        </w:rPr>
      </w:pPr>
    </w:p>
    <w:p w:rsidR="00FF54E8" w:rsidRPr="0088758F" w:rsidRDefault="00FF54E8" w:rsidP="00FF54E8">
      <w:pPr>
        <w:spacing w:after="120"/>
        <w:jc w:val="both"/>
        <w:rPr>
          <w:sz w:val="28"/>
          <w:szCs w:val="28"/>
        </w:rPr>
      </w:pPr>
      <w:r w:rsidRPr="0088758F">
        <w:rPr>
          <w:b/>
          <w:sz w:val="28"/>
          <w:szCs w:val="28"/>
        </w:rPr>
        <w:t xml:space="preserve">Mērķis: </w:t>
      </w:r>
      <w:r w:rsidRPr="0088758F">
        <w:rPr>
          <w:sz w:val="28"/>
          <w:szCs w:val="28"/>
        </w:rPr>
        <w:t>palielināt un diversificēt Latvijas preču un pakalpojumu eksportu, sekmējot augsta</w:t>
      </w:r>
      <w:r>
        <w:rPr>
          <w:sz w:val="28"/>
          <w:szCs w:val="28"/>
        </w:rPr>
        <w:t>s</w:t>
      </w:r>
      <w:r w:rsidRPr="0088758F">
        <w:rPr>
          <w:sz w:val="28"/>
          <w:szCs w:val="28"/>
        </w:rPr>
        <w:t xml:space="preserve"> pievienotā</w:t>
      </w:r>
      <w:r>
        <w:rPr>
          <w:sz w:val="28"/>
          <w:szCs w:val="28"/>
        </w:rPr>
        <w:t>s</w:t>
      </w:r>
      <w:r w:rsidRPr="0088758F">
        <w:rPr>
          <w:sz w:val="28"/>
          <w:szCs w:val="28"/>
        </w:rPr>
        <w:t xml:space="preserve"> vērtība</w:t>
      </w:r>
      <w:r>
        <w:rPr>
          <w:sz w:val="28"/>
          <w:szCs w:val="28"/>
        </w:rPr>
        <w:t>s</w:t>
      </w:r>
      <w:r w:rsidRPr="0088758F">
        <w:rPr>
          <w:sz w:val="28"/>
          <w:szCs w:val="28"/>
        </w:rPr>
        <w:t xml:space="preserve"> preču un pakalpoju</w:t>
      </w:r>
      <w:r>
        <w:rPr>
          <w:sz w:val="28"/>
          <w:szCs w:val="28"/>
        </w:rPr>
        <w:t>mu īpatsvara pieaugumu eksportā</w:t>
      </w:r>
      <w:r w:rsidRPr="0088758F">
        <w:rPr>
          <w:sz w:val="28"/>
          <w:szCs w:val="28"/>
        </w:rPr>
        <w:t>.</w:t>
      </w:r>
    </w:p>
    <w:p w:rsidR="00FF54E8" w:rsidRPr="0088758F" w:rsidRDefault="00FF54E8" w:rsidP="00FF54E8">
      <w:pPr>
        <w:ind w:firstLine="567"/>
        <w:jc w:val="both"/>
        <w:rPr>
          <w:rFonts w:cs="Times New Roman"/>
          <w:sz w:val="28"/>
          <w:szCs w:val="28"/>
        </w:rPr>
      </w:pPr>
      <w:r w:rsidRPr="0088758F">
        <w:rPr>
          <w:rFonts w:cs="Times New Roman"/>
          <w:sz w:val="28"/>
          <w:szCs w:val="28"/>
        </w:rPr>
        <w:t xml:space="preserve">Pašreizējos apstākļos ekonomikas atveseļošanās galvenais faktors būs eksporta iespēju paplašināšanās, tāpēc </w:t>
      </w:r>
      <w:r w:rsidR="00F62882">
        <w:rPr>
          <w:rFonts w:cs="Times New Roman"/>
          <w:sz w:val="28"/>
          <w:szCs w:val="28"/>
        </w:rPr>
        <w:t>eksportspējīgo</w:t>
      </w:r>
      <w:r w:rsidRPr="0088758F">
        <w:rPr>
          <w:rFonts w:cs="Times New Roman"/>
          <w:sz w:val="28"/>
          <w:szCs w:val="28"/>
        </w:rPr>
        <w:t xml:space="preserve"> nozaru konkurētspējas paaugstināšana ir viens no ekonomiskās politikas pamatnosacījumiem.</w:t>
      </w:r>
    </w:p>
    <w:p w:rsidR="00FF54E8" w:rsidRPr="0088758F" w:rsidRDefault="00FF54E8" w:rsidP="00FF54E8">
      <w:pPr>
        <w:ind w:firstLine="567"/>
        <w:jc w:val="both"/>
        <w:rPr>
          <w:rFonts w:cs="Times New Roman"/>
          <w:sz w:val="28"/>
          <w:szCs w:val="28"/>
        </w:rPr>
      </w:pPr>
      <w:r w:rsidRPr="0088758F">
        <w:rPr>
          <w:rFonts w:cs="Times New Roman"/>
          <w:sz w:val="28"/>
          <w:szCs w:val="28"/>
        </w:rPr>
        <w:t>Vairums no atbalsta instrumentiem ir vērsti uz ekonomikas konkurētspējas veicināšanu, tomēr krīzes apstākļos svarīgi ir arī speciālie</w:t>
      </w:r>
      <w:r>
        <w:rPr>
          <w:rFonts w:cs="Times New Roman"/>
          <w:sz w:val="28"/>
          <w:szCs w:val="28"/>
        </w:rPr>
        <w:t xml:space="preserve"> jeb </w:t>
      </w:r>
      <w:r w:rsidRPr="0088758F">
        <w:rPr>
          <w:rFonts w:cs="Times New Roman"/>
          <w:sz w:val="28"/>
          <w:szCs w:val="28"/>
        </w:rPr>
        <w:t xml:space="preserve">tiešie eksporta atbalsta pasākumi. </w:t>
      </w:r>
    </w:p>
    <w:p w:rsidR="00FF54E8" w:rsidRPr="0088758F" w:rsidRDefault="00FF54E8" w:rsidP="00FF54E8">
      <w:pPr>
        <w:ind w:firstLine="567"/>
        <w:jc w:val="both"/>
        <w:rPr>
          <w:rFonts w:cs="Times New Roman"/>
          <w:sz w:val="28"/>
          <w:szCs w:val="28"/>
        </w:rPr>
      </w:pPr>
      <w:r w:rsidRPr="0088758F">
        <w:rPr>
          <w:rFonts w:cs="Times New Roman"/>
          <w:sz w:val="28"/>
          <w:szCs w:val="28"/>
        </w:rPr>
        <w:t>Šajā jomā ir divas</w:t>
      </w:r>
      <w:r w:rsidR="00156DFE">
        <w:rPr>
          <w:rFonts w:cs="Times New Roman"/>
          <w:sz w:val="28"/>
          <w:szCs w:val="28"/>
        </w:rPr>
        <w:t xml:space="preserve"> </w:t>
      </w:r>
      <w:r w:rsidRPr="0088758F">
        <w:rPr>
          <w:rFonts w:cs="Times New Roman"/>
          <w:sz w:val="28"/>
          <w:szCs w:val="28"/>
        </w:rPr>
        <w:t>aktivitāšu grupas:</w:t>
      </w:r>
    </w:p>
    <w:p w:rsidR="00FF54E8" w:rsidRPr="0088758F" w:rsidRDefault="00FF54E8" w:rsidP="00FF54E8">
      <w:pPr>
        <w:pStyle w:val="ListParagraph"/>
        <w:numPr>
          <w:ilvl w:val="0"/>
          <w:numId w:val="13"/>
        </w:numPr>
        <w:jc w:val="both"/>
        <w:rPr>
          <w:rFonts w:cs="Times New Roman"/>
          <w:sz w:val="28"/>
          <w:szCs w:val="28"/>
        </w:rPr>
      </w:pPr>
      <w:r w:rsidRPr="0088758F">
        <w:rPr>
          <w:rFonts w:cs="Times New Roman"/>
          <w:sz w:val="28"/>
          <w:szCs w:val="28"/>
        </w:rPr>
        <w:t>ES fondu atbalsts ārējā mārketinga pasākumi jaunu tirgu apgūšanai un</w:t>
      </w:r>
      <w:r w:rsidR="00156DFE">
        <w:rPr>
          <w:rFonts w:cs="Times New Roman"/>
          <w:sz w:val="28"/>
          <w:szCs w:val="28"/>
        </w:rPr>
        <w:t xml:space="preserve"> </w:t>
      </w:r>
      <w:r w:rsidRPr="0088758F">
        <w:rPr>
          <w:rFonts w:cs="Times New Roman"/>
          <w:sz w:val="28"/>
          <w:szCs w:val="28"/>
        </w:rPr>
        <w:t>eksp</w:t>
      </w:r>
      <w:r w:rsidR="001911DD">
        <w:rPr>
          <w:rFonts w:cs="Times New Roman"/>
          <w:sz w:val="28"/>
          <w:szCs w:val="28"/>
        </w:rPr>
        <w:t>orta kredītu garantijas (skat. 4</w:t>
      </w:r>
      <w:r w:rsidRPr="0088758F">
        <w:rPr>
          <w:rFonts w:cs="Times New Roman"/>
          <w:sz w:val="28"/>
          <w:szCs w:val="28"/>
        </w:rPr>
        <w:t>.5. nodaļu);</w:t>
      </w:r>
    </w:p>
    <w:p w:rsidR="00FF54E8" w:rsidRPr="0088758F" w:rsidRDefault="00FF54E8" w:rsidP="00FF54E8">
      <w:pPr>
        <w:pStyle w:val="ListParagraph"/>
        <w:numPr>
          <w:ilvl w:val="0"/>
          <w:numId w:val="13"/>
        </w:numPr>
        <w:jc w:val="both"/>
        <w:rPr>
          <w:rFonts w:cs="Times New Roman"/>
          <w:sz w:val="28"/>
          <w:szCs w:val="28"/>
        </w:rPr>
      </w:pPr>
      <w:r w:rsidRPr="0088758F">
        <w:rPr>
          <w:rFonts w:cs="Times New Roman"/>
          <w:sz w:val="28"/>
          <w:szCs w:val="28"/>
        </w:rPr>
        <w:t>LIAA un tās izveidoto pārstāvniecību organizatoriskais un informatīvai</w:t>
      </w:r>
      <w:r w:rsidR="00B979D3">
        <w:rPr>
          <w:rFonts w:cs="Times New Roman"/>
          <w:sz w:val="28"/>
          <w:szCs w:val="28"/>
        </w:rPr>
        <w:t>s</w:t>
      </w:r>
      <w:r w:rsidRPr="0088758F">
        <w:rPr>
          <w:rFonts w:cs="Times New Roman"/>
          <w:sz w:val="28"/>
          <w:szCs w:val="28"/>
        </w:rPr>
        <w:t xml:space="preserve"> atbalsts.</w:t>
      </w:r>
    </w:p>
    <w:p w:rsidR="00FF54E8" w:rsidRPr="0088758F" w:rsidRDefault="00FF54E8" w:rsidP="00FF54E8">
      <w:pPr>
        <w:ind w:firstLine="567"/>
        <w:jc w:val="both"/>
        <w:rPr>
          <w:rFonts w:cs="Times New Roman"/>
          <w:sz w:val="12"/>
          <w:szCs w:val="12"/>
        </w:rPr>
      </w:pPr>
    </w:p>
    <w:p w:rsidR="00FF54E8" w:rsidRPr="0088758F" w:rsidRDefault="00FF54E8" w:rsidP="00FF54E8">
      <w:pPr>
        <w:ind w:firstLine="567"/>
        <w:jc w:val="both"/>
        <w:rPr>
          <w:rFonts w:cs="Times New Roman"/>
          <w:sz w:val="28"/>
          <w:szCs w:val="28"/>
        </w:rPr>
      </w:pPr>
      <w:r>
        <w:rPr>
          <w:rFonts w:cs="Times New Roman"/>
          <w:sz w:val="28"/>
          <w:szCs w:val="28"/>
        </w:rPr>
        <w:t xml:space="preserve">ES fondu programma </w:t>
      </w:r>
      <w:r w:rsidRPr="0069286F">
        <w:rPr>
          <w:rFonts w:cs="Times New Roman"/>
          <w:i/>
          <w:sz w:val="28"/>
          <w:szCs w:val="28"/>
        </w:rPr>
        <w:t>ārējo tirgu apgūšanas mārketinga pasākumi</w:t>
      </w:r>
      <w:r w:rsidRPr="0088758F">
        <w:rPr>
          <w:rFonts w:cs="Times New Roman"/>
          <w:sz w:val="28"/>
          <w:szCs w:val="28"/>
        </w:rPr>
        <w:t xml:space="preserve"> paredz atbalstu komersantu līdzdalībai starptautiskajās izstādēs, tirdzniecības misijās, kontaktbiržās un tiešajās vizītēs pie sadarbības partneriem ārvalstīs. Programmu plānots turpināt </w:t>
      </w:r>
      <w:r w:rsidR="002A1CE2">
        <w:rPr>
          <w:rFonts w:cs="Times New Roman"/>
          <w:sz w:val="28"/>
          <w:szCs w:val="28"/>
        </w:rPr>
        <w:t xml:space="preserve">līdz 2013.gadam atbalstot ne mazāk kā 500 komersantus programmai pārdalot nepieciešamo finansējumu. Pašlaik pieejamais finansējums </w:t>
      </w:r>
      <w:r w:rsidRPr="0088758F">
        <w:rPr>
          <w:rFonts w:cs="Times New Roman"/>
          <w:sz w:val="28"/>
          <w:szCs w:val="28"/>
        </w:rPr>
        <w:t>6,1 milj. latu.</w:t>
      </w:r>
    </w:p>
    <w:p w:rsidR="00FF54E8" w:rsidRPr="0088758F" w:rsidRDefault="00FF54E8" w:rsidP="00FF54E8">
      <w:pPr>
        <w:spacing w:before="60"/>
        <w:ind w:firstLine="567"/>
        <w:jc w:val="both"/>
        <w:rPr>
          <w:sz w:val="28"/>
          <w:szCs w:val="28"/>
        </w:rPr>
      </w:pPr>
      <w:r w:rsidRPr="0088758F">
        <w:rPr>
          <w:sz w:val="28"/>
          <w:szCs w:val="28"/>
        </w:rPr>
        <w:t>Latvijas komersantiem tiek sniegti arī</w:t>
      </w:r>
      <w:r w:rsidRPr="0088758F">
        <w:rPr>
          <w:b/>
          <w:sz w:val="28"/>
          <w:szCs w:val="28"/>
        </w:rPr>
        <w:t xml:space="preserve"> </w:t>
      </w:r>
      <w:r w:rsidRPr="0069286F">
        <w:rPr>
          <w:rFonts w:cs="Times New Roman"/>
          <w:i/>
          <w:sz w:val="28"/>
          <w:szCs w:val="28"/>
        </w:rPr>
        <w:t>tiešie eksporta atbalsta pakalpojumi eksportspējas palielināšanai</w:t>
      </w:r>
      <w:r w:rsidRPr="0088758F">
        <w:rPr>
          <w:sz w:val="28"/>
          <w:szCs w:val="28"/>
        </w:rPr>
        <w:t xml:space="preserve">, ko nodrošina </w:t>
      </w:r>
      <w:r>
        <w:rPr>
          <w:sz w:val="28"/>
          <w:szCs w:val="28"/>
        </w:rPr>
        <w:t>LIAA</w:t>
      </w:r>
      <w:r w:rsidRPr="0088758F">
        <w:rPr>
          <w:sz w:val="28"/>
          <w:szCs w:val="28"/>
        </w:rPr>
        <w:t xml:space="preserve"> un Latvijas Ārējās ekonomiskās pārstāvniecības ārvalstīs.</w:t>
      </w:r>
      <w:r>
        <w:rPr>
          <w:sz w:val="28"/>
          <w:szCs w:val="28"/>
        </w:rPr>
        <w:t xml:space="preserve"> </w:t>
      </w:r>
    </w:p>
    <w:p w:rsidR="00FF54E8" w:rsidRPr="001411F8" w:rsidRDefault="00FF54E8" w:rsidP="00FF54E8">
      <w:pPr>
        <w:spacing w:after="60"/>
        <w:jc w:val="both"/>
        <w:rPr>
          <w:sz w:val="12"/>
          <w:szCs w:val="28"/>
          <w:u w:val="single"/>
        </w:rPr>
      </w:pPr>
    </w:p>
    <w:p w:rsidR="00FF54E8" w:rsidRPr="0088758F" w:rsidRDefault="0069286F" w:rsidP="00FF54E8">
      <w:pPr>
        <w:jc w:val="both"/>
        <w:rPr>
          <w:sz w:val="28"/>
          <w:szCs w:val="28"/>
          <w:u w:val="single"/>
        </w:rPr>
      </w:pPr>
      <w:r>
        <w:rPr>
          <w:sz w:val="28"/>
          <w:szCs w:val="28"/>
          <w:u w:val="single"/>
        </w:rPr>
        <w:t>G</w:t>
      </w:r>
      <w:r w:rsidR="00FF54E8" w:rsidRPr="0088758F">
        <w:rPr>
          <w:sz w:val="28"/>
          <w:szCs w:val="28"/>
          <w:u w:val="single"/>
        </w:rPr>
        <w:t>alvenie veicamie pasākumi:</w:t>
      </w:r>
    </w:p>
    <w:p w:rsidR="00FF54E8" w:rsidRPr="0088758F" w:rsidRDefault="00FF54E8" w:rsidP="00FF54E8">
      <w:pPr>
        <w:pStyle w:val="ListParagraph"/>
        <w:numPr>
          <w:ilvl w:val="0"/>
          <w:numId w:val="7"/>
        </w:numPr>
        <w:ind w:left="426"/>
        <w:contextualSpacing w:val="0"/>
        <w:jc w:val="both"/>
        <w:rPr>
          <w:sz w:val="28"/>
          <w:szCs w:val="28"/>
        </w:rPr>
      </w:pPr>
      <w:r w:rsidRPr="0088758F">
        <w:rPr>
          <w:sz w:val="28"/>
          <w:szCs w:val="28"/>
        </w:rPr>
        <w:t>sniegt tiešos eksporta atbalsta pakalpojumus Latvijas komersantiem gan Latvijā, gan Latvijas eksportētājiem ārvalstīs;</w:t>
      </w:r>
    </w:p>
    <w:p w:rsidR="00FF54E8" w:rsidRPr="0088758F" w:rsidRDefault="00FF54E8" w:rsidP="00FF54E8">
      <w:pPr>
        <w:pStyle w:val="ListParagraph"/>
        <w:numPr>
          <w:ilvl w:val="0"/>
          <w:numId w:val="7"/>
        </w:numPr>
        <w:ind w:left="426"/>
        <w:contextualSpacing w:val="0"/>
        <w:jc w:val="both"/>
        <w:rPr>
          <w:sz w:val="28"/>
          <w:szCs w:val="28"/>
        </w:rPr>
      </w:pPr>
      <w:r w:rsidRPr="0088758F">
        <w:rPr>
          <w:sz w:val="28"/>
          <w:szCs w:val="28"/>
        </w:rPr>
        <w:t>nodrošināt 10 Latvijas Ārēj</w:t>
      </w:r>
      <w:r>
        <w:rPr>
          <w:sz w:val="28"/>
          <w:szCs w:val="28"/>
        </w:rPr>
        <w:t>o</w:t>
      </w:r>
      <w:r w:rsidRPr="0088758F">
        <w:rPr>
          <w:sz w:val="28"/>
          <w:szCs w:val="28"/>
        </w:rPr>
        <w:t xml:space="preserve"> ekonomisk</w:t>
      </w:r>
      <w:r>
        <w:rPr>
          <w:sz w:val="28"/>
          <w:szCs w:val="28"/>
        </w:rPr>
        <w:t>o</w:t>
      </w:r>
      <w:r w:rsidRPr="0088758F">
        <w:rPr>
          <w:sz w:val="28"/>
          <w:szCs w:val="28"/>
        </w:rPr>
        <w:t xml:space="preserve"> pārstāvniecību darbību (Vācijā, Lielbritānijā, Zviedrijā, Francijā, Krievijā, Nīderlandē, Dānijā, Norvēģijā, Japānā un Polijā), kā arī tīkla turpmāko attīstību</w:t>
      </w:r>
      <w:r>
        <w:rPr>
          <w:sz w:val="28"/>
          <w:szCs w:val="28"/>
        </w:rPr>
        <w:t>,</w:t>
      </w:r>
      <w:r w:rsidRPr="0088758F">
        <w:rPr>
          <w:sz w:val="28"/>
          <w:szCs w:val="28"/>
        </w:rPr>
        <w:t xml:space="preserve"> atverot jaunas pārstāvniecības Ķīnā, Ukrainā, Baltkrievijā un Lietuvā;</w:t>
      </w:r>
    </w:p>
    <w:p w:rsidR="00FF54E8" w:rsidRPr="0088758F" w:rsidRDefault="00FF54E8" w:rsidP="00FF54E8">
      <w:pPr>
        <w:pStyle w:val="ListParagraph"/>
        <w:numPr>
          <w:ilvl w:val="0"/>
          <w:numId w:val="7"/>
        </w:numPr>
        <w:ind w:left="426"/>
        <w:contextualSpacing w:val="0"/>
        <w:jc w:val="both"/>
        <w:rPr>
          <w:sz w:val="28"/>
          <w:szCs w:val="28"/>
        </w:rPr>
      </w:pPr>
      <w:r w:rsidRPr="0088758F">
        <w:rPr>
          <w:sz w:val="28"/>
          <w:szCs w:val="28"/>
        </w:rPr>
        <w:t>turpināt sniegt valsts atbalstu Eksporta kredīta garantiju veidā, aptverot pēc iespējas plašāku Latvijas komersantu loku, kā arī nodrošinot instrumenta pieejamību uz ES un OECD valstīm;</w:t>
      </w:r>
    </w:p>
    <w:p w:rsidR="00FF54E8" w:rsidRPr="0088758F" w:rsidRDefault="00FF54E8" w:rsidP="00FF54E8">
      <w:pPr>
        <w:pStyle w:val="ListParagraph"/>
        <w:numPr>
          <w:ilvl w:val="0"/>
          <w:numId w:val="7"/>
        </w:numPr>
        <w:ind w:left="426"/>
        <w:contextualSpacing w:val="0"/>
        <w:jc w:val="both"/>
        <w:rPr>
          <w:sz w:val="28"/>
          <w:szCs w:val="28"/>
        </w:rPr>
      </w:pPr>
      <w:r w:rsidRPr="0088758F">
        <w:rPr>
          <w:sz w:val="28"/>
          <w:szCs w:val="28"/>
        </w:rPr>
        <w:lastRenderedPageBreak/>
        <w:t>t</w:t>
      </w:r>
      <w:r>
        <w:rPr>
          <w:sz w:val="28"/>
          <w:szCs w:val="28"/>
        </w:rPr>
        <w:t xml:space="preserve">urpināt sniegt valsts atbalstu </w:t>
      </w:r>
      <w:r w:rsidRPr="0088758F">
        <w:rPr>
          <w:sz w:val="28"/>
          <w:szCs w:val="28"/>
        </w:rPr>
        <w:t xml:space="preserve">Latvijas komersantiem ārējā mārketinga pasākumiem ārvalstīs, dalībai starptautiskajās izstādēs un tirdzniecības misijās, tai skaitā vienotajos nacionālajos stendos; </w:t>
      </w:r>
    </w:p>
    <w:p w:rsidR="00FF54E8" w:rsidRDefault="00FF54E8" w:rsidP="00FF54E8">
      <w:pPr>
        <w:pStyle w:val="ListParagraph"/>
        <w:numPr>
          <w:ilvl w:val="0"/>
          <w:numId w:val="7"/>
        </w:numPr>
        <w:ind w:left="426"/>
        <w:contextualSpacing w:val="0"/>
        <w:jc w:val="both"/>
        <w:rPr>
          <w:sz w:val="28"/>
          <w:szCs w:val="28"/>
        </w:rPr>
      </w:pPr>
      <w:r w:rsidRPr="0088758F">
        <w:rPr>
          <w:sz w:val="28"/>
          <w:szCs w:val="28"/>
        </w:rPr>
        <w:t>uzsākt sniegt garantijas Latvijas kom</w:t>
      </w:r>
      <w:r>
        <w:rPr>
          <w:sz w:val="28"/>
          <w:szCs w:val="28"/>
        </w:rPr>
        <w:t>ersantiem izejvielu iepirkšanai</w:t>
      </w:r>
      <w:r w:rsidRPr="0088758F">
        <w:rPr>
          <w:sz w:val="28"/>
          <w:szCs w:val="28"/>
        </w:rPr>
        <w:t xml:space="preserve"> (importa garantijām), kuras klasiski tiek sniegtas kā kredīta nodrošinājums, kas izsniegts ārvalstu aizņēmējam sakarā ar līgumu ar vietējo pircēju attiecībā uz izejmateriālu importu.</w:t>
      </w:r>
    </w:p>
    <w:p w:rsidR="00FC1194" w:rsidRDefault="00FC1194" w:rsidP="00FF54E8">
      <w:pPr>
        <w:pStyle w:val="ListParagraph"/>
        <w:ind w:left="426"/>
        <w:contextualSpacing w:val="0"/>
        <w:jc w:val="both"/>
        <w:rPr>
          <w:sz w:val="28"/>
          <w:szCs w:val="28"/>
        </w:rPr>
      </w:pPr>
    </w:p>
    <w:p w:rsidR="009F60E4" w:rsidRDefault="009F60E4" w:rsidP="00FF54E8">
      <w:pPr>
        <w:pStyle w:val="ListParagraph"/>
        <w:ind w:left="426"/>
        <w:contextualSpacing w:val="0"/>
        <w:jc w:val="both"/>
        <w:rPr>
          <w:sz w:val="28"/>
          <w:szCs w:val="28"/>
        </w:rPr>
      </w:pPr>
    </w:p>
    <w:p w:rsidR="002435DA" w:rsidRDefault="002435DA" w:rsidP="00FF54E8">
      <w:pPr>
        <w:pStyle w:val="ListParagraph"/>
        <w:ind w:left="426"/>
        <w:contextualSpacing w:val="0"/>
        <w:jc w:val="both"/>
        <w:rPr>
          <w:sz w:val="28"/>
          <w:szCs w:val="28"/>
        </w:rPr>
      </w:pPr>
    </w:p>
    <w:p w:rsidR="005169CF" w:rsidRPr="005169CF" w:rsidRDefault="00582EE4" w:rsidP="005169CF">
      <w:pPr>
        <w:pStyle w:val="Heading3"/>
        <w:jc w:val="both"/>
        <w:rPr>
          <w:rFonts w:cs="Times New Roman"/>
          <w:sz w:val="28"/>
          <w:szCs w:val="28"/>
        </w:rPr>
      </w:pPr>
      <w:bookmarkStart w:id="35" w:name="_Toc242510375"/>
      <w:bookmarkStart w:id="36" w:name="_Toc241422327"/>
      <w:r>
        <w:rPr>
          <w:rFonts w:cs="Times New Roman"/>
          <w:sz w:val="28"/>
          <w:szCs w:val="28"/>
        </w:rPr>
        <w:t>4</w:t>
      </w:r>
      <w:r w:rsidR="00FF54E8" w:rsidRPr="0088758F">
        <w:rPr>
          <w:rFonts w:cs="Times New Roman"/>
          <w:sz w:val="28"/>
          <w:szCs w:val="28"/>
        </w:rPr>
        <w:t>.</w:t>
      </w:r>
      <w:r w:rsidR="00FF54E8">
        <w:rPr>
          <w:rFonts w:cs="Times New Roman"/>
          <w:sz w:val="28"/>
          <w:szCs w:val="28"/>
        </w:rPr>
        <w:t>7</w:t>
      </w:r>
      <w:r w:rsidR="00FF54E8" w:rsidRPr="0088758F">
        <w:rPr>
          <w:rFonts w:cs="Times New Roman"/>
          <w:sz w:val="28"/>
          <w:szCs w:val="28"/>
        </w:rPr>
        <w:t xml:space="preserve">. </w:t>
      </w:r>
      <w:r w:rsidR="005169CF" w:rsidRPr="005169CF">
        <w:rPr>
          <w:rFonts w:cs="Times New Roman"/>
          <w:sz w:val="28"/>
          <w:szCs w:val="28"/>
        </w:rPr>
        <w:t>Publiskās un privātās partnerības projektu īstenošana</w:t>
      </w:r>
      <w:bookmarkEnd w:id="35"/>
    </w:p>
    <w:p w:rsidR="005169CF" w:rsidRDefault="005169CF" w:rsidP="005169CF">
      <w:pPr>
        <w:pStyle w:val="Heading3"/>
        <w:jc w:val="both"/>
        <w:rPr>
          <w:rFonts w:cstheme="minorBidi"/>
          <w:sz w:val="28"/>
          <w:szCs w:val="28"/>
        </w:rPr>
      </w:pPr>
    </w:p>
    <w:p w:rsidR="005169CF" w:rsidRPr="005169CF" w:rsidRDefault="005169CF" w:rsidP="005169CF">
      <w:pPr>
        <w:jc w:val="both"/>
        <w:rPr>
          <w:sz w:val="28"/>
        </w:rPr>
      </w:pPr>
      <w:r w:rsidRPr="005169CF">
        <w:rPr>
          <w:b/>
          <w:sz w:val="28"/>
        </w:rPr>
        <w:t>Mērķis:</w:t>
      </w:r>
      <w:r w:rsidRPr="005169CF">
        <w:rPr>
          <w:sz w:val="28"/>
        </w:rPr>
        <w:t xml:space="preserve"> veicināt publiskā un privātā sektora sadarbību, efektīvi izmantojot publiskā partnera un privātā partnera resursus sabiedrības vajadzību apmierināšanai.</w:t>
      </w:r>
    </w:p>
    <w:p w:rsidR="005169CF" w:rsidRPr="005169CF" w:rsidRDefault="005169CF" w:rsidP="005169CF">
      <w:pPr>
        <w:jc w:val="both"/>
        <w:rPr>
          <w:rFonts w:cs="Times New Roman"/>
          <w:sz w:val="10"/>
          <w:szCs w:val="8"/>
        </w:rPr>
      </w:pPr>
    </w:p>
    <w:p w:rsidR="005169CF" w:rsidRPr="005169CF" w:rsidRDefault="005169CF" w:rsidP="005169CF">
      <w:pPr>
        <w:ind w:firstLine="720"/>
        <w:jc w:val="both"/>
        <w:rPr>
          <w:rFonts w:cs="Times New Roman"/>
          <w:sz w:val="28"/>
        </w:rPr>
      </w:pPr>
      <w:r w:rsidRPr="005169CF">
        <w:rPr>
          <w:rFonts w:cs="Times New Roman"/>
          <w:sz w:val="28"/>
        </w:rPr>
        <w:t>Lai gan visā pasaulē valsts un privātā partnerība ir jau kļuvusi par risinājumu sekmīgai sabiedrisko pakalpojumu sniegšanai, infrastruktūras attīstīšanai un uzturēšanai, kas veicinātu ekonomisko izaugsmi un nodrošinātu sabiedrības labklājību, Latvijā tikai pēdējo gadu laikā aizvien vairāk tiek runāts par valsts un privāto partnerību un iespējām, ko tā var dot tautsaimniecības attīstībai.</w:t>
      </w:r>
    </w:p>
    <w:p w:rsidR="005169CF" w:rsidRPr="005169CF" w:rsidRDefault="005169CF" w:rsidP="005169CF">
      <w:pPr>
        <w:jc w:val="both"/>
        <w:rPr>
          <w:sz w:val="10"/>
          <w:u w:val="single"/>
        </w:rPr>
      </w:pPr>
    </w:p>
    <w:p w:rsidR="005169CF" w:rsidRPr="005169CF" w:rsidRDefault="005169CF" w:rsidP="005169CF">
      <w:pPr>
        <w:jc w:val="both"/>
        <w:rPr>
          <w:sz w:val="28"/>
          <w:u w:val="single"/>
        </w:rPr>
      </w:pPr>
      <w:r w:rsidRPr="005169CF">
        <w:rPr>
          <w:sz w:val="28"/>
          <w:u w:val="single"/>
        </w:rPr>
        <w:t>Galvenie veicamie pasākumi:</w:t>
      </w:r>
    </w:p>
    <w:p w:rsidR="005169CF" w:rsidRPr="005169CF" w:rsidRDefault="005169CF" w:rsidP="005169CF">
      <w:pPr>
        <w:pStyle w:val="ListParagraph"/>
        <w:numPr>
          <w:ilvl w:val="0"/>
          <w:numId w:val="50"/>
        </w:numPr>
        <w:ind w:left="284"/>
        <w:jc w:val="both"/>
        <w:rPr>
          <w:sz w:val="28"/>
        </w:rPr>
      </w:pPr>
      <w:r w:rsidRPr="005169CF">
        <w:rPr>
          <w:sz w:val="28"/>
        </w:rPr>
        <w:t>noteikt prioritārās jomas, kurās veicināmi publiskās un privātās partnerības projekti;</w:t>
      </w:r>
    </w:p>
    <w:p w:rsidR="005169CF" w:rsidRPr="005169CF" w:rsidRDefault="005169CF" w:rsidP="005169CF">
      <w:pPr>
        <w:pStyle w:val="ListParagraph"/>
        <w:numPr>
          <w:ilvl w:val="0"/>
          <w:numId w:val="50"/>
        </w:numPr>
        <w:ind w:left="284"/>
        <w:jc w:val="both"/>
        <w:rPr>
          <w:sz w:val="28"/>
        </w:rPr>
      </w:pPr>
      <w:r w:rsidRPr="005169CF">
        <w:rPr>
          <w:sz w:val="28"/>
        </w:rPr>
        <w:t>apstiprināt publiskās un privātās partnerības veicināšanas pamatnostādnes nākamajam plānošanas periodam (2010.–2014</w:t>
      </w:r>
      <w:r w:rsidR="00156DFE">
        <w:rPr>
          <w:sz w:val="28"/>
        </w:rPr>
        <w:t>.gad</w:t>
      </w:r>
      <w:r w:rsidRPr="005169CF">
        <w:rPr>
          <w:sz w:val="28"/>
        </w:rPr>
        <w:t>am);</w:t>
      </w:r>
    </w:p>
    <w:p w:rsidR="005169CF" w:rsidRPr="005169CF" w:rsidRDefault="005169CF" w:rsidP="005169CF">
      <w:pPr>
        <w:pStyle w:val="ListParagraph"/>
        <w:numPr>
          <w:ilvl w:val="0"/>
          <w:numId w:val="50"/>
        </w:numPr>
        <w:ind w:left="284"/>
        <w:jc w:val="both"/>
        <w:rPr>
          <w:sz w:val="28"/>
        </w:rPr>
      </w:pPr>
      <w:r w:rsidRPr="005169CF">
        <w:rPr>
          <w:sz w:val="28"/>
        </w:rPr>
        <w:t xml:space="preserve">izveidot koordinācijas mehānismu dažādu finanšu instrumentu (ārvalstu finanšu palīdzību, </w:t>
      </w:r>
      <w:r w:rsidR="00B40B1E">
        <w:rPr>
          <w:sz w:val="28"/>
        </w:rPr>
        <w:t>ES</w:t>
      </w:r>
      <w:r w:rsidRPr="005169CF">
        <w:rPr>
          <w:sz w:val="28"/>
        </w:rPr>
        <w:t xml:space="preserve"> fondu līdzekļu, mērķdotāciju pašvaldībām) savstarpējā sasaistē;</w:t>
      </w:r>
    </w:p>
    <w:p w:rsidR="005169CF" w:rsidRPr="005169CF" w:rsidRDefault="005169CF" w:rsidP="005169CF">
      <w:pPr>
        <w:pStyle w:val="ListParagraph"/>
        <w:numPr>
          <w:ilvl w:val="0"/>
          <w:numId w:val="50"/>
        </w:numPr>
        <w:ind w:left="284"/>
        <w:jc w:val="both"/>
        <w:rPr>
          <w:sz w:val="28"/>
        </w:rPr>
      </w:pPr>
      <w:r w:rsidRPr="005169CF">
        <w:rPr>
          <w:sz w:val="28"/>
        </w:rPr>
        <w:t>organizēt informatīvi izglītojošu kampaņu valsts un pašvaldības iestādēm, kā arī privātā sektora un nevalstisko organizāciju pārstāvjiem par publiskās un privātās partnerības izmantošanas iespējām;</w:t>
      </w:r>
    </w:p>
    <w:p w:rsidR="005169CF" w:rsidRPr="005169CF" w:rsidRDefault="005169CF" w:rsidP="005169CF">
      <w:pPr>
        <w:pStyle w:val="ListParagraph"/>
        <w:numPr>
          <w:ilvl w:val="0"/>
          <w:numId w:val="50"/>
        </w:numPr>
        <w:ind w:left="284"/>
        <w:jc w:val="both"/>
        <w:rPr>
          <w:sz w:val="28"/>
        </w:rPr>
      </w:pPr>
      <w:r w:rsidRPr="005169CF">
        <w:rPr>
          <w:sz w:val="28"/>
        </w:rPr>
        <w:t>ieviest efektīvu publiskās un privātās partnerības projektu īstenošanas uzraudzības sistēmu, novēršot nelietderīgu vals</w:t>
      </w:r>
      <w:r w:rsidR="0069286F">
        <w:rPr>
          <w:sz w:val="28"/>
        </w:rPr>
        <w:t>ts budžeta līdzekļu izlietošanu.</w:t>
      </w:r>
    </w:p>
    <w:p w:rsidR="005169CF" w:rsidRPr="005169CF" w:rsidRDefault="005169CF" w:rsidP="002435DA">
      <w:pPr>
        <w:pStyle w:val="ListParagraph"/>
        <w:ind w:left="284"/>
        <w:jc w:val="both"/>
        <w:rPr>
          <w:sz w:val="28"/>
        </w:rPr>
      </w:pPr>
    </w:p>
    <w:p w:rsidR="002435DA" w:rsidRPr="002435DA" w:rsidRDefault="002435DA" w:rsidP="002435DA">
      <w:bookmarkStart w:id="37" w:name="_Toc242510376"/>
    </w:p>
    <w:p w:rsidR="00FF54E8" w:rsidRPr="0088758F" w:rsidRDefault="005169CF" w:rsidP="00FF54E8">
      <w:pPr>
        <w:pStyle w:val="Heading3"/>
        <w:jc w:val="both"/>
        <w:rPr>
          <w:rFonts w:cs="Times New Roman"/>
          <w:sz w:val="28"/>
          <w:szCs w:val="28"/>
        </w:rPr>
      </w:pPr>
      <w:r>
        <w:rPr>
          <w:rFonts w:cs="Times New Roman"/>
          <w:sz w:val="28"/>
          <w:szCs w:val="28"/>
        </w:rPr>
        <w:t>4.8. </w:t>
      </w:r>
      <w:r w:rsidR="00FF54E8" w:rsidRPr="0088758F">
        <w:rPr>
          <w:rFonts w:cs="Times New Roman"/>
          <w:sz w:val="28"/>
          <w:szCs w:val="28"/>
        </w:rPr>
        <w:t>Apmācības, tai skaitā atbalsts uzņēmējdarbības uzsācējiem</w:t>
      </w:r>
      <w:bookmarkEnd w:id="36"/>
      <w:bookmarkEnd w:id="37"/>
    </w:p>
    <w:p w:rsidR="00FF54E8" w:rsidRPr="002E6A9A" w:rsidRDefault="00FF54E8" w:rsidP="00FF54E8">
      <w:pPr>
        <w:ind w:firstLine="567"/>
        <w:jc w:val="both"/>
        <w:rPr>
          <w:rStyle w:val="Strong"/>
          <w:rFonts w:eastAsiaTheme="majorEastAsia"/>
          <w:sz w:val="20"/>
          <w:szCs w:val="28"/>
        </w:rPr>
      </w:pPr>
    </w:p>
    <w:p w:rsidR="007C49D7" w:rsidRPr="007C49D7" w:rsidRDefault="007C49D7" w:rsidP="007C49D7">
      <w:pPr>
        <w:spacing w:after="120"/>
        <w:jc w:val="both"/>
        <w:rPr>
          <w:sz w:val="28"/>
          <w:szCs w:val="28"/>
        </w:rPr>
      </w:pPr>
      <w:r w:rsidRPr="007C49D7">
        <w:rPr>
          <w:rStyle w:val="Strong"/>
          <w:rFonts w:eastAsiaTheme="majorEastAsia"/>
          <w:sz w:val="28"/>
          <w:szCs w:val="28"/>
        </w:rPr>
        <w:t>Mērķis:</w:t>
      </w:r>
      <w:r w:rsidRPr="007C49D7">
        <w:rPr>
          <w:rStyle w:val="Strong"/>
          <w:rFonts w:eastAsiaTheme="majorEastAsia"/>
          <w:b w:val="0"/>
          <w:sz w:val="28"/>
          <w:szCs w:val="28"/>
        </w:rPr>
        <w:t xml:space="preserve"> veicināt </w:t>
      </w:r>
      <w:r w:rsidRPr="007C49D7">
        <w:rPr>
          <w:sz w:val="28"/>
          <w:szCs w:val="28"/>
        </w:rPr>
        <w:t>saimnieciskās darbības aktivitātes valstī, attīstot biznesa uzsācēju zināšanas un iemaņas, kā arī sniedzot nepieciešamo finansiālo atbalstu saimnieciskās darbības uzsākšanai.</w:t>
      </w:r>
    </w:p>
    <w:p w:rsidR="007C49D7" w:rsidRPr="007C49D7" w:rsidRDefault="007C49D7" w:rsidP="007C49D7">
      <w:pPr>
        <w:ind w:firstLine="567"/>
        <w:jc w:val="both"/>
        <w:rPr>
          <w:rFonts w:cs="Times New Roman"/>
          <w:sz w:val="28"/>
          <w:szCs w:val="28"/>
        </w:rPr>
      </w:pPr>
      <w:r w:rsidRPr="007C49D7">
        <w:rPr>
          <w:rFonts w:cs="Times New Roman"/>
          <w:sz w:val="28"/>
          <w:szCs w:val="28"/>
        </w:rPr>
        <w:t xml:space="preserve">Kopš 2009.gada augusta ir pieejams </w:t>
      </w:r>
      <w:r w:rsidRPr="0069286F">
        <w:rPr>
          <w:rFonts w:cs="Times New Roman"/>
          <w:i/>
          <w:sz w:val="28"/>
          <w:szCs w:val="28"/>
        </w:rPr>
        <w:t>ES fondu atbalsts aktivitātē “Atbalsts pašnodarbinātības un uzņēmējdarbības uzsākšanai”</w:t>
      </w:r>
      <w:r w:rsidRPr="007C49D7">
        <w:rPr>
          <w:rFonts w:cs="Times New Roman"/>
          <w:b/>
          <w:sz w:val="28"/>
          <w:szCs w:val="28"/>
        </w:rPr>
        <w:t xml:space="preserve">.  </w:t>
      </w:r>
      <w:r w:rsidRPr="007C49D7">
        <w:rPr>
          <w:rFonts w:cs="Times New Roman"/>
          <w:sz w:val="28"/>
          <w:szCs w:val="28"/>
        </w:rPr>
        <w:t xml:space="preserve">Aktivitātes ietvaros biznesa uzsācējiem pieejamas konsultācijas, apmācības  un finansējumu aizdevumu un grantu veidā. </w:t>
      </w:r>
    </w:p>
    <w:p w:rsidR="007C49D7" w:rsidRPr="007C49D7" w:rsidRDefault="007C49D7" w:rsidP="007C49D7">
      <w:pPr>
        <w:ind w:firstLine="567"/>
        <w:jc w:val="both"/>
        <w:rPr>
          <w:rFonts w:cs="Times New Roman"/>
          <w:sz w:val="28"/>
          <w:szCs w:val="28"/>
        </w:rPr>
      </w:pPr>
      <w:r w:rsidRPr="007C49D7">
        <w:rPr>
          <w:rFonts w:cs="Times New Roman"/>
          <w:sz w:val="28"/>
          <w:szCs w:val="28"/>
        </w:rPr>
        <w:lastRenderedPageBreak/>
        <w:t xml:space="preserve">2010.gadā 1.ceturksnī 20 milj. latu apmērā notiks projektu iesniegumu atlase ES fondu aktivitātē </w:t>
      </w:r>
      <w:r w:rsidRPr="007C49D7">
        <w:rPr>
          <w:rFonts w:cs="Times New Roman"/>
          <w:b/>
          <w:sz w:val="28"/>
          <w:szCs w:val="28"/>
        </w:rPr>
        <w:t>„</w:t>
      </w:r>
      <w:r w:rsidRPr="0069286F">
        <w:rPr>
          <w:rFonts w:cs="Times New Roman"/>
          <w:i/>
          <w:sz w:val="28"/>
          <w:szCs w:val="28"/>
        </w:rPr>
        <w:t>Atbalsts nodarbināto apmācībām komersantu konkurētspējas veicināšanai”</w:t>
      </w:r>
      <w:r w:rsidRPr="007C49D7">
        <w:rPr>
          <w:rFonts w:cs="Times New Roman"/>
          <w:sz w:val="28"/>
          <w:szCs w:val="28"/>
        </w:rPr>
        <w:t xml:space="preserve">, kuras ietvaros pieejams finansējums komersantiem darbinieku kvalifikācijas celšanai. </w:t>
      </w:r>
    </w:p>
    <w:p w:rsidR="002435DA" w:rsidRDefault="002435DA" w:rsidP="00FF54E8">
      <w:pPr>
        <w:rPr>
          <w:sz w:val="28"/>
        </w:rPr>
      </w:pPr>
    </w:p>
    <w:p w:rsidR="009F60E4" w:rsidRDefault="009F60E4" w:rsidP="00FF54E8">
      <w:pPr>
        <w:rPr>
          <w:sz w:val="28"/>
        </w:rPr>
      </w:pPr>
    </w:p>
    <w:p w:rsidR="009F60E4" w:rsidRDefault="009F60E4" w:rsidP="00FF54E8">
      <w:pPr>
        <w:rPr>
          <w:sz w:val="28"/>
        </w:rPr>
      </w:pPr>
    </w:p>
    <w:p w:rsidR="00FF54E8" w:rsidRPr="0088758F" w:rsidRDefault="00582EE4" w:rsidP="00FF54E8">
      <w:pPr>
        <w:pStyle w:val="Heading3"/>
        <w:rPr>
          <w:sz w:val="28"/>
        </w:rPr>
      </w:pPr>
      <w:bookmarkStart w:id="38" w:name="_Toc241422328"/>
      <w:bookmarkStart w:id="39" w:name="_Toc242510377"/>
      <w:r>
        <w:rPr>
          <w:sz w:val="28"/>
        </w:rPr>
        <w:t>4</w:t>
      </w:r>
      <w:r w:rsidR="00FF54E8" w:rsidRPr="0088758F">
        <w:rPr>
          <w:sz w:val="28"/>
        </w:rPr>
        <w:t>.</w:t>
      </w:r>
      <w:r w:rsidR="005169CF">
        <w:rPr>
          <w:sz w:val="28"/>
        </w:rPr>
        <w:t>9</w:t>
      </w:r>
      <w:r w:rsidR="00FF54E8" w:rsidRPr="0088758F">
        <w:rPr>
          <w:sz w:val="28"/>
        </w:rPr>
        <w:t>. Izglītība un zinātne</w:t>
      </w:r>
      <w:bookmarkEnd w:id="38"/>
      <w:bookmarkEnd w:id="39"/>
    </w:p>
    <w:p w:rsidR="00FF54E8" w:rsidRPr="002E6A9A" w:rsidRDefault="00FF54E8" w:rsidP="00FF54E8">
      <w:pPr>
        <w:rPr>
          <w:sz w:val="16"/>
        </w:rPr>
      </w:pPr>
    </w:p>
    <w:p w:rsidR="00FF54E8" w:rsidRDefault="00FF54E8" w:rsidP="00FF54E8">
      <w:pPr>
        <w:spacing w:after="100"/>
        <w:jc w:val="both"/>
        <w:rPr>
          <w:rFonts w:cs="Times New Roman"/>
          <w:sz w:val="28"/>
          <w:szCs w:val="28"/>
        </w:rPr>
      </w:pPr>
      <w:r w:rsidRPr="0088758F">
        <w:rPr>
          <w:rFonts w:cs="Times New Roman"/>
          <w:b/>
          <w:sz w:val="28"/>
          <w:szCs w:val="28"/>
        </w:rPr>
        <w:t>Mērķis:</w:t>
      </w:r>
      <w:r w:rsidRPr="0088758F">
        <w:rPr>
          <w:rFonts w:cs="Times New Roman"/>
          <w:sz w:val="28"/>
          <w:szCs w:val="28"/>
        </w:rPr>
        <w:t xml:space="preserve"> izveidot konkurētspējīgu</w:t>
      </w:r>
      <w:r>
        <w:rPr>
          <w:rFonts w:cs="Times New Roman"/>
          <w:sz w:val="28"/>
          <w:szCs w:val="28"/>
        </w:rPr>
        <w:t xml:space="preserve"> un </w:t>
      </w:r>
      <w:r w:rsidRPr="0088758F">
        <w:rPr>
          <w:rFonts w:cs="Times New Roman"/>
          <w:sz w:val="28"/>
          <w:szCs w:val="28"/>
        </w:rPr>
        <w:t xml:space="preserve">koncentrētu augstākās izglītības un zinātnes sektoru, kas nodrošina </w:t>
      </w:r>
      <w:r>
        <w:rPr>
          <w:rFonts w:cs="Times New Roman"/>
          <w:sz w:val="28"/>
          <w:szCs w:val="28"/>
        </w:rPr>
        <w:t xml:space="preserve">tautsaimniecības </w:t>
      </w:r>
      <w:r w:rsidRPr="0088758F">
        <w:rPr>
          <w:rFonts w:cs="Times New Roman"/>
          <w:sz w:val="28"/>
          <w:szCs w:val="28"/>
        </w:rPr>
        <w:t>vajadzībām atbilstošu</w:t>
      </w:r>
      <w:r w:rsidRPr="00C83B08">
        <w:rPr>
          <w:rFonts w:cs="Times New Roman"/>
          <w:sz w:val="28"/>
          <w:szCs w:val="28"/>
        </w:rPr>
        <w:t xml:space="preserve"> </w:t>
      </w:r>
      <w:r w:rsidRPr="0088758F">
        <w:rPr>
          <w:rFonts w:cs="Times New Roman"/>
          <w:sz w:val="28"/>
          <w:szCs w:val="28"/>
        </w:rPr>
        <w:t>izglītības piedāvājumu</w:t>
      </w:r>
      <w:r w:rsidR="00B979D3">
        <w:rPr>
          <w:rFonts w:cs="Times New Roman"/>
          <w:sz w:val="28"/>
          <w:szCs w:val="28"/>
        </w:rPr>
        <w:t xml:space="preserve"> un </w:t>
      </w:r>
      <w:r w:rsidRPr="0088758F">
        <w:rPr>
          <w:rFonts w:cs="Times New Roman"/>
          <w:sz w:val="28"/>
          <w:szCs w:val="28"/>
        </w:rPr>
        <w:t>veicinātu tautsaimniecības straujāku attīstību</w:t>
      </w:r>
      <w:r>
        <w:rPr>
          <w:rFonts w:cs="Times New Roman"/>
          <w:sz w:val="28"/>
          <w:szCs w:val="28"/>
        </w:rPr>
        <w:t>.</w:t>
      </w:r>
    </w:p>
    <w:p w:rsidR="00FF54E8" w:rsidRPr="0088758F" w:rsidRDefault="00FF54E8" w:rsidP="00FF54E8">
      <w:pPr>
        <w:jc w:val="both"/>
        <w:rPr>
          <w:rFonts w:cs="Times New Roman"/>
          <w:sz w:val="28"/>
          <w:szCs w:val="28"/>
        </w:rPr>
      </w:pPr>
      <w:r w:rsidRPr="0088758F">
        <w:rPr>
          <w:rFonts w:cs="Times New Roman"/>
          <w:sz w:val="28"/>
          <w:szCs w:val="28"/>
        </w:rPr>
        <w:t>Strukturālo reformu rezultātā nepieciešams nodrošināt:</w:t>
      </w:r>
    </w:p>
    <w:p w:rsidR="00FF54E8" w:rsidRPr="0088758F" w:rsidRDefault="00FF54E8" w:rsidP="00FF54E8">
      <w:pPr>
        <w:pStyle w:val="ListParagraph"/>
        <w:numPr>
          <w:ilvl w:val="0"/>
          <w:numId w:val="23"/>
        </w:numPr>
        <w:ind w:left="426" w:hanging="283"/>
        <w:jc w:val="both"/>
        <w:rPr>
          <w:rFonts w:cs="Times New Roman"/>
          <w:sz w:val="28"/>
          <w:szCs w:val="28"/>
        </w:rPr>
      </w:pPr>
      <w:r w:rsidRPr="0088758F">
        <w:rPr>
          <w:rFonts w:cs="Times New Roman"/>
          <w:sz w:val="28"/>
          <w:szCs w:val="28"/>
        </w:rPr>
        <w:t>kvalitatīvu un starptautiski konkurētspējīgu izglītību;</w:t>
      </w:r>
    </w:p>
    <w:p w:rsidR="00FF54E8" w:rsidRPr="0088758F" w:rsidRDefault="00FF54E8" w:rsidP="00FF54E8">
      <w:pPr>
        <w:pStyle w:val="ListParagraph"/>
        <w:numPr>
          <w:ilvl w:val="0"/>
          <w:numId w:val="23"/>
        </w:numPr>
        <w:ind w:left="426" w:hanging="283"/>
        <w:jc w:val="both"/>
        <w:rPr>
          <w:rFonts w:cs="Times New Roman"/>
          <w:sz w:val="28"/>
          <w:szCs w:val="28"/>
        </w:rPr>
      </w:pPr>
      <w:r w:rsidRPr="0088758F">
        <w:rPr>
          <w:rFonts w:cs="Times New Roman"/>
          <w:sz w:val="28"/>
          <w:szCs w:val="28"/>
        </w:rPr>
        <w:t>starptautiski konkurētspējīgus zinātniskā darba rezultātus;</w:t>
      </w:r>
    </w:p>
    <w:p w:rsidR="00FF54E8" w:rsidRPr="0088758F" w:rsidRDefault="00FF54E8" w:rsidP="00FF54E8">
      <w:pPr>
        <w:pStyle w:val="ListParagraph"/>
        <w:numPr>
          <w:ilvl w:val="0"/>
          <w:numId w:val="23"/>
        </w:numPr>
        <w:ind w:left="426" w:hanging="283"/>
        <w:jc w:val="both"/>
        <w:rPr>
          <w:rFonts w:cs="Times New Roman"/>
          <w:sz w:val="28"/>
          <w:szCs w:val="28"/>
        </w:rPr>
      </w:pPr>
      <w:r w:rsidRPr="0088758F">
        <w:rPr>
          <w:rFonts w:cs="Times New Roman"/>
          <w:sz w:val="28"/>
          <w:szCs w:val="28"/>
        </w:rPr>
        <w:t>atvērtību globālajam zināšanu un izglītības tirgum;</w:t>
      </w:r>
    </w:p>
    <w:p w:rsidR="00FF54E8" w:rsidRPr="0088758F" w:rsidRDefault="00FF54E8" w:rsidP="00FF54E8">
      <w:pPr>
        <w:pStyle w:val="ListParagraph"/>
        <w:numPr>
          <w:ilvl w:val="0"/>
          <w:numId w:val="23"/>
        </w:numPr>
        <w:ind w:left="426" w:hanging="283"/>
        <w:jc w:val="both"/>
        <w:rPr>
          <w:rFonts w:cs="Times New Roman"/>
          <w:sz w:val="28"/>
          <w:szCs w:val="28"/>
        </w:rPr>
      </w:pPr>
      <w:r w:rsidRPr="0088758F">
        <w:rPr>
          <w:rFonts w:cs="Times New Roman"/>
          <w:sz w:val="28"/>
          <w:szCs w:val="28"/>
        </w:rPr>
        <w:t>ilgtermiņa finanšu stabilitāti</w:t>
      </w:r>
      <w:r>
        <w:rPr>
          <w:rFonts w:cs="Times New Roman"/>
          <w:sz w:val="28"/>
          <w:szCs w:val="28"/>
        </w:rPr>
        <w:t xml:space="preserve"> un </w:t>
      </w:r>
      <w:r w:rsidRPr="0088758F">
        <w:rPr>
          <w:rFonts w:cs="Times New Roman"/>
          <w:sz w:val="28"/>
          <w:szCs w:val="28"/>
        </w:rPr>
        <w:t>finansējumu avotu daudzveidību.</w:t>
      </w:r>
    </w:p>
    <w:p w:rsidR="00FF54E8" w:rsidRPr="002E6A9A" w:rsidRDefault="00FF54E8" w:rsidP="00FF54E8">
      <w:pPr>
        <w:jc w:val="both"/>
        <w:rPr>
          <w:rFonts w:cs="Times New Roman"/>
          <w:sz w:val="22"/>
          <w:szCs w:val="28"/>
        </w:rPr>
      </w:pPr>
    </w:p>
    <w:p w:rsidR="00FF54E8" w:rsidRPr="0088758F" w:rsidRDefault="00FF54E8" w:rsidP="00FF54E8">
      <w:pPr>
        <w:ind w:firstLine="567"/>
        <w:jc w:val="both"/>
        <w:rPr>
          <w:rFonts w:cs="Times New Roman"/>
          <w:sz w:val="28"/>
          <w:szCs w:val="28"/>
        </w:rPr>
      </w:pPr>
      <w:r w:rsidRPr="0088758F">
        <w:rPr>
          <w:rFonts w:cs="Times New Roman"/>
          <w:sz w:val="28"/>
          <w:szCs w:val="28"/>
        </w:rPr>
        <w:t xml:space="preserve">Lai sekmētu izglītības un zinātnes sektoru stratēģisko attīstību, kā arī valsts budžeta līdzekļu izlietojuma maksimālu efektivitāti izglītībā un zinātnē, Ministru prezidents ar 2009.gada 4.septembra rezolūciju ir uzdevis ekonomikas ministram izveidot darba grupu. </w:t>
      </w:r>
    </w:p>
    <w:p w:rsidR="00FF54E8" w:rsidRPr="00EA78C2" w:rsidRDefault="00FF54E8" w:rsidP="00FF54E8">
      <w:pPr>
        <w:ind w:firstLine="567"/>
        <w:jc w:val="both"/>
        <w:rPr>
          <w:rFonts w:cs="Times New Roman"/>
          <w:sz w:val="18"/>
          <w:szCs w:val="28"/>
        </w:rPr>
      </w:pPr>
    </w:p>
    <w:p w:rsidR="00FF54E8" w:rsidRPr="0088758F" w:rsidRDefault="00FF54E8" w:rsidP="00FF54E8">
      <w:pPr>
        <w:spacing w:after="60"/>
        <w:jc w:val="both"/>
        <w:rPr>
          <w:sz w:val="28"/>
          <w:szCs w:val="28"/>
          <w:u w:val="single"/>
        </w:rPr>
      </w:pPr>
      <w:r w:rsidRPr="0088758F">
        <w:rPr>
          <w:sz w:val="28"/>
          <w:szCs w:val="28"/>
          <w:u w:val="single"/>
        </w:rPr>
        <w:t>Galvenie veicamie pasākumi:</w:t>
      </w:r>
    </w:p>
    <w:p w:rsidR="00987EE3" w:rsidRPr="00987EE3" w:rsidRDefault="00B979D3" w:rsidP="00987EE3">
      <w:pPr>
        <w:pStyle w:val="ListParagraph"/>
        <w:numPr>
          <w:ilvl w:val="0"/>
          <w:numId w:val="7"/>
        </w:numPr>
        <w:ind w:left="426"/>
        <w:contextualSpacing w:val="0"/>
        <w:jc w:val="both"/>
        <w:rPr>
          <w:sz w:val="28"/>
          <w:szCs w:val="28"/>
        </w:rPr>
      </w:pPr>
      <w:r>
        <w:rPr>
          <w:sz w:val="28"/>
          <w:szCs w:val="28"/>
        </w:rPr>
        <w:t>e</w:t>
      </w:r>
      <w:r w:rsidR="00987EE3" w:rsidRPr="00987EE3">
        <w:rPr>
          <w:sz w:val="28"/>
          <w:szCs w:val="28"/>
        </w:rPr>
        <w:t>konomikas ministram un</w:t>
      </w:r>
      <w:r w:rsidR="00156DFE">
        <w:rPr>
          <w:sz w:val="28"/>
          <w:szCs w:val="28"/>
        </w:rPr>
        <w:t xml:space="preserve"> </w:t>
      </w:r>
      <w:r w:rsidR="00987EE3" w:rsidRPr="00987EE3">
        <w:rPr>
          <w:sz w:val="28"/>
          <w:szCs w:val="28"/>
        </w:rPr>
        <w:t>izveidotajai darba grupa sagatavot un līdz 2009.gada 1.novembrim iesniegt MK priekšlikumus reformu pasākumu kopumam augstākajā izglītībā un zinātnē, kas vērsti uz starptautiskās konkurētspējas palielināšanu;</w:t>
      </w:r>
    </w:p>
    <w:p w:rsidR="00987EE3" w:rsidRPr="00987EE3" w:rsidRDefault="00987EE3" w:rsidP="00987EE3">
      <w:pPr>
        <w:pStyle w:val="ListParagraph"/>
        <w:numPr>
          <w:ilvl w:val="0"/>
          <w:numId w:val="7"/>
        </w:numPr>
        <w:ind w:left="426"/>
        <w:contextualSpacing w:val="0"/>
        <w:jc w:val="both"/>
        <w:rPr>
          <w:sz w:val="28"/>
          <w:szCs w:val="28"/>
        </w:rPr>
      </w:pPr>
      <w:r w:rsidRPr="00987EE3">
        <w:rPr>
          <w:sz w:val="28"/>
          <w:szCs w:val="28"/>
        </w:rPr>
        <w:t>Izglītības un zinātnes ministrijai sadarbībā ar Ekonomikas ministriju un tās izveidoto darba grupu</w:t>
      </w:r>
      <w:r w:rsidR="00156DFE">
        <w:rPr>
          <w:sz w:val="28"/>
          <w:szCs w:val="28"/>
        </w:rPr>
        <w:t xml:space="preserve"> </w:t>
      </w:r>
      <w:r w:rsidRPr="00987EE3">
        <w:rPr>
          <w:sz w:val="28"/>
          <w:szCs w:val="28"/>
        </w:rPr>
        <w:t>līdz 2010.gada 1.februārim izstrādāt un iesniegt MK</w:t>
      </w:r>
      <w:r w:rsidR="00156DFE">
        <w:rPr>
          <w:sz w:val="28"/>
          <w:szCs w:val="28"/>
        </w:rPr>
        <w:t xml:space="preserve"> </w:t>
      </w:r>
      <w:r w:rsidRPr="00987EE3">
        <w:rPr>
          <w:sz w:val="28"/>
          <w:szCs w:val="28"/>
        </w:rPr>
        <w:t>augstākās izglītības darbības optimizācijas programmu;</w:t>
      </w:r>
    </w:p>
    <w:p w:rsidR="00987EE3" w:rsidRPr="00987EE3" w:rsidRDefault="00987EE3" w:rsidP="00987EE3">
      <w:pPr>
        <w:pStyle w:val="ListParagraph"/>
        <w:numPr>
          <w:ilvl w:val="0"/>
          <w:numId w:val="7"/>
        </w:numPr>
        <w:ind w:left="426"/>
        <w:contextualSpacing w:val="0"/>
        <w:jc w:val="both"/>
        <w:rPr>
          <w:sz w:val="28"/>
          <w:szCs w:val="28"/>
        </w:rPr>
      </w:pPr>
      <w:r w:rsidRPr="00987EE3">
        <w:rPr>
          <w:sz w:val="28"/>
          <w:szCs w:val="28"/>
        </w:rPr>
        <w:t xml:space="preserve">Izglītības un zinātnes ministrijai līdz 2010.gada 1.decembrim veikt zinātnisko institūciju telpiskās attīstības stratēģijas izvērtēšanu, nosakot vadošos valsts nozīmes pētniecības centrus. </w:t>
      </w:r>
    </w:p>
    <w:p w:rsidR="00CA33E4" w:rsidRPr="00EA78C2" w:rsidRDefault="00CA33E4" w:rsidP="00EA78C2">
      <w:pPr>
        <w:pStyle w:val="ListParagraph"/>
        <w:ind w:left="426"/>
        <w:contextualSpacing w:val="0"/>
        <w:jc w:val="both"/>
        <w:rPr>
          <w:sz w:val="28"/>
          <w:szCs w:val="28"/>
        </w:rPr>
      </w:pPr>
    </w:p>
    <w:p w:rsidR="0069286F" w:rsidRDefault="0069286F">
      <w:pPr>
        <w:spacing w:after="200" w:line="276" w:lineRule="auto"/>
        <w:rPr>
          <w:rFonts w:eastAsiaTheme="majorEastAsia" w:cstheme="majorBidi"/>
          <w:b/>
          <w:bCs/>
          <w:sz w:val="32"/>
          <w:szCs w:val="28"/>
        </w:rPr>
      </w:pPr>
      <w:bookmarkStart w:id="40" w:name="_Toc242510378"/>
      <w:r>
        <w:br w:type="page"/>
      </w:r>
    </w:p>
    <w:p w:rsidR="00EF1F2B" w:rsidRPr="0088758F" w:rsidRDefault="00EF1F2B" w:rsidP="00EF1F2B">
      <w:pPr>
        <w:pStyle w:val="Heading1"/>
      </w:pPr>
      <w:r w:rsidRPr="0088758F">
        <w:lastRenderedPageBreak/>
        <w:t>Nobeigums</w:t>
      </w:r>
      <w:bookmarkEnd w:id="40"/>
    </w:p>
    <w:p w:rsidR="00EF1F2B" w:rsidRPr="00DB2696" w:rsidRDefault="00EF1F2B" w:rsidP="00EF1F2B">
      <w:pPr>
        <w:rPr>
          <w:sz w:val="20"/>
        </w:rPr>
      </w:pPr>
    </w:p>
    <w:p w:rsidR="00B801F2" w:rsidRPr="0088758F" w:rsidRDefault="00B801F2" w:rsidP="00B801F2">
      <w:pPr>
        <w:ind w:firstLine="567"/>
        <w:jc w:val="both"/>
        <w:rPr>
          <w:rFonts w:eastAsia="Calibri" w:cs="Times New Roman"/>
          <w:sz w:val="28"/>
          <w:szCs w:val="28"/>
        </w:rPr>
      </w:pPr>
      <w:r w:rsidRPr="0088758F">
        <w:rPr>
          <w:rFonts w:eastAsia="Calibri" w:cs="Times New Roman"/>
          <w:i/>
          <w:sz w:val="28"/>
          <w:szCs w:val="28"/>
        </w:rPr>
        <w:t xml:space="preserve">Latvijas ekonomikas stabilizācijas un izaugsmes atjaunošanas </w:t>
      </w:r>
      <w:r w:rsidRPr="0088758F">
        <w:rPr>
          <w:rFonts w:eastAsia="Calibri" w:cs="Times New Roman"/>
          <w:i/>
          <w:spacing w:val="-4"/>
          <w:sz w:val="28"/>
          <w:szCs w:val="28"/>
        </w:rPr>
        <w:t xml:space="preserve">programmā, </w:t>
      </w:r>
      <w:r w:rsidRPr="0088758F">
        <w:rPr>
          <w:rFonts w:eastAsia="Calibri" w:cs="Times New Roman"/>
          <w:spacing w:val="-4"/>
          <w:sz w:val="28"/>
          <w:szCs w:val="28"/>
        </w:rPr>
        <w:t>ko Saeima pieņēma 2008.gada 12.decembrī un aktualizēja 2009.gada 16.jūnijā,</w:t>
      </w:r>
      <w:r w:rsidRPr="0088758F">
        <w:rPr>
          <w:rFonts w:eastAsia="Calibri" w:cs="Times New Roman"/>
          <w:bCs/>
          <w:sz w:val="28"/>
          <w:szCs w:val="28"/>
        </w:rPr>
        <w:t xml:space="preserve"> ir nosprausti galvenie valdības rīcības virzieni, </w:t>
      </w:r>
      <w:r w:rsidRPr="0088758F">
        <w:rPr>
          <w:rFonts w:eastAsia="Calibri" w:cs="Times New Roman"/>
          <w:sz w:val="28"/>
          <w:szCs w:val="28"/>
        </w:rPr>
        <w:t>lai stabilizētu un atdzīvinātu finanšu sistēmu, uzlabotu valsts pārvaldes efektivitāti, samazinot tās tēriņus.</w:t>
      </w: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 xml:space="preserve">Tomēr, lai Latvijas uzņēmēji būtu konkurētspējīgi atvērtos tirgos atsākoties globālai izaugsmei, ar šī brīža aktivitātēm ir par maz. Ekonomikas teorija un empīriskie pētījumi liecina, ka bez aktīvas struktūrpolitikas valstu nākotnes attīstība un labklājība nespēj izrauties no līdzšinējās tautsaimniecības struktūras uzliktajiem nosacījumiem. </w:t>
      </w: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 xml:space="preserve">Tāpēc Ekonomikas ministrija, kā papildinājumu </w:t>
      </w:r>
      <w:r w:rsidRPr="0088758F">
        <w:rPr>
          <w:rFonts w:eastAsia="Calibri" w:cs="Times New Roman"/>
          <w:i/>
          <w:sz w:val="28"/>
          <w:szCs w:val="28"/>
        </w:rPr>
        <w:t xml:space="preserve">Latvijas ekonomikas stabilizācijas un izaugsmes atjaunošanas </w:t>
      </w:r>
      <w:r w:rsidRPr="0088758F">
        <w:rPr>
          <w:rFonts w:eastAsia="Calibri" w:cs="Times New Roman"/>
          <w:i/>
          <w:spacing w:val="-4"/>
          <w:sz w:val="28"/>
          <w:szCs w:val="28"/>
        </w:rPr>
        <w:t>programmai,</w:t>
      </w:r>
      <w:r w:rsidRPr="0088758F">
        <w:rPr>
          <w:rFonts w:eastAsia="Calibri" w:cs="Times New Roman"/>
          <w:sz w:val="28"/>
          <w:szCs w:val="28"/>
        </w:rPr>
        <w:t xml:space="preserve"> ir izstrādājusi vidēja termiņa ekonomikas atveseļošanas plānu.</w:t>
      </w: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Ekonomikas atveseļošanas plāns par galvenajiem ekonomiskās politikas mērķiem 2015</w:t>
      </w:r>
      <w:r w:rsidR="00156DFE">
        <w:rPr>
          <w:rFonts w:eastAsia="Calibri" w:cs="Times New Roman"/>
          <w:sz w:val="28"/>
          <w:szCs w:val="28"/>
        </w:rPr>
        <w:t>.gad</w:t>
      </w:r>
      <w:r w:rsidRPr="0088758F">
        <w:rPr>
          <w:rFonts w:eastAsia="Calibri" w:cs="Times New Roman"/>
          <w:sz w:val="28"/>
          <w:szCs w:val="28"/>
        </w:rPr>
        <w:t>ā izvirza:</w:t>
      </w:r>
    </w:p>
    <w:p w:rsidR="00B801F2" w:rsidRPr="0088758F" w:rsidRDefault="00FA164D" w:rsidP="00B801F2">
      <w:pPr>
        <w:pStyle w:val="ListParagraph"/>
        <w:numPr>
          <w:ilvl w:val="0"/>
          <w:numId w:val="2"/>
        </w:numPr>
        <w:ind w:left="567" w:hanging="425"/>
        <w:contextualSpacing w:val="0"/>
        <w:jc w:val="both"/>
        <w:rPr>
          <w:rFonts w:eastAsia="Calibri" w:cs="Times New Roman"/>
          <w:sz w:val="28"/>
          <w:szCs w:val="28"/>
        </w:rPr>
      </w:pPr>
      <w:r w:rsidRPr="0088758F">
        <w:rPr>
          <w:rFonts w:cs="Times New Roman"/>
          <w:sz w:val="28"/>
          <w:szCs w:val="28"/>
        </w:rPr>
        <w:t>2013.–2015.gadā vidējais IKP pieauguma temps 5% gadā, saglabāta mērena inflācija, kā rezultātā perioda beigās IKP sasniedz 17 miljardus latu</w:t>
      </w:r>
      <w:r w:rsidR="00B801F2" w:rsidRPr="0088758F">
        <w:rPr>
          <w:rFonts w:eastAsia="Calibri" w:cs="Times New Roman"/>
          <w:sz w:val="28"/>
          <w:szCs w:val="28"/>
        </w:rPr>
        <w:t>;</w:t>
      </w:r>
    </w:p>
    <w:p w:rsidR="00B801F2" w:rsidRPr="0088758F" w:rsidRDefault="00B801F2" w:rsidP="00B801F2">
      <w:pPr>
        <w:pStyle w:val="ListParagraph"/>
        <w:numPr>
          <w:ilvl w:val="0"/>
          <w:numId w:val="2"/>
        </w:numPr>
        <w:ind w:left="567" w:hanging="425"/>
        <w:contextualSpacing w:val="0"/>
        <w:jc w:val="both"/>
        <w:rPr>
          <w:rFonts w:eastAsia="Calibri" w:cs="Times New Roman"/>
          <w:sz w:val="28"/>
          <w:szCs w:val="28"/>
        </w:rPr>
      </w:pPr>
      <w:r w:rsidRPr="0088758F">
        <w:rPr>
          <w:rFonts w:eastAsia="Calibri" w:cs="Times New Roman"/>
          <w:sz w:val="28"/>
          <w:szCs w:val="28"/>
        </w:rPr>
        <w:t>bezdarba līmenis mazāks par 8%;</w:t>
      </w:r>
    </w:p>
    <w:p w:rsidR="00B801F2" w:rsidRPr="0088758F" w:rsidRDefault="00B801F2" w:rsidP="00B801F2">
      <w:pPr>
        <w:pStyle w:val="ListParagraph"/>
        <w:numPr>
          <w:ilvl w:val="0"/>
          <w:numId w:val="2"/>
        </w:numPr>
        <w:ind w:left="567" w:hanging="425"/>
        <w:contextualSpacing w:val="0"/>
        <w:jc w:val="both"/>
        <w:rPr>
          <w:rFonts w:eastAsia="Calibri" w:cs="Times New Roman"/>
          <w:sz w:val="28"/>
          <w:szCs w:val="28"/>
        </w:rPr>
      </w:pPr>
      <w:r w:rsidRPr="0088758F">
        <w:rPr>
          <w:rFonts w:eastAsia="Calibri" w:cs="Times New Roman"/>
          <w:sz w:val="28"/>
          <w:szCs w:val="28"/>
        </w:rPr>
        <w:t xml:space="preserve">pētniecībai un attīstībai novirzīti līdzekļi 1,5% apmērā no IKP. </w:t>
      </w:r>
    </w:p>
    <w:p w:rsidR="00B801F2" w:rsidRPr="0088758F" w:rsidRDefault="00B801F2" w:rsidP="00B801F2">
      <w:pPr>
        <w:pStyle w:val="ListParagraph"/>
        <w:ind w:left="1287"/>
        <w:jc w:val="both"/>
        <w:rPr>
          <w:rFonts w:eastAsia="Calibri" w:cs="Times New Roman"/>
          <w:sz w:val="16"/>
          <w:szCs w:val="16"/>
        </w:rPr>
      </w:pP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Lai sasniegtu nospraustos mērķus ir jāveido apstākļi, kas palielinātu Latvijas uzņēmēju konkurētspēju atvērtos preču un pakalpojumu tirgos, kā arī jārada priekšnoteikumi zināšanu ietilpīgu produktu ražošanai, kas nodrošinās lielākus ienākumus nākotnē. Ierobežota budžeta apstākļos valsts atbalstam ir jābūt mērķtiecīgam un selektīvam.</w:t>
      </w:r>
    </w:p>
    <w:p w:rsidR="00B801F2" w:rsidRPr="00C12A78" w:rsidRDefault="00B801F2" w:rsidP="00B801F2">
      <w:pPr>
        <w:ind w:firstLine="567"/>
        <w:jc w:val="both"/>
        <w:rPr>
          <w:rFonts w:eastAsia="Calibri" w:cs="Times New Roman"/>
          <w:sz w:val="28"/>
          <w:szCs w:val="28"/>
        </w:rPr>
      </w:pPr>
      <w:r w:rsidRPr="0088758F">
        <w:rPr>
          <w:rFonts w:eastAsia="Calibri" w:cs="Times New Roman"/>
          <w:sz w:val="28"/>
          <w:szCs w:val="28"/>
        </w:rPr>
        <w:t xml:space="preserve">Ņemot to vērā, ekonomikas atveseļošanas plāns paredz valdības darbību </w:t>
      </w:r>
      <w:r w:rsidRPr="00C12A78">
        <w:rPr>
          <w:rFonts w:eastAsia="Calibri" w:cs="Times New Roman"/>
          <w:sz w:val="28"/>
          <w:szCs w:val="28"/>
        </w:rPr>
        <w:t>koncentrēt divos virzienos (un tiem būtu jākļūst par galvenajām ekonomiskās politikas prioritātēm):</w:t>
      </w:r>
    </w:p>
    <w:p w:rsidR="00B979D3" w:rsidRPr="00C12A78" w:rsidRDefault="00B979D3" w:rsidP="00B979D3">
      <w:pPr>
        <w:pStyle w:val="ListParagraph"/>
        <w:numPr>
          <w:ilvl w:val="0"/>
          <w:numId w:val="2"/>
        </w:numPr>
        <w:ind w:left="993" w:hanging="357"/>
        <w:contextualSpacing w:val="0"/>
        <w:jc w:val="both"/>
        <w:rPr>
          <w:rFonts w:cs="Times New Roman"/>
          <w:sz w:val="28"/>
          <w:szCs w:val="28"/>
        </w:rPr>
      </w:pPr>
      <w:r w:rsidRPr="00C12A78">
        <w:rPr>
          <w:rFonts w:cs="Times New Roman"/>
          <w:sz w:val="28"/>
          <w:szCs w:val="28"/>
        </w:rPr>
        <w:t>valsts atbalstam ir jābūt mērķtiecīgam un selektīvam;</w:t>
      </w:r>
    </w:p>
    <w:p w:rsidR="00B979D3" w:rsidRPr="00C12A78" w:rsidRDefault="00B979D3" w:rsidP="00B979D3">
      <w:pPr>
        <w:pStyle w:val="ListParagraph"/>
        <w:numPr>
          <w:ilvl w:val="0"/>
          <w:numId w:val="2"/>
        </w:numPr>
        <w:ind w:left="993" w:hanging="357"/>
        <w:contextualSpacing w:val="0"/>
        <w:jc w:val="both"/>
        <w:rPr>
          <w:rFonts w:cs="Times New Roman"/>
          <w:sz w:val="28"/>
          <w:szCs w:val="28"/>
        </w:rPr>
      </w:pPr>
      <w:r w:rsidRPr="00C12A78">
        <w:rPr>
          <w:rFonts w:cs="Times New Roman"/>
          <w:sz w:val="28"/>
          <w:szCs w:val="28"/>
        </w:rPr>
        <w:t>jāveicina konkurētspējai labvēlīga vide.</w:t>
      </w:r>
    </w:p>
    <w:p w:rsidR="00B801F2" w:rsidRPr="005549E2" w:rsidRDefault="00B801F2" w:rsidP="00B801F2">
      <w:pPr>
        <w:ind w:firstLine="567"/>
        <w:jc w:val="both"/>
        <w:rPr>
          <w:rFonts w:eastAsia="Calibri" w:cs="Times New Roman"/>
          <w:sz w:val="10"/>
          <w:szCs w:val="16"/>
        </w:rPr>
      </w:pP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Ņemot vērā nozaru attīstības potenciālu vidējā termiņā, ekonomikas paradigmas maiņu, nozares salīdzinošās priekšrocības, pieejamos cilvēkresursus un infrastruktūru, kā arī citus ietekmējošus faktorus, ir noteikti vairāki valst</w:t>
      </w:r>
      <w:r w:rsidR="00EA78C2">
        <w:rPr>
          <w:rFonts w:eastAsia="Calibri" w:cs="Times New Roman"/>
          <w:sz w:val="28"/>
          <w:szCs w:val="28"/>
        </w:rPr>
        <w:t>s atbalsta prioritārie segmenti:</w:t>
      </w:r>
    </w:p>
    <w:p w:rsidR="00B801F2" w:rsidRPr="003040B1" w:rsidRDefault="00B801F2" w:rsidP="00B979D3">
      <w:pPr>
        <w:pStyle w:val="ListParagraph"/>
        <w:numPr>
          <w:ilvl w:val="0"/>
          <w:numId w:val="14"/>
        </w:numPr>
        <w:spacing w:before="40" w:after="40"/>
        <w:ind w:left="567" w:hanging="425"/>
        <w:contextualSpacing w:val="0"/>
        <w:jc w:val="both"/>
        <w:rPr>
          <w:rFonts w:eastAsia="Calibri" w:cs="Times New Roman"/>
          <w:sz w:val="28"/>
          <w:szCs w:val="24"/>
        </w:rPr>
      </w:pPr>
      <w:r w:rsidRPr="003040B1">
        <w:rPr>
          <w:rFonts w:eastAsia="Calibri" w:cs="Times New Roman"/>
          <w:sz w:val="28"/>
          <w:szCs w:val="24"/>
        </w:rPr>
        <w:t xml:space="preserve">konkurētspējīgi uzņēmumi ar augstu izaugsmes </w:t>
      </w:r>
      <w:r w:rsidR="00EA78C2" w:rsidRPr="003040B1">
        <w:rPr>
          <w:rFonts w:eastAsia="Calibri" w:cs="Times New Roman"/>
          <w:sz w:val="28"/>
          <w:szCs w:val="24"/>
        </w:rPr>
        <w:t>un eksporta potenciālu;</w:t>
      </w:r>
    </w:p>
    <w:p w:rsidR="00B801F2" w:rsidRPr="003040B1" w:rsidRDefault="00B801F2" w:rsidP="00B979D3">
      <w:pPr>
        <w:pStyle w:val="ListParagraph"/>
        <w:numPr>
          <w:ilvl w:val="0"/>
          <w:numId w:val="14"/>
        </w:numPr>
        <w:spacing w:before="40" w:after="40"/>
        <w:ind w:left="567" w:hanging="425"/>
        <w:contextualSpacing w:val="0"/>
        <w:jc w:val="both"/>
        <w:rPr>
          <w:rFonts w:eastAsia="Calibri" w:cs="Times New Roman"/>
          <w:sz w:val="28"/>
          <w:szCs w:val="24"/>
        </w:rPr>
      </w:pPr>
      <w:r w:rsidRPr="003040B1">
        <w:rPr>
          <w:rFonts w:eastAsia="Calibri" w:cs="Times New Roman"/>
          <w:sz w:val="28"/>
          <w:szCs w:val="24"/>
        </w:rPr>
        <w:t xml:space="preserve">apstrādes rūpniecības nozares ar nozīmīgu ieguldījumu pievienotās vērtības un eksporta pieaugumā, kā arī ar augstu izaugsmes un eksporta potenciālu nākotnē; </w:t>
      </w:r>
    </w:p>
    <w:p w:rsidR="00B801F2" w:rsidRPr="003040B1" w:rsidRDefault="00B801F2" w:rsidP="00B979D3">
      <w:pPr>
        <w:pStyle w:val="ListParagraph"/>
        <w:numPr>
          <w:ilvl w:val="0"/>
          <w:numId w:val="14"/>
        </w:numPr>
        <w:spacing w:before="40" w:after="40"/>
        <w:ind w:left="567" w:hanging="425"/>
        <w:contextualSpacing w:val="0"/>
        <w:jc w:val="both"/>
        <w:rPr>
          <w:rFonts w:eastAsia="Calibri" w:cs="Times New Roman"/>
          <w:sz w:val="28"/>
          <w:szCs w:val="24"/>
        </w:rPr>
      </w:pPr>
      <w:r w:rsidRPr="003040B1">
        <w:rPr>
          <w:rFonts w:eastAsia="Calibri" w:cs="Times New Roman"/>
          <w:sz w:val="28"/>
          <w:szCs w:val="24"/>
        </w:rPr>
        <w:t>uz eksportu orientētas pakalpojumu nozares.</w:t>
      </w:r>
    </w:p>
    <w:p w:rsidR="00B801F2" w:rsidRPr="005549E2" w:rsidRDefault="00B801F2" w:rsidP="00B801F2">
      <w:pPr>
        <w:ind w:firstLine="567"/>
        <w:jc w:val="both"/>
        <w:rPr>
          <w:rFonts w:eastAsia="Calibri" w:cs="Times New Roman"/>
          <w:sz w:val="10"/>
          <w:szCs w:val="16"/>
        </w:rPr>
      </w:pP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Definētie prioritārie segmenti tiks atbalstīti ar nodokļu stimulu palīdzību (piemēram, UIN atlaides lielajiem investīciju pr</w:t>
      </w:r>
      <w:r w:rsidR="00EA78C2">
        <w:rPr>
          <w:rFonts w:eastAsia="Calibri" w:cs="Times New Roman"/>
          <w:sz w:val="28"/>
          <w:szCs w:val="28"/>
        </w:rPr>
        <w:t>ojektiem prioritārajās nozarēs). P</w:t>
      </w:r>
      <w:r w:rsidR="00EA78C2" w:rsidRPr="0088758F">
        <w:rPr>
          <w:rFonts w:eastAsia="Calibri" w:cs="Times New Roman"/>
          <w:sz w:val="28"/>
          <w:szCs w:val="28"/>
        </w:rPr>
        <w:t>rioritārajiem segmentiem</w:t>
      </w:r>
      <w:r w:rsidR="00EA78C2">
        <w:rPr>
          <w:rFonts w:eastAsia="Calibri" w:cs="Times New Roman"/>
          <w:sz w:val="28"/>
          <w:szCs w:val="28"/>
        </w:rPr>
        <w:t xml:space="preserve"> tiks novirzīta d</w:t>
      </w:r>
      <w:r w:rsidR="00B979D3">
        <w:rPr>
          <w:rFonts w:eastAsia="Calibri" w:cs="Times New Roman"/>
          <w:sz w:val="28"/>
          <w:szCs w:val="28"/>
        </w:rPr>
        <w:t>aļa</w:t>
      </w:r>
      <w:r w:rsidR="00156DFE">
        <w:rPr>
          <w:rFonts w:eastAsia="Calibri" w:cs="Times New Roman"/>
          <w:sz w:val="28"/>
          <w:szCs w:val="28"/>
        </w:rPr>
        <w:t xml:space="preserve"> </w:t>
      </w:r>
      <w:r w:rsidRPr="0088758F">
        <w:rPr>
          <w:rFonts w:eastAsia="Calibri" w:cs="Times New Roman"/>
          <w:sz w:val="28"/>
          <w:szCs w:val="28"/>
        </w:rPr>
        <w:t xml:space="preserve">ES struktūrfondu un finanšu atbalsta </w:t>
      </w:r>
      <w:r w:rsidRPr="0088758F">
        <w:rPr>
          <w:rFonts w:eastAsia="Calibri" w:cs="Times New Roman"/>
          <w:sz w:val="28"/>
          <w:szCs w:val="28"/>
        </w:rPr>
        <w:lastRenderedPageBreak/>
        <w:t>instrument</w:t>
      </w:r>
      <w:r w:rsidR="00EA78C2">
        <w:rPr>
          <w:rFonts w:eastAsia="Calibri" w:cs="Times New Roman"/>
          <w:sz w:val="28"/>
          <w:szCs w:val="28"/>
        </w:rPr>
        <w:t>u</w:t>
      </w:r>
      <w:r w:rsidRPr="0088758F">
        <w:rPr>
          <w:rFonts w:eastAsia="Calibri" w:cs="Times New Roman"/>
          <w:sz w:val="28"/>
          <w:szCs w:val="28"/>
        </w:rPr>
        <w:t>,</w:t>
      </w:r>
      <w:r w:rsidR="00EA78C2">
        <w:rPr>
          <w:rFonts w:eastAsia="Calibri" w:cs="Times New Roman"/>
          <w:sz w:val="28"/>
          <w:szCs w:val="28"/>
        </w:rPr>
        <w:t xml:space="preserve"> bet</w:t>
      </w:r>
      <w:r w:rsidRPr="0088758F">
        <w:rPr>
          <w:rFonts w:eastAsia="Calibri" w:cs="Times New Roman"/>
          <w:sz w:val="28"/>
          <w:szCs w:val="28"/>
        </w:rPr>
        <w:t xml:space="preserve"> izglītībā un zinātnē - sagatavot</w:t>
      </w:r>
      <w:r w:rsidR="00EA78C2">
        <w:rPr>
          <w:rFonts w:eastAsia="Calibri" w:cs="Times New Roman"/>
          <w:sz w:val="28"/>
          <w:szCs w:val="28"/>
        </w:rPr>
        <w:t>i</w:t>
      </w:r>
      <w:r w:rsidRPr="0088758F">
        <w:rPr>
          <w:rFonts w:eastAsia="Calibri" w:cs="Times New Roman"/>
          <w:sz w:val="28"/>
          <w:szCs w:val="28"/>
        </w:rPr>
        <w:t xml:space="preserve"> speciālist</w:t>
      </w:r>
      <w:r w:rsidR="00EA78C2">
        <w:rPr>
          <w:rFonts w:eastAsia="Calibri" w:cs="Times New Roman"/>
          <w:sz w:val="28"/>
          <w:szCs w:val="28"/>
        </w:rPr>
        <w:t>i,</w:t>
      </w:r>
      <w:r w:rsidR="00156DFE">
        <w:rPr>
          <w:rFonts w:eastAsia="Calibri" w:cs="Times New Roman"/>
          <w:sz w:val="28"/>
          <w:szCs w:val="28"/>
        </w:rPr>
        <w:t xml:space="preserve"> </w:t>
      </w:r>
      <w:r w:rsidR="00EA78C2" w:rsidRPr="0088758F">
        <w:rPr>
          <w:rFonts w:eastAsia="Calibri" w:cs="Times New Roman"/>
          <w:sz w:val="28"/>
          <w:szCs w:val="28"/>
        </w:rPr>
        <w:t>atbilstoši definētajām prioritārajām nozarēm</w:t>
      </w:r>
      <w:r w:rsidR="00EA78C2">
        <w:rPr>
          <w:rFonts w:eastAsia="Calibri" w:cs="Times New Roman"/>
          <w:sz w:val="28"/>
          <w:szCs w:val="28"/>
        </w:rPr>
        <w:t xml:space="preserve"> pasūtī</w:t>
      </w:r>
      <w:r w:rsidRPr="0088758F">
        <w:rPr>
          <w:rFonts w:eastAsia="Calibri" w:cs="Times New Roman"/>
          <w:sz w:val="28"/>
          <w:szCs w:val="28"/>
        </w:rPr>
        <w:t>t</w:t>
      </w:r>
      <w:r w:rsidR="00EA78C2">
        <w:rPr>
          <w:rFonts w:eastAsia="Calibri" w:cs="Times New Roman"/>
          <w:sz w:val="28"/>
          <w:szCs w:val="28"/>
        </w:rPr>
        <w:t>i</w:t>
      </w:r>
      <w:r w:rsidRPr="0088758F">
        <w:rPr>
          <w:rFonts w:eastAsia="Calibri" w:cs="Times New Roman"/>
          <w:sz w:val="28"/>
          <w:szCs w:val="28"/>
        </w:rPr>
        <w:t xml:space="preserve"> zinātnisk</w:t>
      </w:r>
      <w:r w:rsidR="00EA78C2">
        <w:rPr>
          <w:rFonts w:eastAsia="Calibri" w:cs="Times New Roman"/>
          <w:sz w:val="28"/>
          <w:szCs w:val="28"/>
        </w:rPr>
        <w:t>ie</w:t>
      </w:r>
      <w:r w:rsidRPr="0088758F">
        <w:rPr>
          <w:rFonts w:eastAsia="Calibri" w:cs="Times New Roman"/>
          <w:sz w:val="28"/>
          <w:szCs w:val="28"/>
        </w:rPr>
        <w:t xml:space="preserve"> pētījum</w:t>
      </w:r>
      <w:r w:rsidR="00B979D3">
        <w:rPr>
          <w:rFonts w:eastAsia="Calibri" w:cs="Times New Roman"/>
          <w:sz w:val="28"/>
          <w:szCs w:val="28"/>
        </w:rPr>
        <w:t>i</w:t>
      </w:r>
      <w:r w:rsidRPr="0088758F">
        <w:rPr>
          <w:rFonts w:eastAsia="Calibri" w:cs="Times New Roman"/>
          <w:sz w:val="28"/>
          <w:szCs w:val="28"/>
        </w:rPr>
        <w:t xml:space="preserve"> u.c. </w:t>
      </w: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Valsts atbalsts prioritāro segmentu attīstībai veicinās tautsaimniecības pārstrukturēšanos uz ienesīgākām ražošanas nozarēm, un pāreju no zemo tehnoloģiju un lētā darbaspēka izmantošanas modeļa uz zināšanām un inovācijām balstītu modeli.</w:t>
      </w: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 xml:space="preserve">Latvijas konkurētspējas vājās pozīcijas globālajos tirgos parāda </w:t>
      </w:r>
      <w:r w:rsidRPr="0088758F">
        <w:rPr>
          <w:rFonts w:eastAsia="Calibri" w:cs="Times New Roman"/>
          <w:i/>
          <w:sz w:val="28"/>
          <w:szCs w:val="28"/>
        </w:rPr>
        <w:t xml:space="preserve">Globālās konkurētspējas indeksa reitings </w:t>
      </w:r>
      <w:r w:rsidRPr="0088758F">
        <w:rPr>
          <w:rFonts w:eastAsia="Calibri" w:cs="Times New Roman"/>
          <w:sz w:val="28"/>
          <w:szCs w:val="28"/>
        </w:rPr>
        <w:t>un Pasaules bankas veidotais uzņēmējdarbības vides reitings. Tieši šo reitingā atspoguļoto vājo vietu pārvarēšanai ir jākļūst par Latvijas vienām no galvenajām prioritātēm ekonomikas</w:t>
      </w:r>
      <w:r w:rsidR="00EA78C2">
        <w:rPr>
          <w:rFonts w:eastAsia="Calibri" w:cs="Times New Roman"/>
          <w:sz w:val="28"/>
          <w:szCs w:val="28"/>
        </w:rPr>
        <w:t xml:space="preserve"> politikas</w:t>
      </w:r>
      <w:r w:rsidRPr="0088758F">
        <w:rPr>
          <w:rFonts w:eastAsia="Calibri" w:cs="Times New Roman"/>
          <w:sz w:val="28"/>
          <w:szCs w:val="28"/>
        </w:rPr>
        <w:t xml:space="preserve"> jomā. </w:t>
      </w:r>
    </w:p>
    <w:p w:rsidR="00B801F2" w:rsidRPr="0088758F" w:rsidRDefault="00B801F2" w:rsidP="00B801F2">
      <w:pPr>
        <w:ind w:firstLine="567"/>
        <w:jc w:val="both"/>
        <w:rPr>
          <w:rFonts w:eastAsia="Calibri" w:cs="Times New Roman"/>
          <w:sz w:val="28"/>
        </w:rPr>
      </w:pPr>
      <w:r w:rsidRPr="0088758F">
        <w:rPr>
          <w:rFonts w:eastAsia="Calibri" w:cs="Times New Roman"/>
          <w:sz w:val="28"/>
          <w:szCs w:val="28"/>
        </w:rPr>
        <w:t xml:space="preserve">Ekonomikas atveseļošanas plāns, lai uzlabotu uzņēmējdarbības vidi un arī </w:t>
      </w:r>
      <w:r w:rsidR="00EA78C2">
        <w:rPr>
          <w:rFonts w:eastAsia="Calibri" w:cs="Times New Roman"/>
          <w:sz w:val="28"/>
          <w:szCs w:val="28"/>
        </w:rPr>
        <w:t xml:space="preserve">Latvijas pozīciju </w:t>
      </w:r>
      <w:r w:rsidRPr="0088758F">
        <w:rPr>
          <w:rFonts w:eastAsia="Calibri" w:cs="Times New Roman"/>
          <w:sz w:val="28"/>
          <w:szCs w:val="28"/>
        </w:rPr>
        <w:t>augstāk minētajos reitingos</w:t>
      </w:r>
      <w:r w:rsidR="00EA78C2">
        <w:rPr>
          <w:rFonts w:eastAsia="Calibri" w:cs="Times New Roman"/>
          <w:sz w:val="28"/>
          <w:szCs w:val="28"/>
        </w:rPr>
        <w:t>,</w:t>
      </w:r>
      <w:r w:rsidRPr="0088758F">
        <w:rPr>
          <w:rFonts w:eastAsia="Calibri" w:cs="Times New Roman"/>
          <w:sz w:val="28"/>
          <w:szCs w:val="28"/>
        </w:rPr>
        <w:t xml:space="preserve"> definē konkrētus mērķus un to sasniegšanai veicamos pasākumus. Tā, Latvijā kā kvantitatīvo mērķi uzņēmējdarbības vides pilnveidē izvirza</w:t>
      </w:r>
      <w:r w:rsidR="00EA78C2">
        <w:rPr>
          <w:rFonts w:eastAsia="Calibri" w:cs="Times New Roman"/>
          <w:sz w:val="28"/>
          <w:szCs w:val="28"/>
        </w:rPr>
        <w:t xml:space="preserve"> –</w:t>
      </w:r>
      <w:r w:rsidRPr="0088758F">
        <w:rPr>
          <w:rFonts w:eastAsia="Calibri" w:cs="Times New Roman"/>
          <w:sz w:val="28"/>
          <w:szCs w:val="28"/>
        </w:rPr>
        <w:t xml:space="preserve"> 20.viet</w:t>
      </w:r>
      <w:r w:rsidR="00EA78C2">
        <w:rPr>
          <w:rFonts w:eastAsia="Calibri" w:cs="Times New Roman"/>
          <w:sz w:val="28"/>
          <w:szCs w:val="28"/>
        </w:rPr>
        <w:t>u</w:t>
      </w:r>
      <w:r w:rsidRPr="0088758F">
        <w:rPr>
          <w:rFonts w:eastAsia="Calibri" w:cs="Times New Roman"/>
          <w:sz w:val="28"/>
          <w:szCs w:val="28"/>
        </w:rPr>
        <w:t xml:space="preserve"> Pasaules Bankas </w:t>
      </w:r>
      <w:r w:rsidRPr="00BF007D">
        <w:rPr>
          <w:rFonts w:eastAsia="Calibri" w:cs="Times New Roman"/>
          <w:i/>
          <w:sz w:val="28"/>
          <w:szCs w:val="28"/>
        </w:rPr>
        <w:t>Doing Business</w:t>
      </w:r>
      <w:r w:rsidRPr="0088758F">
        <w:rPr>
          <w:rFonts w:eastAsia="Calibri" w:cs="Times New Roman"/>
          <w:sz w:val="28"/>
          <w:szCs w:val="28"/>
        </w:rPr>
        <w:t xml:space="preserve"> indeksā 2015.gadā (jaunākajā pētījumā Latvija ir šobrīd 27.vietā).</w:t>
      </w:r>
    </w:p>
    <w:p w:rsidR="001A671F" w:rsidRPr="0088758F" w:rsidRDefault="001A671F" w:rsidP="001A671F">
      <w:pPr>
        <w:ind w:firstLine="567"/>
        <w:jc w:val="both"/>
        <w:rPr>
          <w:rFonts w:eastAsia="Calibri" w:cs="Times New Roman"/>
          <w:sz w:val="16"/>
          <w:szCs w:val="16"/>
        </w:rPr>
      </w:pP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Lai Latvijas vide kļūtu konkurētspējīgāka, plānā ir izvirzīti konkrēti mērķi un to sasniegšanai īstenojamie pasākumi, tādās jomās kā:</w:t>
      </w:r>
    </w:p>
    <w:p w:rsidR="00B801F2" w:rsidRPr="0088758F" w:rsidRDefault="00B801F2" w:rsidP="00B801F2">
      <w:pPr>
        <w:numPr>
          <w:ilvl w:val="0"/>
          <w:numId w:val="15"/>
        </w:numPr>
        <w:jc w:val="both"/>
        <w:rPr>
          <w:rFonts w:eastAsia="Calibri" w:cs="Times New Roman"/>
          <w:sz w:val="28"/>
          <w:szCs w:val="28"/>
        </w:rPr>
      </w:pPr>
      <w:r w:rsidRPr="0088758F">
        <w:rPr>
          <w:rFonts w:eastAsia="Calibri" w:cs="Times New Roman"/>
          <w:sz w:val="28"/>
          <w:szCs w:val="28"/>
        </w:rPr>
        <w:t>nodokļu politika;</w:t>
      </w:r>
    </w:p>
    <w:p w:rsidR="00B801F2" w:rsidRPr="0088758F" w:rsidRDefault="00B801F2" w:rsidP="00B801F2">
      <w:pPr>
        <w:numPr>
          <w:ilvl w:val="0"/>
          <w:numId w:val="15"/>
        </w:numPr>
        <w:jc w:val="both"/>
        <w:rPr>
          <w:rFonts w:eastAsia="Calibri" w:cs="Times New Roman"/>
          <w:sz w:val="28"/>
          <w:szCs w:val="28"/>
        </w:rPr>
      </w:pPr>
      <w:r w:rsidRPr="0088758F">
        <w:rPr>
          <w:rFonts w:eastAsia="Calibri" w:cs="Times New Roman"/>
          <w:sz w:val="28"/>
          <w:szCs w:val="28"/>
        </w:rPr>
        <w:t>administratīvā sloga mazināšana;</w:t>
      </w:r>
    </w:p>
    <w:p w:rsidR="00B801F2" w:rsidRPr="0088758F" w:rsidRDefault="00B801F2" w:rsidP="00B801F2">
      <w:pPr>
        <w:numPr>
          <w:ilvl w:val="0"/>
          <w:numId w:val="15"/>
        </w:numPr>
        <w:jc w:val="both"/>
        <w:rPr>
          <w:rFonts w:eastAsia="Calibri" w:cs="Times New Roman"/>
          <w:sz w:val="28"/>
          <w:szCs w:val="28"/>
        </w:rPr>
      </w:pPr>
      <w:r w:rsidRPr="0088758F">
        <w:rPr>
          <w:rFonts w:eastAsia="Calibri" w:cs="Times New Roman"/>
          <w:sz w:val="28"/>
          <w:szCs w:val="28"/>
        </w:rPr>
        <w:t>mikro uzņēmumu atbalsta pasākumi;</w:t>
      </w:r>
    </w:p>
    <w:p w:rsidR="00B801F2" w:rsidRPr="0088758F" w:rsidRDefault="00B801F2" w:rsidP="00B801F2">
      <w:pPr>
        <w:numPr>
          <w:ilvl w:val="0"/>
          <w:numId w:val="15"/>
        </w:numPr>
        <w:jc w:val="both"/>
        <w:rPr>
          <w:rFonts w:eastAsia="Calibri" w:cs="Times New Roman"/>
          <w:sz w:val="28"/>
          <w:szCs w:val="28"/>
        </w:rPr>
      </w:pPr>
      <w:r w:rsidRPr="0088758F">
        <w:rPr>
          <w:rFonts w:eastAsia="Calibri" w:cs="Times New Roman"/>
          <w:sz w:val="28"/>
          <w:szCs w:val="28"/>
        </w:rPr>
        <w:t>inovāciju veicināšana;</w:t>
      </w:r>
    </w:p>
    <w:p w:rsidR="00B801F2" w:rsidRPr="0088758F" w:rsidRDefault="00B801F2" w:rsidP="00B801F2">
      <w:pPr>
        <w:numPr>
          <w:ilvl w:val="0"/>
          <w:numId w:val="15"/>
        </w:numPr>
        <w:jc w:val="both"/>
        <w:rPr>
          <w:rFonts w:eastAsia="Calibri" w:cs="Times New Roman"/>
          <w:sz w:val="28"/>
          <w:szCs w:val="28"/>
        </w:rPr>
      </w:pPr>
      <w:r w:rsidRPr="0088758F">
        <w:rPr>
          <w:rFonts w:eastAsia="Calibri" w:cs="Times New Roman"/>
          <w:sz w:val="28"/>
          <w:szCs w:val="28"/>
        </w:rPr>
        <w:t>finanšu instrumenti uzņēmējdarbības atbalstam;</w:t>
      </w:r>
    </w:p>
    <w:p w:rsidR="00B801F2" w:rsidRDefault="00B801F2" w:rsidP="00B801F2">
      <w:pPr>
        <w:numPr>
          <w:ilvl w:val="0"/>
          <w:numId w:val="15"/>
        </w:numPr>
        <w:jc w:val="both"/>
        <w:rPr>
          <w:rFonts w:eastAsia="Calibri" w:cs="Times New Roman"/>
          <w:sz w:val="28"/>
          <w:szCs w:val="28"/>
        </w:rPr>
      </w:pPr>
      <w:r w:rsidRPr="0088758F">
        <w:rPr>
          <w:rFonts w:eastAsia="Calibri" w:cs="Times New Roman"/>
          <w:sz w:val="28"/>
          <w:szCs w:val="28"/>
        </w:rPr>
        <w:t>preču un pakalpojumu eksporta stimulēšana;</w:t>
      </w:r>
    </w:p>
    <w:p w:rsidR="0046513D" w:rsidRPr="0088758F" w:rsidRDefault="0046513D" w:rsidP="00B801F2">
      <w:pPr>
        <w:numPr>
          <w:ilvl w:val="0"/>
          <w:numId w:val="15"/>
        </w:numPr>
        <w:jc w:val="both"/>
        <w:rPr>
          <w:rFonts w:eastAsia="Calibri" w:cs="Times New Roman"/>
          <w:sz w:val="28"/>
          <w:szCs w:val="28"/>
        </w:rPr>
      </w:pPr>
      <w:r>
        <w:rPr>
          <w:rFonts w:cs="Times New Roman"/>
          <w:sz w:val="28"/>
          <w:szCs w:val="28"/>
        </w:rPr>
        <w:t>p</w:t>
      </w:r>
      <w:r w:rsidRPr="005169CF">
        <w:rPr>
          <w:rFonts w:cs="Times New Roman"/>
          <w:sz w:val="28"/>
          <w:szCs w:val="28"/>
        </w:rPr>
        <w:t>ubliskās un privātās partnerības projektu īstenošana</w:t>
      </w:r>
    </w:p>
    <w:p w:rsidR="00B801F2" w:rsidRPr="0088758F" w:rsidRDefault="00B801F2" w:rsidP="00B801F2">
      <w:pPr>
        <w:numPr>
          <w:ilvl w:val="0"/>
          <w:numId w:val="15"/>
        </w:numPr>
        <w:jc w:val="both"/>
        <w:rPr>
          <w:rFonts w:eastAsia="Calibri" w:cs="Times New Roman"/>
          <w:sz w:val="28"/>
          <w:szCs w:val="28"/>
        </w:rPr>
      </w:pPr>
      <w:r w:rsidRPr="0088758F">
        <w:rPr>
          <w:rFonts w:eastAsia="Calibri" w:cs="Times New Roman"/>
          <w:sz w:val="28"/>
          <w:szCs w:val="28"/>
        </w:rPr>
        <w:t>apmācības, tai skaitā atbalsts uzņēmējdarbības uzsācējiem;</w:t>
      </w:r>
    </w:p>
    <w:p w:rsidR="00B801F2" w:rsidRPr="0088758F" w:rsidRDefault="00B801F2" w:rsidP="00B801F2">
      <w:pPr>
        <w:numPr>
          <w:ilvl w:val="0"/>
          <w:numId w:val="15"/>
        </w:numPr>
        <w:jc w:val="both"/>
        <w:rPr>
          <w:rFonts w:eastAsia="Calibri" w:cs="Times New Roman"/>
          <w:sz w:val="28"/>
          <w:szCs w:val="28"/>
        </w:rPr>
      </w:pPr>
      <w:r w:rsidRPr="0088758F">
        <w:rPr>
          <w:rFonts w:eastAsia="Calibri" w:cs="Times New Roman"/>
          <w:sz w:val="28"/>
          <w:szCs w:val="28"/>
        </w:rPr>
        <w:t>izglītības un zinātnes politika.</w:t>
      </w:r>
    </w:p>
    <w:p w:rsidR="001A671F" w:rsidRPr="00F43850" w:rsidRDefault="001A671F" w:rsidP="001A671F">
      <w:pPr>
        <w:pStyle w:val="ListParagraph"/>
        <w:ind w:left="927"/>
        <w:jc w:val="both"/>
        <w:rPr>
          <w:rFonts w:eastAsia="Calibri" w:cs="Times New Roman"/>
          <w:sz w:val="14"/>
          <w:szCs w:val="16"/>
        </w:rPr>
      </w:pPr>
    </w:p>
    <w:p w:rsidR="00B801F2" w:rsidRPr="0088758F" w:rsidRDefault="00B801F2" w:rsidP="00B801F2">
      <w:pPr>
        <w:ind w:firstLine="567"/>
        <w:jc w:val="both"/>
        <w:rPr>
          <w:rFonts w:eastAsia="Calibri" w:cs="Times New Roman"/>
          <w:sz w:val="28"/>
          <w:szCs w:val="28"/>
        </w:rPr>
      </w:pPr>
      <w:r w:rsidRPr="00DE6B78">
        <w:rPr>
          <w:rFonts w:eastAsia="Calibri" w:cs="Times New Roman"/>
          <w:sz w:val="28"/>
          <w:szCs w:val="28"/>
        </w:rPr>
        <w:t>Daudzus n</w:t>
      </w:r>
      <w:r w:rsidR="00B40B1E">
        <w:rPr>
          <w:rFonts w:eastAsia="Calibri" w:cs="Times New Roman"/>
          <w:sz w:val="28"/>
          <w:szCs w:val="28"/>
        </w:rPr>
        <w:t>o ekonomikas atveseļošanas plānā</w:t>
      </w:r>
      <w:r w:rsidRPr="00DE6B78">
        <w:rPr>
          <w:rFonts w:eastAsia="Calibri" w:cs="Times New Roman"/>
          <w:sz w:val="28"/>
          <w:szCs w:val="28"/>
        </w:rPr>
        <w:t xml:space="preserve"> iekļautajiem pasākumiem, Ekonomikas ministrija ir jau iesniegusi izvērtēšanai </w:t>
      </w:r>
      <w:r w:rsidR="002E6A9A" w:rsidRPr="00DE6B78">
        <w:rPr>
          <w:rFonts w:eastAsia="Calibri" w:cs="Times New Roman"/>
          <w:sz w:val="28"/>
          <w:szCs w:val="28"/>
        </w:rPr>
        <w:t>MK</w:t>
      </w:r>
      <w:r w:rsidRPr="00DE6B78">
        <w:rPr>
          <w:rFonts w:eastAsia="Calibri" w:cs="Times New Roman"/>
          <w:sz w:val="28"/>
          <w:szCs w:val="28"/>
        </w:rPr>
        <w:t xml:space="preserve">. Tā, </w:t>
      </w:r>
      <w:r w:rsidR="00EA78C2" w:rsidRPr="00DE6B78">
        <w:rPr>
          <w:rFonts w:eastAsia="Calibri" w:cs="Times New Roman"/>
          <w:sz w:val="28"/>
          <w:szCs w:val="28"/>
        </w:rPr>
        <w:t>2009.gada 15.septembra MK sēdē</w:t>
      </w:r>
      <w:r w:rsidR="00EA78C2" w:rsidRPr="00DE6B78">
        <w:rPr>
          <w:rFonts w:eastAsia="Calibri" w:cs="Times New Roman"/>
          <w:i/>
          <w:sz w:val="28"/>
          <w:szCs w:val="28"/>
        </w:rPr>
        <w:t xml:space="preserve"> </w:t>
      </w:r>
      <w:r w:rsidR="00EA78C2" w:rsidRPr="00DE6B78">
        <w:rPr>
          <w:rFonts w:eastAsia="Calibri" w:cs="Times New Roman"/>
          <w:sz w:val="28"/>
          <w:szCs w:val="28"/>
        </w:rPr>
        <w:t xml:space="preserve">tika konceptuāli atbalstīts </w:t>
      </w:r>
      <w:r w:rsidRPr="00DE6B78">
        <w:rPr>
          <w:rFonts w:eastAsia="Calibri" w:cs="Times New Roman"/>
          <w:i/>
          <w:sz w:val="28"/>
          <w:szCs w:val="28"/>
        </w:rPr>
        <w:t>Informatīvais ziņojums par nodokļu politikas pārskatīšanu ekonomikas stimulēšanai</w:t>
      </w:r>
      <w:r w:rsidR="00B40B1E">
        <w:rPr>
          <w:rFonts w:eastAsia="Calibri" w:cs="Times New Roman"/>
          <w:sz w:val="28"/>
          <w:szCs w:val="28"/>
        </w:rPr>
        <w:t>.</w:t>
      </w:r>
      <w:r w:rsidR="00DE6B78" w:rsidRPr="00DE6B78">
        <w:rPr>
          <w:rFonts w:eastAsia="Calibri" w:cs="Times New Roman"/>
          <w:sz w:val="28"/>
          <w:szCs w:val="28"/>
        </w:rPr>
        <w:t xml:space="preserve"> MK</w:t>
      </w:r>
      <w:r w:rsidR="00DE6B78" w:rsidRPr="00DE6B78">
        <w:rPr>
          <w:rFonts w:eastAsia="Calibri"/>
          <w:sz w:val="28"/>
          <w:szCs w:val="28"/>
        </w:rPr>
        <w:t xml:space="preserve"> sēdes proto</w:t>
      </w:r>
      <w:r w:rsidR="00B40B1E">
        <w:rPr>
          <w:rFonts w:eastAsia="Calibri"/>
          <w:sz w:val="28"/>
          <w:szCs w:val="28"/>
        </w:rPr>
        <w:t>ko</w:t>
      </w:r>
      <w:r w:rsidR="00DE6B78" w:rsidRPr="00DE6B78">
        <w:rPr>
          <w:rFonts w:eastAsia="Calibri"/>
          <w:sz w:val="28"/>
          <w:szCs w:val="28"/>
        </w:rPr>
        <w:t xml:space="preserve">llēmuma projekts </w:t>
      </w:r>
      <w:r w:rsidR="00DE6B78" w:rsidRPr="00B40B1E">
        <w:rPr>
          <w:i/>
          <w:sz w:val="28"/>
        </w:rPr>
        <w:t>„Par veicamajiem pasākumiem nodokļu politikas pārskatīšanai ekonomikas stimulēšana</w:t>
      </w:r>
      <w:r w:rsidR="00B40B1E">
        <w:rPr>
          <w:i/>
          <w:sz w:val="28"/>
        </w:rPr>
        <w:t>i</w:t>
      </w:r>
      <w:r w:rsidR="00DE6B78" w:rsidRPr="00B40B1E">
        <w:rPr>
          <w:i/>
          <w:sz w:val="28"/>
        </w:rPr>
        <w:t>”</w:t>
      </w:r>
      <w:r w:rsidR="00DE6B78" w:rsidRPr="00B40B1E">
        <w:rPr>
          <w:sz w:val="32"/>
          <w:szCs w:val="28"/>
        </w:rPr>
        <w:t xml:space="preserve"> </w:t>
      </w:r>
      <w:r w:rsidR="00DE6B78" w:rsidRPr="00DE6B78">
        <w:rPr>
          <w:sz w:val="28"/>
          <w:szCs w:val="28"/>
        </w:rPr>
        <w:t xml:space="preserve">tika pieņemts MK 29.septembra sēdē. </w:t>
      </w:r>
      <w:r w:rsidR="00B40B1E">
        <w:rPr>
          <w:sz w:val="28"/>
          <w:szCs w:val="28"/>
        </w:rPr>
        <w:t>Tāpat i</w:t>
      </w:r>
      <w:r w:rsidR="00DE6B78" w:rsidRPr="00DE6B78">
        <w:rPr>
          <w:sz w:val="28"/>
          <w:szCs w:val="28"/>
        </w:rPr>
        <w:t xml:space="preserve">r </w:t>
      </w:r>
      <w:r w:rsidR="00EA78C2" w:rsidRPr="00DE6B78">
        <w:rPr>
          <w:rFonts w:eastAsia="Calibri" w:cs="Times New Roman"/>
          <w:sz w:val="28"/>
          <w:szCs w:val="28"/>
        </w:rPr>
        <w:t xml:space="preserve">izskatīta un atbalstīta </w:t>
      </w:r>
      <w:r w:rsidRPr="00DE6B78">
        <w:rPr>
          <w:rFonts w:eastAsia="Calibri" w:cs="Times New Roman"/>
          <w:i/>
          <w:sz w:val="28"/>
          <w:szCs w:val="28"/>
        </w:rPr>
        <w:t>Koncepcija par mikro uzņēmumu atbalsta pasākumiem</w:t>
      </w:r>
      <w:r w:rsidRPr="00DE6B78">
        <w:rPr>
          <w:rFonts w:eastAsia="Calibri" w:cs="Times New Roman"/>
          <w:sz w:val="28"/>
          <w:szCs w:val="28"/>
        </w:rPr>
        <w:t>.</w:t>
      </w:r>
    </w:p>
    <w:p w:rsidR="00B801F2" w:rsidRPr="0088758F" w:rsidRDefault="00B801F2" w:rsidP="00B801F2">
      <w:pPr>
        <w:ind w:firstLine="567"/>
        <w:jc w:val="both"/>
        <w:rPr>
          <w:rFonts w:eastAsia="Calibri" w:cs="Times New Roman"/>
          <w:sz w:val="28"/>
          <w:szCs w:val="28"/>
        </w:rPr>
      </w:pPr>
      <w:r w:rsidRPr="0088758F">
        <w:rPr>
          <w:rFonts w:eastAsia="Calibri" w:cs="Times New Roman"/>
          <w:sz w:val="28"/>
          <w:szCs w:val="28"/>
        </w:rPr>
        <w:t>Lai uzlabotu uzņēmējdarbības vidi, notiek regulārs darbs a</w:t>
      </w:r>
      <w:r w:rsidR="00EA78C2">
        <w:rPr>
          <w:rFonts w:eastAsia="Calibri" w:cs="Times New Roman"/>
          <w:sz w:val="28"/>
          <w:szCs w:val="28"/>
        </w:rPr>
        <w:t>dministratīva sloga samazināšanas jomā</w:t>
      </w:r>
      <w:r w:rsidRPr="0088758F">
        <w:rPr>
          <w:rFonts w:eastAsia="Calibri" w:cs="Times New Roman"/>
          <w:sz w:val="28"/>
          <w:szCs w:val="28"/>
        </w:rPr>
        <w:t>, jo īpaši maziem un vidējiem uzņēmumiem, vienkāršojot nodokļu administrēšanas, nekustamā īpašuma reģistrēšanas, būvniecīb</w:t>
      </w:r>
      <w:r w:rsidR="0046513D">
        <w:rPr>
          <w:rFonts w:eastAsia="Calibri" w:cs="Times New Roman"/>
          <w:sz w:val="28"/>
          <w:szCs w:val="28"/>
        </w:rPr>
        <w:t xml:space="preserve">as atļauju saņemšanas procesus </w:t>
      </w:r>
      <w:r w:rsidRPr="0088758F">
        <w:rPr>
          <w:rFonts w:eastAsia="Calibri" w:cs="Times New Roman"/>
          <w:sz w:val="28"/>
          <w:szCs w:val="28"/>
        </w:rPr>
        <w:t xml:space="preserve">u.c. Latvijā uzņēmējdarbības vide tiek pilnveidota ar </w:t>
      </w:r>
      <w:r w:rsidRPr="0088758F">
        <w:rPr>
          <w:rFonts w:eastAsia="Calibri" w:cs="Times New Roman"/>
          <w:i/>
          <w:sz w:val="28"/>
          <w:szCs w:val="28"/>
        </w:rPr>
        <w:t>Uzņēmējdarbības vides uzlabošanas pasākumu plān</w:t>
      </w:r>
      <w:r w:rsidR="00B40B1E">
        <w:rPr>
          <w:rFonts w:eastAsia="Calibri" w:cs="Times New Roman"/>
          <w:i/>
          <w:sz w:val="28"/>
          <w:szCs w:val="28"/>
        </w:rPr>
        <w:t>a</w:t>
      </w:r>
      <w:r w:rsidRPr="0088758F">
        <w:rPr>
          <w:rFonts w:eastAsia="Calibri" w:cs="Times New Roman"/>
          <w:i/>
          <w:sz w:val="28"/>
          <w:szCs w:val="28"/>
        </w:rPr>
        <w:t xml:space="preserve"> </w:t>
      </w:r>
      <w:r w:rsidRPr="0088758F">
        <w:rPr>
          <w:rFonts w:eastAsia="Calibri" w:cs="Times New Roman"/>
          <w:sz w:val="28"/>
          <w:szCs w:val="28"/>
        </w:rPr>
        <w:t>palīdzību, kas tiek izstrādāts katru gadu.</w:t>
      </w:r>
    </w:p>
    <w:p w:rsidR="002E6A9A" w:rsidRPr="00F43850" w:rsidRDefault="002E6A9A" w:rsidP="00B801F2">
      <w:pPr>
        <w:ind w:firstLine="567"/>
        <w:jc w:val="both"/>
        <w:rPr>
          <w:rFonts w:eastAsia="Calibri" w:cs="Times New Roman"/>
          <w:sz w:val="12"/>
        </w:rPr>
      </w:pPr>
    </w:p>
    <w:p w:rsidR="009F60E4" w:rsidRPr="00374A0E" w:rsidRDefault="00B801F2" w:rsidP="009F60E4">
      <w:pPr>
        <w:ind w:firstLine="567"/>
        <w:jc w:val="both"/>
        <w:rPr>
          <w:sz w:val="28"/>
          <w:szCs w:val="28"/>
        </w:rPr>
      </w:pPr>
      <w:r w:rsidRPr="0088758F">
        <w:rPr>
          <w:rFonts w:eastAsia="Calibri" w:cs="Times New Roman"/>
          <w:sz w:val="28"/>
        </w:rPr>
        <w:t xml:space="preserve">ES finansējums tiešā uzņēmējdarbības atbalsta sniegšanai ir izmantots jau </w:t>
      </w:r>
      <w:r w:rsidR="002E6A9A">
        <w:rPr>
          <w:rFonts w:eastAsia="Calibri" w:cs="Times New Roman"/>
          <w:sz w:val="28"/>
        </w:rPr>
        <w:t xml:space="preserve">vairāk kā </w:t>
      </w:r>
      <w:r w:rsidRPr="0088758F">
        <w:rPr>
          <w:rFonts w:eastAsia="Calibri" w:cs="Times New Roman"/>
          <w:sz w:val="28"/>
        </w:rPr>
        <w:t>65%</w:t>
      </w:r>
      <w:r w:rsidR="002E6A9A">
        <w:rPr>
          <w:rFonts w:eastAsia="Calibri" w:cs="Times New Roman"/>
          <w:sz w:val="28"/>
        </w:rPr>
        <w:t xml:space="preserve"> apmērā</w:t>
      </w:r>
      <w:r w:rsidRPr="0088758F">
        <w:rPr>
          <w:rFonts w:eastAsia="Calibri" w:cs="Times New Roman"/>
          <w:sz w:val="28"/>
        </w:rPr>
        <w:t xml:space="preserve">. </w:t>
      </w:r>
      <w:r w:rsidR="009F60E4">
        <w:rPr>
          <w:rFonts w:eastAsia="Calibri" w:cs="Times New Roman"/>
          <w:sz w:val="28"/>
        </w:rPr>
        <w:t>Taču k</w:t>
      </w:r>
      <w:r w:rsidR="009F60E4">
        <w:rPr>
          <w:sz w:val="28"/>
          <w:szCs w:val="28"/>
        </w:rPr>
        <w:t>omercb</w:t>
      </w:r>
      <w:r w:rsidR="009F60E4" w:rsidRPr="00374A0E">
        <w:rPr>
          <w:sz w:val="28"/>
          <w:szCs w:val="28"/>
        </w:rPr>
        <w:t>anku finansējums tautsaimniecības kreditēšanai tuvākaj</w:t>
      </w:r>
      <w:r w:rsidR="009F60E4">
        <w:rPr>
          <w:sz w:val="28"/>
          <w:szCs w:val="28"/>
        </w:rPr>
        <w:t xml:space="preserve">ā laikā </w:t>
      </w:r>
      <w:r w:rsidR="009F60E4" w:rsidRPr="00374A0E">
        <w:rPr>
          <w:sz w:val="28"/>
          <w:szCs w:val="28"/>
        </w:rPr>
        <w:t>būs ļoti ierobežots, ņemot vērā negatīvās izmaiņas banku kredītportfeļu kvalitātē un no tā izrietošo izsniegto kredītu atlikumu samazināšanos.</w:t>
      </w:r>
      <w:r w:rsidR="009F60E4">
        <w:rPr>
          <w:sz w:val="28"/>
          <w:szCs w:val="28"/>
        </w:rPr>
        <w:t xml:space="preserve"> </w:t>
      </w:r>
      <w:r w:rsidR="009F60E4" w:rsidRPr="00374A0E">
        <w:rPr>
          <w:sz w:val="28"/>
          <w:szCs w:val="28"/>
        </w:rPr>
        <w:t xml:space="preserve">Minētā </w:t>
      </w:r>
      <w:r w:rsidR="009F60E4" w:rsidRPr="00374A0E">
        <w:rPr>
          <w:sz w:val="28"/>
          <w:szCs w:val="28"/>
        </w:rPr>
        <w:lastRenderedPageBreak/>
        <w:t>tendence negatīvi ietekmēs nepieciešamo tautsaimniecības konkurētspējas atjaunošanos īstermiņā un restrukturizāciju vidējā termiņā t</w:t>
      </w:r>
      <w:r w:rsidR="009F60E4">
        <w:rPr>
          <w:sz w:val="28"/>
          <w:szCs w:val="28"/>
        </w:rPr>
        <w:t xml:space="preserve">ais </w:t>
      </w:r>
      <w:r w:rsidR="009F60E4" w:rsidRPr="00374A0E">
        <w:rPr>
          <w:sz w:val="28"/>
          <w:szCs w:val="28"/>
        </w:rPr>
        <w:t>sk</w:t>
      </w:r>
      <w:r w:rsidR="009F60E4">
        <w:rPr>
          <w:sz w:val="28"/>
          <w:szCs w:val="28"/>
        </w:rPr>
        <w:t>aitā</w:t>
      </w:r>
      <w:r w:rsidR="009F60E4" w:rsidRPr="00374A0E">
        <w:rPr>
          <w:sz w:val="28"/>
          <w:szCs w:val="28"/>
        </w:rPr>
        <w:t>, šim mērķim paredzēto ES fondu programmu apguvi.</w:t>
      </w:r>
    </w:p>
    <w:p w:rsidR="009F60E4" w:rsidRPr="00374A0E" w:rsidRDefault="009F60E4" w:rsidP="009F60E4">
      <w:pPr>
        <w:ind w:firstLine="720"/>
        <w:jc w:val="both"/>
        <w:rPr>
          <w:sz w:val="28"/>
          <w:szCs w:val="28"/>
        </w:rPr>
      </w:pPr>
      <w:r w:rsidRPr="00374A0E">
        <w:rPr>
          <w:sz w:val="28"/>
          <w:szCs w:val="28"/>
        </w:rPr>
        <w:t xml:space="preserve">Tāpēc steidzami nepieciešami papildus pasākumi ar mērķi palielināt komercbanku kreditēšanas apjomus nozarēs, kas orientētas </w:t>
      </w:r>
      <w:r>
        <w:rPr>
          <w:sz w:val="28"/>
          <w:szCs w:val="28"/>
        </w:rPr>
        <w:t>uz ārējo pieprasījumu (apstrādes</w:t>
      </w:r>
      <w:r w:rsidRPr="00374A0E">
        <w:rPr>
          <w:sz w:val="28"/>
          <w:szCs w:val="28"/>
        </w:rPr>
        <w:t xml:space="preserve"> rūpniecība, atsevišķas pakalpojumu nozares</w:t>
      </w:r>
      <w:r>
        <w:rPr>
          <w:sz w:val="28"/>
          <w:szCs w:val="28"/>
        </w:rPr>
        <w:t>, tādas kā</w:t>
      </w:r>
      <w:r w:rsidRPr="00374A0E">
        <w:rPr>
          <w:sz w:val="28"/>
          <w:szCs w:val="28"/>
        </w:rPr>
        <w:t xml:space="preserve"> transports/loģistika, IKT). Kā iespējamais papildus instruments ir līdzekļu aizdevuma konkurss komercbankām ar mērķi izsniegt kredītus tautsaimniecībai, kur konkursa priekšmets ir banku līdzfinansējuma apjoms (ne mazāks kā 50%) un līdzekļu administrēšanas izdevumi, kā arī bankas kapacitāte.</w:t>
      </w:r>
    </w:p>
    <w:p w:rsidR="009F60E4" w:rsidRPr="00374A0E" w:rsidRDefault="009F60E4" w:rsidP="009F60E4">
      <w:pPr>
        <w:ind w:firstLine="720"/>
        <w:jc w:val="both"/>
        <w:rPr>
          <w:sz w:val="28"/>
          <w:szCs w:val="28"/>
        </w:rPr>
      </w:pPr>
      <w:r w:rsidRPr="00374A0E">
        <w:rPr>
          <w:sz w:val="28"/>
          <w:szCs w:val="28"/>
        </w:rPr>
        <w:t>Kā iespējamais līdzekļu avots ir Valsts kases līdzekļi (īstermiņa aizdevumiem) un ES fondu pārdales rezultātā iegūtie līdzekļi (ilgtermiņa aizdevumiem).</w:t>
      </w:r>
    </w:p>
    <w:p w:rsidR="009F60E4" w:rsidRPr="0088758F" w:rsidRDefault="009F60E4" w:rsidP="009F60E4">
      <w:pPr>
        <w:ind w:firstLine="720"/>
        <w:jc w:val="both"/>
      </w:pPr>
      <w:r w:rsidRPr="00374A0E">
        <w:rPr>
          <w:sz w:val="28"/>
          <w:szCs w:val="28"/>
        </w:rPr>
        <w:t>Kā iespējamās ES fondu programmas, kuras var būt izmantotas konkurētspējas atjaunošanas finansēšanai ir jomā, kas nav tieši saistītas ar izaugsmes atjaunošanu (vide, atsevišķi transporta nozares projekti) un kuru ieviešanai nepieciešami ievērojami finanšu un administratīvie resursi kā arī tās nevar būt uzsākt</w:t>
      </w:r>
      <w:r>
        <w:rPr>
          <w:sz w:val="28"/>
          <w:szCs w:val="28"/>
        </w:rPr>
        <w:t>as nākamo 12-18 mēnešu laikā.</w:t>
      </w:r>
    </w:p>
    <w:p w:rsidR="00B801F2" w:rsidRDefault="00B801F2" w:rsidP="00B801F2">
      <w:pPr>
        <w:ind w:firstLine="567"/>
        <w:jc w:val="both"/>
        <w:rPr>
          <w:rFonts w:eastAsia="Calibri" w:cs="Times New Roman"/>
          <w:sz w:val="28"/>
          <w:szCs w:val="28"/>
        </w:rPr>
      </w:pPr>
      <w:r w:rsidRPr="0088758F">
        <w:rPr>
          <w:rFonts w:eastAsia="Calibri" w:cs="Times New Roman"/>
          <w:sz w:val="28"/>
        </w:rPr>
        <w:t xml:space="preserve">Jāatzīmē, ka </w:t>
      </w:r>
      <w:r w:rsidR="002E6A9A">
        <w:rPr>
          <w:rFonts w:eastAsia="Calibri" w:cs="Times New Roman"/>
          <w:sz w:val="28"/>
          <w:szCs w:val="28"/>
          <w:lang w:eastAsia="lv-LV"/>
        </w:rPr>
        <w:t>MK</w:t>
      </w:r>
      <w:r w:rsidRPr="0088758F">
        <w:rPr>
          <w:rFonts w:eastAsia="Calibri" w:cs="Times New Roman"/>
          <w:sz w:val="28"/>
          <w:szCs w:val="28"/>
          <w:lang w:eastAsia="lv-LV"/>
        </w:rPr>
        <w:t xml:space="preserve"> 2009.gada 15.septembra </w:t>
      </w:r>
      <w:r w:rsidRPr="0088758F">
        <w:rPr>
          <w:rFonts w:eastAsia="Calibri" w:cs="Times New Roman"/>
          <w:sz w:val="28"/>
          <w:szCs w:val="28"/>
        </w:rPr>
        <w:t xml:space="preserve">sēdes protokola Nr.58 7.§ 2.punkts uzdod Finanšu ministrijai līdz 2009.gada 17.novembrim sagatavot un noteiktā kārtībā iesniegt </w:t>
      </w:r>
      <w:r w:rsidR="002E6A9A">
        <w:rPr>
          <w:rFonts w:eastAsia="Calibri" w:cs="Times New Roman"/>
          <w:sz w:val="28"/>
          <w:szCs w:val="28"/>
        </w:rPr>
        <w:t>MK</w:t>
      </w:r>
      <w:r w:rsidRPr="0088758F">
        <w:rPr>
          <w:rFonts w:eastAsia="Calibri" w:cs="Times New Roman"/>
          <w:sz w:val="28"/>
          <w:szCs w:val="28"/>
        </w:rPr>
        <w:t xml:space="preserve"> priekšlikumus grozījumiem </w:t>
      </w:r>
      <w:r w:rsidR="002E6A9A">
        <w:rPr>
          <w:rFonts w:eastAsia="Calibri" w:cs="Times New Roman"/>
          <w:sz w:val="28"/>
          <w:szCs w:val="28"/>
        </w:rPr>
        <w:t>ES</w:t>
      </w:r>
      <w:r w:rsidRPr="0088758F">
        <w:rPr>
          <w:rFonts w:eastAsia="Calibri" w:cs="Times New Roman"/>
          <w:sz w:val="28"/>
          <w:szCs w:val="28"/>
        </w:rPr>
        <w:t xml:space="preserve"> fondu plānošanas dokumentos, paredzot iespējamu finansējuma pārdali no lielajiem infrastruktūras projektiem ar </w:t>
      </w:r>
      <w:r w:rsidR="008F3C5E" w:rsidRPr="0088758F">
        <w:rPr>
          <w:rFonts w:eastAsia="Calibri" w:cs="Times New Roman"/>
          <w:sz w:val="28"/>
          <w:szCs w:val="28"/>
        </w:rPr>
        <w:t>attiecināmajām izmaksām virs 30 </w:t>
      </w:r>
      <w:r w:rsidRPr="0088758F">
        <w:rPr>
          <w:rFonts w:eastAsia="Calibri" w:cs="Times New Roman"/>
          <w:sz w:val="28"/>
          <w:szCs w:val="28"/>
        </w:rPr>
        <w:t>milj</w:t>
      </w:r>
      <w:r w:rsidR="008F3C5E" w:rsidRPr="0088758F">
        <w:rPr>
          <w:rFonts w:eastAsia="Calibri" w:cs="Times New Roman"/>
          <w:sz w:val="28"/>
          <w:szCs w:val="28"/>
        </w:rPr>
        <w:t>.</w:t>
      </w:r>
      <w:r w:rsidRPr="0088758F">
        <w:rPr>
          <w:rFonts w:eastAsia="Calibri" w:cs="Times New Roman"/>
          <w:sz w:val="28"/>
          <w:szCs w:val="28"/>
        </w:rPr>
        <w:t xml:space="preserve"> latu uz aktivitātēm, kas vērstas uz uzņēmējdarbības atbalstu.</w:t>
      </w:r>
    </w:p>
    <w:p w:rsidR="00072238" w:rsidRPr="008D308E" w:rsidRDefault="00072238" w:rsidP="00072238">
      <w:pPr>
        <w:ind w:firstLine="567"/>
        <w:jc w:val="both"/>
        <w:rPr>
          <w:sz w:val="28"/>
          <w:szCs w:val="28"/>
        </w:rPr>
      </w:pPr>
      <w:r>
        <w:rPr>
          <w:sz w:val="28"/>
          <w:szCs w:val="28"/>
        </w:rPr>
        <w:t xml:space="preserve">Veicot </w:t>
      </w:r>
      <w:r>
        <w:rPr>
          <w:rFonts w:eastAsia="Calibri" w:cs="Times New Roman"/>
          <w:sz w:val="28"/>
          <w:szCs w:val="28"/>
        </w:rPr>
        <w:t>ES</w:t>
      </w:r>
      <w:r w:rsidRPr="0088758F">
        <w:rPr>
          <w:rFonts w:eastAsia="Calibri" w:cs="Times New Roman"/>
          <w:sz w:val="28"/>
          <w:szCs w:val="28"/>
        </w:rPr>
        <w:t xml:space="preserve"> fondu finansējuma pārdali </w:t>
      </w:r>
      <w:r>
        <w:rPr>
          <w:rFonts w:eastAsia="Calibri" w:cs="Times New Roman"/>
          <w:sz w:val="28"/>
          <w:szCs w:val="28"/>
        </w:rPr>
        <w:t xml:space="preserve">starp aktivitātēm ir jānodrošina, ka finansējums tiek paredzēts </w:t>
      </w:r>
      <w:r>
        <w:rPr>
          <w:sz w:val="28"/>
          <w:szCs w:val="28"/>
        </w:rPr>
        <w:t>prioritāriem virzieniem</w:t>
      </w:r>
      <w:r w:rsidRPr="008D308E">
        <w:rPr>
          <w:sz w:val="28"/>
          <w:szCs w:val="28"/>
        </w:rPr>
        <w:t>:</w:t>
      </w:r>
    </w:p>
    <w:p w:rsidR="00072238" w:rsidRPr="00072238" w:rsidRDefault="00072238" w:rsidP="00072238">
      <w:pPr>
        <w:pStyle w:val="ListParagraph"/>
        <w:numPr>
          <w:ilvl w:val="0"/>
          <w:numId w:val="39"/>
        </w:numPr>
        <w:ind w:left="567"/>
        <w:jc w:val="both"/>
        <w:rPr>
          <w:sz w:val="28"/>
          <w:szCs w:val="28"/>
        </w:rPr>
      </w:pPr>
      <w:r w:rsidRPr="00072238">
        <w:rPr>
          <w:sz w:val="28"/>
          <w:szCs w:val="28"/>
        </w:rPr>
        <w:t>finanšu instrumentiem;</w:t>
      </w:r>
    </w:p>
    <w:p w:rsidR="00072238" w:rsidRPr="00072238" w:rsidRDefault="00072238" w:rsidP="00072238">
      <w:pPr>
        <w:pStyle w:val="ListParagraph"/>
        <w:numPr>
          <w:ilvl w:val="0"/>
          <w:numId w:val="39"/>
        </w:numPr>
        <w:ind w:left="567"/>
        <w:jc w:val="both"/>
        <w:rPr>
          <w:sz w:val="28"/>
          <w:szCs w:val="28"/>
        </w:rPr>
      </w:pPr>
      <w:r w:rsidRPr="00072238">
        <w:rPr>
          <w:sz w:val="28"/>
          <w:szCs w:val="28"/>
        </w:rPr>
        <w:t>programmām, kas orientētas uz eksporta potenciāla attīstību;</w:t>
      </w:r>
    </w:p>
    <w:p w:rsidR="00072238" w:rsidRPr="00072238" w:rsidRDefault="00072238" w:rsidP="00072238">
      <w:pPr>
        <w:pStyle w:val="ListParagraph"/>
        <w:numPr>
          <w:ilvl w:val="0"/>
          <w:numId w:val="39"/>
        </w:numPr>
        <w:ind w:left="567"/>
        <w:jc w:val="both"/>
        <w:rPr>
          <w:sz w:val="28"/>
          <w:szCs w:val="28"/>
        </w:rPr>
      </w:pPr>
      <w:r w:rsidRPr="00072238">
        <w:rPr>
          <w:sz w:val="28"/>
          <w:szCs w:val="28"/>
        </w:rPr>
        <w:t>valsts atbalsta programmām ar augstāku privāto līdzfinansējumu;</w:t>
      </w:r>
    </w:p>
    <w:p w:rsidR="00072238" w:rsidRPr="00072238" w:rsidRDefault="00072238" w:rsidP="00072238">
      <w:pPr>
        <w:pStyle w:val="ListParagraph"/>
        <w:numPr>
          <w:ilvl w:val="0"/>
          <w:numId w:val="39"/>
        </w:numPr>
        <w:ind w:left="567"/>
        <w:jc w:val="both"/>
        <w:rPr>
          <w:sz w:val="28"/>
          <w:szCs w:val="28"/>
        </w:rPr>
      </w:pPr>
      <w:r w:rsidRPr="00072238">
        <w:rPr>
          <w:sz w:val="28"/>
          <w:szCs w:val="28"/>
        </w:rPr>
        <w:t>publiskās infrastruktūras projektiem, kuri samazina budžeta izdevumus pēc projekta realizācijas vai rada priekšnoteikumus privāto investīciju piesaistei.</w:t>
      </w:r>
    </w:p>
    <w:p w:rsidR="00072238" w:rsidRPr="00F43850" w:rsidRDefault="00072238" w:rsidP="00B801F2">
      <w:pPr>
        <w:ind w:firstLine="567"/>
        <w:jc w:val="both"/>
        <w:rPr>
          <w:rFonts w:eastAsia="Calibri" w:cs="Times New Roman"/>
          <w:sz w:val="20"/>
        </w:rPr>
      </w:pPr>
    </w:p>
    <w:p w:rsidR="00B801F2" w:rsidRDefault="002E6A9A" w:rsidP="00B40B1E">
      <w:pPr>
        <w:ind w:firstLine="567"/>
        <w:jc w:val="both"/>
        <w:rPr>
          <w:rFonts w:eastAsia="Calibri" w:cs="Times New Roman"/>
          <w:sz w:val="28"/>
          <w:szCs w:val="28"/>
        </w:rPr>
      </w:pPr>
      <w:r w:rsidRPr="00DE6B78">
        <w:rPr>
          <w:rFonts w:eastAsia="Calibri" w:cs="Times New Roman"/>
          <w:sz w:val="28"/>
        </w:rPr>
        <w:t>MK</w:t>
      </w:r>
      <w:r w:rsidR="00B801F2" w:rsidRPr="00DE6B78">
        <w:rPr>
          <w:rFonts w:eastAsia="Calibri" w:cs="Times New Roman"/>
          <w:sz w:val="28"/>
        </w:rPr>
        <w:t xml:space="preserve"> protokola lēmuma projekts paredz </w:t>
      </w:r>
      <w:r w:rsidR="00B40B1E" w:rsidRPr="00D739FF">
        <w:rPr>
          <w:sz w:val="28"/>
        </w:rPr>
        <w:t xml:space="preserve">Valsts kancelejai un ministrijām, izstrādājot darbības stratēģijas, politiku pamatnostādnes un citus plānošanas dokumentus, nodrošināt to atbilstību informatīvajā ziņojumā „Par ekonomikas atveseļošanas politikas virzieniem </w:t>
      </w:r>
      <w:r w:rsidR="00B40B1E">
        <w:rPr>
          <w:sz w:val="28"/>
        </w:rPr>
        <w:t>vidēja termiņa periodā” noteiktajiem</w:t>
      </w:r>
      <w:r w:rsidR="00B40B1E" w:rsidRPr="00D739FF">
        <w:rPr>
          <w:sz w:val="28"/>
        </w:rPr>
        <w:t xml:space="preserve"> mērķ</w:t>
      </w:r>
      <w:r w:rsidR="00B40B1E">
        <w:rPr>
          <w:sz w:val="28"/>
        </w:rPr>
        <w:t>iem</w:t>
      </w:r>
      <w:r w:rsidR="00B40B1E" w:rsidRPr="00D739FF">
        <w:rPr>
          <w:sz w:val="28"/>
        </w:rPr>
        <w:t xml:space="preserve"> un darbības virzien</w:t>
      </w:r>
      <w:r w:rsidR="00B40B1E">
        <w:rPr>
          <w:sz w:val="28"/>
        </w:rPr>
        <w:t>iem</w:t>
      </w:r>
      <w:r w:rsidR="00EA057A" w:rsidRPr="00DE6B78">
        <w:rPr>
          <w:sz w:val="28"/>
          <w:szCs w:val="28"/>
        </w:rPr>
        <w:t>.</w:t>
      </w:r>
    </w:p>
    <w:p w:rsidR="001A671F" w:rsidRPr="0088758F" w:rsidRDefault="001A671F" w:rsidP="001A671F">
      <w:pPr>
        <w:ind w:firstLine="567"/>
        <w:jc w:val="both"/>
        <w:rPr>
          <w:rFonts w:eastAsia="Calibri" w:cs="Times New Roman"/>
          <w:sz w:val="16"/>
          <w:szCs w:val="16"/>
        </w:rPr>
      </w:pPr>
    </w:p>
    <w:p w:rsidR="00B801F2" w:rsidRPr="0088758F" w:rsidRDefault="00B801F2" w:rsidP="00B801F2">
      <w:pPr>
        <w:ind w:firstLine="567"/>
        <w:jc w:val="both"/>
        <w:rPr>
          <w:rFonts w:eastAsia="Calibri" w:cs="Times New Roman"/>
          <w:b/>
          <w:sz w:val="28"/>
          <w:szCs w:val="28"/>
        </w:rPr>
      </w:pPr>
      <w:r w:rsidRPr="0088758F">
        <w:rPr>
          <w:rFonts w:eastAsia="Calibri" w:cs="Times New Roman"/>
          <w:b/>
          <w:i/>
          <w:sz w:val="28"/>
          <w:szCs w:val="28"/>
        </w:rPr>
        <w:t xml:space="preserve">Latvijas ekonomikas stabilizācijas un izaugsmes atjaunošanas </w:t>
      </w:r>
      <w:r w:rsidRPr="0088758F">
        <w:rPr>
          <w:rFonts w:eastAsia="Calibri" w:cs="Times New Roman"/>
          <w:b/>
          <w:i/>
          <w:spacing w:val="-4"/>
          <w:sz w:val="28"/>
          <w:szCs w:val="28"/>
        </w:rPr>
        <w:t>programmas</w:t>
      </w:r>
      <w:r w:rsidRPr="0088758F">
        <w:rPr>
          <w:rFonts w:eastAsia="Calibri" w:cs="Times New Roman"/>
          <w:i/>
          <w:spacing w:val="-4"/>
          <w:sz w:val="28"/>
          <w:szCs w:val="28"/>
        </w:rPr>
        <w:t xml:space="preserve"> </w:t>
      </w:r>
      <w:r w:rsidRPr="0088758F">
        <w:rPr>
          <w:rFonts w:eastAsia="Calibri" w:cs="Times New Roman"/>
          <w:b/>
          <w:spacing w:val="-4"/>
          <w:sz w:val="28"/>
          <w:szCs w:val="28"/>
        </w:rPr>
        <w:t>un e</w:t>
      </w:r>
      <w:r w:rsidRPr="0088758F">
        <w:rPr>
          <w:rFonts w:eastAsia="Calibri" w:cs="Times New Roman"/>
          <w:b/>
          <w:sz w:val="28"/>
          <w:szCs w:val="28"/>
        </w:rPr>
        <w:t>konomikas atveseļošanas plāna</w:t>
      </w:r>
      <w:r w:rsidRPr="0088758F">
        <w:rPr>
          <w:rFonts w:eastAsia="Calibri" w:cs="Times New Roman"/>
          <w:b/>
          <w:bCs/>
          <w:sz w:val="28"/>
          <w:szCs w:val="28"/>
        </w:rPr>
        <w:t xml:space="preserve"> pasākumu īstenošana mīkstinās negatīvo globālās finanšu krīzes ietekmi uz Latvijas tautsaimniecību, veicinās Latvijas ekonomikas atveseļošanu un ilgtermiņā nodrošinās Latvijas tautsaimniecības konkurētspēju un ilgtspējīg</w:t>
      </w:r>
      <w:r w:rsidR="002E6A9A">
        <w:rPr>
          <w:rFonts w:eastAsia="Calibri" w:cs="Times New Roman"/>
          <w:b/>
          <w:bCs/>
          <w:sz w:val="28"/>
          <w:szCs w:val="28"/>
        </w:rPr>
        <w:t>u</w:t>
      </w:r>
      <w:r w:rsidRPr="0088758F">
        <w:rPr>
          <w:rFonts w:eastAsia="Calibri" w:cs="Times New Roman"/>
          <w:b/>
          <w:bCs/>
          <w:sz w:val="28"/>
          <w:szCs w:val="28"/>
        </w:rPr>
        <w:t xml:space="preserve"> izaugsmi.</w:t>
      </w:r>
    </w:p>
    <w:p w:rsidR="00B801F2" w:rsidRPr="0088758F" w:rsidRDefault="00B801F2" w:rsidP="00B801F2">
      <w:pPr>
        <w:rPr>
          <w:rFonts w:eastAsia="Calibri" w:cs="Times New Roman"/>
          <w:sz w:val="28"/>
        </w:rPr>
      </w:pPr>
    </w:p>
    <w:p w:rsidR="0046513D" w:rsidRDefault="0046513D">
      <w:pPr>
        <w:spacing w:after="200" w:line="276" w:lineRule="auto"/>
        <w:rPr>
          <w:rFonts w:eastAsiaTheme="majorEastAsia" w:cstheme="majorBidi"/>
          <w:b/>
          <w:bCs/>
          <w:sz w:val="32"/>
          <w:szCs w:val="28"/>
        </w:rPr>
      </w:pPr>
      <w:bookmarkStart w:id="41" w:name="_Toc239501362"/>
      <w:bookmarkStart w:id="42" w:name="_Toc242510379"/>
      <w:r>
        <w:br w:type="page"/>
      </w:r>
    </w:p>
    <w:p w:rsidR="008E433C" w:rsidRPr="00EB5FEE" w:rsidRDefault="008E433C" w:rsidP="008E433C">
      <w:pPr>
        <w:pStyle w:val="Heading1"/>
        <w:jc w:val="right"/>
      </w:pPr>
      <w:r w:rsidRPr="00EB5FEE">
        <w:lastRenderedPageBreak/>
        <w:t>Pielikums</w:t>
      </w:r>
      <w:bookmarkEnd w:id="41"/>
      <w:bookmarkEnd w:id="42"/>
    </w:p>
    <w:p w:rsidR="008E433C" w:rsidRDefault="008E433C" w:rsidP="008E433C">
      <w:pPr>
        <w:jc w:val="right"/>
        <w:rPr>
          <w:b/>
          <w:sz w:val="28"/>
          <w:szCs w:val="28"/>
        </w:rPr>
      </w:pPr>
      <w:r w:rsidRPr="00EB5FEE">
        <w:rPr>
          <w:b/>
          <w:iCs/>
          <w:sz w:val="28"/>
          <w:szCs w:val="28"/>
        </w:rPr>
        <w:t xml:space="preserve">Informatīvajam ziņojumam </w:t>
      </w:r>
      <w:r w:rsidRPr="00EB5FEE">
        <w:rPr>
          <w:b/>
          <w:sz w:val="28"/>
          <w:szCs w:val="28"/>
        </w:rPr>
        <w:t xml:space="preserve">par </w:t>
      </w:r>
      <w:r>
        <w:rPr>
          <w:b/>
          <w:sz w:val="28"/>
          <w:szCs w:val="28"/>
        </w:rPr>
        <w:t>priekšlikumiem</w:t>
      </w:r>
      <w:r w:rsidRPr="00EB5FEE">
        <w:rPr>
          <w:b/>
          <w:sz w:val="28"/>
          <w:szCs w:val="28"/>
        </w:rPr>
        <w:t xml:space="preserve"> </w:t>
      </w:r>
    </w:p>
    <w:p w:rsidR="008E433C" w:rsidRPr="00EB5FEE" w:rsidRDefault="008E433C" w:rsidP="008E433C">
      <w:pPr>
        <w:jc w:val="right"/>
        <w:rPr>
          <w:b/>
          <w:sz w:val="28"/>
          <w:szCs w:val="28"/>
        </w:rPr>
      </w:pPr>
      <w:r w:rsidRPr="00EB5FEE">
        <w:rPr>
          <w:b/>
          <w:sz w:val="28"/>
          <w:szCs w:val="28"/>
        </w:rPr>
        <w:t>ekonomikas atveseļošanai</w:t>
      </w:r>
      <w:r>
        <w:rPr>
          <w:b/>
          <w:sz w:val="28"/>
          <w:szCs w:val="28"/>
        </w:rPr>
        <w:t xml:space="preserve"> vidēja termiņa periodā</w:t>
      </w:r>
    </w:p>
    <w:p w:rsidR="008E433C" w:rsidRPr="00EB5FEE" w:rsidRDefault="008E433C" w:rsidP="008E433C">
      <w:pPr>
        <w:jc w:val="right"/>
        <w:rPr>
          <w:sz w:val="28"/>
          <w:szCs w:val="28"/>
          <w:highlight w:val="yellow"/>
        </w:rPr>
      </w:pPr>
    </w:p>
    <w:p w:rsidR="008E433C" w:rsidRPr="00291EF0" w:rsidRDefault="008E433C" w:rsidP="008E433C">
      <w:pPr>
        <w:pStyle w:val="Heading2"/>
      </w:pPr>
      <w:bookmarkStart w:id="43" w:name="_Toc239501363"/>
      <w:bookmarkStart w:id="44" w:name="_Toc242510380"/>
      <w:r w:rsidRPr="00EB5FEE">
        <w:t>1.tabula</w:t>
      </w:r>
      <w:r>
        <w:t>. I</w:t>
      </w:r>
      <w:r w:rsidRPr="00EB5FEE">
        <w:t xml:space="preserve">KP dinamika </w:t>
      </w:r>
      <w:r>
        <w:t xml:space="preserve">valstīs </w:t>
      </w:r>
      <w:r w:rsidRPr="00EB5FEE">
        <w:t>pa ceturkšņiem</w:t>
      </w:r>
      <w:r>
        <w:t xml:space="preserve"> 2008. un 2009.gadā</w:t>
      </w:r>
      <w:bookmarkEnd w:id="43"/>
      <w:bookmarkEnd w:id="44"/>
    </w:p>
    <w:p w:rsidR="008E433C" w:rsidRPr="00EB5FEE" w:rsidRDefault="008E433C" w:rsidP="008E433C">
      <w:r w:rsidRPr="00EB5FEE">
        <w:t>(% pret iepriekšējā gada atbilstošo periodu)</w:t>
      </w:r>
    </w:p>
    <w:p w:rsidR="008E433C" w:rsidRPr="00EB5FEE" w:rsidRDefault="008E433C" w:rsidP="008E433C"/>
    <w:tbl>
      <w:tblPr>
        <w:tblStyle w:val="LightShading2"/>
        <w:tblW w:w="4794" w:type="pct"/>
        <w:tblLook w:val="04A0"/>
      </w:tblPr>
      <w:tblGrid>
        <w:gridCol w:w="1673"/>
        <w:gridCol w:w="1298"/>
        <w:gridCol w:w="1296"/>
        <w:gridCol w:w="1296"/>
        <w:gridCol w:w="1296"/>
        <w:gridCol w:w="1295"/>
        <w:gridCol w:w="1295"/>
      </w:tblGrid>
      <w:tr w:rsidR="008E433C" w:rsidRPr="00142DA0" w:rsidTr="007533A7">
        <w:trPr>
          <w:cnfStyle w:val="100000000000"/>
          <w:trHeight w:val="300"/>
        </w:trPr>
        <w:tc>
          <w:tcPr>
            <w:cnfStyle w:val="001000000000"/>
            <w:tcW w:w="885" w:type="pct"/>
            <w:noWrap/>
            <w:hideMark/>
          </w:tcPr>
          <w:p w:rsidR="008E433C" w:rsidRPr="00142DA0" w:rsidRDefault="008E433C" w:rsidP="002F02CF">
            <w:pPr>
              <w:spacing w:before="20" w:after="20"/>
              <w:jc w:val="center"/>
              <w:rPr>
                <w:rFonts w:cs="Times New Roman"/>
                <w:b w:val="0"/>
                <w:sz w:val="22"/>
              </w:rPr>
            </w:pPr>
          </w:p>
        </w:tc>
        <w:tc>
          <w:tcPr>
            <w:tcW w:w="687" w:type="pct"/>
            <w:noWrap/>
            <w:hideMark/>
          </w:tcPr>
          <w:p w:rsidR="008E433C" w:rsidRPr="00142DA0" w:rsidRDefault="008E433C" w:rsidP="002F02CF">
            <w:pPr>
              <w:spacing w:before="20" w:after="20"/>
              <w:jc w:val="center"/>
              <w:cnfStyle w:val="100000000000"/>
              <w:rPr>
                <w:rFonts w:cs="Times New Roman"/>
                <w:sz w:val="22"/>
              </w:rPr>
            </w:pPr>
            <w:r w:rsidRPr="00142DA0">
              <w:rPr>
                <w:rFonts w:cs="Times New Roman"/>
                <w:sz w:val="22"/>
              </w:rPr>
              <w:t>2008</w:t>
            </w:r>
          </w:p>
          <w:p w:rsidR="008E433C" w:rsidRPr="00142DA0" w:rsidRDefault="008E433C" w:rsidP="002F02CF">
            <w:pPr>
              <w:spacing w:before="20" w:after="20"/>
              <w:jc w:val="center"/>
              <w:cnfStyle w:val="100000000000"/>
              <w:rPr>
                <w:rFonts w:cs="Times New Roman"/>
                <w:sz w:val="22"/>
              </w:rPr>
            </w:pPr>
            <w:r w:rsidRPr="00142DA0">
              <w:rPr>
                <w:rFonts w:cs="Times New Roman"/>
                <w:sz w:val="22"/>
              </w:rPr>
              <w:t>I</w:t>
            </w:r>
          </w:p>
        </w:tc>
        <w:tc>
          <w:tcPr>
            <w:tcW w:w="686" w:type="pct"/>
            <w:noWrap/>
            <w:hideMark/>
          </w:tcPr>
          <w:p w:rsidR="008E433C" w:rsidRPr="00142DA0" w:rsidRDefault="008E433C" w:rsidP="002F02CF">
            <w:pPr>
              <w:spacing w:before="20" w:after="20"/>
              <w:jc w:val="center"/>
              <w:cnfStyle w:val="100000000000"/>
              <w:rPr>
                <w:rFonts w:cs="Times New Roman"/>
                <w:sz w:val="22"/>
              </w:rPr>
            </w:pPr>
            <w:r w:rsidRPr="00142DA0">
              <w:rPr>
                <w:rFonts w:cs="Times New Roman"/>
                <w:sz w:val="22"/>
              </w:rPr>
              <w:t>2008</w:t>
            </w:r>
          </w:p>
          <w:p w:rsidR="008E433C" w:rsidRPr="00142DA0" w:rsidRDefault="008E433C" w:rsidP="002F02CF">
            <w:pPr>
              <w:spacing w:before="20" w:after="20"/>
              <w:jc w:val="center"/>
              <w:cnfStyle w:val="100000000000"/>
              <w:rPr>
                <w:rFonts w:cs="Times New Roman"/>
                <w:sz w:val="22"/>
              </w:rPr>
            </w:pPr>
            <w:r w:rsidRPr="00142DA0">
              <w:rPr>
                <w:rFonts w:cs="Times New Roman"/>
                <w:sz w:val="22"/>
              </w:rPr>
              <w:t>II</w:t>
            </w:r>
          </w:p>
        </w:tc>
        <w:tc>
          <w:tcPr>
            <w:tcW w:w="686" w:type="pct"/>
            <w:noWrap/>
            <w:hideMark/>
          </w:tcPr>
          <w:p w:rsidR="008E433C" w:rsidRPr="00142DA0" w:rsidRDefault="008E433C" w:rsidP="002F02CF">
            <w:pPr>
              <w:spacing w:before="20" w:after="20"/>
              <w:jc w:val="center"/>
              <w:cnfStyle w:val="100000000000"/>
              <w:rPr>
                <w:rFonts w:cs="Times New Roman"/>
                <w:sz w:val="22"/>
              </w:rPr>
            </w:pPr>
            <w:r w:rsidRPr="00142DA0">
              <w:rPr>
                <w:rFonts w:cs="Times New Roman"/>
                <w:sz w:val="22"/>
              </w:rPr>
              <w:t>2008</w:t>
            </w:r>
          </w:p>
          <w:p w:rsidR="008E433C" w:rsidRPr="00142DA0" w:rsidRDefault="008E433C" w:rsidP="002F02CF">
            <w:pPr>
              <w:spacing w:before="20" w:after="20"/>
              <w:jc w:val="center"/>
              <w:cnfStyle w:val="100000000000"/>
              <w:rPr>
                <w:rFonts w:cs="Times New Roman"/>
                <w:sz w:val="22"/>
              </w:rPr>
            </w:pPr>
            <w:r w:rsidRPr="00142DA0">
              <w:rPr>
                <w:rFonts w:cs="Times New Roman"/>
                <w:sz w:val="22"/>
              </w:rPr>
              <w:t>III</w:t>
            </w:r>
          </w:p>
        </w:tc>
        <w:tc>
          <w:tcPr>
            <w:tcW w:w="686" w:type="pct"/>
            <w:noWrap/>
            <w:hideMark/>
          </w:tcPr>
          <w:p w:rsidR="008E433C" w:rsidRPr="00142DA0" w:rsidRDefault="008E433C" w:rsidP="002F02CF">
            <w:pPr>
              <w:spacing w:before="20" w:after="20"/>
              <w:jc w:val="center"/>
              <w:cnfStyle w:val="100000000000"/>
              <w:rPr>
                <w:rFonts w:cs="Times New Roman"/>
                <w:sz w:val="22"/>
              </w:rPr>
            </w:pPr>
            <w:r w:rsidRPr="00142DA0">
              <w:rPr>
                <w:rFonts w:cs="Times New Roman"/>
                <w:sz w:val="22"/>
              </w:rPr>
              <w:t>2008</w:t>
            </w:r>
          </w:p>
          <w:p w:rsidR="008E433C" w:rsidRPr="00142DA0" w:rsidRDefault="008E433C" w:rsidP="002F02CF">
            <w:pPr>
              <w:spacing w:before="20" w:after="20"/>
              <w:jc w:val="center"/>
              <w:cnfStyle w:val="100000000000"/>
              <w:rPr>
                <w:rFonts w:cs="Times New Roman"/>
                <w:sz w:val="22"/>
              </w:rPr>
            </w:pPr>
            <w:r w:rsidRPr="00142DA0">
              <w:rPr>
                <w:rFonts w:cs="Times New Roman"/>
                <w:sz w:val="22"/>
              </w:rPr>
              <w:t>IV</w:t>
            </w:r>
          </w:p>
        </w:tc>
        <w:tc>
          <w:tcPr>
            <w:tcW w:w="685" w:type="pct"/>
            <w:noWrap/>
            <w:hideMark/>
          </w:tcPr>
          <w:p w:rsidR="008E433C" w:rsidRPr="00142DA0" w:rsidRDefault="008E433C" w:rsidP="002F02CF">
            <w:pPr>
              <w:spacing w:before="20" w:after="20"/>
              <w:jc w:val="center"/>
              <w:cnfStyle w:val="100000000000"/>
              <w:rPr>
                <w:rFonts w:cs="Times New Roman"/>
                <w:sz w:val="22"/>
              </w:rPr>
            </w:pPr>
            <w:r w:rsidRPr="00142DA0">
              <w:rPr>
                <w:rFonts w:cs="Times New Roman"/>
                <w:sz w:val="22"/>
              </w:rPr>
              <w:t>2009</w:t>
            </w:r>
          </w:p>
          <w:p w:rsidR="008E433C" w:rsidRPr="00142DA0" w:rsidRDefault="008E433C" w:rsidP="002F02CF">
            <w:pPr>
              <w:spacing w:before="20" w:after="20"/>
              <w:jc w:val="center"/>
              <w:cnfStyle w:val="100000000000"/>
              <w:rPr>
                <w:rFonts w:cs="Times New Roman"/>
                <w:sz w:val="22"/>
              </w:rPr>
            </w:pPr>
            <w:r w:rsidRPr="00142DA0">
              <w:rPr>
                <w:rFonts w:cs="Times New Roman"/>
                <w:sz w:val="22"/>
              </w:rPr>
              <w:t>I</w:t>
            </w:r>
          </w:p>
        </w:tc>
        <w:tc>
          <w:tcPr>
            <w:tcW w:w="685" w:type="pct"/>
          </w:tcPr>
          <w:p w:rsidR="008E433C" w:rsidRPr="00142DA0" w:rsidRDefault="008E433C" w:rsidP="002F02CF">
            <w:pPr>
              <w:spacing w:before="20" w:after="20"/>
              <w:jc w:val="center"/>
              <w:cnfStyle w:val="100000000000"/>
              <w:rPr>
                <w:rFonts w:cs="Times New Roman"/>
                <w:sz w:val="22"/>
              </w:rPr>
            </w:pPr>
            <w:r w:rsidRPr="00142DA0">
              <w:rPr>
                <w:rFonts w:cs="Times New Roman"/>
                <w:sz w:val="22"/>
              </w:rPr>
              <w:t>2009</w:t>
            </w:r>
          </w:p>
          <w:p w:rsidR="008E433C" w:rsidRPr="00142DA0" w:rsidRDefault="008E433C" w:rsidP="002F02CF">
            <w:pPr>
              <w:spacing w:before="20" w:after="20"/>
              <w:jc w:val="center"/>
              <w:cnfStyle w:val="100000000000"/>
              <w:rPr>
                <w:rFonts w:cs="Times New Roman"/>
                <w:sz w:val="22"/>
              </w:rPr>
            </w:pPr>
            <w:r w:rsidRPr="00142DA0">
              <w:rPr>
                <w:rFonts w:cs="Times New Roman"/>
                <w:sz w:val="22"/>
              </w:rPr>
              <w:t>II</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Lietuva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7</w:t>
            </w:r>
            <w:r w:rsidR="002435DA">
              <w:rPr>
                <w:rFonts w:cs="Times New Roman"/>
                <w:color w:val="000000"/>
                <w:sz w:val="20"/>
                <w:szCs w:val="20"/>
              </w:rPr>
              <w:t>,0</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5,2</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2,9</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-2,2</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-13,3</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-20,2</w:t>
            </w:r>
          </w:p>
        </w:tc>
      </w:tr>
      <w:tr w:rsidR="0046513D" w:rsidRPr="0046513D"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color w:val="000000"/>
                <w:sz w:val="20"/>
                <w:szCs w:val="20"/>
              </w:rPr>
            </w:pPr>
            <w:r w:rsidRPr="0046513D">
              <w:rPr>
                <w:rFonts w:cs="Times New Roman"/>
                <w:color w:val="000000"/>
                <w:sz w:val="20"/>
                <w:szCs w:val="20"/>
              </w:rPr>
              <w:t>Latvija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b/>
                <w:color w:val="000000"/>
                <w:sz w:val="20"/>
                <w:szCs w:val="20"/>
              </w:rPr>
            </w:pPr>
            <w:r w:rsidRPr="0046513D">
              <w:rPr>
                <w:rFonts w:cs="Times New Roman"/>
                <w:b/>
                <w:color w:val="000000"/>
                <w:sz w:val="20"/>
                <w:szCs w:val="20"/>
              </w:rPr>
              <w:t>0,5</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b/>
                <w:color w:val="000000"/>
                <w:sz w:val="20"/>
                <w:szCs w:val="20"/>
              </w:rPr>
            </w:pPr>
            <w:r w:rsidRPr="0046513D">
              <w:rPr>
                <w:rFonts w:cs="Times New Roman"/>
                <w:b/>
                <w:color w:val="000000"/>
                <w:sz w:val="20"/>
                <w:szCs w:val="20"/>
              </w:rPr>
              <w:t>-1,9</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b/>
                <w:color w:val="000000"/>
                <w:sz w:val="20"/>
                <w:szCs w:val="20"/>
              </w:rPr>
            </w:pPr>
            <w:r w:rsidRPr="0046513D">
              <w:rPr>
                <w:rFonts w:cs="Times New Roman"/>
                <w:b/>
                <w:color w:val="000000"/>
                <w:sz w:val="20"/>
                <w:szCs w:val="20"/>
              </w:rPr>
              <w:t>-5,2</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b/>
                <w:color w:val="000000"/>
                <w:sz w:val="20"/>
                <w:szCs w:val="20"/>
              </w:rPr>
            </w:pPr>
            <w:r w:rsidRPr="0046513D">
              <w:rPr>
                <w:rFonts w:cs="Times New Roman"/>
                <w:b/>
                <w:color w:val="000000"/>
                <w:sz w:val="20"/>
                <w:szCs w:val="20"/>
              </w:rPr>
              <w:t>-10,3</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b/>
                <w:color w:val="000000"/>
                <w:sz w:val="20"/>
                <w:szCs w:val="20"/>
              </w:rPr>
            </w:pPr>
            <w:r w:rsidRPr="0046513D">
              <w:rPr>
                <w:rFonts w:cs="Times New Roman"/>
                <w:b/>
                <w:color w:val="000000"/>
                <w:sz w:val="20"/>
                <w:szCs w:val="20"/>
              </w:rPr>
              <w:t>-18,0</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b/>
                <w:color w:val="000000"/>
                <w:sz w:val="20"/>
                <w:szCs w:val="20"/>
              </w:rPr>
            </w:pPr>
            <w:r w:rsidRPr="0046513D">
              <w:rPr>
                <w:rFonts w:cs="Times New Roman"/>
                <w:b/>
                <w:color w:val="000000"/>
                <w:sz w:val="20"/>
                <w:szCs w:val="20"/>
              </w:rPr>
              <w:t>-18,7</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Igaunija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-0,3</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-1,2</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-3,2</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-9,2</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-15,0</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-16,1</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Somija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2,6</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2,6</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1,8</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-2,6</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-7,5</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-9,5</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Slovēnija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5,7</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5,5</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3,9</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-0,8</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-8,3</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-9,3</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Rumānija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8,2</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9,3</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9,2</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2,9</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-6,2</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-8,7</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Ungārija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1,8</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2,1</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1,3</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-2,5</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-6,7</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-7,5</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Īrija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-1,4</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-1,6</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-8</w:t>
            </w:r>
            <w:r w:rsidR="0028112C">
              <w:rPr>
                <w:rFonts w:cs="Times New Roman"/>
                <w:color w:val="000000"/>
                <w:sz w:val="20"/>
                <w:szCs w:val="20"/>
              </w:rPr>
              <w:t>,0</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-9,3</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-7,4</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Dānija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-0,2</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0,8</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-1,5</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-3,8</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-3,4</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-7,2</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Japāna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1,3</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0,6</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-0,3</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-4,3</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-8,7</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-7,2</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Vācija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2,1</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3,4</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1,4</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-1,7</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-6,4</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-7,1</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Zviedrija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w:t>
            </w:r>
            <w:r w:rsidR="002435DA">
              <w:rPr>
                <w:rFonts w:cs="Times New Roman"/>
                <w:color w:val="000000"/>
                <w:sz w:val="20"/>
                <w:szCs w:val="20"/>
              </w:rPr>
              <w:t>,0</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w:t>
            </w:r>
            <w:r w:rsidR="002435DA">
              <w:rPr>
                <w:rFonts w:cs="Times New Roman"/>
                <w:color w:val="000000"/>
                <w:sz w:val="20"/>
                <w:szCs w:val="20"/>
              </w:rPr>
              <w:t>,0</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0,6</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-4,9</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-6,9</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-7,0</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Islande</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4,5</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1,3</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0,3</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-0,5</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-4,5</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-6,5</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Horvātija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4,3</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3,4</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1,6</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0,2</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-6,7</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-6,3</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Itālija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0,3</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-0,4</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w:t>
            </w:r>
            <w:r w:rsidR="0028112C">
              <w:rPr>
                <w:rFonts w:cs="Times New Roman"/>
                <w:color w:val="000000"/>
                <w:sz w:val="20"/>
                <w:szCs w:val="20"/>
              </w:rPr>
              <w:t>,0</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-6,4</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-6,2</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Lielbritānija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1,7</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1,3</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0,6</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-1,2</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-4,8</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-6,0</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Čehija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2,7</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4,2</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3,9</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w:t>
            </w:r>
            <w:r w:rsidR="0028112C">
              <w:rPr>
                <w:rFonts w:cs="Times New Roman"/>
                <w:color w:val="000000"/>
                <w:sz w:val="20"/>
                <w:szCs w:val="20"/>
              </w:rPr>
              <w:t>,0</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-4,4</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-5,8</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ES-27</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1,9</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2,1</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1,1</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-1,5</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-5,1</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-5,5</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ES-15</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1,8</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1,9</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0,7</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-1,8</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-5,2</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-5,4</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Nīderlande</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3,6</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3,2</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1,9</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-0,7</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-4,5</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-5,4</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Slovākija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9,3</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7,9</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6,6</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2,5</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-5,6</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-5,3</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Bulgārija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7</w:t>
            </w:r>
            <w:r w:rsidR="002435DA">
              <w:rPr>
                <w:rFonts w:cs="Times New Roman"/>
                <w:color w:val="000000"/>
                <w:sz w:val="20"/>
                <w:szCs w:val="20"/>
              </w:rPr>
              <w:t>,0</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7,1</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6,8</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3,5</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-3,5</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-4,9</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Norvēģija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1,3</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5,5</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1,2</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0,7</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1,1</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-4,8</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Austrija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3,4</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w:t>
            </w:r>
            <w:r w:rsidR="002435DA">
              <w:rPr>
                <w:rFonts w:cs="Times New Roman"/>
                <w:color w:val="000000"/>
                <w:sz w:val="20"/>
                <w:szCs w:val="20"/>
              </w:rPr>
              <w:t>,0</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2,3</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-0,3</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-4,7</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-4,6</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Spānija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1,9</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1,6</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0,9</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-0,9</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-3,7</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-4,5</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Portugāle</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0,9</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0,7</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0,4</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-1,8</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-4,4</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-4,1</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Beļģija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1,9</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w:t>
            </w:r>
            <w:r w:rsidR="002435DA">
              <w:rPr>
                <w:rFonts w:cs="Times New Roman"/>
                <w:color w:val="000000"/>
                <w:sz w:val="20"/>
                <w:szCs w:val="20"/>
              </w:rPr>
              <w:t>,0</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1,5</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w:t>
            </w:r>
            <w:r w:rsidR="0028112C">
              <w:rPr>
                <w:rFonts w:cs="Times New Roman"/>
                <w:color w:val="000000"/>
                <w:sz w:val="20"/>
                <w:szCs w:val="20"/>
              </w:rPr>
              <w:t>,0</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-3,4</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-3,9</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ASV</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w:t>
            </w:r>
            <w:r w:rsidR="002435DA">
              <w:rPr>
                <w:rFonts w:cs="Times New Roman"/>
                <w:color w:val="000000"/>
                <w:sz w:val="20"/>
                <w:szCs w:val="20"/>
              </w:rPr>
              <w:t>,0</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1,6</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-1,9</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-3,3</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-3,9</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Francija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1,7</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1,4</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0,4</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-1,7</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-3,2</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-3,3</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Malta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2,6</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2,9</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2,5</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0,5</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-1,9</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-3,3</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Šveice</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w:t>
            </w:r>
            <w:r w:rsidR="002435DA">
              <w:rPr>
                <w:rFonts w:cs="Times New Roman"/>
                <w:color w:val="000000"/>
                <w:sz w:val="20"/>
                <w:szCs w:val="20"/>
              </w:rPr>
              <w:t>,0</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2,9</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1,6</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-0,3</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-2,2</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-2,0</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Kipra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4,3</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3,8</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3,4</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2,8</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0,9</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-1,1</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Grieķija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3,4</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3,3</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2,9</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2,2</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0,3</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-0,4</w:t>
            </w:r>
          </w:p>
        </w:tc>
      </w:tr>
      <w:tr w:rsidR="0046513D" w:rsidRPr="00142DA0" w:rsidTr="007533A7">
        <w:trPr>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Polija</w:t>
            </w:r>
          </w:p>
        </w:tc>
        <w:tc>
          <w:tcPr>
            <w:tcW w:w="687"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6,3</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5,8</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5,5</w:t>
            </w:r>
          </w:p>
        </w:tc>
        <w:tc>
          <w:tcPr>
            <w:tcW w:w="686"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2,4</w:t>
            </w:r>
          </w:p>
        </w:tc>
        <w:tc>
          <w:tcPr>
            <w:tcW w:w="685" w:type="pct"/>
            <w:noWrap/>
            <w:vAlign w:val="bottom"/>
            <w:hideMark/>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1,1</w:t>
            </w:r>
          </w:p>
        </w:tc>
        <w:tc>
          <w:tcPr>
            <w:tcW w:w="685" w:type="pct"/>
            <w:vAlign w:val="bottom"/>
          </w:tcPr>
          <w:p w:rsidR="0046513D" w:rsidRPr="0046513D" w:rsidRDefault="0046513D" w:rsidP="0046513D">
            <w:pPr>
              <w:tabs>
                <w:tab w:val="decimal" w:pos="376"/>
              </w:tabs>
              <w:spacing w:before="40" w:after="40"/>
              <w:jc w:val="center"/>
              <w:cnfStyle w:val="000000000000"/>
              <w:rPr>
                <w:rFonts w:cs="Times New Roman"/>
                <w:color w:val="000000"/>
                <w:sz w:val="20"/>
                <w:szCs w:val="20"/>
              </w:rPr>
            </w:pPr>
            <w:r w:rsidRPr="0046513D">
              <w:rPr>
                <w:rFonts w:cs="Times New Roman"/>
                <w:color w:val="000000"/>
                <w:sz w:val="20"/>
                <w:szCs w:val="20"/>
              </w:rPr>
              <w:t>1,1</w:t>
            </w:r>
          </w:p>
        </w:tc>
      </w:tr>
      <w:tr w:rsidR="0046513D" w:rsidRPr="00142DA0" w:rsidTr="007533A7">
        <w:trPr>
          <w:cnfStyle w:val="000000100000"/>
          <w:trHeight w:val="300"/>
        </w:trPr>
        <w:tc>
          <w:tcPr>
            <w:cnfStyle w:val="001000000000"/>
            <w:tcW w:w="885" w:type="pct"/>
            <w:noWrap/>
            <w:vAlign w:val="bottom"/>
            <w:hideMark/>
          </w:tcPr>
          <w:p w:rsidR="0046513D" w:rsidRPr="0046513D" w:rsidRDefault="0046513D" w:rsidP="0046513D">
            <w:pPr>
              <w:tabs>
                <w:tab w:val="decimal" w:pos="376"/>
              </w:tabs>
              <w:spacing w:before="40" w:after="40"/>
              <w:rPr>
                <w:rFonts w:cs="Times New Roman"/>
                <w:b w:val="0"/>
                <w:color w:val="000000"/>
                <w:sz w:val="20"/>
                <w:szCs w:val="20"/>
              </w:rPr>
            </w:pPr>
            <w:r w:rsidRPr="0046513D">
              <w:rPr>
                <w:rFonts w:cs="Times New Roman"/>
                <w:b w:val="0"/>
                <w:color w:val="000000"/>
                <w:sz w:val="20"/>
                <w:szCs w:val="20"/>
              </w:rPr>
              <w:t>Luksemburga</w:t>
            </w:r>
          </w:p>
        </w:tc>
        <w:tc>
          <w:tcPr>
            <w:tcW w:w="687"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w:t>
            </w:r>
            <w:r w:rsidR="002435DA">
              <w:rPr>
                <w:rFonts w:cs="Times New Roman"/>
                <w:color w:val="000000"/>
                <w:sz w:val="20"/>
                <w:szCs w:val="20"/>
              </w:rPr>
              <w:t>,0</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1,1</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-0,9</w:t>
            </w:r>
          </w:p>
        </w:tc>
        <w:tc>
          <w:tcPr>
            <w:tcW w:w="686"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-4,8</w:t>
            </w:r>
          </w:p>
        </w:tc>
        <w:tc>
          <w:tcPr>
            <w:tcW w:w="685" w:type="pct"/>
            <w:noWrap/>
            <w:vAlign w:val="bottom"/>
            <w:hideMark/>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-5,5</w:t>
            </w:r>
          </w:p>
        </w:tc>
        <w:tc>
          <w:tcPr>
            <w:tcW w:w="685" w:type="pct"/>
            <w:vAlign w:val="bottom"/>
          </w:tcPr>
          <w:p w:rsidR="0046513D" w:rsidRPr="0046513D" w:rsidRDefault="0046513D" w:rsidP="0046513D">
            <w:pPr>
              <w:tabs>
                <w:tab w:val="decimal" w:pos="376"/>
              </w:tabs>
              <w:spacing w:before="40" w:after="40"/>
              <w:jc w:val="center"/>
              <w:cnfStyle w:val="000000100000"/>
              <w:rPr>
                <w:rFonts w:cs="Times New Roman"/>
                <w:color w:val="000000"/>
                <w:sz w:val="20"/>
                <w:szCs w:val="20"/>
              </w:rPr>
            </w:pPr>
            <w:r w:rsidRPr="0046513D">
              <w:rPr>
                <w:rFonts w:cs="Times New Roman"/>
                <w:color w:val="000000"/>
                <w:sz w:val="20"/>
                <w:szCs w:val="20"/>
              </w:rPr>
              <w:t>:</w:t>
            </w:r>
          </w:p>
        </w:tc>
      </w:tr>
    </w:tbl>
    <w:p w:rsidR="008E433C" w:rsidRPr="00B454C8" w:rsidRDefault="008E433C" w:rsidP="008E433C">
      <w:pPr>
        <w:spacing w:before="120"/>
        <w:rPr>
          <w:sz w:val="16"/>
        </w:rPr>
      </w:pPr>
      <w:r w:rsidRPr="00B454C8">
        <w:rPr>
          <w:sz w:val="16"/>
        </w:rPr>
        <w:t xml:space="preserve">Avots: </w:t>
      </w:r>
      <w:r w:rsidRPr="00B454C8">
        <w:rPr>
          <w:i/>
          <w:sz w:val="16"/>
        </w:rPr>
        <w:t>Eurostat</w:t>
      </w:r>
    </w:p>
    <w:p w:rsidR="008E433C" w:rsidRDefault="008E433C" w:rsidP="008E433C">
      <w:pPr>
        <w:jc w:val="right"/>
        <w:rPr>
          <w:sz w:val="28"/>
        </w:rPr>
      </w:pPr>
    </w:p>
    <w:p w:rsidR="008E433C" w:rsidRDefault="008E433C" w:rsidP="008E433C">
      <w:pPr>
        <w:pStyle w:val="Heading2"/>
        <w:jc w:val="center"/>
      </w:pPr>
    </w:p>
    <w:p w:rsidR="008E433C" w:rsidRDefault="008E433C" w:rsidP="008E433C">
      <w:pPr>
        <w:pStyle w:val="Heading2"/>
      </w:pPr>
    </w:p>
    <w:p w:rsidR="008E433C" w:rsidRDefault="008E433C" w:rsidP="008E433C">
      <w:pPr>
        <w:pStyle w:val="Heading2"/>
      </w:pPr>
      <w:bookmarkStart w:id="45" w:name="_Toc239501364"/>
      <w:bookmarkStart w:id="46" w:name="_Toc242510381"/>
      <w:r w:rsidRPr="00187334">
        <w:t xml:space="preserve">2.tabula. </w:t>
      </w:r>
      <w:hyperlink w:anchor="_top" w:history="1">
        <w:r w:rsidRPr="00187334">
          <w:rPr>
            <w:rStyle w:val="Hyperlink"/>
            <w:color w:val="auto"/>
            <w:u w:val="none"/>
          </w:rPr>
          <w:t>IKP pa nozarēm</w:t>
        </w:r>
      </w:hyperlink>
      <w:r w:rsidRPr="00187334">
        <w:t xml:space="preserve"> no 2000. līdz 2008.gadam </w:t>
      </w:r>
      <w:r>
        <w:t>faktiskajās cenās</w:t>
      </w:r>
      <w:bookmarkEnd w:id="45"/>
      <w:bookmarkEnd w:id="46"/>
    </w:p>
    <w:p w:rsidR="008E433C" w:rsidRPr="00ED0077" w:rsidRDefault="008E433C" w:rsidP="008E433C">
      <w:pPr>
        <w:rPr>
          <w:szCs w:val="24"/>
        </w:rPr>
      </w:pPr>
      <w:r w:rsidRPr="00ED0077">
        <w:rPr>
          <w:szCs w:val="24"/>
        </w:rPr>
        <w:t>(milj. latu)</w:t>
      </w:r>
    </w:p>
    <w:p w:rsidR="008E433C" w:rsidRPr="00187334" w:rsidRDefault="008E433C" w:rsidP="008E433C">
      <w:pPr>
        <w:rPr>
          <w:sz w:val="28"/>
        </w:rPr>
      </w:pPr>
    </w:p>
    <w:tbl>
      <w:tblPr>
        <w:tblStyle w:val="LightShading1"/>
        <w:tblW w:w="5161" w:type="pct"/>
        <w:tblLayout w:type="fixed"/>
        <w:tblLook w:val="0400"/>
      </w:tblPr>
      <w:tblGrid>
        <w:gridCol w:w="2084"/>
        <w:gridCol w:w="845"/>
        <w:gridCol w:w="844"/>
        <w:gridCol w:w="846"/>
        <w:gridCol w:w="846"/>
        <w:gridCol w:w="846"/>
        <w:gridCol w:w="846"/>
        <w:gridCol w:w="1005"/>
        <w:gridCol w:w="1017"/>
        <w:gridCol w:w="993"/>
      </w:tblGrid>
      <w:tr w:rsidR="008E433C" w:rsidRPr="00142DA0" w:rsidTr="002F02CF">
        <w:trPr>
          <w:cnfStyle w:val="000000100000"/>
          <w:trHeight w:val="478"/>
        </w:trPr>
        <w:tc>
          <w:tcPr>
            <w:tcW w:w="1024" w:type="pct"/>
            <w:tcBorders>
              <w:top w:val="single" w:sz="8" w:space="0" w:color="000000" w:themeColor="text1"/>
              <w:bottom w:val="single" w:sz="4" w:space="0" w:color="auto"/>
            </w:tcBorders>
            <w:noWrap/>
            <w:hideMark/>
          </w:tcPr>
          <w:p w:rsidR="008E433C" w:rsidRPr="00142DA0" w:rsidRDefault="008E433C" w:rsidP="002F02CF">
            <w:pPr>
              <w:spacing w:before="120" w:after="120"/>
              <w:ind w:right="-117"/>
              <w:jc w:val="center"/>
              <w:rPr>
                <w:rFonts w:cs="Times New Roman"/>
                <w:b/>
                <w:bCs/>
                <w:i/>
                <w:iCs/>
                <w:sz w:val="22"/>
                <w:u w:val="single"/>
              </w:rPr>
            </w:pPr>
          </w:p>
        </w:tc>
        <w:tc>
          <w:tcPr>
            <w:tcW w:w="415"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2000</w:t>
            </w:r>
          </w:p>
        </w:tc>
        <w:tc>
          <w:tcPr>
            <w:tcW w:w="415"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2001</w:t>
            </w:r>
          </w:p>
        </w:tc>
        <w:tc>
          <w:tcPr>
            <w:tcW w:w="416"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2002</w:t>
            </w:r>
          </w:p>
        </w:tc>
        <w:tc>
          <w:tcPr>
            <w:tcW w:w="416"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2003</w:t>
            </w:r>
          </w:p>
        </w:tc>
        <w:tc>
          <w:tcPr>
            <w:tcW w:w="416"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2004</w:t>
            </w:r>
          </w:p>
        </w:tc>
        <w:tc>
          <w:tcPr>
            <w:tcW w:w="416"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2005</w:t>
            </w:r>
          </w:p>
        </w:tc>
        <w:tc>
          <w:tcPr>
            <w:tcW w:w="494"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2006</w:t>
            </w:r>
          </w:p>
        </w:tc>
        <w:tc>
          <w:tcPr>
            <w:tcW w:w="500"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2007</w:t>
            </w:r>
          </w:p>
        </w:tc>
        <w:tc>
          <w:tcPr>
            <w:tcW w:w="488"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2008</w:t>
            </w:r>
          </w:p>
        </w:tc>
      </w:tr>
      <w:tr w:rsidR="008E433C" w:rsidRPr="00142DA0" w:rsidTr="001911DD">
        <w:trPr>
          <w:trHeight w:val="300"/>
        </w:trPr>
        <w:tc>
          <w:tcPr>
            <w:tcW w:w="1024" w:type="pct"/>
            <w:tcBorders>
              <w:top w:val="single" w:sz="4" w:space="0" w:color="auto"/>
            </w:tcBorders>
            <w:noWrap/>
            <w:vAlign w:val="bottom"/>
            <w:hideMark/>
          </w:tcPr>
          <w:p w:rsidR="008E433C" w:rsidRPr="00142DA0" w:rsidRDefault="008E433C" w:rsidP="001911DD">
            <w:pPr>
              <w:spacing w:before="120" w:after="120"/>
              <w:ind w:right="-117"/>
              <w:rPr>
                <w:rFonts w:cs="Times New Roman"/>
                <w:b/>
                <w:sz w:val="22"/>
              </w:rPr>
            </w:pPr>
            <w:r w:rsidRPr="00142DA0">
              <w:rPr>
                <w:rFonts w:cs="Times New Roman"/>
                <w:sz w:val="22"/>
              </w:rPr>
              <w:t xml:space="preserve">Lauksaimniecība, </w:t>
            </w:r>
            <w:r w:rsidR="001911DD">
              <w:rPr>
                <w:rFonts w:cs="Times New Roman"/>
                <w:sz w:val="22"/>
              </w:rPr>
              <w:t>mežsaimniecība</w:t>
            </w:r>
          </w:p>
        </w:tc>
        <w:tc>
          <w:tcPr>
            <w:tcW w:w="415" w:type="pct"/>
            <w:tcBorders>
              <w:top w:val="single" w:sz="4" w:space="0" w:color="auto"/>
            </w:tcBorders>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180,0</w:t>
            </w:r>
          </w:p>
        </w:tc>
        <w:tc>
          <w:tcPr>
            <w:tcW w:w="415" w:type="pct"/>
            <w:tcBorders>
              <w:top w:val="single" w:sz="4" w:space="0" w:color="auto"/>
            </w:tcBorders>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198,0</w:t>
            </w:r>
          </w:p>
        </w:tc>
        <w:tc>
          <w:tcPr>
            <w:tcW w:w="416" w:type="pct"/>
            <w:tcBorders>
              <w:top w:val="single" w:sz="4" w:space="0" w:color="auto"/>
            </w:tcBorders>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228,9</w:t>
            </w:r>
          </w:p>
        </w:tc>
        <w:tc>
          <w:tcPr>
            <w:tcW w:w="416" w:type="pct"/>
            <w:tcBorders>
              <w:top w:val="single" w:sz="4" w:space="0" w:color="auto"/>
            </w:tcBorders>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228,6</w:t>
            </w:r>
          </w:p>
        </w:tc>
        <w:tc>
          <w:tcPr>
            <w:tcW w:w="416" w:type="pct"/>
            <w:tcBorders>
              <w:top w:val="single" w:sz="4" w:space="0" w:color="auto"/>
            </w:tcBorders>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286,0</w:t>
            </w:r>
          </w:p>
        </w:tc>
        <w:tc>
          <w:tcPr>
            <w:tcW w:w="416" w:type="pct"/>
            <w:tcBorders>
              <w:top w:val="single" w:sz="4" w:space="0" w:color="auto"/>
            </w:tcBorders>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308,9</w:t>
            </w:r>
          </w:p>
        </w:tc>
        <w:tc>
          <w:tcPr>
            <w:tcW w:w="494" w:type="pct"/>
            <w:tcBorders>
              <w:top w:val="single" w:sz="4" w:space="0" w:color="auto"/>
            </w:tcBorders>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333,8</w:t>
            </w:r>
          </w:p>
        </w:tc>
        <w:tc>
          <w:tcPr>
            <w:tcW w:w="500" w:type="pct"/>
            <w:tcBorders>
              <w:top w:val="single" w:sz="4" w:space="0" w:color="auto"/>
            </w:tcBorders>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456,4</w:t>
            </w:r>
          </w:p>
        </w:tc>
        <w:tc>
          <w:tcPr>
            <w:tcW w:w="488" w:type="pct"/>
            <w:tcBorders>
              <w:top w:val="single" w:sz="4" w:space="0" w:color="auto"/>
            </w:tcBorders>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440,8</w:t>
            </w:r>
          </w:p>
        </w:tc>
      </w:tr>
      <w:tr w:rsidR="008E433C" w:rsidRPr="00142DA0" w:rsidTr="001911DD">
        <w:trPr>
          <w:cnfStyle w:val="000000100000"/>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Zvejniecība</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15,8</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13,8</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9,9</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7,4</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8,5</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9,5</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11,2</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11,2</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12,9</w:t>
            </w:r>
          </w:p>
        </w:tc>
      </w:tr>
      <w:tr w:rsidR="008E433C" w:rsidRPr="00142DA0" w:rsidTr="001911DD">
        <w:trPr>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Iegūstošā rūpniecība</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5,3</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8,7</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11,4</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15,9</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18,7</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27,3</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34,0</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53,5</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59,5</w:t>
            </w:r>
          </w:p>
        </w:tc>
      </w:tr>
      <w:tr w:rsidR="008E433C" w:rsidRPr="00142DA0" w:rsidTr="001911DD">
        <w:trPr>
          <w:cnfStyle w:val="000000100000"/>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Apstrādes rūpniecība</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584,0</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652,1</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711,0</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759,8</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876,2</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1009,7</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1159,4</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1487,3</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1538,7</w:t>
            </w:r>
          </w:p>
        </w:tc>
      </w:tr>
      <w:tr w:rsidR="008E433C" w:rsidRPr="00142DA0" w:rsidTr="001911DD">
        <w:trPr>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Elektroenerģija, gāze un ūdens apgāde</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151,3</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161,7</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168,8</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179,2</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200,5</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204,5</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235,0</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319,2</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411,1</w:t>
            </w:r>
          </w:p>
        </w:tc>
      </w:tr>
      <w:tr w:rsidR="008E433C" w:rsidRPr="00142DA0" w:rsidTr="001911DD">
        <w:trPr>
          <w:cnfStyle w:val="000000100000"/>
          <w:trHeight w:val="300"/>
        </w:trPr>
        <w:tc>
          <w:tcPr>
            <w:tcW w:w="1024" w:type="pct"/>
            <w:noWrap/>
            <w:vAlign w:val="bottom"/>
            <w:hideMark/>
          </w:tcPr>
          <w:p w:rsidR="008E433C" w:rsidRPr="001911DD" w:rsidRDefault="001911DD" w:rsidP="002F02CF">
            <w:pPr>
              <w:spacing w:before="120" w:after="120"/>
              <w:ind w:right="-117"/>
              <w:rPr>
                <w:rFonts w:cs="Times New Roman"/>
                <w:sz w:val="22"/>
              </w:rPr>
            </w:pPr>
            <w:r w:rsidRPr="001911DD">
              <w:rPr>
                <w:rFonts w:cs="Times New Roman"/>
                <w:sz w:val="22"/>
              </w:rPr>
              <w:t>Būvniecība</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261,7</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262,2</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287,4</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320,9</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387,6</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490,9</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726,1</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1176,9</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1298,4</w:t>
            </w:r>
          </w:p>
        </w:tc>
      </w:tr>
      <w:tr w:rsidR="008E433C" w:rsidRPr="00142DA0" w:rsidTr="001911DD">
        <w:trPr>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Tirdzniecība</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712,9</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818,0</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922,7</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1022,9</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1258,2</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1595,4</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2050,5</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2577,7</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2525,9</w:t>
            </w:r>
          </w:p>
        </w:tc>
      </w:tr>
      <w:tr w:rsidR="008E433C" w:rsidRPr="00142DA0" w:rsidTr="001911DD">
        <w:trPr>
          <w:cnfStyle w:val="000000100000"/>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Viesnīcas un restorāni</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48,8</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58,2</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62,4</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80,4</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108,4</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137,6</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186,5</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239,6</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240,4</w:t>
            </w:r>
          </w:p>
        </w:tc>
      </w:tr>
      <w:tr w:rsidR="008E433C" w:rsidRPr="00142DA0" w:rsidTr="001911DD">
        <w:trPr>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Transports un sakari</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598,0</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720,9</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785,6</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876,7</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983,3</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1118,1</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1126,0</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1334,4</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1567,7</w:t>
            </w:r>
          </w:p>
        </w:tc>
      </w:tr>
      <w:tr w:rsidR="008E433C" w:rsidRPr="00142DA0" w:rsidTr="001911DD">
        <w:trPr>
          <w:cnfStyle w:val="000000100000"/>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Finanses</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209,5</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207,2</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261,1</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282,6</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337,5</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478,4</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667,8</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804,5</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923,9</w:t>
            </w:r>
          </w:p>
        </w:tc>
      </w:tr>
      <w:tr w:rsidR="008E433C" w:rsidRPr="00142DA0" w:rsidTr="001911DD">
        <w:trPr>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Nekustamo īpašumu izmantošana un komercdarbība</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596,1</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659,2</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720,5</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783,3</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922,0</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1137,9</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1466,9</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2108,2</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2560,3</w:t>
            </w:r>
          </w:p>
        </w:tc>
      </w:tr>
      <w:tr w:rsidR="008E433C" w:rsidRPr="00142DA0" w:rsidTr="001911DD">
        <w:trPr>
          <w:cnfStyle w:val="000000100000"/>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Valsts pārvalde</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348,3</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369,0</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409,8</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443,6</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475,2</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577,4</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718,7</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983,1</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1128,0</w:t>
            </w:r>
          </w:p>
        </w:tc>
      </w:tr>
      <w:tr w:rsidR="008E433C" w:rsidRPr="00142DA0" w:rsidTr="001911DD">
        <w:trPr>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Izglītība</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224,7</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237,9</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256,7</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321,6</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347,2</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386,4</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441,3</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611,2</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752,0</w:t>
            </w:r>
          </w:p>
        </w:tc>
      </w:tr>
      <w:tr w:rsidR="008E433C" w:rsidRPr="00142DA0" w:rsidTr="001911DD">
        <w:trPr>
          <w:cnfStyle w:val="000000100000"/>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Veselības aizsardzība</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143,2</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150,3</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154,5</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169,3</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190,1</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237,7</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284,3</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361,0</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414,0</w:t>
            </w:r>
          </w:p>
        </w:tc>
      </w:tr>
      <w:tr w:rsidR="008E433C" w:rsidRPr="00142DA0" w:rsidTr="001911DD">
        <w:trPr>
          <w:trHeight w:val="300"/>
        </w:trPr>
        <w:tc>
          <w:tcPr>
            <w:tcW w:w="1024" w:type="pct"/>
            <w:noWrap/>
            <w:vAlign w:val="bottom"/>
            <w:hideMark/>
          </w:tcPr>
          <w:p w:rsidR="008E433C" w:rsidRPr="00142DA0" w:rsidRDefault="008E433C" w:rsidP="002F02CF">
            <w:pPr>
              <w:spacing w:before="120" w:after="120"/>
              <w:ind w:right="-117"/>
              <w:rPr>
                <w:rFonts w:cs="Times New Roman"/>
                <w:b/>
                <w:sz w:val="22"/>
              </w:rPr>
            </w:pPr>
            <w:r w:rsidRPr="00142DA0">
              <w:rPr>
                <w:rFonts w:cs="Times New Roman"/>
                <w:sz w:val="22"/>
              </w:rPr>
              <w:t>Citi pakalpojumi</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173,0</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185,1</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197,9</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223,4</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262,7</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309,6</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394,4</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535,6</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693,6</w:t>
            </w:r>
          </w:p>
        </w:tc>
      </w:tr>
      <w:tr w:rsidR="008E433C" w:rsidRPr="00142DA0" w:rsidTr="001911DD">
        <w:trPr>
          <w:cnfStyle w:val="000000100000"/>
          <w:trHeight w:val="300"/>
        </w:trPr>
        <w:tc>
          <w:tcPr>
            <w:tcW w:w="1024" w:type="pct"/>
            <w:noWrap/>
            <w:vAlign w:val="bottom"/>
            <w:hideMark/>
          </w:tcPr>
          <w:p w:rsidR="008E433C" w:rsidRPr="00142DA0" w:rsidRDefault="008E433C" w:rsidP="002F02CF">
            <w:pPr>
              <w:spacing w:before="120" w:after="120"/>
              <w:ind w:right="-117"/>
              <w:rPr>
                <w:rFonts w:cs="Times New Roman"/>
                <w:b/>
                <w:iCs/>
                <w:sz w:val="22"/>
              </w:rPr>
            </w:pPr>
            <w:r w:rsidRPr="00142DA0">
              <w:rPr>
                <w:rFonts w:cs="Times New Roman"/>
                <w:b/>
                <w:iCs/>
                <w:sz w:val="22"/>
              </w:rPr>
              <w:t>Pievienotā vērtība kopā</w:t>
            </w:r>
          </w:p>
        </w:tc>
        <w:tc>
          <w:tcPr>
            <w:tcW w:w="415" w:type="pct"/>
            <w:noWrap/>
            <w:vAlign w:val="center"/>
            <w:hideMark/>
          </w:tcPr>
          <w:p w:rsidR="008E433C" w:rsidRPr="003C53B7" w:rsidRDefault="008E433C" w:rsidP="001911DD">
            <w:pPr>
              <w:tabs>
                <w:tab w:val="decimal" w:pos="376"/>
              </w:tabs>
              <w:spacing w:before="120" w:after="120"/>
              <w:jc w:val="center"/>
              <w:rPr>
                <w:rFonts w:cs="Times New Roman"/>
                <w:b/>
                <w:color w:val="000000"/>
                <w:sz w:val="20"/>
                <w:szCs w:val="20"/>
              </w:rPr>
            </w:pPr>
            <w:r w:rsidRPr="003C53B7">
              <w:rPr>
                <w:rFonts w:cs="Times New Roman"/>
                <w:b/>
                <w:color w:val="000000"/>
                <w:sz w:val="20"/>
                <w:szCs w:val="20"/>
              </w:rPr>
              <w:t>4252,6</w:t>
            </w:r>
          </w:p>
        </w:tc>
        <w:tc>
          <w:tcPr>
            <w:tcW w:w="415" w:type="pct"/>
            <w:noWrap/>
            <w:vAlign w:val="center"/>
            <w:hideMark/>
          </w:tcPr>
          <w:p w:rsidR="008E433C" w:rsidRPr="003C53B7" w:rsidRDefault="008E433C" w:rsidP="001911DD">
            <w:pPr>
              <w:tabs>
                <w:tab w:val="decimal" w:pos="376"/>
              </w:tabs>
              <w:spacing w:before="120" w:after="120"/>
              <w:jc w:val="center"/>
              <w:rPr>
                <w:rFonts w:cs="Times New Roman"/>
                <w:b/>
                <w:color w:val="000000"/>
                <w:sz w:val="20"/>
                <w:szCs w:val="20"/>
              </w:rPr>
            </w:pPr>
            <w:r w:rsidRPr="003C53B7">
              <w:rPr>
                <w:rFonts w:cs="Times New Roman"/>
                <w:b/>
                <w:color w:val="000000"/>
                <w:sz w:val="20"/>
                <w:szCs w:val="20"/>
              </w:rPr>
              <w:t>4702,2</w:t>
            </w:r>
          </w:p>
        </w:tc>
        <w:tc>
          <w:tcPr>
            <w:tcW w:w="416" w:type="pct"/>
            <w:noWrap/>
            <w:vAlign w:val="center"/>
            <w:hideMark/>
          </w:tcPr>
          <w:p w:rsidR="008E433C" w:rsidRPr="003C53B7" w:rsidRDefault="008E433C" w:rsidP="001911DD">
            <w:pPr>
              <w:tabs>
                <w:tab w:val="decimal" w:pos="376"/>
              </w:tabs>
              <w:spacing w:before="120" w:after="120"/>
              <w:jc w:val="center"/>
              <w:rPr>
                <w:rFonts w:cs="Times New Roman"/>
                <w:b/>
                <w:color w:val="000000"/>
                <w:sz w:val="20"/>
                <w:szCs w:val="20"/>
              </w:rPr>
            </w:pPr>
            <w:r w:rsidRPr="003C53B7">
              <w:rPr>
                <w:rFonts w:cs="Times New Roman"/>
                <w:b/>
                <w:color w:val="000000"/>
                <w:sz w:val="20"/>
                <w:szCs w:val="20"/>
              </w:rPr>
              <w:t>5188,6</w:t>
            </w:r>
          </w:p>
        </w:tc>
        <w:tc>
          <w:tcPr>
            <w:tcW w:w="416" w:type="pct"/>
            <w:noWrap/>
            <w:vAlign w:val="center"/>
            <w:hideMark/>
          </w:tcPr>
          <w:p w:rsidR="008E433C" w:rsidRPr="003C53B7" w:rsidRDefault="008E433C" w:rsidP="001911DD">
            <w:pPr>
              <w:tabs>
                <w:tab w:val="decimal" w:pos="376"/>
              </w:tabs>
              <w:spacing w:before="120" w:after="120"/>
              <w:jc w:val="center"/>
              <w:rPr>
                <w:rFonts w:cs="Times New Roman"/>
                <w:b/>
                <w:color w:val="000000"/>
                <w:sz w:val="20"/>
                <w:szCs w:val="20"/>
              </w:rPr>
            </w:pPr>
            <w:r w:rsidRPr="003C53B7">
              <w:rPr>
                <w:rFonts w:cs="Times New Roman"/>
                <w:b/>
                <w:color w:val="000000"/>
                <w:sz w:val="20"/>
                <w:szCs w:val="20"/>
              </w:rPr>
              <w:t>5715,7</w:t>
            </w:r>
          </w:p>
        </w:tc>
        <w:tc>
          <w:tcPr>
            <w:tcW w:w="416" w:type="pct"/>
            <w:noWrap/>
            <w:vAlign w:val="center"/>
            <w:hideMark/>
          </w:tcPr>
          <w:p w:rsidR="008E433C" w:rsidRPr="003C53B7" w:rsidRDefault="008E433C" w:rsidP="001911DD">
            <w:pPr>
              <w:tabs>
                <w:tab w:val="decimal" w:pos="376"/>
              </w:tabs>
              <w:spacing w:before="120" w:after="120"/>
              <w:jc w:val="center"/>
              <w:rPr>
                <w:rFonts w:cs="Times New Roman"/>
                <w:b/>
                <w:color w:val="000000"/>
                <w:sz w:val="20"/>
                <w:szCs w:val="20"/>
              </w:rPr>
            </w:pPr>
            <w:r w:rsidRPr="003C53B7">
              <w:rPr>
                <w:rFonts w:cs="Times New Roman"/>
                <w:b/>
                <w:color w:val="000000"/>
                <w:sz w:val="20"/>
                <w:szCs w:val="20"/>
              </w:rPr>
              <w:t>6661,9</w:t>
            </w:r>
          </w:p>
        </w:tc>
        <w:tc>
          <w:tcPr>
            <w:tcW w:w="416" w:type="pct"/>
            <w:noWrap/>
            <w:vAlign w:val="center"/>
            <w:hideMark/>
          </w:tcPr>
          <w:p w:rsidR="008E433C" w:rsidRPr="003C53B7" w:rsidRDefault="008E433C" w:rsidP="001911DD">
            <w:pPr>
              <w:tabs>
                <w:tab w:val="decimal" w:pos="376"/>
              </w:tabs>
              <w:spacing w:before="120" w:after="120"/>
              <w:jc w:val="center"/>
              <w:rPr>
                <w:rFonts w:cs="Times New Roman"/>
                <w:b/>
                <w:color w:val="000000"/>
                <w:sz w:val="20"/>
                <w:szCs w:val="20"/>
              </w:rPr>
            </w:pPr>
            <w:r w:rsidRPr="003C53B7">
              <w:rPr>
                <w:rFonts w:cs="Times New Roman"/>
                <w:b/>
                <w:color w:val="000000"/>
                <w:sz w:val="20"/>
                <w:szCs w:val="20"/>
              </w:rPr>
              <w:t>8029,4</w:t>
            </w:r>
          </w:p>
        </w:tc>
        <w:tc>
          <w:tcPr>
            <w:tcW w:w="494" w:type="pct"/>
            <w:noWrap/>
            <w:vAlign w:val="center"/>
            <w:hideMark/>
          </w:tcPr>
          <w:p w:rsidR="008E433C" w:rsidRPr="003C53B7" w:rsidRDefault="008E433C" w:rsidP="001911DD">
            <w:pPr>
              <w:tabs>
                <w:tab w:val="decimal" w:pos="376"/>
              </w:tabs>
              <w:spacing w:before="120" w:after="120"/>
              <w:jc w:val="center"/>
              <w:rPr>
                <w:rFonts w:cs="Times New Roman"/>
                <w:b/>
                <w:color w:val="000000"/>
                <w:sz w:val="20"/>
                <w:szCs w:val="20"/>
              </w:rPr>
            </w:pPr>
            <w:r w:rsidRPr="003C53B7">
              <w:rPr>
                <w:rFonts w:cs="Times New Roman"/>
                <w:b/>
                <w:color w:val="000000"/>
                <w:sz w:val="20"/>
                <w:szCs w:val="20"/>
              </w:rPr>
              <w:t>9835,8</w:t>
            </w:r>
          </w:p>
        </w:tc>
        <w:tc>
          <w:tcPr>
            <w:tcW w:w="500" w:type="pct"/>
            <w:noWrap/>
            <w:vAlign w:val="center"/>
            <w:hideMark/>
          </w:tcPr>
          <w:p w:rsidR="008E433C" w:rsidRPr="003C53B7" w:rsidRDefault="008E433C" w:rsidP="001911DD">
            <w:pPr>
              <w:tabs>
                <w:tab w:val="decimal" w:pos="376"/>
              </w:tabs>
              <w:spacing w:before="120" w:after="120"/>
              <w:jc w:val="center"/>
              <w:rPr>
                <w:rFonts w:cs="Times New Roman"/>
                <w:b/>
                <w:color w:val="000000"/>
                <w:sz w:val="20"/>
                <w:szCs w:val="20"/>
              </w:rPr>
            </w:pPr>
            <w:r w:rsidRPr="003C53B7">
              <w:rPr>
                <w:rFonts w:cs="Times New Roman"/>
                <w:b/>
                <w:color w:val="000000"/>
                <w:sz w:val="20"/>
                <w:szCs w:val="20"/>
              </w:rPr>
              <w:t>13059,7</w:t>
            </w:r>
          </w:p>
        </w:tc>
        <w:tc>
          <w:tcPr>
            <w:tcW w:w="488" w:type="pct"/>
            <w:noWrap/>
            <w:vAlign w:val="center"/>
            <w:hideMark/>
          </w:tcPr>
          <w:p w:rsidR="008E433C" w:rsidRPr="003C53B7" w:rsidRDefault="008E433C" w:rsidP="001911DD">
            <w:pPr>
              <w:tabs>
                <w:tab w:val="decimal" w:pos="376"/>
              </w:tabs>
              <w:spacing w:before="120" w:after="120"/>
              <w:jc w:val="center"/>
              <w:rPr>
                <w:rFonts w:cs="Times New Roman"/>
                <w:b/>
                <w:color w:val="000000"/>
                <w:sz w:val="20"/>
                <w:szCs w:val="20"/>
              </w:rPr>
            </w:pPr>
            <w:r w:rsidRPr="003C53B7">
              <w:rPr>
                <w:rFonts w:cs="Times New Roman"/>
                <w:b/>
                <w:color w:val="000000"/>
                <w:sz w:val="20"/>
                <w:szCs w:val="20"/>
              </w:rPr>
              <w:t>14567,0</w:t>
            </w:r>
          </w:p>
        </w:tc>
      </w:tr>
      <w:tr w:rsidR="008E433C" w:rsidRPr="00142DA0" w:rsidTr="001911DD">
        <w:trPr>
          <w:trHeight w:val="300"/>
        </w:trPr>
        <w:tc>
          <w:tcPr>
            <w:tcW w:w="1024" w:type="pct"/>
            <w:noWrap/>
            <w:vAlign w:val="bottom"/>
            <w:hideMark/>
          </w:tcPr>
          <w:p w:rsidR="008E433C" w:rsidRPr="00142DA0" w:rsidRDefault="008E433C" w:rsidP="002F02CF">
            <w:pPr>
              <w:spacing w:before="120" w:after="120"/>
              <w:ind w:right="-117"/>
              <w:rPr>
                <w:rFonts w:cs="Times New Roman"/>
                <w:iCs/>
                <w:sz w:val="22"/>
              </w:rPr>
            </w:pPr>
            <w:r w:rsidRPr="00142DA0">
              <w:rPr>
                <w:rFonts w:cs="Times New Roman"/>
                <w:iCs/>
                <w:sz w:val="22"/>
              </w:rPr>
              <w:t>Produktu nodokļi</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498,2</w:t>
            </w:r>
          </w:p>
        </w:tc>
        <w:tc>
          <w:tcPr>
            <w:tcW w:w="415"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517,7</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569,7</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677,1</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772,5</w:t>
            </w:r>
          </w:p>
        </w:tc>
        <w:tc>
          <w:tcPr>
            <w:tcW w:w="416"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1029,7</w:t>
            </w:r>
          </w:p>
        </w:tc>
        <w:tc>
          <w:tcPr>
            <w:tcW w:w="494"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1335,9</w:t>
            </w:r>
          </w:p>
        </w:tc>
        <w:tc>
          <w:tcPr>
            <w:tcW w:w="500"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1720,1</w:t>
            </w:r>
          </w:p>
        </w:tc>
        <w:tc>
          <w:tcPr>
            <w:tcW w:w="488" w:type="pct"/>
            <w:noWrap/>
            <w:vAlign w:val="center"/>
            <w:hideMark/>
          </w:tcPr>
          <w:p w:rsidR="008E433C" w:rsidRPr="003C53B7" w:rsidRDefault="008E433C" w:rsidP="001911DD">
            <w:pPr>
              <w:tabs>
                <w:tab w:val="decimal" w:pos="376"/>
              </w:tabs>
              <w:spacing w:before="120" w:after="120"/>
              <w:jc w:val="center"/>
              <w:rPr>
                <w:rFonts w:cs="Times New Roman"/>
                <w:color w:val="000000"/>
                <w:sz w:val="20"/>
                <w:szCs w:val="20"/>
              </w:rPr>
            </w:pPr>
            <w:r w:rsidRPr="003C53B7">
              <w:rPr>
                <w:rFonts w:cs="Times New Roman"/>
                <w:color w:val="000000"/>
                <w:sz w:val="20"/>
                <w:szCs w:val="20"/>
              </w:rPr>
              <w:t>1676,1</w:t>
            </w:r>
          </w:p>
        </w:tc>
      </w:tr>
      <w:tr w:rsidR="008E433C" w:rsidRPr="00142DA0" w:rsidTr="001911DD">
        <w:trPr>
          <w:cnfStyle w:val="000000100000"/>
          <w:trHeight w:val="300"/>
        </w:trPr>
        <w:tc>
          <w:tcPr>
            <w:tcW w:w="1024" w:type="pct"/>
            <w:noWrap/>
            <w:vAlign w:val="bottom"/>
            <w:hideMark/>
          </w:tcPr>
          <w:p w:rsidR="008E433C" w:rsidRPr="00142DA0" w:rsidRDefault="008E433C" w:rsidP="002F02CF">
            <w:pPr>
              <w:spacing w:before="120" w:after="120"/>
              <w:ind w:right="-117"/>
              <w:rPr>
                <w:rFonts w:cs="Times New Roman"/>
                <w:b/>
                <w:bCs/>
                <w:iCs/>
                <w:sz w:val="22"/>
              </w:rPr>
            </w:pPr>
            <w:r w:rsidRPr="00142DA0">
              <w:rPr>
                <w:rFonts w:cs="Times New Roman"/>
                <w:b/>
                <w:iCs/>
                <w:sz w:val="22"/>
              </w:rPr>
              <w:t>IKP</w:t>
            </w:r>
          </w:p>
        </w:tc>
        <w:tc>
          <w:tcPr>
            <w:tcW w:w="415" w:type="pct"/>
            <w:noWrap/>
            <w:vAlign w:val="center"/>
            <w:hideMark/>
          </w:tcPr>
          <w:p w:rsidR="008E433C" w:rsidRPr="00142DA0" w:rsidRDefault="008E433C" w:rsidP="001911DD">
            <w:pPr>
              <w:tabs>
                <w:tab w:val="decimal" w:pos="376"/>
              </w:tabs>
              <w:spacing w:before="120" w:after="120"/>
              <w:jc w:val="center"/>
              <w:rPr>
                <w:rFonts w:cs="Times New Roman"/>
                <w:b/>
                <w:color w:val="000000"/>
                <w:sz w:val="22"/>
              </w:rPr>
            </w:pPr>
            <w:r w:rsidRPr="00142DA0">
              <w:rPr>
                <w:rFonts w:cs="Times New Roman"/>
                <w:b/>
                <w:color w:val="000000"/>
                <w:sz w:val="22"/>
              </w:rPr>
              <w:t>4750,8</w:t>
            </w:r>
          </w:p>
        </w:tc>
        <w:tc>
          <w:tcPr>
            <w:tcW w:w="415" w:type="pct"/>
            <w:noWrap/>
            <w:vAlign w:val="center"/>
            <w:hideMark/>
          </w:tcPr>
          <w:p w:rsidR="008E433C" w:rsidRPr="00142DA0" w:rsidRDefault="008E433C" w:rsidP="001911DD">
            <w:pPr>
              <w:tabs>
                <w:tab w:val="decimal" w:pos="376"/>
              </w:tabs>
              <w:spacing w:before="120" w:after="120"/>
              <w:jc w:val="center"/>
              <w:rPr>
                <w:rFonts w:cs="Times New Roman"/>
                <w:b/>
                <w:color w:val="000000"/>
                <w:sz w:val="22"/>
              </w:rPr>
            </w:pPr>
            <w:r w:rsidRPr="00142DA0">
              <w:rPr>
                <w:rFonts w:cs="Times New Roman"/>
                <w:b/>
                <w:color w:val="000000"/>
                <w:sz w:val="22"/>
              </w:rPr>
              <w:t>5219,9</w:t>
            </w:r>
          </w:p>
        </w:tc>
        <w:tc>
          <w:tcPr>
            <w:tcW w:w="416" w:type="pct"/>
            <w:noWrap/>
            <w:vAlign w:val="center"/>
            <w:hideMark/>
          </w:tcPr>
          <w:p w:rsidR="008E433C" w:rsidRPr="00142DA0" w:rsidRDefault="008E433C" w:rsidP="001911DD">
            <w:pPr>
              <w:tabs>
                <w:tab w:val="decimal" w:pos="376"/>
              </w:tabs>
              <w:spacing w:before="120" w:after="120"/>
              <w:jc w:val="center"/>
              <w:rPr>
                <w:rFonts w:cs="Times New Roman"/>
                <w:b/>
                <w:color w:val="000000"/>
                <w:sz w:val="22"/>
              </w:rPr>
            </w:pPr>
            <w:r w:rsidRPr="00142DA0">
              <w:rPr>
                <w:rFonts w:cs="Times New Roman"/>
                <w:b/>
                <w:color w:val="000000"/>
                <w:sz w:val="22"/>
              </w:rPr>
              <w:t>5758,3</w:t>
            </w:r>
          </w:p>
        </w:tc>
        <w:tc>
          <w:tcPr>
            <w:tcW w:w="416" w:type="pct"/>
            <w:noWrap/>
            <w:vAlign w:val="center"/>
            <w:hideMark/>
          </w:tcPr>
          <w:p w:rsidR="008E433C" w:rsidRPr="00142DA0" w:rsidRDefault="008E433C" w:rsidP="001911DD">
            <w:pPr>
              <w:tabs>
                <w:tab w:val="decimal" w:pos="376"/>
              </w:tabs>
              <w:spacing w:before="120" w:after="120"/>
              <w:jc w:val="center"/>
              <w:rPr>
                <w:rFonts w:cs="Times New Roman"/>
                <w:b/>
                <w:color w:val="000000"/>
                <w:sz w:val="22"/>
              </w:rPr>
            </w:pPr>
            <w:r w:rsidRPr="00142DA0">
              <w:rPr>
                <w:rFonts w:cs="Times New Roman"/>
                <w:b/>
                <w:color w:val="000000"/>
                <w:sz w:val="22"/>
              </w:rPr>
              <w:t>6392,8</w:t>
            </w:r>
          </w:p>
        </w:tc>
        <w:tc>
          <w:tcPr>
            <w:tcW w:w="416" w:type="pct"/>
            <w:noWrap/>
            <w:vAlign w:val="center"/>
            <w:hideMark/>
          </w:tcPr>
          <w:p w:rsidR="008E433C" w:rsidRPr="00142DA0" w:rsidRDefault="008E433C" w:rsidP="001911DD">
            <w:pPr>
              <w:tabs>
                <w:tab w:val="decimal" w:pos="376"/>
              </w:tabs>
              <w:spacing w:before="120" w:after="120"/>
              <w:jc w:val="center"/>
              <w:rPr>
                <w:rFonts w:cs="Times New Roman"/>
                <w:b/>
                <w:color w:val="000000"/>
                <w:sz w:val="22"/>
              </w:rPr>
            </w:pPr>
            <w:r w:rsidRPr="00142DA0">
              <w:rPr>
                <w:rFonts w:cs="Times New Roman"/>
                <w:b/>
                <w:color w:val="000000"/>
                <w:sz w:val="22"/>
              </w:rPr>
              <w:t>7434,5</w:t>
            </w:r>
          </w:p>
        </w:tc>
        <w:tc>
          <w:tcPr>
            <w:tcW w:w="416" w:type="pct"/>
            <w:noWrap/>
            <w:vAlign w:val="center"/>
            <w:hideMark/>
          </w:tcPr>
          <w:p w:rsidR="008E433C" w:rsidRPr="00142DA0" w:rsidRDefault="008E433C" w:rsidP="001911DD">
            <w:pPr>
              <w:tabs>
                <w:tab w:val="decimal" w:pos="376"/>
              </w:tabs>
              <w:spacing w:before="120" w:after="120"/>
              <w:jc w:val="center"/>
              <w:rPr>
                <w:rFonts w:cs="Times New Roman"/>
                <w:b/>
                <w:color w:val="000000"/>
                <w:sz w:val="22"/>
              </w:rPr>
            </w:pPr>
            <w:r w:rsidRPr="00142DA0">
              <w:rPr>
                <w:rFonts w:cs="Times New Roman"/>
                <w:b/>
                <w:color w:val="000000"/>
                <w:sz w:val="22"/>
              </w:rPr>
              <w:t>9059,1</w:t>
            </w:r>
          </w:p>
        </w:tc>
        <w:tc>
          <w:tcPr>
            <w:tcW w:w="494" w:type="pct"/>
            <w:noWrap/>
            <w:vAlign w:val="center"/>
            <w:hideMark/>
          </w:tcPr>
          <w:p w:rsidR="008E433C" w:rsidRPr="00142DA0" w:rsidRDefault="008E433C" w:rsidP="001911DD">
            <w:pPr>
              <w:tabs>
                <w:tab w:val="decimal" w:pos="376"/>
              </w:tabs>
              <w:spacing w:before="120" w:after="120"/>
              <w:jc w:val="center"/>
              <w:rPr>
                <w:rFonts w:cs="Times New Roman"/>
                <w:b/>
                <w:color w:val="000000"/>
                <w:sz w:val="22"/>
              </w:rPr>
            </w:pPr>
            <w:r w:rsidRPr="00142DA0">
              <w:rPr>
                <w:rFonts w:cs="Times New Roman"/>
                <w:b/>
                <w:color w:val="000000"/>
                <w:sz w:val="22"/>
              </w:rPr>
              <w:t>11171,7</w:t>
            </w:r>
          </w:p>
        </w:tc>
        <w:tc>
          <w:tcPr>
            <w:tcW w:w="500" w:type="pct"/>
            <w:noWrap/>
            <w:vAlign w:val="center"/>
            <w:hideMark/>
          </w:tcPr>
          <w:p w:rsidR="008E433C" w:rsidRPr="00142DA0" w:rsidRDefault="008E433C" w:rsidP="001911DD">
            <w:pPr>
              <w:tabs>
                <w:tab w:val="decimal" w:pos="376"/>
              </w:tabs>
              <w:spacing w:before="120" w:after="120"/>
              <w:jc w:val="center"/>
              <w:rPr>
                <w:rFonts w:cs="Times New Roman"/>
                <w:b/>
                <w:color w:val="000000"/>
                <w:sz w:val="22"/>
              </w:rPr>
            </w:pPr>
            <w:r w:rsidRPr="00142DA0">
              <w:rPr>
                <w:rFonts w:cs="Times New Roman"/>
                <w:b/>
                <w:color w:val="000000"/>
                <w:sz w:val="22"/>
              </w:rPr>
              <w:t>14779,8</w:t>
            </w:r>
          </w:p>
        </w:tc>
        <w:tc>
          <w:tcPr>
            <w:tcW w:w="488" w:type="pct"/>
            <w:noWrap/>
            <w:vAlign w:val="center"/>
            <w:hideMark/>
          </w:tcPr>
          <w:p w:rsidR="008E433C" w:rsidRPr="00142DA0" w:rsidRDefault="008E433C" w:rsidP="001911DD">
            <w:pPr>
              <w:tabs>
                <w:tab w:val="decimal" w:pos="376"/>
              </w:tabs>
              <w:spacing w:before="120" w:after="120"/>
              <w:jc w:val="center"/>
              <w:rPr>
                <w:rFonts w:cs="Times New Roman"/>
                <w:b/>
                <w:color w:val="000000"/>
                <w:sz w:val="22"/>
              </w:rPr>
            </w:pPr>
            <w:r w:rsidRPr="00142DA0">
              <w:rPr>
                <w:rFonts w:cs="Times New Roman"/>
                <w:b/>
                <w:color w:val="000000"/>
                <w:sz w:val="22"/>
              </w:rPr>
              <w:t>16243,2</w:t>
            </w:r>
          </w:p>
        </w:tc>
      </w:tr>
    </w:tbl>
    <w:p w:rsidR="008E433C" w:rsidRPr="00EB5FEE" w:rsidRDefault="008E433C" w:rsidP="008E433C">
      <w:pPr>
        <w:spacing w:before="120"/>
        <w:rPr>
          <w:rFonts w:cs="Times New Roman"/>
        </w:rPr>
      </w:pPr>
      <w:r w:rsidRPr="00B454C8">
        <w:rPr>
          <w:sz w:val="16"/>
        </w:rPr>
        <w:t>Avots: CSP</w:t>
      </w:r>
    </w:p>
    <w:p w:rsidR="008E433C" w:rsidRPr="00EB5FEE" w:rsidRDefault="008E433C" w:rsidP="008E433C">
      <w:pPr>
        <w:spacing w:after="200" w:line="276" w:lineRule="auto"/>
        <w:rPr>
          <w:rFonts w:eastAsiaTheme="majorEastAsia" w:cstheme="majorBidi"/>
          <w:bCs/>
          <w:sz w:val="28"/>
          <w:szCs w:val="28"/>
        </w:rPr>
      </w:pPr>
      <w:bookmarkStart w:id="47" w:name="_Nozaru_struktūra"/>
      <w:bookmarkEnd w:id="47"/>
      <w:r w:rsidRPr="00EB5FEE">
        <w:rPr>
          <w:b/>
          <w:sz w:val="28"/>
        </w:rPr>
        <w:br w:type="page"/>
      </w:r>
    </w:p>
    <w:p w:rsidR="008E433C" w:rsidRPr="00EB5FEE" w:rsidRDefault="008E433C" w:rsidP="008E433C">
      <w:pPr>
        <w:pStyle w:val="Heading2"/>
      </w:pPr>
      <w:bookmarkStart w:id="48" w:name="_Toc235847871"/>
      <w:bookmarkStart w:id="49" w:name="_Toc239501365"/>
      <w:bookmarkStart w:id="50" w:name="_Toc242510382"/>
      <w:r w:rsidRPr="00EB5FEE">
        <w:lastRenderedPageBreak/>
        <w:t>3.tabula</w:t>
      </w:r>
      <w:bookmarkEnd w:id="48"/>
      <w:r>
        <w:t>. Latvijas tautsaimniecības n</w:t>
      </w:r>
      <w:r w:rsidRPr="00EB5FEE">
        <w:t>ozaru struktūra</w:t>
      </w:r>
      <w:r w:rsidRPr="00ED0077">
        <w:t xml:space="preserve"> </w:t>
      </w:r>
      <w:r w:rsidRPr="00187334">
        <w:t>no 2000. līdz 2008.gadam</w:t>
      </w:r>
      <w:bookmarkEnd w:id="49"/>
      <w:bookmarkEnd w:id="50"/>
    </w:p>
    <w:p w:rsidR="008E433C" w:rsidRPr="00ED0077" w:rsidRDefault="008E433C" w:rsidP="008E433C">
      <w:pPr>
        <w:rPr>
          <w:rFonts w:cs="Times New Roman"/>
        </w:rPr>
      </w:pPr>
      <w:r w:rsidRPr="00ED0077">
        <w:rPr>
          <w:rFonts w:cs="Times New Roman"/>
        </w:rPr>
        <w:t>(procentos)</w:t>
      </w:r>
    </w:p>
    <w:p w:rsidR="008E433C" w:rsidRPr="00EB5FEE" w:rsidRDefault="008E433C" w:rsidP="008E433C">
      <w:pPr>
        <w:jc w:val="center"/>
        <w:rPr>
          <w:rFonts w:cs="Times New Roman"/>
          <w:sz w:val="16"/>
        </w:rPr>
      </w:pPr>
    </w:p>
    <w:tbl>
      <w:tblPr>
        <w:tblStyle w:val="LightShading1"/>
        <w:tblW w:w="4998" w:type="pct"/>
        <w:jc w:val="center"/>
        <w:tblLayout w:type="fixed"/>
        <w:tblLook w:val="0400"/>
      </w:tblPr>
      <w:tblGrid>
        <w:gridCol w:w="1908"/>
        <w:gridCol w:w="700"/>
        <w:gridCol w:w="702"/>
        <w:gridCol w:w="700"/>
        <w:gridCol w:w="702"/>
        <w:gridCol w:w="699"/>
        <w:gridCol w:w="701"/>
        <w:gridCol w:w="701"/>
        <w:gridCol w:w="699"/>
        <w:gridCol w:w="701"/>
        <w:gridCol w:w="236"/>
        <w:gridCol w:w="701"/>
        <w:gridCol w:w="701"/>
      </w:tblGrid>
      <w:tr w:rsidR="008E433C" w:rsidRPr="00142DA0" w:rsidTr="002F02CF">
        <w:trPr>
          <w:cnfStyle w:val="000000100000"/>
          <w:trHeight w:val="478"/>
          <w:jc w:val="center"/>
        </w:trPr>
        <w:tc>
          <w:tcPr>
            <w:tcW w:w="968" w:type="pct"/>
            <w:tcBorders>
              <w:top w:val="single" w:sz="8" w:space="0" w:color="000000" w:themeColor="text1"/>
              <w:bottom w:val="single" w:sz="4" w:space="0" w:color="auto"/>
            </w:tcBorders>
            <w:noWrap/>
            <w:hideMark/>
          </w:tcPr>
          <w:p w:rsidR="008E433C" w:rsidRPr="00142DA0" w:rsidRDefault="008E433C" w:rsidP="002F02CF">
            <w:pPr>
              <w:spacing w:before="120" w:after="120"/>
              <w:jc w:val="center"/>
              <w:rPr>
                <w:rFonts w:cs="Times New Roman"/>
                <w:b/>
                <w:bCs/>
                <w:i/>
                <w:iCs/>
                <w:sz w:val="22"/>
                <w:u w:val="single"/>
              </w:rPr>
            </w:pPr>
          </w:p>
        </w:tc>
        <w:tc>
          <w:tcPr>
            <w:tcW w:w="355"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2000</w:t>
            </w:r>
          </w:p>
        </w:tc>
        <w:tc>
          <w:tcPr>
            <w:tcW w:w="356"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2001</w:t>
            </w:r>
          </w:p>
        </w:tc>
        <w:tc>
          <w:tcPr>
            <w:tcW w:w="355"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2002</w:t>
            </w:r>
          </w:p>
        </w:tc>
        <w:tc>
          <w:tcPr>
            <w:tcW w:w="356"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2003</w:t>
            </w:r>
          </w:p>
        </w:tc>
        <w:tc>
          <w:tcPr>
            <w:tcW w:w="355"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2004</w:t>
            </w:r>
          </w:p>
        </w:tc>
        <w:tc>
          <w:tcPr>
            <w:tcW w:w="356"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2005</w:t>
            </w:r>
          </w:p>
        </w:tc>
        <w:tc>
          <w:tcPr>
            <w:tcW w:w="356"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2006</w:t>
            </w:r>
          </w:p>
        </w:tc>
        <w:tc>
          <w:tcPr>
            <w:tcW w:w="355"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2007</w:t>
            </w:r>
          </w:p>
        </w:tc>
        <w:tc>
          <w:tcPr>
            <w:tcW w:w="356"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sz w:val="22"/>
              </w:rPr>
              <w:t>2008</w:t>
            </w:r>
          </w:p>
        </w:tc>
        <w:tc>
          <w:tcPr>
            <w:tcW w:w="120"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sz w:val="22"/>
              </w:rPr>
            </w:pPr>
          </w:p>
        </w:tc>
        <w:tc>
          <w:tcPr>
            <w:tcW w:w="356" w:type="pct"/>
            <w:tcBorders>
              <w:top w:val="single" w:sz="8" w:space="0" w:color="000000" w:themeColor="text1"/>
              <w:bottom w:val="single" w:sz="4" w:space="0" w:color="auto"/>
            </w:tcBorders>
            <w:vAlign w:val="center"/>
            <w:hideMark/>
          </w:tcPr>
          <w:p w:rsidR="008E433C" w:rsidRPr="00142DA0" w:rsidRDefault="008E433C" w:rsidP="002F02CF">
            <w:pPr>
              <w:spacing w:before="120" w:after="120"/>
              <w:ind w:left="-87" w:right="-136"/>
              <w:jc w:val="center"/>
              <w:rPr>
                <w:rFonts w:cs="Times New Roman"/>
                <w:b/>
                <w:bCs/>
                <w:sz w:val="22"/>
              </w:rPr>
            </w:pPr>
            <w:r w:rsidRPr="00142DA0">
              <w:rPr>
                <w:rFonts w:cs="Times New Roman"/>
                <w:b/>
                <w:sz w:val="22"/>
              </w:rPr>
              <w:t>vidēji 2001-2003</w:t>
            </w:r>
          </w:p>
        </w:tc>
        <w:tc>
          <w:tcPr>
            <w:tcW w:w="356" w:type="pct"/>
            <w:tcBorders>
              <w:top w:val="single" w:sz="8" w:space="0" w:color="000000" w:themeColor="text1"/>
              <w:bottom w:val="single" w:sz="4" w:space="0" w:color="auto"/>
            </w:tcBorders>
            <w:vAlign w:val="center"/>
            <w:hideMark/>
          </w:tcPr>
          <w:p w:rsidR="008E433C" w:rsidRPr="00142DA0" w:rsidRDefault="008E433C" w:rsidP="002F02CF">
            <w:pPr>
              <w:spacing w:before="120" w:after="120"/>
              <w:ind w:left="-87" w:right="-136"/>
              <w:jc w:val="center"/>
              <w:rPr>
                <w:rFonts w:cs="Times New Roman"/>
                <w:b/>
                <w:bCs/>
                <w:sz w:val="22"/>
              </w:rPr>
            </w:pPr>
            <w:r w:rsidRPr="00142DA0">
              <w:rPr>
                <w:rFonts w:cs="Times New Roman"/>
                <w:b/>
                <w:sz w:val="22"/>
              </w:rPr>
              <w:t>vidēji 2004-2008</w:t>
            </w:r>
          </w:p>
        </w:tc>
      </w:tr>
      <w:tr w:rsidR="001911DD" w:rsidRPr="00142DA0" w:rsidTr="001911DD">
        <w:trPr>
          <w:trHeight w:val="300"/>
          <w:jc w:val="center"/>
        </w:trPr>
        <w:tc>
          <w:tcPr>
            <w:tcW w:w="968" w:type="pct"/>
            <w:tcBorders>
              <w:top w:val="single" w:sz="4" w:space="0" w:color="auto"/>
            </w:tcBorders>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 xml:space="preserve">Lauksaimniecība, </w:t>
            </w:r>
            <w:r>
              <w:rPr>
                <w:rFonts w:cs="Times New Roman"/>
                <w:sz w:val="22"/>
              </w:rPr>
              <w:t>mežsaimniecība</w:t>
            </w:r>
          </w:p>
        </w:tc>
        <w:tc>
          <w:tcPr>
            <w:tcW w:w="355" w:type="pct"/>
            <w:tcBorders>
              <w:top w:val="single" w:sz="4" w:space="0" w:color="auto"/>
            </w:tcBorders>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4,2</w:t>
            </w:r>
          </w:p>
        </w:tc>
        <w:tc>
          <w:tcPr>
            <w:tcW w:w="356" w:type="pct"/>
            <w:tcBorders>
              <w:top w:val="single" w:sz="4" w:space="0" w:color="auto"/>
            </w:tcBorders>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4,2</w:t>
            </w:r>
          </w:p>
        </w:tc>
        <w:tc>
          <w:tcPr>
            <w:tcW w:w="355" w:type="pct"/>
            <w:tcBorders>
              <w:top w:val="single" w:sz="4" w:space="0" w:color="auto"/>
            </w:tcBorders>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4,4</w:t>
            </w:r>
          </w:p>
        </w:tc>
        <w:tc>
          <w:tcPr>
            <w:tcW w:w="356" w:type="pct"/>
            <w:tcBorders>
              <w:top w:val="single" w:sz="4" w:space="0" w:color="auto"/>
            </w:tcBorders>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4,0</w:t>
            </w:r>
          </w:p>
        </w:tc>
        <w:tc>
          <w:tcPr>
            <w:tcW w:w="355" w:type="pct"/>
            <w:tcBorders>
              <w:top w:val="single" w:sz="4" w:space="0" w:color="auto"/>
            </w:tcBorders>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4,3</w:t>
            </w:r>
          </w:p>
        </w:tc>
        <w:tc>
          <w:tcPr>
            <w:tcW w:w="356" w:type="pct"/>
            <w:tcBorders>
              <w:top w:val="single" w:sz="4" w:space="0" w:color="auto"/>
            </w:tcBorders>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3,8</w:t>
            </w:r>
          </w:p>
        </w:tc>
        <w:tc>
          <w:tcPr>
            <w:tcW w:w="356" w:type="pct"/>
            <w:tcBorders>
              <w:top w:val="single" w:sz="4" w:space="0" w:color="auto"/>
            </w:tcBorders>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3,4</w:t>
            </w:r>
          </w:p>
        </w:tc>
        <w:tc>
          <w:tcPr>
            <w:tcW w:w="355" w:type="pct"/>
            <w:tcBorders>
              <w:top w:val="single" w:sz="4" w:space="0" w:color="auto"/>
            </w:tcBorders>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3,5</w:t>
            </w:r>
          </w:p>
        </w:tc>
        <w:tc>
          <w:tcPr>
            <w:tcW w:w="356" w:type="pct"/>
            <w:tcBorders>
              <w:top w:val="single" w:sz="4" w:space="0" w:color="auto"/>
            </w:tcBorders>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3,0</w:t>
            </w:r>
          </w:p>
        </w:tc>
        <w:tc>
          <w:tcPr>
            <w:tcW w:w="120" w:type="pct"/>
            <w:tcBorders>
              <w:top w:val="single" w:sz="4" w:space="0" w:color="auto"/>
            </w:tcBorders>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tcBorders>
              <w:top w:val="single" w:sz="4" w:space="0" w:color="auto"/>
            </w:tcBorders>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4,2</w:t>
            </w:r>
          </w:p>
        </w:tc>
        <w:tc>
          <w:tcPr>
            <w:tcW w:w="356" w:type="pct"/>
            <w:tcBorders>
              <w:top w:val="single" w:sz="4" w:space="0" w:color="auto"/>
            </w:tcBorders>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3,5</w:t>
            </w:r>
          </w:p>
        </w:tc>
      </w:tr>
      <w:tr w:rsidR="001911DD" w:rsidRPr="00142DA0" w:rsidTr="001911DD">
        <w:trPr>
          <w:cnfStyle w:val="000000100000"/>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Zvejniecība</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0,4</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0,3</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0,2</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0,1</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0,1</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0,1</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0,2</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0,1</w:t>
            </w:r>
          </w:p>
        </w:tc>
      </w:tr>
      <w:tr w:rsidR="001911DD" w:rsidRPr="00142DA0" w:rsidTr="001911DD">
        <w:trPr>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Iegūstošā rūpniecība</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0,2</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0,2</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0,3</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0,3</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0,3</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0,3</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0,4</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0,4</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0,2</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0,4</w:t>
            </w:r>
          </w:p>
        </w:tc>
      </w:tr>
      <w:tr w:rsidR="001911DD" w:rsidRPr="00142DA0" w:rsidTr="001911DD">
        <w:trPr>
          <w:cnfStyle w:val="000000100000"/>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Apstrādes rūpniecība</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13,7</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13,9</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13,7</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13,3</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13,2</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12,6</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11,8</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11,4</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10,6</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13,6</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11,6</w:t>
            </w:r>
          </w:p>
        </w:tc>
      </w:tr>
      <w:tr w:rsidR="001911DD" w:rsidRPr="00142DA0" w:rsidTr="001911DD">
        <w:trPr>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Elektroenerģija, gāze un ūdens apgāde</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3,6</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3,4</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3,3</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3,1</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3,0</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2,5</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2,4</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2,4</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2,8</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3,3</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2,6</w:t>
            </w:r>
          </w:p>
        </w:tc>
      </w:tr>
      <w:tr w:rsidR="001911DD" w:rsidRPr="00142DA0" w:rsidTr="001911DD">
        <w:trPr>
          <w:cnfStyle w:val="000000100000"/>
          <w:trHeight w:val="300"/>
          <w:jc w:val="center"/>
        </w:trPr>
        <w:tc>
          <w:tcPr>
            <w:tcW w:w="968" w:type="pct"/>
            <w:noWrap/>
            <w:vAlign w:val="bottom"/>
            <w:hideMark/>
          </w:tcPr>
          <w:p w:rsidR="001911DD" w:rsidRPr="001911DD" w:rsidRDefault="001911DD" w:rsidP="007F0B40">
            <w:pPr>
              <w:spacing w:before="120" w:after="120"/>
              <w:ind w:right="-117"/>
              <w:rPr>
                <w:rFonts w:cs="Times New Roman"/>
                <w:sz w:val="22"/>
              </w:rPr>
            </w:pPr>
            <w:r w:rsidRPr="001911DD">
              <w:rPr>
                <w:rFonts w:cs="Times New Roman"/>
                <w:sz w:val="22"/>
              </w:rPr>
              <w:t>Būvniecība</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6,2</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5,6</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5,5</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5,6</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5,8</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6,1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7,4</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9,0</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8,9</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5,7</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7,8</w:t>
            </w:r>
          </w:p>
        </w:tc>
      </w:tr>
      <w:tr w:rsidR="001911DD" w:rsidRPr="00142DA0" w:rsidTr="001911DD">
        <w:trPr>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Tirdzniecība</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16,8</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17,4</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17,8</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17,9</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18,9</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19,9</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20,8</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19,7</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17,3</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17,5</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19,2</w:t>
            </w:r>
          </w:p>
        </w:tc>
      </w:tr>
      <w:tr w:rsidR="001911DD" w:rsidRPr="00142DA0" w:rsidTr="001911DD">
        <w:trPr>
          <w:cnfStyle w:val="000000100000"/>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Viesnīcas un restorāni</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1,2</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1,2</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1,4</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1,6</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1,7</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1,9</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1,8</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1,7</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1,3</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1,7</w:t>
            </w:r>
          </w:p>
        </w:tc>
      </w:tr>
      <w:tr w:rsidR="001911DD" w:rsidRPr="00142DA0" w:rsidTr="001911DD">
        <w:trPr>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Transports un sakari</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14,1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15,3</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15,1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15,3</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14,8</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13,9</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11,4</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10,2</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10,8</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15,0</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11,8</w:t>
            </w:r>
          </w:p>
        </w:tc>
      </w:tr>
      <w:tr w:rsidR="001911DD" w:rsidRPr="00142DA0" w:rsidTr="001911DD">
        <w:trPr>
          <w:cnfStyle w:val="000000100000"/>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Finanses</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4,9</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4,4</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5,0</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4,9</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5,1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6,0</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6,8</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6,2</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6,3</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4,8</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6,2</w:t>
            </w:r>
          </w:p>
        </w:tc>
      </w:tr>
      <w:tr w:rsidR="001911DD" w:rsidRPr="00142DA0" w:rsidTr="001911DD">
        <w:trPr>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Nekustamo īpašumu izmantošana un komercdarbība</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14,0</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14,0</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13,9</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13,7</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13,8</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14,2</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14,9</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16,1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17,6</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13,9</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15,7</w:t>
            </w:r>
          </w:p>
        </w:tc>
      </w:tr>
      <w:tr w:rsidR="001911DD" w:rsidRPr="00142DA0" w:rsidTr="001911DD">
        <w:trPr>
          <w:cnfStyle w:val="000000100000"/>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Valsts pārvalde</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8,2</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7,8</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7,9</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7,8</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7,1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7,2</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7,3</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7,5</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7,7</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7,9</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7,4</w:t>
            </w:r>
          </w:p>
        </w:tc>
      </w:tr>
      <w:tr w:rsidR="001911DD" w:rsidRPr="00142DA0" w:rsidTr="001911DD">
        <w:trPr>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Izglītība</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5,3</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5,1</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4,9</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5,6</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5,2</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4,8</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4,5</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4,7</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5,2</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5,2</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4,9</w:t>
            </w:r>
          </w:p>
        </w:tc>
      </w:tr>
      <w:tr w:rsidR="001911DD" w:rsidRPr="00142DA0" w:rsidTr="001911DD">
        <w:trPr>
          <w:cnfStyle w:val="000000100000"/>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Veselības aizsardzība</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3,4</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3,2</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3,0</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3,0</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2,9</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3,0</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2,9</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2,8</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2,8</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3,1</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2,9</w:t>
            </w:r>
          </w:p>
        </w:tc>
      </w:tr>
      <w:tr w:rsidR="001911DD" w:rsidRPr="00142DA0" w:rsidTr="001911DD">
        <w:trPr>
          <w:trHeight w:val="300"/>
          <w:jc w:val="center"/>
        </w:trPr>
        <w:tc>
          <w:tcPr>
            <w:tcW w:w="968"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Citi pakalpojumi</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3,9</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3,8</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3,9</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3,9</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3,9</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4,0</w:t>
            </w:r>
          </w:p>
        </w:tc>
        <w:tc>
          <w:tcPr>
            <w:tcW w:w="355"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4,1</w:t>
            </w:r>
          </w:p>
        </w:tc>
        <w:tc>
          <w:tcPr>
            <w:tcW w:w="356" w:type="pct"/>
            <w:noWrap/>
            <w:vAlign w:val="center"/>
            <w:hideMark/>
          </w:tcPr>
          <w:p w:rsidR="001911DD" w:rsidRPr="003C53B7" w:rsidRDefault="001911DD" w:rsidP="001911DD">
            <w:pPr>
              <w:tabs>
                <w:tab w:val="decimal" w:pos="184"/>
              </w:tabs>
              <w:spacing w:before="120" w:after="120"/>
              <w:jc w:val="center"/>
              <w:rPr>
                <w:rFonts w:cs="Times New Roman"/>
                <w:color w:val="000000"/>
                <w:sz w:val="20"/>
                <w:szCs w:val="20"/>
              </w:rPr>
            </w:pPr>
            <w:r w:rsidRPr="003C53B7">
              <w:rPr>
                <w:rFonts w:cs="Times New Roman"/>
                <w:color w:val="000000"/>
                <w:sz w:val="20"/>
                <w:szCs w:val="20"/>
              </w:rPr>
              <w:t>4,8</w:t>
            </w:r>
          </w:p>
        </w:tc>
        <w:tc>
          <w:tcPr>
            <w:tcW w:w="120" w:type="pct"/>
            <w:noWrap/>
            <w:vAlign w:val="center"/>
            <w:hideMark/>
          </w:tcPr>
          <w:p w:rsidR="001911DD" w:rsidRPr="003C53B7" w:rsidRDefault="001911DD" w:rsidP="001911DD">
            <w:pPr>
              <w:spacing w:before="120" w:after="120"/>
              <w:jc w:val="center"/>
              <w:rPr>
                <w:rFonts w:cs="Times New Roman"/>
                <w:color w:val="000000"/>
                <w:sz w:val="20"/>
                <w:szCs w:val="20"/>
              </w:rPr>
            </w:pPr>
          </w:p>
        </w:tc>
        <w:tc>
          <w:tcPr>
            <w:tcW w:w="356" w:type="pct"/>
            <w:noWrap/>
            <w:vAlign w:val="center"/>
            <w:hideMark/>
          </w:tcPr>
          <w:p w:rsidR="001911DD" w:rsidRPr="003C53B7" w:rsidRDefault="001911DD" w:rsidP="001911DD">
            <w:pPr>
              <w:tabs>
                <w:tab w:val="decimal" w:pos="247"/>
              </w:tabs>
              <w:spacing w:before="120" w:after="120"/>
              <w:jc w:val="center"/>
              <w:rPr>
                <w:rFonts w:cs="Times New Roman"/>
                <w:color w:val="000000"/>
                <w:sz w:val="20"/>
                <w:szCs w:val="20"/>
              </w:rPr>
            </w:pPr>
            <w:r w:rsidRPr="003C53B7">
              <w:rPr>
                <w:rFonts w:cs="Times New Roman"/>
                <w:color w:val="000000"/>
                <w:sz w:val="20"/>
                <w:szCs w:val="20"/>
              </w:rPr>
              <w:t>3,9</w:t>
            </w:r>
          </w:p>
        </w:tc>
        <w:tc>
          <w:tcPr>
            <w:tcW w:w="356" w:type="pct"/>
            <w:noWrap/>
            <w:vAlign w:val="center"/>
            <w:hideMark/>
          </w:tcPr>
          <w:p w:rsidR="001911DD" w:rsidRPr="003C53B7" w:rsidRDefault="001911DD" w:rsidP="001911DD">
            <w:pPr>
              <w:tabs>
                <w:tab w:val="decimal" w:pos="261"/>
              </w:tabs>
              <w:spacing w:before="120" w:after="120"/>
              <w:jc w:val="center"/>
              <w:rPr>
                <w:rFonts w:cs="Times New Roman"/>
                <w:color w:val="000000"/>
                <w:sz w:val="20"/>
                <w:szCs w:val="20"/>
              </w:rPr>
            </w:pPr>
            <w:r w:rsidRPr="003C53B7">
              <w:rPr>
                <w:rFonts w:cs="Times New Roman"/>
                <w:color w:val="000000"/>
                <w:sz w:val="20"/>
                <w:szCs w:val="20"/>
              </w:rPr>
              <w:t>4,2</w:t>
            </w:r>
          </w:p>
        </w:tc>
      </w:tr>
      <w:tr w:rsidR="008E433C" w:rsidRPr="00142DA0" w:rsidTr="001911DD">
        <w:trPr>
          <w:cnfStyle w:val="000000100000"/>
          <w:trHeight w:val="300"/>
          <w:jc w:val="center"/>
        </w:trPr>
        <w:tc>
          <w:tcPr>
            <w:tcW w:w="968" w:type="pct"/>
            <w:noWrap/>
            <w:vAlign w:val="bottom"/>
            <w:hideMark/>
          </w:tcPr>
          <w:p w:rsidR="008E433C" w:rsidRPr="00142DA0" w:rsidRDefault="008E433C" w:rsidP="002F02CF">
            <w:pPr>
              <w:spacing w:before="120" w:after="120"/>
              <w:ind w:right="-156"/>
              <w:rPr>
                <w:rFonts w:cs="Times New Roman"/>
                <w:b/>
                <w:bCs/>
                <w:iCs/>
                <w:sz w:val="22"/>
              </w:rPr>
            </w:pPr>
            <w:r w:rsidRPr="00142DA0">
              <w:rPr>
                <w:rFonts w:cs="Times New Roman"/>
                <w:b/>
                <w:iCs/>
                <w:sz w:val="22"/>
              </w:rPr>
              <w:t>IKP</w:t>
            </w:r>
          </w:p>
        </w:tc>
        <w:tc>
          <w:tcPr>
            <w:tcW w:w="355" w:type="pct"/>
            <w:noWrap/>
            <w:vAlign w:val="center"/>
            <w:hideMark/>
          </w:tcPr>
          <w:p w:rsidR="008E433C" w:rsidRPr="00142DA0" w:rsidRDefault="008E433C" w:rsidP="001911DD">
            <w:pPr>
              <w:spacing w:before="120" w:after="120"/>
              <w:jc w:val="center"/>
              <w:rPr>
                <w:rFonts w:cs="Times New Roman"/>
                <w:b/>
                <w:color w:val="000000"/>
                <w:sz w:val="22"/>
              </w:rPr>
            </w:pPr>
            <w:r w:rsidRPr="00142DA0">
              <w:rPr>
                <w:rFonts w:cs="Times New Roman"/>
                <w:b/>
                <w:color w:val="000000"/>
                <w:sz w:val="22"/>
              </w:rPr>
              <w:t>100</w:t>
            </w:r>
          </w:p>
        </w:tc>
        <w:tc>
          <w:tcPr>
            <w:tcW w:w="356" w:type="pct"/>
            <w:noWrap/>
            <w:vAlign w:val="center"/>
            <w:hideMark/>
          </w:tcPr>
          <w:p w:rsidR="008E433C" w:rsidRPr="00142DA0" w:rsidRDefault="008E433C" w:rsidP="001911DD">
            <w:pPr>
              <w:spacing w:before="120" w:after="120"/>
              <w:jc w:val="center"/>
              <w:rPr>
                <w:b/>
                <w:sz w:val="22"/>
              </w:rPr>
            </w:pPr>
            <w:r w:rsidRPr="00142DA0">
              <w:rPr>
                <w:rFonts w:cs="Times New Roman"/>
                <w:b/>
                <w:color w:val="000000"/>
                <w:sz w:val="22"/>
              </w:rPr>
              <w:t>100</w:t>
            </w:r>
          </w:p>
        </w:tc>
        <w:tc>
          <w:tcPr>
            <w:tcW w:w="355" w:type="pct"/>
            <w:noWrap/>
            <w:vAlign w:val="center"/>
            <w:hideMark/>
          </w:tcPr>
          <w:p w:rsidR="008E433C" w:rsidRPr="00142DA0" w:rsidRDefault="008E433C" w:rsidP="001911DD">
            <w:pPr>
              <w:spacing w:before="120" w:after="120"/>
              <w:jc w:val="center"/>
              <w:rPr>
                <w:b/>
                <w:sz w:val="22"/>
              </w:rPr>
            </w:pPr>
            <w:r w:rsidRPr="00142DA0">
              <w:rPr>
                <w:rFonts w:cs="Times New Roman"/>
                <w:b/>
                <w:color w:val="000000"/>
                <w:sz w:val="22"/>
              </w:rPr>
              <w:t>100</w:t>
            </w:r>
          </w:p>
        </w:tc>
        <w:tc>
          <w:tcPr>
            <w:tcW w:w="356" w:type="pct"/>
            <w:noWrap/>
            <w:vAlign w:val="center"/>
            <w:hideMark/>
          </w:tcPr>
          <w:p w:rsidR="008E433C" w:rsidRPr="00142DA0" w:rsidRDefault="008E433C" w:rsidP="001911DD">
            <w:pPr>
              <w:spacing w:before="120" w:after="120"/>
              <w:jc w:val="center"/>
              <w:rPr>
                <w:b/>
                <w:sz w:val="22"/>
              </w:rPr>
            </w:pPr>
            <w:r w:rsidRPr="00142DA0">
              <w:rPr>
                <w:rFonts w:cs="Times New Roman"/>
                <w:b/>
                <w:color w:val="000000"/>
                <w:sz w:val="22"/>
              </w:rPr>
              <w:t>100</w:t>
            </w:r>
          </w:p>
        </w:tc>
        <w:tc>
          <w:tcPr>
            <w:tcW w:w="355" w:type="pct"/>
            <w:noWrap/>
            <w:vAlign w:val="center"/>
            <w:hideMark/>
          </w:tcPr>
          <w:p w:rsidR="008E433C" w:rsidRPr="00142DA0" w:rsidRDefault="008E433C" w:rsidP="001911DD">
            <w:pPr>
              <w:spacing w:before="120" w:after="120"/>
              <w:jc w:val="center"/>
              <w:rPr>
                <w:b/>
                <w:sz w:val="22"/>
              </w:rPr>
            </w:pPr>
            <w:r w:rsidRPr="00142DA0">
              <w:rPr>
                <w:rFonts w:cs="Times New Roman"/>
                <w:b/>
                <w:color w:val="000000"/>
                <w:sz w:val="22"/>
              </w:rPr>
              <w:t>100</w:t>
            </w:r>
          </w:p>
        </w:tc>
        <w:tc>
          <w:tcPr>
            <w:tcW w:w="356" w:type="pct"/>
            <w:noWrap/>
            <w:vAlign w:val="center"/>
            <w:hideMark/>
          </w:tcPr>
          <w:p w:rsidR="008E433C" w:rsidRPr="00142DA0" w:rsidRDefault="008E433C" w:rsidP="001911DD">
            <w:pPr>
              <w:spacing w:before="120" w:after="120"/>
              <w:jc w:val="center"/>
              <w:rPr>
                <w:b/>
                <w:sz w:val="22"/>
              </w:rPr>
            </w:pPr>
            <w:r w:rsidRPr="00142DA0">
              <w:rPr>
                <w:rFonts w:cs="Times New Roman"/>
                <w:b/>
                <w:color w:val="000000"/>
                <w:sz w:val="22"/>
              </w:rPr>
              <w:t>100</w:t>
            </w:r>
          </w:p>
        </w:tc>
        <w:tc>
          <w:tcPr>
            <w:tcW w:w="356" w:type="pct"/>
            <w:noWrap/>
            <w:vAlign w:val="center"/>
            <w:hideMark/>
          </w:tcPr>
          <w:p w:rsidR="008E433C" w:rsidRPr="00142DA0" w:rsidRDefault="008E433C" w:rsidP="001911DD">
            <w:pPr>
              <w:spacing w:before="120" w:after="120"/>
              <w:jc w:val="center"/>
              <w:rPr>
                <w:b/>
                <w:sz w:val="22"/>
              </w:rPr>
            </w:pPr>
            <w:r w:rsidRPr="00142DA0">
              <w:rPr>
                <w:rFonts w:cs="Times New Roman"/>
                <w:b/>
                <w:color w:val="000000"/>
                <w:sz w:val="22"/>
              </w:rPr>
              <w:t>100</w:t>
            </w:r>
          </w:p>
        </w:tc>
        <w:tc>
          <w:tcPr>
            <w:tcW w:w="355" w:type="pct"/>
            <w:noWrap/>
            <w:vAlign w:val="center"/>
            <w:hideMark/>
          </w:tcPr>
          <w:p w:rsidR="008E433C" w:rsidRPr="00142DA0" w:rsidRDefault="008E433C" w:rsidP="001911DD">
            <w:pPr>
              <w:spacing w:before="120" w:after="120"/>
              <w:jc w:val="center"/>
              <w:rPr>
                <w:b/>
                <w:sz w:val="22"/>
              </w:rPr>
            </w:pPr>
            <w:r w:rsidRPr="00142DA0">
              <w:rPr>
                <w:rFonts w:cs="Times New Roman"/>
                <w:b/>
                <w:color w:val="000000"/>
                <w:sz w:val="22"/>
              </w:rPr>
              <w:t>100</w:t>
            </w:r>
          </w:p>
        </w:tc>
        <w:tc>
          <w:tcPr>
            <w:tcW w:w="356" w:type="pct"/>
            <w:noWrap/>
            <w:vAlign w:val="center"/>
            <w:hideMark/>
          </w:tcPr>
          <w:p w:rsidR="008E433C" w:rsidRPr="00142DA0" w:rsidRDefault="008E433C" w:rsidP="001911DD">
            <w:pPr>
              <w:spacing w:before="120" w:after="120"/>
              <w:jc w:val="center"/>
              <w:rPr>
                <w:b/>
                <w:sz w:val="22"/>
              </w:rPr>
            </w:pPr>
            <w:r w:rsidRPr="00142DA0">
              <w:rPr>
                <w:rFonts w:cs="Times New Roman"/>
                <w:b/>
                <w:color w:val="000000"/>
                <w:sz w:val="22"/>
              </w:rPr>
              <w:t>100</w:t>
            </w:r>
          </w:p>
        </w:tc>
        <w:tc>
          <w:tcPr>
            <w:tcW w:w="120" w:type="pct"/>
            <w:noWrap/>
            <w:vAlign w:val="center"/>
            <w:hideMark/>
          </w:tcPr>
          <w:p w:rsidR="008E433C" w:rsidRPr="00142DA0" w:rsidRDefault="008E433C" w:rsidP="001911DD">
            <w:pPr>
              <w:spacing w:before="120" w:after="120"/>
              <w:jc w:val="center"/>
              <w:rPr>
                <w:b/>
                <w:sz w:val="22"/>
              </w:rPr>
            </w:pPr>
          </w:p>
        </w:tc>
        <w:tc>
          <w:tcPr>
            <w:tcW w:w="356" w:type="pct"/>
            <w:noWrap/>
            <w:vAlign w:val="center"/>
            <w:hideMark/>
          </w:tcPr>
          <w:p w:rsidR="008E433C" w:rsidRPr="00142DA0" w:rsidRDefault="008E433C" w:rsidP="001911DD">
            <w:pPr>
              <w:tabs>
                <w:tab w:val="decimal" w:pos="307"/>
              </w:tabs>
              <w:spacing w:before="120" w:after="120"/>
              <w:jc w:val="center"/>
              <w:rPr>
                <w:b/>
                <w:sz w:val="22"/>
              </w:rPr>
            </w:pPr>
            <w:r w:rsidRPr="00142DA0">
              <w:rPr>
                <w:rFonts w:cs="Times New Roman"/>
                <w:b/>
                <w:color w:val="000000"/>
                <w:sz w:val="22"/>
              </w:rPr>
              <w:t>100</w:t>
            </w:r>
          </w:p>
        </w:tc>
        <w:tc>
          <w:tcPr>
            <w:tcW w:w="356" w:type="pct"/>
            <w:noWrap/>
            <w:vAlign w:val="center"/>
            <w:hideMark/>
          </w:tcPr>
          <w:p w:rsidR="008E433C" w:rsidRPr="00142DA0" w:rsidRDefault="008E433C" w:rsidP="001911DD">
            <w:pPr>
              <w:tabs>
                <w:tab w:val="decimal" w:pos="300"/>
              </w:tabs>
              <w:spacing w:before="120" w:after="120"/>
              <w:jc w:val="center"/>
              <w:rPr>
                <w:b/>
                <w:sz w:val="22"/>
              </w:rPr>
            </w:pPr>
            <w:r w:rsidRPr="00142DA0">
              <w:rPr>
                <w:rFonts w:cs="Times New Roman"/>
                <w:b/>
                <w:color w:val="000000"/>
                <w:sz w:val="22"/>
              </w:rPr>
              <w:t>100</w:t>
            </w:r>
          </w:p>
        </w:tc>
      </w:tr>
    </w:tbl>
    <w:p w:rsidR="008E433C" w:rsidRPr="00EB5FEE" w:rsidRDefault="008E433C" w:rsidP="008E433C">
      <w:pPr>
        <w:spacing w:before="120"/>
        <w:rPr>
          <w:rFonts w:cs="Times New Roman"/>
        </w:rPr>
      </w:pPr>
      <w:r w:rsidRPr="00B454C8">
        <w:rPr>
          <w:sz w:val="16"/>
        </w:rPr>
        <w:t>Avots: CSP</w:t>
      </w:r>
    </w:p>
    <w:p w:rsidR="008E433C" w:rsidRPr="00B454C8" w:rsidRDefault="008E433C" w:rsidP="008E433C">
      <w:pPr>
        <w:spacing w:after="200" w:line="276" w:lineRule="auto"/>
        <w:rPr>
          <w:rFonts w:cs="Times New Roman"/>
          <w:b/>
          <w:szCs w:val="24"/>
        </w:rPr>
      </w:pPr>
      <w:r w:rsidRPr="00B454C8">
        <w:rPr>
          <w:rFonts w:cs="Times New Roman"/>
          <w:b/>
          <w:szCs w:val="24"/>
        </w:rPr>
        <w:br w:type="page"/>
      </w:r>
    </w:p>
    <w:p w:rsidR="008E433C" w:rsidRPr="00EB5FEE" w:rsidRDefault="008E433C" w:rsidP="008E433C">
      <w:pPr>
        <w:pStyle w:val="Heading2"/>
      </w:pPr>
      <w:bookmarkStart w:id="51" w:name="_Nozaru_dinamika"/>
      <w:bookmarkStart w:id="52" w:name="_Toc239501366"/>
      <w:bookmarkStart w:id="53" w:name="_Toc242510383"/>
      <w:bookmarkEnd w:id="51"/>
      <w:r w:rsidRPr="00EB5FEE">
        <w:lastRenderedPageBreak/>
        <w:t>4.tabula</w:t>
      </w:r>
      <w:r>
        <w:t>. Latvijas tautsaimniecības n</w:t>
      </w:r>
      <w:r w:rsidRPr="00EB5FEE">
        <w:t>ozaru dinamika</w:t>
      </w:r>
      <w:r>
        <w:t xml:space="preserve"> no 2001</w:t>
      </w:r>
      <w:r w:rsidRPr="00187334">
        <w:t>. līdz 2008.gadam</w:t>
      </w:r>
      <w:bookmarkEnd w:id="52"/>
      <w:bookmarkEnd w:id="53"/>
    </w:p>
    <w:p w:rsidR="008E433C" w:rsidRPr="00ED0077" w:rsidRDefault="008E433C" w:rsidP="008E433C">
      <w:pPr>
        <w:rPr>
          <w:rFonts w:cs="Times New Roman"/>
          <w:bCs/>
          <w:szCs w:val="24"/>
        </w:rPr>
      </w:pPr>
      <w:r w:rsidRPr="00ED0077">
        <w:rPr>
          <w:rFonts w:cs="Times New Roman"/>
          <w:bCs/>
          <w:szCs w:val="24"/>
        </w:rPr>
        <w:t>(% pret iepriekšējo gadu)</w:t>
      </w:r>
    </w:p>
    <w:p w:rsidR="008E433C" w:rsidRPr="00EB5FEE" w:rsidRDefault="008E433C" w:rsidP="008E433C">
      <w:pPr>
        <w:jc w:val="center"/>
        <w:rPr>
          <w:rFonts w:cs="Times New Roman"/>
          <w:bCs/>
          <w:sz w:val="16"/>
          <w:szCs w:val="24"/>
        </w:rPr>
      </w:pPr>
    </w:p>
    <w:tbl>
      <w:tblPr>
        <w:tblStyle w:val="LightShading1"/>
        <w:tblW w:w="4973" w:type="pct"/>
        <w:jc w:val="center"/>
        <w:tblLayout w:type="fixed"/>
        <w:tblLook w:val="0400"/>
      </w:tblPr>
      <w:tblGrid>
        <w:gridCol w:w="1909"/>
        <w:gridCol w:w="765"/>
        <w:gridCol w:w="765"/>
        <w:gridCol w:w="765"/>
        <w:gridCol w:w="765"/>
        <w:gridCol w:w="765"/>
        <w:gridCol w:w="765"/>
        <w:gridCol w:w="765"/>
        <w:gridCol w:w="765"/>
        <w:gridCol w:w="251"/>
        <w:gridCol w:w="763"/>
        <w:gridCol w:w="759"/>
      </w:tblGrid>
      <w:tr w:rsidR="008E433C" w:rsidRPr="00142DA0" w:rsidTr="001911DD">
        <w:trPr>
          <w:cnfStyle w:val="000000100000"/>
          <w:trHeight w:val="564"/>
          <w:jc w:val="center"/>
        </w:trPr>
        <w:tc>
          <w:tcPr>
            <w:tcW w:w="974" w:type="pct"/>
            <w:tcBorders>
              <w:top w:val="single" w:sz="8" w:space="0" w:color="000000" w:themeColor="text1"/>
              <w:bottom w:val="single" w:sz="4" w:space="0" w:color="auto"/>
            </w:tcBorders>
            <w:noWrap/>
            <w:vAlign w:val="bottom"/>
            <w:hideMark/>
          </w:tcPr>
          <w:p w:rsidR="008E433C" w:rsidRPr="00142DA0" w:rsidRDefault="008E433C" w:rsidP="002F02CF">
            <w:pPr>
              <w:spacing w:before="120" w:after="120"/>
              <w:rPr>
                <w:rFonts w:cs="Times New Roman"/>
                <w:b/>
                <w:bCs/>
                <w:sz w:val="22"/>
              </w:rPr>
            </w:pPr>
          </w:p>
        </w:tc>
        <w:tc>
          <w:tcPr>
            <w:tcW w:w="390"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bCs/>
                <w:sz w:val="22"/>
              </w:rPr>
              <w:t>2001</w:t>
            </w:r>
          </w:p>
        </w:tc>
        <w:tc>
          <w:tcPr>
            <w:tcW w:w="390"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bCs/>
                <w:sz w:val="22"/>
              </w:rPr>
              <w:t>2002</w:t>
            </w:r>
          </w:p>
        </w:tc>
        <w:tc>
          <w:tcPr>
            <w:tcW w:w="390"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bCs/>
                <w:sz w:val="22"/>
              </w:rPr>
              <w:t>2003</w:t>
            </w:r>
          </w:p>
        </w:tc>
        <w:tc>
          <w:tcPr>
            <w:tcW w:w="390"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bCs/>
                <w:sz w:val="22"/>
              </w:rPr>
              <w:t>2004</w:t>
            </w:r>
          </w:p>
        </w:tc>
        <w:tc>
          <w:tcPr>
            <w:tcW w:w="390"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bCs/>
                <w:sz w:val="22"/>
              </w:rPr>
              <w:t>2005</w:t>
            </w:r>
          </w:p>
        </w:tc>
        <w:tc>
          <w:tcPr>
            <w:tcW w:w="390"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bCs/>
                <w:sz w:val="22"/>
              </w:rPr>
              <w:t>2006</w:t>
            </w:r>
          </w:p>
        </w:tc>
        <w:tc>
          <w:tcPr>
            <w:tcW w:w="390"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bCs/>
                <w:sz w:val="22"/>
              </w:rPr>
              <w:t>2007</w:t>
            </w:r>
          </w:p>
        </w:tc>
        <w:tc>
          <w:tcPr>
            <w:tcW w:w="390"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b/>
                <w:bCs/>
                <w:sz w:val="22"/>
              </w:rPr>
            </w:pPr>
            <w:r w:rsidRPr="00142DA0">
              <w:rPr>
                <w:rFonts w:cs="Times New Roman"/>
                <w:b/>
                <w:bCs/>
                <w:sz w:val="22"/>
              </w:rPr>
              <w:t>2008</w:t>
            </w:r>
          </w:p>
        </w:tc>
        <w:tc>
          <w:tcPr>
            <w:tcW w:w="128" w:type="pct"/>
            <w:tcBorders>
              <w:top w:val="single" w:sz="8" w:space="0" w:color="000000" w:themeColor="text1"/>
              <w:bottom w:val="single" w:sz="4" w:space="0" w:color="auto"/>
            </w:tcBorders>
            <w:noWrap/>
            <w:vAlign w:val="center"/>
            <w:hideMark/>
          </w:tcPr>
          <w:p w:rsidR="008E433C" w:rsidRPr="00142DA0" w:rsidRDefault="008E433C" w:rsidP="002F02CF">
            <w:pPr>
              <w:spacing w:before="120" w:after="120"/>
              <w:jc w:val="center"/>
              <w:rPr>
                <w:rFonts w:cs="Times New Roman"/>
                <w:sz w:val="22"/>
              </w:rPr>
            </w:pPr>
          </w:p>
        </w:tc>
        <w:tc>
          <w:tcPr>
            <w:tcW w:w="389" w:type="pct"/>
            <w:tcBorders>
              <w:top w:val="single" w:sz="8" w:space="0" w:color="000000" w:themeColor="text1"/>
              <w:bottom w:val="single" w:sz="4" w:space="0" w:color="auto"/>
            </w:tcBorders>
            <w:vAlign w:val="center"/>
            <w:hideMark/>
          </w:tcPr>
          <w:p w:rsidR="008E433C" w:rsidRPr="00142DA0" w:rsidRDefault="008E433C" w:rsidP="002F02CF">
            <w:pPr>
              <w:spacing w:before="120" w:after="120"/>
              <w:ind w:left="-84" w:right="-78"/>
              <w:jc w:val="center"/>
              <w:rPr>
                <w:rFonts w:cs="Times New Roman"/>
                <w:b/>
                <w:bCs/>
                <w:sz w:val="22"/>
              </w:rPr>
            </w:pPr>
            <w:r>
              <w:rPr>
                <w:rFonts w:cs="Times New Roman"/>
                <w:b/>
                <w:bCs/>
                <w:sz w:val="22"/>
              </w:rPr>
              <w:t>v</w:t>
            </w:r>
            <w:r w:rsidRPr="00142DA0">
              <w:rPr>
                <w:rFonts w:cs="Times New Roman"/>
                <w:b/>
                <w:bCs/>
                <w:sz w:val="22"/>
              </w:rPr>
              <w:t>idēji 2001-2003</w:t>
            </w:r>
          </w:p>
        </w:tc>
        <w:tc>
          <w:tcPr>
            <w:tcW w:w="387" w:type="pct"/>
            <w:tcBorders>
              <w:top w:val="single" w:sz="8" w:space="0" w:color="000000" w:themeColor="text1"/>
              <w:bottom w:val="single" w:sz="4" w:space="0" w:color="auto"/>
            </w:tcBorders>
            <w:vAlign w:val="center"/>
            <w:hideMark/>
          </w:tcPr>
          <w:p w:rsidR="008E433C" w:rsidRPr="00142DA0" w:rsidRDefault="008E433C" w:rsidP="002F02CF">
            <w:pPr>
              <w:spacing w:before="120" w:after="120"/>
              <w:ind w:left="-84" w:right="-78"/>
              <w:jc w:val="center"/>
              <w:rPr>
                <w:rFonts w:cs="Times New Roman"/>
                <w:b/>
                <w:bCs/>
                <w:sz w:val="22"/>
              </w:rPr>
            </w:pPr>
            <w:r w:rsidRPr="00142DA0">
              <w:rPr>
                <w:rFonts w:cs="Times New Roman"/>
                <w:b/>
                <w:bCs/>
                <w:sz w:val="22"/>
              </w:rPr>
              <w:t>vidēji 2004-2008</w:t>
            </w:r>
          </w:p>
        </w:tc>
      </w:tr>
      <w:tr w:rsidR="001911DD" w:rsidRPr="00142DA0" w:rsidTr="001911DD">
        <w:trPr>
          <w:trHeight w:val="300"/>
          <w:jc w:val="center"/>
        </w:trPr>
        <w:tc>
          <w:tcPr>
            <w:tcW w:w="974" w:type="pct"/>
            <w:tcBorders>
              <w:top w:val="single" w:sz="4" w:space="0" w:color="auto"/>
            </w:tcBorders>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 xml:space="preserve">Lauksaimniecība, </w:t>
            </w:r>
            <w:r>
              <w:rPr>
                <w:rFonts w:cs="Times New Roman"/>
                <w:sz w:val="22"/>
              </w:rPr>
              <w:t>mežsaimniecība</w:t>
            </w:r>
          </w:p>
        </w:tc>
        <w:tc>
          <w:tcPr>
            <w:tcW w:w="390" w:type="pct"/>
            <w:tcBorders>
              <w:top w:val="single" w:sz="4" w:space="0" w:color="auto"/>
            </w:tcBorders>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8,2</w:t>
            </w:r>
          </w:p>
        </w:tc>
        <w:tc>
          <w:tcPr>
            <w:tcW w:w="390" w:type="pct"/>
            <w:tcBorders>
              <w:top w:val="single" w:sz="4" w:space="0" w:color="auto"/>
            </w:tcBorders>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5,6</w:t>
            </w:r>
          </w:p>
        </w:tc>
        <w:tc>
          <w:tcPr>
            <w:tcW w:w="390" w:type="pct"/>
            <w:tcBorders>
              <w:top w:val="single" w:sz="4" w:space="0" w:color="auto"/>
            </w:tcBorders>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0,0</w:t>
            </w:r>
          </w:p>
        </w:tc>
        <w:tc>
          <w:tcPr>
            <w:tcW w:w="390" w:type="pct"/>
            <w:tcBorders>
              <w:top w:val="single" w:sz="4" w:space="0" w:color="auto"/>
            </w:tcBorders>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3,2</w:t>
            </w:r>
          </w:p>
        </w:tc>
        <w:tc>
          <w:tcPr>
            <w:tcW w:w="390" w:type="pct"/>
            <w:tcBorders>
              <w:top w:val="single" w:sz="4" w:space="0" w:color="auto"/>
            </w:tcBorders>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9,5</w:t>
            </w:r>
          </w:p>
        </w:tc>
        <w:tc>
          <w:tcPr>
            <w:tcW w:w="390" w:type="pct"/>
            <w:tcBorders>
              <w:top w:val="single" w:sz="4" w:space="0" w:color="auto"/>
            </w:tcBorders>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-5,2</w:t>
            </w:r>
          </w:p>
        </w:tc>
        <w:tc>
          <w:tcPr>
            <w:tcW w:w="390" w:type="pct"/>
            <w:tcBorders>
              <w:top w:val="single" w:sz="4" w:space="0" w:color="auto"/>
            </w:tcBorders>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7,8</w:t>
            </w:r>
          </w:p>
        </w:tc>
        <w:tc>
          <w:tcPr>
            <w:tcW w:w="390" w:type="pct"/>
            <w:tcBorders>
              <w:top w:val="single" w:sz="4" w:space="0" w:color="auto"/>
            </w:tcBorders>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-0,5</w:t>
            </w:r>
          </w:p>
        </w:tc>
        <w:tc>
          <w:tcPr>
            <w:tcW w:w="128" w:type="pct"/>
            <w:tcBorders>
              <w:top w:val="single" w:sz="4" w:space="0" w:color="auto"/>
            </w:tcBorders>
            <w:noWrap/>
            <w:vAlign w:val="center"/>
            <w:hideMark/>
          </w:tcPr>
          <w:p w:rsidR="001911DD" w:rsidRPr="003C53B7" w:rsidRDefault="001911DD" w:rsidP="001911DD">
            <w:pPr>
              <w:spacing w:before="120" w:after="120"/>
              <w:jc w:val="center"/>
              <w:rPr>
                <w:rFonts w:cs="Times New Roman"/>
                <w:sz w:val="20"/>
                <w:szCs w:val="20"/>
              </w:rPr>
            </w:pPr>
          </w:p>
        </w:tc>
        <w:tc>
          <w:tcPr>
            <w:tcW w:w="389" w:type="pct"/>
            <w:tcBorders>
              <w:top w:val="single" w:sz="4" w:space="0" w:color="auto"/>
            </w:tcBorders>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4,6</w:t>
            </w:r>
          </w:p>
        </w:tc>
        <w:tc>
          <w:tcPr>
            <w:tcW w:w="387" w:type="pct"/>
            <w:tcBorders>
              <w:top w:val="single" w:sz="4" w:space="0" w:color="auto"/>
            </w:tcBorders>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2,7</w:t>
            </w:r>
          </w:p>
        </w:tc>
      </w:tr>
      <w:tr w:rsidR="001911DD" w:rsidRPr="00142DA0" w:rsidTr="001911DD">
        <w:trPr>
          <w:cnfStyle w:val="000000100000"/>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Zvejniecība</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-14,3</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-12,8</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-44,1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9,8</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4,5</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-5,1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12,4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3,9</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-25,2</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3,7</w:t>
            </w:r>
          </w:p>
        </w:tc>
      </w:tr>
      <w:tr w:rsidR="001911DD" w:rsidRPr="00142DA0" w:rsidTr="001911DD">
        <w:trPr>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Iegūstošā rūpniecība</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68,0</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22,0</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28,7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11,0</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31,2</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9,0</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30,7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2,5</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38,2</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17,7</w:t>
            </w:r>
          </w:p>
        </w:tc>
      </w:tr>
      <w:tr w:rsidR="001911DD" w:rsidRPr="00142DA0" w:rsidTr="001911DD">
        <w:trPr>
          <w:cnfStyle w:val="000000100000"/>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Apstrādes rūpniecība</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10,2</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8,9</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6,0</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6,6</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5,9</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6,2</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0,5</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-6,5</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8,3</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1,4</w:t>
            </w:r>
          </w:p>
        </w:tc>
      </w:tr>
      <w:tr w:rsidR="001911DD" w:rsidRPr="00142DA0" w:rsidTr="001911DD">
        <w:trPr>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Elektroenerģija, gāze un ūdens apgāde</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5,7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4,2</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4,5</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5,0</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1,8</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4,4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-2,4</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4,8</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1,7</w:t>
            </w:r>
          </w:p>
        </w:tc>
      </w:tr>
      <w:tr w:rsidR="001911DD" w:rsidRPr="00142DA0" w:rsidTr="001911DD">
        <w:trPr>
          <w:cnfStyle w:val="000000100000"/>
          <w:trHeight w:val="300"/>
          <w:jc w:val="center"/>
        </w:trPr>
        <w:tc>
          <w:tcPr>
            <w:tcW w:w="974" w:type="pct"/>
            <w:noWrap/>
            <w:vAlign w:val="bottom"/>
            <w:hideMark/>
          </w:tcPr>
          <w:p w:rsidR="001911DD" w:rsidRPr="001911DD" w:rsidRDefault="001911DD" w:rsidP="007F0B40">
            <w:pPr>
              <w:spacing w:before="120" w:after="120"/>
              <w:ind w:right="-117"/>
              <w:rPr>
                <w:rFonts w:cs="Times New Roman"/>
                <w:sz w:val="22"/>
              </w:rPr>
            </w:pPr>
            <w:r w:rsidRPr="001911DD">
              <w:rPr>
                <w:rFonts w:cs="Times New Roman"/>
                <w:sz w:val="22"/>
              </w:rPr>
              <w:t>Būvniecība</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6,1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10,8</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13,7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13,3</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15,5</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21,5</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15,7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-2,6</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10,2</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12,1</w:t>
            </w:r>
          </w:p>
        </w:tc>
      </w:tr>
      <w:tr w:rsidR="001911DD" w:rsidRPr="00142DA0" w:rsidTr="001911DD">
        <w:trPr>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Tirdzniecība</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10,6</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12,7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10,0</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12,4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16,8</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17,8</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14,6</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-8,3</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11,1</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9,7</w:t>
            </w:r>
          </w:p>
        </w:tc>
      </w:tr>
      <w:tr w:rsidR="001911DD" w:rsidRPr="00142DA0" w:rsidTr="001911DD">
        <w:trPr>
          <w:cnfStyle w:val="000000100000"/>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Viesnīcas un restorāni</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13,7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-0,1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25,3</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16,4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14,7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20,0</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8,6</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-10,7</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12,5</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7,5</w:t>
            </w:r>
          </w:p>
        </w:tc>
      </w:tr>
      <w:tr w:rsidR="001911DD" w:rsidRPr="00142DA0" w:rsidTr="001911DD">
        <w:trPr>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Transports un sakari</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9,5</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8,9</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10,1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13,7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5,5</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7,0</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1,1</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7,2</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6,7</w:t>
            </w:r>
          </w:p>
        </w:tc>
      </w:tr>
      <w:tr w:rsidR="001911DD" w:rsidRPr="00142DA0" w:rsidTr="001911DD">
        <w:trPr>
          <w:cnfStyle w:val="000000100000"/>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Finanses</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7,3</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5,1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3,3</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8,3</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11,4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22,9</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9,3</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-6,6</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5,2</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8,7</w:t>
            </w:r>
          </w:p>
        </w:tc>
      </w:tr>
      <w:tr w:rsidR="001911DD" w:rsidRPr="00142DA0" w:rsidTr="001911DD">
        <w:trPr>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Nekustamo īpašumu izmantošana un komercdarbība</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13,9</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5,7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6,7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10,1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10,3</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17,6</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11,4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1,5</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8,7</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10,1</w:t>
            </w:r>
          </w:p>
        </w:tc>
      </w:tr>
      <w:tr w:rsidR="001911DD" w:rsidRPr="00142DA0" w:rsidTr="001911DD">
        <w:trPr>
          <w:cnfStyle w:val="000000100000"/>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Valsts pārvalde</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2,7</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3,5</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4,4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5,8</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5,8</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0,8</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2,9</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3,9</w:t>
            </w:r>
          </w:p>
        </w:tc>
      </w:tr>
      <w:tr w:rsidR="001911DD" w:rsidRPr="00142DA0" w:rsidTr="001911DD">
        <w:trPr>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Izglītība</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1,2</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1,3</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6,4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2,5</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4,1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4,2</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3,0</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0,5</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2,9</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2,9</w:t>
            </w:r>
          </w:p>
        </w:tc>
      </w:tr>
      <w:tr w:rsidR="001911DD" w:rsidRPr="00142DA0" w:rsidTr="001911DD">
        <w:trPr>
          <w:cnfStyle w:val="000000100000"/>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Veselības aizsardzība</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-0,1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1,3</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2,2</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2,8</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3,9</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0,8</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1,5</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2,4</w:t>
            </w:r>
          </w:p>
        </w:tc>
      </w:tr>
      <w:tr w:rsidR="001911DD" w:rsidRPr="00142DA0" w:rsidTr="001911DD">
        <w:trPr>
          <w:trHeight w:val="300"/>
          <w:jc w:val="center"/>
        </w:trPr>
        <w:tc>
          <w:tcPr>
            <w:tcW w:w="974"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Citi pakalpojumi</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3,5</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4,6</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4,9</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8,0</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9,1</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14,4</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13,2</w:t>
            </w:r>
          </w:p>
        </w:tc>
        <w:tc>
          <w:tcPr>
            <w:tcW w:w="390" w:type="pct"/>
            <w:noWrap/>
            <w:vAlign w:val="center"/>
            <w:hideMark/>
          </w:tcPr>
          <w:p w:rsidR="001911DD" w:rsidRPr="003C53B7" w:rsidRDefault="001911DD" w:rsidP="001911DD">
            <w:pPr>
              <w:tabs>
                <w:tab w:val="decimal" w:pos="262"/>
              </w:tabs>
              <w:spacing w:before="120" w:after="120"/>
              <w:jc w:val="center"/>
              <w:rPr>
                <w:rFonts w:cs="Times New Roman"/>
                <w:sz w:val="20"/>
                <w:szCs w:val="20"/>
              </w:rPr>
            </w:pPr>
            <w:r w:rsidRPr="003C53B7">
              <w:rPr>
                <w:rFonts w:cs="Times New Roman"/>
                <w:sz w:val="20"/>
                <w:szCs w:val="20"/>
              </w:rPr>
              <w:t>1,3</w:t>
            </w:r>
          </w:p>
        </w:tc>
        <w:tc>
          <w:tcPr>
            <w:tcW w:w="128" w:type="pct"/>
            <w:noWrap/>
            <w:vAlign w:val="center"/>
            <w:hideMark/>
          </w:tcPr>
          <w:p w:rsidR="001911DD" w:rsidRPr="003C53B7" w:rsidRDefault="001911DD" w:rsidP="001911DD">
            <w:pPr>
              <w:spacing w:before="120" w:after="120"/>
              <w:jc w:val="center"/>
              <w:rPr>
                <w:rFonts w:cs="Times New Roman"/>
                <w:sz w:val="20"/>
                <w:szCs w:val="20"/>
              </w:rPr>
            </w:pPr>
          </w:p>
        </w:tc>
        <w:tc>
          <w:tcPr>
            <w:tcW w:w="389"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4,3</w:t>
            </w:r>
          </w:p>
        </w:tc>
        <w:tc>
          <w:tcPr>
            <w:tcW w:w="387" w:type="pct"/>
            <w:noWrap/>
            <w:vAlign w:val="center"/>
            <w:hideMark/>
          </w:tcPr>
          <w:p w:rsidR="001911DD" w:rsidRPr="003C53B7" w:rsidRDefault="001911DD" w:rsidP="001911DD">
            <w:pPr>
              <w:tabs>
                <w:tab w:val="decimal" w:pos="221"/>
              </w:tabs>
              <w:spacing w:before="120" w:after="120"/>
              <w:jc w:val="center"/>
              <w:rPr>
                <w:rFonts w:cs="Times New Roman"/>
                <w:sz w:val="20"/>
                <w:szCs w:val="20"/>
              </w:rPr>
            </w:pPr>
            <w:r w:rsidRPr="003C53B7">
              <w:rPr>
                <w:rFonts w:cs="Times New Roman"/>
                <w:sz w:val="20"/>
                <w:szCs w:val="20"/>
              </w:rPr>
              <w:t>9,3</w:t>
            </w:r>
          </w:p>
        </w:tc>
      </w:tr>
      <w:tr w:rsidR="008E433C" w:rsidRPr="00142DA0" w:rsidTr="001911DD">
        <w:trPr>
          <w:cnfStyle w:val="000000100000"/>
          <w:trHeight w:val="300"/>
          <w:jc w:val="center"/>
        </w:trPr>
        <w:tc>
          <w:tcPr>
            <w:tcW w:w="974" w:type="pct"/>
            <w:noWrap/>
            <w:vAlign w:val="bottom"/>
            <w:hideMark/>
          </w:tcPr>
          <w:p w:rsidR="008E433C" w:rsidRPr="00142DA0" w:rsidRDefault="008E433C" w:rsidP="002F02CF">
            <w:pPr>
              <w:spacing w:before="120" w:after="120"/>
              <w:ind w:right="-121"/>
              <w:rPr>
                <w:rFonts w:cs="Times New Roman"/>
                <w:b/>
                <w:bCs/>
                <w:sz w:val="22"/>
              </w:rPr>
            </w:pPr>
            <w:r w:rsidRPr="00142DA0">
              <w:rPr>
                <w:rFonts w:cs="Times New Roman"/>
                <w:b/>
                <w:bCs/>
                <w:sz w:val="22"/>
              </w:rPr>
              <w:t>Kopā pievienotā vērtība</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0"/>
                <w:szCs w:val="20"/>
              </w:rPr>
            </w:pPr>
            <w:r w:rsidRPr="003C53B7">
              <w:rPr>
                <w:rFonts w:cs="Times New Roman"/>
                <w:b/>
                <w:bCs/>
                <w:sz w:val="20"/>
                <w:szCs w:val="20"/>
              </w:rPr>
              <w:t>8,4</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0"/>
                <w:szCs w:val="20"/>
              </w:rPr>
            </w:pPr>
            <w:r w:rsidRPr="003C53B7">
              <w:rPr>
                <w:rFonts w:cs="Times New Roman"/>
                <w:b/>
                <w:bCs/>
                <w:sz w:val="20"/>
                <w:szCs w:val="20"/>
              </w:rPr>
              <w:t>6,6</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0"/>
                <w:szCs w:val="20"/>
              </w:rPr>
            </w:pPr>
            <w:r w:rsidRPr="003C53B7">
              <w:rPr>
                <w:rFonts w:cs="Times New Roman"/>
                <w:b/>
                <w:bCs/>
                <w:sz w:val="20"/>
                <w:szCs w:val="20"/>
              </w:rPr>
              <w:t>7,1</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0"/>
                <w:szCs w:val="20"/>
              </w:rPr>
            </w:pPr>
            <w:r w:rsidRPr="003C53B7">
              <w:rPr>
                <w:rFonts w:cs="Times New Roman"/>
                <w:b/>
                <w:bCs/>
                <w:sz w:val="20"/>
                <w:szCs w:val="20"/>
              </w:rPr>
              <w:t>8,8</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0"/>
                <w:szCs w:val="20"/>
              </w:rPr>
            </w:pPr>
            <w:r w:rsidRPr="003C53B7">
              <w:rPr>
                <w:rFonts w:cs="Times New Roman"/>
                <w:b/>
                <w:bCs/>
                <w:sz w:val="20"/>
                <w:szCs w:val="20"/>
              </w:rPr>
              <w:t>10,8</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0"/>
                <w:szCs w:val="20"/>
              </w:rPr>
            </w:pPr>
            <w:r w:rsidRPr="003C53B7">
              <w:rPr>
                <w:rFonts w:cs="Times New Roman"/>
                <w:b/>
                <w:bCs/>
                <w:sz w:val="20"/>
                <w:szCs w:val="20"/>
              </w:rPr>
              <w:t>11,8</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0"/>
                <w:szCs w:val="20"/>
              </w:rPr>
            </w:pPr>
            <w:r w:rsidRPr="003C53B7">
              <w:rPr>
                <w:rFonts w:cs="Times New Roman"/>
                <w:b/>
                <w:bCs/>
                <w:sz w:val="20"/>
                <w:szCs w:val="20"/>
              </w:rPr>
              <w:t>9,1</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0"/>
                <w:szCs w:val="20"/>
              </w:rPr>
            </w:pPr>
            <w:r w:rsidRPr="003C53B7">
              <w:rPr>
                <w:rFonts w:cs="Times New Roman"/>
                <w:b/>
                <w:bCs/>
                <w:sz w:val="20"/>
                <w:szCs w:val="20"/>
              </w:rPr>
              <w:t>-2,9</w:t>
            </w:r>
          </w:p>
        </w:tc>
        <w:tc>
          <w:tcPr>
            <w:tcW w:w="128" w:type="pct"/>
            <w:noWrap/>
            <w:vAlign w:val="center"/>
            <w:hideMark/>
          </w:tcPr>
          <w:p w:rsidR="008E433C" w:rsidRPr="003C53B7" w:rsidRDefault="008E433C" w:rsidP="001911DD">
            <w:pPr>
              <w:spacing w:before="120" w:after="120"/>
              <w:jc w:val="center"/>
              <w:rPr>
                <w:rFonts w:cs="Times New Roman"/>
                <w:b/>
                <w:bCs/>
                <w:sz w:val="20"/>
                <w:szCs w:val="20"/>
              </w:rPr>
            </w:pPr>
          </w:p>
        </w:tc>
        <w:tc>
          <w:tcPr>
            <w:tcW w:w="389" w:type="pct"/>
            <w:noWrap/>
            <w:vAlign w:val="center"/>
            <w:hideMark/>
          </w:tcPr>
          <w:p w:rsidR="008E433C" w:rsidRPr="003C53B7" w:rsidRDefault="008E433C" w:rsidP="001911DD">
            <w:pPr>
              <w:tabs>
                <w:tab w:val="decimal" w:pos="221"/>
              </w:tabs>
              <w:spacing w:before="120" w:after="120"/>
              <w:jc w:val="center"/>
              <w:rPr>
                <w:rFonts w:cs="Times New Roman"/>
                <w:b/>
                <w:sz w:val="20"/>
                <w:szCs w:val="20"/>
              </w:rPr>
            </w:pPr>
            <w:r w:rsidRPr="003C53B7">
              <w:rPr>
                <w:rFonts w:cs="Times New Roman"/>
                <w:b/>
                <w:sz w:val="20"/>
                <w:szCs w:val="20"/>
              </w:rPr>
              <w:t>7,3</w:t>
            </w:r>
          </w:p>
        </w:tc>
        <w:tc>
          <w:tcPr>
            <w:tcW w:w="387" w:type="pct"/>
            <w:noWrap/>
            <w:vAlign w:val="center"/>
            <w:hideMark/>
          </w:tcPr>
          <w:p w:rsidR="008E433C" w:rsidRPr="003C53B7" w:rsidRDefault="008E433C" w:rsidP="001911DD">
            <w:pPr>
              <w:tabs>
                <w:tab w:val="decimal" w:pos="221"/>
              </w:tabs>
              <w:spacing w:before="120" w:after="120"/>
              <w:jc w:val="center"/>
              <w:rPr>
                <w:rFonts w:cs="Times New Roman"/>
                <w:b/>
                <w:bCs/>
                <w:sz w:val="20"/>
                <w:szCs w:val="20"/>
              </w:rPr>
            </w:pPr>
            <w:r w:rsidRPr="003C53B7">
              <w:rPr>
                <w:rFonts w:cs="Times New Roman"/>
                <w:b/>
                <w:bCs/>
                <w:sz w:val="20"/>
                <w:szCs w:val="20"/>
              </w:rPr>
              <w:t>7,0</w:t>
            </w:r>
          </w:p>
        </w:tc>
      </w:tr>
      <w:tr w:rsidR="008E433C" w:rsidRPr="00142DA0" w:rsidTr="001911DD">
        <w:trPr>
          <w:trHeight w:val="300"/>
          <w:jc w:val="center"/>
        </w:trPr>
        <w:tc>
          <w:tcPr>
            <w:tcW w:w="974" w:type="pct"/>
            <w:vAlign w:val="bottom"/>
            <w:hideMark/>
          </w:tcPr>
          <w:p w:rsidR="008E433C" w:rsidRPr="00142DA0" w:rsidRDefault="008E433C" w:rsidP="002F02CF">
            <w:pPr>
              <w:spacing w:before="120" w:after="120"/>
              <w:ind w:right="-121"/>
              <w:rPr>
                <w:rFonts w:cs="Times New Roman"/>
                <w:sz w:val="22"/>
              </w:rPr>
            </w:pPr>
            <w:r w:rsidRPr="00142DA0">
              <w:rPr>
                <w:rFonts w:cs="Times New Roman"/>
                <w:iCs/>
                <w:sz w:val="22"/>
              </w:rPr>
              <w:t>Produktu nodokļi</w:t>
            </w:r>
          </w:p>
        </w:tc>
        <w:tc>
          <w:tcPr>
            <w:tcW w:w="390" w:type="pct"/>
            <w:noWrap/>
            <w:vAlign w:val="center"/>
            <w:hideMark/>
          </w:tcPr>
          <w:p w:rsidR="008E433C" w:rsidRPr="003C53B7" w:rsidRDefault="008E433C" w:rsidP="001911DD">
            <w:pPr>
              <w:tabs>
                <w:tab w:val="decimal" w:pos="262"/>
              </w:tabs>
              <w:spacing w:before="120" w:after="120"/>
              <w:jc w:val="center"/>
              <w:rPr>
                <w:rFonts w:cs="Times New Roman"/>
                <w:sz w:val="20"/>
                <w:szCs w:val="20"/>
              </w:rPr>
            </w:pPr>
            <w:r w:rsidRPr="003C53B7">
              <w:rPr>
                <w:rFonts w:cs="Times New Roman"/>
                <w:sz w:val="20"/>
                <w:szCs w:val="20"/>
              </w:rPr>
              <w:t>5,3</w:t>
            </w:r>
          </w:p>
        </w:tc>
        <w:tc>
          <w:tcPr>
            <w:tcW w:w="390" w:type="pct"/>
            <w:noWrap/>
            <w:vAlign w:val="center"/>
            <w:hideMark/>
          </w:tcPr>
          <w:p w:rsidR="008E433C" w:rsidRPr="003C53B7" w:rsidRDefault="008E433C" w:rsidP="001911DD">
            <w:pPr>
              <w:tabs>
                <w:tab w:val="decimal" w:pos="262"/>
              </w:tabs>
              <w:spacing w:before="120" w:after="120"/>
              <w:jc w:val="center"/>
              <w:rPr>
                <w:rFonts w:cs="Times New Roman"/>
                <w:sz w:val="20"/>
                <w:szCs w:val="20"/>
              </w:rPr>
            </w:pPr>
            <w:r w:rsidRPr="003C53B7">
              <w:rPr>
                <w:rFonts w:cs="Times New Roman"/>
                <w:sz w:val="20"/>
                <w:szCs w:val="20"/>
              </w:rPr>
              <w:t>5,5</w:t>
            </w:r>
          </w:p>
        </w:tc>
        <w:tc>
          <w:tcPr>
            <w:tcW w:w="390" w:type="pct"/>
            <w:noWrap/>
            <w:vAlign w:val="center"/>
            <w:hideMark/>
          </w:tcPr>
          <w:p w:rsidR="008E433C" w:rsidRPr="003C53B7" w:rsidRDefault="008E433C" w:rsidP="001911DD">
            <w:pPr>
              <w:tabs>
                <w:tab w:val="decimal" w:pos="262"/>
              </w:tabs>
              <w:spacing w:before="120" w:after="120"/>
              <w:jc w:val="center"/>
              <w:rPr>
                <w:rFonts w:cs="Times New Roman"/>
                <w:sz w:val="20"/>
                <w:szCs w:val="20"/>
              </w:rPr>
            </w:pPr>
            <w:r w:rsidRPr="003C53B7">
              <w:rPr>
                <w:rFonts w:cs="Times New Roman"/>
                <w:sz w:val="20"/>
                <w:szCs w:val="20"/>
              </w:rPr>
              <w:t>8,4</w:t>
            </w:r>
          </w:p>
        </w:tc>
        <w:tc>
          <w:tcPr>
            <w:tcW w:w="390" w:type="pct"/>
            <w:noWrap/>
            <w:vAlign w:val="center"/>
            <w:hideMark/>
          </w:tcPr>
          <w:p w:rsidR="008E433C" w:rsidRPr="003C53B7" w:rsidRDefault="008E433C" w:rsidP="001911DD">
            <w:pPr>
              <w:tabs>
                <w:tab w:val="decimal" w:pos="262"/>
              </w:tabs>
              <w:spacing w:before="120" w:after="120"/>
              <w:jc w:val="center"/>
              <w:rPr>
                <w:rFonts w:cs="Times New Roman"/>
                <w:sz w:val="20"/>
                <w:szCs w:val="20"/>
              </w:rPr>
            </w:pPr>
            <w:r w:rsidRPr="003C53B7">
              <w:rPr>
                <w:rFonts w:cs="Times New Roman"/>
                <w:sz w:val="20"/>
                <w:szCs w:val="20"/>
              </w:rPr>
              <w:t>8,0</w:t>
            </w:r>
          </w:p>
        </w:tc>
        <w:tc>
          <w:tcPr>
            <w:tcW w:w="390" w:type="pct"/>
            <w:noWrap/>
            <w:vAlign w:val="center"/>
            <w:hideMark/>
          </w:tcPr>
          <w:p w:rsidR="008E433C" w:rsidRPr="003C53B7" w:rsidRDefault="008E433C" w:rsidP="001911DD">
            <w:pPr>
              <w:tabs>
                <w:tab w:val="decimal" w:pos="262"/>
              </w:tabs>
              <w:spacing w:before="120" w:after="120"/>
              <w:jc w:val="center"/>
              <w:rPr>
                <w:rFonts w:cs="Times New Roman"/>
                <w:sz w:val="20"/>
                <w:szCs w:val="20"/>
              </w:rPr>
            </w:pPr>
            <w:r w:rsidRPr="003C53B7">
              <w:rPr>
                <w:rFonts w:cs="Times New Roman"/>
                <w:sz w:val="20"/>
                <w:szCs w:val="20"/>
              </w:rPr>
              <w:t>8,9</w:t>
            </w:r>
          </w:p>
        </w:tc>
        <w:tc>
          <w:tcPr>
            <w:tcW w:w="390" w:type="pct"/>
            <w:noWrap/>
            <w:vAlign w:val="center"/>
            <w:hideMark/>
          </w:tcPr>
          <w:p w:rsidR="008E433C" w:rsidRPr="003C53B7" w:rsidRDefault="008E433C" w:rsidP="001911DD">
            <w:pPr>
              <w:tabs>
                <w:tab w:val="decimal" w:pos="262"/>
              </w:tabs>
              <w:spacing w:before="120" w:after="120"/>
              <w:jc w:val="center"/>
              <w:rPr>
                <w:rFonts w:cs="Times New Roman"/>
                <w:sz w:val="20"/>
                <w:szCs w:val="20"/>
              </w:rPr>
            </w:pPr>
            <w:r w:rsidRPr="003C53B7">
              <w:rPr>
                <w:rFonts w:cs="Times New Roman"/>
                <w:sz w:val="20"/>
                <w:szCs w:val="20"/>
              </w:rPr>
              <w:t>16,1</w:t>
            </w:r>
          </w:p>
        </w:tc>
        <w:tc>
          <w:tcPr>
            <w:tcW w:w="390" w:type="pct"/>
            <w:noWrap/>
            <w:vAlign w:val="center"/>
            <w:hideMark/>
          </w:tcPr>
          <w:p w:rsidR="008E433C" w:rsidRPr="003C53B7" w:rsidRDefault="008E433C" w:rsidP="001911DD">
            <w:pPr>
              <w:tabs>
                <w:tab w:val="decimal" w:pos="262"/>
              </w:tabs>
              <w:spacing w:before="120" w:after="120"/>
              <w:jc w:val="center"/>
              <w:rPr>
                <w:rFonts w:cs="Times New Roman"/>
                <w:sz w:val="20"/>
                <w:szCs w:val="20"/>
              </w:rPr>
            </w:pPr>
            <w:r w:rsidRPr="003C53B7">
              <w:rPr>
                <w:rFonts w:cs="Times New Roman"/>
                <w:sz w:val="20"/>
                <w:szCs w:val="20"/>
              </w:rPr>
              <w:t>17,3</w:t>
            </w:r>
          </w:p>
        </w:tc>
        <w:tc>
          <w:tcPr>
            <w:tcW w:w="390" w:type="pct"/>
            <w:noWrap/>
            <w:vAlign w:val="center"/>
            <w:hideMark/>
          </w:tcPr>
          <w:p w:rsidR="008E433C" w:rsidRPr="003C53B7" w:rsidRDefault="008E433C" w:rsidP="001911DD">
            <w:pPr>
              <w:tabs>
                <w:tab w:val="decimal" w:pos="262"/>
              </w:tabs>
              <w:spacing w:before="120" w:after="120"/>
              <w:jc w:val="center"/>
              <w:rPr>
                <w:rFonts w:cs="Times New Roman"/>
                <w:sz w:val="20"/>
                <w:szCs w:val="20"/>
              </w:rPr>
            </w:pPr>
            <w:r w:rsidRPr="003C53B7">
              <w:rPr>
                <w:rFonts w:cs="Times New Roman"/>
                <w:sz w:val="20"/>
                <w:szCs w:val="20"/>
              </w:rPr>
              <w:t>-18,3</w:t>
            </w:r>
          </w:p>
        </w:tc>
        <w:tc>
          <w:tcPr>
            <w:tcW w:w="128" w:type="pct"/>
            <w:noWrap/>
            <w:vAlign w:val="center"/>
            <w:hideMark/>
          </w:tcPr>
          <w:p w:rsidR="008E433C" w:rsidRPr="003C53B7" w:rsidRDefault="008E433C" w:rsidP="001911DD">
            <w:pPr>
              <w:spacing w:before="120" w:after="120"/>
              <w:jc w:val="center"/>
              <w:rPr>
                <w:rFonts w:cs="Times New Roman"/>
                <w:sz w:val="20"/>
                <w:szCs w:val="20"/>
              </w:rPr>
            </w:pPr>
          </w:p>
        </w:tc>
        <w:tc>
          <w:tcPr>
            <w:tcW w:w="389" w:type="pct"/>
            <w:noWrap/>
            <w:vAlign w:val="center"/>
            <w:hideMark/>
          </w:tcPr>
          <w:p w:rsidR="008E433C" w:rsidRPr="003C53B7" w:rsidRDefault="008E433C" w:rsidP="001911DD">
            <w:pPr>
              <w:tabs>
                <w:tab w:val="decimal" w:pos="221"/>
              </w:tabs>
              <w:spacing w:before="120" w:after="120"/>
              <w:jc w:val="center"/>
              <w:rPr>
                <w:rFonts w:cs="Times New Roman"/>
                <w:sz w:val="20"/>
                <w:szCs w:val="20"/>
              </w:rPr>
            </w:pPr>
            <w:r w:rsidRPr="003C53B7">
              <w:rPr>
                <w:rFonts w:cs="Times New Roman"/>
                <w:sz w:val="20"/>
                <w:szCs w:val="20"/>
              </w:rPr>
              <w:t>6,4</w:t>
            </w:r>
          </w:p>
        </w:tc>
        <w:tc>
          <w:tcPr>
            <w:tcW w:w="387" w:type="pct"/>
            <w:noWrap/>
            <w:vAlign w:val="center"/>
            <w:hideMark/>
          </w:tcPr>
          <w:p w:rsidR="008E433C" w:rsidRPr="003C53B7" w:rsidRDefault="008E433C" w:rsidP="001911DD">
            <w:pPr>
              <w:tabs>
                <w:tab w:val="decimal" w:pos="221"/>
              </w:tabs>
              <w:spacing w:before="120" w:after="120"/>
              <w:jc w:val="center"/>
              <w:rPr>
                <w:rFonts w:cs="Times New Roman"/>
                <w:sz w:val="20"/>
                <w:szCs w:val="20"/>
              </w:rPr>
            </w:pPr>
            <w:r w:rsidRPr="003C53B7">
              <w:rPr>
                <w:rFonts w:cs="Times New Roman"/>
                <w:sz w:val="20"/>
                <w:szCs w:val="20"/>
              </w:rPr>
              <w:t>4,9</w:t>
            </w:r>
          </w:p>
        </w:tc>
      </w:tr>
      <w:tr w:rsidR="008E433C" w:rsidRPr="003C53B7" w:rsidTr="001911DD">
        <w:trPr>
          <w:cnfStyle w:val="000000100000"/>
          <w:trHeight w:val="315"/>
          <w:jc w:val="center"/>
        </w:trPr>
        <w:tc>
          <w:tcPr>
            <w:tcW w:w="974" w:type="pct"/>
            <w:noWrap/>
            <w:vAlign w:val="bottom"/>
            <w:hideMark/>
          </w:tcPr>
          <w:p w:rsidR="008E433C" w:rsidRPr="003C53B7" w:rsidRDefault="008E433C" w:rsidP="002F02CF">
            <w:pPr>
              <w:spacing w:before="120" w:after="120"/>
              <w:ind w:right="-121"/>
              <w:rPr>
                <w:rFonts w:cs="Times New Roman"/>
                <w:b/>
                <w:bCs/>
                <w:iCs/>
                <w:sz w:val="22"/>
              </w:rPr>
            </w:pPr>
            <w:r w:rsidRPr="003C53B7">
              <w:rPr>
                <w:rFonts w:cs="Times New Roman"/>
                <w:b/>
                <w:bCs/>
                <w:iCs/>
                <w:sz w:val="22"/>
              </w:rPr>
              <w:t>IKP</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2"/>
              </w:rPr>
            </w:pPr>
            <w:r w:rsidRPr="003C53B7">
              <w:rPr>
                <w:rFonts w:cs="Times New Roman"/>
                <w:b/>
                <w:bCs/>
                <w:sz w:val="22"/>
              </w:rPr>
              <w:t>8,0</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2"/>
              </w:rPr>
            </w:pPr>
            <w:r w:rsidRPr="003C53B7">
              <w:rPr>
                <w:rFonts w:cs="Times New Roman"/>
                <w:b/>
                <w:bCs/>
                <w:sz w:val="22"/>
              </w:rPr>
              <w:t>6,5</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2"/>
              </w:rPr>
            </w:pPr>
            <w:r w:rsidRPr="003C53B7">
              <w:rPr>
                <w:rFonts w:cs="Times New Roman"/>
                <w:b/>
                <w:bCs/>
                <w:sz w:val="22"/>
              </w:rPr>
              <w:t>7,2</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2"/>
              </w:rPr>
            </w:pPr>
            <w:r w:rsidRPr="003C53B7">
              <w:rPr>
                <w:rFonts w:cs="Times New Roman"/>
                <w:b/>
                <w:bCs/>
                <w:sz w:val="22"/>
              </w:rPr>
              <w:t>8,7</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2"/>
              </w:rPr>
            </w:pPr>
            <w:r w:rsidRPr="003C53B7">
              <w:rPr>
                <w:rFonts w:cs="Times New Roman"/>
                <w:b/>
                <w:bCs/>
                <w:sz w:val="22"/>
              </w:rPr>
              <w:t>10,6</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2"/>
              </w:rPr>
            </w:pPr>
            <w:r w:rsidRPr="003C53B7">
              <w:rPr>
                <w:rFonts w:cs="Times New Roman"/>
                <w:b/>
                <w:bCs/>
                <w:sz w:val="22"/>
              </w:rPr>
              <w:t>12,2</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2"/>
              </w:rPr>
            </w:pPr>
            <w:r w:rsidRPr="003C53B7">
              <w:rPr>
                <w:rFonts w:cs="Times New Roman"/>
                <w:b/>
                <w:bCs/>
                <w:sz w:val="22"/>
              </w:rPr>
              <w:t>10,0</w:t>
            </w:r>
          </w:p>
        </w:tc>
        <w:tc>
          <w:tcPr>
            <w:tcW w:w="390" w:type="pct"/>
            <w:noWrap/>
            <w:vAlign w:val="center"/>
            <w:hideMark/>
          </w:tcPr>
          <w:p w:rsidR="008E433C" w:rsidRPr="003C53B7" w:rsidRDefault="008E433C" w:rsidP="001911DD">
            <w:pPr>
              <w:tabs>
                <w:tab w:val="decimal" w:pos="262"/>
              </w:tabs>
              <w:spacing w:before="120" w:after="120"/>
              <w:jc w:val="center"/>
              <w:rPr>
                <w:rFonts w:cs="Times New Roman"/>
                <w:b/>
                <w:bCs/>
                <w:sz w:val="22"/>
              </w:rPr>
            </w:pPr>
            <w:r w:rsidRPr="003C53B7">
              <w:rPr>
                <w:rFonts w:cs="Times New Roman"/>
                <w:b/>
                <w:bCs/>
                <w:sz w:val="22"/>
              </w:rPr>
              <w:t>-4,6</w:t>
            </w:r>
          </w:p>
        </w:tc>
        <w:tc>
          <w:tcPr>
            <w:tcW w:w="128" w:type="pct"/>
            <w:noWrap/>
            <w:vAlign w:val="center"/>
            <w:hideMark/>
          </w:tcPr>
          <w:p w:rsidR="008E433C" w:rsidRPr="003C53B7" w:rsidRDefault="008E433C" w:rsidP="001911DD">
            <w:pPr>
              <w:spacing w:before="120" w:after="120"/>
              <w:jc w:val="center"/>
              <w:rPr>
                <w:rFonts w:cs="Times New Roman"/>
                <w:b/>
                <w:bCs/>
                <w:sz w:val="22"/>
              </w:rPr>
            </w:pPr>
          </w:p>
        </w:tc>
        <w:tc>
          <w:tcPr>
            <w:tcW w:w="389" w:type="pct"/>
            <w:noWrap/>
            <w:vAlign w:val="center"/>
            <w:hideMark/>
          </w:tcPr>
          <w:p w:rsidR="008E433C" w:rsidRPr="003C53B7" w:rsidRDefault="008E433C" w:rsidP="001911DD">
            <w:pPr>
              <w:tabs>
                <w:tab w:val="decimal" w:pos="221"/>
              </w:tabs>
              <w:spacing w:before="120" w:after="120"/>
              <w:jc w:val="center"/>
              <w:rPr>
                <w:rFonts w:cs="Times New Roman"/>
                <w:b/>
                <w:sz w:val="22"/>
              </w:rPr>
            </w:pPr>
            <w:r w:rsidRPr="003C53B7">
              <w:rPr>
                <w:rFonts w:cs="Times New Roman"/>
                <w:b/>
                <w:sz w:val="22"/>
              </w:rPr>
              <w:t>7,2</w:t>
            </w:r>
          </w:p>
        </w:tc>
        <w:tc>
          <w:tcPr>
            <w:tcW w:w="387" w:type="pct"/>
            <w:noWrap/>
            <w:vAlign w:val="center"/>
            <w:hideMark/>
          </w:tcPr>
          <w:p w:rsidR="008E433C" w:rsidRPr="003C53B7" w:rsidRDefault="008E433C" w:rsidP="001911DD">
            <w:pPr>
              <w:tabs>
                <w:tab w:val="decimal" w:pos="221"/>
              </w:tabs>
              <w:spacing w:before="120" w:after="120"/>
              <w:jc w:val="center"/>
              <w:rPr>
                <w:rFonts w:cs="Times New Roman"/>
                <w:b/>
                <w:bCs/>
                <w:sz w:val="22"/>
              </w:rPr>
            </w:pPr>
            <w:r w:rsidRPr="003C53B7">
              <w:rPr>
                <w:rFonts w:cs="Times New Roman"/>
                <w:b/>
                <w:bCs/>
                <w:sz w:val="22"/>
              </w:rPr>
              <w:t>6,8</w:t>
            </w:r>
          </w:p>
        </w:tc>
      </w:tr>
    </w:tbl>
    <w:p w:rsidR="008E433C" w:rsidRPr="00EB5FEE" w:rsidRDefault="008E433C" w:rsidP="008E433C">
      <w:pPr>
        <w:spacing w:before="120"/>
        <w:rPr>
          <w:rFonts w:cs="Times New Roman"/>
        </w:rPr>
      </w:pPr>
      <w:bookmarkStart w:id="54" w:name="_Nozaru_ieguldījums_IKP"/>
      <w:bookmarkEnd w:id="54"/>
      <w:r w:rsidRPr="00B454C8">
        <w:rPr>
          <w:sz w:val="16"/>
        </w:rPr>
        <w:t>Avots: CSP</w:t>
      </w:r>
    </w:p>
    <w:p w:rsidR="008E433C" w:rsidRPr="00B454C8" w:rsidRDefault="008E433C" w:rsidP="008E433C">
      <w:pPr>
        <w:spacing w:after="200" w:line="276" w:lineRule="auto"/>
        <w:rPr>
          <w:sz w:val="8"/>
        </w:rPr>
      </w:pPr>
      <w:r w:rsidRPr="00B454C8">
        <w:rPr>
          <w:sz w:val="8"/>
        </w:rPr>
        <w:br w:type="page"/>
      </w:r>
    </w:p>
    <w:p w:rsidR="008E433C" w:rsidRPr="00EB5FEE" w:rsidRDefault="008E433C" w:rsidP="008E433C">
      <w:pPr>
        <w:pStyle w:val="Heading2"/>
      </w:pPr>
      <w:bookmarkStart w:id="55" w:name="_Toc239501367"/>
      <w:bookmarkStart w:id="56" w:name="_Toc242510384"/>
      <w:r w:rsidRPr="00EB5FEE">
        <w:lastRenderedPageBreak/>
        <w:t>5.tabula</w:t>
      </w:r>
      <w:r>
        <w:t>. Nozaru devums</w:t>
      </w:r>
      <w:r w:rsidRPr="00EB5FEE">
        <w:t xml:space="preserve"> IKP pieaugumā</w:t>
      </w:r>
      <w:r>
        <w:t xml:space="preserve"> </w:t>
      </w:r>
      <w:r w:rsidRPr="00187334">
        <w:t>no 200</w:t>
      </w:r>
      <w:r>
        <w:t>1</w:t>
      </w:r>
      <w:r w:rsidRPr="00187334">
        <w:t>. līdz 2008.gadam</w:t>
      </w:r>
      <w:bookmarkEnd w:id="55"/>
      <w:bookmarkEnd w:id="56"/>
    </w:p>
    <w:p w:rsidR="008E433C" w:rsidRPr="00ED0077" w:rsidRDefault="008E433C" w:rsidP="008E433C">
      <w:pPr>
        <w:rPr>
          <w:rFonts w:cs="Times New Roman"/>
        </w:rPr>
      </w:pPr>
      <w:r w:rsidRPr="00ED0077">
        <w:rPr>
          <w:rFonts w:cs="Times New Roman"/>
        </w:rPr>
        <w:t>(procentos)</w:t>
      </w:r>
    </w:p>
    <w:p w:rsidR="008E433C" w:rsidRPr="00EB5FEE" w:rsidRDefault="008E433C" w:rsidP="008E433C">
      <w:pPr>
        <w:jc w:val="center"/>
        <w:rPr>
          <w:rFonts w:cs="Times New Roman"/>
          <w:sz w:val="16"/>
        </w:rPr>
      </w:pPr>
    </w:p>
    <w:tbl>
      <w:tblPr>
        <w:tblStyle w:val="LightShading1"/>
        <w:tblW w:w="4860" w:type="pct"/>
        <w:jc w:val="center"/>
        <w:tblLayout w:type="fixed"/>
        <w:tblLook w:val="0400"/>
      </w:tblPr>
      <w:tblGrid>
        <w:gridCol w:w="2152"/>
        <w:gridCol w:w="698"/>
        <w:gridCol w:w="700"/>
        <w:gridCol w:w="699"/>
        <w:gridCol w:w="699"/>
        <w:gridCol w:w="697"/>
        <w:gridCol w:w="697"/>
        <w:gridCol w:w="697"/>
        <w:gridCol w:w="697"/>
        <w:gridCol w:w="301"/>
        <w:gridCol w:w="793"/>
        <w:gridCol w:w="749"/>
      </w:tblGrid>
      <w:tr w:rsidR="008E433C" w:rsidRPr="00312F73" w:rsidTr="001911DD">
        <w:trPr>
          <w:cnfStyle w:val="000000100000"/>
          <w:trHeight w:val="620"/>
          <w:jc w:val="center"/>
        </w:trPr>
        <w:tc>
          <w:tcPr>
            <w:tcW w:w="1123" w:type="pct"/>
            <w:tcBorders>
              <w:top w:val="single" w:sz="8" w:space="0" w:color="000000" w:themeColor="text1"/>
              <w:bottom w:val="single" w:sz="4" w:space="0" w:color="auto"/>
            </w:tcBorders>
            <w:noWrap/>
            <w:vAlign w:val="center"/>
            <w:hideMark/>
          </w:tcPr>
          <w:p w:rsidR="008E433C" w:rsidRPr="00312F73" w:rsidRDefault="008E433C" w:rsidP="002F02CF">
            <w:pPr>
              <w:spacing w:before="120" w:after="120"/>
              <w:jc w:val="center"/>
              <w:rPr>
                <w:rFonts w:cs="Times New Roman"/>
                <w:b/>
                <w:bCs/>
                <w:sz w:val="22"/>
              </w:rPr>
            </w:pPr>
          </w:p>
        </w:tc>
        <w:tc>
          <w:tcPr>
            <w:tcW w:w="364" w:type="pct"/>
            <w:tcBorders>
              <w:top w:val="single" w:sz="8" w:space="0" w:color="000000" w:themeColor="text1"/>
              <w:bottom w:val="single" w:sz="4" w:space="0" w:color="auto"/>
            </w:tcBorders>
            <w:noWrap/>
            <w:vAlign w:val="center"/>
            <w:hideMark/>
          </w:tcPr>
          <w:p w:rsidR="008E433C" w:rsidRPr="00312F73" w:rsidRDefault="008E433C" w:rsidP="002F02CF">
            <w:pPr>
              <w:spacing w:before="120" w:after="120"/>
              <w:jc w:val="center"/>
              <w:rPr>
                <w:rFonts w:cs="Times New Roman"/>
                <w:b/>
                <w:bCs/>
                <w:sz w:val="22"/>
              </w:rPr>
            </w:pPr>
            <w:r w:rsidRPr="00312F73">
              <w:rPr>
                <w:rFonts w:cs="Times New Roman"/>
                <w:b/>
                <w:bCs/>
                <w:sz w:val="22"/>
              </w:rPr>
              <w:t>2001</w:t>
            </w:r>
          </w:p>
        </w:tc>
        <w:tc>
          <w:tcPr>
            <w:tcW w:w="365" w:type="pct"/>
            <w:tcBorders>
              <w:top w:val="single" w:sz="8" w:space="0" w:color="000000" w:themeColor="text1"/>
              <w:bottom w:val="single" w:sz="4" w:space="0" w:color="auto"/>
            </w:tcBorders>
            <w:noWrap/>
            <w:vAlign w:val="center"/>
            <w:hideMark/>
          </w:tcPr>
          <w:p w:rsidR="008E433C" w:rsidRPr="00312F73" w:rsidRDefault="008E433C" w:rsidP="002F02CF">
            <w:pPr>
              <w:spacing w:before="120" w:after="120"/>
              <w:jc w:val="center"/>
              <w:rPr>
                <w:rFonts w:cs="Times New Roman"/>
                <w:b/>
                <w:bCs/>
                <w:sz w:val="22"/>
              </w:rPr>
            </w:pPr>
            <w:r w:rsidRPr="00312F73">
              <w:rPr>
                <w:rFonts w:cs="Times New Roman"/>
                <w:b/>
                <w:bCs/>
                <w:sz w:val="22"/>
              </w:rPr>
              <w:t>2002</w:t>
            </w:r>
          </w:p>
        </w:tc>
        <w:tc>
          <w:tcPr>
            <w:tcW w:w="365" w:type="pct"/>
            <w:tcBorders>
              <w:top w:val="single" w:sz="8" w:space="0" w:color="000000" w:themeColor="text1"/>
              <w:bottom w:val="single" w:sz="4" w:space="0" w:color="auto"/>
            </w:tcBorders>
            <w:noWrap/>
            <w:vAlign w:val="center"/>
            <w:hideMark/>
          </w:tcPr>
          <w:p w:rsidR="008E433C" w:rsidRPr="00312F73" w:rsidRDefault="008E433C" w:rsidP="002F02CF">
            <w:pPr>
              <w:spacing w:before="120" w:after="120"/>
              <w:jc w:val="center"/>
              <w:rPr>
                <w:rFonts w:cs="Times New Roman"/>
                <w:b/>
                <w:bCs/>
                <w:sz w:val="22"/>
              </w:rPr>
            </w:pPr>
            <w:r w:rsidRPr="00312F73">
              <w:rPr>
                <w:rFonts w:cs="Times New Roman"/>
                <w:b/>
                <w:bCs/>
                <w:sz w:val="22"/>
              </w:rPr>
              <w:t>2003</w:t>
            </w:r>
          </w:p>
        </w:tc>
        <w:tc>
          <w:tcPr>
            <w:tcW w:w="365" w:type="pct"/>
            <w:tcBorders>
              <w:top w:val="single" w:sz="8" w:space="0" w:color="000000" w:themeColor="text1"/>
              <w:bottom w:val="single" w:sz="4" w:space="0" w:color="auto"/>
            </w:tcBorders>
            <w:noWrap/>
            <w:vAlign w:val="center"/>
            <w:hideMark/>
          </w:tcPr>
          <w:p w:rsidR="008E433C" w:rsidRPr="00312F73" w:rsidRDefault="008E433C" w:rsidP="002F02CF">
            <w:pPr>
              <w:spacing w:before="120" w:after="120"/>
              <w:jc w:val="center"/>
              <w:rPr>
                <w:rFonts w:cs="Times New Roman"/>
                <w:b/>
                <w:bCs/>
                <w:sz w:val="22"/>
              </w:rPr>
            </w:pPr>
            <w:r w:rsidRPr="00312F73">
              <w:rPr>
                <w:rFonts w:cs="Times New Roman"/>
                <w:b/>
                <w:bCs/>
                <w:sz w:val="22"/>
              </w:rPr>
              <w:t>2004</w:t>
            </w:r>
          </w:p>
        </w:tc>
        <w:tc>
          <w:tcPr>
            <w:tcW w:w="364" w:type="pct"/>
            <w:tcBorders>
              <w:top w:val="single" w:sz="8" w:space="0" w:color="000000" w:themeColor="text1"/>
              <w:bottom w:val="single" w:sz="4" w:space="0" w:color="auto"/>
            </w:tcBorders>
            <w:noWrap/>
            <w:vAlign w:val="center"/>
            <w:hideMark/>
          </w:tcPr>
          <w:p w:rsidR="008E433C" w:rsidRPr="00312F73" w:rsidRDefault="008E433C" w:rsidP="002F02CF">
            <w:pPr>
              <w:spacing w:before="120" w:after="120"/>
              <w:jc w:val="center"/>
              <w:rPr>
                <w:rFonts w:cs="Times New Roman"/>
                <w:b/>
                <w:bCs/>
                <w:sz w:val="22"/>
              </w:rPr>
            </w:pPr>
            <w:r w:rsidRPr="00312F73">
              <w:rPr>
                <w:rFonts w:cs="Times New Roman"/>
                <w:b/>
                <w:bCs/>
                <w:sz w:val="22"/>
              </w:rPr>
              <w:t>2005</w:t>
            </w:r>
          </w:p>
        </w:tc>
        <w:tc>
          <w:tcPr>
            <w:tcW w:w="364" w:type="pct"/>
            <w:tcBorders>
              <w:top w:val="single" w:sz="8" w:space="0" w:color="000000" w:themeColor="text1"/>
              <w:bottom w:val="single" w:sz="4" w:space="0" w:color="auto"/>
            </w:tcBorders>
            <w:noWrap/>
            <w:vAlign w:val="center"/>
            <w:hideMark/>
          </w:tcPr>
          <w:p w:rsidR="008E433C" w:rsidRPr="00312F73" w:rsidRDefault="008E433C" w:rsidP="002F02CF">
            <w:pPr>
              <w:spacing w:before="120" w:after="120"/>
              <w:jc w:val="center"/>
              <w:rPr>
                <w:rFonts w:cs="Times New Roman"/>
                <w:b/>
                <w:bCs/>
                <w:sz w:val="22"/>
              </w:rPr>
            </w:pPr>
            <w:r w:rsidRPr="00312F73">
              <w:rPr>
                <w:rFonts w:cs="Times New Roman"/>
                <w:b/>
                <w:bCs/>
                <w:sz w:val="22"/>
              </w:rPr>
              <w:t>2006</w:t>
            </w:r>
          </w:p>
        </w:tc>
        <w:tc>
          <w:tcPr>
            <w:tcW w:w="364" w:type="pct"/>
            <w:tcBorders>
              <w:top w:val="single" w:sz="8" w:space="0" w:color="000000" w:themeColor="text1"/>
              <w:bottom w:val="single" w:sz="4" w:space="0" w:color="auto"/>
            </w:tcBorders>
            <w:noWrap/>
            <w:vAlign w:val="center"/>
            <w:hideMark/>
          </w:tcPr>
          <w:p w:rsidR="008E433C" w:rsidRPr="00312F73" w:rsidRDefault="008E433C" w:rsidP="002F02CF">
            <w:pPr>
              <w:spacing w:before="120" w:after="120"/>
              <w:jc w:val="center"/>
              <w:rPr>
                <w:rFonts w:cs="Times New Roman"/>
                <w:b/>
                <w:bCs/>
                <w:sz w:val="22"/>
              </w:rPr>
            </w:pPr>
            <w:r w:rsidRPr="00312F73">
              <w:rPr>
                <w:rFonts w:cs="Times New Roman"/>
                <w:b/>
                <w:bCs/>
                <w:sz w:val="22"/>
              </w:rPr>
              <w:t>2007</w:t>
            </w:r>
          </w:p>
        </w:tc>
        <w:tc>
          <w:tcPr>
            <w:tcW w:w="364" w:type="pct"/>
            <w:tcBorders>
              <w:top w:val="single" w:sz="8" w:space="0" w:color="000000" w:themeColor="text1"/>
              <w:bottom w:val="single" w:sz="4" w:space="0" w:color="auto"/>
            </w:tcBorders>
            <w:noWrap/>
            <w:vAlign w:val="center"/>
            <w:hideMark/>
          </w:tcPr>
          <w:p w:rsidR="008E433C" w:rsidRPr="00312F73" w:rsidRDefault="008E433C" w:rsidP="002F02CF">
            <w:pPr>
              <w:spacing w:before="120" w:after="120"/>
              <w:jc w:val="center"/>
              <w:rPr>
                <w:rFonts w:cs="Times New Roman"/>
                <w:b/>
                <w:bCs/>
                <w:sz w:val="22"/>
              </w:rPr>
            </w:pPr>
            <w:r w:rsidRPr="00312F73">
              <w:rPr>
                <w:rFonts w:cs="Times New Roman"/>
                <w:b/>
                <w:bCs/>
                <w:sz w:val="22"/>
              </w:rPr>
              <w:t>2008</w:t>
            </w:r>
          </w:p>
        </w:tc>
        <w:tc>
          <w:tcPr>
            <w:tcW w:w="157" w:type="pct"/>
            <w:tcBorders>
              <w:top w:val="single" w:sz="8" w:space="0" w:color="000000" w:themeColor="text1"/>
              <w:bottom w:val="single" w:sz="4" w:space="0" w:color="auto"/>
            </w:tcBorders>
            <w:noWrap/>
            <w:vAlign w:val="center"/>
            <w:hideMark/>
          </w:tcPr>
          <w:p w:rsidR="008E433C" w:rsidRPr="00312F73" w:rsidRDefault="008E433C" w:rsidP="002F02CF">
            <w:pPr>
              <w:spacing w:before="120" w:after="120"/>
              <w:ind w:left="-65" w:right="-12"/>
              <w:jc w:val="center"/>
              <w:rPr>
                <w:rFonts w:cs="Times New Roman"/>
                <w:sz w:val="22"/>
              </w:rPr>
            </w:pPr>
          </w:p>
        </w:tc>
        <w:tc>
          <w:tcPr>
            <w:tcW w:w="414" w:type="pct"/>
            <w:tcBorders>
              <w:top w:val="single" w:sz="8" w:space="0" w:color="000000" w:themeColor="text1"/>
              <w:bottom w:val="single" w:sz="4" w:space="0" w:color="auto"/>
            </w:tcBorders>
            <w:vAlign w:val="center"/>
            <w:hideMark/>
          </w:tcPr>
          <w:p w:rsidR="008E433C" w:rsidRPr="00312F73" w:rsidRDefault="008E433C" w:rsidP="002F02CF">
            <w:pPr>
              <w:spacing w:before="120" w:after="120"/>
              <w:jc w:val="center"/>
              <w:rPr>
                <w:rFonts w:cs="Times New Roman"/>
                <w:b/>
                <w:bCs/>
                <w:sz w:val="22"/>
              </w:rPr>
            </w:pPr>
            <w:r w:rsidRPr="00312F73">
              <w:rPr>
                <w:rFonts w:cs="Times New Roman"/>
                <w:b/>
                <w:bCs/>
                <w:sz w:val="22"/>
              </w:rPr>
              <w:t>2001-2003</w:t>
            </w:r>
          </w:p>
        </w:tc>
        <w:tc>
          <w:tcPr>
            <w:tcW w:w="391" w:type="pct"/>
            <w:tcBorders>
              <w:top w:val="single" w:sz="8" w:space="0" w:color="000000" w:themeColor="text1"/>
              <w:bottom w:val="single" w:sz="4" w:space="0" w:color="auto"/>
            </w:tcBorders>
            <w:vAlign w:val="center"/>
            <w:hideMark/>
          </w:tcPr>
          <w:p w:rsidR="008E433C" w:rsidRPr="00312F73" w:rsidRDefault="008E433C" w:rsidP="002F02CF">
            <w:pPr>
              <w:spacing w:before="120" w:after="120"/>
              <w:jc w:val="center"/>
              <w:rPr>
                <w:rFonts w:cs="Times New Roman"/>
                <w:b/>
                <w:bCs/>
                <w:sz w:val="22"/>
              </w:rPr>
            </w:pPr>
            <w:r w:rsidRPr="00312F73">
              <w:rPr>
                <w:rFonts w:cs="Times New Roman"/>
                <w:b/>
                <w:bCs/>
                <w:sz w:val="22"/>
              </w:rPr>
              <w:t>2004-2008</w:t>
            </w:r>
          </w:p>
        </w:tc>
      </w:tr>
      <w:tr w:rsidR="001911DD" w:rsidRPr="00312F73" w:rsidTr="001911DD">
        <w:trPr>
          <w:trHeight w:val="300"/>
          <w:jc w:val="center"/>
        </w:trPr>
        <w:tc>
          <w:tcPr>
            <w:tcW w:w="1123" w:type="pct"/>
            <w:tcBorders>
              <w:top w:val="single" w:sz="4" w:space="0" w:color="auto"/>
            </w:tcBorders>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 xml:space="preserve">Lauksaimniecība, </w:t>
            </w:r>
            <w:r>
              <w:rPr>
                <w:rFonts w:cs="Times New Roman"/>
                <w:sz w:val="22"/>
              </w:rPr>
              <w:t>mežsaimniecība</w:t>
            </w:r>
          </w:p>
        </w:tc>
        <w:tc>
          <w:tcPr>
            <w:tcW w:w="364" w:type="pct"/>
            <w:tcBorders>
              <w:top w:val="single" w:sz="4" w:space="0" w:color="auto"/>
            </w:tcBorders>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365" w:type="pct"/>
            <w:tcBorders>
              <w:top w:val="single" w:sz="4" w:space="0" w:color="auto"/>
            </w:tcBorders>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5" w:type="pct"/>
            <w:tcBorders>
              <w:top w:val="single" w:sz="4" w:space="0" w:color="auto"/>
            </w:tcBorders>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5" w:type="pct"/>
            <w:tcBorders>
              <w:top w:val="single" w:sz="4" w:space="0" w:color="auto"/>
            </w:tcBorders>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tcBorders>
              <w:top w:val="single" w:sz="4" w:space="0" w:color="auto"/>
            </w:tcBorders>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364" w:type="pct"/>
            <w:tcBorders>
              <w:top w:val="single" w:sz="4" w:space="0" w:color="auto"/>
            </w:tcBorders>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4" w:type="pct"/>
            <w:tcBorders>
              <w:top w:val="single" w:sz="4" w:space="0" w:color="auto"/>
            </w:tcBorders>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364" w:type="pct"/>
            <w:tcBorders>
              <w:top w:val="single" w:sz="4" w:space="0" w:color="auto"/>
            </w:tcBorders>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157" w:type="pct"/>
            <w:tcBorders>
              <w:top w:val="single" w:sz="4" w:space="0" w:color="auto"/>
            </w:tcBorders>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tcBorders>
              <w:top w:val="single" w:sz="4" w:space="0" w:color="auto"/>
            </w:tcBorders>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0,6</w:t>
            </w:r>
          </w:p>
        </w:tc>
        <w:tc>
          <w:tcPr>
            <w:tcW w:w="391" w:type="pct"/>
            <w:tcBorders>
              <w:top w:val="single" w:sz="4" w:space="0" w:color="auto"/>
            </w:tcBorders>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0,5</w:t>
            </w:r>
          </w:p>
        </w:tc>
      </w:tr>
      <w:tr w:rsidR="001911DD" w:rsidRPr="00312F73" w:rsidTr="001911DD">
        <w:trPr>
          <w:cnfStyle w:val="000000100000"/>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Zvejniecība</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-0,2</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0,0</w:t>
            </w:r>
          </w:p>
        </w:tc>
      </w:tr>
      <w:tr w:rsidR="001911DD" w:rsidRPr="00312F73" w:rsidTr="001911DD">
        <w:trPr>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Iegūstošā rūpniecība</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0,2</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0,3</w:t>
            </w:r>
          </w:p>
        </w:tc>
      </w:tr>
      <w:tr w:rsidR="001911DD" w:rsidRPr="00312F73" w:rsidTr="001911DD">
        <w:trPr>
          <w:cnfStyle w:val="000000100000"/>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Apstrādes rūpniecība</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1,3</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1,2</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0,9</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0,9</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0,8</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0,9</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-1,2</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3,4</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1,5</w:t>
            </w:r>
          </w:p>
        </w:tc>
      </w:tr>
      <w:tr w:rsidR="001911DD" w:rsidRPr="00312F73" w:rsidTr="001911DD">
        <w:trPr>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Elektroenerģija, gāze un ūdens apgāde</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0,5</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0,3</w:t>
            </w:r>
          </w:p>
        </w:tc>
      </w:tr>
      <w:tr w:rsidR="001911DD" w:rsidRPr="00312F73" w:rsidTr="001911DD">
        <w:trPr>
          <w:cnfStyle w:val="000000100000"/>
          <w:trHeight w:val="300"/>
          <w:jc w:val="center"/>
        </w:trPr>
        <w:tc>
          <w:tcPr>
            <w:tcW w:w="1123" w:type="pct"/>
            <w:noWrap/>
            <w:vAlign w:val="bottom"/>
            <w:hideMark/>
          </w:tcPr>
          <w:p w:rsidR="001911DD" w:rsidRPr="001911DD" w:rsidRDefault="001911DD" w:rsidP="007F0B40">
            <w:pPr>
              <w:spacing w:before="120" w:after="120"/>
              <w:ind w:right="-117"/>
              <w:rPr>
                <w:rFonts w:cs="Times New Roman"/>
                <w:sz w:val="22"/>
              </w:rPr>
            </w:pPr>
            <w:r w:rsidRPr="001911DD">
              <w:rPr>
                <w:rFonts w:cs="Times New Roman"/>
                <w:sz w:val="22"/>
              </w:rPr>
              <w:t>Būvniecība</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0,4</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0,6</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0,9</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0,9</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1,6</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1,3</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1,9</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4,5</w:t>
            </w:r>
          </w:p>
        </w:tc>
      </w:tr>
      <w:tr w:rsidR="001911DD" w:rsidRPr="00312F73" w:rsidTr="001911DD">
        <w:trPr>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Tirdzniecība</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1,7</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2,1</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1,8</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2,3</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3,2</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3,7</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3,4</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-3,0</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5,7</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9,7</w:t>
            </w:r>
          </w:p>
        </w:tc>
      </w:tr>
      <w:tr w:rsidR="001911DD" w:rsidRPr="00312F73" w:rsidTr="001911DD">
        <w:trPr>
          <w:cnfStyle w:val="000000100000"/>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Viesnīcas un restorāni</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0,4</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0,6</w:t>
            </w:r>
          </w:p>
        </w:tc>
      </w:tr>
      <w:tr w:rsidR="001911DD" w:rsidRPr="00312F73" w:rsidTr="001911DD">
        <w:trPr>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Transports un sakari</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1,3</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0,5</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1,3</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1,4</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1,9</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0,8</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1,0</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3,0</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5,4</w:t>
            </w:r>
          </w:p>
        </w:tc>
      </w:tr>
      <w:tr w:rsidR="001911DD" w:rsidRPr="00312F73" w:rsidTr="001911DD">
        <w:trPr>
          <w:cnfStyle w:val="000000100000"/>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Finanses</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0,4</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0,5</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0,5</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-0,5</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0,8</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2,0</w:t>
            </w:r>
          </w:p>
        </w:tc>
      </w:tr>
      <w:tr w:rsidR="001911DD" w:rsidRPr="00312F73" w:rsidTr="001911DD">
        <w:trPr>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Nekustamo īpašumu izmantošana un komercdarbība</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1,9</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0,8</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1,0</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1,5</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1,5</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2,7</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1,9</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0,4</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3,7</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7,9</w:t>
            </w:r>
          </w:p>
        </w:tc>
      </w:tr>
      <w:tr w:rsidR="001911DD" w:rsidRPr="00312F73" w:rsidTr="001911DD">
        <w:trPr>
          <w:cnfStyle w:val="000000100000"/>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Valsts pārvalde</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0,4</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0,4</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0,7</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1,4</w:t>
            </w:r>
          </w:p>
        </w:tc>
      </w:tr>
      <w:tr w:rsidR="001911DD" w:rsidRPr="00312F73" w:rsidTr="001911DD">
        <w:trPr>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Izglītība</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0,4</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0,6</w:t>
            </w:r>
          </w:p>
        </w:tc>
      </w:tr>
      <w:tr w:rsidR="001911DD" w:rsidRPr="00312F73" w:rsidTr="001911DD">
        <w:trPr>
          <w:cnfStyle w:val="000000100000"/>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Veselības aizsardzība</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0,0</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0,1</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0,3</w:t>
            </w:r>
          </w:p>
        </w:tc>
      </w:tr>
      <w:tr w:rsidR="001911DD" w:rsidRPr="00312F73" w:rsidTr="001911DD">
        <w:trPr>
          <w:trHeight w:val="300"/>
          <w:jc w:val="center"/>
        </w:trPr>
        <w:tc>
          <w:tcPr>
            <w:tcW w:w="1123" w:type="pct"/>
            <w:noWrap/>
            <w:vAlign w:val="bottom"/>
            <w:hideMark/>
          </w:tcPr>
          <w:p w:rsidR="001911DD" w:rsidRPr="00142DA0" w:rsidRDefault="001911DD" w:rsidP="007F0B40">
            <w:pPr>
              <w:spacing w:before="120" w:after="120"/>
              <w:ind w:right="-117"/>
              <w:rPr>
                <w:rFonts w:cs="Times New Roman"/>
                <w:b/>
                <w:sz w:val="22"/>
              </w:rPr>
            </w:pPr>
            <w:r w:rsidRPr="00142DA0">
              <w:rPr>
                <w:rFonts w:cs="Times New Roman"/>
                <w:sz w:val="22"/>
              </w:rPr>
              <w:t>Citi pakalpojumi</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0,2</w:t>
            </w:r>
          </w:p>
        </w:tc>
        <w:tc>
          <w:tcPr>
            <w:tcW w:w="365"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0,3</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0,5</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0,5</w:t>
            </w:r>
          </w:p>
        </w:tc>
        <w:tc>
          <w:tcPr>
            <w:tcW w:w="364" w:type="pct"/>
            <w:noWrap/>
            <w:vAlign w:val="center"/>
            <w:hideMark/>
          </w:tcPr>
          <w:p w:rsidR="001911DD" w:rsidRPr="003C53B7" w:rsidRDefault="001911DD" w:rsidP="001911DD">
            <w:pPr>
              <w:tabs>
                <w:tab w:val="decimal" w:pos="162"/>
              </w:tabs>
              <w:spacing w:before="120" w:after="120"/>
              <w:jc w:val="center"/>
              <w:rPr>
                <w:rFonts w:cs="Times New Roman"/>
                <w:sz w:val="20"/>
                <w:szCs w:val="20"/>
              </w:rPr>
            </w:pPr>
            <w:r w:rsidRPr="003C53B7">
              <w:rPr>
                <w:rFonts w:cs="Times New Roman"/>
                <w:sz w:val="20"/>
                <w:szCs w:val="20"/>
              </w:rPr>
              <w:t>0,1</w:t>
            </w:r>
          </w:p>
        </w:tc>
        <w:tc>
          <w:tcPr>
            <w:tcW w:w="157" w:type="pct"/>
            <w:noWrap/>
            <w:vAlign w:val="center"/>
            <w:hideMark/>
          </w:tcPr>
          <w:p w:rsidR="001911DD" w:rsidRPr="003C53B7" w:rsidRDefault="001911DD" w:rsidP="001911DD">
            <w:pPr>
              <w:tabs>
                <w:tab w:val="decimal" w:pos="295"/>
              </w:tabs>
              <w:spacing w:before="120" w:after="120"/>
              <w:jc w:val="center"/>
              <w:rPr>
                <w:rFonts w:cs="Times New Roman"/>
                <w:sz w:val="20"/>
                <w:szCs w:val="20"/>
              </w:rPr>
            </w:pPr>
          </w:p>
        </w:tc>
        <w:tc>
          <w:tcPr>
            <w:tcW w:w="414" w:type="pct"/>
            <w:noWrap/>
            <w:vAlign w:val="center"/>
            <w:hideMark/>
          </w:tcPr>
          <w:p w:rsidR="001911DD" w:rsidRPr="003C53B7" w:rsidRDefault="001911DD" w:rsidP="001911DD">
            <w:pPr>
              <w:tabs>
                <w:tab w:val="decimal" w:pos="184"/>
              </w:tabs>
              <w:spacing w:before="120" w:after="120"/>
              <w:jc w:val="center"/>
              <w:rPr>
                <w:rFonts w:cs="Times New Roman"/>
                <w:sz w:val="20"/>
                <w:szCs w:val="20"/>
              </w:rPr>
            </w:pPr>
            <w:r w:rsidRPr="003C53B7">
              <w:rPr>
                <w:rFonts w:cs="Times New Roman"/>
                <w:sz w:val="20"/>
                <w:szCs w:val="20"/>
              </w:rPr>
              <w:t>0,5</w:t>
            </w:r>
          </w:p>
        </w:tc>
        <w:tc>
          <w:tcPr>
            <w:tcW w:w="391" w:type="pct"/>
            <w:noWrap/>
            <w:vAlign w:val="center"/>
            <w:hideMark/>
          </w:tcPr>
          <w:p w:rsidR="001911DD" w:rsidRPr="003C53B7" w:rsidRDefault="001911DD" w:rsidP="001911DD">
            <w:pPr>
              <w:tabs>
                <w:tab w:val="decimal" w:pos="212"/>
              </w:tabs>
              <w:spacing w:before="120" w:after="120"/>
              <w:jc w:val="center"/>
              <w:rPr>
                <w:rFonts w:cs="Times New Roman"/>
                <w:sz w:val="20"/>
                <w:szCs w:val="20"/>
              </w:rPr>
            </w:pPr>
            <w:r w:rsidRPr="003C53B7">
              <w:rPr>
                <w:rFonts w:cs="Times New Roman"/>
                <w:sz w:val="20"/>
                <w:szCs w:val="20"/>
              </w:rPr>
              <w:t>1,8</w:t>
            </w:r>
          </w:p>
        </w:tc>
      </w:tr>
      <w:tr w:rsidR="008E433C" w:rsidRPr="003C53B7" w:rsidTr="001911DD">
        <w:trPr>
          <w:cnfStyle w:val="000000100000"/>
          <w:trHeight w:val="300"/>
          <w:jc w:val="center"/>
        </w:trPr>
        <w:tc>
          <w:tcPr>
            <w:tcW w:w="1123" w:type="pct"/>
            <w:noWrap/>
            <w:vAlign w:val="bottom"/>
            <w:hideMark/>
          </w:tcPr>
          <w:p w:rsidR="008E433C" w:rsidRPr="003C53B7" w:rsidRDefault="008E433C" w:rsidP="002F02CF">
            <w:pPr>
              <w:spacing w:before="120" w:after="120"/>
              <w:rPr>
                <w:rFonts w:cs="Times New Roman"/>
                <w:b/>
                <w:bCs/>
                <w:iCs/>
                <w:sz w:val="22"/>
              </w:rPr>
            </w:pPr>
            <w:r w:rsidRPr="003C53B7">
              <w:rPr>
                <w:rFonts w:cs="Times New Roman"/>
                <w:b/>
                <w:bCs/>
                <w:iCs/>
                <w:sz w:val="22"/>
              </w:rPr>
              <w:t>IKP</w:t>
            </w:r>
          </w:p>
        </w:tc>
        <w:tc>
          <w:tcPr>
            <w:tcW w:w="364" w:type="pct"/>
            <w:noWrap/>
            <w:vAlign w:val="center"/>
            <w:hideMark/>
          </w:tcPr>
          <w:p w:rsidR="008E433C" w:rsidRPr="003C53B7" w:rsidRDefault="008E433C" w:rsidP="001911DD">
            <w:pPr>
              <w:tabs>
                <w:tab w:val="decimal" w:pos="162"/>
              </w:tabs>
              <w:spacing w:before="120" w:after="120"/>
              <w:jc w:val="center"/>
              <w:rPr>
                <w:rFonts w:cs="Times New Roman"/>
                <w:b/>
                <w:bCs/>
                <w:sz w:val="22"/>
              </w:rPr>
            </w:pPr>
            <w:r w:rsidRPr="003C53B7">
              <w:rPr>
                <w:rFonts w:cs="Times New Roman"/>
                <w:b/>
                <w:bCs/>
                <w:sz w:val="22"/>
              </w:rPr>
              <w:t>8,0</w:t>
            </w:r>
          </w:p>
        </w:tc>
        <w:tc>
          <w:tcPr>
            <w:tcW w:w="365" w:type="pct"/>
            <w:noWrap/>
            <w:vAlign w:val="center"/>
            <w:hideMark/>
          </w:tcPr>
          <w:p w:rsidR="008E433C" w:rsidRPr="003C53B7" w:rsidRDefault="008E433C" w:rsidP="001911DD">
            <w:pPr>
              <w:tabs>
                <w:tab w:val="decimal" w:pos="162"/>
              </w:tabs>
              <w:spacing w:before="120" w:after="120"/>
              <w:jc w:val="center"/>
              <w:rPr>
                <w:rFonts w:cs="Times New Roman"/>
                <w:b/>
                <w:bCs/>
                <w:sz w:val="22"/>
              </w:rPr>
            </w:pPr>
            <w:r w:rsidRPr="003C53B7">
              <w:rPr>
                <w:rFonts w:cs="Times New Roman"/>
                <w:b/>
                <w:bCs/>
                <w:sz w:val="22"/>
              </w:rPr>
              <w:t>6,5</w:t>
            </w:r>
          </w:p>
        </w:tc>
        <w:tc>
          <w:tcPr>
            <w:tcW w:w="365" w:type="pct"/>
            <w:noWrap/>
            <w:vAlign w:val="center"/>
            <w:hideMark/>
          </w:tcPr>
          <w:p w:rsidR="008E433C" w:rsidRPr="003C53B7" w:rsidRDefault="008E433C" w:rsidP="001911DD">
            <w:pPr>
              <w:tabs>
                <w:tab w:val="decimal" w:pos="162"/>
              </w:tabs>
              <w:spacing w:before="120" w:after="120"/>
              <w:jc w:val="center"/>
              <w:rPr>
                <w:rFonts w:cs="Times New Roman"/>
                <w:b/>
                <w:bCs/>
                <w:sz w:val="22"/>
              </w:rPr>
            </w:pPr>
            <w:r w:rsidRPr="003C53B7">
              <w:rPr>
                <w:rFonts w:cs="Times New Roman"/>
                <w:b/>
                <w:bCs/>
                <w:sz w:val="22"/>
              </w:rPr>
              <w:t>7,2</w:t>
            </w:r>
          </w:p>
        </w:tc>
        <w:tc>
          <w:tcPr>
            <w:tcW w:w="365" w:type="pct"/>
            <w:noWrap/>
            <w:vAlign w:val="center"/>
            <w:hideMark/>
          </w:tcPr>
          <w:p w:rsidR="008E433C" w:rsidRPr="003C53B7" w:rsidRDefault="008E433C" w:rsidP="001911DD">
            <w:pPr>
              <w:tabs>
                <w:tab w:val="decimal" w:pos="162"/>
              </w:tabs>
              <w:spacing w:before="120" w:after="120"/>
              <w:jc w:val="center"/>
              <w:rPr>
                <w:rFonts w:cs="Times New Roman"/>
                <w:b/>
                <w:bCs/>
                <w:sz w:val="22"/>
              </w:rPr>
            </w:pPr>
            <w:r w:rsidRPr="003C53B7">
              <w:rPr>
                <w:rFonts w:cs="Times New Roman"/>
                <w:b/>
                <w:bCs/>
                <w:sz w:val="22"/>
              </w:rPr>
              <w:t>8,7</w:t>
            </w:r>
          </w:p>
        </w:tc>
        <w:tc>
          <w:tcPr>
            <w:tcW w:w="364" w:type="pct"/>
            <w:noWrap/>
            <w:vAlign w:val="center"/>
            <w:hideMark/>
          </w:tcPr>
          <w:p w:rsidR="008E433C" w:rsidRPr="003C53B7" w:rsidRDefault="008E433C" w:rsidP="001911DD">
            <w:pPr>
              <w:tabs>
                <w:tab w:val="decimal" w:pos="162"/>
              </w:tabs>
              <w:spacing w:before="120" w:after="120"/>
              <w:jc w:val="center"/>
              <w:rPr>
                <w:rFonts w:cs="Times New Roman"/>
                <w:b/>
                <w:bCs/>
                <w:sz w:val="22"/>
              </w:rPr>
            </w:pPr>
            <w:r w:rsidRPr="003C53B7">
              <w:rPr>
                <w:rFonts w:cs="Times New Roman"/>
                <w:b/>
                <w:bCs/>
                <w:sz w:val="22"/>
              </w:rPr>
              <w:t>10,6</w:t>
            </w:r>
          </w:p>
        </w:tc>
        <w:tc>
          <w:tcPr>
            <w:tcW w:w="364" w:type="pct"/>
            <w:noWrap/>
            <w:vAlign w:val="center"/>
            <w:hideMark/>
          </w:tcPr>
          <w:p w:rsidR="008E433C" w:rsidRPr="003C53B7" w:rsidRDefault="008E433C" w:rsidP="001911DD">
            <w:pPr>
              <w:tabs>
                <w:tab w:val="decimal" w:pos="162"/>
              </w:tabs>
              <w:spacing w:before="120" w:after="120"/>
              <w:jc w:val="center"/>
              <w:rPr>
                <w:rFonts w:cs="Times New Roman"/>
                <w:b/>
                <w:bCs/>
                <w:sz w:val="22"/>
              </w:rPr>
            </w:pPr>
            <w:r w:rsidRPr="003C53B7">
              <w:rPr>
                <w:rFonts w:cs="Times New Roman"/>
                <w:b/>
                <w:bCs/>
                <w:sz w:val="22"/>
              </w:rPr>
              <w:t>12,2</w:t>
            </w:r>
          </w:p>
        </w:tc>
        <w:tc>
          <w:tcPr>
            <w:tcW w:w="364" w:type="pct"/>
            <w:noWrap/>
            <w:vAlign w:val="center"/>
            <w:hideMark/>
          </w:tcPr>
          <w:p w:rsidR="008E433C" w:rsidRPr="003C53B7" w:rsidRDefault="008E433C" w:rsidP="001911DD">
            <w:pPr>
              <w:tabs>
                <w:tab w:val="decimal" w:pos="162"/>
              </w:tabs>
              <w:spacing w:before="120" w:after="120"/>
              <w:jc w:val="center"/>
              <w:rPr>
                <w:rFonts w:cs="Times New Roman"/>
                <w:b/>
                <w:bCs/>
                <w:sz w:val="22"/>
              </w:rPr>
            </w:pPr>
            <w:r w:rsidRPr="003C53B7">
              <w:rPr>
                <w:rFonts w:cs="Times New Roman"/>
                <w:b/>
                <w:bCs/>
                <w:sz w:val="22"/>
              </w:rPr>
              <w:t>10,0</w:t>
            </w:r>
          </w:p>
        </w:tc>
        <w:tc>
          <w:tcPr>
            <w:tcW w:w="364" w:type="pct"/>
            <w:noWrap/>
            <w:vAlign w:val="center"/>
            <w:hideMark/>
          </w:tcPr>
          <w:p w:rsidR="008E433C" w:rsidRPr="003C53B7" w:rsidRDefault="008E433C" w:rsidP="001911DD">
            <w:pPr>
              <w:tabs>
                <w:tab w:val="decimal" w:pos="162"/>
              </w:tabs>
              <w:spacing w:before="120" w:after="120"/>
              <w:jc w:val="center"/>
              <w:rPr>
                <w:rFonts w:cs="Times New Roman"/>
                <w:b/>
                <w:bCs/>
                <w:sz w:val="22"/>
              </w:rPr>
            </w:pPr>
            <w:r w:rsidRPr="003C53B7">
              <w:rPr>
                <w:rFonts w:cs="Times New Roman"/>
                <w:b/>
                <w:bCs/>
                <w:sz w:val="22"/>
              </w:rPr>
              <w:t>-4,6</w:t>
            </w:r>
          </w:p>
        </w:tc>
        <w:tc>
          <w:tcPr>
            <w:tcW w:w="157" w:type="pct"/>
            <w:noWrap/>
            <w:vAlign w:val="center"/>
            <w:hideMark/>
          </w:tcPr>
          <w:p w:rsidR="008E433C" w:rsidRPr="003C53B7" w:rsidRDefault="008E433C" w:rsidP="001911DD">
            <w:pPr>
              <w:tabs>
                <w:tab w:val="decimal" w:pos="295"/>
              </w:tabs>
              <w:spacing w:before="120" w:after="120"/>
              <w:jc w:val="center"/>
              <w:rPr>
                <w:rFonts w:cs="Times New Roman"/>
                <w:sz w:val="22"/>
              </w:rPr>
            </w:pPr>
          </w:p>
        </w:tc>
        <w:tc>
          <w:tcPr>
            <w:tcW w:w="414" w:type="pct"/>
            <w:noWrap/>
            <w:vAlign w:val="center"/>
            <w:hideMark/>
          </w:tcPr>
          <w:p w:rsidR="008E433C" w:rsidRPr="003C53B7" w:rsidRDefault="008E433C" w:rsidP="001911DD">
            <w:pPr>
              <w:tabs>
                <w:tab w:val="decimal" w:pos="184"/>
              </w:tabs>
              <w:spacing w:before="120" w:after="120"/>
              <w:jc w:val="center"/>
              <w:rPr>
                <w:rFonts w:cs="Times New Roman"/>
                <w:b/>
                <w:sz w:val="22"/>
              </w:rPr>
            </w:pPr>
            <w:r w:rsidRPr="003C53B7">
              <w:rPr>
                <w:rFonts w:cs="Times New Roman"/>
                <w:b/>
                <w:sz w:val="22"/>
              </w:rPr>
              <w:t>21,7</w:t>
            </w:r>
          </w:p>
        </w:tc>
        <w:tc>
          <w:tcPr>
            <w:tcW w:w="391" w:type="pct"/>
            <w:noWrap/>
            <w:vAlign w:val="center"/>
            <w:hideMark/>
          </w:tcPr>
          <w:p w:rsidR="008E433C" w:rsidRPr="003C53B7" w:rsidRDefault="008E433C" w:rsidP="001911DD">
            <w:pPr>
              <w:tabs>
                <w:tab w:val="decimal" w:pos="212"/>
              </w:tabs>
              <w:spacing w:before="120" w:after="120"/>
              <w:jc w:val="center"/>
              <w:rPr>
                <w:rFonts w:cs="Times New Roman"/>
                <w:b/>
                <w:bCs/>
                <w:sz w:val="22"/>
              </w:rPr>
            </w:pPr>
            <w:r w:rsidRPr="003C53B7">
              <w:rPr>
                <w:rFonts w:cs="Times New Roman"/>
                <w:b/>
                <w:bCs/>
                <w:sz w:val="22"/>
              </w:rPr>
              <w:t>36,9</w:t>
            </w:r>
          </w:p>
        </w:tc>
      </w:tr>
    </w:tbl>
    <w:p w:rsidR="008E433C" w:rsidRPr="00EB5FEE" w:rsidRDefault="008E433C" w:rsidP="008E433C">
      <w:pPr>
        <w:spacing w:before="120"/>
        <w:rPr>
          <w:rFonts w:cs="Times New Roman"/>
        </w:rPr>
      </w:pPr>
      <w:bookmarkStart w:id="57" w:name="_Apstrādes_rūpniecības_nozaru"/>
      <w:bookmarkEnd w:id="57"/>
      <w:r w:rsidRPr="00B454C8">
        <w:rPr>
          <w:sz w:val="16"/>
        </w:rPr>
        <w:t>Avots: CSP</w:t>
      </w:r>
    </w:p>
    <w:p w:rsidR="008E433C" w:rsidRPr="00EB5FEE" w:rsidRDefault="008E433C" w:rsidP="008E433C">
      <w:pPr>
        <w:pStyle w:val="Heading2"/>
        <w:jc w:val="center"/>
      </w:pPr>
    </w:p>
    <w:p w:rsidR="008E433C" w:rsidRPr="00EB5FEE" w:rsidRDefault="008E433C" w:rsidP="008E433C">
      <w:pPr>
        <w:rPr>
          <w:rFonts w:eastAsiaTheme="majorEastAsia" w:cstheme="majorBidi"/>
          <w:sz w:val="28"/>
          <w:szCs w:val="26"/>
        </w:rPr>
      </w:pPr>
      <w:r w:rsidRPr="00EB5FEE">
        <w:br w:type="page"/>
      </w:r>
    </w:p>
    <w:p w:rsidR="008E433C" w:rsidRPr="00EB5FEE" w:rsidRDefault="008E433C" w:rsidP="008E433C">
      <w:pPr>
        <w:pStyle w:val="Heading2"/>
      </w:pPr>
      <w:bookmarkStart w:id="58" w:name="_Toc239501368"/>
      <w:bookmarkStart w:id="59" w:name="_Toc242510385"/>
      <w:r w:rsidRPr="00EB5FEE">
        <w:lastRenderedPageBreak/>
        <w:t>6.tabula</w:t>
      </w:r>
      <w:r>
        <w:t xml:space="preserve">. </w:t>
      </w:r>
      <w:r w:rsidRPr="00EB5FEE">
        <w:t>Apstrādes rūpniecības nozaru struktūra</w:t>
      </w:r>
      <w:r>
        <w:t xml:space="preserve"> </w:t>
      </w:r>
      <w:r w:rsidRPr="00187334">
        <w:t>no 2000. līdz 2008.gadam</w:t>
      </w:r>
      <w:bookmarkEnd w:id="58"/>
      <w:bookmarkEnd w:id="59"/>
    </w:p>
    <w:p w:rsidR="008E433C" w:rsidRPr="00ED0077" w:rsidRDefault="008E433C" w:rsidP="008E433C">
      <w:pPr>
        <w:rPr>
          <w:rFonts w:cs="Times New Roman"/>
        </w:rPr>
      </w:pPr>
      <w:r w:rsidRPr="00ED0077">
        <w:rPr>
          <w:rFonts w:cs="Times New Roman"/>
        </w:rPr>
        <w:t>(procentos)</w:t>
      </w:r>
    </w:p>
    <w:p w:rsidR="008E433C" w:rsidRPr="00EB5FEE" w:rsidRDefault="008E433C" w:rsidP="008E433C">
      <w:pPr>
        <w:jc w:val="center"/>
        <w:rPr>
          <w:rFonts w:cs="Times New Roman"/>
          <w:sz w:val="20"/>
        </w:rPr>
      </w:pPr>
    </w:p>
    <w:tbl>
      <w:tblPr>
        <w:tblStyle w:val="LightShading1"/>
        <w:tblW w:w="4604" w:type="pct"/>
        <w:jc w:val="center"/>
        <w:tblLayout w:type="fixed"/>
        <w:tblLook w:val="0400"/>
      </w:tblPr>
      <w:tblGrid>
        <w:gridCol w:w="3973"/>
        <w:gridCol w:w="811"/>
        <w:gridCol w:w="238"/>
        <w:gridCol w:w="811"/>
        <w:gridCol w:w="811"/>
        <w:gridCol w:w="811"/>
        <w:gridCol w:w="811"/>
        <w:gridCol w:w="808"/>
      </w:tblGrid>
      <w:tr w:rsidR="008E433C" w:rsidRPr="00312F73" w:rsidTr="002F02CF">
        <w:trPr>
          <w:cnfStyle w:val="000000100000"/>
          <w:trHeight w:val="564"/>
          <w:jc w:val="center"/>
        </w:trPr>
        <w:tc>
          <w:tcPr>
            <w:tcW w:w="2189"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p>
        </w:tc>
        <w:tc>
          <w:tcPr>
            <w:tcW w:w="447"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2000</w:t>
            </w:r>
          </w:p>
        </w:tc>
        <w:tc>
          <w:tcPr>
            <w:tcW w:w="131"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p>
        </w:tc>
        <w:tc>
          <w:tcPr>
            <w:tcW w:w="447"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2004</w:t>
            </w:r>
          </w:p>
        </w:tc>
        <w:tc>
          <w:tcPr>
            <w:tcW w:w="447"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2005</w:t>
            </w:r>
          </w:p>
        </w:tc>
        <w:tc>
          <w:tcPr>
            <w:tcW w:w="447"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2006</w:t>
            </w:r>
          </w:p>
        </w:tc>
        <w:tc>
          <w:tcPr>
            <w:tcW w:w="447"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2007</w:t>
            </w:r>
          </w:p>
        </w:tc>
        <w:tc>
          <w:tcPr>
            <w:tcW w:w="446"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2008</w:t>
            </w:r>
          </w:p>
        </w:tc>
      </w:tr>
      <w:tr w:rsidR="008E433C" w:rsidRPr="00312F73" w:rsidTr="001911DD">
        <w:trPr>
          <w:trHeight w:val="300"/>
          <w:jc w:val="center"/>
        </w:trPr>
        <w:tc>
          <w:tcPr>
            <w:tcW w:w="2189" w:type="pct"/>
            <w:tcBorders>
              <w:top w:val="single" w:sz="4" w:space="0" w:color="auto"/>
            </w:tcBorders>
            <w:noWrap/>
            <w:vAlign w:val="bottom"/>
            <w:hideMark/>
          </w:tcPr>
          <w:p w:rsidR="008E433C" w:rsidRPr="00312F73" w:rsidRDefault="008E433C" w:rsidP="002F02CF">
            <w:pPr>
              <w:spacing w:before="60" w:after="60"/>
              <w:rPr>
                <w:rFonts w:cs="Times New Roman"/>
                <w:b/>
                <w:sz w:val="22"/>
              </w:rPr>
            </w:pPr>
            <w:r w:rsidRPr="00312F73">
              <w:rPr>
                <w:rFonts w:cs="Times New Roman"/>
                <w:b/>
                <w:sz w:val="22"/>
              </w:rPr>
              <w:t>Apstrādes rūpniecība</w:t>
            </w:r>
          </w:p>
        </w:tc>
        <w:tc>
          <w:tcPr>
            <w:tcW w:w="447" w:type="pct"/>
            <w:tcBorders>
              <w:top w:val="single" w:sz="4" w:space="0" w:color="auto"/>
            </w:tcBorders>
            <w:noWrap/>
            <w:vAlign w:val="center"/>
            <w:hideMark/>
          </w:tcPr>
          <w:p w:rsidR="008E433C" w:rsidRPr="00312F73" w:rsidRDefault="008E433C" w:rsidP="001911DD">
            <w:pPr>
              <w:tabs>
                <w:tab w:val="decimal" w:pos="257"/>
              </w:tabs>
              <w:spacing w:before="60" w:after="60"/>
              <w:jc w:val="center"/>
              <w:rPr>
                <w:rFonts w:cs="Times New Roman"/>
                <w:b/>
                <w:sz w:val="22"/>
              </w:rPr>
            </w:pPr>
            <w:r w:rsidRPr="00312F73">
              <w:rPr>
                <w:rFonts w:cs="Times New Roman"/>
                <w:b/>
                <w:sz w:val="22"/>
              </w:rPr>
              <w:t>100</w:t>
            </w:r>
          </w:p>
        </w:tc>
        <w:tc>
          <w:tcPr>
            <w:tcW w:w="131" w:type="pct"/>
            <w:tcBorders>
              <w:top w:val="single" w:sz="4" w:space="0" w:color="auto"/>
            </w:tcBorders>
            <w:noWrap/>
            <w:vAlign w:val="center"/>
            <w:hideMark/>
          </w:tcPr>
          <w:p w:rsidR="008E433C" w:rsidRPr="00312F73" w:rsidRDefault="008E433C" w:rsidP="001911DD">
            <w:pPr>
              <w:spacing w:before="60" w:after="60"/>
              <w:jc w:val="center"/>
              <w:rPr>
                <w:rFonts w:cs="Times New Roman"/>
                <w:b/>
                <w:sz w:val="22"/>
              </w:rPr>
            </w:pPr>
          </w:p>
        </w:tc>
        <w:tc>
          <w:tcPr>
            <w:tcW w:w="447" w:type="pct"/>
            <w:tcBorders>
              <w:top w:val="single" w:sz="4" w:space="0" w:color="auto"/>
            </w:tcBorders>
            <w:noWrap/>
            <w:vAlign w:val="center"/>
            <w:hideMark/>
          </w:tcPr>
          <w:p w:rsidR="008E433C" w:rsidRPr="00312F73" w:rsidRDefault="008E433C" w:rsidP="001911DD">
            <w:pPr>
              <w:spacing w:before="60" w:after="60"/>
              <w:jc w:val="center"/>
              <w:rPr>
                <w:rFonts w:cs="Times New Roman"/>
                <w:b/>
                <w:sz w:val="22"/>
              </w:rPr>
            </w:pPr>
            <w:r w:rsidRPr="00312F73">
              <w:rPr>
                <w:rFonts w:cs="Times New Roman"/>
                <w:b/>
                <w:sz w:val="22"/>
              </w:rPr>
              <w:t>100</w:t>
            </w:r>
          </w:p>
        </w:tc>
        <w:tc>
          <w:tcPr>
            <w:tcW w:w="447" w:type="pct"/>
            <w:tcBorders>
              <w:top w:val="single" w:sz="4" w:space="0" w:color="auto"/>
            </w:tcBorders>
            <w:noWrap/>
            <w:vAlign w:val="center"/>
            <w:hideMark/>
          </w:tcPr>
          <w:p w:rsidR="008E433C" w:rsidRPr="00312F73" w:rsidRDefault="008E433C" w:rsidP="001911DD">
            <w:pPr>
              <w:spacing w:before="60" w:after="60"/>
              <w:jc w:val="center"/>
              <w:rPr>
                <w:rFonts w:cs="Times New Roman"/>
                <w:b/>
                <w:sz w:val="22"/>
              </w:rPr>
            </w:pPr>
            <w:r w:rsidRPr="00312F73">
              <w:rPr>
                <w:rFonts w:cs="Times New Roman"/>
                <w:b/>
                <w:sz w:val="22"/>
              </w:rPr>
              <w:t>100</w:t>
            </w:r>
          </w:p>
        </w:tc>
        <w:tc>
          <w:tcPr>
            <w:tcW w:w="447" w:type="pct"/>
            <w:tcBorders>
              <w:top w:val="single" w:sz="4" w:space="0" w:color="auto"/>
            </w:tcBorders>
            <w:noWrap/>
            <w:vAlign w:val="center"/>
            <w:hideMark/>
          </w:tcPr>
          <w:p w:rsidR="008E433C" w:rsidRPr="00312F73" w:rsidRDefault="008E433C" w:rsidP="001911DD">
            <w:pPr>
              <w:spacing w:before="60" w:after="60"/>
              <w:jc w:val="center"/>
              <w:rPr>
                <w:rFonts w:cs="Times New Roman"/>
                <w:b/>
                <w:sz w:val="22"/>
              </w:rPr>
            </w:pPr>
            <w:r w:rsidRPr="00312F73">
              <w:rPr>
                <w:rFonts w:cs="Times New Roman"/>
                <w:b/>
                <w:sz w:val="22"/>
              </w:rPr>
              <w:t>100</w:t>
            </w:r>
          </w:p>
        </w:tc>
        <w:tc>
          <w:tcPr>
            <w:tcW w:w="447" w:type="pct"/>
            <w:tcBorders>
              <w:top w:val="single" w:sz="4" w:space="0" w:color="auto"/>
            </w:tcBorders>
            <w:noWrap/>
            <w:vAlign w:val="center"/>
            <w:hideMark/>
          </w:tcPr>
          <w:p w:rsidR="008E433C" w:rsidRPr="00312F73" w:rsidRDefault="008E433C" w:rsidP="001911DD">
            <w:pPr>
              <w:spacing w:before="60" w:after="60"/>
              <w:jc w:val="center"/>
              <w:rPr>
                <w:rFonts w:cs="Times New Roman"/>
                <w:b/>
                <w:sz w:val="22"/>
              </w:rPr>
            </w:pPr>
            <w:r w:rsidRPr="00312F73">
              <w:rPr>
                <w:rFonts w:cs="Times New Roman"/>
                <w:b/>
                <w:sz w:val="22"/>
              </w:rPr>
              <w:t>100</w:t>
            </w:r>
          </w:p>
        </w:tc>
        <w:tc>
          <w:tcPr>
            <w:tcW w:w="446" w:type="pct"/>
            <w:tcBorders>
              <w:top w:val="single" w:sz="4" w:space="0" w:color="auto"/>
            </w:tcBorders>
            <w:noWrap/>
            <w:vAlign w:val="center"/>
            <w:hideMark/>
          </w:tcPr>
          <w:p w:rsidR="008E433C" w:rsidRPr="00312F73" w:rsidRDefault="008E433C" w:rsidP="001911DD">
            <w:pPr>
              <w:spacing w:before="60" w:after="60"/>
              <w:jc w:val="center"/>
              <w:rPr>
                <w:rFonts w:cs="Times New Roman"/>
                <w:b/>
                <w:sz w:val="22"/>
              </w:rPr>
            </w:pPr>
            <w:r w:rsidRPr="00312F73">
              <w:rPr>
                <w:rFonts w:cs="Times New Roman"/>
                <w:b/>
                <w:sz w:val="22"/>
              </w:rPr>
              <w:t>100</w:t>
            </w:r>
          </w:p>
        </w:tc>
      </w:tr>
      <w:tr w:rsidR="008E433C" w:rsidRPr="00312F73" w:rsidTr="001911DD">
        <w:trPr>
          <w:cnfStyle w:val="000000100000"/>
          <w:trHeight w:val="300"/>
          <w:jc w:val="center"/>
        </w:trPr>
        <w:tc>
          <w:tcPr>
            <w:tcW w:w="2189" w:type="pct"/>
            <w:noWrap/>
            <w:vAlign w:val="bottom"/>
            <w:hideMark/>
          </w:tcPr>
          <w:p w:rsidR="008E433C" w:rsidRPr="00312F73" w:rsidRDefault="008E433C" w:rsidP="002F02CF">
            <w:pPr>
              <w:spacing w:before="60" w:after="60"/>
              <w:rPr>
                <w:rFonts w:cs="Times New Roman"/>
                <w:sz w:val="22"/>
              </w:rPr>
            </w:pPr>
          </w:p>
        </w:tc>
        <w:tc>
          <w:tcPr>
            <w:tcW w:w="447" w:type="pct"/>
            <w:noWrap/>
            <w:vAlign w:val="center"/>
            <w:hideMark/>
          </w:tcPr>
          <w:p w:rsidR="008E433C" w:rsidRPr="00312F73" w:rsidRDefault="008E433C" w:rsidP="001911DD">
            <w:pPr>
              <w:tabs>
                <w:tab w:val="decimal" w:pos="257"/>
              </w:tabs>
              <w:spacing w:before="60" w:after="60"/>
              <w:jc w:val="center"/>
              <w:rPr>
                <w:rFonts w:cs="Times New Roman"/>
                <w:sz w:val="22"/>
              </w:rPr>
            </w:pPr>
          </w:p>
        </w:tc>
        <w:tc>
          <w:tcPr>
            <w:tcW w:w="131"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447"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447"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447"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447"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446" w:type="pct"/>
            <w:noWrap/>
            <w:vAlign w:val="center"/>
            <w:hideMark/>
          </w:tcPr>
          <w:p w:rsidR="008E433C" w:rsidRPr="00312F73" w:rsidRDefault="008E433C" w:rsidP="001911DD">
            <w:pPr>
              <w:tabs>
                <w:tab w:val="decimal" w:pos="262"/>
              </w:tabs>
              <w:spacing w:before="60" w:after="60"/>
              <w:jc w:val="center"/>
              <w:rPr>
                <w:rFonts w:cs="Times New Roman"/>
                <w:sz w:val="22"/>
              </w:rPr>
            </w:pPr>
          </w:p>
        </w:tc>
      </w:tr>
      <w:tr w:rsidR="008E433C" w:rsidRPr="00312F73" w:rsidTr="001911DD">
        <w:trPr>
          <w:trHeight w:val="300"/>
          <w:jc w:val="center"/>
        </w:trPr>
        <w:tc>
          <w:tcPr>
            <w:tcW w:w="2189"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Pārtikas rūpniecība</w:t>
            </w:r>
          </w:p>
        </w:tc>
        <w:tc>
          <w:tcPr>
            <w:tcW w:w="447" w:type="pct"/>
            <w:noWrap/>
            <w:vAlign w:val="center"/>
            <w:hideMark/>
          </w:tcPr>
          <w:p w:rsidR="008E433C" w:rsidRPr="003C53B7" w:rsidRDefault="008E433C" w:rsidP="001911DD">
            <w:pPr>
              <w:tabs>
                <w:tab w:val="decimal" w:pos="257"/>
              </w:tabs>
              <w:spacing w:before="60" w:after="60"/>
              <w:jc w:val="center"/>
              <w:rPr>
                <w:rFonts w:cs="Times New Roman"/>
                <w:sz w:val="20"/>
                <w:szCs w:val="20"/>
              </w:rPr>
            </w:pPr>
            <w:r w:rsidRPr="003C53B7">
              <w:rPr>
                <w:rFonts w:cs="Times New Roman"/>
                <w:sz w:val="20"/>
                <w:szCs w:val="20"/>
              </w:rPr>
              <w:t>21,6</w:t>
            </w:r>
          </w:p>
        </w:tc>
        <w:tc>
          <w:tcPr>
            <w:tcW w:w="131" w:type="pct"/>
            <w:noWrap/>
            <w:vAlign w:val="center"/>
            <w:hideMark/>
          </w:tcPr>
          <w:p w:rsidR="008E433C" w:rsidRPr="003C53B7" w:rsidRDefault="008E433C" w:rsidP="001911DD">
            <w:pPr>
              <w:tabs>
                <w:tab w:val="decimal" w:pos="295"/>
              </w:tabs>
              <w:spacing w:before="60" w:after="60"/>
              <w:jc w:val="center"/>
              <w:rPr>
                <w:rFonts w:cs="Times New Roman"/>
                <w:sz w:val="20"/>
                <w:szCs w:val="20"/>
              </w:rPr>
            </w:pP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19,6</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19,6</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19,1</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18,6</w:t>
            </w:r>
          </w:p>
        </w:tc>
        <w:tc>
          <w:tcPr>
            <w:tcW w:w="446"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20,5</w:t>
            </w:r>
          </w:p>
        </w:tc>
      </w:tr>
      <w:tr w:rsidR="008E433C" w:rsidRPr="00312F73" w:rsidTr="001911DD">
        <w:trPr>
          <w:cnfStyle w:val="000000100000"/>
          <w:trHeight w:val="300"/>
          <w:jc w:val="center"/>
        </w:trPr>
        <w:tc>
          <w:tcPr>
            <w:tcW w:w="2189"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Vieglā rūpniecība</w:t>
            </w:r>
          </w:p>
        </w:tc>
        <w:tc>
          <w:tcPr>
            <w:tcW w:w="447" w:type="pct"/>
            <w:noWrap/>
            <w:vAlign w:val="center"/>
            <w:hideMark/>
          </w:tcPr>
          <w:p w:rsidR="008E433C" w:rsidRPr="003C53B7" w:rsidRDefault="008E433C" w:rsidP="001911DD">
            <w:pPr>
              <w:tabs>
                <w:tab w:val="decimal" w:pos="257"/>
              </w:tabs>
              <w:spacing w:before="60" w:after="60"/>
              <w:jc w:val="center"/>
              <w:rPr>
                <w:rFonts w:cs="Times New Roman"/>
                <w:sz w:val="20"/>
                <w:szCs w:val="20"/>
              </w:rPr>
            </w:pPr>
            <w:r w:rsidRPr="003C53B7">
              <w:rPr>
                <w:rFonts w:cs="Times New Roman"/>
                <w:sz w:val="20"/>
                <w:szCs w:val="20"/>
              </w:rPr>
              <w:t>10,5</w:t>
            </w:r>
          </w:p>
        </w:tc>
        <w:tc>
          <w:tcPr>
            <w:tcW w:w="131" w:type="pct"/>
            <w:noWrap/>
            <w:vAlign w:val="center"/>
            <w:hideMark/>
          </w:tcPr>
          <w:p w:rsidR="008E433C" w:rsidRPr="003C53B7" w:rsidRDefault="008E433C" w:rsidP="001911DD">
            <w:pPr>
              <w:tabs>
                <w:tab w:val="decimal" w:pos="295"/>
              </w:tabs>
              <w:spacing w:before="60" w:after="60"/>
              <w:jc w:val="center"/>
              <w:rPr>
                <w:rFonts w:cs="Times New Roman"/>
                <w:sz w:val="20"/>
                <w:szCs w:val="20"/>
              </w:rPr>
            </w:pP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8,4</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7,6</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7,5</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6,8</w:t>
            </w:r>
          </w:p>
        </w:tc>
        <w:tc>
          <w:tcPr>
            <w:tcW w:w="446"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6,0</w:t>
            </w:r>
          </w:p>
        </w:tc>
      </w:tr>
      <w:tr w:rsidR="008E433C" w:rsidRPr="00312F73" w:rsidTr="001911DD">
        <w:trPr>
          <w:trHeight w:val="300"/>
          <w:jc w:val="center"/>
        </w:trPr>
        <w:tc>
          <w:tcPr>
            <w:tcW w:w="2189" w:type="pct"/>
            <w:noWrap/>
            <w:vAlign w:val="bottom"/>
            <w:hideMark/>
          </w:tcPr>
          <w:p w:rsidR="008E433C" w:rsidRPr="00312F73" w:rsidRDefault="008E433C" w:rsidP="0006281D">
            <w:pPr>
              <w:spacing w:before="60" w:after="60"/>
              <w:rPr>
                <w:rFonts w:cs="Times New Roman"/>
                <w:sz w:val="22"/>
              </w:rPr>
            </w:pPr>
            <w:r w:rsidRPr="00312F73">
              <w:rPr>
                <w:rFonts w:cs="Times New Roman"/>
                <w:sz w:val="22"/>
              </w:rPr>
              <w:t>Kok</w:t>
            </w:r>
            <w:r w:rsidR="0006281D">
              <w:rPr>
                <w:rFonts w:cs="Times New Roman"/>
                <w:sz w:val="22"/>
              </w:rPr>
              <w:t>rūpniecība</w:t>
            </w:r>
          </w:p>
        </w:tc>
        <w:tc>
          <w:tcPr>
            <w:tcW w:w="447" w:type="pct"/>
            <w:noWrap/>
            <w:vAlign w:val="center"/>
            <w:hideMark/>
          </w:tcPr>
          <w:p w:rsidR="008E433C" w:rsidRPr="003C53B7" w:rsidRDefault="008E433C" w:rsidP="001911DD">
            <w:pPr>
              <w:tabs>
                <w:tab w:val="decimal" w:pos="257"/>
              </w:tabs>
              <w:spacing w:before="60" w:after="60"/>
              <w:jc w:val="center"/>
              <w:rPr>
                <w:rFonts w:cs="Times New Roman"/>
                <w:sz w:val="20"/>
                <w:szCs w:val="20"/>
              </w:rPr>
            </w:pPr>
            <w:r w:rsidRPr="003C53B7">
              <w:rPr>
                <w:rFonts w:cs="Times New Roman"/>
                <w:sz w:val="20"/>
                <w:szCs w:val="20"/>
              </w:rPr>
              <w:t>22,0</w:t>
            </w:r>
          </w:p>
        </w:tc>
        <w:tc>
          <w:tcPr>
            <w:tcW w:w="131" w:type="pct"/>
            <w:noWrap/>
            <w:vAlign w:val="center"/>
            <w:hideMark/>
          </w:tcPr>
          <w:p w:rsidR="008E433C" w:rsidRPr="003C53B7" w:rsidRDefault="008E433C" w:rsidP="001911DD">
            <w:pPr>
              <w:tabs>
                <w:tab w:val="decimal" w:pos="295"/>
              </w:tabs>
              <w:spacing w:before="60" w:after="60"/>
              <w:jc w:val="center"/>
              <w:rPr>
                <w:rFonts w:cs="Times New Roman"/>
                <w:sz w:val="20"/>
                <w:szCs w:val="20"/>
              </w:rPr>
            </w:pP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22,9</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23,0</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21,4</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22,3</w:t>
            </w:r>
          </w:p>
        </w:tc>
        <w:tc>
          <w:tcPr>
            <w:tcW w:w="446"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18,5</w:t>
            </w:r>
          </w:p>
        </w:tc>
      </w:tr>
      <w:tr w:rsidR="008E433C" w:rsidRPr="00312F73" w:rsidTr="001911DD">
        <w:trPr>
          <w:cnfStyle w:val="000000100000"/>
          <w:trHeight w:val="300"/>
          <w:jc w:val="center"/>
        </w:trPr>
        <w:tc>
          <w:tcPr>
            <w:tcW w:w="2189"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Papīra ražošana un izdevējdarbība</w:t>
            </w:r>
          </w:p>
        </w:tc>
        <w:tc>
          <w:tcPr>
            <w:tcW w:w="447" w:type="pct"/>
            <w:noWrap/>
            <w:vAlign w:val="center"/>
            <w:hideMark/>
          </w:tcPr>
          <w:p w:rsidR="008E433C" w:rsidRPr="003C53B7" w:rsidRDefault="008E433C" w:rsidP="001911DD">
            <w:pPr>
              <w:tabs>
                <w:tab w:val="decimal" w:pos="257"/>
              </w:tabs>
              <w:spacing w:before="60" w:after="60"/>
              <w:jc w:val="center"/>
              <w:rPr>
                <w:rFonts w:cs="Times New Roman"/>
                <w:sz w:val="20"/>
                <w:szCs w:val="20"/>
              </w:rPr>
            </w:pPr>
            <w:r w:rsidRPr="003C53B7">
              <w:rPr>
                <w:rFonts w:cs="Times New Roman"/>
                <w:sz w:val="20"/>
                <w:szCs w:val="20"/>
              </w:rPr>
              <w:t>10,4</w:t>
            </w:r>
          </w:p>
        </w:tc>
        <w:tc>
          <w:tcPr>
            <w:tcW w:w="131" w:type="pct"/>
            <w:noWrap/>
            <w:vAlign w:val="center"/>
            <w:hideMark/>
          </w:tcPr>
          <w:p w:rsidR="008E433C" w:rsidRPr="003C53B7" w:rsidRDefault="008E433C" w:rsidP="001911DD">
            <w:pPr>
              <w:tabs>
                <w:tab w:val="decimal" w:pos="295"/>
              </w:tabs>
              <w:spacing w:before="60" w:after="60"/>
              <w:jc w:val="center"/>
              <w:rPr>
                <w:rFonts w:cs="Times New Roman"/>
                <w:sz w:val="20"/>
                <w:szCs w:val="20"/>
              </w:rPr>
            </w:pP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9,5</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8,6</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8,2</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8,2</w:t>
            </w:r>
          </w:p>
        </w:tc>
        <w:tc>
          <w:tcPr>
            <w:tcW w:w="446"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8,4</w:t>
            </w:r>
          </w:p>
        </w:tc>
      </w:tr>
      <w:tr w:rsidR="008E433C" w:rsidRPr="00312F73" w:rsidTr="001911DD">
        <w:trPr>
          <w:trHeight w:val="300"/>
          <w:jc w:val="center"/>
        </w:trPr>
        <w:tc>
          <w:tcPr>
            <w:tcW w:w="2189"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Ķīmiskā rūpniecība un tās saskarnozares</w:t>
            </w:r>
          </w:p>
        </w:tc>
        <w:tc>
          <w:tcPr>
            <w:tcW w:w="447" w:type="pct"/>
            <w:noWrap/>
            <w:vAlign w:val="center"/>
            <w:hideMark/>
          </w:tcPr>
          <w:p w:rsidR="008E433C" w:rsidRPr="003C53B7" w:rsidRDefault="008E433C" w:rsidP="001911DD">
            <w:pPr>
              <w:tabs>
                <w:tab w:val="decimal" w:pos="257"/>
              </w:tabs>
              <w:spacing w:before="60" w:after="60"/>
              <w:jc w:val="center"/>
              <w:rPr>
                <w:rFonts w:cs="Times New Roman"/>
                <w:sz w:val="20"/>
                <w:szCs w:val="20"/>
              </w:rPr>
            </w:pPr>
            <w:r w:rsidRPr="003C53B7">
              <w:rPr>
                <w:rFonts w:cs="Times New Roman"/>
                <w:sz w:val="20"/>
                <w:szCs w:val="20"/>
              </w:rPr>
              <w:t>7,2</w:t>
            </w:r>
          </w:p>
        </w:tc>
        <w:tc>
          <w:tcPr>
            <w:tcW w:w="131" w:type="pct"/>
            <w:noWrap/>
            <w:vAlign w:val="center"/>
            <w:hideMark/>
          </w:tcPr>
          <w:p w:rsidR="008E433C" w:rsidRPr="003C53B7" w:rsidRDefault="008E433C" w:rsidP="001911DD">
            <w:pPr>
              <w:tabs>
                <w:tab w:val="decimal" w:pos="295"/>
              </w:tabs>
              <w:spacing w:before="60" w:after="60"/>
              <w:jc w:val="center"/>
              <w:rPr>
                <w:rFonts w:cs="Times New Roman"/>
                <w:sz w:val="20"/>
                <w:szCs w:val="20"/>
              </w:rPr>
            </w:pP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7,4</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7,5</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8,5</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8,4</w:t>
            </w:r>
          </w:p>
        </w:tc>
        <w:tc>
          <w:tcPr>
            <w:tcW w:w="446"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8,7</w:t>
            </w:r>
          </w:p>
        </w:tc>
      </w:tr>
      <w:tr w:rsidR="008E433C" w:rsidRPr="00312F73" w:rsidTr="001911DD">
        <w:trPr>
          <w:cnfStyle w:val="000000100000"/>
          <w:trHeight w:val="300"/>
          <w:jc w:val="center"/>
        </w:trPr>
        <w:tc>
          <w:tcPr>
            <w:tcW w:w="2189"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Pārējo nemetālisko minerālu izstrādājumu ražošana</w:t>
            </w:r>
          </w:p>
        </w:tc>
        <w:tc>
          <w:tcPr>
            <w:tcW w:w="447" w:type="pct"/>
            <w:noWrap/>
            <w:vAlign w:val="center"/>
            <w:hideMark/>
          </w:tcPr>
          <w:p w:rsidR="008E433C" w:rsidRPr="003C53B7" w:rsidRDefault="008E433C" w:rsidP="001911DD">
            <w:pPr>
              <w:tabs>
                <w:tab w:val="decimal" w:pos="257"/>
              </w:tabs>
              <w:spacing w:before="60" w:after="60"/>
              <w:jc w:val="center"/>
              <w:rPr>
                <w:rFonts w:cs="Times New Roman"/>
                <w:sz w:val="20"/>
                <w:szCs w:val="20"/>
              </w:rPr>
            </w:pPr>
            <w:r w:rsidRPr="003C53B7">
              <w:rPr>
                <w:rFonts w:cs="Times New Roman"/>
                <w:sz w:val="20"/>
                <w:szCs w:val="20"/>
              </w:rPr>
              <w:t>4,8</w:t>
            </w:r>
          </w:p>
        </w:tc>
        <w:tc>
          <w:tcPr>
            <w:tcW w:w="131" w:type="pct"/>
            <w:noWrap/>
            <w:vAlign w:val="center"/>
            <w:hideMark/>
          </w:tcPr>
          <w:p w:rsidR="008E433C" w:rsidRPr="003C53B7" w:rsidRDefault="008E433C" w:rsidP="001911DD">
            <w:pPr>
              <w:tabs>
                <w:tab w:val="decimal" w:pos="295"/>
              </w:tabs>
              <w:spacing w:before="60" w:after="60"/>
              <w:jc w:val="center"/>
              <w:rPr>
                <w:rFonts w:cs="Times New Roman"/>
                <w:sz w:val="20"/>
                <w:szCs w:val="20"/>
              </w:rPr>
            </w:pP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5,1</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5,6</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5,9</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6,2</w:t>
            </w:r>
          </w:p>
        </w:tc>
        <w:tc>
          <w:tcPr>
            <w:tcW w:w="446"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5,8</w:t>
            </w:r>
          </w:p>
        </w:tc>
      </w:tr>
      <w:tr w:rsidR="008E433C" w:rsidRPr="00312F73" w:rsidTr="001911DD">
        <w:trPr>
          <w:trHeight w:val="300"/>
          <w:jc w:val="center"/>
        </w:trPr>
        <w:tc>
          <w:tcPr>
            <w:tcW w:w="2189"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Metāli un metālizstrādājumu ražošana</w:t>
            </w:r>
          </w:p>
        </w:tc>
        <w:tc>
          <w:tcPr>
            <w:tcW w:w="447" w:type="pct"/>
            <w:noWrap/>
            <w:vAlign w:val="center"/>
            <w:hideMark/>
          </w:tcPr>
          <w:p w:rsidR="008E433C" w:rsidRPr="003C53B7" w:rsidRDefault="008E433C" w:rsidP="001911DD">
            <w:pPr>
              <w:tabs>
                <w:tab w:val="decimal" w:pos="257"/>
              </w:tabs>
              <w:spacing w:before="60" w:after="60"/>
              <w:jc w:val="center"/>
              <w:rPr>
                <w:rFonts w:cs="Times New Roman"/>
                <w:sz w:val="20"/>
                <w:szCs w:val="20"/>
              </w:rPr>
            </w:pPr>
            <w:r w:rsidRPr="003C53B7">
              <w:rPr>
                <w:rFonts w:cs="Times New Roman"/>
                <w:sz w:val="20"/>
                <w:szCs w:val="20"/>
              </w:rPr>
              <w:t>8,5</w:t>
            </w:r>
          </w:p>
        </w:tc>
        <w:tc>
          <w:tcPr>
            <w:tcW w:w="131" w:type="pct"/>
            <w:noWrap/>
            <w:vAlign w:val="center"/>
            <w:hideMark/>
          </w:tcPr>
          <w:p w:rsidR="008E433C" w:rsidRPr="003C53B7" w:rsidRDefault="008E433C" w:rsidP="001911DD">
            <w:pPr>
              <w:tabs>
                <w:tab w:val="decimal" w:pos="295"/>
              </w:tabs>
              <w:spacing w:before="60" w:after="60"/>
              <w:jc w:val="center"/>
              <w:rPr>
                <w:rFonts w:cs="Times New Roman"/>
                <w:sz w:val="20"/>
                <w:szCs w:val="20"/>
              </w:rPr>
            </w:pP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8,3</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9,5</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10,5</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11,2</w:t>
            </w:r>
          </w:p>
        </w:tc>
        <w:tc>
          <w:tcPr>
            <w:tcW w:w="446"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12,5</w:t>
            </w:r>
          </w:p>
        </w:tc>
      </w:tr>
      <w:tr w:rsidR="008E433C" w:rsidRPr="00312F73" w:rsidTr="001911DD">
        <w:trPr>
          <w:cnfStyle w:val="000000100000"/>
          <w:trHeight w:val="300"/>
          <w:jc w:val="center"/>
        </w:trPr>
        <w:tc>
          <w:tcPr>
            <w:tcW w:w="2189"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Mašīnu un iekārtu ražošana</w:t>
            </w:r>
          </w:p>
        </w:tc>
        <w:tc>
          <w:tcPr>
            <w:tcW w:w="447" w:type="pct"/>
            <w:noWrap/>
            <w:vAlign w:val="center"/>
            <w:hideMark/>
          </w:tcPr>
          <w:p w:rsidR="008E433C" w:rsidRPr="003C53B7" w:rsidRDefault="008E433C" w:rsidP="001911DD">
            <w:pPr>
              <w:tabs>
                <w:tab w:val="decimal" w:pos="257"/>
              </w:tabs>
              <w:spacing w:before="60" w:after="60"/>
              <w:jc w:val="center"/>
              <w:rPr>
                <w:rFonts w:cs="Times New Roman"/>
                <w:sz w:val="20"/>
                <w:szCs w:val="20"/>
              </w:rPr>
            </w:pPr>
            <w:r w:rsidRPr="003C53B7">
              <w:rPr>
                <w:rFonts w:cs="Times New Roman"/>
                <w:sz w:val="20"/>
                <w:szCs w:val="20"/>
              </w:rPr>
              <w:t>2,6</w:t>
            </w:r>
          </w:p>
        </w:tc>
        <w:tc>
          <w:tcPr>
            <w:tcW w:w="131" w:type="pct"/>
            <w:noWrap/>
            <w:vAlign w:val="center"/>
            <w:hideMark/>
          </w:tcPr>
          <w:p w:rsidR="008E433C" w:rsidRPr="003C53B7" w:rsidRDefault="008E433C" w:rsidP="001911DD">
            <w:pPr>
              <w:tabs>
                <w:tab w:val="decimal" w:pos="295"/>
              </w:tabs>
              <w:spacing w:before="60" w:after="60"/>
              <w:jc w:val="center"/>
              <w:rPr>
                <w:rFonts w:cs="Times New Roman"/>
                <w:sz w:val="20"/>
                <w:szCs w:val="20"/>
              </w:rPr>
            </w:pP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3,6</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3,7</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3,5</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3,1</w:t>
            </w:r>
          </w:p>
        </w:tc>
        <w:tc>
          <w:tcPr>
            <w:tcW w:w="446"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3,0</w:t>
            </w:r>
          </w:p>
        </w:tc>
      </w:tr>
      <w:tr w:rsidR="008E433C" w:rsidRPr="00312F73" w:rsidTr="001911DD">
        <w:trPr>
          <w:trHeight w:val="300"/>
          <w:jc w:val="center"/>
        </w:trPr>
        <w:tc>
          <w:tcPr>
            <w:tcW w:w="2189"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Elektrisko un optisko iekārtu ražošana</w:t>
            </w:r>
          </w:p>
        </w:tc>
        <w:tc>
          <w:tcPr>
            <w:tcW w:w="447" w:type="pct"/>
            <w:noWrap/>
            <w:vAlign w:val="center"/>
            <w:hideMark/>
          </w:tcPr>
          <w:p w:rsidR="008E433C" w:rsidRPr="003C53B7" w:rsidRDefault="008E433C" w:rsidP="001911DD">
            <w:pPr>
              <w:tabs>
                <w:tab w:val="decimal" w:pos="257"/>
              </w:tabs>
              <w:spacing w:before="60" w:after="60"/>
              <w:jc w:val="center"/>
              <w:rPr>
                <w:rFonts w:cs="Times New Roman"/>
                <w:sz w:val="20"/>
                <w:szCs w:val="20"/>
              </w:rPr>
            </w:pPr>
            <w:r w:rsidRPr="003C53B7">
              <w:rPr>
                <w:rFonts w:cs="Times New Roman"/>
                <w:sz w:val="20"/>
                <w:szCs w:val="20"/>
              </w:rPr>
              <w:t>4,0</w:t>
            </w:r>
          </w:p>
        </w:tc>
        <w:tc>
          <w:tcPr>
            <w:tcW w:w="131" w:type="pct"/>
            <w:noWrap/>
            <w:vAlign w:val="center"/>
            <w:hideMark/>
          </w:tcPr>
          <w:p w:rsidR="008E433C" w:rsidRPr="003C53B7" w:rsidRDefault="008E433C" w:rsidP="001911DD">
            <w:pPr>
              <w:tabs>
                <w:tab w:val="decimal" w:pos="295"/>
              </w:tabs>
              <w:spacing w:before="60" w:after="60"/>
              <w:jc w:val="center"/>
              <w:rPr>
                <w:rFonts w:cs="Times New Roman"/>
                <w:sz w:val="20"/>
                <w:szCs w:val="20"/>
              </w:rPr>
            </w:pP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5,7</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5,2</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5,3</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5,5</w:t>
            </w:r>
          </w:p>
        </w:tc>
        <w:tc>
          <w:tcPr>
            <w:tcW w:w="446"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6,4</w:t>
            </w:r>
          </w:p>
        </w:tc>
      </w:tr>
      <w:tr w:rsidR="008E433C" w:rsidRPr="00312F73" w:rsidTr="001911DD">
        <w:trPr>
          <w:cnfStyle w:val="000000100000"/>
          <w:trHeight w:val="300"/>
          <w:jc w:val="center"/>
        </w:trPr>
        <w:tc>
          <w:tcPr>
            <w:tcW w:w="2189"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Transporta līdzekļu ražošana</w:t>
            </w:r>
          </w:p>
        </w:tc>
        <w:tc>
          <w:tcPr>
            <w:tcW w:w="447" w:type="pct"/>
            <w:noWrap/>
            <w:vAlign w:val="center"/>
            <w:hideMark/>
          </w:tcPr>
          <w:p w:rsidR="008E433C" w:rsidRPr="003C53B7" w:rsidRDefault="008E433C" w:rsidP="001911DD">
            <w:pPr>
              <w:tabs>
                <w:tab w:val="decimal" w:pos="257"/>
              </w:tabs>
              <w:spacing w:before="60" w:after="60"/>
              <w:jc w:val="center"/>
              <w:rPr>
                <w:rFonts w:cs="Times New Roman"/>
                <w:sz w:val="20"/>
                <w:szCs w:val="20"/>
              </w:rPr>
            </w:pPr>
            <w:r w:rsidRPr="003C53B7">
              <w:rPr>
                <w:rFonts w:cs="Times New Roman"/>
                <w:sz w:val="20"/>
                <w:szCs w:val="20"/>
              </w:rPr>
              <w:t>3,4</w:t>
            </w:r>
          </w:p>
        </w:tc>
        <w:tc>
          <w:tcPr>
            <w:tcW w:w="131" w:type="pct"/>
            <w:noWrap/>
            <w:vAlign w:val="center"/>
            <w:hideMark/>
          </w:tcPr>
          <w:p w:rsidR="008E433C" w:rsidRPr="003C53B7" w:rsidRDefault="008E433C" w:rsidP="001911DD">
            <w:pPr>
              <w:tabs>
                <w:tab w:val="decimal" w:pos="295"/>
              </w:tabs>
              <w:spacing w:before="60" w:after="60"/>
              <w:jc w:val="center"/>
              <w:rPr>
                <w:rFonts w:cs="Times New Roman"/>
                <w:sz w:val="20"/>
                <w:szCs w:val="20"/>
              </w:rPr>
            </w:pP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3,3</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3,7</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3,7</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3,5</w:t>
            </w:r>
          </w:p>
        </w:tc>
        <w:tc>
          <w:tcPr>
            <w:tcW w:w="446"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5,2</w:t>
            </w:r>
          </w:p>
        </w:tc>
      </w:tr>
      <w:tr w:rsidR="008E433C" w:rsidRPr="00312F73" w:rsidTr="001911DD">
        <w:trPr>
          <w:trHeight w:val="300"/>
          <w:jc w:val="center"/>
        </w:trPr>
        <w:tc>
          <w:tcPr>
            <w:tcW w:w="2189"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Pārējās rūpniecības nozares</w:t>
            </w:r>
          </w:p>
        </w:tc>
        <w:tc>
          <w:tcPr>
            <w:tcW w:w="447" w:type="pct"/>
            <w:noWrap/>
            <w:vAlign w:val="center"/>
            <w:hideMark/>
          </w:tcPr>
          <w:p w:rsidR="008E433C" w:rsidRPr="003C53B7" w:rsidRDefault="008E433C" w:rsidP="001911DD">
            <w:pPr>
              <w:tabs>
                <w:tab w:val="decimal" w:pos="257"/>
              </w:tabs>
              <w:spacing w:before="60" w:after="60"/>
              <w:jc w:val="center"/>
              <w:rPr>
                <w:rFonts w:cs="Times New Roman"/>
                <w:sz w:val="20"/>
                <w:szCs w:val="20"/>
              </w:rPr>
            </w:pPr>
            <w:r w:rsidRPr="003C53B7">
              <w:rPr>
                <w:rFonts w:cs="Times New Roman"/>
                <w:sz w:val="20"/>
                <w:szCs w:val="20"/>
              </w:rPr>
              <w:t>4,9</w:t>
            </w:r>
          </w:p>
        </w:tc>
        <w:tc>
          <w:tcPr>
            <w:tcW w:w="131" w:type="pct"/>
            <w:noWrap/>
            <w:vAlign w:val="center"/>
            <w:hideMark/>
          </w:tcPr>
          <w:p w:rsidR="008E433C" w:rsidRPr="003C53B7" w:rsidRDefault="008E433C" w:rsidP="001911DD">
            <w:pPr>
              <w:tabs>
                <w:tab w:val="decimal" w:pos="295"/>
              </w:tabs>
              <w:spacing w:before="60" w:after="60"/>
              <w:jc w:val="center"/>
              <w:rPr>
                <w:rFonts w:cs="Times New Roman"/>
                <w:sz w:val="20"/>
                <w:szCs w:val="20"/>
              </w:rPr>
            </w:pP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6,2</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6,1</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6,3</w:t>
            </w:r>
          </w:p>
        </w:tc>
        <w:tc>
          <w:tcPr>
            <w:tcW w:w="447"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6,0</w:t>
            </w:r>
          </w:p>
        </w:tc>
        <w:tc>
          <w:tcPr>
            <w:tcW w:w="446" w:type="pct"/>
            <w:noWrap/>
            <w:vAlign w:val="center"/>
            <w:hideMark/>
          </w:tcPr>
          <w:p w:rsidR="008E433C" w:rsidRPr="003C53B7" w:rsidRDefault="008E433C" w:rsidP="001911DD">
            <w:pPr>
              <w:tabs>
                <w:tab w:val="decimal" w:pos="265"/>
              </w:tabs>
              <w:spacing w:before="60" w:after="60"/>
              <w:jc w:val="center"/>
              <w:rPr>
                <w:rFonts w:cs="Times New Roman"/>
                <w:sz w:val="20"/>
                <w:szCs w:val="20"/>
              </w:rPr>
            </w:pPr>
            <w:r w:rsidRPr="003C53B7">
              <w:rPr>
                <w:rFonts w:cs="Times New Roman"/>
                <w:sz w:val="20"/>
                <w:szCs w:val="20"/>
              </w:rPr>
              <w:t>5,0</w:t>
            </w:r>
          </w:p>
        </w:tc>
      </w:tr>
    </w:tbl>
    <w:p w:rsidR="008E433C" w:rsidRPr="00EB5FEE" w:rsidRDefault="008E433C" w:rsidP="008E433C">
      <w:pPr>
        <w:spacing w:before="120"/>
        <w:ind w:firstLine="426"/>
        <w:rPr>
          <w:rFonts w:cs="Times New Roman"/>
        </w:rPr>
      </w:pPr>
      <w:bookmarkStart w:id="60" w:name="_Apstrādes_rūpniecības_nozaru_1"/>
      <w:bookmarkStart w:id="61" w:name="_Toc239501369"/>
      <w:bookmarkEnd w:id="60"/>
      <w:r w:rsidRPr="00B454C8">
        <w:rPr>
          <w:sz w:val="16"/>
        </w:rPr>
        <w:t>Avots: CSP</w:t>
      </w:r>
    </w:p>
    <w:p w:rsidR="008E433C" w:rsidRPr="00B454C8" w:rsidRDefault="008E433C" w:rsidP="008E433C">
      <w:pPr>
        <w:spacing w:after="200" w:line="276" w:lineRule="auto"/>
        <w:rPr>
          <w:rFonts w:eastAsiaTheme="majorEastAsia" w:cstheme="majorBidi"/>
          <w:b/>
          <w:bCs/>
          <w:sz w:val="2"/>
          <w:szCs w:val="26"/>
        </w:rPr>
      </w:pPr>
    </w:p>
    <w:p w:rsidR="008E433C" w:rsidRPr="00ED0077" w:rsidRDefault="008E433C" w:rsidP="008E433C">
      <w:pPr>
        <w:pStyle w:val="Heading2"/>
      </w:pPr>
      <w:bookmarkStart w:id="62" w:name="_Toc242510386"/>
      <w:r w:rsidRPr="00ED0077">
        <w:t>7.tabula. Apstrādes rūpniecības nozaru dinamika no 2001. līdz 2008.gadam</w:t>
      </w:r>
      <w:bookmarkEnd w:id="61"/>
      <w:bookmarkEnd w:id="62"/>
    </w:p>
    <w:p w:rsidR="008E433C" w:rsidRPr="00ED0077" w:rsidRDefault="008E433C" w:rsidP="008E433C">
      <w:pPr>
        <w:rPr>
          <w:rFonts w:cs="Times New Roman"/>
          <w:bCs/>
          <w:szCs w:val="24"/>
        </w:rPr>
      </w:pPr>
      <w:r w:rsidRPr="00ED0077">
        <w:rPr>
          <w:rFonts w:cs="Times New Roman"/>
          <w:bCs/>
          <w:szCs w:val="24"/>
        </w:rPr>
        <w:t>(% pret iepriekšējo gadu)</w:t>
      </w:r>
    </w:p>
    <w:p w:rsidR="008E433C" w:rsidRPr="00EB5FEE" w:rsidRDefault="008E433C" w:rsidP="008E433C">
      <w:pPr>
        <w:jc w:val="center"/>
        <w:rPr>
          <w:rFonts w:cs="Times New Roman"/>
          <w:sz w:val="20"/>
          <w:szCs w:val="24"/>
        </w:rPr>
      </w:pPr>
    </w:p>
    <w:tbl>
      <w:tblPr>
        <w:tblStyle w:val="LightShading1"/>
        <w:tblW w:w="4753" w:type="pct"/>
        <w:jc w:val="center"/>
        <w:tblLayout w:type="fixed"/>
        <w:tblLook w:val="0400"/>
      </w:tblPr>
      <w:tblGrid>
        <w:gridCol w:w="3735"/>
        <w:gridCol w:w="707"/>
        <w:gridCol w:w="707"/>
        <w:gridCol w:w="706"/>
        <w:gridCol w:w="706"/>
        <w:gridCol w:w="706"/>
        <w:gridCol w:w="704"/>
        <w:gridCol w:w="704"/>
        <w:gridCol w:w="693"/>
      </w:tblGrid>
      <w:tr w:rsidR="008E433C" w:rsidRPr="00312F73" w:rsidTr="002F02CF">
        <w:trPr>
          <w:cnfStyle w:val="000000100000"/>
          <w:trHeight w:val="564"/>
          <w:jc w:val="center"/>
        </w:trPr>
        <w:tc>
          <w:tcPr>
            <w:tcW w:w="1993"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p>
        </w:tc>
        <w:tc>
          <w:tcPr>
            <w:tcW w:w="377"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2001</w:t>
            </w:r>
          </w:p>
        </w:tc>
        <w:tc>
          <w:tcPr>
            <w:tcW w:w="377"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2002</w:t>
            </w:r>
          </w:p>
        </w:tc>
        <w:tc>
          <w:tcPr>
            <w:tcW w:w="377"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2003</w:t>
            </w:r>
          </w:p>
        </w:tc>
        <w:tc>
          <w:tcPr>
            <w:tcW w:w="377"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2004</w:t>
            </w:r>
          </w:p>
        </w:tc>
        <w:tc>
          <w:tcPr>
            <w:tcW w:w="377"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2005</w:t>
            </w:r>
          </w:p>
        </w:tc>
        <w:tc>
          <w:tcPr>
            <w:tcW w:w="376"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2006</w:t>
            </w:r>
          </w:p>
        </w:tc>
        <w:tc>
          <w:tcPr>
            <w:tcW w:w="376"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2007</w:t>
            </w:r>
          </w:p>
        </w:tc>
        <w:tc>
          <w:tcPr>
            <w:tcW w:w="370"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2008</w:t>
            </w:r>
          </w:p>
        </w:tc>
      </w:tr>
      <w:tr w:rsidR="008E433C" w:rsidRPr="00312F73" w:rsidTr="001911DD">
        <w:trPr>
          <w:trHeight w:val="300"/>
          <w:jc w:val="center"/>
        </w:trPr>
        <w:tc>
          <w:tcPr>
            <w:tcW w:w="1993" w:type="pct"/>
            <w:tcBorders>
              <w:top w:val="single" w:sz="4" w:space="0" w:color="auto"/>
            </w:tcBorders>
            <w:noWrap/>
            <w:vAlign w:val="bottom"/>
            <w:hideMark/>
          </w:tcPr>
          <w:p w:rsidR="008E433C" w:rsidRPr="00312F73" w:rsidRDefault="008E433C" w:rsidP="002F02CF">
            <w:pPr>
              <w:spacing w:before="60" w:after="60"/>
              <w:rPr>
                <w:rFonts w:cs="Times New Roman"/>
                <w:b/>
                <w:sz w:val="22"/>
              </w:rPr>
            </w:pPr>
            <w:r w:rsidRPr="00312F73">
              <w:rPr>
                <w:rFonts w:cs="Times New Roman"/>
                <w:b/>
                <w:sz w:val="22"/>
              </w:rPr>
              <w:t>Apstrādes rūpniecība</w:t>
            </w:r>
          </w:p>
        </w:tc>
        <w:tc>
          <w:tcPr>
            <w:tcW w:w="377"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10,2</w:t>
            </w:r>
          </w:p>
        </w:tc>
        <w:tc>
          <w:tcPr>
            <w:tcW w:w="377"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8,9</w:t>
            </w:r>
          </w:p>
        </w:tc>
        <w:tc>
          <w:tcPr>
            <w:tcW w:w="377"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6,0</w:t>
            </w:r>
          </w:p>
        </w:tc>
        <w:tc>
          <w:tcPr>
            <w:tcW w:w="377"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6,6</w:t>
            </w:r>
          </w:p>
        </w:tc>
        <w:tc>
          <w:tcPr>
            <w:tcW w:w="377"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5,9</w:t>
            </w:r>
          </w:p>
        </w:tc>
        <w:tc>
          <w:tcPr>
            <w:tcW w:w="376"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6,2</w:t>
            </w:r>
          </w:p>
        </w:tc>
        <w:tc>
          <w:tcPr>
            <w:tcW w:w="376"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0,5</w:t>
            </w:r>
          </w:p>
        </w:tc>
        <w:tc>
          <w:tcPr>
            <w:tcW w:w="370"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-6,5</w:t>
            </w:r>
          </w:p>
        </w:tc>
      </w:tr>
      <w:tr w:rsidR="008E433C" w:rsidRPr="00312F73" w:rsidTr="001911DD">
        <w:trPr>
          <w:cnfStyle w:val="000000100000"/>
          <w:trHeight w:val="300"/>
          <w:jc w:val="center"/>
        </w:trPr>
        <w:tc>
          <w:tcPr>
            <w:tcW w:w="1993" w:type="pct"/>
            <w:noWrap/>
            <w:vAlign w:val="bottom"/>
            <w:hideMark/>
          </w:tcPr>
          <w:p w:rsidR="008E433C" w:rsidRPr="00312F73" w:rsidRDefault="008E433C" w:rsidP="002F02CF">
            <w:pPr>
              <w:spacing w:before="60" w:after="60"/>
              <w:rPr>
                <w:rFonts w:cs="Times New Roman"/>
                <w:sz w:val="22"/>
              </w:rPr>
            </w:pPr>
          </w:p>
        </w:tc>
        <w:tc>
          <w:tcPr>
            <w:tcW w:w="377"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377"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377"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377"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377"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376"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376" w:type="pct"/>
            <w:noWrap/>
            <w:vAlign w:val="center"/>
            <w:hideMark/>
          </w:tcPr>
          <w:p w:rsidR="008E433C" w:rsidRPr="00312F73" w:rsidRDefault="008E433C" w:rsidP="001911DD">
            <w:pPr>
              <w:tabs>
                <w:tab w:val="decimal" w:pos="262"/>
              </w:tabs>
              <w:spacing w:before="60" w:after="60"/>
              <w:jc w:val="center"/>
              <w:rPr>
                <w:rFonts w:cs="Times New Roman"/>
                <w:sz w:val="22"/>
              </w:rPr>
            </w:pPr>
          </w:p>
        </w:tc>
        <w:tc>
          <w:tcPr>
            <w:tcW w:w="370" w:type="pct"/>
            <w:noWrap/>
            <w:vAlign w:val="center"/>
            <w:hideMark/>
          </w:tcPr>
          <w:p w:rsidR="008E433C" w:rsidRPr="00312F73" w:rsidRDefault="008E433C" w:rsidP="001911DD">
            <w:pPr>
              <w:tabs>
                <w:tab w:val="decimal" w:pos="262"/>
              </w:tabs>
              <w:spacing w:before="60" w:after="60"/>
              <w:jc w:val="center"/>
              <w:rPr>
                <w:rFonts w:cs="Times New Roman"/>
                <w:sz w:val="22"/>
              </w:rPr>
            </w:pPr>
          </w:p>
        </w:tc>
      </w:tr>
      <w:tr w:rsidR="008E433C" w:rsidRPr="00312F73" w:rsidTr="001911DD">
        <w:trPr>
          <w:trHeight w:val="300"/>
          <w:jc w:val="center"/>
        </w:trPr>
        <w:tc>
          <w:tcPr>
            <w:tcW w:w="1993"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Pārtikas rūpniecība</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8,5</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8,4</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2,7</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6,1</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4,0</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5,3</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0,0</w:t>
            </w:r>
          </w:p>
        </w:tc>
        <w:tc>
          <w:tcPr>
            <w:tcW w:w="370"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-5,1</w:t>
            </w:r>
          </w:p>
        </w:tc>
      </w:tr>
      <w:tr w:rsidR="008E433C" w:rsidRPr="00312F73" w:rsidTr="001911DD">
        <w:trPr>
          <w:cnfStyle w:val="000000100000"/>
          <w:trHeight w:val="300"/>
          <w:jc w:val="center"/>
        </w:trPr>
        <w:tc>
          <w:tcPr>
            <w:tcW w:w="1993"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Vieglā rūpniecība</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7,1</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2,1</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-6,1</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-0,7</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7,6</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9,0</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-0,1</w:t>
            </w:r>
          </w:p>
        </w:tc>
        <w:tc>
          <w:tcPr>
            <w:tcW w:w="370"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-14,5</w:t>
            </w:r>
          </w:p>
        </w:tc>
      </w:tr>
      <w:tr w:rsidR="008E433C" w:rsidRPr="00312F73" w:rsidTr="001911DD">
        <w:trPr>
          <w:trHeight w:val="300"/>
          <w:jc w:val="center"/>
        </w:trPr>
        <w:tc>
          <w:tcPr>
            <w:tcW w:w="1993" w:type="pct"/>
            <w:noWrap/>
            <w:vAlign w:val="bottom"/>
            <w:hideMark/>
          </w:tcPr>
          <w:p w:rsidR="008E433C" w:rsidRPr="00312F73" w:rsidRDefault="008E433C" w:rsidP="0006281D">
            <w:pPr>
              <w:spacing w:before="60" w:after="60"/>
              <w:rPr>
                <w:rFonts w:cs="Times New Roman"/>
                <w:sz w:val="22"/>
              </w:rPr>
            </w:pPr>
            <w:r w:rsidRPr="00312F73">
              <w:rPr>
                <w:rFonts w:cs="Times New Roman"/>
                <w:sz w:val="22"/>
              </w:rPr>
              <w:t>Kok</w:t>
            </w:r>
            <w:r w:rsidR="0006281D">
              <w:rPr>
                <w:rFonts w:cs="Times New Roman"/>
                <w:sz w:val="22"/>
              </w:rPr>
              <w:t>rūpniecība</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11,4</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8,4</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12,3</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5,6</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1,6</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-0,9</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-4,7</w:t>
            </w:r>
          </w:p>
        </w:tc>
        <w:tc>
          <w:tcPr>
            <w:tcW w:w="370"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-10,0</w:t>
            </w:r>
          </w:p>
        </w:tc>
      </w:tr>
      <w:tr w:rsidR="008E433C" w:rsidRPr="00312F73" w:rsidTr="001911DD">
        <w:trPr>
          <w:cnfStyle w:val="000000100000"/>
          <w:trHeight w:val="300"/>
          <w:jc w:val="center"/>
        </w:trPr>
        <w:tc>
          <w:tcPr>
            <w:tcW w:w="1993"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Papīra ražošana un izdevējdarbība</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4,2</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0,5</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2,6</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1,9</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10,5</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9,0</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0,9</w:t>
            </w:r>
          </w:p>
        </w:tc>
        <w:tc>
          <w:tcPr>
            <w:tcW w:w="370"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-5,6</w:t>
            </w:r>
          </w:p>
        </w:tc>
      </w:tr>
      <w:tr w:rsidR="008E433C" w:rsidRPr="00312F73" w:rsidTr="001911DD">
        <w:trPr>
          <w:trHeight w:val="300"/>
          <w:jc w:val="center"/>
        </w:trPr>
        <w:tc>
          <w:tcPr>
            <w:tcW w:w="1993"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Ķīmiskā rūpniecība un tās saskarnozares</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14,2</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18,5</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-7,7</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19,4</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14,2</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22,0</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3,9</w:t>
            </w:r>
          </w:p>
        </w:tc>
        <w:tc>
          <w:tcPr>
            <w:tcW w:w="370"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-5,5</w:t>
            </w:r>
          </w:p>
        </w:tc>
      </w:tr>
      <w:tr w:rsidR="008E433C" w:rsidRPr="00312F73" w:rsidTr="001911DD">
        <w:trPr>
          <w:cnfStyle w:val="000000100000"/>
          <w:trHeight w:val="300"/>
          <w:jc w:val="center"/>
        </w:trPr>
        <w:tc>
          <w:tcPr>
            <w:tcW w:w="1993"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Pārējo nemetālisko minerālu izstrādājumu ražošana</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14,8</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18,1</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2,0</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12,1</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22,8</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5,4</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-0,4</w:t>
            </w:r>
          </w:p>
        </w:tc>
        <w:tc>
          <w:tcPr>
            <w:tcW w:w="370"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-10,6</w:t>
            </w:r>
          </w:p>
        </w:tc>
      </w:tr>
      <w:tr w:rsidR="008E433C" w:rsidRPr="00312F73" w:rsidTr="001911DD">
        <w:trPr>
          <w:trHeight w:val="300"/>
          <w:jc w:val="center"/>
        </w:trPr>
        <w:tc>
          <w:tcPr>
            <w:tcW w:w="1993"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Metāli un metālizstrādājumu ražošana</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16,8</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8,9</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6,3</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6,5</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1,6</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8,3</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10,4</w:t>
            </w:r>
          </w:p>
        </w:tc>
        <w:tc>
          <w:tcPr>
            <w:tcW w:w="370"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-2,2</w:t>
            </w:r>
          </w:p>
        </w:tc>
      </w:tr>
      <w:tr w:rsidR="008E433C" w:rsidRPr="00312F73" w:rsidTr="001911DD">
        <w:trPr>
          <w:cnfStyle w:val="000000100000"/>
          <w:trHeight w:val="300"/>
          <w:jc w:val="center"/>
        </w:trPr>
        <w:tc>
          <w:tcPr>
            <w:tcW w:w="1993"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Mašīnu un iekārtu ražošana</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31,7</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13,1</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17,9</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8,4</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2,1</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-5,7</w:t>
            </w:r>
          </w:p>
        </w:tc>
        <w:tc>
          <w:tcPr>
            <w:tcW w:w="370"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-15,4</w:t>
            </w:r>
          </w:p>
        </w:tc>
      </w:tr>
      <w:tr w:rsidR="008E433C" w:rsidRPr="00312F73" w:rsidTr="001911DD">
        <w:trPr>
          <w:trHeight w:val="300"/>
          <w:jc w:val="center"/>
        </w:trPr>
        <w:tc>
          <w:tcPr>
            <w:tcW w:w="1993"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Elektrisko un optisko iekārtu ražošana</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4,9</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20,9</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56,7</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7,8</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5,4</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9,3</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8,0</w:t>
            </w:r>
          </w:p>
        </w:tc>
        <w:tc>
          <w:tcPr>
            <w:tcW w:w="370"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13,2</w:t>
            </w:r>
          </w:p>
        </w:tc>
      </w:tr>
      <w:tr w:rsidR="008E433C" w:rsidRPr="00312F73" w:rsidTr="001911DD">
        <w:trPr>
          <w:cnfStyle w:val="000000100000"/>
          <w:trHeight w:val="300"/>
          <w:jc w:val="center"/>
        </w:trPr>
        <w:tc>
          <w:tcPr>
            <w:tcW w:w="1993"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Transporta līdzekļu ražošana</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-20,9</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6,9</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-8,1</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2,3</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5,4</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-2,4</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1,6</w:t>
            </w:r>
          </w:p>
        </w:tc>
        <w:tc>
          <w:tcPr>
            <w:tcW w:w="370"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33,5</w:t>
            </w:r>
          </w:p>
        </w:tc>
      </w:tr>
      <w:tr w:rsidR="008E433C" w:rsidRPr="00312F73" w:rsidTr="001911DD">
        <w:trPr>
          <w:trHeight w:val="300"/>
          <w:jc w:val="center"/>
        </w:trPr>
        <w:tc>
          <w:tcPr>
            <w:tcW w:w="1993"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Pārējās rūpniecības nozares</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23,0</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9,6</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3,8</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10,0</w:t>
            </w:r>
          </w:p>
        </w:tc>
        <w:tc>
          <w:tcPr>
            <w:tcW w:w="377"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3,1</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6,6</w:t>
            </w:r>
          </w:p>
        </w:tc>
        <w:tc>
          <w:tcPr>
            <w:tcW w:w="37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-4,0</w:t>
            </w:r>
          </w:p>
        </w:tc>
        <w:tc>
          <w:tcPr>
            <w:tcW w:w="370"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-27,0</w:t>
            </w:r>
          </w:p>
        </w:tc>
      </w:tr>
    </w:tbl>
    <w:p w:rsidR="008E433C" w:rsidRPr="00EB5FEE" w:rsidRDefault="008E433C" w:rsidP="008E433C">
      <w:pPr>
        <w:spacing w:before="120"/>
        <w:rPr>
          <w:rFonts w:cs="Times New Roman"/>
        </w:rPr>
      </w:pPr>
      <w:r w:rsidRPr="00B454C8">
        <w:rPr>
          <w:sz w:val="16"/>
        </w:rPr>
        <w:t>Avots: CSP</w:t>
      </w:r>
    </w:p>
    <w:p w:rsidR="008E433C" w:rsidRPr="00B454C8" w:rsidRDefault="008E433C" w:rsidP="008E433C">
      <w:pPr>
        <w:spacing w:after="200" w:line="276" w:lineRule="auto"/>
        <w:rPr>
          <w:rFonts w:cs="Times New Roman"/>
          <w:b/>
          <w:sz w:val="2"/>
          <w:szCs w:val="24"/>
        </w:rPr>
      </w:pPr>
      <w:r w:rsidRPr="00B454C8">
        <w:rPr>
          <w:rFonts w:cs="Times New Roman"/>
          <w:b/>
          <w:sz w:val="2"/>
          <w:szCs w:val="24"/>
        </w:rPr>
        <w:br w:type="page"/>
      </w:r>
    </w:p>
    <w:p w:rsidR="008E433C" w:rsidRPr="00ED0077" w:rsidRDefault="008E433C" w:rsidP="008E433C">
      <w:pPr>
        <w:pStyle w:val="Heading2"/>
      </w:pPr>
      <w:bookmarkStart w:id="63" w:name="_Apstrādes_rūpniecības_apakšnozaru"/>
      <w:bookmarkStart w:id="64" w:name="_Toc239501370"/>
      <w:bookmarkStart w:id="65" w:name="_Toc242510387"/>
      <w:bookmarkEnd w:id="63"/>
      <w:r w:rsidRPr="00ED0077">
        <w:lastRenderedPageBreak/>
        <w:t xml:space="preserve">8.tabula. Apstrādes rūpniecības nozaru </w:t>
      </w:r>
      <w:r>
        <w:t>devums</w:t>
      </w:r>
      <w:r w:rsidRPr="00ED0077">
        <w:t xml:space="preserve"> nozares pieaugumā </w:t>
      </w:r>
      <w:r w:rsidRPr="00187334">
        <w:t>no 200</w:t>
      </w:r>
      <w:r>
        <w:t>1</w:t>
      </w:r>
      <w:r w:rsidRPr="00187334">
        <w:t>. līdz 2008.gadam</w:t>
      </w:r>
      <w:bookmarkEnd w:id="64"/>
      <w:bookmarkEnd w:id="65"/>
    </w:p>
    <w:p w:rsidR="008E433C" w:rsidRPr="00ED0077" w:rsidRDefault="008E433C" w:rsidP="008E433C">
      <w:pPr>
        <w:rPr>
          <w:rFonts w:cs="Times New Roman"/>
          <w:szCs w:val="24"/>
        </w:rPr>
      </w:pPr>
      <w:r w:rsidRPr="00ED0077">
        <w:rPr>
          <w:rFonts w:cs="Times New Roman"/>
          <w:szCs w:val="24"/>
        </w:rPr>
        <w:t>(procentos)</w:t>
      </w:r>
    </w:p>
    <w:p w:rsidR="008E433C" w:rsidRPr="00B454C8" w:rsidRDefault="008E433C" w:rsidP="008E433C">
      <w:pPr>
        <w:rPr>
          <w:rFonts w:cs="Times New Roman"/>
          <w:sz w:val="12"/>
          <w:szCs w:val="24"/>
        </w:rPr>
      </w:pPr>
    </w:p>
    <w:tbl>
      <w:tblPr>
        <w:tblStyle w:val="LightShading1"/>
        <w:tblW w:w="4681" w:type="pct"/>
        <w:jc w:val="center"/>
        <w:tblLayout w:type="fixed"/>
        <w:tblLook w:val="0400"/>
      </w:tblPr>
      <w:tblGrid>
        <w:gridCol w:w="3866"/>
        <w:gridCol w:w="672"/>
        <w:gridCol w:w="673"/>
        <w:gridCol w:w="672"/>
        <w:gridCol w:w="673"/>
        <w:gridCol w:w="670"/>
        <w:gridCol w:w="673"/>
        <w:gridCol w:w="670"/>
        <w:gridCol w:w="657"/>
      </w:tblGrid>
      <w:tr w:rsidR="008E433C" w:rsidRPr="00312F73" w:rsidTr="002F02CF">
        <w:trPr>
          <w:cnfStyle w:val="000000100000"/>
          <w:trHeight w:val="564"/>
          <w:jc w:val="center"/>
        </w:trPr>
        <w:tc>
          <w:tcPr>
            <w:tcW w:w="2095"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p>
        </w:tc>
        <w:tc>
          <w:tcPr>
            <w:tcW w:w="364"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2001</w:t>
            </w:r>
          </w:p>
        </w:tc>
        <w:tc>
          <w:tcPr>
            <w:tcW w:w="365"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2002</w:t>
            </w:r>
          </w:p>
        </w:tc>
        <w:tc>
          <w:tcPr>
            <w:tcW w:w="364"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2003</w:t>
            </w:r>
          </w:p>
        </w:tc>
        <w:tc>
          <w:tcPr>
            <w:tcW w:w="365"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2004</w:t>
            </w:r>
          </w:p>
        </w:tc>
        <w:tc>
          <w:tcPr>
            <w:tcW w:w="363"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2005</w:t>
            </w:r>
          </w:p>
        </w:tc>
        <w:tc>
          <w:tcPr>
            <w:tcW w:w="365"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2006</w:t>
            </w:r>
          </w:p>
        </w:tc>
        <w:tc>
          <w:tcPr>
            <w:tcW w:w="363"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2007</w:t>
            </w:r>
          </w:p>
        </w:tc>
        <w:tc>
          <w:tcPr>
            <w:tcW w:w="356"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2008</w:t>
            </w:r>
          </w:p>
        </w:tc>
      </w:tr>
      <w:tr w:rsidR="008E433C" w:rsidRPr="00312F73" w:rsidTr="001911DD">
        <w:trPr>
          <w:trHeight w:val="300"/>
          <w:jc w:val="center"/>
        </w:trPr>
        <w:tc>
          <w:tcPr>
            <w:tcW w:w="2095" w:type="pct"/>
            <w:tcBorders>
              <w:top w:val="single" w:sz="4" w:space="0" w:color="auto"/>
            </w:tcBorders>
            <w:noWrap/>
            <w:vAlign w:val="bottom"/>
            <w:hideMark/>
          </w:tcPr>
          <w:p w:rsidR="008E433C" w:rsidRPr="00312F73" w:rsidRDefault="008E433C" w:rsidP="002F02CF">
            <w:pPr>
              <w:spacing w:before="60" w:after="60"/>
              <w:rPr>
                <w:rFonts w:cs="Times New Roman"/>
                <w:b/>
                <w:sz w:val="22"/>
              </w:rPr>
            </w:pPr>
            <w:r w:rsidRPr="00312F73">
              <w:rPr>
                <w:rFonts w:cs="Times New Roman"/>
                <w:b/>
                <w:sz w:val="22"/>
              </w:rPr>
              <w:t>Apstrādes rūpniecība</w:t>
            </w:r>
          </w:p>
        </w:tc>
        <w:tc>
          <w:tcPr>
            <w:tcW w:w="364"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10,2</w:t>
            </w:r>
          </w:p>
        </w:tc>
        <w:tc>
          <w:tcPr>
            <w:tcW w:w="365"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8,9</w:t>
            </w:r>
          </w:p>
        </w:tc>
        <w:tc>
          <w:tcPr>
            <w:tcW w:w="364"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6,0</w:t>
            </w:r>
          </w:p>
        </w:tc>
        <w:tc>
          <w:tcPr>
            <w:tcW w:w="365"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6,6</w:t>
            </w:r>
          </w:p>
        </w:tc>
        <w:tc>
          <w:tcPr>
            <w:tcW w:w="363"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5,9</w:t>
            </w:r>
          </w:p>
        </w:tc>
        <w:tc>
          <w:tcPr>
            <w:tcW w:w="365"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6,2</w:t>
            </w:r>
          </w:p>
        </w:tc>
        <w:tc>
          <w:tcPr>
            <w:tcW w:w="363"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0,5</w:t>
            </w:r>
          </w:p>
        </w:tc>
        <w:tc>
          <w:tcPr>
            <w:tcW w:w="356" w:type="pct"/>
            <w:tcBorders>
              <w:top w:val="single" w:sz="4" w:space="0" w:color="auto"/>
            </w:tcBorders>
            <w:noWrap/>
            <w:vAlign w:val="center"/>
            <w:hideMark/>
          </w:tcPr>
          <w:p w:rsidR="008E433C" w:rsidRPr="00312F73" w:rsidRDefault="008E433C" w:rsidP="001911DD">
            <w:pPr>
              <w:tabs>
                <w:tab w:val="decimal" w:pos="262"/>
              </w:tabs>
              <w:spacing w:before="60" w:after="60"/>
              <w:jc w:val="center"/>
              <w:rPr>
                <w:rFonts w:cs="Times New Roman"/>
                <w:b/>
                <w:sz w:val="22"/>
              </w:rPr>
            </w:pPr>
            <w:r w:rsidRPr="00312F73">
              <w:rPr>
                <w:rFonts w:cs="Times New Roman"/>
                <w:b/>
                <w:sz w:val="22"/>
              </w:rPr>
              <w:t>-6,5</w:t>
            </w:r>
          </w:p>
        </w:tc>
      </w:tr>
      <w:tr w:rsidR="008E433C" w:rsidRPr="00B454C8" w:rsidTr="001911DD">
        <w:trPr>
          <w:cnfStyle w:val="000000100000"/>
          <w:trHeight w:val="98"/>
          <w:jc w:val="center"/>
        </w:trPr>
        <w:tc>
          <w:tcPr>
            <w:tcW w:w="2095" w:type="pct"/>
            <w:noWrap/>
            <w:vAlign w:val="bottom"/>
            <w:hideMark/>
          </w:tcPr>
          <w:p w:rsidR="008E433C" w:rsidRPr="00B454C8" w:rsidRDefault="008E433C" w:rsidP="002F02CF">
            <w:pPr>
              <w:spacing w:before="60" w:after="60"/>
              <w:rPr>
                <w:rFonts w:cs="Times New Roman"/>
                <w:sz w:val="4"/>
                <w:szCs w:val="4"/>
              </w:rPr>
            </w:pPr>
          </w:p>
        </w:tc>
        <w:tc>
          <w:tcPr>
            <w:tcW w:w="364" w:type="pct"/>
            <w:noWrap/>
            <w:vAlign w:val="center"/>
            <w:hideMark/>
          </w:tcPr>
          <w:p w:rsidR="008E433C" w:rsidRPr="00B454C8" w:rsidRDefault="008E433C" w:rsidP="001911DD">
            <w:pPr>
              <w:tabs>
                <w:tab w:val="decimal" w:pos="262"/>
              </w:tabs>
              <w:spacing w:before="60" w:after="60"/>
              <w:jc w:val="center"/>
              <w:rPr>
                <w:rFonts w:cs="Times New Roman"/>
                <w:sz w:val="4"/>
                <w:szCs w:val="4"/>
              </w:rPr>
            </w:pPr>
          </w:p>
        </w:tc>
        <w:tc>
          <w:tcPr>
            <w:tcW w:w="365" w:type="pct"/>
            <w:noWrap/>
            <w:vAlign w:val="center"/>
            <w:hideMark/>
          </w:tcPr>
          <w:p w:rsidR="008E433C" w:rsidRPr="00B454C8" w:rsidRDefault="008E433C" w:rsidP="001911DD">
            <w:pPr>
              <w:tabs>
                <w:tab w:val="decimal" w:pos="262"/>
              </w:tabs>
              <w:spacing w:before="60" w:after="60"/>
              <w:jc w:val="center"/>
              <w:rPr>
                <w:rFonts w:cs="Times New Roman"/>
                <w:sz w:val="4"/>
                <w:szCs w:val="4"/>
              </w:rPr>
            </w:pPr>
          </w:p>
        </w:tc>
        <w:tc>
          <w:tcPr>
            <w:tcW w:w="364" w:type="pct"/>
            <w:noWrap/>
            <w:vAlign w:val="center"/>
            <w:hideMark/>
          </w:tcPr>
          <w:p w:rsidR="008E433C" w:rsidRPr="00B454C8" w:rsidRDefault="008E433C" w:rsidP="001911DD">
            <w:pPr>
              <w:tabs>
                <w:tab w:val="decimal" w:pos="262"/>
              </w:tabs>
              <w:spacing w:before="60" w:after="60"/>
              <w:jc w:val="center"/>
              <w:rPr>
                <w:rFonts w:cs="Times New Roman"/>
                <w:sz w:val="4"/>
                <w:szCs w:val="4"/>
              </w:rPr>
            </w:pPr>
          </w:p>
        </w:tc>
        <w:tc>
          <w:tcPr>
            <w:tcW w:w="365" w:type="pct"/>
            <w:noWrap/>
            <w:vAlign w:val="center"/>
            <w:hideMark/>
          </w:tcPr>
          <w:p w:rsidR="008E433C" w:rsidRPr="00B454C8" w:rsidRDefault="008E433C" w:rsidP="001911DD">
            <w:pPr>
              <w:tabs>
                <w:tab w:val="decimal" w:pos="262"/>
              </w:tabs>
              <w:spacing w:before="60" w:after="60"/>
              <w:jc w:val="center"/>
              <w:rPr>
                <w:rFonts w:cs="Times New Roman"/>
                <w:sz w:val="4"/>
                <w:szCs w:val="4"/>
              </w:rPr>
            </w:pPr>
          </w:p>
        </w:tc>
        <w:tc>
          <w:tcPr>
            <w:tcW w:w="363" w:type="pct"/>
            <w:noWrap/>
            <w:vAlign w:val="center"/>
            <w:hideMark/>
          </w:tcPr>
          <w:p w:rsidR="008E433C" w:rsidRPr="00B454C8" w:rsidRDefault="008E433C" w:rsidP="001911DD">
            <w:pPr>
              <w:tabs>
                <w:tab w:val="decimal" w:pos="262"/>
              </w:tabs>
              <w:spacing w:before="60" w:after="60"/>
              <w:jc w:val="center"/>
              <w:rPr>
                <w:rFonts w:cs="Times New Roman"/>
                <w:sz w:val="4"/>
                <w:szCs w:val="4"/>
              </w:rPr>
            </w:pPr>
          </w:p>
        </w:tc>
        <w:tc>
          <w:tcPr>
            <w:tcW w:w="365" w:type="pct"/>
            <w:noWrap/>
            <w:vAlign w:val="center"/>
            <w:hideMark/>
          </w:tcPr>
          <w:p w:rsidR="008E433C" w:rsidRPr="00B454C8" w:rsidRDefault="008E433C" w:rsidP="001911DD">
            <w:pPr>
              <w:tabs>
                <w:tab w:val="decimal" w:pos="262"/>
              </w:tabs>
              <w:spacing w:before="60" w:after="60"/>
              <w:jc w:val="center"/>
              <w:rPr>
                <w:rFonts w:cs="Times New Roman"/>
                <w:sz w:val="4"/>
                <w:szCs w:val="4"/>
              </w:rPr>
            </w:pPr>
          </w:p>
        </w:tc>
        <w:tc>
          <w:tcPr>
            <w:tcW w:w="363" w:type="pct"/>
            <w:noWrap/>
            <w:vAlign w:val="center"/>
            <w:hideMark/>
          </w:tcPr>
          <w:p w:rsidR="008E433C" w:rsidRPr="00B454C8" w:rsidRDefault="008E433C" w:rsidP="001911DD">
            <w:pPr>
              <w:tabs>
                <w:tab w:val="decimal" w:pos="262"/>
              </w:tabs>
              <w:spacing w:before="60" w:after="60"/>
              <w:jc w:val="center"/>
              <w:rPr>
                <w:rFonts w:cs="Times New Roman"/>
                <w:sz w:val="4"/>
                <w:szCs w:val="4"/>
              </w:rPr>
            </w:pPr>
          </w:p>
        </w:tc>
        <w:tc>
          <w:tcPr>
            <w:tcW w:w="356" w:type="pct"/>
            <w:noWrap/>
            <w:vAlign w:val="center"/>
            <w:hideMark/>
          </w:tcPr>
          <w:p w:rsidR="008E433C" w:rsidRPr="00B454C8" w:rsidRDefault="008E433C" w:rsidP="001911DD">
            <w:pPr>
              <w:tabs>
                <w:tab w:val="decimal" w:pos="262"/>
              </w:tabs>
              <w:spacing w:before="60" w:after="60"/>
              <w:jc w:val="center"/>
              <w:rPr>
                <w:rFonts w:cs="Times New Roman"/>
                <w:sz w:val="4"/>
                <w:szCs w:val="4"/>
              </w:rPr>
            </w:pPr>
          </w:p>
        </w:tc>
      </w:tr>
      <w:tr w:rsidR="008E433C" w:rsidRPr="00312F73" w:rsidTr="001911DD">
        <w:trPr>
          <w:trHeight w:val="300"/>
          <w:jc w:val="center"/>
        </w:trPr>
        <w:tc>
          <w:tcPr>
            <w:tcW w:w="2095"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Pārtikas rūpniecība</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1,8</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1,8</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0,6</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1,3</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0,8</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1,1</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0,0</w:t>
            </w:r>
          </w:p>
        </w:tc>
        <w:tc>
          <w:tcPr>
            <w:tcW w:w="35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-1,0</w:t>
            </w:r>
          </w:p>
        </w:tc>
      </w:tr>
      <w:tr w:rsidR="008E433C" w:rsidRPr="00312F73" w:rsidTr="001911DD">
        <w:trPr>
          <w:cnfStyle w:val="000000100000"/>
          <w:trHeight w:val="300"/>
          <w:jc w:val="center"/>
        </w:trPr>
        <w:tc>
          <w:tcPr>
            <w:tcW w:w="2095"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Vieglā rūpniecība</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0,7</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-0,6</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-0,1</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0,6</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0,7</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0,0</w:t>
            </w:r>
          </w:p>
        </w:tc>
        <w:tc>
          <w:tcPr>
            <w:tcW w:w="35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-1,2</w:t>
            </w:r>
          </w:p>
        </w:tc>
      </w:tr>
      <w:tr w:rsidR="008E433C" w:rsidRPr="00312F73" w:rsidTr="001911DD">
        <w:trPr>
          <w:trHeight w:val="300"/>
          <w:jc w:val="center"/>
        </w:trPr>
        <w:tc>
          <w:tcPr>
            <w:tcW w:w="2095" w:type="pct"/>
            <w:noWrap/>
            <w:vAlign w:val="bottom"/>
            <w:hideMark/>
          </w:tcPr>
          <w:p w:rsidR="008E433C" w:rsidRPr="00312F73" w:rsidRDefault="008E433C" w:rsidP="0006281D">
            <w:pPr>
              <w:spacing w:before="60" w:after="60"/>
              <w:rPr>
                <w:rFonts w:cs="Times New Roman"/>
                <w:sz w:val="22"/>
              </w:rPr>
            </w:pPr>
            <w:r w:rsidRPr="00312F73">
              <w:rPr>
                <w:rFonts w:cs="Times New Roman"/>
                <w:sz w:val="22"/>
              </w:rPr>
              <w:t>Kok</w:t>
            </w:r>
            <w:r w:rsidR="0006281D">
              <w:rPr>
                <w:rFonts w:cs="Times New Roman"/>
                <w:sz w:val="22"/>
              </w:rPr>
              <w:t>rūpniecība</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2,5</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1,9</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2,7</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1,3</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0,4</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-1,0</w:t>
            </w:r>
          </w:p>
        </w:tc>
        <w:tc>
          <w:tcPr>
            <w:tcW w:w="35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-2,0</w:t>
            </w:r>
          </w:p>
        </w:tc>
      </w:tr>
      <w:tr w:rsidR="008E433C" w:rsidRPr="00312F73" w:rsidTr="001911DD">
        <w:trPr>
          <w:cnfStyle w:val="000000100000"/>
          <w:trHeight w:val="300"/>
          <w:jc w:val="center"/>
        </w:trPr>
        <w:tc>
          <w:tcPr>
            <w:tcW w:w="2095"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Papīra ražošana un izdevējdarbība</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0,4</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0,0</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0,9</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0,8</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0,1</w:t>
            </w:r>
          </w:p>
        </w:tc>
        <w:tc>
          <w:tcPr>
            <w:tcW w:w="35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-0,5</w:t>
            </w:r>
          </w:p>
        </w:tc>
      </w:tr>
      <w:tr w:rsidR="008E433C" w:rsidRPr="00312F73" w:rsidTr="001911DD">
        <w:trPr>
          <w:trHeight w:val="300"/>
          <w:jc w:val="center"/>
        </w:trPr>
        <w:tc>
          <w:tcPr>
            <w:tcW w:w="2095"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Ķīmiskā rūpniecība un tās saskarnozares</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1,0</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1,4</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-0,6</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1,4</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1,1</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1,9</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0,4</w:t>
            </w:r>
          </w:p>
        </w:tc>
        <w:tc>
          <w:tcPr>
            <w:tcW w:w="35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-0,6</w:t>
            </w:r>
          </w:p>
        </w:tc>
      </w:tr>
      <w:tr w:rsidR="008E433C" w:rsidRPr="00312F73" w:rsidTr="001911DD">
        <w:trPr>
          <w:cnfStyle w:val="000000100000"/>
          <w:trHeight w:val="300"/>
          <w:jc w:val="center"/>
        </w:trPr>
        <w:tc>
          <w:tcPr>
            <w:tcW w:w="2095"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Pārējo nemetālisko minerālu izstrādājumu ražošana</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0,7</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0,9</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0,1</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0,6</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1,3</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0,3</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0,0</w:t>
            </w:r>
          </w:p>
        </w:tc>
        <w:tc>
          <w:tcPr>
            <w:tcW w:w="35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-0,7</w:t>
            </w:r>
          </w:p>
        </w:tc>
      </w:tr>
      <w:tr w:rsidR="008E433C" w:rsidRPr="00312F73" w:rsidTr="001911DD">
        <w:trPr>
          <w:trHeight w:val="300"/>
          <w:jc w:val="center"/>
        </w:trPr>
        <w:tc>
          <w:tcPr>
            <w:tcW w:w="2095"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Metāli un metālizstrādājumu ražošana</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1,4</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0,8</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0,6</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0,6</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0,1</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0,7</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0,9</w:t>
            </w:r>
          </w:p>
        </w:tc>
        <w:tc>
          <w:tcPr>
            <w:tcW w:w="35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r>
      <w:tr w:rsidR="008E433C" w:rsidRPr="00312F73" w:rsidTr="001911DD">
        <w:trPr>
          <w:cnfStyle w:val="000000100000"/>
          <w:trHeight w:val="300"/>
          <w:jc w:val="center"/>
        </w:trPr>
        <w:tc>
          <w:tcPr>
            <w:tcW w:w="2095"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Mašīnu un iekārtu ražošana</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0,8</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0,4</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0,6</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0,3</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0,1</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0,0</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5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-0,5</w:t>
            </w:r>
          </w:p>
        </w:tc>
      </w:tr>
      <w:tr w:rsidR="008E433C" w:rsidRPr="00312F73" w:rsidTr="001911DD">
        <w:trPr>
          <w:trHeight w:val="300"/>
          <w:jc w:val="center"/>
        </w:trPr>
        <w:tc>
          <w:tcPr>
            <w:tcW w:w="2095"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Elektrisko un optisko iekārtu ražošana</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0,8</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2,4</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0,5</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0,3</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0,6</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0,5</w:t>
            </w:r>
          </w:p>
        </w:tc>
        <w:tc>
          <w:tcPr>
            <w:tcW w:w="35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0,9</w:t>
            </w:r>
          </w:p>
        </w:tc>
      </w:tr>
      <w:tr w:rsidR="008E433C" w:rsidRPr="00312F73" w:rsidTr="001911DD">
        <w:trPr>
          <w:cnfStyle w:val="000000100000"/>
          <w:trHeight w:val="300"/>
          <w:jc w:val="center"/>
        </w:trPr>
        <w:tc>
          <w:tcPr>
            <w:tcW w:w="2095"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Transporta līdzekļu ražošana</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-0,7</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0,0</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0,1</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0,0</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0,0</w:t>
            </w:r>
          </w:p>
        </w:tc>
        <w:tc>
          <w:tcPr>
            <w:tcW w:w="35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0,6</w:t>
            </w:r>
          </w:p>
        </w:tc>
      </w:tr>
      <w:tr w:rsidR="008E433C" w:rsidRPr="00312F73" w:rsidTr="001911DD">
        <w:trPr>
          <w:trHeight w:val="300"/>
          <w:jc w:val="center"/>
        </w:trPr>
        <w:tc>
          <w:tcPr>
            <w:tcW w:w="2095"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Pārējās rūpniecības nozares</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1,1</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0,5</w:t>
            </w:r>
          </w:p>
        </w:tc>
        <w:tc>
          <w:tcPr>
            <w:tcW w:w="364"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0,5</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65"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0,4</w:t>
            </w:r>
          </w:p>
        </w:tc>
        <w:tc>
          <w:tcPr>
            <w:tcW w:w="363"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-0,2</w:t>
            </w:r>
          </w:p>
        </w:tc>
        <w:tc>
          <w:tcPr>
            <w:tcW w:w="356" w:type="pct"/>
            <w:noWrap/>
            <w:vAlign w:val="center"/>
            <w:hideMark/>
          </w:tcPr>
          <w:p w:rsidR="008E433C" w:rsidRPr="003C53B7" w:rsidRDefault="008E433C" w:rsidP="001911DD">
            <w:pPr>
              <w:tabs>
                <w:tab w:val="decimal" w:pos="295"/>
              </w:tabs>
              <w:spacing w:before="60" w:after="60"/>
              <w:jc w:val="center"/>
              <w:rPr>
                <w:rFonts w:cs="Times New Roman"/>
                <w:sz w:val="20"/>
                <w:szCs w:val="20"/>
              </w:rPr>
            </w:pPr>
            <w:r w:rsidRPr="003C53B7">
              <w:rPr>
                <w:rFonts w:cs="Times New Roman"/>
                <w:sz w:val="20"/>
                <w:szCs w:val="20"/>
              </w:rPr>
              <w:t>-1,4</w:t>
            </w:r>
          </w:p>
        </w:tc>
      </w:tr>
    </w:tbl>
    <w:p w:rsidR="008E433C" w:rsidRPr="00EB5FEE" w:rsidRDefault="008E433C" w:rsidP="008E433C">
      <w:pPr>
        <w:spacing w:before="120"/>
        <w:rPr>
          <w:rFonts w:cs="Times New Roman"/>
        </w:rPr>
      </w:pPr>
      <w:r w:rsidRPr="00B454C8">
        <w:rPr>
          <w:sz w:val="16"/>
        </w:rPr>
        <w:t>Avots: CSP</w:t>
      </w:r>
    </w:p>
    <w:p w:rsidR="008E433C" w:rsidRPr="00B454C8" w:rsidRDefault="008E433C" w:rsidP="008E433C">
      <w:pPr>
        <w:jc w:val="center"/>
        <w:rPr>
          <w:rFonts w:cs="Times New Roman"/>
          <w:sz w:val="28"/>
        </w:rPr>
      </w:pPr>
    </w:p>
    <w:p w:rsidR="008E433C" w:rsidRPr="00ED0077" w:rsidRDefault="008E433C" w:rsidP="008E433C">
      <w:pPr>
        <w:pStyle w:val="Heading2"/>
      </w:pPr>
      <w:bookmarkStart w:id="66" w:name="_Apstrādes_rūpniecības_nozaru_2"/>
      <w:bookmarkStart w:id="67" w:name="_Toc239501371"/>
      <w:bookmarkStart w:id="68" w:name="_Toc242510388"/>
      <w:bookmarkEnd w:id="66"/>
      <w:r w:rsidRPr="00ED0077">
        <w:t>9.tabula. Apstrādes rūpniecības nozaru eksporta īpatsvars realizācijā</w:t>
      </w:r>
      <w:r>
        <w:t xml:space="preserve"> </w:t>
      </w:r>
      <w:r w:rsidRPr="00187334">
        <w:t>no 200</w:t>
      </w:r>
      <w:r>
        <w:t>1</w:t>
      </w:r>
      <w:r w:rsidRPr="00187334">
        <w:t>. līdz 2008.gadam</w:t>
      </w:r>
      <w:bookmarkEnd w:id="67"/>
      <w:bookmarkEnd w:id="68"/>
    </w:p>
    <w:p w:rsidR="008E433C" w:rsidRPr="00ED0077" w:rsidRDefault="008E433C" w:rsidP="008E433C">
      <w:pPr>
        <w:rPr>
          <w:rFonts w:cs="Times New Roman"/>
          <w:szCs w:val="24"/>
        </w:rPr>
      </w:pPr>
      <w:r w:rsidRPr="00ED0077">
        <w:rPr>
          <w:rFonts w:cs="Times New Roman"/>
          <w:szCs w:val="24"/>
        </w:rPr>
        <w:t>(procentos)</w:t>
      </w:r>
    </w:p>
    <w:p w:rsidR="008E433C" w:rsidRPr="00B454C8" w:rsidRDefault="008E433C" w:rsidP="008E433C">
      <w:pPr>
        <w:jc w:val="center"/>
        <w:rPr>
          <w:rFonts w:cs="Times New Roman"/>
          <w:sz w:val="12"/>
        </w:rPr>
      </w:pPr>
    </w:p>
    <w:tbl>
      <w:tblPr>
        <w:tblStyle w:val="LightShading1"/>
        <w:tblW w:w="4735" w:type="pct"/>
        <w:jc w:val="center"/>
        <w:tblLayout w:type="fixed"/>
        <w:tblLook w:val="0400"/>
      </w:tblPr>
      <w:tblGrid>
        <w:gridCol w:w="3840"/>
        <w:gridCol w:w="683"/>
        <w:gridCol w:w="691"/>
        <w:gridCol w:w="689"/>
        <w:gridCol w:w="691"/>
        <w:gridCol w:w="689"/>
        <w:gridCol w:w="691"/>
        <w:gridCol w:w="689"/>
        <w:gridCol w:w="670"/>
      </w:tblGrid>
      <w:tr w:rsidR="008E433C" w:rsidRPr="00312F73" w:rsidTr="002F02CF">
        <w:trPr>
          <w:cnfStyle w:val="000000100000"/>
          <w:trHeight w:val="564"/>
          <w:jc w:val="center"/>
        </w:trPr>
        <w:tc>
          <w:tcPr>
            <w:tcW w:w="2057"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p>
        </w:tc>
        <w:tc>
          <w:tcPr>
            <w:tcW w:w="366"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2001</w:t>
            </w:r>
          </w:p>
        </w:tc>
        <w:tc>
          <w:tcPr>
            <w:tcW w:w="370"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2002</w:t>
            </w:r>
          </w:p>
        </w:tc>
        <w:tc>
          <w:tcPr>
            <w:tcW w:w="369"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2003</w:t>
            </w:r>
          </w:p>
        </w:tc>
        <w:tc>
          <w:tcPr>
            <w:tcW w:w="370"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2004</w:t>
            </w:r>
          </w:p>
        </w:tc>
        <w:tc>
          <w:tcPr>
            <w:tcW w:w="369"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2005</w:t>
            </w:r>
          </w:p>
        </w:tc>
        <w:tc>
          <w:tcPr>
            <w:tcW w:w="370"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2006</w:t>
            </w:r>
          </w:p>
        </w:tc>
        <w:tc>
          <w:tcPr>
            <w:tcW w:w="369"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2007</w:t>
            </w:r>
          </w:p>
        </w:tc>
        <w:tc>
          <w:tcPr>
            <w:tcW w:w="359" w:type="pct"/>
            <w:tcBorders>
              <w:top w:val="single" w:sz="8" w:space="0" w:color="000000" w:themeColor="text1"/>
              <w:bottom w:val="single" w:sz="4" w:space="0" w:color="auto"/>
            </w:tcBorders>
            <w:noWrap/>
            <w:vAlign w:val="center"/>
            <w:hideMark/>
          </w:tcPr>
          <w:p w:rsidR="008E433C" w:rsidRPr="00312F73" w:rsidRDefault="008E433C" w:rsidP="002F02CF">
            <w:pPr>
              <w:spacing w:before="60" w:after="60"/>
              <w:jc w:val="center"/>
              <w:rPr>
                <w:rFonts w:cs="Times New Roman"/>
                <w:b/>
                <w:bCs/>
                <w:sz w:val="22"/>
              </w:rPr>
            </w:pPr>
            <w:r w:rsidRPr="00312F73">
              <w:rPr>
                <w:rFonts w:cs="Times New Roman"/>
                <w:b/>
                <w:bCs/>
                <w:sz w:val="22"/>
              </w:rPr>
              <w:t>2008</w:t>
            </w:r>
          </w:p>
        </w:tc>
      </w:tr>
      <w:tr w:rsidR="008E433C" w:rsidRPr="00312F73" w:rsidTr="001911DD">
        <w:trPr>
          <w:trHeight w:val="300"/>
          <w:jc w:val="center"/>
        </w:trPr>
        <w:tc>
          <w:tcPr>
            <w:tcW w:w="2057" w:type="pct"/>
            <w:tcBorders>
              <w:top w:val="single" w:sz="4" w:space="0" w:color="auto"/>
            </w:tcBorders>
            <w:noWrap/>
            <w:vAlign w:val="bottom"/>
            <w:hideMark/>
          </w:tcPr>
          <w:p w:rsidR="008E433C" w:rsidRPr="00312F73" w:rsidRDefault="008E433C" w:rsidP="002F02CF">
            <w:pPr>
              <w:spacing w:before="60" w:after="60"/>
              <w:rPr>
                <w:rFonts w:cs="Times New Roman"/>
                <w:b/>
                <w:sz w:val="22"/>
              </w:rPr>
            </w:pPr>
            <w:r w:rsidRPr="00312F73">
              <w:rPr>
                <w:rFonts w:cs="Times New Roman"/>
                <w:b/>
                <w:sz w:val="22"/>
              </w:rPr>
              <w:t>Apstrādes rūpniecība</w:t>
            </w:r>
          </w:p>
        </w:tc>
        <w:tc>
          <w:tcPr>
            <w:tcW w:w="366" w:type="pct"/>
            <w:tcBorders>
              <w:top w:val="single" w:sz="4" w:space="0" w:color="auto"/>
            </w:tcBorders>
            <w:noWrap/>
            <w:vAlign w:val="center"/>
            <w:hideMark/>
          </w:tcPr>
          <w:p w:rsidR="008E433C" w:rsidRPr="00312F73" w:rsidRDefault="008E433C" w:rsidP="001911DD">
            <w:pPr>
              <w:tabs>
                <w:tab w:val="decimal" w:pos="269"/>
              </w:tabs>
              <w:spacing w:before="60" w:after="60"/>
              <w:jc w:val="center"/>
              <w:rPr>
                <w:b/>
                <w:sz w:val="22"/>
              </w:rPr>
            </w:pPr>
            <w:r w:rsidRPr="00312F73">
              <w:rPr>
                <w:b/>
                <w:sz w:val="22"/>
              </w:rPr>
              <w:t>52,3</w:t>
            </w:r>
          </w:p>
        </w:tc>
        <w:tc>
          <w:tcPr>
            <w:tcW w:w="370" w:type="pct"/>
            <w:tcBorders>
              <w:top w:val="single" w:sz="4" w:space="0" w:color="auto"/>
            </w:tcBorders>
            <w:noWrap/>
            <w:vAlign w:val="center"/>
            <w:hideMark/>
          </w:tcPr>
          <w:p w:rsidR="008E433C" w:rsidRPr="00312F73" w:rsidRDefault="008E433C" w:rsidP="001911DD">
            <w:pPr>
              <w:tabs>
                <w:tab w:val="decimal" w:pos="269"/>
              </w:tabs>
              <w:spacing w:before="60" w:after="60"/>
              <w:jc w:val="center"/>
              <w:rPr>
                <w:b/>
                <w:sz w:val="22"/>
              </w:rPr>
            </w:pPr>
            <w:r w:rsidRPr="00312F73">
              <w:rPr>
                <w:b/>
                <w:sz w:val="22"/>
              </w:rPr>
              <w:t>51,9</w:t>
            </w:r>
          </w:p>
        </w:tc>
        <w:tc>
          <w:tcPr>
            <w:tcW w:w="369" w:type="pct"/>
            <w:tcBorders>
              <w:top w:val="single" w:sz="4" w:space="0" w:color="auto"/>
            </w:tcBorders>
            <w:noWrap/>
            <w:vAlign w:val="center"/>
            <w:hideMark/>
          </w:tcPr>
          <w:p w:rsidR="008E433C" w:rsidRPr="00312F73" w:rsidRDefault="008E433C" w:rsidP="001911DD">
            <w:pPr>
              <w:tabs>
                <w:tab w:val="decimal" w:pos="269"/>
              </w:tabs>
              <w:spacing w:before="60" w:after="60"/>
              <w:jc w:val="center"/>
              <w:rPr>
                <w:b/>
                <w:sz w:val="22"/>
              </w:rPr>
            </w:pPr>
            <w:r w:rsidRPr="00312F73">
              <w:rPr>
                <w:b/>
                <w:sz w:val="22"/>
              </w:rPr>
              <w:t>52,0</w:t>
            </w:r>
          </w:p>
        </w:tc>
        <w:tc>
          <w:tcPr>
            <w:tcW w:w="370" w:type="pct"/>
            <w:tcBorders>
              <w:top w:val="single" w:sz="4" w:space="0" w:color="auto"/>
            </w:tcBorders>
            <w:noWrap/>
            <w:vAlign w:val="center"/>
            <w:hideMark/>
          </w:tcPr>
          <w:p w:rsidR="008E433C" w:rsidRPr="00312F73" w:rsidRDefault="008E433C" w:rsidP="001911DD">
            <w:pPr>
              <w:tabs>
                <w:tab w:val="decimal" w:pos="269"/>
              </w:tabs>
              <w:spacing w:before="60" w:after="60"/>
              <w:jc w:val="center"/>
              <w:rPr>
                <w:b/>
                <w:sz w:val="22"/>
              </w:rPr>
            </w:pPr>
            <w:r w:rsidRPr="00312F73">
              <w:rPr>
                <w:b/>
                <w:sz w:val="22"/>
              </w:rPr>
              <w:t>52,2</w:t>
            </w:r>
          </w:p>
        </w:tc>
        <w:tc>
          <w:tcPr>
            <w:tcW w:w="369" w:type="pct"/>
            <w:tcBorders>
              <w:top w:val="single" w:sz="4" w:space="0" w:color="auto"/>
            </w:tcBorders>
            <w:noWrap/>
            <w:vAlign w:val="center"/>
            <w:hideMark/>
          </w:tcPr>
          <w:p w:rsidR="008E433C" w:rsidRPr="00312F73" w:rsidRDefault="008E433C" w:rsidP="001911DD">
            <w:pPr>
              <w:tabs>
                <w:tab w:val="decimal" w:pos="269"/>
              </w:tabs>
              <w:spacing w:before="60" w:after="60"/>
              <w:jc w:val="center"/>
              <w:rPr>
                <w:b/>
                <w:sz w:val="22"/>
              </w:rPr>
            </w:pPr>
            <w:r w:rsidRPr="00312F73">
              <w:rPr>
                <w:b/>
                <w:sz w:val="22"/>
              </w:rPr>
              <w:t>51,5</w:t>
            </w:r>
          </w:p>
        </w:tc>
        <w:tc>
          <w:tcPr>
            <w:tcW w:w="370" w:type="pct"/>
            <w:tcBorders>
              <w:top w:val="single" w:sz="4" w:space="0" w:color="auto"/>
            </w:tcBorders>
            <w:noWrap/>
            <w:vAlign w:val="center"/>
            <w:hideMark/>
          </w:tcPr>
          <w:p w:rsidR="008E433C" w:rsidRPr="00312F73" w:rsidRDefault="008E433C" w:rsidP="001911DD">
            <w:pPr>
              <w:tabs>
                <w:tab w:val="decimal" w:pos="269"/>
              </w:tabs>
              <w:spacing w:before="60" w:after="60"/>
              <w:jc w:val="center"/>
              <w:rPr>
                <w:b/>
                <w:sz w:val="22"/>
              </w:rPr>
            </w:pPr>
            <w:r w:rsidRPr="00312F73">
              <w:rPr>
                <w:b/>
                <w:sz w:val="22"/>
              </w:rPr>
              <w:t>50,0</w:t>
            </w:r>
          </w:p>
        </w:tc>
        <w:tc>
          <w:tcPr>
            <w:tcW w:w="369" w:type="pct"/>
            <w:tcBorders>
              <w:top w:val="single" w:sz="4" w:space="0" w:color="auto"/>
            </w:tcBorders>
            <w:noWrap/>
            <w:vAlign w:val="center"/>
            <w:hideMark/>
          </w:tcPr>
          <w:p w:rsidR="008E433C" w:rsidRPr="00312F73" w:rsidRDefault="008E433C" w:rsidP="001911DD">
            <w:pPr>
              <w:tabs>
                <w:tab w:val="decimal" w:pos="269"/>
              </w:tabs>
              <w:spacing w:before="60" w:after="60"/>
              <w:jc w:val="center"/>
              <w:rPr>
                <w:b/>
                <w:sz w:val="22"/>
              </w:rPr>
            </w:pPr>
            <w:r w:rsidRPr="00312F73">
              <w:rPr>
                <w:b/>
                <w:sz w:val="22"/>
              </w:rPr>
              <w:t>48,4</w:t>
            </w:r>
          </w:p>
        </w:tc>
        <w:tc>
          <w:tcPr>
            <w:tcW w:w="359" w:type="pct"/>
            <w:tcBorders>
              <w:top w:val="single" w:sz="4" w:space="0" w:color="auto"/>
            </w:tcBorders>
            <w:noWrap/>
            <w:vAlign w:val="center"/>
            <w:hideMark/>
          </w:tcPr>
          <w:p w:rsidR="008E433C" w:rsidRPr="00312F73" w:rsidRDefault="008E433C" w:rsidP="001911DD">
            <w:pPr>
              <w:tabs>
                <w:tab w:val="decimal" w:pos="257"/>
              </w:tabs>
              <w:spacing w:before="60" w:after="60"/>
              <w:jc w:val="center"/>
              <w:rPr>
                <w:b/>
                <w:sz w:val="22"/>
              </w:rPr>
            </w:pPr>
            <w:r w:rsidRPr="00312F73">
              <w:rPr>
                <w:b/>
                <w:sz w:val="22"/>
              </w:rPr>
              <w:t>50,1</w:t>
            </w:r>
          </w:p>
        </w:tc>
      </w:tr>
      <w:tr w:rsidR="008E433C" w:rsidRPr="00B454C8" w:rsidTr="001911DD">
        <w:trPr>
          <w:cnfStyle w:val="000000100000"/>
          <w:trHeight w:val="160"/>
          <w:jc w:val="center"/>
        </w:trPr>
        <w:tc>
          <w:tcPr>
            <w:tcW w:w="2057" w:type="pct"/>
            <w:noWrap/>
            <w:vAlign w:val="bottom"/>
            <w:hideMark/>
          </w:tcPr>
          <w:p w:rsidR="008E433C" w:rsidRPr="00B454C8" w:rsidRDefault="008E433C" w:rsidP="002F02CF">
            <w:pPr>
              <w:spacing w:before="60" w:after="60"/>
              <w:rPr>
                <w:rFonts w:cs="Times New Roman"/>
                <w:sz w:val="4"/>
                <w:szCs w:val="4"/>
              </w:rPr>
            </w:pPr>
          </w:p>
        </w:tc>
        <w:tc>
          <w:tcPr>
            <w:tcW w:w="366" w:type="pct"/>
            <w:noWrap/>
            <w:vAlign w:val="center"/>
            <w:hideMark/>
          </w:tcPr>
          <w:p w:rsidR="008E433C" w:rsidRPr="00B454C8" w:rsidRDefault="008E433C" w:rsidP="001911DD">
            <w:pPr>
              <w:spacing w:before="60" w:after="60"/>
              <w:jc w:val="center"/>
              <w:rPr>
                <w:sz w:val="4"/>
                <w:szCs w:val="4"/>
              </w:rPr>
            </w:pPr>
          </w:p>
        </w:tc>
        <w:tc>
          <w:tcPr>
            <w:tcW w:w="370" w:type="pct"/>
            <w:noWrap/>
            <w:vAlign w:val="center"/>
            <w:hideMark/>
          </w:tcPr>
          <w:p w:rsidR="008E433C" w:rsidRPr="00B454C8" w:rsidRDefault="008E433C" w:rsidP="001911DD">
            <w:pPr>
              <w:spacing w:before="60" w:after="60"/>
              <w:jc w:val="center"/>
              <w:rPr>
                <w:sz w:val="4"/>
                <w:szCs w:val="4"/>
              </w:rPr>
            </w:pPr>
          </w:p>
        </w:tc>
        <w:tc>
          <w:tcPr>
            <w:tcW w:w="369" w:type="pct"/>
            <w:noWrap/>
            <w:vAlign w:val="center"/>
            <w:hideMark/>
          </w:tcPr>
          <w:p w:rsidR="008E433C" w:rsidRPr="00B454C8" w:rsidRDefault="008E433C" w:rsidP="001911DD">
            <w:pPr>
              <w:spacing w:before="60" w:after="60"/>
              <w:jc w:val="center"/>
              <w:rPr>
                <w:sz w:val="4"/>
                <w:szCs w:val="4"/>
              </w:rPr>
            </w:pPr>
          </w:p>
        </w:tc>
        <w:tc>
          <w:tcPr>
            <w:tcW w:w="370" w:type="pct"/>
            <w:noWrap/>
            <w:vAlign w:val="center"/>
            <w:hideMark/>
          </w:tcPr>
          <w:p w:rsidR="008E433C" w:rsidRPr="00B454C8" w:rsidRDefault="008E433C" w:rsidP="001911DD">
            <w:pPr>
              <w:spacing w:before="60" w:after="60"/>
              <w:jc w:val="center"/>
              <w:rPr>
                <w:sz w:val="4"/>
                <w:szCs w:val="4"/>
              </w:rPr>
            </w:pPr>
          </w:p>
        </w:tc>
        <w:tc>
          <w:tcPr>
            <w:tcW w:w="369" w:type="pct"/>
            <w:noWrap/>
            <w:vAlign w:val="center"/>
            <w:hideMark/>
          </w:tcPr>
          <w:p w:rsidR="008E433C" w:rsidRPr="00B454C8" w:rsidRDefault="008E433C" w:rsidP="001911DD">
            <w:pPr>
              <w:spacing w:before="60" w:after="60"/>
              <w:jc w:val="center"/>
              <w:rPr>
                <w:sz w:val="4"/>
                <w:szCs w:val="4"/>
              </w:rPr>
            </w:pPr>
          </w:p>
        </w:tc>
        <w:tc>
          <w:tcPr>
            <w:tcW w:w="370" w:type="pct"/>
            <w:noWrap/>
            <w:vAlign w:val="center"/>
            <w:hideMark/>
          </w:tcPr>
          <w:p w:rsidR="008E433C" w:rsidRPr="00B454C8" w:rsidRDefault="008E433C" w:rsidP="001911DD">
            <w:pPr>
              <w:spacing w:before="60" w:after="60"/>
              <w:jc w:val="center"/>
              <w:rPr>
                <w:sz w:val="4"/>
                <w:szCs w:val="4"/>
              </w:rPr>
            </w:pPr>
          </w:p>
        </w:tc>
        <w:tc>
          <w:tcPr>
            <w:tcW w:w="369" w:type="pct"/>
            <w:noWrap/>
            <w:vAlign w:val="center"/>
            <w:hideMark/>
          </w:tcPr>
          <w:p w:rsidR="008E433C" w:rsidRPr="00B454C8" w:rsidRDefault="008E433C" w:rsidP="001911DD">
            <w:pPr>
              <w:spacing w:before="60" w:after="60"/>
              <w:jc w:val="center"/>
              <w:rPr>
                <w:sz w:val="4"/>
                <w:szCs w:val="4"/>
              </w:rPr>
            </w:pPr>
          </w:p>
        </w:tc>
        <w:tc>
          <w:tcPr>
            <w:tcW w:w="359" w:type="pct"/>
            <w:noWrap/>
            <w:vAlign w:val="center"/>
            <w:hideMark/>
          </w:tcPr>
          <w:p w:rsidR="008E433C" w:rsidRPr="00B454C8" w:rsidRDefault="008E433C" w:rsidP="001911DD">
            <w:pPr>
              <w:tabs>
                <w:tab w:val="decimal" w:pos="257"/>
              </w:tabs>
              <w:spacing w:before="60" w:after="60"/>
              <w:jc w:val="center"/>
              <w:rPr>
                <w:sz w:val="4"/>
                <w:szCs w:val="4"/>
              </w:rPr>
            </w:pPr>
          </w:p>
        </w:tc>
      </w:tr>
      <w:tr w:rsidR="008E433C" w:rsidRPr="00312F73" w:rsidTr="001911DD">
        <w:trPr>
          <w:trHeight w:val="300"/>
          <w:jc w:val="center"/>
        </w:trPr>
        <w:tc>
          <w:tcPr>
            <w:tcW w:w="2057"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Pārtikas rūpniecība</w:t>
            </w:r>
          </w:p>
        </w:tc>
        <w:tc>
          <w:tcPr>
            <w:tcW w:w="366"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23,0</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20,9</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20,7</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21,8</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24,2</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24,3</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24,0</w:t>
            </w:r>
          </w:p>
        </w:tc>
        <w:tc>
          <w:tcPr>
            <w:tcW w:w="359" w:type="pct"/>
            <w:noWrap/>
            <w:vAlign w:val="center"/>
            <w:hideMark/>
          </w:tcPr>
          <w:p w:rsidR="008E433C" w:rsidRPr="003C53B7" w:rsidRDefault="008E433C" w:rsidP="001911DD">
            <w:pPr>
              <w:tabs>
                <w:tab w:val="decimal" w:pos="257"/>
              </w:tabs>
              <w:spacing w:before="60" w:after="60"/>
              <w:jc w:val="center"/>
              <w:rPr>
                <w:sz w:val="20"/>
                <w:szCs w:val="20"/>
              </w:rPr>
            </w:pPr>
            <w:r w:rsidRPr="003C53B7">
              <w:rPr>
                <w:sz w:val="20"/>
                <w:szCs w:val="20"/>
              </w:rPr>
              <w:t>24,3</w:t>
            </w:r>
          </w:p>
        </w:tc>
      </w:tr>
      <w:tr w:rsidR="008E433C" w:rsidRPr="00312F73" w:rsidTr="001911DD">
        <w:trPr>
          <w:cnfStyle w:val="000000100000"/>
          <w:trHeight w:val="300"/>
          <w:jc w:val="center"/>
        </w:trPr>
        <w:tc>
          <w:tcPr>
            <w:tcW w:w="2057"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Vieglā rūpniecība</w:t>
            </w:r>
          </w:p>
        </w:tc>
        <w:tc>
          <w:tcPr>
            <w:tcW w:w="366"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86,2</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84,1</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81,9</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79,1</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78,9</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76,0</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76,3</w:t>
            </w:r>
          </w:p>
        </w:tc>
        <w:tc>
          <w:tcPr>
            <w:tcW w:w="359" w:type="pct"/>
            <w:noWrap/>
            <w:vAlign w:val="center"/>
            <w:hideMark/>
          </w:tcPr>
          <w:p w:rsidR="008E433C" w:rsidRPr="003C53B7" w:rsidRDefault="008E433C" w:rsidP="001911DD">
            <w:pPr>
              <w:tabs>
                <w:tab w:val="decimal" w:pos="257"/>
              </w:tabs>
              <w:spacing w:before="60" w:after="60"/>
              <w:jc w:val="center"/>
              <w:rPr>
                <w:sz w:val="20"/>
                <w:szCs w:val="20"/>
              </w:rPr>
            </w:pPr>
            <w:r w:rsidRPr="003C53B7">
              <w:rPr>
                <w:sz w:val="20"/>
                <w:szCs w:val="20"/>
              </w:rPr>
              <w:t>76,3</w:t>
            </w:r>
          </w:p>
        </w:tc>
      </w:tr>
      <w:tr w:rsidR="008E433C" w:rsidRPr="00312F73" w:rsidTr="001911DD">
        <w:trPr>
          <w:trHeight w:val="300"/>
          <w:jc w:val="center"/>
        </w:trPr>
        <w:tc>
          <w:tcPr>
            <w:tcW w:w="2057" w:type="pct"/>
            <w:noWrap/>
            <w:vAlign w:val="bottom"/>
            <w:hideMark/>
          </w:tcPr>
          <w:p w:rsidR="008E433C" w:rsidRPr="00312F73" w:rsidRDefault="008E433C" w:rsidP="0006281D">
            <w:pPr>
              <w:spacing w:before="60" w:after="60"/>
              <w:rPr>
                <w:rFonts w:cs="Times New Roman"/>
                <w:sz w:val="22"/>
              </w:rPr>
            </w:pPr>
            <w:r w:rsidRPr="00312F73">
              <w:rPr>
                <w:rFonts w:cs="Times New Roman"/>
                <w:sz w:val="22"/>
              </w:rPr>
              <w:t>Kok</w:t>
            </w:r>
            <w:r w:rsidR="0006281D">
              <w:rPr>
                <w:rFonts w:cs="Times New Roman"/>
                <w:sz w:val="22"/>
              </w:rPr>
              <w:t>rūpniecība</w:t>
            </w:r>
          </w:p>
        </w:tc>
        <w:tc>
          <w:tcPr>
            <w:tcW w:w="366"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70,5</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69,5</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68,9</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68,2</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67,5</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67,3</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65,0</w:t>
            </w:r>
          </w:p>
        </w:tc>
        <w:tc>
          <w:tcPr>
            <w:tcW w:w="359" w:type="pct"/>
            <w:noWrap/>
            <w:vAlign w:val="center"/>
            <w:hideMark/>
          </w:tcPr>
          <w:p w:rsidR="008E433C" w:rsidRPr="003C53B7" w:rsidRDefault="008E433C" w:rsidP="001911DD">
            <w:pPr>
              <w:tabs>
                <w:tab w:val="decimal" w:pos="257"/>
              </w:tabs>
              <w:spacing w:before="60" w:after="60"/>
              <w:jc w:val="center"/>
              <w:rPr>
                <w:sz w:val="20"/>
                <w:szCs w:val="20"/>
              </w:rPr>
            </w:pPr>
            <w:r w:rsidRPr="003C53B7">
              <w:rPr>
                <w:sz w:val="20"/>
                <w:szCs w:val="20"/>
              </w:rPr>
              <w:t>65,7</w:t>
            </w:r>
          </w:p>
        </w:tc>
      </w:tr>
      <w:tr w:rsidR="008E433C" w:rsidRPr="00312F73" w:rsidTr="001911DD">
        <w:trPr>
          <w:cnfStyle w:val="000000100000"/>
          <w:trHeight w:val="300"/>
          <w:jc w:val="center"/>
        </w:trPr>
        <w:tc>
          <w:tcPr>
            <w:tcW w:w="2057"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Papīra ražošana un izdevējdarbība</w:t>
            </w:r>
          </w:p>
        </w:tc>
        <w:tc>
          <w:tcPr>
            <w:tcW w:w="366"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22,0</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24,9</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21,9</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20,0</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21,1</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23,5</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24,4</w:t>
            </w:r>
          </w:p>
        </w:tc>
        <w:tc>
          <w:tcPr>
            <w:tcW w:w="359" w:type="pct"/>
            <w:noWrap/>
            <w:vAlign w:val="center"/>
            <w:hideMark/>
          </w:tcPr>
          <w:p w:rsidR="008E433C" w:rsidRPr="003C53B7" w:rsidRDefault="008E433C" w:rsidP="001911DD">
            <w:pPr>
              <w:tabs>
                <w:tab w:val="decimal" w:pos="257"/>
              </w:tabs>
              <w:spacing w:before="60" w:after="60"/>
              <w:jc w:val="center"/>
              <w:rPr>
                <w:sz w:val="20"/>
                <w:szCs w:val="20"/>
              </w:rPr>
            </w:pPr>
            <w:r w:rsidRPr="003C53B7">
              <w:rPr>
                <w:sz w:val="20"/>
                <w:szCs w:val="20"/>
              </w:rPr>
              <w:t>25,3</w:t>
            </w:r>
          </w:p>
        </w:tc>
      </w:tr>
      <w:tr w:rsidR="008E433C" w:rsidRPr="00312F73" w:rsidTr="001911DD">
        <w:trPr>
          <w:trHeight w:val="300"/>
          <w:jc w:val="center"/>
        </w:trPr>
        <w:tc>
          <w:tcPr>
            <w:tcW w:w="2057"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Ķīmiskā rūpniecība un tās saskarnozares</w:t>
            </w:r>
          </w:p>
        </w:tc>
        <w:tc>
          <w:tcPr>
            <w:tcW w:w="366"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60,2</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60,8</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53,7</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51,9</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53,2</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56,5</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55,9</w:t>
            </w:r>
          </w:p>
        </w:tc>
        <w:tc>
          <w:tcPr>
            <w:tcW w:w="359" w:type="pct"/>
            <w:noWrap/>
            <w:vAlign w:val="center"/>
            <w:hideMark/>
          </w:tcPr>
          <w:p w:rsidR="008E433C" w:rsidRPr="003C53B7" w:rsidRDefault="008E433C" w:rsidP="001911DD">
            <w:pPr>
              <w:tabs>
                <w:tab w:val="decimal" w:pos="257"/>
              </w:tabs>
              <w:spacing w:before="60" w:after="60"/>
              <w:jc w:val="center"/>
              <w:rPr>
                <w:sz w:val="20"/>
                <w:szCs w:val="20"/>
              </w:rPr>
            </w:pPr>
            <w:r w:rsidRPr="003C53B7">
              <w:rPr>
                <w:sz w:val="20"/>
                <w:szCs w:val="20"/>
              </w:rPr>
              <w:t>64,8</w:t>
            </w:r>
          </w:p>
        </w:tc>
      </w:tr>
      <w:tr w:rsidR="008E433C" w:rsidRPr="00312F73" w:rsidTr="001911DD">
        <w:trPr>
          <w:cnfStyle w:val="000000100000"/>
          <w:trHeight w:val="300"/>
          <w:jc w:val="center"/>
        </w:trPr>
        <w:tc>
          <w:tcPr>
            <w:tcW w:w="2057"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Pārējo nemetālisko minerālu izstrādājumu ražošana</w:t>
            </w:r>
          </w:p>
        </w:tc>
        <w:tc>
          <w:tcPr>
            <w:tcW w:w="366"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22,0</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26,6</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34,7</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35,0</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26,1</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19,9</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18,3</w:t>
            </w:r>
          </w:p>
        </w:tc>
        <w:tc>
          <w:tcPr>
            <w:tcW w:w="359" w:type="pct"/>
            <w:noWrap/>
            <w:vAlign w:val="center"/>
            <w:hideMark/>
          </w:tcPr>
          <w:p w:rsidR="008E433C" w:rsidRPr="003C53B7" w:rsidRDefault="008E433C" w:rsidP="001911DD">
            <w:pPr>
              <w:tabs>
                <w:tab w:val="decimal" w:pos="257"/>
              </w:tabs>
              <w:spacing w:before="60" w:after="60"/>
              <w:jc w:val="center"/>
              <w:rPr>
                <w:sz w:val="20"/>
                <w:szCs w:val="20"/>
              </w:rPr>
            </w:pPr>
            <w:r w:rsidRPr="003C53B7">
              <w:rPr>
                <w:sz w:val="20"/>
                <w:szCs w:val="20"/>
              </w:rPr>
              <w:t>23,9</w:t>
            </w:r>
          </w:p>
        </w:tc>
      </w:tr>
      <w:tr w:rsidR="008E433C" w:rsidRPr="00312F73" w:rsidTr="001911DD">
        <w:trPr>
          <w:trHeight w:val="300"/>
          <w:jc w:val="center"/>
        </w:trPr>
        <w:tc>
          <w:tcPr>
            <w:tcW w:w="2057"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Metāli un metālizstrādājumu ražošana</w:t>
            </w:r>
          </w:p>
        </w:tc>
        <w:tc>
          <w:tcPr>
            <w:tcW w:w="366"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77,7</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78,8</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77,3</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76,4</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71,7</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67,0</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64,0</w:t>
            </w:r>
          </w:p>
        </w:tc>
        <w:tc>
          <w:tcPr>
            <w:tcW w:w="359" w:type="pct"/>
            <w:noWrap/>
            <w:vAlign w:val="center"/>
            <w:hideMark/>
          </w:tcPr>
          <w:p w:rsidR="008E433C" w:rsidRPr="003C53B7" w:rsidRDefault="008E433C" w:rsidP="001911DD">
            <w:pPr>
              <w:tabs>
                <w:tab w:val="decimal" w:pos="257"/>
              </w:tabs>
              <w:spacing w:before="60" w:after="60"/>
              <w:jc w:val="center"/>
              <w:rPr>
                <w:sz w:val="20"/>
                <w:szCs w:val="20"/>
              </w:rPr>
            </w:pPr>
            <w:r w:rsidRPr="003C53B7">
              <w:rPr>
                <w:sz w:val="20"/>
                <w:szCs w:val="20"/>
              </w:rPr>
              <w:t>70,2</w:t>
            </w:r>
          </w:p>
        </w:tc>
      </w:tr>
      <w:tr w:rsidR="008E433C" w:rsidRPr="00312F73" w:rsidTr="001911DD">
        <w:trPr>
          <w:cnfStyle w:val="000000100000"/>
          <w:trHeight w:val="300"/>
          <w:jc w:val="center"/>
        </w:trPr>
        <w:tc>
          <w:tcPr>
            <w:tcW w:w="2057"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Mašīnu un iekārtu ražošana</w:t>
            </w:r>
          </w:p>
        </w:tc>
        <w:tc>
          <w:tcPr>
            <w:tcW w:w="366"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76,7</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69,9</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72,5</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72,8</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73,4</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74,1</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71,2</w:t>
            </w:r>
          </w:p>
        </w:tc>
        <w:tc>
          <w:tcPr>
            <w:tcW w:w="359" w:type="pct"/>
            <w:noWrap/>
            <w:vAlign w:val="center"/>
            <w:hideMark/>
          </w:tcPr>
          <w:p w:rsidR="008E433C" w:rsidRPr="003C53B7" w:rsidRDefault="008E433C" w:rsidP="001911DD">
            <w:pPr>
              <w:tabs>
                <w:tab w:val="decimal" w:pos="257"/>
              </w:tabs>
              <w:spacing w:before="60" w:after="60"/>
              <w:jc w:val="center"/>
              <w:rPr>
                <w:sz w:val="20"/>
                <w:szCs w:val="20"/>
              </w:rPr>
            </w:pPr>
            <w:r w:rsidRPr="003C53B7">
              <w:rPr>
                <w:sz w:val="20"/>
                <w:szCs w:val="20"/>
              </w:rPr>
              <w:t>74,7</w:t>
            </w:r>
          </w:p>
        </w:tc>
      </w:tr>
      <w:tr w:rsidR="008E433C" w:rsidRPr="00312F73" w:rsidTr="001911DD">
        <w:trPr>
          <w:trHeight w:val="300"/>
          <w:jc w:val="center"/>
        </w:trPr>
        <w:tc>
          <w:tcPr>
            <w:tcW w:w="2057"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Elektrisko un optisko iekārtu ražošana</w:t>
            </w:r>
          </w:p>
        </w:tc>
        <w:tc>
          <w:tcPr>
            <w:tcW w:w="366"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60,5</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58,8</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65,1</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61,3</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63,2</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65,8</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61,5</w:t>
            </w:r>
          </w:p>
        </w:tc>
        <w:tc>
          <w:tcPr>
            <w:tcW w:w="359" w:type="pct"/>
            <w:noWrap/>
            <w:vAlign w:val="center"/>
            <w:hideMark/>
          </w:tcPr>
          <w:p w:rsidR="008E433C" w:rsidRPr="003C53B7" w:rsidRDefault="008E433C" w:rsidP="001911DD">
            <w:pPr>
              <w:tabs>
                <w:tab w:val="decimal" w:pos="257"/>
              </w:tabs>
              <w:spacing w:before="60" w:after="60"/>
              <w:jc w:val="center"/>
              <w:rPr>
                <w:sz w:val="20"/>
                <w:szCs w:val="20"/>
              </w:rPr>
            </w:pPr>
            <w:r w:rsidRPr="003C53B7">
              <w:rPr>
                <w:sz w:val="20"/>
                <w:szCs w:val="20"/>
              </w:rPr>
              <w:t>63,2</w:t>
            </w:r>
          </w:p>
        </w:tc>
      </w:tr>
      <w:tr w:rsidR="008E433C" w:rsidRPr="00312F73" w:rsidTr="001911DD">
        <w:trPr>
          <w:cnfStyle w:val="000000100000"/>
          <w:trHeight w:val="300"/>
          <w:jc w:val="center"/>
        </w:trPr>
        <w:tc>
          <w:tcPr>
            <w:tcW w:w="2057"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Transporta līdzekļu ražošana</w:t>
            </w:r>
          </w:p>
        </w:tc>
        <w:tc>
          <w:tcPr>
            <w:tcW w:w="366"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83,4</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78,9</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81,9</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76,7</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78,3</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72,8</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74,7</w:t>
            </w:r>
          </w:p>
        </w:tc>
        <w:tc>
          <w:tcPr>
            <w:tcW w:w="359" w:type="pct"/>
            <w:noWrap/>
            <w:vAlign w:val="center"/>
            <w:hideMark/>
          </w:tcPr>
          <w:p w:rsidR="008E433C" w:rsidRPr="003C53B7" w:rsidRDefault="008E433C" w:rsidP="001911DD">
            <w:pPr>
              <w:tabs>
                <w:tab w:val="decimal" w:pos="257"/>
              </w:tabs>
              <w:spacing w:before="60" w:after="60"/>
              <w:jc w:val="center"/>
              <w:rPr>
                <w:sz w:val="20"/>
                <w:szCs w:val="20"/>
              </w:rPr>
            </w:pPr>
            <w:r w:rsidRPr="003C53B7">
              <w:rPr>
                <w:sz w:val="20"/>
                <w:szCs w:val="20"/>
              </w:rPr>
              <w:t>73,0</w:t>
            </w:r>
          </w:p>
        </w:tc>
      </w:tr>
      <w:tr w:rsidR="008E433C" w:rsidRPr="00312F73" w:rsidTr="001911DD">
        <w:trPr>
          <w:trHeight w:val="300"/>
          <w:jc w:val="center"/>
        </w:trPr>
        <w:tc>
          <w:tcPr>
            <w:tcW w:w="2057" w:type="pct"/>
            <w:noWrap/>
            <w:vAlign w:val="bottom"/>
            <w:hideMark/>
          </w:tcPr>
          <w:p w:rsidR="008E433C" w:rsidRPr="00312F73" w:rsidRDefault="008E433C" w:rsidP="002F02CF">
            <w:pPr>
              <w:spacing w:before="60" w:after="60"/>
              <w:rPr>
                <w:rFonts w:cs="Times New Roman"/>
                <w:sz w:val="22"/>
              </w:rPr>
            </w:pPr>
            <w:r w:rsidRPr="00312F73">
              <w:rPr>
                <w:rFonts w:cs="Times New Roman"/>
                <w:sz w:val="22"/>
              </w:rPr>
              <w:t>Pārējās rūpniecības nozares</w:t>
            </w:r>
          </w:p>
        </w:tc>
        <w:tc>
          <w:tcPr>
            <w:tcW w:w="366"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70,1</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69,5</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72,4</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68,1</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62,5</w:t>
            </w:r>
          </w:p>
        </w:tc>
        <w:tc>
          <w:tcPr>
            <w:tcW w:w="370"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56,7</w:t>
            </w:r>
          </w:p>
        </w:tc>
        <w:tc>
          <w:tcPr>
            <w:tcW w:w="369" w:type="pct"/>
            <w:noWrap/>
            <w:vAlign w:val="center"/>
            <w:hideMark/>
          </w:tcPr>
          <w:p w:rsidR="008E433C" w:rsidRPr="003C53B7" w:rsidRDefault="008E433C" w:rsidP="001911DD">
            <w:pPr>
              <w:tabs>
                <w:tab w:val="decimal" w:pos="269"/>
              </w:tabs>
              <w:spacing w:before="60" w:after="60"/>
              <w:jc w:val="center"/>
              <w:rPr>
                <w:rFonts w:cs="Times New Roman"/>
                <w:sz w:val="20"/>
                <w:szCs w:val="20"/>
              </w:rPr>
            </w:pPr>
            <w:r w:rsidRPr="003C53B7">
              <w:rPr>
                <w:rFonts w:cs="Times New Roman"/>
                <w:sz w:val="20"/>
                <w:szCs w:val="20"/>
              </w:rPr>
              <w:t>53,3</w:t>
            </w:r>
          </w:p>
        </w:tc>
        <w:tc>
          <w:tcPr>
            <w:tcW w:w="359" w:type="pct"/>
            <w:noWrap/>
            <w:vAlign w:val="center"/>
            <w:hideMark/>
          </w:tcPr>
          <w:p w:rsidR="008E433C" w:rsidRPr="003C53B7" w:rsidRDefault="008E433C" w:rsidP="001911DD">
            <w:pPr>
              <w:tabs>
                <w:tab w:val="decimal" w:pos="257"/>
              </w:tabs>
              <w:spacing w:before="60" w:after="60"/>
              <w:jc w:val="center"/>
              <w:rPr>
                <w:sz w:val="20"/>
                <w:szCs w:val="20"/>
              </w:rPr>
            </w:pPr>
            <w:r w:rsidRPr="003C53B7">
              <w:rPr>
                <w:sz w:val="20"/>
                <w:szCs w:val="20"/>
              </w:rPr>
              <w:t>52,7</w:t>
            </w:r>
          </w:p>
        </w:tc>
      </w:tr>
    </w:tbl>
    <w:p w:rsidR="008E433C" w:rsidRPr="00EB5FEE" w:rsidRDefault="008E433C" w:rsidP="008E433C">
      <w:pPr>
        <w:spacing w:before="120"/>
        <w:ind w:firstLine="284"/>
        <w:rPr>
          <w:rFonts w:cs="Times New Roman"/>
        </w:rPr>
      </w:pPr>
      <w:bookmarkStart w:id="69" w:name="_Toc239501372"/>
      <w:r w:rsidRPr="00B454C8">
        <w:rPr>
          <w:sz w:val="16"/>
        </w:rPr>
        <w:t>Avots: CSP</w:t>
      </w:r>
    </w:p>
    <w:p w:rsidR="008E433C" w:rsidRPr="00EB5FEE" w:rsidRDefault="008E433C" w:rsidP="008E433C">
      <w:pPr>
        <w:pStyle w:val="Heading2"/>
      </w:pPr>
      <w:bookmarkStart w:id="70" w:name="_Toc242510389"/>
      <w:r w:rsidRPr="00EB5FEE">
        <w:lastRenderedPageBreak/>
        <w:t>1</w:t>
      </w:r>
      <w:r>
        <w:t>0</w:t>
      </w:r>
      <w:r w:rsidRPr="00EB5FEE">
        <w:t>.tabula</w:t>
      </w:r>
      <w:r>
        <w:t xml:space="preserve">. </w:t>
      </w:r>
      <w:r w:rsidRPr="00EB5FEE">
        <w:t>Globālās konkurētspējas indekss</w:t>
      </w:r>
      <w:bookmarkEnd w:id="70"/>
    </w:p>
    <w:p w:rsidR="008E433C" w:rsidRDefault="008E433C" w:rsidP="008E433C">
      <w:pPr>
        <w:rPr>
          <w:rFonts w:cs="Times New Roman"/>
          <w:szCs w:val="24"/>
        </w:rPr>
      </w:pPr>
      <w:r>
        <w:rPr>
          <w:rFonts w:cs="Times New Roman"/>
          <w:szCs w:val="24"/>
        </w:rPr>
        <w:t>(</w:t>
      </w:r>
      <w:r w:rsidRPr="00EB5FEE">
        <w:rPr>
          <w:rFonts w:cs="Times New Roman"/>
          <w:szCs w:val="24"/>
        </w:rPr>
        <w:t>Baltijas valstu vietas 134</w:t>
      </w:r>
      <w:r>
        <w:rPr>
          <w:rFonts w:cs="Times New Roman"/>
          <w:szCs w:val="24"/>
        </w:rPr>
        <w:t xml:space="preserve"> </w:t>
      </w:r>
      <w:r w:rsidRPr="00EB5FEE">
        <w:rPr>
          <w:rFonts w:cs="Times New Roman"/>
          <w:szCs w:val="24"/>
        </w:rPr>
        <w:t>valstu starpā GCI reitingā sadalījumā pa indikatoriem 200</w:t>
      </w:r>
      <w:r>
        <w:rPr>
          <w:rFonts w:cs="Times New Roman"/>
          <w:szCs w:val="24"/>
        </w:rPr>
        <w:t>9</w:t>
      </w:r>
      <w:r w:rsidRPr="00EB5FEE">
        <w:rPr>
          <w:rFonts w:cs="Times New Roman"/>
          <w:szCs w:val="24"/>
        </w:rPr>
        <w:t>.gadā</w:t>
      </w:r>
      <w:r>
        <w:rPr>
          <w:rFonts w:cs="Times New Roman"/>
          <w:szCs w:val="24"/>
        </w:rPr>
        <w:t>)</w:t>
      </w:r>
    </w:p>
    <w:p w:rsidR="008E433C" w:rsidRPr="0030364D" w:rsidRDefault="008E433C" w:rsidP="008E433C">
      <w:pPr>
        <w:rPr>
          <w:rFonts w:cs="Times New Roman"/>
          <w:sz w:val="12"/>
          <w:szCs w:val="24"/>
        </w:rPr>
      </w:pPr>
    </w:p>
    <w:tbl>
      <w:tblPr>
        <w:tblStyle w:val="LightShading2"/>
        <w:tblW w:w="4870" w:type="pct"/>
        <w:tblLayout w:type="fixed"/>
        <w:tblLook w:val="04A0"/>
      </w:tblPr>
      <w:tblGrid>
        <w:gridCol w:w="962"/>
        <w:gridCol w:w="142"/>
        <w:gridCol w:w="140"/>
        <w:gridCol w:w="5109"/>
        <w:gridCol w:w="1031"/>
        <w:gridCol w:w="1027"/>
        <w:gridCol w:w="1188"/>
      </w:tblGrid>
      <w:tr w:rsidR="008E433C" w:rsidRPr="00127240" w:rsidTr="002F02CF">
        <w:trPr>
          <w:cnfStyle w:val="100000000000"/>
          <w:trHeight w:val="318"/>
        </w:trPr>
        <w:tc>
          <w:tcPr>
            <w:cnfStyle w:val="001000000000"/>
            <w:tcW w:w="501" w:type="pct"/>
          </w:tcPr>
          <w:p w:rsidR="008E433C" w:rsidRPr="00127240" w:rsidRDefault="008E433C" w:rsidP="002F02CF">
            <w:pPr>
              <w:spacing w:before="40" w:after="40"/>
              <w:ind w:right="-109"/>
              <w:jc w:val="center"/>
              <w:rPr>
                <w:rFonts w:cs="Times New Roman"/>
                <w:color w:val="auto"/>
                <w:sz w:val="22"/>
              </w:rPr>
            </w:pPr>
            <w:r w:rsidRPr="00127240">
              <w:rPr>
                <w:rFonts w:cs="Times New Roman"/>
                <w:color w:val="auto"/>
                <w:sz w:val="22"/>
              </w:rPr>
              <w:t>Indekss</w:t>
            </w:r>
          </w:p>
        </w:tc>
        <w:tc>
          <w:tcPr>
            <w:tcW w:w="2808" w:type="pct"/>
            <w:gridSpan w:val="3"/>
          </w:tcPr>
          <w:p w:rsidR="008E433C" w:rsidRPr="00127240" w:rsidRDefault="008E433C" w:rsidP="002F02CF">
            <w:pPr>
              <w:spacing w:before="40" w:after="40"/>
              <w:jc w:val="center"/>
              <w:cnfStyle w:val="100000000000"/>
              <w:rPr>
                <w:rFonts w:cs="Times New Roman"/>
                <w:color w:val="auto"/>
                <w:sz w:val="22"/>
              </w:rPr>
            </w:pPr>
            <w:r w:rsidRPr="00127240">
              <w:rPr>
                <w:rFonts w:cs="Times New Roman"/>
                <w:color w:val="auto"/>
                <w:sz w:val="22"/>
              </w:rPr>
              <w:t>Apakšindekss un rādītāji</w:t>
            </w:r>
          </w:p>
        </w:tc>
        <w:tc>
          <w:tcPr>
            <w:tcW w:w="537" w:type="pct"/>
          </w:tcPr>
          <w:p w:rsidR="008E433C" w:rsidRPr="00127240" w:rsidRDefault="008E433C" w:rsidP="002F02CF">
            <w:pPr>
              <w:spacing w:before="40" w:after="40"/>
              <w:jc w:val="center"/>
              <w:cnfStyle w:val="100000000000"/>
              <w:rPr>
                <w:rFonts w:cs="Times New Roman"/>
                <w:color w:val="auto"/>
                <w:sz w:val="22"/>
              </w:rPr>
            </w:pPr>
            <w:r w:rsidRPr="00127240">
              <w:rPr>
                <w:rFonts w:cs="Times New Roman"/>
                <w:color w:val="auto"/>
                <w:sz w:val="22"/>
              </w:rPr>
              <w:t>Latvija</w:t>
            </w:r>
          </w:p>
        </w:tc>
        <w:tc>
          <w:tcPr>
            <w:tcW w:w="535" w:type="pct"/>
          </w:tcPr>
          <w:p w:rsidR="008E433C" w:rsidRPr="00127240" w:rsidRDefault="008E433C" w:rsidP="002F02CF">
            <w:pPr>
              <w:spacing w:before="40" w:after="40"/>
              <w:jc w:val="center"/>
              <w:cnfStyle w:val="100000000000"/>
              <w:rPr>
                <w:rFonts w:cs="Times New Roman"/>
                <w:color w:val="auto"/>
                <w:sz w:val="22"/>
              </w:rPr>
            </w:pPr>
            <w:r w:rsidRPr="00127240">
              <w:rPr>
                <w:rFonts w:cs="Times New Roman"/>
                <w:color w:val="auto"/>
                <w:sz w:val="22"/>
              </w:rPr>
              <w:t>Lietuva</w:t>
            </w:r>
          </w:p>
        </w:tc>
        <w:tc>
          <w:tcPr>
            <w:tcW w:w="619" w:type="pct"/>
          </w:tcPr>
          <w:p w:rsidR="008E433C" w:rsidRPr="00127240" w:rsidRDefault="008E433C" w:rsidP="002F02CF">
            <w:pPr>
              <w:spacing w:before="40" w:after="40"/>
              <w:jc w:val="center"/>
              <w:cnfStyle w:val="100000000000"/>
              <w:rPr>
                <w:rFonts w:cs="Times New Roman"/>
                <w:color w:val="auto"/>
                <w:sz w:val="22"/>
              </w:rPr>
            </w:pPr>
            <w:r w:rsidRPr="00127240">
              <w:rPr>
                <w:rFonts w:cs="Times New Roman"/>
                <w:color w:val="auto"/>
                <w:sz w:val="22"/>
              </w:rPr>
              <w:t>Igaunija</w:t>
            </w:r>
          </w:p>
        </w:tc>
      </w:tr>
      <w:tr w:rsidR="008E433C" w:rsidRPr="00127240" w:rsidTr="002F02CF">
        <w:trPr>
          <w:cnfStyle w:val="000000100000"/>
          <w:trHeight w:val="318"/>
        </w:trPr>
        <w:tc>
          <w:tcPr>
            <w:cnfStyle w:val="001000000000"/>
            <w:tcW w:w="501" w:type="pct"/>
          </w:tcPr>
          <w:p w:rsidR="008E433C" w:rsidRPr="00127240" w:rsidRDefault="008E433C" w:rsidP="0030364D">
            <w:pPr>
              <w:spacing w:before="20" w:after="40"/>
              <w:rPr>
                <w:rFonts w:cs="Times New Roman"/>
                <w:color w:val="auto"/>
                <w:sz w:val="22"/>
              </w:rPr>
            </w:pPr>
            <w:r w:rsidRPr="00127240">
              <w:rPr>
                <w:rFonts w:cs="Times New Roman"/>
                <w:color w:val="auto"/>
                <w:sz w:val="22"/>
              </w:rPr>
              <w:t>GCI</w:t>
            </w:r>
          </w:p>
        </w:tc>
        <w:tc>
          <w:tcPr>
            <w:tcW w:w="2808" w:type="pct"/>
            <w:gridSpan w:val="3"/>
          </w:tcPr>
          <w:p w:rsidR="008E433C" w:rsidRPr="00127240" w:rsidRDefault="008E433C" w:rsidP="0030364D">
            <w:pPr>
              <w:spacing w:before="20" w:after="40"/>
              <w:cnfStyle w:val="000000100000"/>
              <w:rPr>
                <w:rFonts w:cs="Times New Roman"/>
                <w:b/>
                <w:color w:val="auto"/>
                <w:sz w:val="22"/>
              </w:rPr>
            </w:pPr>
          </w:p>
        </w:tc>
        <w:tc>
          <w:tcPr>
            <w:tcW w:w="537"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68</w:t>
            </w:r>
          </w:p>
        </w:tc>
        <w:tc>
          <w:tcPr>
            <w:tcW w:w="535"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53</w:t>
            </w:r>
          </w:p>
        </w:tc>
        <w:tc>
          <w:tcPr>
            <w:tcW w:w="619"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35</w:t>
            </w:r>
          </w:p>
        </w:tc>
      </w:tr>
      <w:tr w:rsidR="008E433C" w:rsidRPr="00127240" w:rsidTr="002F02CF">
        <w:trPr>
          <w:trHeight w:val="351"/>
        </w:trPr>
        <w:tc>
          <w:tcPr>
            <w:cnfStyle w:val="001000000000"/>
            <w:tcW w:w="3309" w:type="pct"/>
            <w:gridSpan w:val="4"/>
          </w:tcPr>
          <w:p w:rsidR="008E433C" w:rsidRPr="00127240" w:rsidRDefault="008E433C" w:rsidP="0030364D">
            <w:pPr>
              <w:spacing w:before="20" w:after="40"/>
              <w:rPr>
                <w:rFonts w:cs="Times New Roman"/>
                <w:b w:val="0"/>
                <w:color w:val="auto"/>
                <w:sz w:val="22"/>
              </w:rPr>
            </w:pPr>
            <w:r w:rsidRPr="00127240">
              <w:rPr>
                <w:rFonts w:cs="Times New Roman"/>
                <w:color w:val="auto"/>
                <w:sz w:val="22"/>
              </w:rPr>
              <w:t>Bāzes nosacījumi</w:t>
            </w:r>
          </w:p>
        </w:tc>
        <w:tc>
          <w:tcPr>
            <w:tcW w:w="537"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60</w:t>
            </w:r>
          </w:p>
        </w:tc>
        <w:tc>
          <w:tcPr>
            <w:tcW w:w="535"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47</w:t>
            </w:r>
          </w:p>
        </w:tc>
        <w:tc>
          <w:tcPr>
            <w:tcW w:w="619"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34</w:t>
            </w:r>
          </w:p>
        </w:tc>
      </w:tr>
      <w:tr w:rsidR="008E433C" w:rsidRPr="00127240" w:rsidTr="002F02CF">
        <w:trPr>
          <w:cnfStyle w:val="000000100000"/>
          <w:trHeight w:val="126"/>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cnfStyle w:val="000000100000"/>
              <w:rPr>
                <w:rFonts w:cs="Times New Roman"/>
                <w:color w:val="auto"/>
                <w:sz w:val="22"/>
              </w:rPr>
            </w:pPr>
            <w:r w:rsidRPr="00127240">
              <w:rPr>
                <w:rFonts w:cs="Times New Roman"/>
                <w:b/>
                <w:color w:val="auto"/>
                <w:sz w:val="22"/>
              </w:rPr>
              <w:t>Institucionālais ietvars</w:t>
            </w:r>
          </w:p>
        </w:tc>
        <w:tc>
          <w:tcPr>
            <w:tcW w:w="537"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65</w:t>
            </w:r>
          </w:p>
        </w:tc>
        <w:tc>
          <w:tcPr>
            <w:tcW w:w="535"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59</w:t>
            </w:r>
          </w:p>
        </w:tc>
        <w:tc>
          <w:tcPr>
            <w:tcW w:w="619"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31</w:t>
            </w:r>
          </w:p>
        </w:tc>
      </w:tr>
      <w:tr w:rsidR="008E433C" w:rsidRPr="00127240" w:rsidTr="002F02CF">
        <w:trPr>
          <w:trHeight w:val="1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Īpašumtiesības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52</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61</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27</w:t>
            </w:r>
          </w:p>
        </w:tc>
      </w:tr>
      <w:tr w:rsidR="008E433C" w:rsidRPr="00127240" w:rsidTr="002F02CF">
        <w:trPr>
          <w:cnfStyle w:val="000000100000"/>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Intelektuālā īpašuma aizsardzība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60</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56</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34</w:t>
            </w:r>
          </w:p>
        </w:tc>
      </w:tr>
      <w:tr w:rsidR="008E433C" w:rsidRPr="00127240" w:rsidTr="002F02CF">
        <w:trPr>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Valsts finanšu izlietojums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69</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67</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39</w:t>
            </w:r>
          </w:p>
        </w:tc>
      </w:tr>
      <w:tr w:rsidR="008E433C" w:rsidRPr="00127240" w:rsidTr="002F02CF">
        <w:trPr>
          <w:cnfStyle w:val="000000100000"/>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Sabiedrības uzticība politiķiem</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102</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95</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51</w:t>
            </w:r>
          </w:p>
        </w:tc>
      </w:tr>
      <w:tr w:rsidR="008E433C" w:rsidRPr="00127240" w:rsidTr="002F02CF">
        <w:trPr>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Tiesas neatkarība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72</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71</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22</w:t>
            </w:r>
          </w:p>
        </w:tc>
      </w:tr>
      <w:tr w:rsidR="008E433C" w:rsidRPr="00127240" w:rsidTr="002F02CF">
        <w:trPr>
          <w:cnfStyle w:val="000000100000"/>
          <w:trHeight w:val="3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Valsts amatpersonu lēmumu pieņemšana par labu sev</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97</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70</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39</w:t>
            </w:r>
          </w:p>
        </w:tc>
      </w:tr>
      <w:tr w:rsidR="008E433C" w:rsidRPr="00127240" w:rsidTr="002F02CF">
        <w:trPr>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 xml:space="preserve">Valsts izdevumu ekonomiskums </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105</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117</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56</w:t>
            </w:r>
          </w:p>
        </w:tc>
      </w:tr>
      <w:tr w:rsidR="008E433C" w:rsidRPr="00127240" w:rsidTr="002F02CF">
        <w:trPr>
          <w:cnfStyle w:val="000000100000"/>
          <w:trHeight w:val="3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Administratīvais slogs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69</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96</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w:t>
            </w:r>
          </w:p>
        </w:tc>
      </w:tr>
      <w:tr w:rsidR="008E433C" w:rsidRPr="00127240" w:rsidTr="002F02CF">
        <w:trPr>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Tiesu sistēmas efektivitāte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97</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76</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40</w:t>
            </w:r>
          </w:p>
        </w:tc>
      </w:tr>
      <w:tr w:rsidR="008E433C" w:rsidRPr="00127240" w:rsidTr="002F02CF">
        <w:trPr>
          <w:cnfStyle w:val="000000100000"/>
          <w:trHeight w:val="3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Valsts politikas caurskatāmība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78</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61</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17</w:t>
            </w:r>
          </w:p>
        </w:tc>
      </w:tr>
      <w:tr w:rsidR="008E433C" w:rsidRPr="00127240" w:rsidTr="002F02CF">
        <w:trPr>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Terorisma radītas izmaksas uzņēmējdarbībai</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17</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10</w:t>
            </w:r>
          </w:p>
        </w:tc>
      </w:tr>
      <w:tr w:rsidR="008E433C" w:rsidRPr="00127240" w:rsidTr="002F02CF">
        <w:trPr>
          <w:cnfStyle w:val="000000100000"/>
          <w:trHeight w:val="3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right="-245"/>
              <w:cnfStyle w:val="000000100000"/>
              <w:rPr>
                <w:rFonts w:cs="Times New Roman"/>
                <w:color w:val="auto"/>
                <w:sz w:val="22"/>
              </w:rPr>
            </w:pPr>
            <w:r w:rsidRPr="00127240">
              <w:rPr>
                <w:rFonts w:cs="Times New Roman"/>
                <w:color w:val="auto"/>
                <w:sz w:val="22"/>
              </w:rPr>
              <w:t>Noziedzības un vardarbības radītās izmaksas uzņēmējdarbībai</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36</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40</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26</w:t>
            </w:r>
          </w:p>
        </w:tc>
      </w:tr>
      <w:tr w:rsidR="008E433C" w:rsidRPr="00127240" w:rsidTr="002F02CF">
        <w:trPr>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Organizētā noziedzība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26</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43</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30</w:t>
            </w:r>
          </w:p>
        </w:tc>
      </w:tr>
      <w:tr w:rsidR="008E433C" w:rsidRPr="00127240" w:rsidTr="002F02CF">
        <w:trPr>
          <w:cnfStyle w:val="000000100000"/>
          <w:trHeight w:val="3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Uzticība tiesībsargājošām instancēm</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72</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64</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29</w:t>
            </w:r>
          </w:p>
        </w:tc>
      </w:tr>
      <w:tr w:rsidR="008E433C" w:rsidRPr="00127240" w:rsidTr="002F02CF">
        <w:trPr>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Uzņēmumu ētika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79</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60</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32</w:t>
            </w:r>
          </w:p>
        </w:tc>
      </w:tr>
      <w:tr w:rsidR="008E433C" w:rsidRPr="00127240" w:rsidTr="002F02CF">
        <w:trPr>
          <w:cnfStyle w:val="000000100000"/>
          <w:trHeight w:val="3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Auditu un pārskatu standarti</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66</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46</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18</w:t>
            </w:r>
          </w:p>
        </w:tc>
      </w:tr>
      <w:tr w:rsidR="008E433C" w:rsidRPr="00127240" w:rsidTr="002F02CF">
        <w:trPr>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Korporatīvo pārvalžu efektivitāte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82</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18</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60</w:t>
            </w:r>
          </w:p>
        </w:tc>
      </w:tr>
      <w:tr w:rsidR="008E433C" w:rsidRPr="00127240" w:rsidTr="002F02CF">
        <w:trPr>
          <w:cnfStyle w:val="000000100000"/>
          <w:trHeight w:val="3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Mazo akcionāru interešu aizsardzība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83</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89</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51</w:t>
            </w:r>
          </w:p>
        </w:tc>
      </w:tr>
      <w:tr w:rsidR="008E433C" w:rsidRPr="00127240" w:rsidTr="002F02CF">
        <w:trPr>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cnfStyle w:val="000000000000"/>
              <w:rPr>
                <w:rFonts w:cs="Times New Roman"/>
                <w:b/>
                <w:color w:val="auto"/>
                <w:sz w:val="22"/>
              </w:rPr>
            </w:pPr>
            <w:r w:rsidRPr="00127240">
              <w:rPr>
                <w:rFonts w:cs="Times New Roman"/>
                <w:b/>
                <w:color w:val="auto"/>
                <w:sz w:val="22"/>
              </w:rPr>
              <w:t>Sabiedrisko tīklu infrastruktūra</w:t>
            </w:r>
          </w:p>
        </w:tc>
        <w:tc>
          <w:tcPr>
            <w:tcW w:w="537"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56</w:t>
            </w:r>
          </w:p>
        </w:tc>
        <w:tc>
          <w:tcPr>
            <w:tcW w:w="535"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43</w:t>
            </w:r>
          </w:p>
        </w:tc>
        <w:tc>
          <w:tcPr>
            <w:tcW w:w="619"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34</w:t>
            </w:r>
          </w:p>
        </w:tc>
      </w:tr>
      <w:tr w:rsidR="008E433C" w:rsidRPr="00127240" w:rsidTr="002F02CF">
        <w:trPr>
          <w:cnfStyle w:val="000000100000"/>
          <w:trHeight w:val="150"/>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Kopējās infrastruktūras kvalitāte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60</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39</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34</w:t>
            </w:r>
          </w:p>
        </w:tc>
      </w:tr>
      <w:tr w:rsidR="008E433C" w:rsidRPr="00127240" w:rsidTr="002F02CF">
        <w:trPr>
          <w:trHeight w:val="111"/>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Ceļu kvalitāte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85</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26</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49</w:t>
            </w:r>
          </w:p>
        </w:tc>
      </w:tr>
      <w:tr w:rsidR="008E433C" w:rsidRPr="00127240" w:rsidTr="002F02CF">
        <w:trPr>
          <w:cnfStyle w:val="000000100000"/>
          <w:trHeight w:val="150"/>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Dzelzceļa infrastruktūras kvalitāte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35</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26</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39</w:t>
            </w:r>
          </w:p>
        </w:tc>
      </w:tr>
      <w:tr w:rsidR="008E433C" w:rsidRPr="00127240" w:rsidTr="002F02CF">
        <w:trPr>
          <w:trHeight w:val="111"/>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Ostu infrastruktūras kvalitāte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56</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44</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15</w:t>
            </w:r>
          </w:p>
        </w:tc>
      </w:tr>
      <w:tr w:rsidR="008E433C" w:rsidRPr="00127240" w:rsidTr="002F02CF">
        <w:trPr>
          <w:cnfStyle w:val="000000100000"/>
          <w:trHeight w:val="318"/>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Gaisa satiksmes infrastruktūras kvalitāte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40</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83</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59</w:t>
            </w:r>
          </w:p>
        </w:tc>
      </w:tr>
      <w:tr w:rsidR="008E433C" w:rsidRPr="00127240" w:rsidTr="002F02CF">
        <w:trPr>
          <w:trHeight w:val="22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Gaisa transporta pasažieru pārvadājumu kapacitāte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81</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113</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119</w:t>
            </w:r>
          </w:p>
        </w:tc>
      </w:tr>
      <w:tr w:rsidR="008E433C" w:rsidRPr="00127240" w:rsidTr="002F02CF">
        <w:trPr>
          <w:cnfStyle w:val="000000100000"/>
          <w:trHeight w:val="111"/>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Elektroenerģijas piegādes kvalitāte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50</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44</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38</w:t>
            </w:r>
          </w:p>
        </w:tc>
      </w:tr>
      <w:tr w:rsidR="008E433C" w:rsidRPr="00127240" w:rsidTr="002F02CF">
        <w:trPr>
          <w:trHeight w:val="150"/>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Fiksēto telefona līniju skaits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48</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54</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33</w:t>
            </w:r>
          </w:p>
        </w:tc>
      </w:tr>
      <w:tr w:rsidR="008E433C" w:rsidRPr="00127240" w:rsidTr="002F02CF">
        <w:trPr>
          <w:cnfStyle w:val="000000100000"/>
          <w:trHeight w:val="10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cnfStyle w:val="000000100000"/>
              <w:rPr>
                <w:rFonts w:cs="Times New Roman"/>
                <w:b/>
                <w:color w:val="auto"/>
                <w:sz w:val="22"/>
              </w:rPr>
            </w:pPr>
            <w:r w:rsidRPr="00127240">
              <w:rPr>
                <w:rFonts w:cs="Times New Roman"/>
                <w:b/>
                <w:color w:val="auto"/>
                <w:sz w:val="22"/>
              </w:rPr>
              <w:t>Makroekonomiskā stabilitāte</w:t>
            </w:r>
          </w:p>
        </w:tc>
        <w:tc>
          <w:tcPr>
            <w:tcW w:w="537"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99</w:t>
            </w:r>
          </w:p>
        </w:tc>
        <w:tc>
          <w:tcPr>
            <w:tcW w:w="535"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57</w:t>
            </w:r>
          </w:p>
        </w:tc>
        <w:tc>
          <w:tcPr>
            <w:tcW w:w="619"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47</w:t>
            </w:r>
          </w:p>
        </w:tc>
      </w:tr>
      <w:tr w:rsidR="008E433C" w:rsidRPr="00127240" w:rsidTr="002F02CF">
        <w:trPr>
          <w:trHeight w:val="1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Valsts budžeta pārpalikums/deficīts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101</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90</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87</w:t>
            </w:r>
          </w:p>
        </w:tc>
      </w:tr>
      <w:tr w:rsidR="008E433C" w:rsidRPr="00127240" w:rsidTr="002F02CF">
        <w:trPr>
          <w:cnfStyle w:val="000000100000"/>
          <w:trHeight w:val="126"/>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Nacionālo uzkrājumu līmenis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66</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95</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71</w:t>
            </w:r>
          </w:p>
        </w:tc>
      </w:tr>
      <w:tr w:rsidR="008E433C" w:rsidRPr="00127240" w:rsidTr="002F02CF">
        <w:trPr>
          <w:trHeight w:val="150"/>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Inflācija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117</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94</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87</w:t>
            </w:r>
          </w:p>
        </w:tc>
      </w:tr>
      <w:tr w:rsidR="008E433C" w:rsidRPr="00127240" w:rsidTr="002F02CF">
        <w:trPr>
          <w:cnfStyle w:val="000000100000"/>
          <w:trHeight w:val="111"/>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 xml:space="preserve">Starpība starp aizdevumu un aizņēmumu procenta likmi </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65</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21</w:t>
            </w:r>
          </w:p>
        </w:tc>
      </w:tr>
      <w:tr w:rsidR="008E433C" w:rsidRPr="00127240" w:rsidTr="002F02CF">
        <w:trPr>
          <w:trHeight w:val="150"/>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Valdības parāds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25</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18</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w:t>
            </w:r>
          </w:p>
        </w:tc>
      </w:tr>
      <w:tr w:rsidR="008E433C" w:rsidRPr="00127240" w:rsidTr="002F02CF">
        <w:tblPrEx>
          <w:tblLook w:val="0480"/>
        </w:tblPrEx>
        <w:trPr>
          <w:cnfStyle w:val="000000100000"/>
          <w:trHeight w:val="111"/>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cnfStyle w:val="000000100000"/>
              <w:rPr>
                <w:rFonts w:cs="Times New Roman"/>
                <w:b/>
                <w:color w:val="auto"/>
                <w:sz w:val="22"/>
              </w:rPr>
            </w:pPr>
            <w:r w:rsidRPr="00127240">
              <w:rPr>
                <w:rFonts w:cs="Times New Roman"/>
                <w:b/>
                <w:color w:val="auto"/>
                <w:sz w:val="22"/>
              </w:rPr>
              <w:t>Veselība un pamatizglītība</w:t>
            </w:r>
          </w:p>
        </w:tc>
        <w:tc>
          <w:tcPr>
            <w:tcW w:w="537"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50</w:t>
            </w:r>
          </w:p>
        </w:tc>
        <w:tc>
          <w:tcPr>
            <w:tcW w:w="535"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55</w:t>
            </w:r>
          </w:p>
        </w:tc>
        <w:tc>
          <w:tcPr>
            <w:tcW w:w="619"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28</w:t>
            </w:r>
          </w:p>
        </w:tc>
      </w:tr>
      <w:tr w:rsidR="008E433C" w:rsidRPr="00127240" w:rsidTr="002F02CF">
        <w:tblPrEx>
          <w:tblLook w:val="0480"/>
        </w:tblPrEx>
        <w:trPr>
          <w:trHeight w:val="111"/>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Malārijas ietekme uz uzņēmējdarbību</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w:t>
            </w:r>
          </w:p>
        </w:tc>
      </w:tr>
      <w:tr w:rsidR="008E433C" w:rsidRPr="00127240" w:rsidTr="002F02CF">
        <w:tblPrEx>
          <w:tblLook w:val="0480"/>
        </w:tblPrEx>
        <w:trPr>
          <w:cnfStyle w:val="000000100000"/>
          <w:trHeight w:val="96"/>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Malārijas sastopamība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w:t>
            </w:r>
          </w:p>
        </w:tc>
      </w:tr>
      <w:tr w:rsidR="008E433C" w:rsidRPr="00127240" w:rsidTr="002F02CF">
        <w:tblPrEx>
          <w:tblLook w:val="0480"/>
        </w:tblPrEx>
        <w:trPr>
          <w:trHeight w:val="96"/>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Tuberkulozes ietekme uz uzņēmējdarbību</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64</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68</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43</w:t>
            </w:r>
          </w:p>
        </w:tc>
      </w:tr>
      <w:tr w:rsidR="008E433C" w:rsidRPr="00127240" w:rsidTr="002F02CF">
        <w:tblPrEx>
          <w:tblLook w:val="0480"/>
        </w:tblPrEx>
        <w:trPr>
          <w:cnfStyle w:val="000000100000"/>
          <w:trHeight w:val="16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Tuberkulozes sastopamība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68</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76</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58</w:t>
            </w:r>
          </w:p>
        </w:tc>
      </w:tr>
      <w:tr w:rsidR="008E433C" w:rsidRPr="00127240" w:rsidTr="002F02CF">
        <w:tblPrEx>
          <w:tblLook w:val="0480"/>
        </w:tblPrEx>
        <w:trPr>
          <w:trHeight w:val="126"/>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HIV/AIDS ietekme uz uzņēmējdarbību</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50</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52</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60</w:t>
            </w:r>
          </w:p>
        </w:tc>
      </w:tr>
      <w:tr w:rsidR="008E433C" w:rsidRPr="00127240" w:rsidTr="002F02CF">
        <w:tblPrEx>
          <w:tblLook w:val="0480"/>
        </w:tblPrEx>
        <w:trPr>
          <w:cnfStyle w:val="000000100000"/>
          <w:trHeight w:val="1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HIV izplatība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93</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15</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106</w:t>
            </w:r>
          </w:p>
        </w:tc>
      </w:tr>
      <w:tr w:rsidR="008E433C" w:rsidRPr="00127240" w:rsidTr="002F02CF">
        <w:tblPrEx>
          <w:tblLook w:val="0480"/>
        </w:tblPrEx>
        <w:trPr>
          <w:trHeight w:val="1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Nepilngadīgo mirstība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41</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36</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26</w:t>
            </w:r>
          </w:p>
        </w:tc>
      </w:tr>
      <w:tr w:rsidR="008E433C" w:rsidRPr="00127240" w:rsidTr="002F02CF">
        <w:tblPrEx>
          <w:tblLook w:val="0480"/>
        </w:tblPrEx>
        <w:trPr>
          <w:cnfStyle w:val="000000100000"/>
          <w:trHeight w:val="1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Paredzamais dzīves ilgums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80</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80</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59</w:t>
            </w:r>
          </w:p>
        </w:tc>
      </w:tr>
      <w:tr w:rsidR="008E433C" w:rsidRPr="00127240" w:rsidTr="002F02CF">
        <w:tblPrEx>
          <w:tblLook w:val="0480"/>
        </w:tblPrEx>
        <w:trPr>
          <w:trHeight w:val="126"/>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Pamatizglītības kvalitāte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40</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51</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12</w:t>
            </w:r>
          </w:p>
        </w:tc>
      </w:tr>
      <w:tr w:rsidR="008E433C" w:rsidRPr="00127240" w:rsidTr="002F02CF">
        <w:tblPrEx>
          <w:tblLook w:val="0480"/>
        </w:tblPrEx>
        <w:trPr>
          <w:cnfStyle w:val="000000100000"/>
          <w:trHeight w:val="126"/>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100000"/>
              <w:rPr>
                <w:rFonts w:cs="Times New Roman"/>
                <w:color w:val="auto"/>
                <w:sz w:val="22"/>
              </w:rPr>
            </w:pPr>
            <w:r w:rsidRPr="00127240">
              <w:rPr>
                <w:rFonts w:cs="Times New Roman"/>
                <w:color w:val="auto"/>
                <w:sz w:val="22"/>
              </w:rPr>
              <w:t>Pamatizglītības iestāžu noslogojums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88</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85</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59</w:t>
            </w:r>
          </w:p>
        </w:tc>
      </w:tr>
      <w:tr w:rsidR="008E433C" w:rsidRPr="00127240" w:rsidTr="002F02CF">
        <w:tblPrEx>
          <w:tblLook w:val="0480"/>
        </w:tblPrEx>
        <w:trPr>
          <w:trHeight w:val="135"/>
        </w:trPr>
        <w:tc>
          <w:tcPr>
            <w:cnfStyle w:val="001000000000"/>
            <w:tcW w:w="501" w:type="pct"/>
          </w:tcPr>
          <w:p w:rsidR="008E433C" w:rsidRPr="00127240" w:rsidRDefault="008E433C" w:rsidP="0030364D">
            <w:pPr>
              <w:spacing w:before="20" w:after="40"/>
              <w:rPr>
                <w:rFonts w:cs="Times New Roman"/>
                <w:color w:val="auto"/>
                <w:sz w:val="22"/>
              </w:rPr>
            </w:pPr>
          </w:p>
        </w:tc>
        <w:tc>
          <w:tcPr>
            <w:tcW w:w="2808" w:type="pct"/>
            <w:gridSpan w:val="3"/>
          </w:tcPr>
          <w:p w:rsidR="008E433C" w:rsidRPr="00127240" w:rsidRDefault="008E433C" w:rsidP="0030364D">
            <w:pPr>
              <w:spacing w:before="20" w:after="40"/>
              <w:ind w:left="177"/>
              <w:cnfStyle w:val="000000000000"/>
              <w:rPr>
                <w:rFonts w:cs="Times New Roman"/>
                <w:color w:val="auto"/>
                <w:sz w:val="22"/>
              </w:rPr>
            </w:pPr>
            <w:r w:rsidRPr="00127240">
              <w:rPr>
                <w:rFonts w:cs="Times New Roman"/>
                <w:color w:val="auto"/>
                <w:sz w:val="22"/>
              </w:rPr>
              <w:t>Izdevumi izglītībai</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23</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46</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51</w:t>
            </w:r>
          </w:p>
        </w:tc>
      </w:tr>
      <w:tr w:rsidR="008E433C" w:rsidRPr="00127240" w:rsidTr="002F02CF">
        <w:tblPrEx>
          <w:tblLook w:val="0480"/>
        </w:tblPrEx>
        <w:trPr>
          <w:cnfStyle w:val="000000100000"/>
          <w:trHeight w:val="135"/>
        </w:trPr>
        <w:tc>
          <w:tcPr>
            <w:cnfStyle w:val="001000000000"/>
            <w:tcW w:w="3309" w:type="pct"/>
            <w:gridSpan w:val="4"/>
          </w:tcPr>
          <w:p w:rsidR="008E433C" w:rsidRPr="00127240" w:rsidRDefault="008E433C" w:rsidP="0030364D">
            <w:pPr>
              <w:spacing w:before="20" w:after="40"/>
              <w:rPr>
                <w:rFonts w:cs="Times New Roman"/>
                <w:color w:val="auto"/>
                <w:sz w:val="22"/>
              </w:rPr>
            </w:pPr>
            <w:r w:rsidRPr="00127240">
              <w:rPr>
                <w:rFonts w:cs="Times New Roman"/>
                <w:color w:val="auto"/>
                <w:sz w:val="22"/>
              </w:rPr>
              <w:t>Efektivitāti pastiprinošie nosacījumi</w:t>
            </w:r>
          </w:p>
        </w:tc>
        <w:tc>
          <w:tcPr>
            <w:tcW w:w="537"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51</w:t>
            </w:r>
          </w:p>
        </w:tc>
        <w:tc>
          <w:tcPr>
            <w:tcW w:w="535"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47</w:t>
            </w:r>
          </w:p>
        </w:tc>
        <w:tc>
          <w:tcPr>
            <w:tcW w:w="619"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27</w:t>
            </w:r>
          </w:p>
        </w:tc>
      </w:tr>
      <w:tr w:rsidR="008E433C" w:rsidRPr="00127240" w:rsidTr="002F02CF">
        <w:tblPrEx>
          <w:tblLook w:val="0480"/>
        </w:tblPrEx>
        <w:trPr>
          <w:trHeight w:val="192"/>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cnfStyle w:val="000000000000"/>
              <w:rPr>
                <w:rFonts w:cs="Times New Roman"/>
                <w:b/>
                <w:color w:val="auto"/>
                <w:sz w:val="22"/>
              </w:rPr>
            </w:pPr>
            <w:r w:rsidRPr="00127240">
              <w:rPr>
                <w:rFonts w:cs="Times New Roman"/>
                <w:b/>
                <w:color w:val="auto"/>
                <w:sz w:val="22"/>
              </w:rPr>
              <w:t>Augstākā izglītība un apmācība</w:t>
            </w:r>
          </w:p>
        </w:tc>
        <w:tc>
          <w:tcPr>
            <w:tcW w:w="537"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34</w:t>
            </w:r>
          </w:p>
        </w:tc>
        <w:tc>
          <w:tcPr>
            <w:tcW w:w="535"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21</w:t>
            </w:r>
          </w:p>
        </w:tc>
        <w:tc>
          <w:tcPr>
            <w:tcW w:w="619"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30</w:t>
            </w:r>
          </w:p>
        </w:tc>
      </w:tr>
      <w:tr w:rsidR="008E433C" w:rsidRPr="00127240" w:rsidTr="002F02CF">
        <w:tblPrEx>
          <w:tblLook w:val="0480"/>
        </w:tblPrEx>
        <w:trPr>
          <w:cnfStyle w:val="000000100000"/>
          <w:trHeight w:val="34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Vidējās izglītības iestāžu noslogojums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33</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34</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27</w:t>
            </w:r>
          </w:p>
        </w:tc>
      </w:tr>
      <w:tr w:rsidR="008E433C" w:rsidRPr="00127240" w:rsidTr="002F02CF">
        <w:tblPrEx>
          <w:tblLook w:val="0480"/>
        </w:tblPrEx>
        <w:trPr>
          <w:trHeight w:val="9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Augstākās izglītības iestāžu noslogojums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16</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11</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22</w:t>
            </w:r>
          </w:p>
        </w:tc>
      </w:tr>
      <w:tr w:rsidR="008E433C" w:rsidRPr="00127240" w:rsidTr="002F02CF">
        <w:tblPrEx>
          <w:tblLook w:val="0480"/>
        </w:tblPrEx>
        <w:trPr>
          <w:cnfStyle w:val="000000100000"/>
          <w:trHeight w:val="111"/>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Izglītības sistēmas kvalitāte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57</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76</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36</w:t>
            </w:r>
          </w:p>
        </w:tc>
      </w:tr>
      <w:tr w:rsidR="008E433C" w:rsidRPr="00127240" w:rsidTr="002F02CF">
        <w:tblPrEx>
          <w:tblLook w:val="0480"/>
        </w:tblPrEx>
        <w:trPr>
          <w:trHeight w:val="15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Matemātikas un dabaszinātņu izglītības kvalitāte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60</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37</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17</w:t>
            </w:r>
          </w:p>
        </w:tc>
      </w:tr>
      <w:tr w:rsidR="008E433C" w:rsidRPr="00127240" w:rsidTr="002F02CF">
        <w:tblPrEx>
          <w:tblLook w:val="0480"/>
        </w:tblPrEx>
        <w:trPr>
          <w:cnfStyle w:val="000000100000"/>
          <w:trHeight w:val="15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Uzņēmējdarbības vadības mācību iestāžu kvalitāte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50</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60</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35</w:t>
            </w:r>
          </w:p>
        </w:tc>
      </w:tr>
      <w:tr w:rsidR="008E433C" w:rsidRPr="00127240" w:rsidTr="002F02CF">
        <w:tblPrEx>
          <w:tblLook w:val="0480"/>
        </w:tblPrEx>
        <w:trPr>
          <w:trHeight w:val="111"/>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Interneta pieejamība mācību iestādēm</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30</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32</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w:t>
            </w:r>
          </w:p>
        </w:tc>
      </w:tr>
      <w:tr w:rsidR="008E433C" w:rsidRPr="00127240" w:rsidTr="002F02CF">
        <w:tblPrEx>
          <w:tblLook w:val="0480"/>
        </w:tblPrEx>
        <w:trPr>
          <w:cnfStyle w:val="000000100000"/>
          <w:trHeight w:val="12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Pētniecības un apmācības pakalpojumu pieejamība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66</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51</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24</w:t>
            </w:r>
          </w:p>
        </w:tc>
      </w:tr>
      <w:tr w:rsidR="008E433C" w:rsidRPr="00127240" w:rsidTr="002F02CF">
        <w:tblPrEx>
          <w:tblLook w:val="0480"/>
        </w:tblPrEx>
        <w:trPr>
          <w:trHeight w:val="16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Personāla apmācības līmenis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70</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60</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40</w:t>
            </w:r>
          </w:p>
        </w:tc>
      </w:tr>
      <w:tr w:rsidR="008E433C" w:rsidRPr="00127240" w:rsidTr="002F02CF">
        <w:tblPrEx>
          <w:tblLook w:val="0480"/>
        </w:tblPrEx>
        <w:trPr>
          <w:cnfStyle w:val="000000100000"/>
          <w:trHeight w:val="9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cnfStyle w:val="000000100000"/>
              <w:rPr>
                <w:rFonts w:cs="Times New Roman"/>
                <w:b/>
                <w:color w:val="auto"/>
                <w:sz w:val="22"/>
              </w:rPr>
            </w:pPr>
            <w:r w:rsidRPr="00127240">
              <w:rPr>
                <w:rFonts w:cs="Times New Roman"/>
                <w:b/>
                <w:color w:val="auto"/>
                <w:sz w:val="22"/>
              </w:rPr>
              <w:t>Produktu tirgus efektivitāte</w:t>
            </w:r>
          </w:p>
        </w:tc>
        <w:tc>
          <w:tcPr>
            <w:tcW w:w="537"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57</w:t>
            </w:r>
          </w:p>
        </w:tc>
        <w:tc>
          <w:tcPr>
            <w:tcW w:w="535"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59</w:t>
            </w:r>
          </w:p>
        </w:tc>
        <w:tc>
          <w:tcPr>
            <w:tcW w:w="619"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28</w:t>
            </w:r>
          </w:p>
        </w:tc>
      </w:tr>
      <w:tr w:rsidR="008E433C" w:rsidRPr="00127240" w:rsidTr="002F02CF">
        <w:tblPrEx>
          <w:tblLook w:val="0480"/>
        </w:tblPrEx>
        <w:trPr>
          <w:trHeight w:val="16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Vietējās konkurences intensitāte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79</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73</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26</w:t>
            </w:r>
          </w:p>
        </w:tc>
      </w:tr>
      <w:tr w:rsidR="008E433C" w:rsidRPr="00127240" w:rsidTr="002F02CF">
        <w:tblPrEx>
          <w:tblLook w:val="0480"/>
        </w:tblPrEx>
        <w:trPr>
          <w:cnfStyle w:val="000000100000"/>
          <w:trHeight w:val="15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Tirgus dominēšanas pakāpe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57</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81</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43</w:t>
            </w:r>
          </w:p>
        </w:tc>
      </w:tr>
      <w:tr w:rsidR="008E433C" w:rsidRPr="00127240" w:rsidTr="002F02CF">
        <w:tblPrEx>
          <w:tblLook w:val="0480"/>
        </w:tblPrEx>
        <w:trPr>
          <w:trHeight w:val="15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Antimonopola politikas efektivitāte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63</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98</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35</w:t>
            </w:r>
          </w:p>
        </w:tc>
      </w:tr>
      <w:tr w:rsidR="008E433C" w:rsidRPr="00127240" w:rsidTr="002F02CF">
        <w:tblPrEx>
          <w:tblLook w:val="0480"/>
        </w:tblPrEx>
        <w:trPr>
          <w:cnfStyle w:val="000000100000"/>
          <w:trHeight w:val="13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Nodokļu slogs un ietekme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80</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83</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15</w:t>
            </w:r>
          </w:p>
        </w:tc>
      </w:tr>
      <w:tr w:rsidR="008E433C" w:rsidRPr="00127240" w:rsidTr="002F02CF">
        <w:tblPrEx>
          <w:tblLook w:val="0480"/>
        </w:tblPrEx>
        <w:trPr>
          <w:trHeight w:val="9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Kopējais nodokļu slogs uz uzņēmējdarbību</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33</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80</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85</w:t>
            </w:r>
          </w:p>
        </w:tc>
      </w:tr>
      <w:tr w:rsidR="008E433C" w:rsidRPr="00127240" w:rsidTr="002F02CF">
        <w:tblPrEx>
          <w:tblLook w:val="0480"/>
        </w:tblPrEx>
        <w:trPr>
          <w:cnfStyle w:val="000000100000"/>
          <w:trHeight w:val="15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right="-245"/>
              <w:cnfStyle w:val="000000100000"/>
              <w:rPr>
                <w:rFonts w:cs="Times New Roman"/>
                <w:color w:val="auto"/>
                <w:sz w:val="22"/>
              </w:rPr>
            </w:pPr>
            <w:r w:rsidRPr="00127240">
              <w:rPr>
                <w:rFonts w:cs="Times New Roman"/>
                <w:color w:val="auto"/>
                <w:sz w:val="22"/>
              </w:rPr>
              <w:t>Nepieciešamais pasākumu skaits uzņēmējdarbības uzsākšanai</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16</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46</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16</w:t>
            </w:r>
          </w:p>
        </w:tc>
      </w:tr>
      <w:tr w:rsidR="008E433C" w:rsidRPr="00127240" w:rsidTr="002F02CF">
        <w:tblPrEx>
          <w:tblLook w:val="0480"/>
        </w:tblPrEx>
        <w:trPr>
          <w:trHeight w:val="111"/>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Nepieciešamais laiks uzņēmējdarbības uzsākšanai</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44</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70</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15</w:t>
            </w:r>
          </w:p>
        </w:tc>
      </w:tr>
      <w:tr w:rsidR="008E433C" w:rsidRPr="00127240" w:rsidTr="002F02CF">
        <w:tblPrEx>
          <w:tblLook w:val="0480"/>
        </w:tblPrEx>
        <w:trPr>
          <w:cnfStyle w:val="000000100000"/>
          <w:trHeight w:val="111"/>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Lauksaimniecības politikas izmaksas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112</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81</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25</w:t>
            </w:r>
          </w:p>
        </w:tc>
      </w:tr>
      <w:tr w:rsidR="008E433C" w:rsidRPr="00127240" w:rsidTr="002F02CF">
        <w:tblPrEx>
          <w:tblLook w:val="0480"/>
        </w:tblPrEx>
        <w:trPr>
          <w:trHeight w:val="16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Tirdzniecības barjeru izplatība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17</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50</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13</w:t>
            </w:r>
          </w:p>
        </w:tc>
      </w:tr>
      <w:tr w:rsidR="008E433C" w:rsidRPr="00127240" w:rsidTr="002F02CF">
        <w:tblPrEx>
          <w:tblLook w:val="0480"/>
        </w:tblPrEx>
        <w:trPr>
          <w:cnfStyle w:val="000000100000"/>
          <w:trHeight w:val="150"/>
        </w:trPr>
        <w:tc>
          <w:tcPr>
            <w:cnfStyle w:val="001000000000"/>
            <w:tcW w:w="575" w:type="pct"/>
            <w:gridSpan w:val="2"/>
          </w:tcPr>
          <w:p w:rsidR="008E433C" w:rsidRPr="00127240" w:rsidRDefault="008E433C" w:rsidP="0030364D">
            <w:pPr>
              <w:spacing w:before="20" w:after="40"/>
              <w:rPr>
                <w:rFonts w:cs="Times New Roman"/>
                <w:color w:val="auto"/>
                <w:sz w:val="22"/>
                <w:highlight w:val="yellow"/>
              </w:rPr>
            </w:pPr>
          </w:p>
        </w:tc>
        <w:tc>
          <w:tcPr>
            <w:tcW w:w="2734" w:type="pct"/>
            <w:gridSpan w:val="2"/>
          </w:tcPr>
          <w:p w:rsidR="008E433C" w:rsidRPr="00127240" w:rsidRDefault="008E433C" w:rsidP="0030364D">
            <w:pPr>
              <w:spacing w:before="20" w:after="40"/>
              <w:ind w:left="175"/>
              <w:cnfStyle w:val="000000100000"/>
              <w:rPr>
                <w:rFonts w:cs="Times New Roman"/>
                <w:color w:val="auto"/>
                <w:sz w:val="22"/>
                <w:highlight w:val="yellow"/>
              </w:rPr>
            </w:pPr>
            <w:r w:rsidRPr="00127240">
              <w:rPr>
                <w:rFonts w:cs="Times New Roman"/>
                <w:color w:val="auto"/>
                <w:sz w:val="22"/>
              </w:rPr>
              <w:t>Tirdzniecības tarifu likme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w:t>
            </w:r>
          </w:p>
        </w:tc>
      </w:tr>
      <w:tr w:rsidR="008E433C" w:rsidRPr="00127240" w:rsidTr="002F02CF">
        <w:tblPrEx>
          <w:tblLook w:val="0480"/>
        </w:tblPrEx>
        <w:trPr>
          <w:trHeight w:val="111"/>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Ārvalstu uzņēmumu dominēšana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56</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85</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50</w:t>
            </w:r>
          </w:p>
        </w:tc>
      </w:tr>
      <w:tr w:rsidR="008E433C" w:rsidRPr="00127240" w:rsidTr="002F02CF">
        <w:tblPrEx>
          <w:tblLook w:val="0480"/>
        </w:tblPrEx>
        <w:trPr>
          <w:cnfStyle w:val="000000100000"/>
          <w:trHeight w:val="15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Uzņēmējdarbības noteikumu ietekme uz ĀTI</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86</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116</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16</w:t>
            </w:r>
          </w:p>
        </w:tc>
      </w:tr>
      <w:tr w:rsidR="008E433C" w:rsidRPr="00127240" w:rsidTr="002F02CF">
        <w:tblPrEx>
          <w:tblLook w:val="0480"/>
        </w:tblPrEx>
        <w:trPr>
          <w:trHeight w:val="111"/>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Muitas procedūru slogs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57</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26</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10</w:t>
            </w:r>
          </w:p>
        </w:tc>
      </w:tr>
      <w:tr w:rsidR="008E433C" w:rsidRPr="00127240" w:rsidTr="002F02CF">
        <w:tblPrEx>
          <w:tblLook w:val="0480"/>
        </w:tblPrEx>
        <w:trPr>
          <w:cnfStyle w:val="000000100000"/>
          <w:trHeight w:val="12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Orientēšanās uz klientiem</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74</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24</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34</w:t>
            </w:r>
          </w:p>
        </w:tc>
      </w:tr>
      <w:tr w:rsidR="008E433C" w:rsidRPr="00127240" w:rsidTr="002F02CF">
        <w:tblPrEx>
          <w:tblLook w:val="0480"/>
        </w:tblPrEx>
        <w:trPr>
          <w:trHeight w:val="16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Pircēju izsmalcinātība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84</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87</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63</w:t>
            </w:r>
          </w:p>
        </w:tc>
      </w:tr>
      <w:tr w:rsidR="008E433C" w:rsidRPr="00127240" w:rsidTr="0030364D">
        <w:tblPrEx>
          <w:tblLook w:val="0480"/>
        </w:tblPrEx>
        <w:trPr>
          <w:cnfStyle w:val="000000100000"/>
          <w:trHeight w:val="9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cnfStyle w:val="000000100000"/>
              <w:rPr>
                <w:rFonts w:cs="Times New Roman"/>
                <w:b/>
                <w:color w:val="auto"/>
                <w:sz w:val="22"/>
              </w:rPr>
            </w:pPr>
            <w:r w:rsidRPr="00127240">
              <w:rPr>
                <w:rFonts w:cs="Times New Roman"/>
                <w:b/>
                <w:color w:val="auto"/>
                <w:sz w:val="22"/>
              </w:rPr>
              <w:t>Darba tirgus efektivitāte</w:t>
            </w:r>
          </w:p>
        </w:tc>
        <w:tc>
          <w:tcPr>
            <w:tcW w:w="537"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37</w:t>
            </w:r>
          </w:p>
        </w:tc>
        <w:tc>
          <w:tcPr>
            <w:tcW w:w="535"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45</w:t>
            </w:r>
          </w:p>
        </w:tc>
        <w:tc>
          <w:tcPr>
            <w:tcW w:w="619"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21</w:t>
            </w:r>
          </w:p>
        </w:tc>
      </w:tr>
      <w:tr w:rsidR="008E433C" w:rsidRPr="00127240" w:rsidTr="0030364D">
        <w:tblPrEx>
          <w:tblLook w:val="0480"/>
        </w:tblPrEx>
        <w:trPr>
          <w:trHeight w:val="9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Darba devēju-ņēmēju sadarbība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64</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57</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39</w:t>
            </w:r>
          </w:p>
        </w:tc>
      </w:tr>
      <w:tr w:rsidR="008E433C" w:rsidRPr="00127240" w:rsidTr="0030364D">
        <w:tblPrEx>
          <w:tblLook w:val="0480"/>
        </w:tblPrEx>
        <w:trPr>
          <w:cnfStyle w:val="000000100000"/>
          <w:trHeight w:val="12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Algu noteikšanas elastīgums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w:t>
            </w:r>
          </w:p>
        </w:tc>
      </w:tr>
      <w:tr w:rsidR="008E433C" w:rsidRPr="00127240" w:rsidTr="0030364D">
        <w:tblPrEx>
          <w:tblLook w:val="0480"/>
        </w:tblPrEx>
        <w:trPr>
          <w:trHeight w:val="12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Ar algu nesaistītas darbaspēka izmaksas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w:t>
            </w:r>
          </w:p>
        </w:tc>
      </w:tr>
      <w:tr w:rsidR="008E433C" w:rsidRPr="00127240" w:rsidTr="0030364D">
        <w:tblPrEx>
          <w:tblLook w:val="0480"/>
        </w:tblPrEx>
        <w:trPr>
          <w:cnfStyle w:val="000000100000"/>
          <w:trHeight w:val="12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Darba tirgus elastība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87</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102</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118</w:t>
            </w:r>
          </w:p>
        </w:tc>
      </w:tr>
      <w:tr w:rsidR="008E433C" w:rsidRPr="00127240" w:rsidTr="0030364D">
        <w:tblPrEx>
          <w:tblLook w:val="0480"/>
        </w:tblPrEx>
        <w:trPr>
          <w:trHeight w:val="13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Darbā pieņemšanas un atlaišanas prakse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52</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81</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86</w:t>
            </w:r>
          </w:p>
        </w:tc>
      </w:tr>
      <w:tr w:rsidR="008E433C" w:rsidRPr="00127240" w:rsidTr="0030364D">
        <w:tblPrEx>
          <w:tblLook w:val="0480"/>
        </w:tblPrEx>
        <w:trPr>
          <w:cnfStyle w:val="000000100000"/>
          <w:trHeight w:val="13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Atbrīvošanas no darba izmaksas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28</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53</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62</w:t>
            </w:r>
          </w:p>
        </w:tc>
      </w:tr>
      <w:tr w:rsidR="008E433C" w:rsidRPr="00127240" w:rsidTr="0030364D">
        <w:tblPrEx>
          <w:tblLook w:val="0480"/>
        </w:tblPrEx>
        <w:trPr>
          <w:trHeight w:val="10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Darba samaksa un produktivitāte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43</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18</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11</w:t>
            </w:r>
          </w:p>
        </w:tc>
      </w:tr>
      <w:tr w:rsidR="008E433C" w:rsidRPr="00127240" w:rsidTr="0030364D">
        <w:tblPrEx>
          <w:tblLook w:val="0480"/>
        </w:tblPrEx>
        <w:trPr>
          <w:cnfStyle w:val="000000100000"/>
          <w:trHeight w:val="13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Paļaušanās uz profesionālu vadību</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58</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60</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27</w:t>
            </w:r>
          </w:p>
        </w:tc>
      </w:tr>
      <w:tr w:rsidR="008E433C" w:rsidRPr="00127240" w:rsidTr="0030364D">
        <w:tblPrEx>
          <w:tblLook w:val="0480"/>
        </w:tblPrEx>
        <w:trPr>
          <w:trHeight w:val="15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Kvalificētu speciālistu aizplūšana uz ārzemēm</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75</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100</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49</w:t>
            </w:r>
          </w:p>
        </w:tc>
      </w:tr>
      <w:tr w:rsidR="008E433C" w:rsidRPr="00127240" w:rsidTr="0030364D">
        <w:tblPrEx>
          <w:tblLook w:val="0480"/>
        </w:tblPrEx>
        <w:trPr>
          <w:cnfStyle w:val="000000100000"/>
          <w:trHeight w:val="13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Sieviešu nodarbinātība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25</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12</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17</w:t>
            </w:r>
          </w:p>
        </w:tc>
      </w:tr>
      <w:tr w:rsidR="008E433C" w:rsidRPr="00127240" w:rsidTr="0030364D">
        <w:tblPrEx>
          <w:tblLook w:val="0480"/>
        </w:tblPrEx>
        <w:trPr>
          <w:trHeight w:val="12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cnfStyle w:val="000000000000"/>
              <w:rPr>
                <w:rFonts w:cs="Times New Roman"/>
                <w:b/>
                <w:color w:val="auto"/>
                <w:sz w:val="22"/>
              </w:rPr>
            </w:pPr>
            <w:r w:rsidRPr="00127240">
              <w:rPr>
                <w:rFonts w:cs="Times New Roman"/>
                <w:b/>
                <w:color w:val="auto"/>
                <w:sz w:val="22"/>
              </w:rPr>
              <w:t>Finanšu tirgus attīstības līmenis</w:t>
            </w:r>
          </w:p>
        </w:tc>
        <w:tc>
          <w:tcPr>
            <w:tcW w:w="537"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60</w:t>
            </w:r>
          </w:p>
        </w:tc>
        <w:tc>
          <w:tcPr>
            <w:tcW w:w="535"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72</w:t>
            </w:r>
          </w:p>
        </w:tc>
        <w:tc>
          <w:tcPr>
            <w:tcW w:w="619"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29</w:t>
            </w:r>
          </w:p>
        </w:tc>
      </w:tr>
      <w:tr w:rsidR="008E433C" w:rsidRPr="00127240" w:rsidTr="0030364D">
        <w:tblPrEx>
          <w:tblLook w:val="0480"/>
        </w:tblPrEx>
        <w:trPr>
          <w:cnfStyle w:val="000000100000"/>
          <w:trHeight w:val="12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Finanšu tirgus attīstības līmenis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66</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75</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27</w:t>
            </w:r>
          </w:p>
        </w:tc>
      </w:tr>
      <w:tr w:rsidR="008E433C" w:rsidRPr="00127240" w:rsidTr="0030364D">
        <w:tblPrEx>
          <w:tblLook w:val="0480"/>
        </w:tblPrEx>
        <w:trPr>
          <w:trHeight w:val="16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Pieeja finansēm vietējā akciju tirgū</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95</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73</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62</w:t>
            </w:r>
          </w:p>
        </w:tc>
      </w:tr>
      <w:tr w:rsidR="008E433C" w:rsidRPr="00127240" w:rsidTr="0030364D">
        <w:tblPrEx>
          <w:tblLook w:val="0480"/>
        </w:tblPrEx>
        <w:trPr>
          <w:cnfStyle w:val="000000100000"/>
          <w:trHeight w:val="15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Aizņēmumu pieejamība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100</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73</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36</w:t>
            </w:r>
          </w:p>
        </w:tc>
      </w:tr>
      <w:tr w:rsidR="008E433C" w:rsidRPr="00127240" w:rsidTr="0030364D">
        <w:tblPrEx>
          <w:tblLook w:val="0480"/>
        </w:tblPrEx>
        <w:trPr>
          <w:trHeight w:val="13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Riska kapitāla pieejamība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79</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73</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21</w:t>
            </w:r>
          </w:p>
        </w:tc>
      </w:tr>
      <w:tr w:rsidR="008E433C" w:rsidRPr="00127240" w:rsidTr="0030364D">
        <w:tblPrEx>
          <w:tblLook w:val="0480"/>
        </w:tblPrEx>
        <w:trPr>
          <w:cnfStyle w:val="000000100000"/>
          <w:trHeight w:val="12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Kapitāla plūsmu ierobežojumi</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34</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63</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w:t>
            </w:r>
          </w:p>
        </w:tc>
      </w:tr>
      <w:tr w:rsidR="008E433C" w:rsidRPr="00127240" w:rsidTr="0030364D">
        <w:tblPrEx>
          <w:tblLook w:val="0480"/>
        </w:tblPrEx>
        <w:trPr>
          <w:trHeight w:val="15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Investoru aizsardzība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42</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71</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42</w:t>
            </w:r>
          </w:p>
        </w:tc>
      </w:tr>
      <w:tr w:rsidR="008E433C" w:rsidRPr="00127240" w:rsidTr="0030364D">
        <w:tblPrEx>
          <w:tblLook w:val="0480"/>
        </w:tblPrEx>
        <w:trPr>
          <w:cnfStyle w:val="000000100000"/>
          <w:trHeight w:val="13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Banku stabilitāte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115</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63</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34</w:t>
            </w:r>
          </w:p>
        </w:tc>
      </w:tr>
      <w:tr w:rsidR="008E433C" w:rsidRPr="00127240" w:rsidTr="0030364D">
        <w:tblPrEx>
          <w:tblLook w:val="0480"/>
        </w:tblPrEx>
        <w:trPr>
          <w:trHeight w:val="13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Vērtspapīru tirgus regulēšana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79</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51</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32</w:t>
            </w:r>
          </w:p>
        </w:tc>
      </w:tr>
      <w:tr w:rsidR="008E433C" w:rsidRPr="00127240" w:rsidTr="0030364D">
        <w:tblPrEx>
          <w:tblLook w:val="0480"/>
        </w:tblPrEx>
        <w:trPr>
          <w:cnfStyle w:val="000000100000"/>
          <w:trHeight w:val="12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Tiesisko normu indekss (ar aizņēmēju un aizdevēju tiesību aizsardzību saistītie normatīvie akti)</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71</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58</w:t>
            </w:r>
          </w:p>
        </w:tc>
      </w:tr>
      <w:tr w:rsidR="008E433C" w:rsidRPr="00127240" w:rsidTr="0030364D">
        <w:tblPrEx>
          <w:tblLook w:val="0480"/>
        </w:tblPrEx>
        <w:trPr>
          <w:trHeight w:val="111"/>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cnfStyle w:val="000000000000"/>
              <w:rPr>
                <w:rFonts w:cs="Times New Roman"/>
                <w:b/>
                <w:color w:val="auto"/>
                <w:sz w:val="22"/>
              </w:rPr>
            </w:pPr>
            <w:r w:rsidRPr="00127240">
              <w:rPr>
                <w:rFonts w:cs="Times New Roman"/>
                <w:b/>
                <w:color w:val="auto"/>
                <w:sz w:val="22"/>
              </w:rPr>
              <w:t>Tehnoloģiju līmenis</w:t>
            </w:r>
          </w:p>
        </w:tc>
        <w:tc>
          <w:tcPr>
            <w:tcW w:w="537"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47</w:t>
            </w:r>
          </w:p>
        </w:tc>
        <w:tc>
          <w:tcPr>
            <w:tcW w:w="535"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36</w:t>
            </w:r>
          </w:p>
        </w:tc>
        <w:tc>
          <w:tcPr>
            <w:tcW w:w="619"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16</w:t>
            </w:r>
          </w:p>
        </w:tc>
      </w:tr>
      <w:tr w:rsidR="008E433C" w:rsidRPr="00127240" w:rsidTr="0030364D">
        <w:tblPrEx>
          <w:tblLook w:val="0480"/>
        </w:tblPrEx>
        <w:trPr>
          <w:cnfStyle w:val="000000100000"/>
          <w:trHeight w:val="15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Jaunāko tehnoloģiju pieejamība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71</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50</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26</w:t>
            </w:r>
          </w:p>
        </w:tc>
      </w:tr>
      <w:tr w:rsidR="008E433C" w:rsidRPr="00127240" w:rsidTr="0030364D">
        <w:tblPrEx>
          <w:tblLook w:val="0480"/>
        </w:tblPrEx>
        <w:trPr>
          <w:trHeight w:val="111"/>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Tehnoloģiju pielietošana uzņēmumos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88</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64</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29</w:t>
            </w:r>
          </w:p>
        </w:tc>
      </w:tr>
      <w:tr w:rsidR="008E433C" w:rsidRPr="00127240" w:rsidTr="0030364D">
        <w:tblPrEx>
          <w:tblLook w:val="0480"/>
        </w:tblPrEx>
        <w:trPr>
          <w:cnfStyle w:val="000000100000"/>
          <w:trHeight w:val="111"/>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Likumdošana saistībā ar ICT</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75</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46</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w:t>
            </w:r>
          </w:p>
        </w:tc>
      </w:tr>
      <w:tr w:rsidR="008E433C" w:rsidRPr="00127240" w:rsidTr="0030364D">
        <w:tblPrEx>
          <w:tblLook w:val="0480"/>
        </w:tblPrEx>
        <w:trPr>
          <w:trHeight w:val="16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ĀTI un tehnoloģiju pārnese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93</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82</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29</w:t>
            </w:r>
          </w:p>
        </w:tc>
      </w:tr>
      <w:tr w:rsidR="008E433C" w:rsidRPr="00127240" w:rsidTr="0030364D">
        <w:tblPrEx>
          <w:tblLook w:val="0480"/>
        </w:tblPrEx>
        <w:trPr>
          <w:cnfStyle w:val="000000100000"/>
          <w:trHeight w:val="16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Mobilo tālruņu lietotāju skaits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55</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w:t>
            </w:r>
          </w:p>
        </w:tc>
      </w:tr>
      <w:tr w:rsidR="008E433C" w:rsidRPr="00127240" w:rsidTr="0030364D">
        <w:tblPrEx>
          <w:tblLook w:val="0480"/>
        </w:tblPrEx>
        <w:trPr>
          <w:trHeight w:val="126"/>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Interneta lietotāju skaits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28</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30</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21</w:t>
            </w:r>
          </w:p>
        </w:tc>
      </w:tr>
      <w:tr w:rsidR="008E433C" w:rsidRPr="00127240" w:rsidTr="0030364D">
        <w:tblPrEx>
          <w:tblLook w:val="0480"/>
        </w:tblPrEx>
        <w:trPr>
          <w:cnfStyle w:val="000000100000"/>
          <w:trHeight w:val="13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Personālo datoru skaits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32</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47</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22</w:t>
            </w:r>
          </w:p>
        </w:tc>
      </w:tr>
      <w:tr w:rsidR="008E433C" w:rsidRPr="00127240" w:rsidTr="0030364D">
        <w:tblPrEx>
          <w:tblLook w:val="0480"/>
        </w:tblPrEx>
        <w:trPr>
          <w:trHeight w:val="13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Platjoslas interneta lietotāju skaits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51</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31</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19</w:t>
            </w:r>
          </w:p>
        </w:tc>
      </w:tr>
      <w:tr w:rsidR="008E433C" w:rsidRPr="00127240" w:rsidTr="0030364D">
        <w:tblPrEx>
          <w:tblLook w:val="0480"/>
        </w:tblPrEx>
        <w:trPr>
          <w:cnfStyle w:val="000000100000"/>
          <w:trHeight w:val="15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cnfStyle w:val="000000100000"/>
              <w:rPr>
                <w:rFonts w:cs="Times New Roman"/>
                <w:b/>
                <w:color w:val="auto"/>
                <w:sz w:val="22"/>
              </w:rPr>
            </w:pPr>
            <w:r w:rsidRPr="00127240">
              <w:rPr>
                <w:rFonts w:cs="Times New Roman"/>
                <w:b/>
                <w:color w:val="auto"/>
                <w:sz w:val="22"/>
              </w:rPr>
              <w:t>Atvērtība un tirgus lielums</w:t>
            </w:r>
          </w:p>
        </w:tc>
        <w:tc>
          <w:tcPr>
            <w:tcW w:w="537"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83</w:t>
            </w:r>
          </w:p>
        </w:tc>
        <w:tc>
          <w:tcPr>
            <w:tcW w:w="535"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69</w:t>
            </w:r>
          </w:p>
        </w:tc>
        <w:tc>
          <w:tcPr>
            <w:tcW w:w="619"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94</w:t>
            </w:r>
          </w:p>
        </w:tc>
      </w:tr>
      <w:tr w:rsidR="008E433C" w:rsidRPr="00127240" w:rsidTr="0030364D">
        <w:tblPrEx>
          <w:tblLook w:val="0480"/>
        </w:tblPrEx>
        <w:trPr>
          <w:trHeight w:val="180"/>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Vietējā tirgus lielums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82</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71</w:t>
            </w:r>
          </w:p>
        </w:tc>
        <w:tc>
          <w:tcPr>
            <w:tcW w:w="619"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96</w:t>
            </w:r>
          </w:p>
        </w:tc>
      </w:tr>
      <w:tr w:rsidR="008E433C" w:rsidRPr="00127240" w:rsidTr="0030364D">
        <w:tblPrEx>
          <w:tblLook w:val="0480"/>
        </w:tblPrEx>
        <w:trPr>
          <w:cnfStyle w:val="000000100000"/>
          <w:trHeight w:val="165"/>
        </w:trPr>
        <w:tc>
          <w:tcPr>
            <w:cnfStyle w:val="001000000000"/>
            <w:tcW w:w="575" w:type="pct"/>
            <w:gridSpan w:val="2"/>
          </w:tcPr>
          <w:p w:rsidR="008E433C" w:rsidRPr="00127240" w:rsidRDefault="008E433C" w:rsidP="0030364D">
            <w:pPr>
              <w:spacing w:before="20" w:after="40"/>
              <w:rPr>
                <w:rFonts w:cs="Times New Roman"/>
                <w:color w:val="auto"/>
                <w:sz w:val="22"/>
              </w:rPr>
            </w:pPr>
          </w:p>
        </w:tc>
        <w:tc>
          <w:tcPr>
            <w:tcW w:w="2734" w:type="pct"/>
            <w:gridSpan w:val="2"/>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Ārējā tirgus lielums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84</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70</w:t>
            </w:r>
          </w:p>
        </w:tc>
        <w:tc>
          <w:tcPr>
            <w:tcW w:w="619"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77</w:t>
            </w:r>
          </w:p>
        </w:tc>
      </w:tr>
      <w:tr w:rsidR="008E433C" w:rsidRPr="00127240" w:rsidTr="002F02CF">
        <w:tblPrEx>
          <w:tblLook w:val="0480"/>
        </w:tblPrEx>
        <w:trPr>
          <w:trHeight w:val="135"/>
        </w:trPr>
        <w:tc>
          <w:tcPr>
            <w:cnfStyle w:val="001000000000"/>
            <w:tcW w:w="3308" w:type="pct"/>
            <w:gridSpan w:val="4"/>
          </w:tcPr>
          <w:p w:rsidR="008E433C" w:rsidRPr="00127240" w:rsidRDefault="008E433C" w:rsidP="0030364D">
            <w:pPr>
              <w:spacing w:before="20" w:after="40"/>
              <w:rPr>
                <w:rFonts w:cs="Times New Roman"/>
                <w:color w:val="auto"/>
                <w:sz w:val="22"/>
              </w:rPr>
            </w:pPr>
            <w:r w:rsidRPr="00127240">
              <w:rPr>
                <w:rFonts w:cs="Times New Roman"/>
                <w:color w:val="auto"/>
                <w:sz w:val="22"/>
              </w:rPr>
              <w:t>Inovācijas un attīstības nosacījumi</w:t>
            </w:r>
          </w:p>
        </w:tc>
        <w:tc>
          <w:tcPr>
            <w:tcW w:w="537"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86</w:t>
            </w:r>
          </w:p>
        </w:tc>
        <w:tc>
          <w:tcPr>
            <w:tcW w:w="535"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53</w:t>
            </w:r>
          </w:p>
        </w:tc>
        <w:tc>
          <w:tcPr>
            <w:tcW w:w="620" w:type="pct"/>
            <w:vAlign w:val="center"/>
          </w:tcPr>
          <w:p w:rsidR="008E433C" w:rsidRPr="00127240" w:rsidRDefault="008E433C" w:rsidP="0030364D">
            <w:pPr>
              <w:spacing w:before="20" w:after="40"/>
              <w:jc w:val="center"/>
              <w:cnfStyle w:val="000000000000"/>
              <w:rPr>
                <w:rFonts w:cs="Times New Roman"/>
                <w:b/>
                <w:color w:val="auto"/>
                <w:sz w:val="22"/>
              </w:rPr>
            </w:pPr>
            <w:r w:rsidRPr="00127240">
              <w:rPr>
                <w:rFonts w:cs="Times New Roman"/>
                <w:b/>
                <w:color w:val="auto"/>
                <w:sz w:val="22"/>
              </w:rPr>
              <w:t>42</w:t>
            </w:r>
          </w:p>
        </w:tc>
      </w:tr>
      <w:tr w:rsidR="008E433C" w:rsidRPr="00127240" w:rsidTr="002F02CF">
        <w:tblPrEx>
          <w:tblLook w:val="0480"/>
        </w:tblPrEx>
        <w:trPr>
          <w:cnfStyle w:val="000000100000"/>
          <w:trHeight w:val="126"/>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cnfStyle w:val="000000100000"/>
              <w:rPr>
                <w:rFonts w:cs="Times New Roman"/>
                <w:color w:val="auto"/>
                <w:sz w:val="22"/>
              </w:rPr>
            </w:pPr>
            <w:r w:rsidRPr="00127240">
              <w:rPr>
                <w:rFonts w:cs="Times New Roman"/>
                <w:b/>
                <w:color w:val="auto"/>
                <w:sz w:val="22"/>
              </w:rPr>
              <w:t>Uzņēmējdarbības kvalitāte</w:t>
            </w:r>
          </w:p>
        </w:tc>
        <w:tc>
          <w:tcPr>
            <w:tcW w:w="537"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82</w:t>
            </w:r>
          </w:p>
        </w:tc>
        <w:tc>
          <w:tcPr>
            <w:tcW w:w="535"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56</w:t>
            </w:r>
          </w:p>
        </w:tc>
        <w:tc>
          <w:tcPr>
            <w:tcW w:w="620"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48</w:t>
            </w:r>
          </w:p>
        </w:tc>
      </w:tr>
      <w:tr w:rsidR="008E433C" w:rsidRPr="00127240" w:rsidTr="002F02CF">
        <w:tblPrEx>
          <w:tblLook w:val="0480"/>
        </w:tblPrEx>
        <w:trPr>
          <w:trHeight w:val="135"/>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Vietējo piegādātāju skaits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109</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52</w:t>
            </w:r>
          </w:p>
        </w:tc>
        <w:tc>
          <w:tcPr>
            <w:tcW w:w="620"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82</w:t>
            </w:r>
          </w:p>
        </w:tc>
      </w:tr>
      <w:tr w:rsidR="008E433C" w:rsidRPr="00127240" w:rsidTr="002F02CF">
        <w:tblPrEx>
          <w:tblLook w:val="0480"/>
        </w:tblPrEx>
        <w:trPr>
          <w:cnfStyle w:val="000000100000"/>
          <w:trHeight w:val="66"/>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Vietējo piegādātāju kvalitāte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66</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44</w:t>
            </w:r>
          </w:p>
        </w:tc>
        <w:tc>
          <w:tcPr>
            <w:tcW w:w="620"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25</w:t>
            </w:r>
          </w:p>
        </w:tc>
      </w:tr>
      <w:tr w:rsidR="008E433C" w:rsidRPr="00127240" w:rsidTr="002F02CF">
        <w:tblPrEx>
          <w:tblLook w:val="0480"/>
        </w:tblPrEx>
        <w:trPr>
          <w:trHeight w:val="180"/>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Klasteru attīstības līmenis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113</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92</w:t>
            </w:r>
          </w:p>
        </w:tc>
        <w:tc>
          <w:tcPr>
            <w:tcW w:w="620"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77</w:t>
            </w:r>
          </w:p>
        </w:tc>
      </w:tr>
      <w:tr w:rsidR="008E433C" w:rsidRPr="00127240" w:rsidTr="002F02CF">
        <w:tblPrEx>
          <w:tblLook w:val="0480"/>
        </w:tblPrEx>
        <w:trPr>
          <w:cnfStyle w:val="000000100000"/>
          <w:trHeight w:val="135"/>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Konkurētspējīgās priekšrocības</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64</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43</w:t>
            </w:r>
          </w:p>
        </w:tc>
        <w:tc>
          <w:tcPr>
            <w:tcW w:w="620"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52</w:t>
            </w:r>
          </w:p>
        </w:tc>
      </w:tr>
      <w:tr w:rsidR="008E433C" w:rsidRPr="00127240" w:rsidTr="002F02CF">
        <w:tblPrEx>
          <w:tblLook w:val="0480"/>
        </w:tblPrEx>
        <w:trPr>
          <w:trHeight w:val="135"/>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Starpnozaru sakaru ciešums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80</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33</w:t>
            </w:r>
          </w:p>
        </w:tc>
        <w:tc>
          <w:tcPr>
            <w:tcW w:w="620"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51</w:t>
            </w:r>
          </w:p>
        </w:tc>
      </w:tr>
      <w:tr w:rsidR="008E433C" w:rsidRPr="00127240" w:rsidTr="002F02CF">
        <w:tblPrEx>
          <w:tblLook w:val="0480"/>
        </w:tblPrEx>
        <w:trPr>
          <w:cnfStyle w:val="000000100000"/>
          <w:trHeight w:val="105"/>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Kontrole pār starptautisko tirdzniecību</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109</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25</w:t>
            </w:r>
          </w:p>
        </w:tc>
        <w:tc>
          <w:tcPr>
            <w:tcW w:w="620"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59</w:t>
            </w:r>
          </w:p>
        </w:tc>
      </w:tr>
      <w:tr w:rsidR="008E433C" w:rsidRPr="00127240" w:rsidTr="002F02CF">
        <w:tblPrEx>
          <w:tblLook w:val="0480"/>
        </w:tblPrEx>
        <w:trPr>
          <w:trHeight w:val="135"/>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Ražošanas procesa attīstības līmenis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69</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59</w:t>
            </w:r>
          </w:p>
        </w:tc>
        <w:tc>
          <w:tcPr>
            <w:tcW w:w="620"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38</w:t>
            </w:r>
          </w:p>
        </w:tc>
      </w:tr>
      <w:tr w:rsidR="008E433C" w:rsidRPr="00127240" w:rsidTr="002F02CF">
        <w:tblPrEx>
          <w:tblLook w:val="0480"/>
        </w:tblPrEx>
        <w:trPr>
          <w:cnfStyle w:val="000000100000"/>
          <w:trHeight w:val="135"/>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Mārketinga attīstības pakāpe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63</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59</w:t>
            </w:r>
          </w:p>
        </w:tc>
        <w:tc>
          <w:tcPr>
            <w:tcW w:w="620"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51</w:t>
            </w:r>
          </w:p>
        </w:tc>
      </w:tr>
      <w:tr w:rsidR="008E433C" w:rsidRPr="00127240" w:rsidTr="002F02CF">
        <w:tblPrEx>
          <w:tblLook w:val="0480"/>
        </w:tblPrEx>
        <w:trPr>
          <w:trHeight w:val="111"/>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Gatavība nodot pilnvaras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73</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57</w:t>
            </w:r>
          </w:p>
        </w:tc>
        <w:tc>
          <w:tcPr>
            <w:tcW w:w="620"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24</w:t>
            </w:r>
          </w:p>
        </w:tc>
      </w:tr>
      <w:tr w:rsidR="008E433C" w:rsidRPr="00127240" w:rsidTr="002F02CF">
        <w:tblPrEx>
          <w:tblLook w:val="0480"/>
        </w:tblPrEx>
        <w:trPr>
          <w:cnfStyle w:val="000000100000"/>
          <w:trHeight w:val="135"/>
        </w:trPr>
        <w:tc>
          <w:tcPr>
            <w:cnfStyle w:val="001000000000"/>
            <w:tcW w:w="648" w:type="pct"/>
            <w:gridSpan w:val="3"/>
          </w:tcPr>
          <w:p w:rsidR="008E433C" w:rsidRPr="00127240" w:rsidRDefault="008E433C" w:rsidP="0030364D">
            <w:pPr>
              <w:spacing w:before="20" w:after="40"/>
              <w:rPr>
                <w:rFonts w:cs="Times New Roman"/>
                <w:b w:val="0"/>
                <w:color w:val="auto"/>
                <w:sz w:val="22"/>
              </w:rPr>
            </w:pPr>
          </w:p>
        </w:tc>
        <w:tc>
          <w:tcPr>
            <w:tcW w:w="2660" w:type="pct"/>
          </w:tcPr>
          <w:p w:rsidR="008E433C" w:rsidRPr="00127240" w:rsidRDefault="008E433C" w:rsidP="0030364D">
            <w:pPr>
              <w:spacing w:before="20" w:after="40"/>
              <w:cnfStyle w:val="000000100000"/>
              <w:rPr>
                <w:rFonts w:cs="Times New Roman"/>
                <w:b/>
                <w:color w:val="auto"/>
                <w:sz w:val="22"/>
              </w:rPr>
            </w:pPr>
            <w:r w:rsidRPr="00127240">
              <w:rPr>
                <w:rFonts w:cs="Times New Roman"/>
                <w:b/>
                <w:color w:val="auto"/>
                <w:sz w:val="22"/>
              </w:rPr>
              <w:t>Inovācijas</w:t>
            </w:r>
          </w:p>
        </w:tc>
        <w:tc>
          <w:tcPr>
            <w:tcW w:w="537"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88</w:t>
            </w:r>
          </w:p>
        </w:tc>
        <w:tc>
          <w:tcPr>
            <w:tcW w:w="535"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58</w:t>
            </w:r>
          </w:p>
        </w:tc>
        <w:tc>
          <w:tcPr>
            <w:tcW w:w="620" w:type="pct"/>
            <w:vAlign w:val="center"/>
          </w:tcPr>
          <w:p w:rsidR="008E433C" w:rsidRPr="00127240" w:rsidRDefault="008E433C" w:rsidP="0030364D">
            <w:pPr>
              <w:spacing w:before="20" w:after="40"/>
              <w:jc w:val="center"/>
              <w:cnfStyle w:val="000000100000"/>
              <w:rPr>
                <w:rFonts w:cs="Times New Roman"/>
                <w:b/>
                <w:color w:val="auto"/>
                <w:sz w:val="22"/>
              </w:rPr>
            </w:pPr>
            <w:r w:rsidRPr="00127240">
              <w:rPr>
                <w:rFonts w:cs="Times New Roman"/>
                <w:b/>
                <w:color w:val="auto"/>
                <w:sz w:val="22"/>
              </w:rPr>
              <w:t>37</w:t>
            </w:r>
          </w:p>
        </w:tc>
      </w:tr>
      <w:tr w:rsidR="008E433C" w:rsidRPr="00127240" w:rsidTr="002F02CF">
        <w:tblPrEx>
          <w:tblLook w:val="0480"/>
        </w:tblPrEx>
        <w:trPr>
          <w:trHeight w:val="126"/>
        </w:trPr>
        <w:tc>
          <w:tcPr>
            <w:cnfStyle w:val="001000000000"/>
            <w:tcW w:w="648" w:type="pct"/>
            <w:gridSpan w:val="3"/>
          </w:tcPr>
          <w:p w:rsidR="008E433C" w:rsidRPr="00127240" w:rsidRDefault="008E433C" w:rsidP="0030364D">
            <w:pPr>
              <w:spacing w:before="20" w:after="40"/>
              <w:rPr>
                <w:rFonts w:cs="Times New Roman"/>
                <w:b w:val="0"/>
                <w:color w:val="auto"/>
                <w:sz w:val="22"/>
              </w:rPr>
            </w:pPr>
          </w:p>
        </w:tc>
        <w:tc>
          <w:tcPr>
            <w:tcW w:w="2660" w:type="pct"/>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Inovāciju kapacitāte</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68</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53</w:t>
            </w:r>
          </w:p>
        </w:tc>
        <w:tc>
          <w:tcPr>
            <w:tcW w:w="620"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37</w:t>
            </w:r>
          </w:p>
        </w:tc>
      </w:tr>
      <w:tr w:rsidR="008E433C" w:rsidRPr="00127240" w:rsidTr="002F02CF">
        <w:tblPrEx>
          <w:tblLook w:val="0480"/>
        </w:tblPrEx>
        <w:trPr>
          <w:cnfStyle w:val="000000100000"/>
          <w:trHeight w:val="150"/>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Zinātniski pētniecisko institūciju kvalitāte</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66</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46</w:t>
            </w:r>
          </w:p>
        </w:tc>
        <w:tc>
          <w:tcPr>
            <w:tcW w:w="620"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27</w:t>
            </w:r>
          </w:p>
        </w:tc>
      </w:tr>
      <w:tr w:rsidR="008E433C" w:rsidRPr="00127240" w:rsidTr="002F02CF">
        <w:tblPrEx>
          <w:tblLook w:val="0480"/>
        </w:tblPrEx>
        <w:trPr>
          <w:trHeight w:val="126"/>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Uzņēmumu izdevumi P&amp;A</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65</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52</w:t>
            </w:r>
          </w:p>
        </w:tc>
        <w:tc>
          <w:tcPr>
            <w:tcW w:w="620"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44</w:t>
            </w:r>
          </w:p>
        </w:tc>
      </w:tr>
      <w:tr w:rsidR="008E433C" w:rsidRPr="00127240" w:rsidTr="002F02CF">
        <w:tblPrEx>
          <w:tblLook w:val="0480"/>
        </w:tblPrEx>
        <w:trPr>
          <w:cnfStyle w:val="000000100000"/>
          <w:trHeight w:val="135"/>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Augstskolu-nozaru sadarbība pētniecībā</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86</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45</w:t>
            </w:r>
          </w:p>
        </w:tc>
        <w:tc>
          <w:tcPr>
            <w:tcW w:w="620"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32</w:t>
            </w:r>
          </w:p>
        </w:tc>
      </w:tr>
      <w:tr w:rsidR="008E433C" w:rsidRPr="00127240" w:rsidTr="002F02CF">
        <w:tblPrEx>
          <w:tblLook w:val="0480"/>
        </w:tblPrEx>
        <w:trPr>
          <w:trHeight w:val="135"/>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Augsto tehnoloģiju produktu valsts iepirkumi</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102</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100</w:t>
            </w:r>
          </w:p>
        </w:tc>
        <w:tc>
          <w:tcPr>
            <w:tcW w:w="620"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36</w:t>
            </w:r>
          </w:p>
        </w:tc>
      </w:tr>
      <w:tr w:rsidR="008E433C" w:rsidRPr="00127240" w:rsidTr="002F02CF">
        <w:tblPrEx>
          <w:tblLook w:val="0480"/>
        </w:tblPrEx>
        <w:trPr>
          <w:cnfStyle w:val="000000100000"/>
          <w:trHeight w:val="111"/>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100000"/>
              <w:rPr>
                <w:rFonts w:cs="Times New Roman"/>
                <w:color w:val="auto"/>
                <w:sz w:val="22"/>
              </w:rPr>
            </w:pPr>
            <w:r w:rsidRPr="00127240">
              <w:rPr>
                <w:rFonts w:cs="Times New Roman"/>
                <w:color w:val="auto"/>
                <w:sz w:val="22"/>
              </w:rPr>
              <w:t>Zinātnieku un inženieru pieejamība</w:t>
            </w:r>
          </w:p>
        </w:tc>
        <w:tc>
          <w:tcPr>
            <w:tcW w:w="537"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104</w:t>
            </w:r>
          </w:p>
        </w:tc>
        <w:tc>
          <w:tcPr>
            <w:tcW w:w="535"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70</w:t>
            </w:r>
          </w:p>
        </w:tc>
        <w:tc>
          <w:tcPr>
            <w:tcW w:w="620" w:type="pct"/>
            <w:vAlign w:val="center"/>
          </w:tcPr>
          <w:p w:rsidR="008E433C" w:rsidRPr="00127240" w:rsidRDefault="008E433C" w:rsidP="0030364D">
            <w:pPr>
              <w:spacing w:before="20" w:after="40"/>
              <w:jc w:val="center"/>
              <w:cnfStyle w:val="000000100000"/>
              <w:rPr>
                <w:rFonts w:cs="Times New Roman"/>
                <w:color w:val="auto"/>
                <w:sz w:val="22"/>
              </w:rPr>
            </w:pPr>
            <w:r w:rsidRPr="00127240">
              <w:rPr>
                <w:rFonts w:cs="Times New Roman"/>
                <w:color w:val="auto"/>
                <w:sz w:val="22"/>
              </w:rPr>
              <w:t>67</w:t>
            </w:r>
          </w:p>
        </w:tc>
      </w:tr>
      <w:tr w:rsidR="008E433C" w:rsidRPr="00127240" w:rsidTr="002F02CF">
        <w:tblPrEx>
          <w:tblLook w:val="0480"/>
        </w:tblPrEx>
        <w:trPr>
          <w:trHeight w:val="135"/>
        </w:trPr>
        <w:tc>
          <w:tcPr>
            <w:cnfStyle w:val="001000000000"/>
            <w:tcW w:w="648" w:type="pct"/>
            <w:gridSpan w:val="3"/>
          </w:tcPr>
          <w:p w:rsidR="008E433C" w:rsidRPr="00127240" w:rsidRDefault="008E433C" w:rsidP="0030364D">
            <w:pPr>
              <w:spacing w:before="20" w:after="40"/>
              <w:rPr>
                <w:rFonts w:cs="Times New Roman"/>
                <w:color w:val="auto"/>
                <w:sz w:val="22"/>
              </w:rPr>
            </w:pPr>
          </w:p>
        </w:tc>
        <w:tc>
          <w:tcPr>
            <w:tcW w:w="2660" w:type="pct"/>
          </w:tcPr>
          <w:p w:rsidR="008E433C" w:rsidRPr="00127240" w:rsidRDefault="008E433C" w:rsidP="0030364D">
            <w:pPr>
              <w:spacing w:before="20" w:after="40"/>
              <w:ind w:left="175"/>
              <w:cnfStyle w:val="000000000000"/>
              <w:rPr>
                <w:rFonts w:cs="Times New Roman"/>
                <w:color w:val="auto"/>
                <w:sz w:val="22"/>
              </w:rPr>
            </w:pPr>
            <w:r w:rsidRPr="00127240">
              <w:rPr>
                <w:rFonts w:cs="Times New Roman"/>
                <w:color w:val="auto"/>
                <w:sz w:val="22"/>
              </w:rPr>
              <w:t>Patentu skaits</w:t>
            </w:r>
          </w:p>
        </w:tc>
        <w:tc>
          <w:tcPr>
            <w:tcW w:w="537"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66</w:t>
            </w:r>
          </w:p>
        </w:tc>
        <w:tc>
          <w:tcPr>
            <w:tcW w:w="535"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34</w:t>
            </w:r>
          </w:p>
        </w:tc>
        <w:tc>
          <w:tcPr>
            <w:tcW w:w="620" w:type="pct"/>
            <w:vAlign w:val="center"/>
          </w:tcPr>
          <w:p w:rsidR="008E433C" w:rsidRPr="00127240" w:rsidRDefault="008E433C" w:rsidP="0030364D">
            <w:pPr>
              <w:spacing w:before="20" w:after="40"/>
              <w:jc w:val="center"/>
              <w:cnfStyle w:val="000000000000"/>
              <w:rPr>
                <w:rFonts w:cs="Times New Roman"/>
                <w:color w:val="auto"/>
                <w:sz w:val="22"/>
              </w:rPr>
            </w:pPr>
            <w:r w:rsidRPr="00127240">
              <w:rPr>
                <w:rFonts w:cs="Times New Roman"/>
                <w:color w:val="auto"/>
                <w:sz w:val="22"/>
              </w:rPr>
              <w:t>41</w:t>
            </w:r>
          </w:p>
        </w:tc>
      </w:tr>
    </w:tbl>
    <w:p w:rsidR="008E433C" w:rsidRPr="008E433C" w:rsidRDefault="008E433C" w:rsidP="008E433C">
      <w:pPr>
        <w:spacing w:before="120"/>
        <w:rPr>
          <w:rFonts w:cs="Times New Roman"/>
          <w:sz w:val="16"/>
          <w:szCs w:val="16"/>
        </w:rPr>
      </w:pPr>
      <w:r w:rsidRPr="008E433C">
        <w:rPr>
          <w:sz w:val="16"/>
          <w:szCs w:val="16"/>
        </w:rPr>
        <w:t xml:space="preserve">Avots: </w:t>
      </w:r>
      <w:r w:rsidRPr="008E433C">
        <w:rPr>
          <w:rFonts w:cs="Times New Roman"/>
          <w:sz w:val="16"/>
          <w:szCs w:val="16"/>
        </w:rPr>
        <w:t>Pasaules ekonomikas forums. Ziņojuma par globālo konkurētspēju 2009-2010</w:t>
      </w:r>
    </w:p>
    <w:p w:rsidR="008E433C" w:rsidRDefault="008E433C" w:rsidP="008E433C"/>
    <w:p w:rsidR="008E433C" w:rsidRPr="008E433C" w:rsidRDefault="008E433C" w:rsidP="008E433C"/>
    <w:p w:rsidR="008E433C" w:rsidRDefault="008E433C" w:rsidP="008E433C">
      <w:pPr>
        <w:pStyle w:val="Heading2"/>
      </w:pPr>
      <w:bookmarkStart w:id="71" w:name="_Toc239501373"/>
      <w:bookmarkEnd w:id="69"/>
    </w:p>
    <w:p w:rsidR="008E433C" w:rsidRPr="00EB5FEE" w:rsidRDefault="008E433C" w:rsidP="008E433C">
      <w:pPr>
        <w:pStyle w:val="Heading2"/>
      </w:pPr>
      <w:bookmarkStart w:id="72" w:name="_Toc242510390"/>
      <w:r w:rsidRPr="00EB5FEE">
        <w:t>1</w:t>
      </w:r>
      <w:r>
        <w:t>1</w:t>
      </w:r>
      <w:r w:rsidRPr="00EB5FEE">
        <w:t>.tabula</w:t>
      </w:r>
      <w:r>
        <w:t xml:space="preserve">. </w:t>
      </w:r>
      <w:r w:rsidRPr="00EB5FEE">
        <w:t xml:space="preserve">Latvijas </w:t>
      </w:r>
      <w:r>
        <w:t>IKP</w:t>
      </w:r>
      <w:r w:rsidRPr="00EB5FEE">
        <w:t xml:space="preserve"> prognoze nozaru griezumā</w:t>
      </w:r>
      <w:r>
        <w:t xml:space="preserve"> pa scenārijiem no </w:t>
      </w:r>
      <w:r w:rsidRPr="00187334">
        <w:t>200</w:t>
      </w:r>
      <w:r>
        <w:t>9</w:t>
      </w:r>
      <w:r w:rsidRPr="00187334">
        <w:t>. līdz 20</w:t>
      </w:r>
      <w:r>
        <w:t>15</w:t>
      </w:r>
      <w:r w:rsidRPr="00187334">
        <w:t>.gadam</w:t>
      </w:r>
      <w:bookmarkEnd w:id="71"/>
      <w:bookmarkEnd w:id="72"/>
    </w:p>
    <w:p w:rsidR="008E433C" w:rsidRPr="00312F73" w:rsidRDefault="008E433C" w:rsidP="008E433C">
      <w:pPr>
        <w:pStyle w:val="BodyText2"/>
        <w:numPr>
          <w:ilvl w:val="12"/>
          <w:numId w:val="0"/>
        </w:numPr>
        <w:suppressAutoHyphens/>
        <w:spacing w:after="0" w:line="240" w:lineRule="auto"/>
        <w:rPr>
          <w:color w:val="000000"/>
          <w:lang w:val="lv-LV"/>
        </w:rPr>
      </w:pPr>
      <w:r w:rsidRPr="00312F73">
        <w:rPr>
          <w:color w:val="000000"/>
          <w:lang w:val="lv-LV"/>
        </w:rPr>
        <w:t>(reālais pieaugums procentos pret iepriekšējo gadu)</w:t>
      </w:r>
      <w:r w:rsidR="001911DD">
        <w:rPr>
          <w:color w:val="000000"/>
          <w:lang w:val="lv-LV"/>
        </w:rPr>
        <w:t>*</w:t>
      </w:r>
    </w:p>
    <w:p w:rsidR="008E433C" w:rsidRPr="00EB5FEE" w:rsidRDefault="008E433C" w:rsidP="008E433C">
      <w:pPr>
        <w:pStyle w:val="BodyText2"/>
        <w:numPr>
          <w:ilvl w:val="12"/>
          <w:numId w:val="0"/>
        </w:numPr>
        <w:suppressAutoHyphens/>
        <w:spacing w:after="0" w:line="240" w:lineRule="auto"/>
        <w:jc w:val="center"/>
        <w:rPr>
          <w:color w:val="000000"/>
          <w:sz w:val="16"/>
          <w:szCs w:val="16"/>
          <w:lang w:val="lv-LV"/>
        </w:rPr>
      </w:pPr>
    </w:p>
    <w:tbl>
      <w:tblPr>
        <w:tblStyle w:val="LightShading2"/>
        <w:tblW w:w="5000" w:type="pct"/>
        <w:jc w:val="center"/>
        <w:tblLook w:val="04A0"/>
      </w:tblPr>
      <w:tblGrid>
        <w:gridCol w:w="2672"/>
        <w:gridCol w:w="1197"/>
        <w:gridCol w:w="1198"/>
        <w:gridCol w:w="1198"/>
        <w:gridCol w:w="1198"/>
        <w:gridCol w:w="1198"/>
        <w:gridCol w:w="1194"/>
      </w:tblGrid>
      <w:tr w:rsidR="008E433C" w:rsidRPr="00A23B88" w:rsidTr="0028112C">
        <w:trPr>
          <w:cnfStyle w:val="100000000000"/>
          <w:jc w:val="center"/>
        </w:trPr>
        <w:tc>
          <w:tcPr>
            <w:cnfStyle w:val="001000000000"/>
            <w:tcW w:w="1355" w:type="pct"/>
            <w:tcBorders>
              <w:bottom w:val="single" w:sz="4" w:space="0" w:color="auto"/>
              <w:right w:val="single" w:sz="4" w:space="0" w:color="auto"/>
            </w:tcBorders>
          </w:tcPr>
          <w:p w:rsidR="008E433C" w:rsidRPr="00A23B88" w:rsidRDefault="008E433C" w:rsidP="002F02CF">
            <w:pPr>
              <w:pStyle w:val="Taksts11"/>
              <w:spacing w:before="60" w:after="60"/>
              <w:ind w:firstLine="0"/>
              <w:jc w:val="center"/>
              <w:rPr>
                <w:color w:val="000000"/>
                <w:sz w:val="22"/>
                <w:szCs w:val="22"/>
                <w:lang w:val="lv-LV"/>
              </w:rPr>
            </w:pPr>
          </w:p>
        </w:tc>
        <w:tc>
          <w:tcPr>
            <w:tcW w:w="1823" w:type="pct"/>
            <w:gridSpan w:val="3"/>
            <w:tcBorders>
              <w:left w:val="single" w:sz="4" w:space="0" w:color="auto"/>
              <w:right w:val="single" w:sz="4" w:space="0" w:color="auto"/>
            </w:tcBorders>
            <w:vAlign w:val="center"/>
          </w:tcPr>
          <w:p w:rsidR="008E433C" w:rsidRPr="00A23B88" w:rsidRDefault="008E433C" w:rsidP="003C53B7">
            <w:pPr>
              <w:pStyle w:val="Taksts11"/>
              <w:spacing w:before="60" w:after="60"/>
              <w:ind w:firstLine="0"/>
              <w:jc w:val="center"/>
              <w:cnfStyle w:val="100000000000"/>
              <w:rPr>
                <w:color w:val="000000"/>
                <w:sz w:val="22"/>
                <w:szCs w:val="22"/>
                <w:lang w:val="lv-LV"/>
              </w:rPr>
            </w:pPr>
            <w:r>
              <w:rPr>
                <w:color w:val="000000"/>
                <w:sz w:val="22"/>
                <w:szCs w:val="22"/>
                <w:lang w:val="lv-LV"/>
              </w:rPr>
              <w:t>Mērķa</w:t>
            </w:r>
            <w:r w:rsidRPr="00A23B88">
              <w:rPr>
                <w:color w:val="000000"/>
                <w:sz w:val="22"/>
                <w:szCs w:val="22"/>
                <w:lang w:val="lv-LV"/>
              </w:rPr>
              <w:t xml:space="preserve"> scenārijs</w:t>
            </w:r>
          </w:p>
        </w:tc>
        <w:tc>
          <w:tcPr>
            <w:tcW w:w="1822" w:type="pct"/>
            <w:gridSpan w:val="3"/>
            <w:tcBorders>
              <w:left w:val="single" w:sz="4" w:space="0" w:color="auto"/>
            </w:tcBorders>
            <w:vAlign w:val="center"/>
          </w:tcPr>
          <w:p w:rsidR="008E433C" w:rsidRPr="00A23B88" w:rsidRDefault="008E433C" w:rsidP="003C53B7">
            <w:pPr>
              <w:pStyle w:val="Taksts11"/>
              <w:spacing w:before="60" w:after="60"/>
              <w:ind w:firstLine="0"/>
              <w:jc w:val="center"/>
              <w:cnfStyle w:val="100000000000"/>
              <w:rPr>
                <w:color w:val="000000"/>
                <w:sz w:val="22"/>
                <w:szCs w:val="22"/>
                <w:lang w:val="lv-LV"/>
              </w:rPr>
            </w:pPr>
            <w:r>
              <w:rPr>
                <w:color w:val="000000"/>
                <w:sz w:val="22"/>
                <w:szCs w:val="22"/>
                <w:lang w:val="lv-LV"/>
              </w:rPr>
              <w:t>Bāzes</w:t>
            </w:r>
            <w:r w:rsidRPr="00A23B88">
              <w:rPr>
                <w:color w:val="000000"/>
                <w:sz w:val="22"/>
                <w:szCs w:val="22"/>
                <w:lang w:val="lv-LV"/>
              </w:rPr>
              <w:t xml:space="preserve"> scenārijs</w:t>
            </w:r>
          </w:p>
        </w:tc>
      </w:tr>
      <w:tr w:rsidR="003C53B7" w:rsidRPr="00A23B88" w:rsidTr="0028112C">
        <w:trPr>
          <w:cnfStyle w:val="000000100000"/>
          <w:jc w:val="center"/>
        </w:trPr>
        <w:tc>
          <w:tcPr>
            <w:cnfStyle w:val="001000000000"/>
            <w:tcW w:w="1355" w:type="pct"/>
            <w:tcBorders>
              <w:top w:val="single" w:sz="4" w:space="0" w:color="auto"/>
              <w:right w:val="single" w:sz="4" w:space="0" w:color="auto"/>
            </w:tcBorders>
          </w:tcPr>
          <w:p w:rsidR="008E433C" w:rsidRPr="00A23B88" w:rsidRDefault="008E433C" w:rsidP="002F02CF">
            <w:pPr>
              <w:pStyle w:val="Taksts11"/>
              <w:spacing w:before="60" w:after="60"/>
              <w:ind w:firstLine="0"/>
              <w:jc w:val="left"/>
              <w:rPr>
                <w:color w:val="000000"/>
                <w:sz w:val="22"/>
                <w:szCs w:val="22"/>
                <w:lang w:val="lv-LV"/>
              </w:rPr>
            </w:pPr>
          </w:p>
        </w:tc>
        <w:tc>
          <w:tcPr>
            <w:tcW w:w="607" w:type="pct"/>
            <w:tcBorders>
              <w:left w:val="single" w:sz="4" w:space="0" w:color="auto"/>
            </w:tcBorders>
            <w:vAlign w:val="center"/>
          </w:tcPr>
          <w:p w:rsidR="008E433C" w:rsidRPr="00A23B88" w:rsidRDefault="008E433C" w:rsidP="003C53B7">
            <w:pPr>
              <w:pStyle w:val="Taksts11"/>
              <w:spacing w:before="60" w:after="60"/>
              <w:ind w:firstLine="0"/>
              <w:jc w:val="center"/>
              <w:cnfStyle w:val="000000100000"/>
              <w:rPr>
                <w:b/>
                <w:color w:val="000000"/>
                <w:sz w:val="22"/>
                <w:szCs w:val="22"/>
                <w:lang w:val="lv-LV"/>
              </w:rPr>
            </w:pPr>
            <w:r w:rsidRPr="00A23B88">
              <w:rPr>
                <w:b/>
                <w:color w:val="000000"/>
                <w:sz w:val="22"/>
                <w:szCs w:val="22"/>
                <w:lang w:val="lv-LV"/>
              </w:rPr>
              <w:t>2009</w:t>
            </w:r>
          </w:p>
        </w:tc>
        <w:tc>
          <w:tcPr>
            <w:tcW w:w="608" w:type="pct"/>
            <w:vAlign w:val="center"/>
          </w:tcPr>
          <w:p w:rsidR="008E433C" w:rsidRPr="00A23B88" w:rsidRDefault="008E433C" w:rsidP="003C53B7">
            <w:pPr>
              <w:pStyle w:val="Taksts11"/>
              <w:spacing w:before="60" w:after="60"/>
              <w:ind w:firstLine="0"/>
              <w:jc w:val="center"/>
              <w:cnfStyle w:val="000000100000"/>
              <w:rPr>
                <w:rFonts w:eastAsiaTheme="minorHAnsi"/>
                <w:b/>
                <w:color w:val="000000"/>
                <w:sz w:val="22"/>
                <w:szCs w:val="22"/>
                <w:lang w:val="lv-LV"/>
              </w:rPr>
            </w:pPr>
            <w:r w:rsidRPr="00A23B88">
              <w:rPr>
                <w:rFonts w:eastAsiaTheme="minorHAnsi"/>
                <w:b/>
                <w:color w:val="000000"/>
                <w:sz w:val="22"/>
                <w:szCs w:val="22"/>
                <w:lang w:val="lv-LV"/>
              </w:rPr>
              <w:t>2010</w:t>
            </w:r>
          </w:p>
        </w:tc>
        <w:tc>
          <w:tcPr>
            <w:tcW w:w="608" w:type="pct"/>
            <w:tcBorders>
              <w:right w:val="single" w:sz="4" w:space="0" w:color="auto"/>
            </w:tcBorders>
            <w:vAlign w:val="center"/>
          </w:tcPr>
          <w:p w:rsidR="008E433C" w:rsidRPr="00A23B88" w:rsidRDefault="003C53B7" w:rsidP="003C53B7">
            <w:pPr>
              <w:pStyle w:val="Taksts11"/>
              <w:spacing w:before="60" w:after="60"/>
              <w:ind w:firstLine="0"/>
              <w:jc w:val="center"/>
              <w:cnfStyle w:val="000000100000"/>
              <w:rPr>
                <w:b/>
                <w:color w:val="000000"/>
                <w:sz w:val="22"/>
                <w:szCs w:val="22"/>
                <w:lang w:val="lv-LV"/>
              </w:rPr>
            </w:pPr>
            <w:r>
              <w:rPr>
                <w:rFonts w:eastAsiaTheme="minorHAnsi"/>
                <w:b/>
                <w:color w:val="000000"/>
                <w:sz w:val="22"/>
                <w:szCs w:val="22"/>
                <w:lang w:val="lv-LV"/>
              </w:rPr>
              <w:t xml:space="preserve">Vidēji </w:t>
            </w:r>
            <w:r w:rsidR="008E433C" w:rsidRPr="00A23B88">
              <w:rPr>
                <w:rFonts w:eastAsiaTheme="minorHAnsi"/>
                <w:b/>
                <w:color w:val="000000"/>
                <w:sz w:val="22"/>
                <w:szCs w:val="22"/>
                <w:lang w:val="lv-LV"/>
              </w:rPr>
              <w:t>2011-</w:t>
            </w:r>
            <w:r>
              <w:rPr>
                <w:rFonts w:eastAsiaTheme="minorHAnsi"/>
                <w:b/>
                <w:color w:val="000000"/>
                <w:sz w:val="22"/>
                <w:szCs w:val="22"/>
                <w:lang w:val="lv-LV"/>
              </w:rPr>
              <w:t>2</w:t>
            </w:r>
            <w:r w:rsidR="008E433C" w:rsidRPr="00A23B88">
              <w:rPr>
                <w:rFonts w:eastAsiaTheme="minorHAnsi"/>
                <w:b/>
                <w:color w:val="000000"/>
                <w:sz w:val="22"/>
                <w:szCs w:val="22"/>
                <w:lang w:val="lv-LV"/>
              </w:rPr>
              <w:t>015</w:t>
            </w:r>
          </w:p>
        </w:tc>
        <w:tc>
          <w:tcPr>
            <w:tcW w:w="608" w:type="pct"/>
            <w:tcBorders>
              <w:left w:val="single" w:sz="4" w:space="0" w:color="auto"/>
            </w:tcBorders>
            <w:vAlign w:val="center"/>
          </w:tcPr>
          <w:p w:rsidR="008E433C" w:rsidRPr="00A23B88" w:rsidRDefault="008E433C" w:rsidP="003C53B7">
            <w:pPr>
              <w:pStyle w:val="Taksts11"/>
              <w:spacing w:before="60" w:after="60"/>
              <w:ind w:firstLine="0"/>
              <w:jc w:val="center"/>
              <w:cnfStyle w:val="000000100000"/>
              <w:rPr>
                <w:b/>
                <w:color w:val="000000"/>
                <w:sz w:val="22"/>
                <w:szCs w:val="22"/>
                <w:lang w:val="lv-LV"/>
              </w:rPr>
            </w:pPr>
            <w:r w:rsidRPr="00A23B88">
              <w:rPr>
                <w:b/>
                <w:color w:val="000000"/>
                <w:sz w:val="22"/>
                <w:szCs w:val="22"/>
                <w:lang w:val="lv-LV"/>
              </w:rPr>
              <w:t>2009</w:t>
            </w:r>
          </w:p>
        </w:tc>
        <w:tc>
          <w:tcPr>
            <w:tcW w:w="608" w:type="pct"/>
            <w:vAlign w:val="center"/>
          </w:tcPr>
          <w:p w:rsidR="008E433C" w:rsidRPr="00A23B88" w:rsidRDefault="008E433C" w:rsidP="003C53B7">
            <w:pPr>
              <w:pStyle w:val="Taksts11"/>
              <w:spacing w:before="60" w:after="60"/>
              <w:ind w:firstLine="0"/>
              <w:jc w:val="center"/>
              <w:cnfStyle w:val="000000100000"/>
              <w:rPr>
                <w:rFonts w:eastAsiaTheme="minorHAnsi"/>
                <w:b/>
                <w:color w:val="000000"/>
                <w:sz w:val="22"/>
                <w:szCs w:val="22"/>
                <w:lang w:val="lv-LV"/>
              </w:rPr>
            </w:pPr>
            <w:r w:rsidRPr="00A23B88">
              <w:rPr>
                <w:rFonts w:eastAsiaTheme="minorHAnsi"/>
                <w:b/>
                <w:color w:val="000000"/>
                <w:sz w:val="22"/>
                <w:szCs w:val="22"/>
                <w:lang w:val="lv-LV"/>
              </w:rPr>
              <w:t>2010</w:t>
            </w:r>
          </w:p>
        </w:tc>
        <w:tc>
          <w:tcPr>
            <w:tcW w:w="607" w:type="pct"/>
            <w:vAlign w:val="center"/>
          </w:tcPr>
          <w:p w:rsidR="008E433C" w:rsidRPr="00A23B88" w:rsidRDefault="007F0B40" w:rsidP="003C53B7">
            <w:pPr>
              <w:pStyle w:val="Taksts11"/>
              <w:spacing w:before="60" w:after="60"/>
              <w:ind w:firstLine="0"/>
              <w:jc w:val="center"/>
              <w:cnfStyle w:val="000000100000"/>
              <w:rPr>
                <w:b/>
                <w:color w:val="000000"/>
                <w:sz w:val="22"/>
                <w:szCs w:val="22"/>
                <w:lang w:val="lv-LV"/>
              </w:rPr>
            </w:pPr>
            <w:r>
              <w:rPr>
                <w:rFonts w:eastAsiaTheme="minorHAnsi"/>
                <w:b/>
                <w:color w:val="000000"/>
                <w:sz w:val="22"/>
                <w:szCs w:val="22"/>
                <w:lang w:val="lv-LV"/>
              </w:rPr>
              <w:t xml:space="preserve">vidēji </w:t>
            </w:r>
            <w:r w:rsidRPr="00A23B88">
              <w:rPr>
                <w:rFonts w:eastAsiaTheme="minorHAnsi"/>
                <w:b/>
                <w:color w:val="000000"/>
                <w:sz w:val="22"/>
                <w:szCs w:val="22"/>
                <w:lang w:val="lv-LV"/>
              </w:rPr>
              <w:t>2011-2015</w:t>
            </w:r>
          </w:p>
        </w:tc>
      </w:tr>
      <w:tr w:rsidR="0028112C" w:rsidRPr="00A23B88" w:rsidTr="0028112C">
        <w:trPr>
          <w:jc w:val="center"/>
        </w:trPr>
        <w:tc>
          <w:tcPr>
            <w:cnfStyle w:val="001000000000"/>
            <w:tcW w:w="1355" w:type="pct"/>
            <w:tcBorders>
              <w:right w:val="single" w:sz="4" w:space="0" w:color="auto"/>
            </w:tcBorders>
          </w:tcPr>
          <w:p w:rsidR="0028112C" w:rsidRPr="00A23B88" w:rsidRDefault="0028112C" w:rsidP="002F02CF">
            <w:pPr>
              <w:spacing w:before="60" w:after="60"/>
              <w:rPr>
                <w:rFonts w:cs="Times New Roman"/>
                <w:b w:val="0"/>
                <w:color w:val="000000"/>
                <w:sz w:val="22"/>
              </w:rPr>
            </w:pPr>
            <w:r w:rsidRPr="00A23B88">
              <w:rPr>
                <w:color w:val="000000"/>
                <w:sz w:val="22"/>
              </w:rPr>
              <w:t>Iekšzemes kopprodukts</w:t>
            </w:r>
          </w:p>
        </w:tc>
        <w:tc>
          <w:tcPr>
            <w:tcW w:w="607" w:type="pct"/>
            <w:tcBorders>
              <w:left w:val="single" w:sz="4" w:space="0" w:color="auto"/>
            </w:tcBorders>
            <w:vAlign w:val="center"/>
          </w:tcPr>
          <w:p w:rsidR="0028112C" w:rsidRPr="007F0B40" w:rsidRDefault="0028112C" w:rsidP="00E47706">
            <w:pPr>
              <w:tabs>
                <w:tab w:val="decimal" w:pos="349"/>
              </w:tabs>
              <w:spacing w:before="60" w:after="60"/>
              <w:jc w:val="center"/>
              <w:cnfStyle w:val="000000000000"/>
              <w:rPr>
                <w:rFonts w:eastAsia="Times New Roman" w:cs="Times New Roman"/>
                <w:b/>
                <w:sz w:val="22"/>
              </w:rPr>
            </w:pPr>
            <w:r w:rsidRPr="007F0B40">
              <w:rPr>
                <w:rFonts w:eastAsia="Times New Roman" w:cs="Times New Roman"/>
                <w:b/>
                <w:sz w:val="22"/>
              </w:rPr>
              <w:t>-18,0</w:t>
            </w:r>
          </w:p>
        </w:tc>
        <w:tc>
          <w:tcPr>
            <w:tcW w:w="608" w:type="pct"/>
            <w:vAlign w:val="center"/>
          </w:tcPr>
          <w:p w:rsidR="0028112C" w:rsidRPr="007F0B40" w:rsidRDefault="0028112C" w:rsidP="00E47706">
            <w:pPr>
              <w:tabs>
                <w:tab w:val="decimal" w:pos="349"/>
              </w:tabs>
              <w:spacing w:before="60" w:after="60"/>
              <w:jc w:val="center"/>
              <w:cnfStyle w:val="000000000000"/>
              <w:rPr>
                <w:rFonts w:eastAsia="Times New Roman" w:cs="Times New Roman"/>
                <w:b/>
                <w:sz w:val="22"/>
              </w:rPr>
            </w:pPr>
            <w:r w:rsidRPr="007F0B40">
              <w:rPr>
                <w:rFonts w:eastAsia="Times New Roman" w:cs="Times New Roman"/>
                <w:b/>
                <w:sz w:val="22"/>
              </w:rPr>
              <w:t>-2,</w:t>
            </w:r>
            <w:r>
              <w:rPr>
                <w:rFonts w:eastAsia="Times New Roman" w:cs="Times New Roman"/>
                <w:b/>
                <w:sz w:val="22"/>
              </w:rPr>
              <w:t>5</w:t>
            </w:r>
          </w:p>
        </w:tc>
        <w:tc>
          <w:tcPr>
            <w:tcW w:w="608" w:type="pct"/>
            <w:tcBorders>
              <w:right w:val="single" w:sz="4" w:space="0" w:color="auto"/>
            </w:tcBorders>
            <w:vAlign w:val="center"/>
          </w:tcPr>
          <w:p w:rsidR="0028112C" w:rsidRPr="007F0B40" w:rsidRDefault="0028112C" w:rsidP="00E47706">
            <w:pPr>
              <w:tabs>
                <w:tab w:val="decimal" w:pos="349"/>
              </w:tabs>
              <w:spacing w:before="60" w:after="60"/>
              <w:jc w:val="center"/>
              <w:cnfStyle w:val="000000000000"/>
              <w:rPr>
                <w:rFonts w:eastAsia="Times New Roman" w:cs="Times New Roman"/>
                <w:b/>
                <w:sz w:val="22"/>
              </w:rPr>
            </w:pPr>
            <w:r w:rsidRPr="007F0B40">
              <w:rPr>
                <w:rFonts w:eastAsia="Times New Roman" w:cs="Times New Roman"/>
                <w:b/>
                <w:sz w:val="22"/>
              </w:rPr>
              <w:t>3,9</w:t>
            </w:r>
          </w:p>
        </w:tc>
        <w:tc>
          <w:tcPr>
            <w:tcW w:w="608" w:type="pct"/>
            <w:tcBorders>
              <w:left w:val="single" w:sz="4" w:space="0" w:color="auto"/>
            </w:tcBorders>
            <w:vAlign w:val="center"/>
          </w:tcPr>
          <w:p w:rsidR="0028112C" w:rsidRPr="007F0B40" w:rsidRDefault="0028112C" w:rsidP="00E47706">
            <w:pPr>
              <w:spacing w:before="60" w:after="60"/>
              <w:jc w:val="center"/>
              <w:cnfStyle w:val="000000000000"/>
              <w:rPr>
                <w:rFonts w:eastAsia="Times New Roman" w:cs="Times New Roman"/>
                <w:b/>
                <w:sz w:val="22"/>
              </w:rPr>
            </w:pPr>
            <w:r w:rsidRPr="007F0B40">
              <w:rPr>
                <w:rFonts w:eastAsia="Times New Roman" w:cs="Times New Roman"/>
                <w:b/>
                <w:sz w:val="22"/>
              </w:rPr>
              <w:t>-18,0</w:t>
            </w:r>
          </w:p>
        </w:tc>
        <w:tc>
          <w:tcPr>
            <w:tcW w:w="608" w:type="pct"/>
            <w:vAlign w:val="center"/>
          </w:tcPr>
          <w:p w:rsidR="0028112C" w:rsidRPr="007F0B40" w:rsidRDefault="0028112C" w:rsidP="00E47706">
            <w:pPr>
              <w:spacing w:before="60" w:after="60"/>
              <w:jc w:val="center"/>
              <w:cnfStyle w:val="000000000000"/>
              <w:rPr>
                <w:rFonts w:eastAsia="Times New Roman" w:cs="Times New Roman"/>
                <w:b/>
                <w:sz w:val="22"/>
              </w:rPr>
            </w:pPr>
            <w:r w:rsidRPr="007F0B40">
              <w:rPr>
                <w:rFonts w:eastAsia="Times New Roman" w:cs="Times New Roman"/>
                <w:b/>
                <w:sz w:val="22"/>
              </w:rPr>
              <w:t>-4,0</w:t>
            </w:r>
          </w:p>
        </w:tc>
        <w:tc>
          <w:tcPr>
            <w:tcW w:w="607" w:type="pct"/>
            <w:vAlign w:val="center"/>
          </w:tcPr>
          <w:p w:rsidR="0028112C" w:rsidRPr="007F0B40" w:rsidRDefault="0028112C" w:rsidP="00E47706">
            <w:pPr>
              <w:spacing w:before="60" w:after="60"/>
              <w:jc w:val="center"/>
              <w:cnfStyle w:val="000000000000"/>
              <w:rPr>
                <w:rFonts w:eastAsia="Times New Roman" w:cs="Times New Roman"/>
                <w:b/>
                <w:sz w:val="22"/>
              </w:rPr>
            </w:pPr>
            <w:r w:rsidRPr="007F0B40">
              <w:rPr>
                <w:rFonts w:eastAsia="Times New Roman" w:cs="Times New Roman"/>
                <w:b/>
                <w:sz w:val="22"/>
              </w:rPr>
              <w:t>2,6</w:t>
            </w:r>
          </w:p>
        </w:tc>
      </w:tr>
      <w:tr w:rsidR="0028112C" w:rsidRPr="00A23B88" w:rsidTr="0028112C">
        <w:trPr>
          <w:cnfStyle w:val="000000100000"/>
          <w:jc w:val="center"/>
        </w:trPr>
        <w:tc>
          <w:tcPr>
            <w:cnfStyle w:val="001000000000"/>
            <w:tcW w:w="1355" w:type="pct"/>
            <w:tcBorders>
              <w:right w:val="single" w:sz="4" w:space="0" w:color="auto"/>
            </w:tcBorders>
          </w:tcPr>
          <w:p w:rsidR="0028112C" w:rsidRPr="00A23B88" w:rsidRDefault="0028112C" w:rsidP="002F02CF">
            <w:pPr>
              <w:spacing w:before="60" w:after="60"/>
              <w:rPr>
                <w:rFonts w:cs="Times New Roman"/>
                <w:color w:val="000000"/>
                <w:sz w:val="22"/>
              </w:rPr>
            </w:pPr>
            <w:r w:rsidRPr="00A23B88">
              <w:rPr>
                <w:rFonts w:eastAsia="Times New Roman" w:cs="Times New Roman"/>
                <w:b w:val="0"/>
                <w:sz w:val="22"/>
              </w:rPr>
              <w:t>Primārās nozares</w:t>
            </w:r>
          </w:p>
        </w:tc>
        <w:tc>
          <w:tcPr>
            <w:tcW w:w="607" w:type="pct"/>
            <w:tcBorders>
              <w:lef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-6,2</w:t>
            </w:r>
          </w:p>
        </w:tc>
        <w:tc>
          <w:tcPr>
            <w:tcW w:w="608" w:type="pct"/>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Pr>
                <w:rFonts w:eastAsia="Times New Roman" w:cs="Times New Roman"/>
                <w:sz w:val="20"/>
                <w:szCs w:val="20"/>
              </w:rPr>
              <w:t>2</w:t>
            </w:r>
            <w:r w:rsidRPr="003C53B7">
              <w:rPr>
                <w:rFonts w:eastAsia="Times New Roman" w:cs="Times New Roman"/>
                <w:sz w:val="20"/>
                <w:szCs w:val="20"/>
              </w:rPr>
              <w:t>,4</w:t>
            </w:r>
          </w:p>
        </w:tc>
        <w:tc>
          <w:tcPr>
            <w:tcW w:w="608" w:type="pct"/>
            <w:tcBorders>
              <w:righ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Pr>
                <w:rFonts w:eastAsia="Times New Roman" w:cs="Times New Roman"/>
                <w:sz w:val="20"/>
                <w:szCs w:val="20"/>
              </w:rPr>
              <w:t>3,1</w:t>
            </w:r>
          </w:p>
        </w:tc>
        <w:tc>
          <w:tcPr>
            <w:tcW w:w="608" w:type="pct"/>
            <w:tcBorders>
              <w:lef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-6,2</w:t>
            </w:r>
          </w:p>
        </w:tc>
        <w:tc>
          <w:tcPr>
            <w:tcW w:w="608" w:type="pct"/>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Pr>
                <w:rFonts w:eastAsia="Times New Roman" w:cs="Times New Roman"/>
                <w:sz w:val="20"/>
                <w:szCs w:val="20"/>
              </w:rPr>
              <w:t>1,8</w:t>
            </w:r>
          </w:p>
        </w:tc>
        <w:tc>
          <w:tcPr>
            <w:tcW w:w="607" w:type="pct"/>
            <w:vAlign w:val="center"/>
          </w:tcPr>
          <w:p w:rsidR="0028112C" w:rsidRPr="003C53B7" w:rsidRDefault="0028112C" w:rsidP="00E47706">
            <w:pPr>
              <w:spacing w:before="60" w:after="60"/>
              <w:jc w:val="center"/>
              <w:cnfStyle w:val="000000100000"/>
              <w:rPr>
                <w:rFonts w:eastAsia="Times New Roman" w:cs="Times New Roman"/>
                <w:sz w:val="20"/>
                <w:szCs w:val="20"/>
              </w:rPr>
            </w:pPr>
            <w:r w:rsidRPr="003C53B7">
              <w:rPr>
                <w:rFonts w:eastAsia="Times New Roman" w:cs="Times New Roman"/>
                <w:sz w:val="20"/>
                <w:szCs w:val="20"/>
              </w:rPr>
              <w:t>2,</w:t>
            </w:r>
            <w:r>
              <w:rPr>
                <w:rFonts w:eastAsia="Times New Roman" w:cs="Times New Roman"/>
                <w:sz w:val="20"/>
                <w:szCs w:val="20"/>
              </w:rPr>
              <w:t>3</w:t>
            </w:r>
          </w:p>
        </w:tc>
      </w:tr>
      <w:tr w:rsidR="0028112C" w:rsidRPr="00A23B88" w:rsidTr="0028112C">
        <w:trPr>
          <w:jc w:val="center"/>
        </w:trPr>
        <w:tc>
          <w:tcPr>
            <w:cnfStyle w:val="001000000000"/>
            <w:tcW w:w="1355" w:type="pct"/>
            <w:tcBorders>
              <w:right w:val="single" w:sz="4" w:space="0" w:color="auto"/>
            </w:tcBorders>
          </w:tcPr>
          <w:p w:rsidR="0028112C" w:rsidRPr="00A23B88" w:rsidRDefault="0028112C" w:rsidP="002F02CF">
            <w:pPr>
              <w:spacing w:before="60" w:after="60"/>
              <w:rPr>
                <w:rFonts w:cs="Times New Roman"/>
                <w:color w:val="000000"/>
                <w:sz w:val="22"/>
              </w:rPr>
            </w:pPr>
            <w:r w:rsidRPr="00A23B88">
              <w:rPr>
                <w:rFonts w:eastAsia="Times New Roman" w:cs="Times New Roman"/>
                <w:b w:val="0"/>
                <w:sz w:val="22"/>
              </w:rPr>
              <w:t>Apstrādes rūpniecība</w:t>
            </w:r>
          </w:p>
        </w:tc>
        <w:tc>
          <w:tcPr>
            <w:tcW w:w="607" w:type="pct"/>
            <w:tcBorders>
              <w:lef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-20,5</w:t>
            </w:r>
          </w:p>
        </w:tc>
        <w:tc>
          <w:tcPr>
            <w:tcW w:w="608" w:type="pct"/>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5,8</w:t>
            </w:r>
          </w:p>
        </w:tc>
        <w:tc>
          <w:tcPr>
            <w:tcW w:w="608" w:type="pct"/>
            <w:tcBorders>
              <w:righ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4,</w:t>
            </w:r>
            <w:r>
              <w:rPr>
                <w:rFonts w:eastAsia="Times New Roman" w:cs="Times New Roman"/>
                <w:sz w:val="20"/>
                <w:szCs w:val="20"/>
              </w:rPr>
              <w:t>5</w:t>
            </w:r>
          </w:p>
        </w:tc>
        <w:tc>
          <w:tcPr>
            <w:tcW w:w="608" w:type="pct"/>
            <w:tcBorders>
              <w:lef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-20,5</w:t>
            </w:r>
          </w:p>
        </w:tc>
        <w:tc>
          <w:tcPr>
            <w:tcW w:w="608" w:type="pct"/>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3,0</w:t>
            </w:r>
          </w:p>
        </w:tc>
        <w:tc>
          <w:tcPr>
            <w:tcW w:w="607" w:type="pct"/>
            <w:vAlign w:val="center"/>
          </w:tcPr>
          <w:p w:rsidR="0028112C" w:rsidRPr="003C53B7" w:rsidRDefault="0028112C" w:rsidP="00E47706">
            <w:pPr>
              <w:spacing w:before="60" w:after="60"/>
              <w:jc w:val="center"/>
              <w:cnfStyle w:val="000000000000"/>
              <w:rPr>
                <w:rFonts w:eastAsia="Times New Roman" w:cs="Times New Roman"/>
                <w:sz w:val="20"/>
                <w:szCs w:val="20"/>
              </w:rPr>
            </w:pPr>
            <w:r w:rsidRPr="003C53B7">
              <w:rPr>
                <w:rFonts w:eastAsia="Times New Roman" w:cs="Times New Roman"/>
                <w:sz w:val="20"/>
                <w:szCs w:val="20"/>
              </w:rPr>
              <w:t>4,</w:t>
            </w:r>
            <w:r>
              <w:rPr>
                <w:rFonts w:eastAsia="Times New Roman" w:cs="Times New Roman"/>
                <w:sz w:val="20"/>
                <w:szCs w:val="20"/>
              </w:rPr>
              <w:t>2</w:t>
            </w:r>
          </w:p>
        </w:tc>
      </w:tr>
      <w:tr w:rsidR="0028112C" w:rsidRPr="00A23B88" w:rsidTr="0028112C">
        <w:trPr>
          <w:cnfStyle w:val="000000100000"/>
          <w:jc w:val="center"/>
        </w:trPr>
        <w:tc>
          <w:tcPr>
            <w:cnfStyle w:val="001000000000"/>
            <w:tcW w:w="1355" w:type="pct"/>
            <w:tcBorders>
              <w:right w:val="single" w:sz="4" w:space="0" w:color="auto"/>
            </w:tcBorders>
          </w:tcPr>
          <w:p w:rsidR="0028112C" w:rsidRPr="00A23B88" w:rsidRDefault="0028112C" w:rsidP="002F02CF">
            <w:pPr>
              <w:spacing w:before="60" w:after="60"/>
              <w:rPr>
                <w:rFonts w:cs="Times New Roman"/>
                <w:color w:val="000000"/>
                <w:sz w:val="22"/>
              </w:rPr>
            </w:pPr>
            <w:r w:rsidRPr="00A23B88">
              <w:rPr>
                <w:rFonts w:eastAsia="Times New Roman" w:cs="Times New Roman"/>
                <w:b w:val="0"/>
                <w:sz w:val="22"/>
              </w:rPr>
              <w:t>Elektroenerģija, gāze un ūdens apgāde</w:t>
            </w:r>
          </w:p>
        </w:tc>
        <w:tc>
          <w:tcPr>
            <w:tcW w:w="607" w:type="pct"/>
            <w:tcBorders>
              <w:lef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-11,4</w:t>
            </w:r>
          </w:p>
        </w:tc>
        <w:tc>
          <w:tcPr>
            <w:tcW w:w="608" w:type="pct"/>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3</w:t>
            </w:r>
          </w:p>
        </w:tc>
        <w:tc>
          <w:tcPr>
            <w:tcW w:w="608" w:type="pct"/>
            <w:tcBorders>
              <w:righ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1,3</w:t>
            </w:r>
          </w:p>
        </w:tc>
        <w:tc>
          <w:tcPr>
            <w:tcW w:w="608" w:type="pct"/>
            <w:tcBorders>
              <w:lef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-11,4</w:t>
            </w:r>
          </w:p>
        </w:tc>
        <w:tc>
          <w:tcPr>
            <w:tcW w:w="608" w:type="pct"/>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-0,3</w:t>
            </w:r>
          </w:p>
        </w:tc>
        <w:tc>
          <w:tcPr>
            <w:tcW w:w="607" w:type="pct"/>
            <w:vAlign w:val="center"/>
          </w:tcPr>
          <w:p w:rsidR="0028112C" w:rsidRPr="003C53B7" w:rsidRDefault="0028112C" w:rsidP="00E47706">
            <w:pPr>
              <w:spacing w:before="60" w:after="60"/>
              <w:jc w:val="center"/>
              <w:cnfStyle w:val="000000100000"/>
              <w:rPr>
                <w:rFonts w:eastAsia="Times New Roman" w:cs="Times New Roman"/>
                <w:sz w:val="20"/>
                <w:szCs w:val="20"/>
              </w:rPr>
            </w:pPr>
            <w:r w:rsidRPr="003C53B7">
              <w:rPr>
                <w:rFonts w:eastAsia="Times New Roman" w:cs="Times New Roman"/>
                <w:sz w:val="20"/>
                <w:szCs w:val="20"/>
              </w:rPr>
              <w:t>1,0</w:t>
            </w:r>
          </w:p>
        </w:tc>
      </w:tr>
      <w:tr w:rsidR="0028112C" w:rsidRPr="00A23B88" w:rsidTr="0028112C">
        <w:trPr>
          <w:trHeight w:val="263"/>
          <w:jc w:val="center"/>
        </w:trPr>
        <w:tc>
          <w:tcPr>
            <w:cnfStyle w:val="001000000000"/>
            <w:tcW w:w="1355" w:type="pct"/>
            <w:tcBorders>
              <w:right w:val="single" w:sz="4" w:space="0" w:color="auto"/>
            </w:tcBorders>
          </w:tcPr>
          <w:p w:rsidR="0028112C" w:rsidRPr="00A23B88" w:rsidRDefault="0028112C" w:rsidP="002F02CF">
            <w:pPr>
              <w:spacing w:before="60" w:after="60"/>
              <w:rPr>
                <w:rFonts w:cs="Times New Roman"/>
                <w:color w:val="000000"/>
                <w:sz w:val="22"/>
              </w:rPr>
            </w:pPr>
            <w:r w:rsidRPr="00A23B88">
              <w:rPr>
                <w:rFonts w:eastAsia="Times New Roman" w:cs="Times New Roman"/>
                <w:b w:val="0"/>
                <w:sz w:val="22"/>
              </w:rPr>
              <w:t>Būvniecība</w:t>
            </w:r>
          </w:p>
        </w:tc>
        <w:tc>
          <w:tcPr>
            <w:tcW w:w="607" w:type="pct"/>
            <w:tcBorders>
              <w:lef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-29,2</w:t>
            </w:r>
          </w:p>
        </w:tc>
        <w:tc>
          <w:tcPr>
            <w:tcW w:w="608" w:type="pct"/>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w:t>
            </w:r>
            <w:r>
              <w:rPr>
                <w:rFonts w:eastAsia="Times New Roman" w:cs="Times New Roman"/>
                <w:sz w:val="20"/>
                <w:szCs w:val="20"/>
              </w:rPr>
              <w:t>17,4</w:t>
            </w:r>
          </w:p>
        </w:tc>
        <w:tc>
          <w:tcPr>
            <w:tcW w:w="608" w:type="pct"/>
            <w:tcBorders>
              <w:righ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5,4</w:t>
            </w:r>
          </w:p>
        </w:tc>
        <w:tc>
          <w:tcPr>
            <w:tcW w:w="608" w:type="pct"/>
            <w:tcBorders>
              <w:lef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-29,2</w:t>
            </w:r>
          </w:p>
        </w:tc>
        <w:tc>
          <w:tcPr>
            <w:tcW w:w="608" w:type="pct"/>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-18,5</w:t>
            </w:r>
          </w:p>
        </w:tc>
        <w:tc>
          <w:tcPr>
            <w:tcW w:w="607" w:type="pct"/>
            <w:vAlign w:val="center"/>
          </w:tcPr>
          <w:p w:rsidR="0028112C" w:rsidRPr="003C53B7" w:rsidRDefault="0028112C" w:rsidP="00E47706">
            <w:pPr>
              <w:spacing w:before="60" w:after="60"/>
              <w:jc w:val="center"/>
              <w:cnfStyle w:val="000000000000"/>
              <w:rPr>
                <w:rFonts w:eastAsia="Times New Roman" w:cs="Times New Roman"/>
                <w:sz w:val="20"/>
                <w:szCs w:val="20"/>
              </w:rPr>
            </w:pPr>
            <w:r w:rsidRPr="003C53B7">
              <w:rPr>
                <w:rFonts w:eastAsia="Times New Roman" w:cs="Times New Roman"/>
                <w:sz w:val="20"/>
                <w:szCs w:val="20"/>
              </w:rPr>
              <w:t>3,1</w:t>
            </w:r>
          </w:p>
        </w:tc>
      </w:tr>
      <w:tr w:rsidR="0028112C" w:rsidRPr="00A23B88" w:rsidTr="0028112C">
        <w:trPr>
          <w:cnfStyle w:val="000000100000"/>
          <w:jc w:val="center"/>
        </w:trPr>
        <w:tc>
          <w:tcPr>
            <w:cnfStyle w:val="001000000000"/>
            <w:tcW w:w="1355" w:type="pct"/>
            <w:tcBorders>
              <w:right w:val="single" w:sz="4" w:space="0" w:color="auto"/>
            </w:tcBorders>
          </w:tcPr>
          <w:p w:rsidR="0028112C" w:rsidRPr="00A23B88" w:rsidRDefault="0028112C" w:rsidP="002F02CF">
            <w:pPr>
              <w:spacing w:before="60" w:after="60"/>
              <w:rPr>
                <w:rFonts w:cs="Times New Roman"/>
                <w:color w:val="000000"/>
                <w:sz w:val="22"/>
              </w:rPr>
            </w:pPr>
            <w:r w:rsidRPr="00A23B88">
              <w:rPr>
                <w:rFonts w:eastAsia="Times New Roman" w:cs="Times New Roman"/>
                <w:b w:val="0"/>
                <w:sz w:val="22"/>
              </w:rPr>
              <w:t>Tirdzniecība, viesnīcas un restorāni</w:t>
            </w:r>
          </w:p>
        </w:tc>
        <w:tc>
          <w:tcPr>
            <w:tcW w:w="607" w:type="pct"/>
            <w:tcBorders>
              <w:lef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-27,0</w:t>
            </w:r>
          </w:p>
        </w:tc>
        <w:tc>
          <w:tcPr>
            <w:tcW w:w="608" w:type="pct"/>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4</w:t>
            </w:r>
          </w:p>
        </w:tc>
        <w:tc>
          <w:tcPr>
            <w:tcW w:w="608" w:type="pct"/>
            <w:tcBorders>
              <w:righ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4,7</w:t>
            </w:r>
          </w:p>
        </w:tc>
        <w:tc>
          <w:tcPr>
            <w:tcW w:w="608" w:type="pct"/>
            <w:tcBorders>
              <w:lef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-27,0</w:t>
            </w:r>
          </w:p>
        </w:tc>
        <w:tc>
          <w:tcPr>
            <w:tcW w:w="608" w:type="pct"/>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-1,7</w:t>
            </w:r>
          </w:p>
        </w:tc>
        <w:tc>
          <w:tcPr>
            <w:tcW w:w="607" w:type="pct"/>
            <w:vAlign w:val="center"/>
          </w:tcPr>
          <w:p w:rsidR="0028112C" w:rsidRPr="003C53B7" w:rsidRDefault="0028112C" w:rsidP="00E47706">
            <w:pPr>
              <w:spacing w:before="60" w:after="60"/>
              <w:jc w:val="center"/>
              <w:cnfStyle w:val="000000100000"/>
              <w:rPr>
                <w:rFonts w:eastAsia="Times New Roman" w:cs="Times New Roman"/>
                <w:sz w:val="20"/>
                <w:szCs w:val="20"/>
              </w:rPr>
            </w:pPr>
            <w:r w:rsidRPr="003C53B7">
              <w:rPr>
                <w:rFonts w:eastAsia="Times New Roman" w:cs="Times New Roman"/>
                <w:sz w:val="20"/>
                <w:szCs w:val="20"/>
              </w:rPr>
              <w:t>3,0</w:t>
            </w:r>
          </w:p>
        </w:tc>
      </w:tr>
      <w:tr w:rsidR="0028112C" w:rsidRPr="00A23B88" w:rsidTr="0028112C">
        <w:trPr>
          <w:jc w:val="center"/>
        </w:trPr>
        <w:tc>
          <w:tcPr>
            <w:cnfStyle w:val="001000000000"/>
            <w:tcW w:w="1355" w:type="pct"/>
            <w:tcBorders>
              <w:right w:val="single" w:sz="4" w:space="0" w:color="auto"/>
            </w:tcBorders>
          </w:tcPr>
          <w:p w:rsidR="0028112C" w:rsidRPr="00A23B88" w:rsidRDefault="0028112C" w:rsidP="002F02CF">
            <w:pPr>
              <w:spacing w:before="60" w:after="60"/>
              <w:rPr>
                <w:rFonts w:cs="Times New Roman"/>
                <w:color w:val="000000"/>
                <w:sz w:val="22"/>
              </w:rPr>
            </w:pPr>
            <w:r w:rsidRPr="00A23B88">
              <w:rPr>
                <w:rFonts w:eastAsia="Times New Roman" w:cs="Times New Roman"/>
                <w:b w:val="0"/>
                <w:sz w:val="22"/>
              </w:rPr>
              <w:t>Transports un sakari</w:t>
            </w:r>
          </w:p>
        </w:tc>
        <w:tc>
          <w:tcPr>
            <w:tcW w:w="607" w:type="pct"/>
            <w:tcBorders>
              <w:lef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-13,0</w:t>
            </w:r>
          </w:p>
        </w:tc>
        <w:tc>
          <w:tcPr>
            <w:tcW w:w="608" w:type="pct"/>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5,3</w:t>
            </w:r>
          </w:p>
        </w:tc>
        <w:tc>
          <w:tcPr>
            <w:tcW w:w="608" w:type="pct"/>
            <w:tcBorders>
              <w:righ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Pr>
                <w:rFonts w:eastAsia="Times New Roman" w:cs="Times New Roman"/>
                <w:sz w:val="20"/>
                <w:szCs w:val="20"/>
              </w:rPr>
              <w:t>4,9</w:t>
            </w:r>
          </w:p>
        </w:tc>
        <w:tc>
          <w:tcPr>
            <w:tcW w:w="608" w:type="pct"/>
            <w:tcBorders>
              <w:lef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-13,0</w:t>
            </w:r>
          </w:p>
        </w:tc>
        <w:tc>
          <w:tcPr>
            <w:tcW w:w="608" w:type="pct"/>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3,6</w:t>
            </w:r>
          </w:p>
        </w:tc>
        <w:tc>
          <w:tcPr>
            <w:tcW w:w="607" w:type="pct"/>
            <w:vAlign w:val="center"/>
          </w:tcPr>
          <w:p w:rsidR="0028112C" w:rsidRPr="003C53B7" w:rsidRDefault="0028112C" w:rsidP="00E47706">
            <w:pPr>
              <w:spacing w:before="60" w:after="60"/>
              <w:jc w:val="center"/>
              <w:cnfStyle w:val="000000000000"/>
              <w:rPr>
                <w:rFonts w:eastAsia="Times New Roman" w:cs="Times New Roman"/>
                <w:sz w:val="20"/>
                <w:szCs w:val="20"/>
              </w:rPr>
            </w:pPr>
            <w:r w:rsidRPr="003C53B7">
              <w:rPr>
                <w:rFonts w:eastAsia="Times New Roman" w:cs="Times New Roman"/>
                <w:sz w:val="20"/>
                <w:szCs w:val="20"/>
              </w:rPr>
              <w:t>3,7</w:t>
            </w:r>
          </w:p>
        </w:tc>
      </w:tr>
      <w:tr w:rsidR="0028112C" w:rsidRPr="00A23B88" w:rsidTr="0028112C">
        <w:trPr>
          <w:cnfStyle w:val="000000100000"/>
          <w:jc w:val="center"/>
        </w:trPr>
        <w:tc>
          <w:tcPr>
            <w:cnfStyle w:val="001000000000"/>
            <w:tcW w:w="1355" w:type="pct"/>
            <w:tcBorders>
              <w:right w:val="single" w:sz="4" w:space="0" w:color="auto"/>
            </w:tcBorders>
          </w:tcPr>
          <w:p w:rsidR="0028112C" w:rsidRPr="00A23B88" w:rsidRDefault="0028112C" w:rsidP="002F02CF">
            <w:pPr>
              <w:spacing w:before="60" w:after="60"/>
              <w:rPr>
                <w:rFonts w:cs="Times New Roman"/>
                <w:color w:val="000000"/>
                <w:sz w:val="22"/>
              </w:rPr>
            </w:pPr>
            <w:r w:rsidRPr="00A23B88">
              <w:rPr>
                <w:rFonts w:eastAsia="Times New Roman" w:cs="Times New Roman"/>
                <w:b w:val="0"/>
                <w:sz w:val="22"/>
              </w:rPr>
              <w:t>Citi komercpakalpojumi</w:t>
            </w:r>
          </w:p>
        </w:tc>
        <w:tc>
          <w:tcPr>
            <w:tcW w:w="607" w:type="pct"/>
            <w:tcBorders>
              <w:lef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-8,5</w:t>
            </w:r>
          </w:p>
        </w:tc>
        <w:tc>
          <w:tcPr>
            <w:tcW w:w="608" w:type="pct"/>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-4,</w:t>
            </w:r>
            <w:r>
              <w:rPr>
                <w:rFonts w:eastAsia="Times New Roman" w:cs="Times New Roman"/>
                <w:sz w:val="20"/>
                <w:szCs w:val="20"/>
              </w:rPr>
              <w:t>7</w:t>
            </w:r>
          </w:p>
        </w:tc>
        <w:tc>
          <w:tcPr>
            <w:tcW w:w="608" w:type="pct"/>
            <w:tcBorders>
              <w:righ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3,4</w:t>
            </w:r>
          </w:p>
        </w:tc>
        <w:tc>
          <w:tcPr>
            <w:tcW w:w="608" w:type="pct"/>
            <w:tcBorders>
              <w:left w:val="single" w:sz="4" w:space="0" w:color="auto"/>
            </w:tcBorders>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-8,5</w:t>
            </w:r>
          </w:p>
        </w:tc>
        <w:tc>
          <w:tcPr>
            <w:tcW w:w="608" w:type="pct"/>
            <w:vAlign w:val="center"/>
          </w:tcPr>
          <w:p w:rsidR="0028112C" w:rsidRPr="003C53B7" w:rsidRDefault="0028112C" w:rsidP="00E47706">
            <w:pPr>
              <w:tabs>
                <w:tab w:val="decimal" w:pos="349"/>
              </w:tabs>
              <w:spacing w:before="60" w:after="60"/>
              <w:jc w:val="center"/>
              <w:cnfStyle w:val="000000100000"/>
              <w:rPr>
                <w:rFonts w:eastAsia="Times New Roman" w:cs="Times New Roman"/>
                <w:sz w:val="20"/>
                <w:szCs w:val="20"/>
              </w:rPr>
            </w:pPr>
            <w:r w:rsidRPr="003C53B7">
              <w:rPr>
                <w:rFonts w:eastAsia="Times New Roman" w:cs="Times New Roman"/>
                <w:sz w:val="20"/>
                <w:szCs w:val="20"/>
              </w:rPr>
              <w:t>-6,2</w:t>
            </w:r>
          </w:p>
        </w:tc>
        <w:tc>
          <w:tcPr>
            <w:tcW w:w="607" w:type="pct"/>
            <w:vAlign w:val="center"/>
          </w:tcPr>
          <w:p w:rsidR="0028112C" w:rsidRPr="003C53B7" w:rsidRDefault="0028112C" w:rsidP="00E47706">
            <w:pPr>
              <w:spacing w:before="60" w:after="60"/>
              <w:jc w:val="center"/>
              <w:cnfStyle w:val="000000100000"/>
              <w:rPr>
                <w:rFonts w:eastAsia="Times New Roman" w:cs="Times New Roman"/>
                <w:sz w:val="20"/>
                <w:szCs w:val="20"/>
              </w:rPr>
            </w:pPr>
            <w:r w:rsidRPr="003C53B7">
              <w:rPr>
                <w:rFonts w:eastAsia="Times New Roman" w:cs="Times New Roman"/>
                <w:sz w:val="20"/>
                <w:szCs w:val="20"/>
              </w:rPr>
              <w:t>1,7</w:t>
            </w:r>
          </w:p>
        </w:tc>
      </w:tr>
      <w:tr w:rsidR="0028112C" w:rsidRPr="00A23B88" w:rsidTr="0028112C">
        <w:trPr>
          <w:jc w:val="center"/>
        </w:trPr>
        <w:tc>
          <w:tcPr>
            <w:cnfStyle w:val="001000000000"/>
            <w:tcW w:w="1355" w:type="pct"/>
            <w:tcBorders>
              <w:right w:val="single" w:sz="4" w:space="0" w:color="auto"/>
            </w:tcBorders>
          </w:tcPr>
          <w:p w:rsidR="0028112C" w:rsidRPr="00A23B88" w:rsidRDefault="0028112C" w:rsidP="002F02CF">
            <w:pPr>
              <w:spacing w:before="60" w:after="60"/>
              <w:rPr>
                <w:rFonts w:cs="Times New Roman"/>
                <w:color w:val="000000"/>
                <w:sz w:val="22"/>
              </w:rPr>
            </w:pPr>
            <w:r w:rsidRPr="00A23B88">
              <w:rPr>
                <w:rFonts w:eastAsia="Times New Roman" w:cs="Times New Roman"/>
                <w:b w:val="0"/>
                <w:sz w:val="22"/>
              </w:rPr>
              <w:t>Sabiedriskie pakalpojumi</w:t>
            </w:r>
          </w:p>
        </w:tc>
        <w:tc>
          <w:tcPr>
            <w:tcW w:w="607" w:type="pct"/>
            <w:tcBorders>
              <w:lef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-9,8</w:t>
            </w:r>
          </w:p>
        </w:tc>
        <w:tc>
          <w:tcPr>
            <w:tcW w:w="608" w:type="pct"/>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-10,</w:t>
            </w:r>
            <w:r>
              <w:rPr>
                <w:rFonts w:eastAsia="Times New Roman" w:cs="Times New Roman"/>
                <w:sz w:val="20"/>
                <w:szCs w:val="20"/>
              </w:rPr>
              <w:t>9</w:t>
            </w:r>
          </w:p>
        </w:tc>
        <w:tc>
          <w:tcPr>
            <w:tcW w:w="608" w:type="pct"/>
            <w:tcBorders>
              <w:righ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1,8</w:t>
            </w:r>
          </w:p>
        </w:tc>
        <w:tc>
          <w:tcPr>
            <w:tcW w:w="608" w:type="pct"/>
            <w:tcBorders>
              <w:left w:val="single" w:sz="4" w:space="0" w:color="auto"/>
            </w:tcBorders>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-9,8</w:t>
            </w:r>
          </w:p>
        </w:tc>
        <w:tc>
          <w:tcPr>
            <w:tcW w:w="608" w:type="pct"/>
            <w:vAlign w:val="center"/>
          </w:tcPr>
          <w:p w:rsidR="0028112C" w:rsidRPr="003C53B7" w:rsidRDefault="0028112C" w:rsidP="00E47706">
            <w:pPr>
              <w:tabs>
                <w:tab w:val="decimal" w:pos="349"/>
              </w:tabs>
              <w:spacing w:before="60" w:after="60"/>
              <w:jc w:val="center"/>
              <w:cnfStyle w:val="000000000000"/>
              <w:rPr>
                <w:rFonts w:eastAsia="Times New Roman" w:cs="Times New Roman"/>
                <w:sz w:val="20"/>
                <w:szCs w:val="20"/>
              </w:rPr>
            </w:pPr>
            <w:r w:rsidRPr="003C53B7">
              <w:rPr>
                <w:rFonts w:eastAsia="Times New Roman" w:cs="Times New Roman"/>
                <w:sz w:val="20"/>
                <w:szCs w:val="20"/>
              </w:rPr>
              <w:t>-10,9</w:t>
            </w:r>
          </w:p>
        </w:tc>
        <w:tc>
          <w:tcPr>
            <w:tcW w:w="607" w:type="pct"/>
            <w:vAlign w:val="center"/>
          </w:tcPr>
          <w:p w:rsidR="0028112C" w:rsidRPr="003C53B7" w:rsidRDefault="0028112C" w:rsidP="00E47706">
            <w:pPr>
              <w:spacing w:before="60" w:after="60"/>
              <w:jc w:val="center"/>
              <w:cnfStyle w:val="000000000000"/>
              <w:rPr>
                <w:rFonts w:eastAsia="Times New Roman" w:cs="Times New Roman"/>
                <w:sz w:val="20"/>
                <w:szCs w:val="20"/>
              </w:rPr>
            </w:pPr>
            <w:r w:rsidRPr="003C53B7">
              <w:rPr>
                <w:rFonts w:eastAsia="Times New Roman" w:cs="Times New Roman"/>
                <w:sz w:val="20"/>
                <w:szCs w:val="20"/>
              </w:rPr>
              <w:t>1,1</w:t>
            </w:r>
          </w:p>
        </w:tc>
      </w:tr>
    </w:tbl>
    <w:p w:rsidR="008E433C" w:rsidRPr="00B454C8" w:rsidRDefault="008E433C" w:rsidP="008E433C">
      <w:pPr>
        <w:pStyle w:val="BodyTextIndent"/>
        <w:keepNext/>
        <w:spacing w:before="120" w:after="0"/>
        <w:ind w:left="0" w:firstLine="284"/>
        <w:rPr>
          <w:bCs/>
          <w:sz w:val="16"/>
          <w:szCs w:val="16"/>
          <w:lang w:val="lv-LV"/>
        </w:rPr>
      </w:pPr>
      <w:r>
        <w:rPr>
          <w:bCs/>
          <w:sz w:val="16"/>
          <w:szCs w:val="16"/>
          <w:lang w:val="lv-LV"/>
        </w:rPr>
        <w:t>*</w:t>
      </w:r>
      <w:r w:rsidRPr="00B454C8">
        <w:rPr>
          <w:bCs/>
          <w:sz w:val="16"/>
          <w:szCs w:val="16"/>
          <w:lang w:val="lv-LV"/>
        </w:rPr>
        <w:t>E</w:t>
      </w:r>
      <w:r w:rsidR="00BC2C1B">
        <w:rPr>
          <w:bCs/>
          <w:sz w:val="16"/>
          <w:szCs w:val="16"/>
          <w:lang w:val="lv-LV"/>
        </w:rPr>
        <w:t>konomikas ministrijas</w:t>
      </w:r>
      <w:r w:rsidRPr="00B454C8">
        <w:rPr>
          <w:bCs/>
          <w:sz w:val="16"/>
          <w:szCs w:val="16"/>
          <w:lang w:val="lv-LV"/>
        </w:rPr>
        <w:t xml:space="preserve"> novērtējums un prognozes</w:t>
      </w:r>
    </w:p>
    <w:p w:rsidR="008E433C" w:rsidRDefault="008E433C" w:rsidP="008E433C">
      <w:pPr>
        <w:pStyle w:val="Heading2"/>
      </w:pPr>
    </w:p>
    <w:p w:rsidR="008E433C" w:rsidRDefault="008E433C" w:rsidP="008E433C">
      <w:pPr>
        <w:spacing w:after="200" w:line="276" w:lineRule="auto"/>
        <w:rPr>
          <w:rFonts w:eastAsiaTheme="majorEastAsia" w:cstheme="majorBidi"/>
          <w:b/>
          <w:bCs/>
          <w:sz w:val="28"/>
          <w:szCs w:val="26"/>
        </w:rPr>
      </w:pPr>
      <w:bookmarkStart w:id="73" w:name="_Toc239501374"/>
      <w:r>
        <w:br w:type="page"/>
      </w:r>
    </w:p>
    <w:p w:rsidR="008E433C" w:rsidRPr="00ED0077" w:rsidRDefault="008E433C" w:rsidP="008E433C">
      <w:pPr>
        <w:pStyle w:val="Heading2"/>
      </w:pPr>
      <w:bookmarkStart w:id="74" w:name="_Toc242510391"/>
      <w:r w:rsidRPr="00ED0077">
        <w:lastRenderedPageBreak/>
        <w:t>1</w:t>
      </w:r>
      <w:r>
        <w:t>2</w:t>
      </w:r>
      <w:r w:rsidRPr="00ED0077">
        <w:t>.tabula</w:t>
      </w:r>
      <w:r>
        <w:t xml:space="preserve">. </w:t>
      </w:r>
      <w:r w:rsidRPr="00ED0077">
        <w:t>Tautsaimniecības struktūra</w:t>
      </w:r>
      <w:r>
        <w:t xml:space="preserve"> no </w:t>
      </w:r>
      <w:r w:rsidRPr="00187334">
        <w:t>200</w:t>
      </w:r>
      <w:r>
        <w:t>9</w:t>
      </w:r>
      <w:r w:rsidRPr="00187334">
        <w:t>. līdz 20</w:t>
      </w:r>
      <w:r>
        <w:t>15</w:t>
      </w:r>
      <w:r w:rsidRPr="00187334">
        <w:t>.gadam</w:t>
      </w:r>
      <w:bookmarkEnd w:id="73"/>
      <w:bookmarkEnd w:id="74"/>
    </w:p>
    <w:p w:rsidR="008E433C" w:rsidRPr="00ED0077" w:rsidRDefault="008E433C" w:rsidP="008E433C">
      <w:pPr>
        <w:rPr>
          <w:szCs w:val="24"/>
        </w:rPr>
      </w:pPr>
      <w:r w:rsidRPr="00ED0077">
        <w:rPr>
          <w:szCs w:val="24"/>
        </w:rPr>
        <w:t>(procentos)</w:t>
      </w:r>
      <w:r w:rsidR="001911DD">
        <w:rPr>
          <w:szCs w:val="24"/>
        </w:rPr>
        <w:t>*</w:t>
      </w:r>
    </w:p>
    <w:p w:rsidR="008E433C" w:rsidRPr="00EB5FEE" w:rsidRDefault="008E433C" w:rsidP="008E433C">
      <w:pPr>
        <w:jc w:val="center"/>
        <w:rPr>
          <w:sz w:val="16"/>
          <w:szCs w:val="24"/>
        </w:rPr>
      </w:pPr>
    </w:p>
    <w:tbl>
      <w:tblPr>
        <w:tblStyle w:val="LightShading1"/>
        <w:tblW w:w="9517" w:type="dxa"/>
        <w:jc w:val="center"/>
        <w:tblLayout w:type="fixed"/>
        <w:tblLook w:val="0400"/>
      </w:tblPr>
      <w:tblGrid>
        <w:gridCol w:w="3564"/>
        <w:gridCol w:w="744"/>
        <w:gridCol w:w="106"/>
        <w:gridCol w:w="638"/>
        <w:gridCol w:w="744"/>
        <w:gridCol w:w="744"/>
        <w:gridCol w:w="744"/>
        <w:gridCol w:w="744"/>
        <w:gridCol w:w="744"/>
        <w:gridCol w:w="745"/>
      </w:tblGrid>
      <w:tr w:rsidR="008E433C" w:rsidRPr="00C20E00" w:rsidTr="002F02CF">
        <w:trPr>
          <w:cnfStyle w:val="000000100000"/>
          <w:jc w:val="center"/>
        </w:trPr>
        <w:tc>
          <w:tcPr>
            <w:tcW w:w="3564" w:type="dxa"/>
            <w:tcBorders>
              <w:bottom w:val="nil"/>
            </w:tcBorders>
            <w:vAlign w:val="center"/>
          </w:tcPr>
          <w:p w:rsidR="008E433C" w:rsidRPr="00C20E00" w:rsidRDefault="008E433C" w:rsidP="002F02CF">
            <w:pPr>
              <w:spacing w:before="40" w:after="40"/>
              <w:ind w:right="-69"/>
              <w:jc w:val="center"/>
              <w:rPr>
                <w:sz w:val="22"/>
              </w:rPr>
            </w:pPr>
          </w:p>
        </w:tc>
        <w:tc>
          <w:tcPr>
            <w:tcW w:w="850" w:type="dxa"/>
            <w:gridSpan w:val="2"/>
            <w:tcBorders>
              <w:bottom w:val="nil"/>
            </w:tcBorders>
            <w:vAlign w:val="center"/>
          </w:tcPr>
          <w:p w:rsidR="008E433C" w:rsidRPr="00C20E00" w:rsidRDefault="008E433C" w:rsidP="002F02CF">
            <w:pPr>
              <w:spacing w:before="40" w:after="40"/>
              <w:jc w:val="center"/>
              <w:rPr>
                <w:b/>
                <w:sz w:val="22"/>
              </w:rPr>
            </w:pPr>
            <w:r w:rsidRPr="00C20E00">
              <w:rPr>
                <w:sz w:val="22"/>
              </w:rPr>
              <w:t>Fakts</w:t>
            </w:r>
          </w:p>
        </w:tc>
        <w:tc>
          <w:tcPr>
            <w:tcW w:w="5103" w:type="dxa"/>
            <w:gridSpan w:val="7"/>
            <w:tcBorders>
              <w:bottom w:val="nil"/>
            </w:tcBorders>
            <w:vAlign w:val="center"/>
          </w:tcPr>
          <w:p w:rsidR="008E433C" w:rsidRPr="00C20E00" w:rsidRDefault="008E433C" w:rsidP="000559B9">
            <w:pPr>
              <w:spacing w:before="40" w:after="40"/>
              <w:rPr>
                <w:sz w:val="22"/>
              </w:rPr>
            </w:pPr>
            <w:r w:rsidRPr="00C20E00">
              <w:rPr>
                <w:sz w:val="22"/>
              </w:rPr>
              <w:t>Prognozes</w:t>
            </w:r>
          </w:p>
        </w:tc>
      </w:tr>
      <w:tr w:rsidR="008E433C" w:rsidRPr="00C20E00" w:rsidTr="002F02CF">
        <w:trPr>
          <w:trHeight w:val="270"/>
          <w:jc w:val="center"/>
        </w:trPr>
        <w:tc>
          <w:tcPr>
            <w:tcW w:w="3564" w:type="dxa"/>
            <w:tcBorders>
              <w:top w:val="nil"/>
              <w:bottom w:val="single" w:sz="4" w:space="0" w:color="auto"/>
            </w:tcBorders>
            <w:vAlign w:val="center"/>
          </w:tcPr>
          <w:p w:rsidR="008E433C" w:rsidRPr="00C20E00" w:rsidRDefault="008E433C" w:rsidP="002F02CF">
            <w:pPr>
              <w:spacing w:before="40" w:after="40"/>
              <w:ind w:right="-69"/>
              <w:jc w:val="center"/>
              <w:rPr>
                <w:sz w:val="22"/>
              </w:rPr>
            </w:pP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2008</w:t>
            </w:r>
          </w:p>
        </w:tc>
        <w:tc>
          <w:tcPr>
            <w:tcW w:w="744" w:type="dxa"/>
            <w:gridSpan w:val="2"/>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2009</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2010</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2011</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2012</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2013</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2014</w:t>
            </w:r>
          </w:p>
        </w:tc>
        <w:tc>
          <w:tcPr>
            <w:tcW w:w="745"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2015</w:t>
            </w:r>
          </w:p>
        </w:tc>
      </w:tr>
      <w:tr w:rsidR="0028112C" w:rsidRPr="00C20E00" w:rsidTr="001911DD">
        <w:trPr>
          <w:cnfStyle w:val="000000100000"/>
          <w:jc w:val="center"/>
        </w:trPr>
        <w:tc>
          <w:tcPr>
            <w:tcW w:w="3564" w:type="dxa"/>
            <w:tcBorders>
              <w:top w:val="single" w:sz="4" w:space="0" w:color="auto"/>
            </w:tcBorders>
            <w:vAlign w:val="bottom"/>
          </w:tcPr>
          <w:p w:rsidR="0028112C" w:rsidRPr="00C20E00" w:rsidRDefault="0028112C" w:rsidP="002F02CF">
            <w:pPr>
              <w:spacing w:before="40" w:after="40"/>
              <w:ind w:right="-69"/>
              <w:rPr>
                <w:b/>
                <w:sz w:val="22"/>
              </w:rPr>
            </w:pPr>
            <w:r w:rsidRPr="00C20E00">
              <w:rPr>
                <w:b/>
                <w:sz w:val="22"/>
              </w:rPr>
              <w:t>IKP</w:t>
            </w:r>
          </w:p>
        </w:tc>
        <w:tc>
          <w:tcPr>
            <w:tcW w:w="744" w:type="dxa"/>
            <w:tcBorders>
              <w:top w:val="single" w:sz="4" w:space="0" w:color="auto"/>
            </w:tcBorders>
            <w:vAlign w:val="center"/>
          </w:tcPr>
          <w:p w:rsidR="0028112C" w:rsidRPr="00C20E00" w:rsidRDefault="0028112C" w:rsidP="00E47706">
            <w:pPr>
              <w:spacing w:before="40" w:after="40"/>
              <w:jc w:val="center"/>
              <w:rPr>
                <w:b/>
                <w:sz w:val="22"/>
              </w:rPr>
            </w:pPr>
            <w:r w:rsidRPr="00C20E00">
              <w:rPr>
                <w:b/>
                <w:sz w:val="22"/>
              </w:rPr>
              <w:t>100</w:t>
            </w:r>
          </w:p>
        </w:tc>
        <w:tc>
          <w:tcPr>
            <w:tcW w:w="744" w:type="dxa"/>
            <w:gridSpan w:val="2"/>
            <w:tcBorders>
              <w:top w:val="single" w:sz="4" w:space="0" w:color="auto"/>
            </w:tcBorders>
            <w:vAlign w:val="center"/>
          </w:tcPr>
          <w:p w:rsidR="0028112C" w:rsidRPr="00C20E00" w:rsidRDefault="0028112C" w:rsidP="00E47706">
            <w:pPr>
              <w:spacing w:before="40" w:after="40"/>
              <w:jc w:val="center"/>
              <w:rPr>
                <w:sz w:val="22"/>
              </w:rPr>
            </w:pPr>
            <w:r w:rsidRPr="00C20E00">
              <w:rPr>
                <w:b/>
                <w:sz w:val="22"/>
              </w:rPr>
              <w:t>100</w:t>
            </w:r>
          </w:p>
        </w:tc>
        <w:tc>
          <w:tcPr>
            <w:tcW w:w="744" w:type="dxa"/>
            <w:tcBorders>
              <w:top w:val="single" w:sz="4" w:space="0" w:color="auto"/>
            </w:tcBorders>
            <w:vAlign w:val="center"/>
          </w:tcPr>
          <w:p w:rsidR="0028112C" w:rsidRPr="00C20E00" w:rsidRDefault="0028112C" w:rsidP="00E47706">
            <w:pPr>
              <w:spacing w:before="40" w:after="40"/>
              <w:jc w:val="center"/>
              <w:rPr>
                <w:sz w:val="22"/>
              </w:rPr>
            </w:pPr>
            <w:r w:rsidRPr="00C20E00">
              <w:rPr>
                <w:b/>
                <w:sz w:val="22"/>
              </w:rPr>
              <w:t>100</w:t>
            </w:r>
          </w:p>
        </w:tc>
        <w:tc>
          <w:tcPr>
            <w:tcW w:w="744" w:type="dxa"/>
            <w:tcBorders>
              <w:top w:val="single" w:sz="4" w:space="0" w:color="auto"/>
            </w:tcBorders>
            <w:vAlign w:val="center"/>
          </w:tcPr>
          <w:p w:rsidR="0028112C" w:rsidRPr="00C20E00" w:rsidRDefault="0028112C" w:rsidP="00E47706">
            <w:pPr>
              <w:spacing w:before="40" w:after="40"/>
              <w:jc w:val="center"/>
              <w:rPr>
                <w:sz w:val="22"/>
              </w:rPr>
            </w:pPr>
            <w:r w:rsidRPr="00C20E00">
              <w:rPr>
                <w:b/>
                <w:sz w:val="22"/>
              </w:rPr>
              <w:t>100</w:t>
            </w:r>
          </w:p>
        </w:tc>
        <w:tc>
          <w:tcPr>
            <w:tcW w:w="744" w:type="dxa"/>
            <w:tcBorders>
              <w:top w:val="single" w:sz="4" w:space="0" w:color="auto"/>
            </w:tcBorders>
            <w:vAlign w:val="center"/>
          </w:tcPr>
          <w:p w:rsidR="0028112C" w:rsidRPr="00C20E00" w:rsidRDefault="0028112C" w:rsidP="00E47706">
            <w:pPr>
              <w:spacing w:before="40" w:after="40"/>
              <w:jc w:val="center"/>
              <w:rPr>
                <w:sz w:val="22"/>
              </w:rPr>
            </w:pPr>
            <w:r w:rsidRPr="00C20E00">
              <w:rPr>
                <w:b/>
                <w:sz w:val="22"/>
              </w:rPr>
              <w:t>100</w:t>
            </w:r>
          </w:p>
        </w:tc>
        <w:tc>
          <w:tcPr>
            <w:tcW w:w="744" w:type="dxa"/>
            <w:tcBorders>
              <w:top w:val="single" w:sz="4" w:space="0" w:color="auto"/>
            </w:tcBorders>
            <w:vAlign w:val="center"/>
          </w:tcPr>
          <w:p w:rsidR="0028112C" w:rsidRPr="00C20E00" w:rsidRDefault="0028112C" w:rsidP="00E47706">
            <w:pPr>
              <w:spacing w:before="40" w:after="40"/>
              <w:jc w:val="center"/>
              <w:rPr>
                <w:sz w:val="22"/>
              </w:rPr>
            </w:pPr>
            <w:r w:rsidRPr="00C20E00">
              <w:rPr>
                <w:b/>
                <w:sz w:val="22"/>
              </w:rPr>
              <w:t>100</w:t>
            </w:r>
          </w:p>
        </w:tc>
        <w:tc>
          <w:tcPr>
            <w:tcW w:w="744" w:type="dxa"/>
            <w:tcBorders>
              <w:top w:val="single" w:sz="4" w:space="0" w:color="auto"/>
            </w:tcBorders>
            <w:vAlign w:val="center"/>
          </w:tcPr>
          <w:p w:rsidR="0028112C" w:rsidRPr="00C20E00" w:rsidRDefault="0028112C" w:rsidP="00E47706">
            <w:pPr>
              <w:spacing w:before="40" w:after="40"/>
              <w:jc w:val="center"/>
              <w:rPr>
                <w:sz w:val="22"/>
              </w:rPr>
            </w:pPr>
            <w:r w:rsidRPr="00C20E00">
              <w:rPr>
                <w:b/>
                <w:sz w:val="22"/>
              </w:rPr>
              <w:t>100</w:t>
            </w:r>
          </w:p>
        </w:tc>
        <w:tc>
          <w:tcPr>
            <w:tcW w:w="745" w:type="dxa"/>
            <w:tcBorders>
              <w:top w:val="single" w:sz="4" w:space="0" w:color="auto"/>
            </w:tcBorders>
            <w:vAlign w:val="center"/>
          </w:tcPr>
          <w:p w:rsidR="0028112C" w:rsidRPr="00C20E00" w:rsidRDefault="0028112C" w:rsidP="00E47706">
            <w:pPr>
              <w:spacing w:before="40" w:after="40"/>
              <w:jc w:val="center"/>
              <w:rPr>
                <w:sz w:val="22"/>
              </w:rPr>
            </w:pPr>
            <w:r w:rsidRPr="00C20E00">
              <w:rPr>
                <w:b/>
                <w:sz w:val="22"/>
              </w:rPr>
              <w:t>100</w:t>
            </w:r>
          </w:p>
        </w:tc>
      </w:tr>
      <w:tr w:rsidR="0028112C" w:rsidRPr="00C20E00" w:rsidTr="003C53B7">
        <w:trPr>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 xml:space="preserve">Lauksaimniecība, </w:t>
            </w:r>
            <w:r>
              <w:rPr>
                <w:rFonts w:cs="Times New Roman"/>
                <w:sz w:val="22"/>
              </w:rPr>
              <w:t>mežsaimniecība</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3,0</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2,</w:t>
            </w:r>
            <w:r>
              <w:rPr>
                <w:rFonts w:eastAsia="Times New Roman" w:cs="Times New Roman"/>
                <w:sz w:val="20"/>
                <w:szCs w:val="20"/>
              </w:rPr>
              <w:t>9</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2</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2</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2</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2</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2</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1</w:t>
            </w:r>
          </w:p>
        </w:tc>
      </w:tr>
      <w:tr w:rsidR="0028112C" w:rsidRPr="00C20E00" w:rsidTr="003C53B7">
        <w:trPr>
          <w:cnfStyle w:val="000000100000"/>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Zvejniecība</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0,1</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0,1</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0,1</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0,1</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0,1</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0,1</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0,1</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0,1</w:t>
            </w:r>
          </w:p>
        </w:tc>
      </w:tr>
      <w:tr w:rsidR="0028112C" w:rsidRPr="00C20E00" w:rsidTr="003C53B7">
        <w:trPr>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Iegūstošā rūpniecība</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0,4</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0,4</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0,4</w:t>
            </w:r>
          </w:p>
        </w:tc>
      </w:tr>
      <w:tr w:rsidR="0028112C" w:rsidRPr="00C20E00" w:rsidTr="003C53B7">
        <w:trPr>
          <w:cnfStyle w:val="000000100000"/>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Apstrādes rūpniecība</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10,6</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9,4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10,</w:t>
            </w:r>
            <w:r>
              <w:rPr>
                <w:rFonts w:eastAsia="Times New Roman" w:cs="Times New Roman"/>
                <w:sz w:val="20"/>
                <w:szCs w:val="20"/>
              </w:rPr>
              <w:t>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10,</w:t>
            </w:r>
            <w:r>
              <w:rPr>
                <w:rFonts w:eastAsia="Times New Roman" w:cs="Times New Roman"/>
                <w:sz w:val="20"/>
                <w:szCs w:val="20"/>
              </w:rPr>
              <w:t>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10,6</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10,</w:t>
            </w:r>
            <w:r>
              <w:rPr>
                <w:rFonts w:eastAsia="Times New Roman" w:cs="Times New Roman"/>
                <w:sz w:val="20"/>
                <w:szCs w:val="20"/>
              </w:rPr>
              <w:t>8</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1,1</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1,3</w:t>
            </w:r>
          </w:p>
        </w:tc>
      </w:tr>
      <w:tr w:rsidR="0028112C" w:rsidRPr="00C20E00" w:rsidTr="003C53B7">
        <w:trPr>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Elektroenerģija, gāze un ūdens apgāde</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2,8</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6</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4</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3</w:t>
            </w:r>
          </w:p>
        </w:tc>
      </w:tr>
      <w:tr w:rsidR="0028112C" w:rsidRPr="00C20E00" w:rsidTr="003C53B7">
        <w:trPr>
          <w:cnfStyle w:val="000000100000"/>
          <w:jc w:val="center"/>
        </w:trPr>
        <w:tc>
          <w:tcPr>
            <w:tcW w:w="3564" w:type="dxa"/>
            <w:vAlign w:val="bottom"/>
          </w:tcPr>
          <w:p w:rsidR="0028112C" w:rsidRPr="001911DD" w:rsidRDefault="0028112C" w:rsidP="00F43850">
            <w:pPr>
              <w:spacing w:before="60" w:after="60"/>
              <w:ind w:right="-119"/>
              <w:rPr>
                <w:rFonts w:cs="Times New Roman"/>
                <w:sz w:val="22"/>
              </w:rPr>
            </w:pPr>
            <w:r w:rsidRPr="001911DD">
              <w:rPr>
                <w:rFonts w:cs="Times New Roman"/>
                <w:sz w:val="22"/>
              </w:rPr>
              <w:t>Būvniecība</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8,9</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7,</w:t>
            </w:r>
            <w:r>
              <w:rPr>
                <w:rFonts w:eastAsia="Times New Roman" w:cs="Times New Roman"/>
                <w:sz w:val="20"/>
                <w:szCs w:val="20"/>
              </w:rPr>
              <w:t>2</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3</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2</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6,2</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2</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3</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4</w:t>
            </w:r>
          </w:p>
        </w:tc>
      </w:tr>
      <w:tr w:rsidR="0028112C" w:rsidRPr="00C20E00" w:rsidTr="003C53B7">
        <w:trPr>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Tirdzniecība</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17,3</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15,7</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16,</w:t>
            </w:r>
            <w:r>
              <w:rPr>
                <w:rFonts w:eastAsia="Times New Roman" w:cs="Times New Roman"/>
                <w:sz w:val="20"/>
                <w:szCs w:val="20"/>
              </w:rPr>
              <w:t>3</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16,</w:t>
            </w:r>
            <w:r>
              <w:rPr>
                <w:rFonts w:eastAsia="Times New Roman" w:cs="Times New Roman"/>
                <w:sz w:val="20"/>
                <w:szCs w:val="20"/>
              </w:rPr>
              <w:t>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16,</w:t>
            </w:r>
            <w:r>
              <w:rPr>
                <w:rFonts w:eastAsia="Times New Roman" w:cs="Times New Roman"/>
                <w:sz w:val="20"/>
                <w:szCs w:val="20"/>
              </w:rPr>
              <w:t>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16,</w:t>
            </w:r>
            <w:r>
              <w:rPr>
                <w:rFonts w:eastAsia="Times New Roman" w:cs="Times New Roman"/>
                <w:sz w:val="20"/>
                <w:szCs w:val="20"/>
              </w:rPr>
              <w:t>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6,6</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6,7</w:t>
            </w:r>
          </w:p>
        </w:tc>
      </w:tr>
      <w:tr w:rsidR="0028112C" w:rsidRPr="00C20E00" w:rsidTr="003C53B7">
        <w:trPr>
          <w:cnfStyle w:val="000000100000"/>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Viesnīcas un restorāni</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1,7</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3</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1,3</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3</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3</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3</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3</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3</w:t>
            </w:r>
          </w:p>
        </w:tc>
      </w:tr>
      <w:tr w:rsidR="0028112C" w:rsidRPr="00C20E00" w:rsidTr="003C53B7">
        <w:trPr>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Transports un sakari</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10,8</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11,5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13,</w:t>
            </w:r>
            <w:r>
              <w:rPr>
                <w:rFonts w:eastAsia="Times New Roman" w:cs="Times New Roman"/>
                <w:sz w:val="20"/>
                <w:szCs w:val="20"/>
              </w:rPr>
              <w:t>7</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4,0</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14,</w:t>
            </w:r>
            <w:r>
              <w:rPr>
                <w:rFonts w:eastAsia="Times New Roman" w:cs="Times New Roman"/>
                <w:sz w:val="20"/>
                <w:szCs w:val="20"/>
              </w:rPr>
              <w:t>1</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14,</w:t>
            </w:r>
            <w:r>
              <w:rPr>
                <w:rFonts w:eastAsia="Times New Roman" w:cs="Times New Roman"/>
                <w:sz w:val="20"/>
                <w:szCs w:val="20"/>
              </w:rPr>
              <w:t>3</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14,</w:t>
            </w:r>
            <w:r>
              <w:rPr>
                <w:rFonts w:eastAsia="Times New Roman" w:cs="Times New Roman"/>
                <w:sz w:val="20"/>
                <w:szCs w:val="20"/>
              </w:rPr>
              <w:t>5</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14,</w:t>
            </w:r>
            <w:r>
              <w:rPr>
                <w:rFonts w:eastAsia="Times New Roman" w:cs="Times New Roman"/>
                <w:sz w:val="20"/>
                <w:szCs w:val="20"/>
              </w:rPr>
              <w:t>7</w:t>
            </w:r>
          </w:p>
        </w:tc>
      </w:tr>
      <w:tr w:rsidR="0028112C" w:rsidRPr="00C20E00" w:rsidTr="003C53B7">
        <w:trPr>
          <w:cnfStyle w:val="000000100000"/>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Finanses</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6,3</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6,8</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3</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2</w:t>
            </w:r>
          </w:p>
        </w:tc>
      </w:tr>
      <w:tr w:rsidR="0028112C" w:rsidRPr="00C20E00" w:rsidTr="003C53B7">
        <w:trPr>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Nekustamo īpašumu izmantošana un komercdarbība</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17,6</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19,</w:t>
            </w:r>
            <w:r>
              <w:rPr>
                <w:rFonts w:eastAsia="Times New Roman" w:cs="Times New Roman"/>
                <w:sz w:val="20"/>
                <w:szCs w:val="20"/>
              </w:rPr>
              <w:t>4</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8,9</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8,8</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8,7</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8,5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18,</w:t>
            </w:r>
            <w:r>
              <w:rPr>
                <w:rFonts w:eastAsia="Times New Roman" w:cs="Times New Roman"/>
                <w:sz w:val="20"/>
                <w:szCs w:val="20"/>
              </w:rPr>
              <w:t>3</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18,</w:t>
            </w:r>
            <w:r>
              <w:rPr>
                <w:rFonts w:eastAsia="Times New Roman" w:cs="Times New Roman"/>
                <w:sz w:val="20"/>
                <w:szCs w:val="20"/>
              </w:rPr>
              <w:t>1</w:t>
            </w:r>
          </w:p>
        </w:tc>
      </w:tr>
      <w:tr w:rsidR="0028112C" w:rsidRPr="00C20E00" w:rsidTr="003C53B7">
        <w:trPr>
          <w:cnfStyle w:val="000000100000"/>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Valsts pārvalde</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7,7</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8,1</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7</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6</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6,</w:t>
            </w:r>
            <w:r>
              <w:rPr>
                <w:rFonts w:eastAsia="Times New Roman" w:cs="Times New Roman"/>
                <w:sz w:val="20"/>
                <w:szCs w:val="20"/>
              </w:rPr>
              <w:t>3</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Pr>
                <w:rFonts w:eastAsia="Times New Roman" w:cs="Times New Roman"/>
                <w:sz w:val="20"/>
                <w:szCs w:val="20"/>
              </w:rPr>
              <w:t>6,2</w:t>
            </w:r>
          </w:p>
        </w:tc>
      </w:tr>
      <w:tr w:rsidR="0028112C" w:rsidRPr="00C20E00" w:rsidTr="003C53B7">
        <w:trPr>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Izglītība</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5,2</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5,8</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5,</w:t>
            </w:r>
            <w:r>
              <w:rPr>
                <w:rFonts w:eastAsia="Times New Roman" w:cs="Times New Roman"/>
                <w:sz w:val="20"/>
                <w:szCs w:val="20"/>
              </w:rPr>
              <w:t>3</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5,</w:t>
            </w:r>
            <w:r>
              <w:rPr>
                <w:rFonts w:eastAsia="Times New Roman" w:cs="Times New Roman"/>
                <w:sz w:val="20"/>
                <w:szCs w:val="20"/>
              </w:rPr>
              <w:t>3</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5,</w:t>
            </w:r>
            <w:r>
              <w:rPr>
                <w:rFonts w:eastAsia="Times New Roman" w:cs="Times New Roman"/>
                <w:sz w:val="20"/>
                <w:szCs w:val="20"/>
              </w:rPr>
              <w:t>2</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Pr>
                <w:rFonts w:eastAsia="Times New Roman" w:cs="Times New Roman"/>
                <w:sz w:val="20"/>
                <w:szCs w:val="20"/>
              </w:rPr>
              <w:t>5,1</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Pr>
                <w:rFonts w:eastAsia="Times New Roman" w:cs="Times New Roman"/>
                <w:sz w:val="20"/>
                <w:szCs w:val="20"/>
              </w:rPr>
              <w:t>5,0</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4,</w:t>
            </w:r>
            <w:r>
              <w:rPr>
                <w:rFonts w:eastAsia="Times New Roman" w:cs="Times New Roman"/>
                <w:sz w:val="20"/>
                <w:szCs w:val="20"/>
              </w:rPr>
              <w:t>9</w:t>
            </w:r>
          </w:p>
        </w:tc>
      </w:tr>
      <w:tr w:rsidR="0028112C" w:rsidRPr="00C20E00" w:rsidTr="003C53B7">
        <w:trPr>
          <w:cnfStyle w:val="000000100000"/>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Veselības aizsardzība</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2,8</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3,0</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2,8</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2,</w:t>
            </w:r>
            <w:r>
              <w:rPr>
                <w:rFonts w:eastAsia="Times New Roman" w:cs="Times New Roman"/>
                <w:sz w:val="20"/>
                <w:szCs w:val="20"/>
              </w:rPr>
              <w:t>8</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2,7</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2,</w:t>
            </w:r>
            <w:r>
              <w:rPr>
                <w:rFonts w:eastAsia="Times New Roman" w:cs="Times New Roman"/>
                <w:sz w:val="20"/>
                <w:szCs w:val="20"/>
              </w:rPr>
              <w:t>7</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2,</w:t>
            </w:r>
            <w:r>
              <w:rPr>
                <w:rFonts w:eastAsia="Times New Roman" w:cs="Times New Roman"/>
                <w:sz w:val="20"/>
                <w:szCs w:val="20"/>
              </w:rPr>
              <w:t>6</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2,</w:t>
            </w:r>
            <w:r>
              <w:rPr>
                <w:rFonts w:eastAsia="Times New Roman" w:cs="Times New Roman"/>
                <w:sz w:val="20"/>
                <w:szCs w:val="20"/>
              </w:rPr>
              <w:t>6</w:t>
            </w:r>
          </w:p>
        </w:tc>
      </w:tr>
      <w:tr w:rsidR="0028112C" w:rsidRPr="00C20E00" w:rsidTr="003C53B7">
        <w:trPr>
          <w:jc w:val="center"/>
        </w:trPr>
        <w:tc>
          <w:tcPr>
            <w:tcW w:w="3564" w:type="dxa"/>
            <w:vAlign w:val="bottom"/>
          </w:tcPr>
          <w:p w:rsidR="0028112C" w:rsidRPr="00142DA0" w:rsidRDefault="0028112C" w:rsidP="00F43850">
            <w:pPr>
              <w:spacing w:before="60" w:after="60"/>
              <w:ind w:right="-119"/>
              <w:rPr>
                <w:rFonts w:cs="Times New Roman"/>
                <w:b/>
                <w:sz w:val="22"/>
              </w:rPr>
            </w:pPr>
            <w:r w:rsidRPr="00142DA0">
              <w:rPr>
                <w:rFonts w:cs="Times New Roman"/>
                <w:sz w:val="22"/>
              </w:rPr>
              <w:t>Citi pakalpojumi</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4,8</w:t>
            </w:r>
          </w:p>
        </w:tc>
        <w:tc>
          <w:tcPr>
            <w:tcW w:w="744" w:type="dxa"/>
            <w:gridSpan w:val="2"/>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4,8</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4,</w:t>
            </w:r>
            <w:r>
              <w:rPr>
                <w:rFonts w:eastAsia="Times New Roman" w:cs="Times New Roman"/>
                <w:sz w:val="20"/>
                <w:szCs w:val="20"/>
              </w:rPr>
              <w:t>6</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4,</w:t>
            </w:r>
            <w:r>
              <w:rPr>
                <w:rFonts w:eastAsia="Times New Roman" w:cs="Times New Roman"/>
                <w:sz w:val="20"/>
                <w:szCs w:val="20"/>
              </w:rPr>
              <w:t>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4,5</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4,</w:t>
            </w:r>
            <w:r>
              <w:rPr>
                <w:rFonts w:eastAsia="Times New Roman" w:cs="Times New Roman"/>
                <w:sz w:val="20"/>
                <w:szCs w:val="20"/>
              </w:rPr>
              <w:t>6</w:t>
            </w:r>
          </w:p>
        </w:tc>
        <w:tc>
          <w:tcPr>
            <w:tcW w:w="744"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4,</w:t>
            </w:r>
            <w:r>
              <w:rPr>
                <w:rFonts w:eastAsia="Times New Roman" w:cs="Times New Roman"/>
                <w:sz w:val="20"/>
                <w:szCs w:val="20"/>
              </w:rPr>
              <w:t>6</w:t>
            </w:r>
          </w:p>
        </w:tc>
        <w:tc>
          <w:tcPr>
            <w:tcW w:w="745" w:type="dxa"/>
            <w:vAlign w:val="center"/>
          </w:tcPr>
          <w:p w:rsidR="0028112C" w:rsidRPr="003C53B7" w:rsidRDefault="0028112C" w:rsidP="00E47706">
            <w:pPr>
              <w:tabs>
                <w:tab w:val="decimal" w:pos="242"/>
              </w:tabs>
              <w:spacing w:before="60" w:after="60"/>
              <w:jc w:val="center"/>
              <w:rPr>
                <w:rFonts w:eastAsia="Times New Roman" w:cs="Times New Roman"/>
                <w:sz w:val="20"/>
                <w:szCs w:val="20"/>
              </w:rPr>
            </w:pPr>
            <w:r w:rsidRPr="003C53B7">
              <w:rPr>
                <w:rFonts w:eastAsia="Times New Roman" w:cs="Times New Roman"/>
                <w:sz w:val="20"/>
                <w:szCs w:val="20"/>
              </w:rPr>
              <w:t>4,6</w:t>
            </w:r>
          </w:p>
        </w:tc>
      </w:tr>
    </w:tbl>
    <w:p w:rsidR="008E433C" w:rsidRPr="00B454C8" w:rsidRDefault="008E433C" w:rsidP="008E433C">
      <w:pPr>
        <w:pStyle w:val="BodyTextIndent"/>
        <w:keepNext/>
        <w:spacing w:before="120" w:after="0"/>
        <w:ind w:left="0" w:firstLine="284"/>
        <w:rPr>
          <w:bCs/>
          <w:sz w:val="16"/>
          <w:szCs w:val="16"/>
          <w:lang w:val="lv-LV"/>
        </w:rPr>
      </w:pPr>
      <w:bookmarkStart w:id="75" w:name="_IKP_pieauguma_tempi"/>
      <w:bookmarkEnd w:id="75"/>
      <w:r>
        <w:rPr>
          <w:bCs/>
          <w:sz w:val="16"/>
          <w:szCs w:val="16"/>
          <w:lang w:val="lv-LV"/>
        </w:rPr>
        <w:t>*</w:t>
      </w:r>
      <w:r w:rsidR="00BC2C1B" w:rsidRPr="00BC2C1B">
        <w:rPr>
          <w:bCs/>
          <w:sz w:val="16"/>
          <w:szCs w:val="16"/>
          <w:lang w:val="lv-LV"/>
        </w:rPr>
        <w:t xml:space="preserve"> </w:t>
      </w:r>
      <w:r w:rsidR="00BC2C1B" w:rsidRPr="00B454C8">
        <w:rPr>
          <w:bCs/>
          <w:sz w:val="16"/>
          <w:szCs w:val="16"/>
          <w:lang w:val="lv-LV"/>
        </w:rPr>
        <w:t>E</w:t>
      </w:r>
      <w:r w:rsidR="00BC2C1B">
        <w:rPr>
          <w:bCs/>
          <w:sz w:val="16"/>
          <w:szCs w:val="16"/>
          <w:lang w:val="lv-LV"/>
        </w:rPr>
        <w:t>konomikas ministrijas</w:t>
      </w:r>
      <w:r w:rsidRPr="00B454C8">
        <w:rPr>
          <w:bCs/>
          <w:sz w:val="16"/>
          <w:szCs w:val="16"/>
          <w:lang w:val="lv-LV"/>
        </w:rPr>
        <w:t xml:space="preserve"> novērtējums un prognozes</w:t>
      </w:r>
      <w:r w:rsidR="00F43850">
        <w:rPr>
          <w:bCs/>
          <w:sz w:val="16"/>
          <w:szCs w:val="16"/>
          <w:lang w:val="lv-LV"/>
        </w:rPr>
        <w:t>, mērķa scenārijs</w:t>
      </w:r>
      <w:r>
        <w:rPr>
          <w:bCs/>
          <w:sz w:val="16"/>
          <w:szCs w:val="16"/>
          <w:lang w:val="lv-LV"/>
        </w:rPr>
        <w:t>;</w:t>
      </w:r>
    </w:p>
    <w:p w:rsidR="008E433C" w:rsidRDefault="00BC2C1B" w:rsidP="008E433C">
      <w:pPr>
        <w:pStyle w:val="BodyTextIndent"/>
        <w:keepNext/>
        <w:spacing w:after="0"/>
        <w:ind w:left="0" w:firstLine="284"/>
        <w:rPr>
          <w:bCs/>
          <w:sz w:val="16"/>
          <w:szCs w:val="16"/>
          <w:lang w:val="lv-LV"/>
        </w:rPr>
      </w:pPr>
      <w:r>
        <w:rPr>
          <w:bCs/>
          <w:sz w:val="16"/>
          <w:szCs w:val="16"/>
          <w:lang w:val="lv-LV"/>
        </w:rPr>
        <w:t>Fakts</w:t>
      </w:r>
      <w:r w:rsidR="008E433C">
        <w:rPr>
          <w:bCs/>
          <w:sz w:val="16"/>
          <w:szCs w:val="16"/>
          <w:lang w:val="lv-LV"/>
        </w:rPr>
        <w:t>: CSP</w:t>
      </w:r>
    </w:p>
    <w:p w:rsidR="008E433C" w:rsidRPr="00B454C8" w:rsidRDefault="008E433C" w:rsidP="008E433C">
      <w:pPr>
        <w:spacing w:after="200" w:line="276" w:lineRule="auto"/>
        <w:rPr>
          <w:sz w:val="2"/>
        </w:rPr>
      </w:pPr>
      <w:r w:rsidRPr="00B454C8">
        <w:rPr>
          <w:sz w:val="2"/>
        </w:rPr>
        <w:br w:type="page"/>
      </w:r>
    </w:p>
    <w:p w:rsidR="008E433C" w:rsidRPr="00ED0077" w:rsidRDefault="008E433C" w:rsidP="008E433C">
      <w:pPr>
        <w:pStyle w:val="Heading2"/>
      </w:pPr>
      <w:bookmarkStart w:id="76" w:name="_Toc239501375"/>
      <w:bookmarkStart w:id="77" w:name="_Toc242510392"/>
      <w:r w:rsidRPr="00ED0077">
        <w:lastRenderedPageBreak/>
        <w:t>1</w:t>
      </w:r>
      <w:r>
        <w:t>3</w:t>
      </w:r>
      <w:r w:rsidRPr="00ED0077">
        <w:t>.tabula. IKP pieauguma tempi pa nozarēm no 2009. līdz 2015.gadam</w:t>
      </w:r>
      <w:bookmarkEnd w:id="76"/>
      <w:bookmarkEnd w:id="77"/>
    </w:p>
    <w:p w:rsidR="008E433C" w:rsidRDefault="008E433C" w:rsidP="008E433C">
      <w:pPr>
        <w:rPr>
          <w:szCs w:val="24"/>
        </w:rPr>
      </w:pPr>
      <w:r w:rsidRPr="00ED0077">
        <w:rPr>
          <w:szCs w:val="24"/>
        </w:rPr>
        <w:t>(pieaugums % pret iepriekšējo gadu)</w:t>
      </w:r>
      <w:r w:rsidR="000559B9">
        <w:rPr>
          <w:szCs w:val="24"/>
        </w:rPr>
        <w:t>*</w:t>
      </w:r>
    </w:p>
    <w:p w:rsidR="008E433C" w:rsidRPr="00ED0077" w:rsidRDefault="008E433C" w:rsidP="008E433C">
      <w:pPr>
        <w:rPr>
          <w:szCs w:val="24"/>
        </w:rPr>
      </w:pPr>
    </w:p>
    <w:tbl>
      <w:tblPr>
        <w:tblStyle w:val="LightShading1"/>
        <w:tblW w:w="9751" w:type="dxa"/>
        <w:jc w:val="center"/>
        <w:tblLayout w:type="fixed"/>
        <w:tblLook w:val="0400"/>
      </w:tblPr>
      <w:tblGrid>
        <w:gridCol w:w="3798"/>
        <w:gridCol w:w="744"/>
        <w:gridCol w:w="106"/>
        <w:gridCol w:w="638"/>
        <w:gridCol w:w="744"/>
        <w:gridCol w:w="744"/>
        <w:gridCol w:w="744"/>
        <w:gridCol w:w="744"/>
        <w:gridCol w:w="744"/>
        <w:gridCol w:w="745"/>
      </w:tblGrid>
      <w:tr w:rsidR="008E433C" w:rsidRPr="00C20E00" w:rsidTr="002F02CF">
        <w:trPr>
          <w:cnfStyle w:val="000000100000"/>
          <w:jc w:val="center"/>
        </w:trPr>
        <w:tc>
          <w:tcPr>
            <w:tcW w:w="3798" w:type="dxa"/>
            <w:tcBorders>
              <w:bottom w:val="nil"/>
            </w:tcBorders>
            <w:vAlign w:val="center"/>
          </w:tcPr>
          <w:p w:rsidR="008E433C" w:rsidRPr="00C20E00" w:rsidRDefault="008E433C" w:rsidP="002F02CF">
            <w:pPr>
              <w:spacing w:before="40" w:after="40"/>
              <w:ind w:right="-69"/>
              <w:jc w:val="center"/>
              <w:rPr>
                <w:sz w:val="22"/>
              </w:rPr>
            </w:pPr>
          </w:p>
        </w:tc>
        <w:tc>
          <w:tcPr>
            <w:tcW w:w="850" w:type="dxa"/>
            <w:gridSpan w:val="2"/>
            <w:tcBorders>
              <w:bottom w:val="nil"/>
            </w:tcBorders>
            <w:vAlign w:val="center"/>
          </w:tcPr>
          <w:p w:rsidR="008E433C" w:rsidRPr="00C20E00" w:rsidRDefault="008E433C" w:rsidP="002F02CF">
            <w:pPr>
              <w:spacing w:before="40" w:after="40"/>
              <w:jc w:val="center"/>
              <w:rPr>
                <w:b/>
                <w:sz w:val="22"/>
              </w:rPr>
            </w:pPr>
            <w:r w:rsidRPr="00C20E00">
              <w:rPr>
                <w:sz w:val="22"/>
              </w:rPr>
              <w:t>Fakts</w:t>
            </w:r>
          </w:p>
        </w:tc>
        <w:tc>
          <w:tcPr>
            <w:tcW w:w="5103" w:type="dxa"/>
            <w:gridSpan w:val="7"/>
            <w:tcBorders>
              <w:bottom w:val="nil"/>
            </w:tcBorders>
            <w:vAlign w:val="center"/>
          </w:tcPr>
          <w:p w:rsidR="008E433C" w:rsidRPr="00C20E00" w:rsidRDefault="008E433C" w:rsidP="000559B9">
            <w:pPr>
              <w:spacing w:before="40" w:after="40"/>
              <w:rPr>
                <w:sz w:val="22"/>
              </w:rPr>
            </w:pPr>
            <w:r w:rsidRPr="00C20E00">
              <w:rPr>
                <w:sz w:val="22"/>
              </w:rPr>
              <w:t>Prognozes</w:t>
            </w:r>
          </w:p>
        </w:tc>
      </w:tr>
      <w:tr w:rsidR="008E433C" w:rsidRPr="00C20E00" w:rsidTr="002F02CF">
        <w:trPr>
          <w:trHeight w:val="270"/>
          <w:jc w:val="center"/>
        </w:trPr>
        <w:tc>
          <w:tcPr>
            <w:tcW w:w="3798" w:type="dxa"/>
            <w:tcBorders>
              <w:top w:val="nil"/>
              <w:bottom w:val="single" w:sz="4" w:space="0" w:color="auto"/>
            </w:tcBorders>
            <w:vAlign w:val="center"/>
          </w:tcPr>
          <w:p w:rsidR="008E433C" w:rsidRPr="00C20E00" w:rsidRDefault="008E433C" w:rsidP="002F02CF">
            <w:pPr>
              <w:spacing w:before="40" w:after="40"/>
              <w:ind w:right="-69"/>
              <w:jc w:val="center"/>
              <w:rPr>
                <w:sz w:val="22"/>
              </w:rPr>
            </w:pP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2008</w:t>
            </w:r>
          </w:p>
        </w:tc>
        <w:tc>
          <w:tcPr>
            <w:tcW w:w="744" w:type="dxa"/>
            <w:gridSpan w:val="2"/>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2009</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2010</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2011</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2012</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2013</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2014</w:t>
            </w:r>
          </w:p>
        </w:tc>
        <w:tc>
          <w:tcPr>
            <w:tcW w:w="745"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2015</w:t>
            </w:r>
          </w:p>
        </w:tc>
      </w:tr>
      <w:tr w:rsidR="008E433C" w:rsidRPr="00C20E00" w:rsidTr="002F02CF">
        <w:trPr>
          <w:cnfStyle w:val="000000100000"/>
          <w:jc w:val="center"/>
        </w:trPr>
        <w:tc>
          <w:tcPr>
            <w:tcW w:w="9751" w:type="dxa"/>
            <w:gridSpan w:val="10"/>
            <w:vAlign w:val="bottom"/>
          </w:tcPr>
          <w:p w:rsidR="008E433C" w:rsidRPr="00C20E00" w:rsidRDefault="008E433C" w:rsidP="002F02CF">
            <w:pPr>
              <w:tabs>
                <w:tab w:val="decimal" w:pos="317"/>
              </w:tabs>
              <w:spacing w:before="60" w:after="60"/>
              <w:jc w:val="center"/>
              <w:rPr>
                <w:rFonts w:cs="Times New Roman"/>
                <w:b/>
                <w:color w:val="000000"/>
                <w:sz w:val="22"/>
              </w:rPr>
            </w:pPr>
            <w:r>
              <w:rPr>
                <w:rFonts w:cs="Times New Roman"/>
                <w:b/>
                <w:color w:val="000000"/>
                <w:sz w:val="22"/>
              </w:rPr>
              <w:t>Mērķa</w:t>
            </w:r>
            <w:r w:rsidRPr="00C20E00">
              <w:rPr>
                <w:rFonts w:cs="Times New Roman"/>
                <w:b/>
                <w:color w:val="000000"/>
                <w:sz w:val="22"/>
              </w:rPr>
              <w:t xml:space="preserve"> scenārijs</w:t>
            </w:r>
          </w:p>
        </w:tc>
      </w:tr>
      <w:tr w:rsidR="0028112C" w:rsidRPr="00C20E00" w:rsidTr="005A3F6D">
        <w:trPr>
          <w:jc w:val="center"/>
        </w:trPr>
        <w:tc>
          <w:tcPr>
            <w:tcW w:w="3798" w:type="dxa"/>
            <w:vAlign w:val="bottom"/>
          </w:tcPr>
          <w:p w:rsidR="0028112C" w:rsidRPr="00C20E00" w:rsidRDefault="0028112C" w:rsidP="002F02CF">
            <w:pPr>
              <w:spacing w:before="40" w:after="40"/>
              <w:ind w:right="-69"/>
              <w:rPr>
                <w:rFonts w:cs="Times New Roman"/>
                <w:sz w:val="22"/>
              </w:rPr>
            </w:pPr>
            <w:r w:rsidRPr="00C20E00">
              <w:rPr>
                <w:b/>
                <w:sz w:val="22"/>
              </w:rPr>
              <w:t>IKP</w:t>
            </w:r>
          </w:p>
        </w:tc>
        <w:tc>
          <w:tcPr>
            <w:tcW w:w="744" w:type="dxa"/>
            <w:vAlign w:val="center"/>
          </w:tcPr>
          <w:p w:rsidR="0028112C" w:rsidRPr="00653C1C" w:rsidRDefault="0028112C" w:rsidP="00E47706">
            <w:pPr>
              <w:tabs>
                <w:tab w:val="decimal" w:pos="275"/>
              </w:tabs>
              <w:spacing w:before="40" w:after="40"/>
              <w:ind w:right="-69"/>
              <w:jc w:val="center"/>
              <w:rPr>
                <w:rFonts w:cs="Times New Roman"/>
                <w:b/>
                <w:sz w:val="20"/>
                <w:szCs w:val="20"/>
              </w:rPr>
            </w:pPr>
            <w:r w:rsidRPr="00653C1C">
              <w:rPr>
                <w:rFonts w:cs="Times New Roman"/>
                <w:b/>
                <w:sz w:val="20"/>
                <w:szCs w:val="20"/>
              </w:rPr>
              <w:t>-4,6</w:t>
            </w:r>
          </w:p>
        </w:tc>
        <w:tc>
          <w:tcPr>
            <w:tcW w:w="744" w:type="dxa"/>
            <w:gridSpan w:val="2"/>
            <w:vAlign w:val="center"/>
          </w:tcPr>
          <w:p w:rsidR="0028112C" w:rsidRPr="00653C1C" w:rsidRDefault="0028112C" w:rsidP="00E47706">
            <w:pPr>
              <w:tabs>
                <w:tab w:val="decimal" w:pos="275"/>
              </w:tabs>
              <w:spacing w:before="40" w:after="40"/>
              <w:ind w:right="-69"/>
              <w:jc w:val="center"/>
              <w:rPr>
                <w:rFonts w:cs="Times New Roman"/>
                <w:b/>
                <w:sz w:val="20"/>
                <w:szCs w:val="20"/>
              </w:rPr>
            </w:pPr>
            <w:r w:rsidRPr="00653C1C">
              <w:rPr>
                <w:rFonts w:cs="Times New Roman"/>
                <w:b/>
                <w:sz w:val="20"/>
                <w:szCs w:val="20"/>
              </w:rPr>
              <w:t>-18,0</w:t>
            </w:r>
          </w:p>
        </w:tc>
        <w:tc>
          <w:tcPr>
            <w:tcW w:w="744" w:type="dxa"/>
            <w:vAlign w:val="center"/>
          </w:tcPr>
          <w:p w:rsidR="0028112C" w:rsidRPr="00653C1C" w:rsidRDefault="0028112C" w:rsidP="00E47706">
            <w:pPr>
              <w:tabs>
                <w:tab w:val="decimal" w:pos="242"/>
                <w:tab w:val="decimal" w:pos="275"/>
              </w:tabs>
              <w:spacing w:before="40" w:after="40"/>
              <w:jc w:val="center"/>
              <w:rPr>
                <w:rFonts w:eastAsia="Times New Roman" w:cs="Times New Roman"/>
                <w:b/>
                <w:sz w:val="20"/>
                <w:szCs w:val="20"/>
              </w:rPr>
            </w:pPr>
            <w:r w:rsidRPr="00653C1C">
              <w:rPr>
                <w:rFonts w:eastAsia="Times New Roman" w:cs="Times New Roman"/>
                <w:b/>
                <w:sz w:val="20"/>
                <w:szCs w:val="20"/>
              </w:rPr>
              <w:t>-2,</w:t>
            </w:r>
            <w:r>
              <w:rPr>
                <w:rFonts w:eastAsia="Times New Roman" w:cs="Times New Roman"/>
                <w:b/>
                <w:sz w:val="20"/>
                <w:szCs w:val="20"/>
              </w:rPr>
              <w:t>5</w:t>
            </w:r>
          </w:p>
        </w:tc>
        <w:tc>
          <w:tcPr>
            <w:tcW w:w="744" w:type="dxa"/>
            <w:vAlign w:val="center"/>
          </w:tcPr>
          <w:p w:rsidR="0028112C" w:rsidRPr="00653C1C" w:rsidRDefault="0028112C" w:rsidP="00E47706">
            <w:pPr>
              <w:tabs>
                <w:tab w:val="decimal" w:pos="242"/>
                <w:tab w:val="decimal" w:pos="275"/>
              </w:tabs>
              <w:spacing w:before="40" w:after="40"/>
              <w:jc w:val="center"/>
              <w:rPr>
                <w:rFonts w:eastAsia="Times New Roman" w:cs="Times New Roman"/>
                <w:b/>
                <w:sz w:val="20"/>
                <w:szCs w:val="20"/>
              </w:rPr>
            </w:pPr>
            <w:r w:rsidRPr="00653C1C">
              <w:rPr>
                <w:rFonts w:eastAsia="Times New Roman" w:cs="Times New Roman"/>
                <w:b/>
                <w:sz w:val="20"/>
                <w:szCs w:val="20"/>
              </w:rPr>
              <w:t>1,</w:t>
            </w:r>
            <w:r>
              <w:rPr>
                <w:rFonts w:eastAsia="Times New Roman" w:cs="Times New Roman"/>
                <w:b/>
                <w:sz w:val="20"/>
                <w:szCs w:val="20"/>
              </w:rPr>
              <w:t>6</w:t>
            </w:r>
          </w:p>
        </w:tc>
        <w:tc>
          <w:tcPr>
            <w:tcW w:w="744" w:type="dxa"/>
            <w:vAlign w:val="center"/>
          </w:tcPr>
          <w:p w:rsidR="0028112C" w:rsidRPr="00653C1C" w:rsidRDefault="0028112C" w:rsidP="00E47706">
            <w:pPr>
              <w:tabs>
                <w:tab w:val="decimal" w:pos="242"/>
                <w:tab w:val="decimal" w:pos="275"/>
              </w:tabs>
              <w:spacing w:before="40" w:after="40"/>
              <w:jc w:val="center"/>
              <w:rPr>
                <w:rFonts w:eastAsia="Times New Roman" w:cs="Times New Roman"/>
                <w:b/>
                <w:sz w:val="20"/>
                <w:szCs w:val="20"/>
              </w:rPr>
            </w:pPr>
            <w:r w:rsidRPr="00653C1C">
              <w:rPr>
                <w:rFonts w:eastAsia="Times New Roman" w:cs="Times New Roman"/>
                <w:b/>
                <w:sz w:val="20"/>
                <w:szCs w:val="20"/>
              </w:rPr>
              <w:t>3,0</w:t>
            </w:r>
          </w:p>
        </w:tc>
        <w:tc>
          <w:tcPr>
            <w:tcW w:w="744" w:type="dxa"/>
            <w:vAlign w:val="center"/>
          </w:tcPr>
          <w:p w:rsidR="0028112C" w:rsidRPr="00653C1C" w:rsidRDefault="0028112C" w:rsidP="00E47706">
            <w:pPr>
              <w:tabs>
                <w:tab w:val="decimal" w:pos="242"/>
                <w:tab w:val="decimal" w:pos="275"/>
              </w:tabs>
              <w:spacing w:before="40" w:after="40"/>
              <w:jc w:val="center"/>
              <w:rPr>
                <w:rFonts w:eastAsia="Times New Roman" w:cs="Times New Roman"/>
                <w:b/>
                <w:sz w:val="20"/>
                <w:szCs w:val="20"/>
              </w:rPr>
            </w:pPr>
            <w:r w:rsidRPr="00653C1C">
              <w:rPr>
                <w:rFonts w:eastAsia="Times New Roman" w:cs="Times New Roman"/>
                <w:b/>
                <w:sz w:val="20"/>
                <w:szCs w:val="20"/>
              </w:rPr>
              <w:t>5,0</w:t>
            </w:r>
          </w:p>
        </w:tc>
        <w:tc>
          <w:tcPr>
            <w:tcW w:w="744" w:type="dxa"/>
            <w:vAlign w:val="center"/>
          </w:tcPr>
          <w:p w:rsidR="0028112C" w:rsidRPr="00653C1C" w:rsidRDefault="0028112C" w:rsidP="00E47706">
            <w:pPr>
              <w:tabs>
                <w:tab w:val="decimal" w:pos="242"/>
                <w:tab w:val="decimal" w:pos="275"/>
              </w:tabs>
              <w:spacing w:before="40" w:after="40"/>
              <w:jc w:val="center"/>
              <w:rPr>
                <w:rFonts w:eastAsia="Times New Roman" w:cs="Times New Roman"/>
                <w:b/>
                <w:sz w:val="20"/>
                <w:szCs w:val="20"/>
              </w:rPr>
            </w:pPr>
            <w:r w:rsidRPr="00653C1C">
              <w:rPr>
                <w:rFonts w:eastAsia="Times New Roman" w:cs="Times New Roman"/>
                <w:b/>
                <w:sz w:val="20"/>
                <w:szCs w:val="20"/>
              </w:rPr>
              <w:t>5,0</w:t>
            </w:r>
          </w:p>
        </w:tc>
        <w:tc>
          <w:tcPr>
            <w:tcW w:w="745" w:type="dxa"/>
            <w:vAlign w:val="center"/>
          </w:tcPr>
          <w:p w:rsidR="0028112C" w:rsidRPr="00653C1C" w:rsidRDefault="0028112C" w:rsidP="00E47706">
            <w:pPr>
              <w:tabs>
                <w:tab w:val="decimal" w:pos="242"/>
                <w:tab w:val="decimal" w:pos="275"/>
              </w:tabs>
              <w:spacing w:before="40" w:after="40"/>
              <w:jc w:val="center"/>
              <w:rPr>
                <w:rFonts w:eastAsia="Times New Roman" w:cs="Times New Roman"/>
                <w:b/>
                <w:sz w:val="20"/>
                <w:szCs w:val="20"/>
              </w:rPr>
            </w:pPr>
            <w:r w:rsidRPr="00653C1C">
              <w:rPr>
                <w:rFonts w:eastAsia="Times New Roman" w:cs="Times New Roman"/>
                <w:b/>
                <w:sz w:val="20"/>
                <w:szCs w:val="20"/>
              </w:rPr>
              <w:t>5,0</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 xml:space="preserve">Lauksaimniecība, </w:t>
            </w:r>
            <w:r>
              <w:rPr>
                <w:rFonts w:cs="Times New Roman"/>
                <w:sz w:val="22"/>
              </w:rPr>
              <w:t>mežsaimniecība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5</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4</w:t>
            </w:r>
            <w:r>
              <w:rPr>
                <w:rFonts w:eastAsia="Times New Roman" w:cs="Times New Roman"/>
                <w:sz w:val="20"/>
                <w:szCs w:val="20"/>
              </w:rPr>
              <w:t>,</w:t>
            </w:r>
            <w:r w:rsidRPr="00653C1C">
              <w:rPr>
                <w:rFonts w:eastAsia="Times New Roman" w:cs="Times New Roman"/>
                <w:sz w:val="20"/>
                <w:szCs w:val="20"/>
              </w:rPr>
              <w:t>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6</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6</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Zvejniecība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9</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-11</w:t>
            </w:r>
            <w:r>
              <w:rPr>
                <w:rFonts w:eastAsia="Times New Roman" w:cs="Times New Roman"/>
                <w:sz w:val="20"/>
                <w:szCs w:val="20"/>
              </w:rPr>
              <w:t>,</w:t>
            </w:r>
            <w:r w:rsidRPr="00653C1C">
              <w:rPr>
                <w:rFonts w:eastAsia="Times New Roman" w:cs="Times New Roman"/>
                <w:sz w:val="20"/>
                <w:szCs w:val="20"/>
              </w:rPr>
              <w:t>8</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1,</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0,</w:t>
            </w:r>
            <w:r w:rsidRPr="00653C1C">
              <w:rPr>
                <w:rFonts w:eastAsia="Times New Roman" w:cs="Times New Roman"/>
                <w:sz w:val="20"/>
                <w:szCs w:val="20"/>
              </w:rPr>
              <w:t>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0,3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0,</w:t>
            </w:r>
            <w:r w:rsidRPr="00653C1C">
              <w:rPr>
                <w:rFonts w:eastAsia="Times New Roman" w:cs="Times New Roman"/>
                <w:sz w:val="20"/>
                <w:szCs w:val="20"/>
              </w:rPr>
              <w:t>2</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0,1</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Iegūstošā rūpniecība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5</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-8</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-20</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8,5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1</w:t>
            </w:r>
            <w:r w:rsidRPr="00653C1C">
              <w:rPr>
                <w:rFonts w:eastAsia="Times New Roman" w:cs="Times New Roman"/>
                <w:sz w:val="20"/>
                <w:szCs w:val="20"/>
              </w:rPr>
              <w:t>0</w:t>
            </w:r>
            <w:r>
              <w:rPr>
                <w:rFonts w:eastAsia="Times New Roman" w:cs="Times New Roman"/>
                <w:sz w:val="20"/>
                <w:szCs w:val="20"/>
              </w:rPr>
              <w:t>,7</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8,4</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Apstrādes rūpniecība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5</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-20</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8</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1,9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3,2</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8</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4</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,2</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Elektroenerģija, gāze un ūdens apgāde</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4</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-11</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2</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3</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,2</w:t>
            </w:r>
          </w:p>
        </w:tc>
      </w:tr>
      <w:tr w:rsidR="0028112C" w:rsidRPr="00C20E00" w:rsidTr="003C53B7">
        <w:trPr>
          <w:jc w:val="center"/>
        </w:trPr>
        <w:tc>
          <w:tcPr>
            <w:tcW w:w="3798" w:type="dxa"/>
            <w:vAlign w:val="bottom"/>
          </w:tcPr>
          <w:p w:rsidR="0028112C" w:rsidRPr="001911DD" w:rsidRDefault="0028112C" w:rsidP="00653C1C">
            <w:pPr>
              <w:spacing w:before="40" w:after="40"/>
              <w:ind w:right="-119"/>
              <w:rPr>
                <w:rFonts w:cs="Times New Roman"/>
                <w:sz w:val="22"/>
              </w:rPr>
            </w:pPr>
            <w:r w:rsidRPr="001911DD">
              <w:rPr>
                <w:rFonts w:cs="Times New Roman"/>
                <w:sz w:val="22"/>
              </w:rPr>
              <w:t>Būvniecība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6</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-29</w:t>
            </w:r>
            <w:r>
              <w:rPr>
                <w:rFonts w:eastAsia="Times New Roman" w:cs="Times New Roman"/>
                <w:sz w:val="20"/>
                <w:szCs w:val="20"/>
              </w:rPr>
              <w:t>,</w:t>
            </w:r>
            <w:r w:rsidRPr="00653C1C">
              <w:rPr>
                <w:rFonts w:eastAsia="Times New Roman" w:cs="Times New Roman"/>
                <w:sz w:val="20"/>
                <w:szCs w:val="20"/>
              </w:rPr>
              <w:t>2</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8,</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8</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7</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7</w:t>
            </w:r>
            <w:r>
              <w:rPr>
                <w:rFonts w:eastAsia="Times New Roman" w:cs="Times New Roman"/>
                <w:sz w:val="20"/>
                <w:szCs w:val="20"/>
              </w:rPr>
              <w:t>,</w:t>
            </w:r>
            <w:r w:rsidRPr="00653C1C">
              <w:rPr>
                <w:rFonts w:eastAsia="Times New Roman" w:cs="Times New Roman"/>
                <w:sz w:val="20"/>
                <w:szCs w:val="20"/>
              </w:rPr>
              <w:t>5</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7</w:t>
            </w:r>
            <w:r>
              <w:rPr>
                <w:rFonts w:eastAsia="Times New Roman" w:cs="Times New Roman"/>
                <w:sz w:val="20"/>
                <w:szCs w:val="20"/>
              </w:rPr>
              <w:t>,</w:t>
            </w:r>
            <w:r w:rsidRPr="00653C1C">
              <w:rPr>
                <w:rFonts w:eastAsia="Times New Roman" w:cs="Times New Roman"/>
                <w:sz w:val="20"/>
                <w:szCs w:val="20"/>
              </w:rPr>
              <w:t>2</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Tirdzniecība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-8</w:t>
            </w:r>
            <w:r>
              <w:rPr>
                <w:rFonts w:eastAsia="Times New Roman" w:cs="Times New Roman"/>
                <w:sz w:val="20"/>
                <w:szCs w:val="20"/>
              </w:rPr>
              <w:t>,</w:t>
            </w:r>
            <w:r w:rsidRPr="00653C1C">
              <w:rPr>
                <w:rFonts w:eastAsia="Times New Roman" w:cs="Times New Roman"/>
                <w:sz w:val="20"/>
                <w:szCs w:val="20"/>
              </w:rPr>
              <w:t>3</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-26</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4</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0</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,7</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Viesnīcas un restorāni</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-10</w:t>
            </w:r>
            <w:r>
              <w:rPr>
                <w:rFonts w:eastAsia="Times New Roman" w:cs="Times New Roman"/>
                <w:sz w:val="20"/>
                <w:szCs w:val="20"/>
              </w:rPr>
              <w:t>,</w:t>
            </w:r>
            <w:r w:rsidRPr="00653C1C">
              <w:rPr>
                <w:rFonts w:eastAsia="Times New Roman" w:cs="Times New Roman"/>
                <w:sz w:val="20"/>
                <w:szCs w:val="20"/>
              </w:rPr>
              <w:t>7</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-34</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2</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0</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Transports un sakari</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1</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-13</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5</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,4</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Finanses</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6</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-9</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-4</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8</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7</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5</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Nekustamo īpašumu izmantošana un komercdarbība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5</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4</w:t>
            </w:r>
            <w:r>
              <w:rPr>
                <w:rFonts w:eastAsia="Times New Roman" w:cs="Times New Roman"/>
                <w:sz w:val="20"/>
                <w:szCs w:val="20"/>
              </w:rPr>
              <w:t>,</w:t>
            </w:r>
            <w:r w:rsidRPr="00653C1C">
              <w:rPr>
                <w:rFonts w:eastAsia="Times New Roman" w:cs="Times New Roman"/>
                <w:sz w:val="20"/>
                <w:szCs w:val="20"/>
              </w:rPr>
              <w:t>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4</w:t>
            </w:r>
            <w:r>
              <w:rPr>
                <w:rFonts w:eastAsia="Times New Roman" w:cs="Times New Roman"/>
                <w:sz w:val="20"/>
                <w:szCs w:val="20"/>
              </w:rPr>
              <w:t>,</w:t>
            </w:r>
            <w:r w:rsidRPr="00653C1C">
              <w:rPr>
                <w:rFonts w:eastAsia="Times New Roman" w:cs="Times New Roman"/>
                <w:sz w:val="20"/>
                <w:szCs w:val="20"/>
              </w:rPr>
              <w:t>1</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9</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Valsts pārvalde</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8</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-10</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-13</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1</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1</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Izglītība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5</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-7</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-10</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4</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3</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Veselības aizsardzība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8</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-12</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-7</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8</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3</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3</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Citi pakalpojumi</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3</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-20</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-11</w:t>
            </w:r>
            <w:r>
              <w:rPr>
                <w:rFonts w:eastAsia="Times New Roman" w:cs="Times New Roman"/>
                <w:sz w:val="20"/>
                <w:szCs w:val="20"/>
              </w:rPr>
              <w:t>,</w:t>
            </w:r>
            <w:r w:rsidRPr="00653C1C">
              <w:rPr>
                <w:rFonts w:eastAsia="Times New Roman" w:cs="Times New Roman"/>
                <w:sz w:val="20"/>
                <w:szCs w:val="20"/>
              </w:rPr>
              <w:t>2</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1,</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6</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6</w:t>
            </w:r>
          </w:p>
        </w:tc>
      </w:tr>
      <w:tr w:rsidR="008E433C" w:rsidRPr="00C20E00" w:rsidTr="001911DD">
        <w:trPr>
          <w:jc w:val="center"/>
        </w:trPr>
        <w:tc>
          <w:tcPr>
            <w:tcW w:w="9751" w:type="dxa"/>
            <w:gridSpan w:val="10"/>
            <w:vAlign w:val="center"/>
          </w:tcPr>
          <w:p w:rsidR="008E433C" w:rsidRPr="00C20E00" w:rsidRDefault="008E433C" w:rsidP="001911DD">
            <w:pPr>
              <w:tabs>
                <w:tab w:val="decimal" w:pos="317"/>
              </w:tabs>
              <w:spacing w:before="60" w:after="60"/>
              <w:jc w:val="center"/>
              <w:rPr>
                <w:rFonts w:cs="Times New Roman"/>
                <w:color w:val="000000"/>
                <w:sz w:val="22"/>
              </w:rPr>
            </w:pPr>
            <w:r>
              <w:rPr>
                <w:rFonts w:cs="Times New Roman"/>
                <w:b/>
                <w:color w:val="000000"/>
                <w:sz w:val="22"/>
              </w:rPr>
              <w:t>Bāzes</w:t>
            </w:r>
            <w:r w:rsidRPr="00C20E00">
              <w:rPr>
                <w:rFonts w:cs="Times New Roman"/>
                <w:b/>
                <w:color w:val="000000"/>
                <w:sz w:val="22"/>
              </w:rPr>
              <w:t xml:space="preserve"> scenārijs</w:t>
            </w:r>
          </w:p>
        </w:tc>
      </w:tr>
      <w:tr w:rsidR="0028112C" w:rsidRPr="00C20E00" w:rsidTr="001911DD">
        <w:trPr>
          <w:cnfStyle w:val="000000100000"/>
          <w:jc w:val="center"/>
        </w:trPr>
        <w:tc>
          <w:tcPr>
            <w:tcW w:w="3798" w:type="dxa"/>
            <w:vAlign w:val="bottom"/>
          </w:tcPr>
          <w:p w:rsidR="0028112C" w:rsidRPr="00C20E00" w:rsidRDefault="0028112C" w:rsidP="002F02CF">
            <w:pPr>
              <w:spacing w:before="40" w:after="40"/>
              <w:ind w:right="-69"/>
              <w:rPr>
                <w:rFonts w:cs="Times New Roman"/>
                <w:sz w:val="22"/>
              </w:rPr>
            </w:pPr>
            <w:r w:rsidRPr="00C20E00">
              <w:rPr>
                <w:b/>
                <w:sz w:val="22"/>
              </w:rPr>
              <w:t>IKP</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-4,6</w:t>
            </w:r>
          </w:p>
        </w:tc>
        <w:tc>
          <w:tcPr>
            <w:tcW w:w="744" w:type="dxa"/>
            <w:gridSpan w:val="2"/>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-18,</w:t>
            </w:r>
            <w:r>
              <w:rPr>
                <w:rFonts w:cs="Times New Roman"/>
                <w:b/>
                <w:sz w:val="22"/>
              </w:rPr>
              <w:t>0</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-4,0</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1,</w:t>
            </w:r>
            <w:r>
              <w:rPr>
                <w:rFonts w:cs="Times New Roman"/>
                <w:b/>
                <w:sz w:val="22"/>
              </w:rPr>
              <w:t>0</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2,0</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3,0</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3,0</w:t>
            </w:r>
          </w:p>
        </w:tc>
        <w:tc>
          <w:tcPr>
            <w:tcW w:w="745"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4,0</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 xml:space="preserve">Lauksaimniecība, </w:t>
            </w:r>
            <w:r>
              <w:rPr>
                <w:rFonts w:cs="Times New Roman"/>
                <w:sz w:val="22"/>
              </w:rPr>
              <w:t>mežsaimniecība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5</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5</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9</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Zvejniecība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9</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-6,6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1,0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0,3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0,</w:t>
            </w:r>
            <w:r w:rsidRPr="00653C1C">
              <w:rPr>
                <w:rFonts w:eastAsia="Times New Roman" w:cs="Times New Roman"/>
                <w:sz w:val="20"/>
                <w:szCs w:val="20"/>
              </w:rPr>
              <w:t>2</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0,1</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Iegūstošā rūpniecība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5</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-8</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w:t>
            </w:r>
            <w:r>
              <w:rPr>
                <w:rFonts w:eastAsia="Times New Roman" w:cs="Times New Roman"/>
                <w:sz w:val="20"/>
                <w:szCs w:val="20"/>
              </w:rPr>
              <w:t>13,0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3,6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4,8</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4,6</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Apstrādes rūpniecība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5</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-20</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1,9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9</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2</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Elektroenerģija, gāze un ūdens apgāde</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4</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-11</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8</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8</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8</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1</w:t>
            </w:r>
          </w:p>
        </w:tc>
      </w:tr>
      <w:tr w:rsidR="0028112C" w:rsidRPr="00C20E00" w:rsidTr="003C53B7">
        <w:trPr>
          <w:cnfStyle w:val="000000100000"/>
          <w:jc w:val="center"/>
        </w:trPr>
        <w:tc>
          <w:tcPr>
            <w:tcW w:w="3798" w:type="dxa"/>
            <w:vAlign w:val="bottom"/>
          </w:tcPr>
          <w:p w:rsidR="0028112C" w:rsidRPr="001911DD" w:rsidRDefault="0028112C" w:rsidP="00653C1C">
            <w:pPr>
              <w:spacing w:before="40" w:after="40"/>
              <w:ind w:right="-119"/>
              <w:rPr>
                <w:rFonts w:cs="Times New Roman"/>
                <w:sz w:val="22"/>
              </w:rPr>
            </w:pPr>
            <w:r w:rsidRPr="001911DD">
              <w:rPr>
                <w:rFonts w:cs="Times New Roman"/>
                <w:sz w:val="22"/>
              </w:rPr>
              <w:t>Būvniecība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6</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-29</w:t>
            </w:r>
            <w:r>
              <w:rPr>
                <w:rFonts w:eastAsia="Times New Roman" w:cs="Times New Roman"/>
                <w:sz w:val="20"/>
                <w:szCs w:val="20"/>
              </w:rPr>
              <w:t>,</w:t>
            </w:r>
            <w:r w:rsidRPr="00653C1C">
              <w:rPr>
                <w:rFonts w:eastAsia="Times New Roman" w:cs="Times New Roman"/>
                <w:sz w:val="20"/>
                <w:szCs w:val="20"/>
              </w:rPr>
              <w:t>2</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-18</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4</w:t>
            </w:r>
            <w:r>
              <w:rPr>
                <w:rFonts w:eastAsia="Times New Roman" w:cs="Times New Roman"/>
                <w:sz w:val="20"/>
                <w:szCs w:val="20"/>
              </w:rPr>
              <w:t>,</w:t>
            </w:r>
            <w:r w:rsidRPr="00653C1C">
              <w:rPr>
                <w:rFonts w:eastAsia="Times New Roman" w:cs="Times New Roman"/>
                <w:sz w:val="20"/>
                <w:szCs w:val="20"/>
              </w:rPr>
              <w:t>2</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7</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Tirdzniecība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-8</w:t>
            </w:r>
            <w:r>
              <w:rPr>
                <w:rFonts w:eastAsia="Times New Roman" w:cs="Times New Roman"/>
                <w:sz w:val="20"/>
                <w:szCs w:val="20"/>
              </w:rPr>
              <w:t>,</w:t>
            </w:r>
            <w:r w:rsidRPr="00653C1C">
              <w:rPr>
                <w:rFonts w:eastAsia="Times New Roman" w:cs="Times New Roman"/>
                <w:sz w:val="20"/>
                <w:szCs w:val="20"/>
              </w:rPr>
              <w:t>3</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-26</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6</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4</w:t>
            </w:r>
            <w:r>
              <w:rPr>
                <w:rFonts w:eastAsia="Times New Roman" w:cs="Times New Roman"/>
                <w:sz w:val="20"/>
                <w:szCs w:val="20"/>
              </w:rPr>
              <w:t>,</w:t>
            </w:r>
            <w:r w:rsidRPr="00653C1C">
              <w:rPr>
                <w:rFonts w:eastAsia="Times New Roman" w:cs="Times New Roman"/>
                <w:sz w:val="20"/>
                <w:szCs w:val="20"/>
              </w:rPr>
              <w:t>7</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Viesnīcas un restorāni</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-10</w:t>
            </w:r>
            <w:r>
              <w:rPr>
                <w:rFonts w:eastAsia="Times New Roman" w:cs="Times New Roman"/>
                <w:sz w:val="20"/>
                <w:szCs w:val="20"/>
              </w:rPr>
              <w:t>,</w:t>
            </w:r>
            <w:r w:rsidRPr="00653C1C">
              <w:rPr>
                <w:rFonts w:eastAsia="Times New Roman" w:cs="Times New Roman"/>
                <w:sz w:val="20"/>
                <w:szCs w:val="20"/>
              </w:rPr>
              <w:t>7</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-34</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-8</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2</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1</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5</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Transports un sakari</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1</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-13</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3</w:t>
            </w:r>
            <w:r>
              <w:rPr>
                <w:rFonts w:eastAsia="Times New Roman" w:cs="Times New Roman"/>
                <w:sz w:val="20"/>
                <w:szCs w:val="20"/>
              </w:rPr>
              <w:t>,</w:t>
            </w:r>
            <w:r w:rsidRPr="00653C1C">
              <w:rPr>
                <w:rFonts w:eastAsia="Times New Roman" w:cs="Times New Roman"/>
                <w:sz w:val="20"/>
                <w:szCs w:val="20"/>
              </w:rPr>
              <w:t>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2</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4</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4</w:t>
            </w:r>
            <w:r>
              <w:rPr>
                <w:rFonts w:eastAsia="Times New Roman" w:cs="Times New Roman"/>
                <w:sz w:val="20"/>
                <w:szCs w:val="20"/>
              </w:rPr>
              <w:t>,</w:t>
            </w:r>
            <w:r w:rsidRPr="00653C1C">
              <w:rPr>
                <w:rFonts w:eastAsia="Times New Roman" w:cs="Times New Roman"/>
                <w:sz w:val="20"/>
                <w:szCs w:val="20"/>
              </w:rPr>
              <w:t>3</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1</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Finanses</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6</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-9</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2</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9</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5</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5</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Nekustamo īpašumu izmantošana un komercdarbība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5</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6</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7</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Valsts pārvalde</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8</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-10</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-12</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7</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7</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4</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Izglītība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5</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-7</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-10</w:t>
            </w:r>
            <w:r>
              <w:rPr>
                <w:rFonts w:eastAsia="Times New Roman" w:cs="Times New Roman"/>
                <w:sz w:val="20"/>
                <w:szCs w:val="20"/>
              </w:rPr>
              <w:t>,</w:t>
            </w:r>
            <w:r w:rsidRPr="00653C1C">
              <w:rPr>
                <w:rFonts w:eastAsia="Times New Roman" w:cs="Times New Roman"/>
                <w:sz w:val="20"/>
                <w:szCs w:val="20"/>
              </w:rPr>
              <w:t>2</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3</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6</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6</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9</w:t>
            </w:r>
          </w:p>
        </w:tc>
      </w:tr>
      <w:tr w:rsidR="0028112C" w:rsidRPr="00C20E00" w:rsidTr="003C53B7">
        <w:trPr>
          <w:cnfStyle w:val="000000100000"/>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Veselības aizsardzība</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8</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-12</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-7</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8</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0</w:t>
            </w:r>
            <w:r>
              <w:rPr>
                <w:rFonts w:eastAsia="Times New Roman" w:cs="Times New Roman"/>
                <w:sz w:val="20"/>
                <w:szCs w:val="20"/>
              </w:rPr>
              <w:t>,</w:t>
            </w:r>
            <w:r w:rsidRPr="00653C1C">
              <w:rPr>
                <w:rFonts w:eastAsia="Times New Roman" w:cs="Times New Roman"/>
                <w:sz w:val="20"/>
                <w:szCs w:val="20"/>
              </w:rPr>
              <w:t>4</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9</w:t>
            </w:r>
          </w:p>
        </w:tc>
      </w:tr>
      <w:tr w:rsidR="0028112C" w:rsidRPr="00C20E00" w:rsidTr="003C53B7">
        <w:trPr>
          <w:jc w:val="center"/>
        </w:trPr>
        <w:tc>
          <w:tcPr>
            <w:tcW w:w="3798" w:type="dxa"/>
            <w:vAlign w:val="bottom"/>
          </w:tcPr>
          <w:p w:rsidR="0028112C" w:rsidRPr="00142DA0" w:rsidRDefault="0028112C" w:rsidP="00653C1C">
            <w:pPr>
              <w:spacing w:before="40" w:after="40"/>
              <w:ind w:right="-119"/>
              <w:rPr>
                <w:rFonts w:cs="Times New Roman"/>
                <w:b/>
                <w:sz w:val="22"/>
              </w:rPr>
            </w:pPr>
            <w:r w:rsidRPr="00142DA0">
              <w:rPr>
                <w:rFonts w:cs="Times New Roman"/>
                <w:sz w:val="22"/>
              </w:rPr>
              <w:t>Citi pakalpojumi</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3</w:t>
            </w:r>
          </w:p>
        </w:tc>
        <w:tc>
          <w:tcPr>
            <w:tcW w:w="744" w:type="dxa"/>
            <w:gridSpan w:val="2"/>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-20</w:t>
            </w:r>
            <w:r>
              <w:rPr>
                <w:rFonts w:eastAsia="Times New Roman" w:cs="Times New Roman"/>
                <w:sz w:val="20"/>
                <w:szCs w:val="20"/>
              </w:rPr>
              <w:t>,</w:t>
            </w:r>
            <w:r w:rsidRPr="00653C1C">
              <w:rPr>
                <w:rFonts w:eastAsia="Times New Roman" w:cs="Times New Roman"/>
                <w:sz w:val="20"/>
                <w:szCs w:val="20"/>
              </w:rPr>
              <w:t>4</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-11</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Pr>
                <w:rFonts w:eastAsia="Times New Roman" w:cs="Times New Roman"/>
                <w:sz w:val="20"/>
                <w:szCs w:val="20"/>
              </w:rPr>
              <w:t>0,</w:t>
            </w:r>
            <w:r w:rsidRPr="00653C1C">
              <w:rPr>
                <w:rFonts w:eastAsia="Times New Roman" w:cs="Times New Roman"/>
                <w:sz w:val="20"/>
                <w:szCs w:val="20"/>
              </w:rPr>
              <w:t>0</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1</w:t>
            </w:r>
            <w:r>
              <w:rPr>
                <w:rFonts w:eastAsia="Times New Roman" w:cs="Times New Roman"/>
                <w:sz w:val="20"/>
                <w:szCs w:val="20"/>
              </w:rPr>
              <w:t>,</w:t>
            </w:r>
            <w:r w:rsidRPr="00653C1C">
              <w:rPr>
                <w:rFonts w:eastAsia="Times New Roman" w:cs="Times New Roman"/>
                <w:sz w:val="20"/>
                <w:szCs w:val="20"/>
              </w:rPr>
              <w:t>5</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6</w:t>
            </w:r>
            <w:r>
              <w:rPr>
                <w:rFonts w:eastAsia="Times New Roman" w:cs="Times New Roman"/>
                <w:sz w:val="20"/>
                <w:szCs w:val="20"/>
              </w:rPr>
              <w:t>,</w:t>
            </w:r>
            <w:r w:rsidRPr="00653C1C">
              <w:rPr>
                <w:rFonts w:eastAsia="Times New Roman" w:cs="Times New Roman"/>
                <w:sz w:val="20"/>
                <w:szCs w:val="20"/>
              </w:rPr>
              <w:t>1</w:t>
            </w:r>
          </w:p>
        </w:tc>
        <w:tc>
          <w:tcPr>
            <w:tcW w:w="744"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2</w:t>
            </w:r>
            <w:r>
              <w:rPr>
                <w:rFonts w:eastAsia="Times New Roman" w:cs="Times New Roman"/>
                <w:sz w:val="20"/>
                <w:szCs w:val="20"/>
              </w:rPr>
              <w:t>,</w:t>
            </w:r>
            <w:r w:rsidRPr="00653C1C">
              <w:rPr>
                <w:rFonts w:eastAsia="Times New Roman" w:cs="Times New Roman"/>
                <w:sz w:val="20"/>
                <w:szCs w:val="20"/>
              </w:rPr>
              <w:t>5</w:t>
            </w:r>
          </w:p>
        </w:tc>
        <w:tc>
          <w:tcPr>
            <w:tcW w:w="745" w:type="dxa"/>
            <w:vAlign w:val="center"/>
          </w:tcPr>
          <w:p w:rsidR="0028112C" w:rsidRPr="00653C1C" w:rsidRDefault="0028112C" w:rsidP="00E47706">
            <w:pPr>
              <w:tabs>
                <w:tab w:val="decimal" w:pos="261"/>
              </w:tabs>
              <w:spacing w:before="40" w:after="40"/>
              <w:jc w:val="center"/>
              <w:rPr>
                <w:rFonts w:eastAsia="Times New Roman" w:cs="Times New Roman"/>
                <w:sz w:val="20"/>
                <w:szCs w:val="20"/>
              </w:rPr>
            </w:pPr>
            <w:r w:rsidRPr="00653C1C">
              <w:rPr>
                <w:rFonts w:eastAsia="Times New Roman" w:cs="Times New Roman"/>
                <w:sz w:val="20"/>
                <w:szCs w:val="20"/>
              </w:rPr>
              <w:t>5</w:t>
            </w:r>
            <w:r>
              <w:rPr>
                <w:rFonts w:eastAsia="Times New Roman" w:cs="Times New Roman"/>
                <w:sz w:val="20"/>
                <w:szCs w:val="20"/>
              </w:rPr>
              <w:t>,</w:t>
            </w:r>
            <w:r w:rsidRPr="00653C1C">
              <w:rPr>
                <w:rFonts w:eastAsia="Times New Roman" w:cs="Times New Roman"/>
                <w:sz w:val="20"/>
                <w:szCs w:val="20"/>
              </w:rPr>
              <w:t>1</w:t>
            </w:r>
          </w:p>
        </w:tc>
      </w:tr>
    </w:tbl>
    <w:p w:rsidR="008E433C" w:rsidRPr="00B454C8" w:rsidRDefault="008E433C" w:rsidP="008E433C">
      <w:pPr>
        <w:pStyle w:val="BodyTextIndent"/>
        <w:spacing w:before="120" w:after="0"/>
        <w:ind w:left="0" w:firstLine="284"/>
        <w:rPr>
          <w:bCs/>
          <w:sz w:val="16"/>
          <w:szCs w:val="16"/>
          <w:lang w:val="lv-LV"/>
        </w:rPr>
      </w:pPr>
      <w:bookmarkStart w:id="78" w:name="_Nozaru_ieguldījums_izaugsmē"/>
      <w:bookmarkStart w:id="79" w:name="_Toc239501376"/>
      <w:bookmarkEnd w:id="78"/>
      <w:r>
        <w:rPr>
          <w:bCs/>
          <w:sz w:val="16"/>
          <w:szCs w:val="16"/>
          <w:lang w:val="lv-LV"/>
        </w:rPr>
        <w:t>*</w:t>
      </w:r>
      <w:r w:rsidR="00BC2C1B" w:rsidRPr="00BC2C1B">
        <w:rPr>
          <w:bCs/>
          <w:sz w:val="16"/>
          <w:szCs w:val="16"/>
          <w:lang w:val="lv-LV"/>
        </w:rPr>
        <w:t xml:space="preserve"> </w:t>
      </w:r>
      <w:r w:rsidR="00BC2C1B" w:rsidRPr="00B454C8">
        <w:rPr>
          <w:bCs/>
          <w:sz w:val="16"/>
          <w:szCs w:val="16"/>
          <w:lang w:val="lv-LV"/>
        </w:rPr>
        <w:t>E</w:t>
      </w:r>
      <w:r w:rsidR="00BC2C1B">
        <w:rPr>
          <w:bCs/>
          <w:sz w:val="16"/>
          <w:szCs w:val="16"/>
          <w:lang w:val="lv-LV"/>
        </w:rPr>
        <w:t>konomikas ministrijas</w:t>
      </w:r>
      <w:r w:rsidRPr="00B454C8">
        <w:rPr>
          <w:bCs/>
          <w:sz w:val="16"/>
          <w:szCs w:val="16"/>
          <w:lang w:val="lv-LV"/>
        </w:rPr>
        <w:t xml:space="preserve"> novērtējums un prognozes</w:t>
      </w:r>
      <w:r>
        <w:rPr>
          <w:bCs/>
          <w:sz w:val="16"/>
          <w:szCs w:val="16"/>
          <w:lang w:val="lv-LV"/>
        </w:rPr>
        <w:t>;</w:t>
      </w:r>
    </w:p>
    <w:p w:rsidR="008E433C" w:rsidRPr="00B454C8" w:rsidRDefault="00BC2C1B" w:rsidP="008E433C">
      <w:pPr>
        <w:pStyle w:val="BodyTextIndent"/>
        <w:spacing w:after="0"/>
        <w:ind w:left="0" w:firstLine="284"/>
        <w:rPr>
          <w:bCs/>
          <w:sz w:val="16"/>
          <w:szCs w:val="16"/>
          <w:lang w:val="lv-LV"/>
        </w:rPr>
      </w:pPr>
      <w:r>
        <w:rPr>
          <w:bCs/>
          <w:sz w:val="16"/>
          <w:szCs w:val="16"/>
          <w:lang w:val="lv-LV"/>
        </w:rPr>
        <w:t>Fakts</w:t>
      </w:r>
      <w:r w:rsidR="008E433C">
        <w:rPr>
          <w:bCs/>
          <w:sz w:val="16"/>
          <w:szCs w:val="16"/>
          <w:lang w:val="lv-LV"/>
        </w:rPr>
        <w:t>: CSP</w:t>
      </w:r>
    </w:p>
    <w:p w:rsidR="008E433C" w:rsidRPr="00EB5FEE" w:rsidRDefault="008E433C" w:rsidP="008E433C">
      <w:pPr>
        <w:pStyle w:val="Heading2"/>
      </w:pPr>
      <w:bookmarkStart w:id="80" w:name="_Toc242510393"/>
      <w:r w:rsidRPr="00EB5FEE">
        <w:lastRenderedPageBreak/>
        <w:t>1</w:t>
      </w:r>
      <w:r>
        <w:t>4</w:t>
      </w:r>
      <w:r w:rsidRPr="00EB5FEE">
        <w:t>.tabula</w:t>
      </w:r>
      <w:r>
        <w:t xml:space="preserve">. </w:t>
      </w:r>
      <w:r w:rsidRPr="00EB5FEE">
        <w:t>Nozaru ieguldījums izaugsmē</w:t>
      </w:r>
      <w:r>
        <w:t xml:space="preserve"> no </w:t>
      </w:r>
      <w:r w:rsidRPr="00187334">
        <w:t>200</w:t>
      </w:r>
      <w:r>
        <w:t>9</w:t>
      </w:r>
      <w:r w:rsidRPr="00187334">
        <w:t>. līdz 20</w:t>
      </w:r>
      <w:r>
        <w:t>15</w:t>
      </w:r>
      <w:r w:rsidRPr="00187334">
        <w:t>.gadam</w:t>
      </w:r>
      <w:bookmarkEnd w:id="79"/>
      <w:bookmarkEnd w:id="80"/>
    </w:p>
    <w:p w:rsidR="008E433C" w:rsidRPr="00ED0077" w:rsidRDefault="008E433C" w:rsidP="008E433C">
      <w:pPr>
        <w:rPr>
          <w:szCs w:val="24"/>
        </w:rPr>
      </w:pPr>
      <w:r w:rsidRPr="00ED0077">
        <w:rPr>
          <w:szCs w:val="24"/>
        </w:rPr>
        <w:t>(procentos)</w:t>
      </w:r>
      <w:r w:rsidR="001911DD">
        <w:rPr>
          <w:szCs w:val="24"/>
        </w:rPr>
        <w:t>*</w:t>
      </w:r>
    </w:p>
    <w:p w:rsidR="008E433C" w:rsidRDefault="008E433C" w:rsidP="008E433C">
      <w:pPr>
        <w:rPr>
          <w:sz w:val="16"/>
        </w:rPr>
      </w:pPr>
    </w:p>
    <w:tbl>
      <w:tblPr>
        <w:tblStyle w:val="LightShading1"/>
        <w:tblW w:w="9720" w:type="dxa"/>
        <w:jc w:val="center"/>
        <w:tblLayout w:type="fixed"/>
        <w:tblLook w:val="0400"/>
      </w:tblPr>
      <w:tblGrid>
        <w:gridCol w:w="3767"/>
        <w:gridCol w:w="744"/>
        <w:gridCol w:w="106"/>
        <w:gridCol w:w="638"/>
        <w:gridCol w:w="744"/>
        <w:gridCol w:w="744"/>
        <w:gridCol w:w="744"/>
        <w:gridCol w:w="744"/>
        <w:gridCol w:w="744"/>
        <w:gridCol w:w="745"/>
      </w:tblGrid>
      <w:tr w:rsidR="008E433C" w:rsidRPr="00C20E00" w:rsidTr="002F02CF">
        <w:trPr>
          <w:cnfStyle w:val="000000100000"/>
          <w:jc w:val="center"/>
        </w:trPr>
        <w:tc>
          <w:tcPr>
            <w:tcW w:w="3767" w:type="dxa"/>
            <w:tcBorders>
              <w:bottom w:val="nil"/>
            </w:tcBorders>
            <w:vAlign w:val="center"/>
          </w:tcPr>
          <w:p w:rsidR="008E433C" w:rsidRPr="00C20E00" w:rsidRDefault="008E433C" w:rsidP="002F02CF">
            <w:pPr>
              <w:spacing w:before="40" w:after="40"/>
              <w:ind w:right="-69"/>
              <w:jc w:val="center"/>
              <w:rPr>
                <w:sz w:val="22"/>
              </w:rPr>
            </w:pPr>
          </w:p>
        </w:tc>
        <w:tc>
          <w:tcPr>
            <w:tcW w:w="850" w:type="dxa"/>
            <w:gridSpan w:val="2"/>
            <w:tcBorders>
              <w:bottom w:val="nil"/>
            </w:tcBorders>
            <w:vAlign w:val="center"/>
          </w:tcPr>
          <w:p w:rsidR="008E433C" w:rsidRPr="00C20E00" w:rsidRDefault="008E433C" w:rsidP="002F02CF">
            <w:pPr>
              <w:spacing w:before="40" w:after="40"/>
              <w:jc w:val="center"/>
              <w:rPr>
                <w:b/>
                <w:sz w:val="22"/>
              </w:rPr>
            </w:pPr>
            <w:r w:rsidRPr="00C20E00">
              <w:rPr>
                <w:sz w:val="22"/>
              </w:rPr>
              <w:t>Fakts</w:t>
            </w:r>
          </w:p>
        </w:tc>
        <w:tc>
          <w:tcPr>
            <w:tcW w:w="5103" w:type="dxa"/>
            <w:gridSpan w:val="7"/>
            <w:tcBorders>
              <w:bottom w:val="nil"/>
            </w:tcBorders>
            <w:vAlign w:val="center"/>
          </w:tcPr>
          <w:p w:rsidR="008E433C" w:rsidRPr="00C20E00" w:rsidRDefault="008E433C" w:rsidP="000559B9">
            <w:pPr>
              <w:spacing w:before="40" w:after="40"/>
              <w:rPr>
                <w:sz w:val="22"/>
              </w:rPr>
            </w:pPr>
            <w:r w:rsidRPr="00C20E00">
              <w:rPr>
                <w:sz w:val="22"/>
              </w:rPr>
              <w:t>Prognozes</w:t>
            </w:r>
          </w:p>
        </w:tc>
      </w:tr>
      <w:tr w:rsidR="008E433C" w:rsidRPr="00C20E00" w:rsidTr="002F02CF">
        <w:trPr>
          <w:trHeight w:val="270"/>
          <w:jc w:val="center"/>
        </w:trPr>
        <w:tc>
          <w:tcPr>
            <w:tcW w:w="3767" w:type="dxa"/>
            <w:tcBorders>
              <w:top w:val="nil"/>
              <w:bottom w:val="single" w:sz="4" w:space="0" w:color="auto"/>
            </w:tcBorders>
            <w:vAlign w:val="center"/>
          </w:tcPr>
          <w:p w:rsidR="008E433C" w:rsidRPr="00C20E00" w:rsidRDefault="008E433C" w:rsidP="002F02CF">
            <w:pPr>
              <w:spacing w:before="40" w:after="40"/>
              <w:ind w:right="-69"/>
              <w:jc w:val="center"/>
              <w:rPr>
                <w:sz w:val="22"/>
              </w:rPr>
            </w:pP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2008</w:t>
            </w:r>
          </w:p>
        </w:tc>
        <w:tc>
          <w:tcPr>
            <w:tcW w:w="744" w:type="dxa"/>
            <w:gridSpan w:val="2"/>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2009</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2010</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2011</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2012</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2013</w:t>
            </w:r>
          </w:p>
        </w:tc>
        <w:tc>
          <w:tcPr>
            <w:tcW w:w="744"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2014</w:t>
            </w:r>
          </w:p>
        </w:tc>
        <w:tc>
          <w:tcPr>
            <w:tcW w:w="745" w:type="dxa"/>
            <w:tcBorders>
              <w:top w:val="nil"/>
              <w:bottom w:val="single" w:sz="4" w:space="0" w:color="auto"/>
            </w:tcBorders>
            <w:vAlign w:val="center"/>
          </w:tcPr>
          <w:p w:rsidR="008E433C" w:rsidRPr="00C20E00" w:rsidRDefault="008E433C" w:rsidP="002F02CF">
            <w:pPr>
              <w:spacing w:before="40" w:after="40"/>
              <w:jc w:val="center"/>
              <w:rPr>
                <w:b/>
                <w:sz w:val="22"/>
              </w:rPr>
            </w:pPr>
            <w:r w:rsidRPr="00C20E00">
              <w:rPr>
                <w:b/>
                <w:sz w:val="22"/>
              </w:rPr>
              <w:t>2015</w:t>
            </w:r>
          </w:p>
        </w:tc>
      </w:tr>
      <w:tr w:rsidR="008E433C" w:rsidRPr="00C20E00" w:rsidTr="002F02CF">
        <w:trPr>
          <w:cnfStyle w:val="000000100000"/>
          <w:jc w:val="center"/>
        </w:trPr>
        <w:tc>
          <w:tcPr>
            <w:tcW w:w="9720" w:type="dxa"/>
            <w:gridSpan w:val="10"/>
            <w:vAlign w:val="bottom"/>
          </w:tcPr>
          <w:p w:rsidR="008E433C" w:rsidRPr="00C20E00" w:rsidRDefault="008E433C" w:rsidP="002F02CF">
            <w:pPr>
              <w:tabs>
                <w:tab w:val="decimal" w:pos="317"/>
              </w:tabs>
              <w:spacing w:before="60" w:after="60"/>
              <w:jc w:val="center"/>
              <w:rPr>
                <w:rFonts w:cs="Times New Roman"/>
                <w:b/>
                <w:color w:val="000000"/>
                <w:sz w:val="22"/>
              </w:rPr>
            </w:pPr>
            <w:r>
              <w:rPr>
                <w:rFonts w:cs="Times New Roman"/>
                <w:b/>
                <w:color w:val="000000"/>
                <w:sz w:val="22"/>
              </w:rPr>
              <w:t>Mērķa</w:t>
            </w:r>
            <w:r w:rsidRPr="00C20E00">
              <w:rPr>
                <w:rFonts w:cs="Times New Roman"/>
                <w:b/>
                <w:color w:val="000000"/>
                <w:sz w:val="22"/>
              </w:rPr>
              <w:t xml:space="preserve"> scenārijs</w:t>
            </w:r>
          </w:p>
        </w:tc>
      </w:tr>
      <w:tr w:rsidR="0028112C" w:rsidRPr="00C20E00" w:rsidTr="001911DD">
        <w:trPr>
          <w:jc w:val="center"/>
        </w:trPr>
        <w:tc>
          <w:tcPr>
            <w:tcW w:w="3767" w:type="dxa"/>
            <w:vAlign w:val="bottom"/>
          </w:tcPr>
          <w:p w:rsidR="0028112C" w:rsidRPr="00C20E00" w:rsidRDefault="0028112C" w:rsidP="002F02CF">
            <w:pPr>
              <w:spacing w:before="40" w:after="40"/>
              <w:ind w:right="-69"/>
              <w:rPr>
                <w:rFonts w:cs="Times New Roman"/>
                <w:sz w:val="22"/>
              </w:rPr>
            </w:pPr>
            <w:r w:rsidRPr="00C20E00">
              <w:rPr>
                <w:b/>
                <w:sz w:val="22"/>
              </w:rPr>
              <w:t>IKP</w:t>
            </w:r>
          </w:p>
        </w:tc>
        <w:tc>
          <w:tcPr>
            <w:tcW w:w="744" w:type="dxa"/>
            <w:vAlign w:val="center"/>
          </w:tcPr>
          <w:p w:rsidR="0028112C" w:rsidRPr="007B17BC" w:rsidRDefault="0028112C" w:rsidP="00E47706">
            <w:pPr>
              <w:tabs>
                <w:tab w:val="decimal" w:pos="275"/>
              </w:tabs>
              <w:spacing w:before="40" w:after="40"/>
              <w:ind w:right="-69"/>
              <w:jc w:val="center"/>
              <w:rPr>
                <w:rFonts w:cs="Times New Roman"/>
                <w:b/>
                <w:sz w:val="22"/>
              </w:rPr>
            </w:pPr>
            <w:r w:rsidRPr="007B17BC">
              <w:rPr>
                <w:rFonts w:cs="Times New Roman"/>
                <w:b/>
                <w:sz w:val="22"/>
              </w:rPr>
              <w:t>-4,6</w:t>
            </w:r>
          </w:p>
        </w:tc>
        <w:tc>
          <w:tcPr>
            <w:tcW w:w="744" w:type="dxa"/>
            <w:gridSpan w:val="2"/>
            <w:vAlign w:val="center"/>
          </w:tcPr>
          <w:p w:rsidR="0028112C" w:rsidRPr="007B17BC" w:rsidRDefault="0028112C" w:rsidP="00E47706">
            <w:pPr>
              <w:tabs>
                <w:tab w:val="decimal" w:pos="275"/>
              </w:tabs>
              <w:spacing w:before="40" w:after="40"/>
              <w:ind w:right="-69"/>
              <w:jc w:val="center"/>
              <w:rPr>
                <w:rFonts w:cs="Times New Roman"/>
                <w:b/>
                <w:sz w:val="22"/>
              </w:rPr>
            </w:pPr>
            <w:r w:rsidRPr="007B17BC">
              <w:rPr>
                <w:rFonts w:cs="Times New Roman"/>
                <w:b/>
                <w:sz w:val="22"/>
              </w:rPr>
              <w:t>-18,</w:t>
            </w:r>
            <w:r>
              <w:rPr>
                <w:rFonts w:cs="Times New Roman"/>
                <w:b/>
                <w:sz w:val="22"/>
              </w:rPr>
              <w:t>0</w:t>
            </w:r>
          </w:p>
        </w:tc>
        <w:tc>
          <w:tcPr>
            <w:tcW w:w="744" w:type="dxa"/>
            <w:vAlign w:val="center"/>
          </w:tcPr>
          <w:p w:rsidR="0028112C" w:rsidRPr="005A3F6D" w:rsidRDefault="0028112C" w:rsidP="00E47706">
            <w:pPr>
              <w:tabs>
                <w:tab w:val="decimal" w:pos="242"/>
                <w:tab w:val="decimal" w:pos="275"/>
              </w:tabs>
              <w:spacing w:before="40" w:after="40"/>
              <w:jc w:val="center"/>
              <w:rPr>
                <w:rFonts w:eastAsia="Times New Roman" w:cs="Times New Roman"/>
                <w:b/>
                <w:sz w:val="22"/>
              </w:rPr>
            </w:pPr>
            <w:r w:rsidRPr="005A3F6D">
              <w:rPr>
                <w:rFonts w:eastAsia="Times New Roman" w:cs="Times New Roman"/>
                <w:b/>
                <w:sz w:val="22"/>
              </w:rPr>
              <w:t>-2,</w:t>
            </w:r>
            <w:r>
              <w:rPr>
                <w:rFonts w:eastAsia="Times New Roman" w:cs="Times New Roman"/>
                <w:b/>
                <w:sz w:val="22"/>
              </w:rPr>
              <w:t>5</w:t>
            </w:r>
          </w:p>
        </w:tc>
        <w:tc>
          <w:tcPr>
            <w:tcW w:w="744" w:type="dxa"/>
            <w:vAlign w:val="center"/>
          </w:tcPr>
          <w:p w:rsidR="0028112C" w:rsidRPr="005A3F6D" w:rsidRDefault="0028112C" w:rsidP="00E47706">
            <w:pPr>
              <w:tabs>
                <w:tab w:val="decimal" w:pos="242"/>
                <w:tab w:val="decimal" w:pos="275"/>
              </w:tabs>
              <w:spacing w:before="40" w:after="40"/>
              <w:jc w:val="center"/>
              <w:rPr>
                <w:rFonts w:eastAsia="Times New Roman" w:cs="Times New Roman"/>
                <w:b/>
                <w:sz w:val="22"/>
              </w:rPr>
            </w:pPr>
            <w:r w:rsidRPr="005A3F6D">
              <w:rPr>
                <w:rFonts w:eastAsia="Times New Roman" w:cs="Times New Roman"/>
                <w:b/>
                <w:sz w:val="22"/>
              </w:rPr>
              <w:t>1,</w:t>
            </w:r>
            <w:r>
              <w:rPr>
                <w:rFonts w:eastAsia="Times New Roman" w:cs="Times New Roman"/>
                <w:b/>
                <w:sz w:val="22"/>
              </w:rPr>
              <w:t>6</w:t>
            </w:r>
          </w:p>
        </w:tc>
        <w:tc>
          <w:tcPr>
            <w:tcW w:w="744" w:type="dxa"/>
            <w:vAlign w:val="center"/>
          </w:tcPr>
          <w:p w:rsidR="0028112C" w:rsidRPr="005A3F6D" w:rsidRDefault="0028112C" w:rsidP="00E47706">
            <w:pPr>
              <w:tabs>
                <w:tab w:val="decimal" w:pos="242"/>
                <w:tab w:val="decimal" w:pos="275"/>
              </w:tabs>
              <w:spacing w:before="40" w:after="40"/>
              <w:jc w:val="center"/>
              <w:rPr>
                <w:rFonts w:eastAsia="Times New Roman" w:cs="Times New Roman"/>
                <w:b/>
                <w:sz w:val="22"/>
              </w:rPr>
            </w:pPr>
            <w:r w:rsidRPr="005A3F6D">
              <w:rPr>
                <w:rFonts w:eastAsia="Times New Roman" w:cs="Times New Roman"/>
                <w:b/>
                <w:sz w:val="22"/>
              </w:rPr>
              <w:t>3,0</w:t>
            </w:r>
          </w:p>
        </w:tc>
        <w:tc>
          <w:tcPr>
            <w:tcW w:w="744" w:type="dxa"/>
            <w:vAlign w:val="center"/>
          </w:tcPr>
          <w:p w:rsidR="0028112C" w:rsidRPr="005A3F6D" w:rsidRDefault="0028112C" w:rsidP="00E47706">
            <w:pPr>
              <w:tabs>
                <w:tab w:val="decimal" w:pos="242"/>
                <w:tab w:val="decimal" w:pos="275"/>
              </w:tabs>
              <w:spacing w:before="40" w:after="40"/>
              <w:jc w:val="center"/>
              <w:rPr>
                <w:rFonts w:eastAsia="Times New Roman" w:cs="Times New Roman"/>
                <w:b/>
                <w:sz w:val="22"/>
              </w:rPr>
            </w:pPr>
            <w:r w:rsidRPr="005A3F6D">
              <w:rPr>
                <w:rFonts w:eastAsia="Times New Roman" w:cs="Times New Roman"/>
                <w:b/>
                <w:sz w:val="22"/>
              </w:rPr>
              <w:t>5,0</w:t>
            </w:r>
          </w:p>
        </w:tc>
        <w:tc>
          <w:tcPr>
            <w:tcW w:w="744" w:type="dxa"/>
            <w:vAlign w:val="center"/>
          </w:tcPr>
          <w:p w:rsidR="0028112C" w:rsidRPr="005A3F6D" w:rsidRDefault="0028112C" w:rsidP="00E47706">
            <w:pPr>
              <w:tabs>
                <w:tab w:val="decimal" w:pos="242"/>
                <w:tab w:val="decimal" w:pos="275"/>
              </w:tabs>
              <w:spacing w:before="40" w:after="40"/>
              <w:jc w:val="center"/>
              <w:rPr>
                <w:rFonts w:eastAsia="Times New Roman" w:cs="Times New Roman"/>
                <w:b/>
                <w:sz w:val="22"/>
              </w:rPr>
            </w:pPr>
            <w:r w:rsidRPr="005A3F6D">
              <w:rPr>
                <w:rFonts w:eastAsia="Times New Roman" w:cs="Times New Roman"/>
                <w:b/>
                <w:sz w:val="22"/>
              </w:rPr>
              <w:t>5,0</w:t>
            </w:r>
          </w:p>
        </w:tc>
        <w:tc>
          <w:tcPr>
            <w:tcW w:w="745" w:type="dxa"/>
            <w:vAlign w:val="center"/>
          </w:tcPr>
          <w:p w:rsidR="0028112C" w:rsidRPr="005A3F6D" w:rsidRDefault="0028112C" w:rsidP="00E47706">
            <w:pPr>
              <w:tabs>
                <w:tab w:val="decimal" w:pos="242"/>
                <w:tab w:val="decimal" w:pos="275"/>
              </w:tabs>
              <w:spacing w:before="40" w:after="40"/>
              <w:jc w:val="center"/>
              <w:rPr>
                <w:rFonts w:eastAsia="Times New Roman" w:cs="Times New Roman"/>
                <w:b/>
                <w:sz w:val="22"/>
              </w:rPr>
            </w:pPr>
            <w:r w:rsidRPr="005A3F6D">
              <w:rPr>
                <w:rFonts w:eastAsia="Times New Roman" w:cs="Times New Roman"/>
                <w:b/>
                <w:sz w:val="22"/>
              </w:rPr>
              <w:t>5,0</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 xml:space="preserve">Lauksaimniecība, </w:t>
            </w:r>
            <w:r>
              <w:rPr>
                <w:rFonts w:cs="Times New Roman"/>
                <w:sz w:val="22"/>
              </w:rPr>
              <w:t>mežsaimniecība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Zvejniecība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Iegūstošā rūpniecība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Apstrādes rūpniecība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w:t>
            </w:r>
            <w:r w:rsidRPr="003C53B7">
              <w:rPr>
                <w:rFonts w:eastAsia="Times New Roman" w:cs="Times New Roman"/>
                <w:sz w:val="20"/>
                <w:szCs w:val="20"/>
              </w:rPr>
              <w:t>2</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-2,5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0,7</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0,4</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0,7</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0,8</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0,7</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Elektroenerģija, gāze un ūdens apgāde</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1</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r>
      <w:tr w:rsidR="0028112C" w:rsidRPr="00C20E00" w:rsidTr="003C53B7">
        <w:trPr>
          <w:jc w:val="center"/>
        </w:trPr>
        <w:tc>
          <w:tcPr>
            <w:tcW w:w="3767" w:type="dxa"/>
            <w:vAlign w:val="bottom"/>
          </w:tcPr>
          <w:p w:rsidR="0028112C" w:rsidRPr="001911DD" w:rsidRDefault="0028112C" w:rsidP="003C53B7">
            <w:pPr>
              <w:spacing w:before="40" w:after="40"/>
              <w:ind w:right="-119"/>
              <w:rPr>
                <w:rFonts w:cs="Times New Roman"/>
                <w:sz w:val="22"/>
              </w:rPr>
            </w:pPr>
            <w:r w:rsidRPr="001911DD">
              <w:rPr>
                <w:rFonts w:cs="Times New Roman"/>
                <w:sz w:val="22"/>
              </w:rPr>
              <w:t>Būvniecība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3</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-2,6</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Tirdzniecība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-6,1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0,9</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1,3</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1,2</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Viesnīcas un restorāni</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3</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Transports un sakari</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2</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-2,0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0,8</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0,4</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0,6</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1,1</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1,1</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Finanses</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5</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Nekustamo īpašumu izmantošana un komercdarbība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4</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-0,7</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0,6</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0,9</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0,8</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0,8</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Valsts pārvalde</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1</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-0,7</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-0,9</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Izglītība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Veselības aizsardzība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Citi pakalpojumi</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1</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-0,9</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-0,4</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r>
      <w:tr w:rsidR="008E433C" w:rsidRPr="00C20E00" w:rsidTr="002F02CF">
        <w:trPr>
          <w:jc w:val="center"/>
        </w:trPr>
        <w:tc>
          <w:tcPr>
            <w:tcW w:w="9720" w:type="dxa"/>
            <w:gridSpan w:val="10"/>
            <w:vAlign w:val="bottom"/>
          </w:tcPr>
          <w:p w:rsidR="008E433C" w:rsidRPr="00C20E00" w:rsidRDefault="008E433C" w:rsidP="002F02CF">
            <w:pPr>
              <w:tabs>
                <w:tab w:val="decimal" w:pos="317"/>
              </w:tabs>
              <w:spacing w:before="60" w:after="60"/>
              <w:jc w:val="center"/>
              <w:rPr>
                <w:rFonts w:cs="Times New Roman"/>
                <w:color w:val="000000"/>
                <w:sz w:val="22"/>
              </w:rPr>
            </w:pPr>
            <w:r>
              <w:rPr>
                <w:rFonts w:cs="Times New Roman"/>
                <w:b/>
                <w:color w:val="000000"/>
                <w:sz w:val="22"/>
              </w:rPr>
              <w:t>Bāzes</w:t>
            </w:r>
            <w:r w:rsidRPr="00C20E00">
              <w:rPr>
                <w:rFonts w:cs="Times New Roman"/>
                <w:b/>
                <w:color w:val="000000"/>
                <w:sz w:val="22"/>
              </w:rPr>
              <w:t xml:space="preserve"> scenārijs</w:t>
            </w:r>
          </w:p>
        </w:tc>
      </w:tr>
      <w:tr w:rsidR="0028112C" w:rsidRPr="00C20E00" w:rsidTr="005B63F6">
        <w:trPr>
          <w:cnfStyle w:val="000000100000"/>
          <w:jc w:val="center"/>
        </w:trPr>
        <w:tc>
          <w:tcPr>
            <w:tcW w:w="3767" w:type="dxa"/>
            <w:vAlign w:val="bottom"/>
          </w:tcPr>
          <w:p w:rsidR="0028112C" w:rsidRPr="00C20E00" w:rsidRDefault="0028112C" w:rsidP="002F02CF">
            <w:pPr>
              <w:spacing w:before="40" w:after="40"/>
              <w:ind w:right="-69"/>
              <w:rPr>
                <w:rFonts w:cs="Times New Roman"/>
                <w:sz w:val="22"/>
              </w:rPr>
            </w:pPr>
            <w:r w:rsidRPr="00C20E00">
              <w:rPr>
                <w:b/>
                <w:sz w:val="22"/>
              </w:rPr>
              <w:t>IKP</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-4,6</w:t>
            </w:r>
          </w:p>
        </w:tc>
        <w:tc>
          <w:tcPr>
            <w:tcW w:w="744" w:type="dxa"/>
            <w:gridSpan w:val="2"/>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-18,</w:t>
            </w:r>
            <w:r>
              <w:rPr>
                <w:rFonts w:cs="Times New Roman"/>
                <w:b/>
                <w:sz w:val="22"/>
              </w:rPr>
              <w:t>0</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-4,0</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1,</w:t>
            </w:r>
            <w:r>
              <w:rPr>
                <w:rFonts w:cs="Times New Roman"/>
                <w:b/>
                <w:sz w:val="22"/>
              </w:rPr>
              <w:t>0</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2,0</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3,0</w:t>
            </w:r>
          </w:p>
        </w:tc>
        <w:tc>
          <w:tcPr>
            <w:tcW w:w="744"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3,0</w:t>
            </w:r>
          </w:p>
        </w:tc>
        <w:tc>
          <w:tcPr>
            <w:tcW w:w="745" w:type="dxa"/>
            <w:vAlign w:val="center"/>
          </w:tcPr>
          <w:p w:rsidR="0028112C" w:rsidRPr="007B17BC" w:rsidRDefault="0028112C" w:rsidP="00E47706">
            <w:pPr>
              <w:tabs>
                <w:tab w:val="decimal" w:pos="261"/>
              </w:tabs>
              <w:spacing w:before="40" w:after="40"/>
              <w:ind w:right="-69"/>
              <w:jc w:val="center"/>
              <w:rPr>
                <w:rFonts w:cs="Times New Roman"/>
                <w:b/>
                <w:sz w:val="22"/>
              </w:rPr>
            </w:pPr>
            <w:r w:rsidRPr="007B17BC">
              <w:rPr>
                <w:rFonts w:cs="Times New Roman"/>
                <w:b/>
                <w:sz w:val="22"/>
              </w:rPr>
              <w:t>4,0</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 xml:space="preserve">Lauksaimniecība, </w:t>
            </w:r>
            <w:r>
              <w:rPr>
                <w:rFonts w:cs="Times New Roman"/>
                <w:sz w:val="22"/>
              </w:rPr>
              <w:t>mežsaimniecība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Zvejniecība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Iegūstošā rūpniecība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Apstrādes rūpniecība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-1</w:t>
            </w:r>
            <w:r>
              <w:rPr>
                <w:rFonts w:eastAsia="Times New Roman" w:cs="Times New Roman"/>
                <w:sz w:val="20"/>
                <w:szCs w:val="20"/>
              </w:rPr>
              <w:t>,</w:t>
            </w:r>
            <w:r w:rsidRPr="003C53B7">
              <w:rPr>
                <w:rFonts w:eastAsia="Times New Roman" w:cs="Times New Roman"/>
                <w:sz w:val="20"/>
                <w:szCs w:val="20"/>
              </w:rPr>
              <w:t>2</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-2,5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0,4</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0,6</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0,8</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0,7</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Elektroenerģija, gāze un ūdens apgāde</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1</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r>
      <w:tr w:rsidR="0028112C" w:rsidRPr="00C20E00" w:rsidTr="003C53B7">
        <w:trPr>
          <w:cnfStyle w:val="000000100000"/>
          <w:jc w:val="center"/>
        </w:trPr>
        <w:tc>
          <w:tcPr>
            <w:tcW w:w="3767" w:type="dxa"/>
            <w:vAlign w:val="bottom"/>
          </w:tcPr>
          <w:p w:rsidR="0028112C" w:rsidRPr="001911DD" w:rsidRDefault="0028112C" w:rsidP="003C53B7">
            <w:pPr>
              <w:spacing w:before="40" w:after="40"/>
              <w:ind w:right="-119"/>
              <w:rPr>
                <w:rFonts w:cs="Times New Roman"/>
                <w:sz w:val="22"/>
              </w:rPr>
            </w:pPr>
            <w:r w:rsidRPr="001911DD">
              <w:rPr>
                <w:rFonts w:cs="Times New Roman"/>
                <w:sz w:val="22"/>
              </w:rPr>
              <w:t>Būvniecība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3</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-2,6</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-1,4</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0,4</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Tirdzniecība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-3</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-6,1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0,6</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0,6</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0,7</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1,0</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Viesnīcas un restorāni</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3</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Transports un sakari</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2</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-2,0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0,6</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0,4</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0,7</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0,8</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0,9</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Finanses</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5</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-0,4</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Nekustamo īpašumu izmantošana un komercdarbība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4</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-1,0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Valsts pārvalde</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1</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-0,7</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-0,9</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Izglītība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r>
      <w:tr w:rsidR="0028112C" w:rsidRPr="00C20E00" w:rsidTr="003C53B7">
        <w:trPr>
          <w:cnfStyle w:val="000000100000"/>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Veselības aizsardzība</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0</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-0,3</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r>
      <w:tr w:rsidR="0028112C" w:rsidRPr="00C20E00" w:rsidTr="003C53B7">
        <w:trPr>
          <w:jc w:val="center"/>
        </w:trPr>
        <w:tc>
          <w:tcPr>
            <w:tcW w:w="3767" w:type="dxa"/>
            <w:vAlign w:val="bottom"/>
          </w:tcPr>
          <w:p w:rsidR="0028112C" w:rsidRPr="00142DA0" w:rsidRDefault="0028112C" w:rsidP="003C53B7">
            <w:pPr>
              <w:spacing w:before="40" w:after="40"/>
              <w:ind w:right="-119"/>
              <w:rPr>
                <w:rFonts w:cs="Times New Roman"/>
                <w:b/>
                <w:sz w:val="22"/>
              </w:rPr>
            </w:pPr>
            <w:r w:rsidRPr="00142DA0">
              <w:rPr>
                <w:rFonts w:cs="Times New Roman"/>
                <w:sz w:val="22"/>
              </w:rPr>
              <w:t>Citi pakalpojumi</w:t>
            </w:r>
          </w:p>
        </w:tc>
        <w:tc>
          <w:tcPr>
            <w:tcW w:w="744" w:type="dxa"/>
            <w:vAlign w:val="center"/>
          </w:tcPr>
          <w:p w:rsidR="0028112C" w:rsidRPr="003C53B7" w:rsidRDefault="0028112C" w:rsidP="00E47706">
            <w:pPr>
              <w:tabs>
                <w:tab w:val="decimal" w:pos="277"/>
              </w:tabs>
              <w:spacing w:before="40" w:after="40"/>
              <w:jc w:val="center"/>
              <w:rPr>
                <w:rFonts w:eastAsia="Times New Roman" w:cs="Times New Roman"/>
                <w:sz w:val="20"/>
                <w:szCs w:val="20"/>
              </w:rPr>
            </w:pPr>
            <w:r w:rsidRPr="003C53B7">
              <w:rPr>
                <w:rFonts w:eastAsia="Times New Roman" w:cs="Times New Roman"/>
                <w:sz w:val="20"/>
                <w:szCs w:val="20"/>
              </w:rPr>
              <w:t>0</w:t>
            </w:r>
            <w:r>
              <w:rPr>
                <w:rFonts w:eastAsia="Times New Roman" w:cs="Times New Roman"/>
                <w:sz w:val="20"/>
                <w:szCs w:val="20"/>
              </w:rPr>
              <w:t>,</w:t>
            </w:r>
            <w:r w:rsidRPr="003C53B7">
              <w:rPr>
                <w:rFonts w:eastAsia="Times New Roman" w:cs="Times New Roman"/>
                <w:sz w:val="20"/>
                <w:szCs w:val="20"/>
              </w:rPr>
              <w:t>1</w:t>
            </w:r>
          </w:p>
        </w:tc>
        <w:tc>
          <w:tcPr>
            <w:tcW w:w="744" w:type="dxa"/>
            <w:gridSpan w:val="2"/>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-0,9</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-0,5</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0,0</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c>
          <w:tcPr>
            <w:tcW w:w="744"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0,1</w:t>
            </w:r>
          </w:p>
        </w:tc>
        <w:tc>
          <w:tcPr>
            <w:tcW w:w="745" w:type="dxa"/>
            <w:vAlign w:val="center"/>
          </w:tcPr>
          <w:p w:rsidR="0028112C" w:rsidRPr="00760F42" w:rsidRDefault="0028112C" w:rsidP="00E47706">
            <w:pPr>
              <w:tabs>
                <w:tab w:val="decimal" w:pos="277"/>
              </w:tabs>
              <w:spacing w:before="40" w:after="40"/>
              <w:jc w:val="center"/>
              <w:rPr>
                <w:rFonts w:eastAsia="Times New Roman" w:cs="Times New Roman"/>
                <w:sz w:val="20"/>
                <w:szCs w:val="20"/>
              </w:rPr>
            </w:pPr>
            <w:r w:rsidRPr="00760F42">
              <w:rPr>
                <w:rFonts w:eastAsia="Times New Roman" w:cs="Times New Roman"/>
                <w:sz w:val="20"/>
                <w:szCs w:val="20"/>
              </w:rPr>
              <w:t>0,2</w:t>
            </w:r>
          </w:p>
        </w:tc>
      </w:tr>
    </w:tbl>
    <w:p w:rsidR="008E433C" w:rsidRPr="00B454C8" w:rsidRDefault="008E433C" w:rsidP="008E433C">
      <w:pPr>
        <w:pStyle w:val="BodyTextIndent"/>
        <w:spacing w:before="120" w:after="0"/>
        <w:ind w:left="0" w:firstLine="284"/>
        <w:rPr>
          <w:bCs/>
          <w:sz w:val="16"/>
          <w:szCs w:val="16"/>
          <w:lang w:val="lv-LV"/>
        </w:rPr>
      </w:pPr>
      <w:r>
        <w:rPr>
          <w:bCs/>
          <w:sz w:val="16"/>
          <w:szCs w:val="16"/>
          <w:lang w:val="lv-LV"/>
        </w:rPr>
        <w:t>*</w:t>
      </w:r>
      <w:r w:rsidR="00BC2C1B" w:rsidRPr="00BC2C1B">
        <w:rPr>
          <w:bCs/>
          <w:sz w:val="16"/>
          <w:szCs w:val="16"/>
          <w:lang w:val="lv-LV"/>
        </w:rPr>
        <w:t xml:space="preserve"> </w:t>
      </w:r>
      <w:r w:rsidR="00BC2C1B" w:rsidRPr="00B454C8">
        <w:rPr>
          <w:bCs/>
          <w:sz w:val="16"/>
          <w:szCs w:val="16"/>
          <w:lang w:val="lv-LV"/>
        </w:rPr>
        <w:t>E</w:t>
      </w:r>
      <w:r w:rsidR="00BC2C1B">
        <w:rPr>
          <w:bCs/>
          <w:sz w:val="16"/>
          <w:szCs w:val="16"/>
          <w:lang w:val="lv-LV"/>
        </w:rPr>
        <w:t>konomikas ministrijas</w:t>
      </w:r>
      <w:r w:rsidRPr="00B454C8">
        <w:rPr>
          <w:bCs/>
          <w:sz w:val="16"/>
          <w:szCs w:val="16"/>
          <w:lang w:val="lv-LV"/>
        </w:rPr>
        <w:t xml:space="preserve"> novērtējums un prognozes</w:t>
      </w:r>
      <w:r>
        <w:rPr>
          <w:bCs/>
          <w:sz w:val="16"/>
          <w:szCs w:val="16"/>
          <w:lang w:val="lv-LV"/>
        </w:rPr>
        <w:t>;</w:t>
      </w:r>
    </w:p>
    <w:p w:rsidR="008E433C" w:rsidRPr="00B454C8" w:rsidRDefault="00BC2C1B" w:rsidP="008E433C">
      <w:pPr>
        <w:pStyle w:val="BodyTextIndent"/>
        <w:spacing w:after="0"/>
        <w:ind w:left="0" w:firstLine="284"/>
        <w:rPr>
          <w:bCs/>
          <w:sz w:val="16"/>
          <w:szCs w:val="16"/>
          <w:lang w:val="lv-LV"/>
        </w:rPr>
      </w:pPr>
      <w:r>
        <w:rPr>
          <w:bCs/>
          <w:sz w:val="16"/>
          <w:szCs w:val="16"/>
          <w:lang w:val="lv-LV"/>
        </w:rPr>
        <w:t>Fakts</w:t>
      </w:r>
      <w:r w:rsidR="008E433C">
        <w:rPr>
          <w:bCs/>
          <w:sz w:val="16"/>
          <w:szCs w:val="16"/>
          <w:lang w:val="lv-LV"/>
        </w:rPr>
        <w:t>: CSP</w:t>
      </w:r>
    </w:p>
    <w:p w:rsidR="008E433C" w:rsidRDefault="008E433C" w:rsidP="008E433C">
      <w:pPr>
        <w:rPr>
          <w:sz w:val="16"/>
        </w:rPr>
      </w:pPr>
    </w:p>
    <w:p w:rsidR="003C53B7" w:rsidRDefault="003C53B7">
      <w:pPr>
        <w:spacing w:after="200" w:line="276" w:lineRule="auto"/>
        <w:rPr>
          <w:rFonts w:eastAsiaTheme="majorEastAsia" w:cstheme="majorBidi"/>
          <w:b/>
          <w:bCs/>
          <w:sz w:val="28"/>
          <w:szCs w:val="26"/>
        </w:rPr>
      </w:pPr>
      <w:bookmarkStart w:id="81" w:name="_Toc239501377"/>
      <w:r>
        <w:br w:type="page"/>
      </w:r>
    </w:p>
    <w:p w:rsidR="008E433C" w:rsidRPr="00ED0077" w:rsidRDefault="008E433C" w:rsidP="008E433C">
      <w:pPr>
        <w:pStyle w:val="Heading2"/>
      </w:pPr>
      <w:bookmarkStart w:id="82" w:name="_Toc242510394"/>
      <w:r w:rsidRPr="00ED0077">
        <w:lastRenderedPageBreak/>
        <w:t>1</w:t>
      </w:r>
      <w:r>
        <w:t>5</w:t>
      </w:r>
      <w:r w:rsidRPr="00ED0077">
        <w:t xml:space="preserve">.tabula. </w:t>
      </w:r>
      <w:r w:rsidRPr="00EB5FEE">
        <w:t>Nozaru</w:t>
      </w:r>
      <w:r>
        <w:t xml:space="preserve"> dinamika un</w:t>
      </w:r>
      <w:r w:rsidRPr="00EB5FEE">
        <w:t xml:space="preserve"> ieguldījums izaugsmē</w:t>
      </w:r>
      <w:r>
        <w:t xml:space="preserve"> no </w:t>
      </w:r>
      <w:r w:rsidRPr="00187334">
        <w:t>200</w:t>
      </w:r>
      <w:r>
        <w:t>5</w:t>
      </w:r>
      <w:r w:rsidRPr="00187334">
        <w:t>. līdz 20</w:t>
      </w:r>
      <w:r>
        <w:t>15</w:t>
      </w:r>
      <w:r w:rsidRPr="00187334">
        <w:t>.gadam</w:t>
      </w:r>
      <w:r>
        <w:t>, sadalījumā pa ekonomikas cikla periodiem</w:t>
      </w:r>
      <w:bookmarkEnd w:id="81"/>
      <w:bookmarkEnd w:id="82"/>
    </w:p>
    <w:p w:rsidR="008E433C" w:rsidRPr="00ED0077" w:rsidRDefault="008E433C" w:rsidP="008E433C">
      <w:pPr>
        <w:rPr>
          <w:szCs w:val="24"/>
        </w:rPr>
      </w:pPr>
      <w:r w:rsidRPr="00ED0077">
        <w:rPr>
          <w:szCs w:val="24"/>
        </w:rPr>
        <w:t>(procentos)</w:t>
      </w:r>
      <w:r w:rsidR="001911DD">
        <w:rPr>
          <w:szCs w:val="24"/>
        </w:rPr>
        <w:t>*</w:t>
      </w:r>
    </w:p>
    <w:p w:rsidR="008E433C" w:rsidRPr="00EB5FEE" w:rsidRDefault="008E433C" w:rsidP="008E433C">
      <w:pPr>
        <w:rPr>
          <w:sz w:val="16"/>
        </w:rPr>
      </w:pPr>
    </w:p>
    <w:tbl>
      <w:tblPr>
        <w:tblStyle w:val="LightShading1"/>
        <w:tblW w:w="8908" w:type="dxa"/>
        <w:jc w:val="center"/>
        <w:tblLook w:val="0400"/>
      </w:tblPr>
      <w:tblGrid>
        <w:gridCol w:w="2461"/>
        <w:gridCol w:w="1074"/>
        <w:gridCol w:w="1075"/>
        <w:gridCol w:w="1074"/>
        <w:gridCol w:w="1075"/>
        <w:gridCol w:w="1074"/>
        <w:gridCol w:w="1075"/>
      </w:tblGrid>
      <w:tr w:rsidR="008E433C" w:rsidRPr="00661291" w:rsidTr="002F02CF">
        <w:trPr>
          <w:cnfStyle w:val="000000100000"/>
          <w:trHeight w:val="384"/>
          <w:jc w:val="center"/>
        </w:trPr>
        <w:tc>
          <w:tcPr>
            <w:tcW w:w="2461" w:type="dxa"/>
            <w:tcBorders>
              <w:bottom w:val="nil"/>
            </w:tcBorders>
            <w:hideMark/>
          </w:tcPr>
          <w:p w:rsidR="008E433C" w:rsidRPr="00661291" w:rsidRDefault="008E433C" w:rsidP="002F02CF">
            <w:pPr>
              <w:spacing w:before="40" w:after="40"/>
              <w:rPr>
                <w:rFonts w:cs="Times New Roman"/>
                <w:sz w:val="22"/>
              </w:rPr>
            </w:pPr>
          </w:p>
        </w:tc>
        <w:tc>
          <w:tcPr>
            <w:tcW w:w="3223" w:type="dxa"/>
            <w:gridSpan w:val="3"/>
            <w:tcBorders>
              <w:bottom w:val="nil"/>
            </w:tcBorders>
            <w:vAlign w:val="center"/>
            <w:hideMark/>
          </w:tcPr>
          <w:p w:rsidR="008E433C" w:rsidRPr="00661291" w:rsidRDefault="008E433C" w:rsidP="002F02CF">
            <w:pPr>
              <w:spacing w:before="40" w:after="40"/>
              <w:jc w:val="center"/>
              <w:rPr>
                <w:rFonts w:cs="Times New Roman"/>
                <w:sz w:val="22"/>
              </w:rPr>
            </w:pPr>
            <w:r w:rsidRPr="00661291">
              <w:rPr>
                <w:rFonts w:cs="Times New Roman"/>
                <w:bCs/>
                <w:sz w:val="22"/>
              </w:rPr>
              <w:t>Pieaugums</w:t>
            </w:r>
            <w:r w:rsidRPr="00661291">
              <w:rPr>
                <w:rFonts w:cs="Times New Roman"/>
                <w:bCs/>
                <w:sz w:val="22"/>
              </w:rPr>
              <w:br/>
              <w:t>(%, periodā)</w:t>
            </w:r>
          </w:p>
        </w:tc>
        <w:tc>
          <w:tcPr>
            <w:tcW w:w="3224" w:type="dxa"/>
            <w:gridSpan w:val="3"/>
            <w:tcBorders>
              <w:bottom w:val="nil"/>
            </w:tcBorders>
            <w:vAlign w:val="center"/>
            <w:hideMark/>
          </w:tcPr>
          <w:p w:rsidR="008E433C" w:rsidRPr="00661291" w:rsidRDefault="008E433C" w:rsidP="002F02CF">
            <w:pPr>
              <w:spacing w:before="40" w:after="40"/>
              <w:jc w:val="center"/>
              <w:rPr>
                <w:rFonts w:cs="Times New Roman"/>
                <w:sz w:val="22"/>
              </w:rPr>
            </w:pPr>
            <w:r w:rsidRPr="00661291">
              <w:rPr>
                <w:rFonts w:cs="Times New Roman"/>
                <w:bCs/>
                <w:sz w:val="22"/>
              </w:rPr>
              <w:t>Ieguldījums % no kopējā pieauguma (periodā)</w:t>
            </w:r>
          </w:p>
        </w:tc>
      </w:tr>
      <w:tr w:rsidR="008E433C" w:rsidRPr="00661291" w:rsidTr="002F02CF">
        <w:trPr>
          <w:trHeight w:val="45"/>
          <w:jc w:val="center"/>
        </w:trPr>
        <w:tc>
          <w:tcPr>
            <w:tcW w:w="2461" w:type="dxa"/>
            <w:tcBorders>
              <w:top w:val="nil"/>
              <w:bottom w:val="single" w:sz="4" w:space="0" w:color="auto"/>
            </w:tcBorders>
            <w:hideMark/>
          </w:tcPr>
          <w:p w:rsidR="008E433C" w:rsidRPr="00661291" w:rsidRDefault="008E433C" w:rsidP="002F02CF">
            <w:pPr>
              <w:spacing w:before="40" w:after="40"/>
              <w:rPr>
                <w:rFonts w:cs="Times New Roman"/>
                <w:sz w:val="22"/>
              </w:rPr>
            </w:pPr>
          </w:p>
        </w:tc>
        <w:tc>
          <w:tcPr>
            <w:tcW w:w="1074"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2005-2007</w:t>
            </w:r>
          </w:p>
        </w:tc>
        <w:tc>
          <w:tcPr>
            <w:tcW w:w="1075"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2008-2010</w:t>
            </w:r>
          </w:p>
        </w:tc>
        <w:tc>
          <w:tcPr>
            <w:tcW w:w="1074"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2011-2015</w:t>
            </w:r>
          </w:p>
        </w:tc>
        <w:tc>
          <w:tcPr>
            <w:tcW w:w="1075"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2005-2007</w:t>
            </w:r>
          </w:p>
        </w:tc>
        <w:tc>
          <w:tcPr>
            <w:tcW w:w="1074"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2008-2010</w:t>
            </w:r>
          </w:p>
        </w:tc>
        <w:tc>
          <w:tcPr>
            <w:tcW w:w="1075"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2011-2015</w:t>
            </w:r>
          </w:p>
        </w:tc>
      </w:tr>
      <w:tr w:rsidR="008E433C" w:rsidRPr="00661291" w:rsidTr="002F02CF">
        <w:trPr>
          <w:cnfStyle w:val="000000100000"/>
          <w:trHeight w:val="99"/>
          <w:jc w:val="center"/>
        </w:trPr>
        <w:tc>
          <w:tcPr>
            <w:tcW w:w="8908" w:type="dxa"/>
            <w:gridSpan w:val="7"/>
            <w:tcBorders>
              <w:top w:val="single" w:sz="4" w:space="0" w:color="auto"/>
            </w:tcBorders>
            <w:hideMark/>
          </w:tcPr>
          <w:p w:rsidR="008E433C" w:rsidRPr="00661291" w:rsidRDefault="008E433C" w:rsidP="002F02CF">
            <w:pPr>
              <w:tabs>
                <w:tab w:val="decimal" w:pos="478"/>
              </w:tabs>
              <w:spacing w:before="60" w:after="60"/>
              <w:jc w:val="center"/>
              <w:rPr>
                <w:rFonts w:cs="Times New Roman"/>
                <w:b/>
                <w:sz w:val="22"/>
              </w:rPr>
            </w:pPr>
            <w:r>
              <w:rPr>
                <w:rFonts w:cs="Times New Roman"/>
                <w:b/>
                <w:sz w:val="22"/>
              </w:rPr>
              <w:t>Mērķa</w:t>
            </w:r>
            <w:r w:rsidRPr="00661291">
              <w:rPr>
                <w:rFonts w:cs="Times New Roman"/>
                <w:b/>
                <w:sz w:val="22"/>
              </w:rPr>
              <w:t xml:space="preserve"> scenārijs</w:t>
            </w:r>
          </w:p>
        </w:tc>
      </w:tr>
      <w:tr w:rsidR="0028112C" w:rsidRPr="00661291" w:rsidTr="00540B54">
        <w:trPr>
          <w:trHeight w:val="202"/>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b/>
                <w:bCs/>
                <w:sz w:val="22"/>
              </w:rPr>
              <w:t>IKP</w:t>
            </w:r>
          </w:p>
        </w:tc>
        <w:tc>
          <w:tcPr>
            <w:tcW w:w="107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36,5</w:t>
            </w:r>
          </w:p>
        </w:tc>
        <w:tc>
          <w:tcPr>
            <w:tcW w:w="1075"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-23,</w:t>
            </w:r>
            <w:r>
              <w:rPr>
                <w:rFonts w:eastAsia="Times New Roman" w:cs="Times New Roman"/>
                <w:b/>
                <w:sz w:val="22"/>
              </w:rPr>
              <w:t>7</w:t>
            </w:r>
          </w:p>
        </w:tc>
        <w:tc>
          <w:tcPr>
            <w:tcW w:w="107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21,</w:t>
            </w:r>
            <w:r>
              <w:rPr>
                <w:rFonts w:eastAsia="Times New Roman" w:cs="Times New Roman"/>
                <w:b/>
                <w:sz w:val="22"/>
              </w:rPr>
              <w:t>2</w:t>
            </w:r>
          </w:p>
        </w:tc>
        <w:tc>
          <w:tcPr>
            <w:tcW w:w="1075"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36,5</w:t>
            </w:r>
          </w:p>
        </w:tc>
        <w:tc>
          <w:tcPr>
            <w:tcW w:w="107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-23,</w:t>
            </w:r>
            <w:r>
              <w:rPr>
                <w:rFonts w:eastAsia="Times New Roman" w:cs="Times New Roman"/>
                <w:b/>
                <w:sz w:val="22"/>
              </w:rPr>
              <w:t>7</w:t>
            </w:r>
          </w:p>
        </w:tc>
        <w:tc>
          <w:tcPr>
            <w:tcW w:w="1075"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21,</w:t>
            </w:r>
            <w:r>
              <w:rPr>
                <w:rFonts w:eastAsia="Times New Roman" w:cs="Times New Roman"/>
                <w:b/>
                <w:sz w:val="22"/>
              </w:rPr>
              <w:t>2</w:t>
            </w:r>
          </w:p>
        </w:tc>
      </w:tr>
      <w:tr w:rsidR="0028112C" w:rsidRPr="00661291" w:rsidTr="00540B54">
        <w:trPr>
          <w:cnfStyle w:val="000000100000"/>
          <w:trHeight w:val="202"/>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 xml:space="preserve">Primārās nozares </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16,9</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r>
              <w:rPr>
                <w:rFonts w:eastAsia="Times New Roman" w:cs="Times New Roman"/>
                <w:sz w:val="20"/>
              </w:rPr>
              <w:t>3,9</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16,7</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0,7</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-0,2</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w:t>
            </w:r>
            <w:r>
              <w:rPr>
                <w:rFonts w:eastAsia="Times New Roman" w:cs="Times New Roman"/>
                <w:sz w:val="20"/>
              </w:rPr>
              <w:t>7</w:t>
            </w:r>
          </w:p>
        </w:tc>
      </w:tr>
      <w:tr w:rsidR="0028112C" w:rsidRPr="00661291" w:rsidTr="00540B54">
        <w:trPr>
          <w:trHeight w:val="139"/>
          <w:jc w:val="center"/>
        </w:trPr>
        <w:tc>
          <w:tcPr>
            <w:tcW w:w="2461" w:type="dxa"/>
            <w:hideMark/>
          </w:tcPr>
          <w:p w:rsidR="0028112C" w:rsidRPr="00661291" w:rsidRDefault="0028112C" w:rsidP="002F02CF">
            <w:pPr>
              <w:spacing w:before="60" w:after="60"/>
              <w:rPr>
                <w:rFonts w:cs="Times New Roman"/>
                <w:sz w:val="22"/>
              </w:rPr>
            </w:pPr>
            <w:r>
              <w:rPr>
                <w:rFonts w:cs="Times New Roman"/>
                <w:sz w:val="22"/>
              </w:rPr>
              <w:t>Apstrādājošā rūpniecība</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13,1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-21,3</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24,6</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1,9</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-2,8</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w:t>
            </w:r>
            <w:r>
              <w:rPr>
                <w:rFonts w:eastAsia="Times New Roman" w:cs="Times New Roman"/>
                <w:sz w:val="20"/>
              </w:rPr>
              <w:t>8</w:t>
            </w:r>
          </w:p>
        </w:tc>
      </w:tr>
      <w:tr w:rsidR="0028112C" w:rsidRPr="00661291" w:rsidTr="00540B54">
        <w:trPr>
          <w:cnfStyle w:val="000000100000"/>
          <w:trHeight w:val="268"/>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Elektroenerģija, gāze, ūdensapgāde</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9,6</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-13,3</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6,</w:t>
            </w:r>
            <w:r>
              <w:rPr>
                <w:rFonts w:eastAsia="Times New Roman" w:cs="Times New Roman"/>
                <w:sz w:val="20"/>
              </w:rPr>
              <w:t>7</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0,3</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-0,4</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0,2</w:t>
            </w:r>
          </w:p>
        </w:tc>
      </w:tr>
      <w:tr w:rsidR="0028112C" w:rsidRPr="00661291" w:rsidTr="00540B54">
        <w:trPr>
          <w:trHeight w:val="89"/>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 xml:space="preserve">Būvniecība </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62,4</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-43,</w:t>
            </w:r>
            <w:r>
              <w:rPr>
                <w:rFonts w:eastAsia="Times New Roman" w:cs="Times New Roman"/>
                <w:sz w:val="20"/>
              </w:rPr>
              <w:t>0</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30,2</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4,5</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w:t>
            </w:r>
            <w:r>
              <w:rPr>
                <w:rFonts w:eastAsia="Times New Roman" w:cs="Times New Roman"/>
                <w:sz w:val="20"/>
              </w:rPr>
              <w:t>0</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1,8</w:t>
            </w:r>
          </w:p>
        </w:tc>
      </w:tr>
      <w:tr w:rsidR="0028112C" w:rsidRPr="00661291" w:rsidTr="00540B54">
        <w:trPr>
          <w:cnfStyle w:val="000000100000"/>
          <w:trHeight w:val="335"/>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Tirdzniecība, viesnīcas un restorāni</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57,1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-32,</w:t>
            </w:r>
            <w:r>
              <w:rPr>
                <w:rFonts w:eastAsia="Times New Roman" w:cs="Times New Roman"/>
                <w:sz w:val="20"/>
              </w:rPr>
              <w:t>9</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26,1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12,2</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-8,</w:t>
            </w:r>
            <w:r>
              <w:rPr>
                <w:rFonts w:eastAsia="Times New Roman" w:cs="Times New Roman"/>
                <w:sz w:val="20"/>
              </w:rPr>
              <w:t>9</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w:t>
            </w:r>
            <w:r>
              <w:rPr>
                <w:rFonts w:eastAsia="Times New Roman" w:cs="Times New Roman"/>
                <w:sz w:val="20"/>
              </w:rPr>
              <w:t>3</w:t>
            </w:r>
          </w:p>
        </w:tc>
      </w:tr>
      <w:tr w:rsidR="0028112C" w:rsidRPr="00661291" w:rsidTr="00540B54">
        <w:trPr>
          <w:trHeight w:val="98"/>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 xml:space="preserve">Transports un sakari </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28,4</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-7,4</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27,</w:t>
            </w:r>
            <w:r>
              <w:rPr>
                <w:rFonts w:eastAsia="Times New Roman" w:cs="Times New Roman"/>
                <w:sz w:val="20"/>
              </w:rPr>
              <w:t>2</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4,2</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4,3</w:t>
            </w:r>
          </w:p>
        </w:tc>
      </w:tr>
      <w:tr w:rsidR="0028112C" w:rsidRPr="00661291" w:rsidTr="00540B54">
        <w:trPr>
          <w:cnfStyle w:val="000000100000"/>
          <w:trHeight w:val="75"/>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 xml:space="preserve">Citi pakalpojumi </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45,1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r>
              <w:rPr>
                <w:rFonts w:eastAsia="Times New Roman" w:cs="Times New Roman"/>
                <w:sz w:val="20"/>
              </w:rPr>
              <w:t>12,9</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18,</w:t>
            </w:r>
            <w:r>
              <w:rPr>
                <w:rFonts w:eastAsia="Times New Roman" w:cs="Times New Roman"/>
                <w:sz w:val="20"/>
              </w:rPr>
              <w:t>4</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10,8</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w:t>
            </w:r>
            <w:r>
              <w:rPr>
                <w:rFonts w:eastAsia="Times New Roman" w:cs="Times New Roman"/>
                <w:sz w:val="20"/>
              </w:rPr>
              <w:t>6</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5,0</w:t>
            </w:r>
          </w:p>
        </w:tc>
      </w:tr>
      <w:tr w:rsidR="0028112C" w:rsidRPr="00661291" w:rsidTr="00540B54">
        <w:trPr>
          <w:trHeight w:val="164"/>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 xml:space="preserve">Sabiedriskie pakalpojumi </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13,2</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-19,</w:t>
            </w:r>
            <w:r>
              <w:rPr>
                <w:rFonts w:eastAsia="Times New Roman" w:cs="Times New Roman"/>
                <w:sz w:val="20"/>
              </w:rPr>
              <w:t>0</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9,1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1,9</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w:t>
            </w:r>
            <w:r>
              <w:rPr>
                <w:rFonts w:eastAsia="Times New Roman" w:cs="Times New Roman"/>
                <w:sz w:val="20"/>
              </w:rPr>
              <w:t>5</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1,1</w:t>
            </w:r>
          </w:p>
        </w:tc>
      </w:tr>
      <w:tr w:rsidR="008E433C" w:rsidRPr="00661291" w:rsidTr="002F02CF">
        <w:trPr>
          <w:cnfStyle w:val="000000100000"/>
          <w:trHeight w:val="164"/>
          <w:jc w:val="center"/>
        </w:trPr>
        <w:tc>
          <w:tcPr>
            <w:tcW w:w="8908" w:type="dxa"/>
            <w:gridSpan w:val="7"/>
            <w:hideMark/>
          </w:tcPr>
          <w:p w:rsidR="008E433C" w:rsidRPr="00661291" w:rsidRDefault="008E433C" w:rsidP="002F02CF">
            <w:pPr>
              <w:tabs>
                <w:tab w:val="decimal" w:pos="478"/>
              </w:tabs>
              <w:spacing w:before="60" w:after="60"/>
              <w:jc w:val="center"/>
              <w:rPr>
                <w:rFonts w:cs="Times New Roman"/>
                <w:sz w:val="22"/>
              </w:rPr>
            </w:pPr>
            <w:r>
              <w:rPr>
                <w:rFonts w:cs="Times New Roman"/>
                <w:b/>
                <w:sz w:val="22"/>
              </w:rPr>
              <w:t>Bāzes</w:t>
            </w:r>
            <w:r w:rsidRPr="00661291">
              <w:rPr>
                <w:rFonts w:cs="Times New Roman"/>
                <w:b/>
                <w:sz w:val="22"/>
              </w:rPr>
              <w:t xml:space="preserve"> scenārijs</w:t>
            </w:r>
          </w:p>
        </w:tc>
      </w:tr>
      <w:tr w:rsidR="0028112C" w:rsidRPr="00661291" w:rsidTr="00540B54">
        <w:trPr>
          <w:trHeight w:val="164"/>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b/>
                <w:bCs/>
                <w:sz w:val="22"/>
              </w:rPr>
              <w:t>IKP</w:t>
            </w:r>
          </w:p>
        </w:tc>
        <w:tc>
          <w:tcPr>
            <w:tcW w:w="107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36,5</w:t>
            </w:r>
          </w:p>
        </w:tc>
        <w:tc>
          <w:tcPr>
            <w:tcW w:w="1075"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-24,9</w:t>
            </w:r>
          </w:p>
        </w:tc>
        <w:tc>
          <w:tcPr>
            <w:tcW w:w="107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13,</w:t>
            </w:r>
            <w:r>
              <w:rPr>
                <w:rFonts w:eastAsia="Times New Roman" w:cs="Times New Roman"/>
                <w:b/>
                <w:sz w:val="22"/>
              </w:rPr>
              <w:t>7</w:t>
            </w:r>
          </w:p>
        </w:tc>
        <w:tc>
          <w:tcPr>
            <w:tcW w:w="1075"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36,5</w:t>
            </w:r>
          </w:p>
        </w:tc>
        <w:tc>
          <w:tcPr>
            <w:tcW w:w="107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-24,9</w:t>
            </w:r>
          </w:p>
        </w:tc>
        <w:tc>
          <w:tcPr>
            <w:tcW w:w="1075"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Pr>
                <w:rFonts w:eastAsia="Times New Roman" w:cs="Times New Roman"/>
                <w:b/>
                <w:sz w:val="22"/>
              </w:rPr>
              <w:t>13,7</w:t>
            </w:r>
          </w:p>
        </w:tc>
      </w:tr>
      <w:tr w:rsidR="0028112C" w:rsidRPr="00661291" w:rsidTr="00540B54">
        <w:trPr>
          <w:cnfStyle w:val="000000100000"/>
          <w:trHeight w:val="164"/>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 xml:space="preserve">Primārās nozares </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16,9</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r>
              <w:rPr>
                <w:rFonts w:eastAsia="Times New Roman" w:cs="Times New Roman"/>
                <w:sz w:val="20"/>
              </w:rPr>
              <w:t>4,5</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12,1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0,7</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w:t>
            </w:r>
            <w:r>
              <w:rPr>
                <w:rFonts w:eastAsia="Times New Roman" w:cs="Times New Roman"/>
                <w:sz w:val="20"/>
              </w:rPr>
              <w:t>4</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0,5</w:t>
            </w:r>
          </w:p>
        </w:tc>
      </w:tr>
      <w:tr w:rsidR="0028112C" w:rsidRPr="00661291" w:rsidTr="00540B54">
        <w:trPr>
          <w:trHeight w:val="164"/>
          <w:jc w:val="center"/>
        </w:trPr>
        <w:tc>
          <w:tcPr>
            <w:tcW w:w="2461" w:type="dxa"/>
            <w:hideMark/>
          </w:tcPr>
          <w:p w:rsidR="0028112C" w:rsidRPr="00661291" w:rsidRDefault="0028112C" w:rsidP="003C5F9B">
            <w:pPr>
              <w:spacing w:before="60" w:after="60"/>
              <w:rPr>
                <w:rFonts w:cs="Times New Roman"/>
                <w:sz w:val="22"/>
              </w:rPr>
            </w:pPr>
            <w:r>
              <w:rPr>
                <w:rFonts w:cs="Times New Roman"/>
                <w:sz w:val="22"/>
              </w:rPr>
              <w:t>Apstrādes rūpniecība</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13,1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-23,4</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22,8</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1,9</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-3,0</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w:t>
            </w:r>
            <w:r>
              <w:rPr>
                <w:rFonts w:eastAsia="Times New Roman" w:cs="Times New Roman"/>
                <w:sz w:val="20"/>
              </w:rPr>
              <w:t>5</w:t>
            </w:r>
          </w:p>
        </w:tc>
      </w:tr>
      <w:tr w:rsidR="0028112C" w:rsidRPr="00661291" w:rsidTr="00540B54">
        <w:trPr>
          <w:cnfStyle w:val="000000100000"/>
          <w:trHeight w:val="164"/>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Elektroenerģija, gāze, ūdensapgāde</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9,6</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-13,8</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0,3</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w:t>
            </w:r>
            <w:r>
              <w:rPr>
                <w:rFonts w:eastAsia="Times New Roman" w:cs="Times New Roman"/>
                <w:sz w:val="20"/>
              </w:rPr>
              <w:t>5</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w:t>
            </w:r>
            <w:r>
              <w:rPr>
                <w:rFonts w:eastAsia="Times New Roman" w:cs="Times New Roman"/>
                <w:sz w:val="20"/>
              </w:rPr>
              <w:t>2</w:t>
            </w:r>
          </w:p>
        </w:tc>
      </w:tr>
      <w:tr w:rsidR="0028112C" w:rsidRPr="00661291" w:rsidTr="00540B54">
        <w:trPr>
          <w:trHeight w:val="164"/>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 xml:space="preserve">Būvniecība </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62,4</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r>
              <w:rPr>
                <w:rFonts w:eastAsia="Times New Roman" w:cs="Times New Roman"/>
                <w:sz w:val="20"/>
              </w:rPr>
              <w:t>43,8</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16,3</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4,5</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-3,6</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1,0</w:t>
            </w:r>
          </w:p>
        </w:tc>
      </w:tr>
      <w:tr w:rsidR="0028112C" w:rsidRPr="00661291" w:rsidTr="00540B54">
        <w:trPr>
          <w:cnfStyle w:val="000000100000"/>
          <w:trHeight w:val="164"/>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Tirdzniecība, viesnīcas un restorāni</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57,1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r>
              <w:rPr>
                <w:rFonts w:eastAsia="Times New Roman" w:cs="Times New Roman"/>
                <w:sz w:val="20"/>
              </w:rPr>
              <w:t>34,3</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16,1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12,2</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-8,4</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3,2</w:t>
            </w:r>
          </w:p>
        </w:tc>
      </w:tr>
      <w:tr w:rsidR="0028112C" w:rsidRPr="00661291" w:rsidTr="00540B54">
        <w:trPr>
          <w:trHeight w:val="164"/>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 xml:space="preserve">Transports un sakari </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28,4</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-8,9</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20,1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4,2</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w:t>
            </w:r>
            <w:r>
              <w:rPr>
                <w:rFonts w:eastAsia="Times New Roman" w:cs="Times New Roman"/>
                <w:sz w:val="20"/>
              </w:rPr>
              <w:t>9</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3,1</w:t>
            </w:r>
          </w:p>
        </w:tc>
      </w:tr>
      <w:tr w:rsidR="0028112C" w:rsidRPr="00661291" w:rsidTr="00540B54">
        <w:trPr>
          <w:cnfStyle w:val="000000100000"/>
          <w:trHeight w:val="164"/>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 xml:space="preserve">Citi pakalpojumi </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45,1</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w:t>
            </w:r>
            <w:r>
              <w:rPr>
                <w:rFonts w:eastAsia="Times New Roman" w:cs="Times New Roman"/>
                <w:sz w:val="20"/>
              </w:rPr>
              <w:t>4</w:t>
            </w:r>
            <w:r w:rsidRPr="003C53B7">
              <w:rPr>
                <w:rFonts w:eastAsia="Times New Roman" w:cs="Times New Roman"/>
                <w:sz w:val="20"/>
              </w:rPr>
              <w:t>,</w:t>
            </w:r>
            <w:r>
              <w:rPr>
                <w:rFonts w:eastAsia="Times New Roman" w:cs="Times New Roman"/>
                <w:sz w:val="20"/>
              </w:rPr>
              <w:t>3</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9,0</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10,8</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-4,6</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w:t>
            </w:r>
            <w:r>
              <w:rPr>
                <w:rFonts w:eastAsia="Times New Roman" w:cs="Times New Roman"/>
                <w:sz w:val="20"/>
              </w:rPr>
              <w:t>5</w:t>
            </w:r>
          </w:p>
        </w:tc>
      </w:tr>
      <w:tr w:rsidR="0028112C" w:rsidRPr="00661291" w:rsidTr="00540B54">
        <w:trPr>
          <w:trHeight w:val="164"/>
          <w:jc w:val="center"/>
        </w:trPr>
        <w:tc>
          <w:tcPr>
            <w:tcW w:w="2461" w:type="dxa"/>
            <w:hideMark/>
          </w:tcPr>
          <w:p w:rsidR="0028112C" w:rsidRPr="00661291" w:rsidRDefault="0028112C" w:rsidP="002F02CF">
            <w:pPr>
              <w:spacing w:before="60" w:after="60"/>
              <w:rPr>
                <w:rFonts w:cs="Times New Roman"/>
                <w:sz w:val="22"/>
              </w:rPr>
            </w:pPr>
            <w:r w:rsidRPr="00661291">
              <w:rPr>
                <w:rFonts w:cs="Times New Roman"/>
                <w:sz w:val="22"/>
              </w:rPr>
              <w:t xml:space="preserve">Sabiedriskie pakalpojumi </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13,2</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r>
              <w:rPr>
                <w:rFonts w:eastAsia="Times New Roman" w:cs="Times New Roman"/>
                <w:sz w:val="20"/>
              </w:rPr>
              <w:t>19,1</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5,8</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1,9</w:t>
            </w:r>
          </w:p>
        </w:tc>
        <w:tc>
          <w:tcPr>
            <w:tcW w:w="107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w:t>
            </w:r>
            <w:r>
              <w:rPr>
                <w:rFonts w:eastAsia="Times New Roman" w:cs="Times New Roman"/>
                <w:sz w:val="20"/>
              </w:rPr>
              <w:t>6</w:t>
            </w:r>
          </w:p>
        </w:tc>
        <w:tc>
          <w:tcPr>
            <w:tcW w:w="1075"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w:t>
            </w:r>
            <w:r>
              <w:rPr>
                <w:rFonts w:eastAsia="Times New Roman" w:cs="Times New Roman"/>
                <w:sz w:val="20"/>
              </w:rPr>
              <w:t>8</w:t>
            </w:r>
          </w:p>
        </w:tc>
      </w:tr>
    </w:tbl>
    <w:p w:rsidR="008E433C" w:rsidRPr="00B454C8" w:rsidRDefault="008E433C" w:rsidP="008E433C">
      <w:pPr>
        <w:pStyle w:val="BodyTextIndent"/>
        <w:spacing w:before="120" w:after="0"/>
        <w:ind w:left="0" w:firstLine="567"/>
        <w:rPr>
          <w:bCs/>
          <w:sz w:val="16"/>
          <w:szCs w:val="16"/>
          <w:lang w:val="lv-LV"/>
        </w:rPr>
      </w:pPr>
      <w:r>
        <w:rPr>
          <w:bCs/>
          <w:sz w:val="16"/>
          <w:szCs w:val="16"/>
          <w:lang w:val="lv-LV"/>
        </w:rPr>
        <w:t>*</w:t>
      </w:r>
      <w:r w:rsidR="00BC2C1B" w:rsidRPr="00BC2C1B">
        <w:rPr>
          <w:bCs/>
          <w:sz w:val="16"/>
          <w:szCs w:val="16"/>
          <w:lang w:val="lv-LV"/>
        </w:rPr>
        <w:t xml:space="preserve"> </w:t>
      </w:r>
      <w:r w:rsidR="00BC2C1B" w:rsidRPr="00B454C8">
        <w:rPr>
          <w:bCs/>
          <w:sz w:val="16"/>
          <w:szCs w:val="16"/>
          <w:lang w:val="lv-LV"/>
        </w:rPr>
        <w:t>E</w:t>
      </w:r>
      <w:r w:rsidR="00BC2C1B">
        <w:rPr>
          <w:bCs/>
          <w:sz w:val="16"/>
          <w:szCs w:val="16"/>
          <w:lang w:val="lv-LV"/>
        </w:rPr>
        <w:t>konomikas ministrijas</w:t>
      </w:r>
      <w:r w:rsidRPr="00B454C8">
        <w:rPr>
          <w:bCs/>
          <w:sz w:val="16"/>
          <w:szCs w:val="16"/>
          <w:lang w:val="lv-LV"/>
        </w:rPr>
        <w:t xml:space="preserve"> novērtējums un prognozes</w:t>
      </w:r>
      <w:r>
        <w:rPr>
          <w:bCs/>
          <w:sz w:val="16"/>
          <w:szCs w:val="16"/>
          <w:lang w:val="lv-LV"/>
        </w:rPr>
        <w:t>;</w:t>
      </w:r>
    </w:p>
    <w:p w:rsidR="008E433C" w:rsidRPr="00B454C8" w:rsidRDefault="00BC2C1B" w:rsidP="008E433C">
      <w:pPr>
        <w:pStyle w:val="BodyTextIndent"/>
        <w:spacing w:after="0"/>
        <w:ind w:left="0" w:firstLine="567"/>
        <w:rPr>
          <w:bCs/>
          <w:sz w:val="16"/>
          <w:szCs w:val="16"/>
          <w:lang w:val="lv-LV"/>
        </w:rPr>
      </w:pPr>
      <w:r>
        <w:rPr>
          <w:bCs/>
          <w:sz w:val="16"/>
          <w:szCs w:val="16"/>
          <w:lang w:val="lv-LV"/>
        </w:rPr>
        <w:t>Fakts</w:t>
      </w:r>
      <w:r w:rsidR="008E433C">
        <w:rPr>
          <w:bCs/>
          <w:sz w:val="16"/>
          <w:szCs w:val="16"/>
          <w:lang w:val="lv-LV"/>
        </w:rPr>
        <w:t>: CSP</w:t>
      </w:r>
    </w:p>
    <w:p w:rsidR="008E433C" w:rsidRPr="00EB5FEE" w:rsidRDefault="008E433C" w:rsidP="008E433C"/>
    <w:p w:rsidR="008E433C" w:rsidRDefault="008E433C" w:rsidP="008E433C">
      <w:pPr>
        <w:jc w:val="right"/>
        <w:rPr>
          <w:sz w:val="28"/>
        </w:rPr>
      </w:pPr>
      <w:bookmarkStart w:id="83" w:name="_Kopējā_pieprasījuma_ieguldījums"/>
      <w:bookmarkEnd w:id="83"/>
    </w:p>
    <w:p w:rsidR="008E433C" w:rsidRDefault="008E433C" w:rsidP="008E433C">
      <w:pPr>
        <w:spacing w:after="200" w:line="276" w:lineRule="auto"/>
        <w:rPr>
          <w:rFonts w:eastAsiaTheme="majorEastAsia" w:cstheme="majorBidi"/>
          <w:b/>
          <w:bCs/>
          <w:sz w:val="28"/>
          <w:szCs w:val="26"/>
        </w:rPr>
      </w:pPr>
      <w:bookmarkStart w:id="84" w:name="_Toc239501378"/>
      <w:r>
        <w:br w:type="page"/>
      </w:r>
    </w:p>
    <w:p w:rsidR="008E433C" w:rsidRPr="00ED0077" w:rsidRDefault="008E433C" w:rsidP="008E433C">
      <w:pPr>
        <w:pStyle w:val="Heading2"/>
      </w:pPr>
      <w:bookmarkStart w:id="85" w:name="_Toc242510395"/>
      <w:r w:rsidRPr="00ED0077">
        <w:lastRenderedPageBreak/>
        <w:t>1</w:t>
      </w:r>
      <w:r>
        <w:t>6</w:t>
      </w:r>
      <w:r w:rsidRPr="00ED0077">
        <w:t>.tabula. Kopējā pieprasījuma</w:t>
      </w:r>
      <w:r>
        <w:t xml:space="preserve"> dinamika un</w:t>
      </w:r>
      <w:r w:rsidRPr="00ED0077">
        <w:t xml:space="preserve"> ieguldījums izaugsmē</w:t>
      </w:r>
      <w:r>
        <w:t xml:space="preserve"> no </w:t>
      </w:r>
      <w:r w:rsidRPr="00187334">
        <w:t>200</w:t>
      </w:r>
      <w:r>
        <w:t>5</w:t>
      </w:r>
      <w:r w:rsidRPr="00187334">
        <w:t>. līdz 20</w:t>
      </w:r>
      <w:r>
        <w:t>15</w:t>
      </w:r>
      <w:r w:rsidRPr="00187334">
        <w:t>.gadam</w:t>
      </w:r>
      <w:r>
        <w:t>, sadalījumā pa ekonomikas cikla periodiem</w:t>
      </w:r>
      <w:bookmarkEnd w:id="84"/>
      <w:bookmarkEnd w:id="85"/>
    </w:p>
    <w:p w:rsidR="008E433C" w:rsidRDefault="008E433C" w:rsidP="008E433C">
      <w:pPr>
        <w:rPr>
          <w:szCs w:val="24"/>
        </w:rPr>
      </w:pPr>
      <w:r w:rsidRPr="00ED0077">
        <w:rPr>
          <w:szCs w:val="24"/>
        </w:rPr>
        <w:t>(periodā, % no IKP)</w:t>
      </w:r>
      <w:r w:rsidR="001911DD">
        <w:rPr>
          <w:szCs w:val="24"/>
        </w:rPr>
        <w:t>*</w:t>
      </w:r>
    </w:p>
    <w:p w:rsidR="008E433C" w:rsidRPr="00ED0077" w:rsidRDefault="008E433C" w:rsidP="008E433C">
      <w:pPr>
        <w:rPr>
          <w:szCs w:val="24"/>
        </w:rPr>
      </w:pPr>
    </w:p>
    <w:tbl>
      <w:tblPr>
        <w:tblStyle w:val="LightShading1"/>
        <w:tblW w:w="8914" w:type="dxa"/>
        <w:jc w:val="center"/>
        <w:tblLayout w:type="fixed"/>
        <w:tblLook w:val="0400"/>
      </w:tblPr>
      <w:tblGrid>
        <w:gridCol w:w="2252"/>
        <w:gridCol w:w="1134"/>
        <w:gridCol w:w="1134"/>
        <w:gridCol w:w="1057"/>
        <w:gridCol w:w="1069"/>
        <w:gridCol w:w="1134"/>
        <w:gridCol w:w="1134"/>
      </w:tblGrid>
      <w:tr w:rsidR="008E433C" w:rsidRPr="00661291" w:rsidTr="002F02CF">
        <w:trPr>
          <w:cnfStyle w:val="000000100000"/>
          <w:trHeight w:val="171"/>
          <w:jc w:val="center"/>
        </w:trPr>
        <w:tc>
          <w:tcPr>
            <w:tcW w:w="2252" w:type="dxa"/>
            <w:tcBorders>
              <w:top w:val="single" w:sz="8" w:space="0" w:color="000000" w:themeColor="text1"/>
              <w:bottom w:val="nil"/>
            </w:tcBorders>
            <w:hideMark/>
          </w:tcPr>
          <w:p w:rsidR="008E433C" w:rsidRPr="00661291" w:rsidRDefault="008E433C" w:rsidP="002F02CF">
            <w:pPr>
              <w:spacing w:before="40" w:after="40"/>
              <w:rPr>
                <w:rFonts w:cs="Times New Roman"/>
                <w:sz w:val="22"/>
              </w:rPr>
            </w:pPr>
          </w:p>
        </w:tc>
        <w:tc>
          <w:tcPr>
            <w:tcW w:w="3325" w:type="dxa"/>
            <w:gridSpan w:val="3"/>
            <w:tcBorders>
              <w:top w:val="single" w:sz="8" w:space="0" w:color="000000" w:themeColor="text1"/>
              <w:bottom w:val="nil"/>
            </w:tcBorders>
            <w:vAlign w:val="center"/>
            <w:hideMark/>
          </w:tcPr>
          <w:p w:rsidR="008E433C" w:rsidRPr="00661291" w:rsidRDefault="008E433C" w:rsidP="002F02CF">
            <w:pPr>
              <w:spacing w:before="40" w:after="40"/>
              <w:jc w:val="center"/>
              <w:rPr>
                <w:rFonts w:cs="Times New Roman"/>
                <w:sz w:val="22"/>
              </w:rPr>
            </w:pPr>
            <w:r w:rsidRPr="00661291">
              <w:rPr>
                <w:rFonts w:cs="Times New Roman"/>
                <w:bCs/>
                <w:sz w:val="22"/>
              </w:rPr>
              <w:t>Pieaugums</w:t>
            </w:r>
            <w:r w:rsidRPr="00661291">
              <w:rPr>
                <w:rFonts w:cs="Times New Roman"/>
                <w:bCs/>
                <w:sz w:val="22"/>
              </w:rPr>
              <w:br/>
              <w:t>(%, periodā)</w:t>
            </w:r>
          </w:p>
        </w:tc>
        <w:tc>
          <w:tcPr>
            <w:tcW w:w="3337" w:type="dxa"/>
            <w:gridSpan w:val="3"/>
            <w:tcBorders>
              <w:top w:val="single" w:sz="8" w:space="0" w:color="000000" w:themeColor="text1"/>
              <w:bottom w:val="nil"/>
            </w:tcBorders>
            <w:vAlign w:val="center"/>
            <w:hideMark/>
          </w:tcPr>
          <w:p w:rsidR="008E433C" w:rsidRPr="00661291" w:rsidRDefault="008E433C" w:rsidP="002F02CF">
            <w:pPr>
              <w:spacing w:before="40" w:after="40"/>
              <w:jc w:val="center"/>
              <w:rPr>
                <w:rFonts w:cs="Times New Roman"/>
                <w:sz w:val="22"/>
              </w:rPr>
            </w:pPr>
            <w:r w:rsidRPr="00661291">
              <w:rPr>
                <w:rFonts w:cs="Times New Roman"/>
                <w:bCs/>
                <w:sz w:val="22"/>
              </w:rPr>
              <w:t>Ieguldījums procentpunktos periodā</w:t>
            </w:r>
          </w:p>
        </w:tc>
      </w:tr>
      <w:tr w:rsidR="008E433C" w:rsidRPr="00661291" w:rsidTr="002F02CF">
        <w:trPr>
          <w:trHeight w:val="207"/>
          <w:jc w:val="center"/>
        </w:trPr>
        <w:tc>
          <w:tcPr>
            <w:tcW w:w="2252" w:type="dxa"/>
            <w:tcBorders>
              <w:top w:val="nil"/>
              <w:bottom w:val="single" w:sz="4" w:space="0" w:color="auto"/>
            </w:tcBorders>
            <w:hideMark/>
          </w:tcPr>
          <w:p w:rsidR="008E433C" w:rsidRPr="00661291" w:rsidRDefault="008E433C" w:rsidP="002F02CF">
            <w:pPr>
              <w:spacing w:before="60" w:after="60"/>
              <w:rPr>
                <w:rFonts w:cs="Times New Roman"/>
                <w:sz w:val="22"/>
              </w:rPr>
            </w:pPr>
          </w:p>
        </w:tc>
        <w:tc>
          <w:tcPr>
            <w:tcW w:w="1134" w:type="dxa"/>
            <w:tcBorders>
              <w:top w:val="nil"/>
              <w:bottom w:val="single" w:sz="4" w:space="0" w:color="auto"/>
            </w:tcBorders>
            <w:vAlign w:val="center"/>
            <w:hideMark/>
          </w:tcPr>
          <w:p w:rsidR="008E433C" w:rsidRPr="00661291" w:rsidRDefault="008E433C" w:rsidP="002F02CF">
            <w:pPr>
              <w:spacing w:before="60" w:after="60"/>
              <w:jc w:val="center"/>
              <w:rPr>
                <w:rFonts w:cs="Times New Roman"/>
                <w:sz w:val="22"/>
              </w:rPr>
            </w:pPr>
            <w:r w:rsidRPr="00661291">
              <w:rPr>
                <w:rFonts w:cs="Times New Roman"/>
                <w:b/>
                <w:bCs/>
                <w:sz w:val="22"/>
              </w:rPr>
              <w:t>2005-2007</w:t>
            </w:r>
          </w:p>
        </w:tc>
        <w:tc>
          <w:tcPr>
            <w:tcW w:w="1134" w:type="dxa"/>
            <w:tcBorders>
              <w:top w:val="nil"/>
              <w:bottom w:val="single" w:sz="4" w:space="0" w:color="auto"/>
            </w:tcBorders>
            <w:vAlign w:val="center"/>
            <w:hideMark/>
          </w:tcPr>
          <w:p w:rsidR="008E433C" w:rsidRPr="00661291" w:rsidRDefault="008E433C" w:rsidP="002F02CF">
            <w:pPr>
              <w:spacing w:before="60" w:after="60"/>
              <w:jc w:val="center"/>
              <w:rPr>
                <w:rFonts w:cs="Times New Roman"/>
                <w:sz w:val="22"/>
              </w:rPr>
            </w:pPr>
            <w:r w:rsidRPr="00661291">
              <w:rPr>
                <w:rFonts w:cs="Times New Roman"/>
                <w:b/>
                <w:bCs/>
                <w:sz w:val="22"/>
              </w:rPr>
              <w:t>2008-2010</w:t>
            </w:r>
          </w:p>
        </w:tc>
        <w:tc>
          <w:tcPr>
            <w:tcW w:w="1057" w:type="dxa"/>
            <w:tcBorders>
              <w:top w:val="nil"/>
              <w:bottom w:val="single" w:sz="4" w:space="0" w:color="auto"/>
            </w:tcBorders>
            <w:vAlign w:val="center"/>
            <w:hideMark/>
          </w:tcPr>
          <w:p w:rsidR="008E433C" w:rsidRPr="00661291" w:rsidRDefault="008E433C" w:rsidP="002F02CF">
            <w:pPr>
              <w:spacing w:before="60" w:after="60"/>
              <w:jc w:val="center"/>
              <w:rPr>
                <w:rFonts w:cs="Times New Roman"/>
                <w:sz w:val="22"/>
              </w:rPr>
            </w:pPr>
            <w:r w:rsidRPr="00661291">
              <w:rPr>
                <w:rFonts w:cs="Times New Roman"/>
                <w:b/>
                <w:bCs/>
                <w:sz w:val="22"/>
              </w:rPr>
              <w:t>2011-2015</w:t>
            </w:r>
          </w:p>
        </w:tc>
        <w:tc>
          <w:tcPr>
            <w:tcW w:w="1069" w:type="dxa"/>
            <w:tcBorders>
              <w:top w:val="nil"/>
              <w:bottom w:val="single" w:sz="4" w:space="0" w:color="auto"/>
            </w:tcBorders>
            <w:vAlign w:val="center"/>
            <w:hideMark/>
          </w:tcPr>
          <w:p w:rsidR="008E433C" w:rsidRPr="00661291" w:rsidRDefault="008E433C" w:rsidP="002F02CF">
            <w:pPr>
              <w:spacing w:before="60" w:after="60"/>
              <w:jc w:val="center"/>
              <w:rPr>
                <w:rFonts w:cs="Times New Roman"/>
                <w:sz w:val="22"/>
              </w:rPr>
            </w:pPr>
            <w:r w:rsidRPr="00661291">
              <w:rPr>
                <w:rFonts w:cs="Times New Roman"/>
                <w:b/>
                <w:bCs/>
                <w:sz w:val="22"/>
              </w:rPr>
              <w:t>2005-2007</w:t>
            </w:r>
          </w:p>
        </w:tc>
        <w:tc>
          <w:tcPr>
            <w:tcW w:w="1134" w:type="dxa"/>
            <w:tcBorders>
              <w:top w:val="nil"/>
              <w:bottom w:val="single" w:sz="4" w:space="0" w:color="auto"/>
            </w:tcBorders>
            <w:vAlign w:val="center"/>
            <w:hideMark/>
          </w:tcPr>
          <w:p w:rsidR="008E433C" w:rsidRPr="00661291" w:rsidRDefault="008E433C" w:rsidP="002F02CF">
            <w:pPr>
              <w:spacing w:before="60" w:after="60"/>
              <w:jc w:val="center"/>
              <w:rPr>
                <w:rFonts w:cs="Times New Roman"/>
                <w:sz w:val="22"/>
              </w:rPr>
            </w:pPr>
            <w:r w:rsidRPr="00661291">
              <w:rPr>
                <w:rFonts w:cs="Times New Roman"/>
                <w:b/>
                <w:bCs/>
                <w:sz w:val="22"/>
              </w:rPr>
              <w:t>2008-2010</w:t>
            </w:r>
          </w:p>
        </w:tc>
        <w:tc>
          <w:tcPr>
            <w:tcW w:w="1134" w:type="dxa"/>
            <w:tcBorders>
              <w:top w:val="nil"/>
              <w:bottom w:val="single" w:sz="4" w:space="0" w:color="auto"/>
            </w:tcBorders>
            <w:vAlign w:val="center"/>
            <w:hideMark/>
          </w:tcPr>
          <w:p w:rsidR="008E433C" w:rsidRPr="00661291" w:rsidRDefault="008E433C" w:rsidP="002F02CF">
            <w:pPr>
              <w:spacing w:before="60" w:after="60"/>
              <w:jc w:val="center"/>
              <w:rPr>
                <w:rFonts w:cs="Times New Roman"/>
                <w:sz w:val="22"/>
              </w:rPr>
            </w:pPr>
            <w:r w:rsidRPr="00661291">
              <w:rPr>
                <w:rFonts w:cs="Times New Roman"/>
                <w:b/>
                <w:bCs/>
                <w:sz w:val="22"/>
              </w:rPr>
              <w:t>2011-2015</w:t>
            </w:r>
          </w:p>
        </w:tc>
      </w:tr>
      <w:tr w:rsidR="008E433C" w:rsidRPr="00661291" w:rsidTr="002F02CF">
        <w:trPr>
          <w:cnfStyle w:val="000000100000"/>
          <w:trHeight w:val="169"/>
          <w:jc w:val="center"/>
        </w:trPr>
        <w:tc>
          <w:tcPr>
            <w:tcW w:w="8914" w:type="dxa"/>
            <w:gridSpan w:val="7"/>
            <w:tcBorders>
              <w:top w:val="single" w:sz="4" w:space="0" w:color="auto"/>
            </w:tcBorders>
            <w:hideMark/>
          </w:tcPr>
          <w:p w:rsidR="008E433C" w:rsidRPr="00661291" w:rsidRDefault="008E433C" w:rsidP="002F02CF">
            <w:pPr>
              <w:tabs>
                <w:tab w:val="decimal" w:pos="502"/>
              </w:tabs>
              <w:spacing w:before="60" w:after="60"/>
              <w:jc w:val="center"/>
              <w:rPr>
                <w:rFonts w:cs="Times New Roman"/>
                <w:b/>
                <w:sz w:val="22"/>
              </w:rPr>
            </w:pPr>
            <w:r>
              <w:rPr>
                <w:rFonts w:cs="Times New Roman"/>
                <w:b/>
                <w:sz w:val="22"/>
              </w:rPr>
              <w:t>Mērķa</w:t>
            </w:r>
            <w:r w:rsidRPr="00661291">
              <w:rPr>
                <w:rFonts w:cs="Times New Roman"/>
                <w:b/>
                <w:sz w:val="22"/>
              </w:rPr>
              <w:t xml:space="preserve"> scenārijs</w:t>
            </w:r>
          </w:p>
        </w:tc>
      </w:tr>
      <w:tr w:rsidR="0028112C" w:rsidRPr="00661291" w:rsidTr="005B63F6">
        <w:trPr>
          <w:trHeight w:val="142"/>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b/>
                <w:bCs/>
                <w:sz w:val="22"/>
              </w:rPr>
              <w:t>IKP</w:t>
            </w:r>
          </w:p>
        </w:tc>
        <w:tc>
          <w:tcPr>
            <w:tcW w:w="113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36,5</w:t>
            </w:r>
          </w:p>
        </w:tc>
        <w:tc>
          <w:tcPr>
            <w:tcW w:w="113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-23,</w:t>
            </w:r>
            <w:r>
              <w:rPr>
                <w:rFonts w:eastAsia="Times New Roman" w:cs="Times New Roman"/>
                <w:b/>
                <w:sz w:val="22"/>
              </w:rPr>
              <w:t>7</w:t>
            </w:r>
          </w:p>
        </w:tc>
        <w:tc>
          <w:tcPr>
            <w:tcW w:w="1057"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21,</w:t>
            </w:r>
            <w:r>
              <w:rPr>
                <w:rFonts w:eastAsia="Times New Roman" w:cs="Times New Roman"/>
                <w:b/>
                <w:sz w:val="22"/>
              </w:rPr>
              <w:t>2</w:t>
            </w:r>
          </w:p>
        </w:tc>
        <w:tc>
          <w:tcPr>
            <w:tcW w:w="1069"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36,5</w:t>
            </w:r>
          </w:p>
        </w:tc>
        <w:tc>
          <w:tcPr>
            <w:tcW w:w="113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-23,</w:t>
            </w:r>
            <w:r>
              <w:rPr>
                <w:rFonts w:eastAsia="Times New Roman" w:cs="Times New Roman"/>
                <w:b/>
                <w:sz w:val="22"/>
              </w:rPr>
              <w:t>7</w:t>
            </w:r>
          </w:p>
        </w:tc>
        <w:tc>
          <w:tcPr>
            <w:tcW w:w="113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21,</w:t>
            </w:r>
            <w:r>
              <w:rPr>
                <w:rFonts w:eastAsia="Times New Roman" w:cs="Times New Roman"/>
                <w:b/>
                <w:sz w:val="22"/>
              </w:rPr>
              <w:t>2</w:t>
            </w:r>
          </w:p>
        </w:tc>
      </w:tr>
      <w:tr w:rsidR="0028112C" w:rsidRPr="00661291" w:rsidTr="002C02EA">
        <w:trPr>
          <w:cnfStyle w:val="000000100000"/>
          <w:trHeight w:val="142"/>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sz w:val="22"/>
              </w:rPr>
              <w:t xml:space="preserve">Privātais patēriņš </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54,7</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w:t>
            </w:r>
            <w:r>
              <w:rPr>
                <w:rFonts w:eastAsia="Times New Roman" w:cs="Times New Roman"/>
                <w:sz w:val="20"/>
              </w:rPr>
              <w:t>4,9</w:t>
            </w:r>
          </w:p>
        </w:tc>
        <w:tc>
          <w:tcPr>
            <w:tcW w:w="1057"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19,2</w:t>
            </w:r>
          </w:p>
        </w:tc>
        <w:tc>
          <w:tcPr>
            <w:tcW w:w="1069"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35,0</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w:t>
            </w:r>
            <w:r>
              <w:rPr>
                <w:rFonts w:eastAsia="Times New Roman" w:cs="Times New Roman"/>
                <w:sz w:val="20"/>
              </w:rPr>
              <w:t>5,3</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11,9</w:t>
            </w:r>
          </w:p>
        </w:tc>
      </w:tr>
      <w:tr w:rsidR="0028112C" w:rsidRPr="00661291" w:rsidTr="002C02EA">
        <w:trPr>
          <w:trHeight w:val="142"/>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sz w:val="22"/>
              </w:rPr>
              <w:t xml:space="preserve">Valsts patēriņš </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11,7</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-20,</w:t>
            </w:r>
            <w:r>
              <w:rPr>
                <w:rFonts w:eastAsia="Times New Roman" w:cs="Times New Roman"/>
                <w:sz w:val="20"/>
              </w:rPr>
              <w:t>0</w:t>
            </w:r>
          </w:p>
        </w:tc>
        <w:tc>
          <w:tcPr>
            <w:tcW w:w="1057"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5,6</w:t>
            </w:r>
          </w:p>
        </w:tc>
        <w:tc>
          <w:tcPr>
            <w:tcW w:w="1069"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2,0</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-2,8</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0,8</w:t>
            </w:r>
          </w:p>
        </w:tc>
      </w:tr>
      <w:tr w:rsidR="0028112C" w:rsidRPr="00661291" w:rsidTr="002C02EA">
        <w:trPr>
          <w:cnfStyle w:val="000000100000"/>
          <w:trHeight w:val="142"/>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sz w:val="22"/>
              </w:rPr>
              <w:t>Kopējā pamatkapitāla veidošana</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54,6</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-44,</w:t>
            </w:r>
            <w:r>
              <w:rPr>
                <w:rFonts w:eastAsia="Times New Roman" w:cs="Times New Roman"/>
                <w:sz w:val="20"/>
              </w:rPr>
              <w:t>8</w:t>
            </w:r>
          </w:p>
        </w:tc>
        <w:tc>
          <w:tcPr>
            <w:tcW w:w="1057"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26,4</w:t>
            </w:r>
          </w:p>
        </w:tc>
        <w:tc>
          <w:tcPr>
            <w:tcW w:w="1069"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17,3</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-16,1</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6,9</w:t>
            </w:r>
          </w:p>
        </w:tc>
      </w:tr>
      <w:tr w:rsidR="0028112C" w:rsidRPr="00661291" w:rsidTr="002C02EA">
        <w:trPr>
          <w:trHeight w:val="142"/>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sz w:val="22"/>
              </w:rPr>
              <w:t xml:space="preserve">Krājumi </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p>
        </w:tc>
        <w:tc>
          <w:tcPr>
            <w:tcW w:w="1057"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p>
        </w:tc>
        <w:tc>
          <w:tcPr>
            <w:tcW w:w="1069"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-1,5</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-7,</w:t>
            </w:r>
            <w:r>
              <w:rPr>
                <w:rFonts w:eastAsia="Times New Roman" w:cs="Times New Roman"/>
                <w:sz w:val="20"/>
              </w:rPr>
              <w:t>3</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w:t>
            </w:r>
            <w:r>
              <w:rPr>
                <w:rFonts w:eastAsia="Times New Roman" w:cs="Times New Roman"/>
                <w:sz w:val="20"/>
              </w:rPr>
              <w:t>8</w:t>
            </w:r>
          </w:p>
        </w:tc>
      </w:tr>
      <w:tr w:rsidR="0028112C" w:rsidRPr="00661291" w:rsidTr="002C02EA">
        <w:trPr>
          <w:cnfStyle w:val="000000100000"/>
          <w:trHeight w:val="142"/>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sz w:val="22"/>
              </w:rPr>
              <w:t xml:space="preserve">Eksports </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40,9</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-13,3</w:t>
            </w:r>
          </w:p>
        </w:tc>
        <w:tc>
          <w:tcPr>
            <w:tcW w:w="1057"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31,2</w:t>
            </w:r>
          </w:p>
        </w:tc>
        <w:tc>
          <w:tcPr>
            <w:tcW w:w="1069"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16,6</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-5,5</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14,</w:t>
            </w:r>
            <w:r>
              <w:rPr>
                <w:rFonts w:eastAsia="Times New Roman" w:cs="Times New Roman"/>
                <w:sz w:val="20"/>
              </w:rPr>
              <w:t>9</w:t>
            </w:r>
          </w:p>
        </w:tc>
      </w:tr>
      <w:tr w:rsidR="0028112C" w:rsidRPr="00661291" w:rsidTr="002C02EA">
        <w:trPr>
          <w:trHeight w:val="142"/>
          <w:jc w:val="center"/>
        </w:trPr>
        <w:tc>
          <w:tcPr>
            <w:tcW w:w="2252" w:type="dxa"/>
            <w:hideMark/>
          </w:tcPr>
          <w:p w:rsidR="0028112C" w:rsidRPr="00661291" w:rsidRDefault="0028112C" w:rsidP="002F02CF">
            <w:pPr>
              <w:spacing w:before="40" w:after="40"/>
              <w:rPr>
                <w:rFonts w:cs="Times New Roman"/>
                <w:sz w:val="22"/>
              </w:rPr>
            </w:pPr>
            <w:r w:rsidRPr="00661291">
              <w:rPr>
                <w:rFonts w:cs="Times New Roman"/>
                <w:sz w:val="22"/>
              </w:rPr>
              <w:t xml:space="preserve">Imports </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57,2</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r>
              <w:rPr>
                <w:rFonts w:eastAsia="Times New Roman" w:cs="Times New Roman"/>
                <w:sz w:val="20"/>
              </w:rPr>
              <w:t>50,4</w:t>
            </w:r>
          </w:p>
        </w:tc>
        <w:tc>
          <w:tcPr>
            <w:tcW w:w="1057"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32,7</w:t>
            </w:r>
          </w:p>
        </w:tc>
        <w:tc>
          <w:tcPr>
            <w:tcW w:w="1069"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-32,8</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33,</w:t>
            </w:r>
            <w:r>
              <w:rPr>
                <w:rFonts w:eastAsia="Times New Roman" w:cs="Times New Roman"/>
                <w:sz w:val="20"/>
              </w:rPr>
              <w:t>2</w:t>
            </w:r>
          </w:p>
        </w:tc>
        <w:tc>
          <w:tcPr>
            <w:tcW w:w="1134" w:type="dxa"/>
            <w:vAlign w:val="bottom"/>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-14,</w:t>
            </w:r>
            <w:r>
              <w:rPr>
                <w:rFonts w:eastAsia="Times New Roman" w:cs="Times New Roman"/>
                <w:sz w:val="20"/>
              </w:rPr>
              <w:t>1</w:t>
            </w:r>
          </w:p>
        </w:tc>
      </w:tr>
      <w:tr w:rsidR="008E433C" w:rsidRPr="00661291" w:rsidTr="002F02CF">
        <w:trPr>
          <w:cnfStyle w:val="000000100000"/>
          <w:trHeight w:val="142"/>
          <w:jc w:val="center"/>
        </w:trPr>
        <w:tc>
          <w:tcPr>
            <w:tcW w:w="8914" w:type="dxa"/>
            <w:gridSpan w:val="7"/>
            <w:hideMark/>
          </w:tcPr>
          <w:p w:rsidR="008E433C" w:rsidRPr="00661291" w:rsidRDefault="008E433C" w:rsidP="002F02CF">
            <w:pPr>
              <w:tabs>
                <w:tab w:val="decimal" w:pos="502"/>
              </w:tabs>
              <w:spacing w:before="60" w:after="60"/>
              <w:jc w:val="center"/>
              <w:rPr>
                <w:rFonts w:cs="Times New Roman"/>
                <w:sz w:val="22"/>
              </w:rPr>
            </w:pPr>
            <w:r>
              <w:rPr>
                <w:rFonts w:cs="Times New Roman"/>
                <w:b/>
                <w:sz w:val="22"/>
              </w:rPr>
              <w:t>Bāzes</w:t>
            </w:r>
            <w:r w:rsidRPr="00661291">
              <w:rPr>
                <w:rFonts w:cs="Times New Roman"/>
                <w:b/>
                <w:sz w:val="22"/>
              </w:rPr>
              <w:t xml:space="preserve"> scenārijs</w:t>
            </w:r>
          </w:p>
        </w:tc>
      </w:tr>
      <w:tr w:rsidR="0028112C" w:rsidRPr="00661291" w:rsidTr="002C02EA">
        <w:trPr>
          <w:trHeight w:val="142"/>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b/>
                <w:bCs/>
                <w:sz w:val="22"/>
              </w:rPr>
              <w:t>IKP</w:t>
            </w:r>
          </w:p>
        </w:tc>
        <w:tc>
          <w:tcPr>
            <w:tcW w:w="113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36,5</w:t>
            </w:r>
          </w:p>
        </w:tc>
        <w:tc>
          <w:tcPr>
            <w:tcW w:w="113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-24,9</w:t>
            </w:r>
          </w:p>
        </w:tc>
        <w:tc>
          <w:tcPr>
            <w:tcW w:w="1057"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13,</w:t>
            </w:r>
            <w:r>
              <w:rPr>
                <w:rFonts w:eastAsia="Times New Roman" w:cs="Times New Roman"/>
                <w:b/>
                <w:sz w:val="22"/>
              </w:rPr>
              <w:t>7</w:t>
            </w:r>
          </w:p>
        </w:tc>
        <w:tc>
          <w:tcPr>
            <w:tcW w:w="1069"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36,5</w:t>
            </w:r>
          </w:p>
        </w:tc>
        <w:tc>
          <w:tcPr>
            <w:tcW w:w="113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-24,9</w:t>
            </w:r>
          </w:p>
        </w:tc>
        <w:tc>
          <w:tcPr>
            <w:tcW w:w="1134" w:type="dxa"/>
            <w:vAlign w:val="center"/>
            <w:hideMark/>
          </w:tcPr>
          <w:p w:rsidR="0028112C" w:rsidRPr="00540B54" w:rsidRDefault="0028112C" w:rsidP="00E47706">
            <w:pPr>
              <w:tabs>
                <w:tab w:val="decimal" w:pos="242"/>
              </w:tabs>
              <w:spacing w:before="40" w:after="40"/>
              <w:jc w:val="center"/>
              <w:rPr>
                <w:rFonts w:eastAsia="Times New Roman" w:cs="Times New Roman"/>
                <w:b/>
                <w:sz w:val="22"/>
              </w:rPr>
            </w:pPr>
            <w:r w:rsidRPr="00540B54">
              <w:rPr>
                <w:rFonts w:eastAsia="Times New Roman" w:cs="Times New Roman"/>
                <w:b/>
                <w:sz w:val="22"/>
              </w:rPr>
              <w:t>13,</w:t>
            </w:r>
            <w:r>
              <w:rPr>
                <w:rFonts w:eastAsia="Times New Roman" w:cs="Times New Roman"/>
                <w:b/>
                <w:sz w:val="22"/>
              </w:rPr>
              <w:t>7</w:t>
            </w:r>
          </w:p>
        </w:tc>
      </w:tr>
      <w:tr w:rsidR="0028112C" w:rsidRPr="00661291" w:rsidTr="003C53B7">
        <w:trPr>
          <w:cnfStyle w:val="000000100000"/>
          <w:trHeight w:val="142"/>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sz w:val="22"/>
              </w:rPr>
              <w:t xml:space="preserve">Privātais patēriņš </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54,7</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w:t>
            </w:r>
            <w:r>
              <w:rPr>
                <w:rFonts w:eastAsia="Times New Roman" w:cs="Times New Roman"/>
                <w:sz w:val="20"/>
              </w:rPr>
              <w:t>6</w:t>
            </w:r>
            <w:r w:rsidRPr="003C53B7">
              <w:rPr>
                <w:rFonts w:eastAsia="Times New Roman" w:cs="Times New Roman"/>
                <w:sz w:val="20"/>
              </w:rPr>
              <w:t>,1</w:t>
            </w:r>
          </w:p>
        </w:tc>
        <w:tc>
          <w:tcPr>
            <w:tcW w:w="1057"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9,1</w:t>
            </w:r>
          </w:p>
        </w:tc>
        <w:tc>
          <w:tcPr>
            <w:tcW w:w="1069"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35,0</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r>
              <w:rPr>
                <w:rFonts w:eastAsia="Times New Roman" w:cs="Times New Roman"/>
                <w:sz w:val="20"/>
              </w:rPr>
              <w:t>26,1</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w:t>
            </w:r>
            <w:r>
              <w:rPr>
                <w:rFonts w:eastAsia="Times New Roman" w:cs="Times New Roman"/>
                <w:sz w:val="20"/>
              </w:rPr>
              <w:t>6</w:t>
            </w:r>
          </w:p>
        </w:tc>
      </w:tr>
      <w:tr w:rsidR="0028112C" w:rsidRPr="00661291" w:rsidTr="003C53B7">
        <w:trPr>
          <w:trHeight w:val="142"/>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sz w:val="22"/>
              </w:rPr>
              <w:t xml:space="preserve">Valsts patēriņš </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11,7</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r>
              <w:rPr>
                <w:rFonts w:eastAsia="Times New Roman" w:cs="Times New Roman"/>
                <w:sz w:val="20"/>
              </w:rPr>
              <w:t>20,0</w:t>
            </w:r>
          </w:p>
        </w:tc>
        <w:tc>
          <w:tcPr>
            <w:tcW w:w="1057"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3,0</w:t>
            </w:r>
          </w:p>
        </w:tc>
        <w:tc>
          <w:tcPr>
            <w:tcW w:w="1069"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2,0</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r>
              <w:rPr>
                <w:rFonts w:eastAsia="Times New Roman" w:cs="Times New Roman"/>
                <w:sz w:val="20"/>
              </w:rPr>
              <w:t>2,8</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0,4</w:t>
            </w:r>
          </w:p>
        </w:tc>
      </w:tr>
      <w:tr w:rsidR="0028112C" w:rsidRPr="00661291" w:rsidTr="003C53B7">
        <w:trPr>
          <w:cnfStyle w:val="000000100000"/>
          <w:trHeight w:val="91"/>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sz w:val="22"/>
              </w:rPr>
              <w:t>Kopējā pamatkapitāla veidošana</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54,6</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-46,2</w:t>
            </w:r>
          </w:p>
        </w:tc>
        <w:tc>
          <w:tcPr>
            <w:tcW w:w="1057"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21,1</w:t>
            </w:r>
          </w:p>
        </w:tc>
        <w:tc>
          <w:tcPr>
            <w:tcW w:w="1069"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17,3</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-16,6</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5,4</w:t>
            </w:r>
          </w:p>
        </w:tc>
      </w:tr>
      <w:tr w:rsidR="0028112C" w:rsidRPr="00661291" w:rsidTr="003C53B7">
        <w:trPr>
          <w:trHeight w:val="195"/>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sz w:val="22"/>
              </w:rPr>
              <w:t xml:space="preserve">Krājumi </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p>
        </w:tc>
        <w:tc>
          <w:tcPr>
            <w:tcW w:w="1057"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p>
        </w:tc>
        <w:tc>
          <w:tcPr>
            <w:tcW w:w="1069"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-1,5</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-7,</w:t>
            </w:r>
            <w:r>
              <w:rPr>
                <w:rFonts w:eastAsia="Times New Roman" w:cs="Times New Roman"/>
                <w:sz w:val="20"/>
              </w:rPr>
              <w:t>4</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1,9</w:t>
            </w:r>
          </w:p>
        </w:tc>
      </w:tr>
      <w:tr w:rsidR="0028112C" w:rsidRPr="00661291" w:rsidTr="003C53B7">
        <w:trPr>
          <w:cnfStyle w:val="000000100000"/>
          <w:trHeight w:val="171"/>
          <w:jc w:val="center"/>
        </w:trPr>
        <w:tc>
          <w:tcPr>
            <w:tcW w:w="2252" w:type="dxa"/>
            <w:hideMark/>
          </w:tcPr>
          <w:p w:rsidR="0028112C" w:rsidRPr="00661291" w:rsidRDefault="0028112C" w:rsidP="002F02CF">
            <w:pPr>
              <w:spacing w:before="60" w:after="60"/>
              <w:rPr>
                <w:rFonts w:cs="Times New Roman"/>
                <w:sz w:val="22"/>
              </w:rPr>
            </w:pPr>
            <w:r w:rsidRPr="00661291">
              <w:rPr>
                <w:rFonts w:cs="Times New Roman"/>
                <w:sz w:val="22"/>
              </w:rPr>
              <w:t xml:space="preserve">Eksports </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40,9</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-14,8</w:t>
            </w:r>
          </w:p>
        </w:tc>
        <w:tc>
          <w:tcPr>
            <w:tcW w:w="1057"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21,4</w:t>
            </w:r>
          </w:p>
        </w:tc>
        <w:tc>
          <w:tcPr>
            <w:tcW w:w="1069"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16,6</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-6,2</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10,2</w:t>
            </w:r>
          </w:p>
        </w:tc>
      </w:tr>
      <w:tr w:rsidR="0028112C" w:rsidRPr="00661291" w:rsidTr="003C53B7">
        <w:trPr>
          <w:trHeight w:val="119"/>
          <w:jc w:val="center"/>
        </w:trPr>
        <w:tc>
          <w:tcPr>
            <w:tcW w:w="2252" w:type="dxa"/>
            <w:hideMark/>
          </w:tcPr>
          <w:p w:rsidR="0028112C" w:rsidRPr="00661291" w:rsidRDefault="0028112C" w:rsidP="002F02CF">
            <w:pPr>
              <w:spacing w:before="40" w:after="40"/>
              <w:rPr>
                <w:rFonts w:cs="Times New Roman"/>
                <w:sz w:val="22"/>
              </w:rPr>
            </w:pPr>
            <w:r w:rsidRPr="00661291">
              <w:rPr>
                <w:rFonts w:cs="Times New Roman"/>
                <w:sz w:val="22"/>
              </w:rPr>
              <w:t xml:space="preserve">Imports </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57,2</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-51,</w:t>
            </w:r>
            <w:r>
              <w:rPr>
                <w:rFonts w:eastAsia="Times New Roman" w:cs="Times New Roman"/>
                <w:sz w:val="20"/>
              </w:rPr>
              <w:t>8</w:t>
            </w:r>
          </w:p>
        </w:tc>
        <w:tc>
          <w:tcPr>
            <w:tcW w:w="1057"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23,4</w:t>
            </w:r>
          </w:p>
        </w:tc>
        <w:tc>
          <w:tcPr>
            <w:tcW w:w="1069"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-32,8</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Pr>
                <w:rFonts w:eastAsia="Times New Roman" w:cs="Times New Roman"/>
                <w:sz w:val="20"/>
              </w:rPr>
              <w:t>34,2</w:t>
            </w:r>
          </w:p>
        </w:tc>
        <w:tc>
          <w:tcPr>
            <w:tcW w:w="1134" w:type="dxa"/>
            <w:vAlign w:val="center"/>
            <w:hideMark/>
          </w:tcPr>
          <w:p w:rsidR="0028112C" w:rsidRPr="003C53B7" w:rsidRDefault="0028112C" w:rsidP="00E47706">
            <w:pPr>
              <w:tabs>
                <w:tab w:val="decimal" w:pos="242"/>
              </w:tabs>
              <w:spacing w:before="40" w:after="40"/>
              <w:jc w:val="center"/>
              <w:rPr>
                <w:rFonts w:eastAsia="Times New Roman" w:cs="Times New Roman"/>
                <w:sz w:val="20"/>
              </w:rPr>
            </w:pPr>
            <w:r w:rsidRPr="003C53B7">
              <w:rPr>
                <w:rFonts w:eastAsia="Times New Roman" w:cs="Times New Roman"/>
                <w:sz w:val="20"/>
              </w:rPr>
              <w:t>-</w:t>
            </w:r>
            <w:r>
              <w:rPr>
                <w:rFonts w:eastAsia="Times New Roman" w:cs="Times New Roman"/>
                <w:sz w:val="20"/>
              </w:rPr>
              <w:t>9,9</w:t>
            </w:r>
          </w:p>
        </w:tc>
      </w:tr>
    </w:tbl>
    <w:p w:rsidR="008E433C" w:rsidRPr="00B454C8" w:rsidRDefault="008E433C" w:rsidP="008E433C">
      <w:pPr>
        <w:pStyle w:val="BodyTextIndent"/>
        <w:spacing w:before="120" w:after="0"/>
        <w:ind w:left="0" w:firstLine="567"/>
        <w:rPr>
          <w:bCs/>
          <w:sz w:val="16"/>
          <w:szCs w:val="16"/>
          <w:lang w:val="lv-LV"/>
        </w:rPr>
      </w:pPr>
      <w:r>
        <w:rPr>
          <w:bCs/>
          <w:sz w:val="16"/>
          <w:szCs w:val="16"/>
          <w:lang w:val="lv-LV"/>
        </w:rPr>
        <w:t>*</w:t>
      </w:r>
      <w:r w:rsidR="00BC2C1B" w:rsidRPr="00BC2C1B">
        <w:rPr>
          <w:bCs/>
          <w:sz w:val="16"/>
          <w:szCs w:val="16"/>
          <w:lang w:val="lv-LV"/>
        </w:rPr>
        <w:t xml:space="preserve"> </w:t>
      </w:r>
      <w:r w:rsidR="00BC2C1B" w:rsidRPr="00B454C8">
        <w:rPr>
          <w:bCs/>
          <w:sz w:val="16"/>
          <w:szCs w:val="16"/>
          <w:lang w:val="lv-LV"/>
        </w:rPr>
        <w:t>E</w:t>
      </w:r>
      <w:r w:rsidR="00BC2C1B">
        <w:rPr>
          <w:bCs/>
          <w:sz w:val="16"/>
          <w:szCs w:val="16"/>
          <w:lang w:val="lv-LV"/>
        </w:rPr>
        <w:t>konomikas ministrijas</w:t>
      </w:r>
      <w:r w:rsidRPr="00B454C8">
        <w:rPr>
          <w:bCs/>
          <w:sz w:val="16"/>
          <w:szCs w:val="16"/>
          <w:lang w:val="lv-LV"/>
        </w:rPr>
        <w:t xml:space="preserve"> novērtējums un prognozes</w:t>
      </w:r>
      <w:r>
        <w:rPr>
          <w:bCs/>
          <w:sz w:val="16"/>
          <w:szCs w:val="16"/>
          <w:lang w:val="lv-LV"/>
        </w:rPr>
        <w:t>;</w:t>
      </w:r>
    </w:p>
    <w:p w:rsidR="008E433C" w:rsidRPr="00B454C8" w:rsidRDefault="00BC2C1B" w:rsidP="008E433C">
      <w:pPr>
        <w:pStyle w:val="BodyTextIndent"/>
        <w:spacing w:after="0"/>
        <w:ind w:left="0" w:firstLine="567"/>
        <w:rPr>
          <w:bCs/>
          <w:sz w:val="16"/>
          <w:szCs w:val="16"/>
          <w:lang w:val="lv-LV"/>
        </w:rPr>
      </w:pPr>
      <w:r>
        <w:rPr>
          <w:bCs/>
          <w:sz w:val="16"/>
          <w:szCs w:val="16"/>
          <w:lang w:val="lv-LV"/>
        </w:rPr>
        <w:t>Fakts</w:t>
      </w:r>
      <w:r w:rsidR="008E433C">
        <w:rPr>
          <w:bCs/>
          <w:sz w:val="16"/>
          <w:szCs w:val="16"/>
          <w:lang w:val="lv-LV"/>
        </w:rPr>
        <w:t>: CSP</w:t>
      </w:r>
    </w:p>
    <w:p w:rsidR="008E433C" w:rsidRPr="00EB5FEE" w:rsidRDefault="008E433C" w:rsidP="008E433C">
      <w:pPr>
        <w:rPr>
          <w:rFonts w:cs="Times New Roman"/>
          <w:sz w:val="16"/>
          <w:szCs w:val="18"/>
        </w:rPr>
      </w:pPr>
    </w:p>
    <w:p w:rsidR="008E433C" w:rsidRDefault="008E433C" w:rsidP="008E433C">
      <w:pPr>
        <w:jc w:val="right"/>
        <w:rPr>
          <w:sz w:val="28"/>
        </w:rPr>
      </w:pPr>
      <w:bookmarkStart w:id="86" w:name="_Apstrādes_rūpniecības_ieguldījums"/>
      <w:bookmarkEnd w:id="86"/>
    </w:p>
    <w:p w:rsidR="008E433C" w:rsidRDefault="008E433C" w:rsidP="008E433C">
      <w:pPr>
        <w:spacing w:after="200" w:line="276" w:lineRule="auto"/>
        <w:rPr>
          <w:sz w:val="28"/>
        </w:rPr>
      </w:pPr>
      <w:r>
        <w:rPr>
          <w:sz w:val="28"/>
        </w:rPr>
        <w:br w:type="page"/>
      </w:r>
    </w:p>
    <w:p w:rsidR="008E433C" w:rsidRPr="00D94F61" w:rsidRDefault="008E433C" w:rsidP="008E433C">
      <w:pPr>
        <w:pStyle w:val="Heading2"/>
      </w:pPr>
      <w:bookmarkStart w:id="87" w:name="_Toc239501379"/>
      <w:bookmarkStart w:id="88" w:name="_Toc242510396"/>
      <w:r w:rsidRPr="00D94F61">
        <w:lastRenderedPageBreak/>
        <w:t>1</w:t>
      </w:r>
      <w:r>
        <w:t>7</w:t>
      </w:r>
      <w:r w:rsidRPr="00D94F61">
        <w:t>.tabula. Apstrādes rūpniecības dinamika un ieguldījums izaugsmē no 200</w:t>
      </w:r>
      <w:r>
        <w:t>5</w:t>
      </w:r>
      <w:r w:rsidRPr="00D94F61">
        <w:t>. līdz 2015.gadam, sadalījumā pa ekonomikas cikla periodiem</w:t>
      </w:r>
      <w:bookmarkEnd w:id="87"/>
      <w:bookmarkEnd w:id="88"/>
    </w:p>
    <w:p w:rsidR="008E433C" w:rsidRDefault="008E433C" w:rsidP="008E433C">
      <w:pPr>
        <w:rPr>
          <w:szCs w:val="24"/>
        </w:rPr>
      </w:pPr>
      <w:r w:rsidRPr="00D94F61">
        <w:rPr>
          <w:szCs w:val="24"/>
        </w:rPr>
        <w:t>(periodā, % no IKP)</w:t>
      </w:r>
      <w:r w:rsidR="001911DD">
        <w:rPr>
          <w:szCs w:val="24"/>
        </w:rPr>
        <w:t>*</w:t>
      </w:r>
    </w:p>
    <w:p w:rsidR="008E433C" w:rsidRPr="00D94F61" w:rsidRDefault="008E433C" w:rsidP="008E433C">
      <w:pPr>
        <w:rPr>
          <w:szCs w:val="24"/>
        </w:rPr>
      </w:pPr>
    </w:p>
    <w:tbl>
      <w:tblPr>
        <w:tblStyle w:val="LightShading1"/>
        <w:tblW w:w="8899" w:type="dxa"/>
        <w:jc w:val="center"/>
        <w:tblLayout w:type="fixed"/>
        <w:tblLook w:val="0400"/>
      </w:tblPr>
      <w:tblGrid>
        <w:gridCol w:w="2799"/>
        <w:gridCol w:w="1016"/>
        <w:gridCol w:w="1017"/>
        <w:gridCol w:w="1017"/>
        <w:gridCol w:w="1016"/>
        <w:gridCol w:w="1017"/>
        <w:gridCol w:w="1017"/>
      </w:tblGrid>
      <w:tr w:rsidR="008E433C" w:rsidRPr="00661291" w:rsidTr="002F02CF">
        <w:trPr>
          <w:cnfStyle w:val="000000100000"/>
          <w:trHeight w:val="195"/>
          <w:jc w:val="center"/>
        </w:trPr>
        <w:tc>
          <w:tcPr>
            <w:tcW w:w="2799" w:type="dxa"/>
            <w:tcBorders>
              <w:top w:val="single" w:sz="8" w:space="0" w:color="000000" w:themeColor="text1"/>
              <w:bottom w:val="nil"/>
            </w:tcBorders>
            <w:hideMark/>
          </w:tcPr>
          <w:p w:rsidR="008E433C" w:rsidRPr="00661291" w:rsidRDefault="008E433C" w:rsidP="002F02CF">
            <w:pPr>
              <w:spacing w:before="40" w:after="40"/>
              <w:rPr>
                <w:rFonts w:cs="Times New Roman"/>
                <w:sz w:val="22"/>
              </w:rPr>
            </w:pPr>
          </w:p>
        </w:tc>
        <w:tc>
          <w:tcPr>
            <w:tcW w:w="3050" w:type="dxa"/>
            <w:gridSpan w:val="3"/>
            <w:tcBorders>
              <w:top w:val="single" w:sz="8" w:space="0" w:color="000000" w:themeColor="text1"/>
              <w:bottom w:val="nil"/>
            </w:tcBorders>
            <w:vAlign w:val="center"/>
            <w:hideMark/>
          </w:tcPr>
          <w:p w:rsidR="008E433C" w:rsidRPr="00661291" w:rsidRDefault="008E433C" w:rsidP="002F02CF">
            <w:pPr>
              <w:spacing w:before="40" w:after="40"/>
              <w:jc w:val="center"/>
              <w:rPr>
                <w:rFonts w:cs="Times New Roman"/>
                <w:sz w:val="22"/>
              </w:rPr>
            </w:pPr>
            <w:r w:rsidRPr="00661291">
              <w:rPr>
                <w:rFonts w:cs="Times New Roman"/>
                <w:bCs/>
                <w:sz w:val="22"/>
              </w:rPr>
              <w:t>Pieaugums</w:t>
            </w:r>
            <w:r w:rsidRPr="00661291">
              <w:rPr>
                <w:rFonts w:cs="Times New Roman"/>
                <w:bCs/>
                <w:sz w:val="22"/>
              </w:rPr>
              <w:br/>
              <w:t>(%, periodā)</w:t>
            </w:r>
          </w:p>
        </w:tc>
        <w:tc>
          <w:tcPr>
            <w:tcW w:w="3050" w:type="dxa"/>
            <w:gridSpan w:val="3"/>
            <w:tcBorders>
              <w:top w:val="single" w:sz="8" w:space="0" w:color="000000" w:themeColor="text1"/>
              <w:bottom w:val="nil"/>
            </w:tcBorders>
            <w:vAlign w:val="center"/>
            <w:hideMark/>
          </w:tcPr>
          <w:p w:rsidR="008E433C" w:rsidRPr="00661291" w:rsidRDefault="008E433C" w:rsidP="002F02CF">
            <w:pPr>
              <w:spacing w:before="40" w:after="40"/>
              <w:jc w:val="center"/>
              <w:rPr>
                <w:rFonts w:cs="Times New Roman"/>
                <w:sz w:val="22"/>
              </w:rPr>
            </w:pPr>
            <w:r w:rsidRPr="00661291">
              <w:rPr>
                <w:rFonts w:cs="Times New Roman"/>
                <w:bCs/>
                <w:sz w:val="22"/>
              </w:rPr>
              <w:t>Ieguldījums % no kopējā pieauguma</w:t>
            </w:r>
            <w:r>
              <w:rPr>
                <w:rFonts w:cs="Times New Roman"/>
                <w:bCs/>
                <w:sz w:val="22"/>
              </w:rPr>
              <w:t xml:space="preserve"> </w:t>
            </w:r>
            <w:r w:rsidRPr="00661291">
              <w:rPr>
                <w:rFonts w:cs="Times New Roman"/>
                <w:bCs/>
                <w:sz w:val="22"/>
              </w:rPr>
              <w:t>(periodā)</w:t>
            </w:r>
          </w:p>
        </w:tc>
      </w:tr>
      <w:tr w:rsidR="008E433C" w:rsidRPr="00661291" w:rsidTr="002F02CF">
        <w:trPr>
          <w:trHeight w:val="245"/>
          <w:jc w:val="center"/>
        </w:trPr>
        <w:tc>
          <w:tcPr>
            <w:tcW w:w="2799" w:type="dxa"/>
            <w:tcBorders>
              <w:top w:val="nil"/>
              <w:bottom w:val="single" w:sz="4" w:space="0" w:color="auto"/>
            </w:tcBorders>
            <w:hideMark/>
          </w:tcPr>
          <w:p w:rsidR="008E433C" w:rsidRPr="00661291" w:rsidRDefault="008E433C" w:rsidP="002F02CF">
            <w:pPr>
              <w:spacing w:before="40" w:after="40"/>
              <w:rPr>
                <w:rFonts w:cs="Times New Roman"/>
                <w:sz w:val="22"/>
              </w:rPr>
            </w:pPr>
          </w:p>
        </w:tc>
        <w:tc>
          <w:tcPr>
            <w:tcW w:w="1016"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2005-2007</w:t>
            </w:r>
          </w:p>
        </w:tc>
        <w:tc>
          <w:tcPr>
            <w:tcW w:w="1017"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2008-2010</w:t>
            </w:r>
          </w:p>
        </w:tc>
        <w:tc>
          <w:tcPr>
            <w:tcW w:w="1017"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2011-2015</w:t>
            </w:r>
          </w:p>
        </w:tc>
        <w:tc>
          <w:tcPr>
            <w:tcW w:w="1016"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2005-2007</w:t>
            </w:r>
          </w:p>
        </w:tc>
        <w:tc>
          <w:tcPr>
            <w:tcW w:w="1017"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2008-2010</w:t>
            </w:r>
          </w:p>
        </w:tc>
        <w:tc>
          <w:tcPr>
            <w:tcW w:w="1017" w:type="dxa"/>
            <w:tcBorders>
              <w:top w:val="nil"/>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2011-2015</w:t>
            </w:r>
          </w:p>
        </w:tc>
      </w:tr>
      <w:tr w:rsidR="003C5F9B" w:rsidRPr="00661291" w:rsidTr="001911DD">
        <w:trPr>
          <w:cnfStyle w:val="000000100000"/>
          <w:trHeight w:val="206"/>
          <w:jc w:val="center"/>
        </w:trPr>
        <w:tc>
          <w:tcPr>
            <w:tcW w:w="2799" w:type="dxa"/>
            <w:tcBorders>
              <w:top w:val="single" w:sz="4" w:space="0" w:color="auto"/>
            </w:tcBorders>
            <w:hideMark/>
          </w:tcPr>
          <w:p w:rsidR="003C5F9B" w:rsidRPr="00661291" w:rsidRDefault="003C5F9B" w:rsidP="002F02CF">
            <w:pPr>
              <w:spacing w:before="40" w:after="40"/>
              <w:rPr>
                <w:rFonts w:cs="Times New Roman"/>
                <w:sz w:val="22"/>
              </w:rPr>
            </w:pPr>
            <w:r w:rsidRPr="00661291">
              <w:rPr>
                <w:rFonts w:cs="Times New Roman"/>
                <w:b/>
                <w:bCs/>
                <w:sz w:val="22"/>
              </w:rPr>
              <w:t>Apstrādes rūpniecība – kopā</w:t>
            </w:r>
            <w:r w:rsidRPr="00661291">
              <w:rPr>
                <w:rFonts w:cs="Times New Roman"/>
                <w:sz w:val="22"/>
              </w:rPr>
              <w:t xml:space="preserve"> </w:t>
            </w:r>
          </w:p>
        </w:tc>
        <w:tc>
          <w:tcPr>
            <w:tcW w:w="1016" w:type="dxa"/>
            <w:tcBorders>
              <w:top w:val="single" w:sz="4" w:space="0" w:color="auto"/>
            </w:tcBorders>
            <w:vAlign w:val="center"/>
            <w:hideMark/>
          </w:tcPr>
          <w:p w:rsidR="003C5F9B" w:rsidRPr="003C5F9B" w:rsidRDefault="003C5F9B" w:rsidP="002C02EA">
            <w:pPr>
              <w:tabs>
                <w:tab w:val="decimal" w:pos="242"/>
              </w:tabs>
              <w:spacing w:before="40" w:after="40"/>
              <w:jc w:val="center"/>
              <w:rPr>
                <w:rFonts w:eastAsia="Times New Roman" w:cs="Times New Roman"/>
                <w:b/>
                <w:sz w:val="22"/>
              </w:rPr>
            </w:pPr>
            <w:r w:rsidRPr="003C5F9B">
              <w:rPr>
                <w:rFonts w:eastAsia="Times New Roman" w:cs="Times New Roman"/>
                <w:b/>
                <w:sz w:val="22"/>
              </w:rPr>
              <w:t>13,1</w:t>
            </w:r>
          </w:p>
        </w:tc>
        <w:tc>
          <w:tcPr>
            <w:tcW w:w="1017" w:type="dxa"/>
            <w:tcBorders>
              <w:top w:val="single" w:sz="4" w:space="0" w:color="auto"/>
            </w:tcBorders>
            <w:vAlign w:val="center"/>
            <w:hideMark/>
          </w:tcPr>
          <w:p w:rsidR="003C5F9B" w:rsidRPr="003C5F9B" w:rsidRDefault="003C5F9B" w:rsidP="002C02EA">
            <w:pPr>
              <w:tabs>
                <w:tab w:val="decimal" w:pos="242"/>
              </w:tabs>
              <w:spacing w:before="40" w:after="40"/>
              <w:jc w:val="center"/>
              <w:rPr>
                <w:rFonts w:eastAsia="Times New Roman" w:cs="Times New Roman"/>
                <w:b/>
                <w:sz w:val="22"/>
              </w:rPr>
            </w:pPr>
            <w:r w:rsidRPr="003C5F9B">
              <w:rPr>
                <w:rFonts w:eastAsia="Times New Roman" w:cs="Times New Roman"/>
                <w:b/>
                <w:sz w:val="22"/>
              </w:rPr>
              <w:t>-21,3</w:t>
            </w:r>
          </w:p>
        </w:tc>
        <w:tc>
          <w:tcPr>
            <w:tcW w:w="1017" w:type="dxa"/>
            <w:tcBorders>
              <w:top w:val="single" w:sz="4" w:space="0" w:color="auto"/>
            </w:tcBorders>
            <w:vAlign w:val="center"/>
            <w:hideMark/>
          </w:tcPr>
          <w:p w:rsidR="003C5F9B" w:rsidRPr="003C5F9B" w:rsidRDefault="003C5F9B" w:rsidP="002C02EA">
            <w:pPr>
              <w:tabs>
                <w:tab w:val="decimal" w:pos="242"/>
              </w:tabs>
              <w:spacing w:before="40" w:after="40"/>
              <w:jc w:val="center"/>
              <w:rPr>
                <w:rFonts w:eastAsia="Times New Roman" w:cs="Times New Roman"/>
                <w:b/>
                <w:sz w:val="22"/>
              </w:rPr>
            </w:pPr>
            <w:r w:rsidRPr="003C5F9B">
              <w:rPr>
                <w:rFonts w:eastAsia="Times New Roman" w:cs="Times New Roman"/>
                <w:b/>
                <w:sz w:val="22"/>
              </w:rPr>
              <w:t>25,4</w:t>
            </w:r>
          </w:p>
        </w:tc>
        <w:tc>
          <w:tcPr>
            <w:tcW w:w="1016" w:type="dxa"/>
            <w:tcBorders>
              <w:top w:val="single" w:sz="4" w:space="0" w:color="auto"/>
            </w:tcBorders>
            <w:vAlign w:val="center"/>
            <w:hideMark/>
          </w:tcPr>
          <w:p w:rsidR="003C5F9B" w:rsidRPr="00661291" w:rsidRDefault="003C5F9B" w:rsidP="001911DD">
            <w:pPr>
              <w:tabs>
                <w:tab w:val="decimal" w:pos="347"/>
              </w:tabs>
              <w:spacing w:before="40" w:after="40"/>
              <w:jc w:val="center"/>
              <w:rPr>
                <w:rFonts w:cs="Times New Roman"/>
                <w:sz w:val="22"/>
              </w:rPr>
            </w:pPr>
            <w:r w:rsidRPr="00661291">
              <w:rPr>
                <w:rFonts w:cs="Times New Roman"/>
                <w:b/>
                <w:bCs/>
                <w:sz w:val="22"/>
              </w:rPr>
              <w:t>100</w:t>
            </w:r>
          </w:p>
        </w:tc>
        <w:tc>
          <w:tcPr>
            <w:tcW w:w="1017" w:type="dxa"/>
            <w:tcBorders>
              <w:top w:val="single" w:sz="4" w:space="0" w:color="auto"/>
            </w:tcBorders>
            <w:vAlign w:val="center"/>
            <w:hideMark/>
          </w:tcPr>
          <w:p w:rsidR="003C5F9B" w:rsidRPr="00661291" w:rsidRDefault="003C5F9B" w:rsidP="001911DD">
            <w:pPr>
              <w:tabs>
                <w:tab w:val="decimal" w:pos="347"/>
              </w:tabs>
              <w:spacing w:before="40" w:after="40"/>
              <w:jc w:val="center"/>
              <w:rPr>
                <w:rFonts w:cs="Times New Roman"/>
                <w:sz w:val="22"/>
              </w:rPr>
            </w:pPr>
            <w:r w:rsidRPr="00661291">
              <w:rPr>
                <w:rFonts w:cs="Times New Roman"/>
                <w:b/>
                <w:bCs/>
                <w:sz w:val="22"/>
              </w:rPr>
              <w:t>-100</w:t>
            </w:r>
          </w:p>
        </w:tc>
        <w:tc>
          <w:tcPr>
            <w:tcW w:w="1017" w:type="dxa"/>
            <w:tcBorders>
              <w:top w:val="single" w:sz="4" w:space="0" w:color="auto"/>
            </w:tcBorders>
            <w:vAlign w:val="center"/>
            <w:hideMark/>
          </w:tcPr>
          <w:p w:rsidR="003C5F9B" w:rsidRPr="00661291" w:rsidRDefault="003C5F9B" w:rsidP="001911DD">
            <w:pPr>
              <w:tabs>
                <w:tab w:val="decimal" w:pos="347"/>
              </w:tabs>
              <w:spacing w:before="40" w:after="40"/>
              <w:jc w:val="center"/>
              <w:rPr>
                <w:rFonts w:cs="Times New Roman"/>
                <w:sz w:val="22"/>
              </w:rPr>
            </w:pPr>
            <w:r w:rsidRPr="00661291">
              <w:rPr>
                <w:rFonts w:cs="Times New Roman"/>
                <w:b/>
                <w:bCs/>
                <w:sz w:val="22"/>
              </w:rPr>
              <w:t>100</w:t>
            </w:r>
          </w:p>
        </w:tc>
      </w:tr>
      <w:tr w:rsidR="003C5F9B" w:rsidRPr="00661291" w:rsidTr="003C53B7">
        <w:trPr>
          <w:trHeight w:val="169"/>
          <w:jc w:val="center"/>
        </w:trPr>
        <w:tc>
          <w:tcPr>
            <w:tcW w:w="2799" w:type="dxa"/>
            <w:hideMark/>
          </w:tcPr>
          <w:p w:rsidR="003C5F9B" w:rsidRPr="00661291" w:rsidRDefault="003C5F9B" w:rsidP="002F02CF">
            <w:pPr>
              <w:spacing w:before="40" w:after="40"/>
              <w:rPr>
                <w:rFonts w:cs="Times New Roman"/>
                <w:sz w:val="22"/>
              </w:rPr>
            </w:pPr>
            <w:r w:rsidRPr="00661291">
              <w:rPr>
                <w:rFonts w:cs="Times New Roman"/>
                <w:sz w:val="22"/>
              </w:rPr>
              <w:t>Pārtikas rūpniecība</w:t>
            </w:r>
          </w:p>
        </w:tc>
        <w:tc>
          <w:tcPr>
            <w:tcW w:w="1016"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9,5</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-11,4</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25,5</w:t>
            </w:r>
          </w:p>
        </w:tc>
        <w:tc>
          <w:tcPr>
            <w:tcW w:w="1016"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14,9</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-8,3</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23,1</w:t>
            </w:r>
          </w:p>
        </w:tc>
      </w:tr>
      <w:tr w:rsidR="003C5F9B" w:rsidRPr="00661291" w:rsidTr="003C53B7">
        <w:trPr>
          <w:cnfStyle w:val="000000100000"/>
          <w:trHeight w:val="272"/>
          <w:jc w:val="center"/>
        </w:trPr>
        <w:tc>
          <w:tcPr>
            <w:tcW w:w="2799" w:type="dxa"/>
            <w:hideMark/>
          </w:tcPr>
          <w:p w:rsidR="003C5F9B" w:rsidRPr="00661291" w:rsidRDefault="003C5F9B" w:rsidP="002F02CF">
            <w:pPr>
              <w:spacing w:before="40" w:after="40"/>
              <w:rPr>
                <w:rFonts w:cs="Times New Roman"/>
                <w:sz w:val="22"/>
              </w:rPr>
            </w:pPr>
            <w:r w:rsidRPr="00661291">
              <w:rPr>
                <w:rFonts w:cs="Times New Roman"/>
                <w:sz w:val="22"/>
              </w:rPr>
              <w:t>Vieglā rūpniecība</w:t>
            </w:r>
          </w:p>
        </w:tc>
        <w:tc>
          <w:tcPr>
            <w:tcW w:w="1016"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17,2</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-44,8</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18,4</w:t>
            </w:r>
          </w:p>
        </w:tc>
        <w:tc>
          <w:tcPr>
            <w:tcW w:w="1016"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10,5</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-16,4</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4,3</w:t>
            </w:r>
          </w:p>
        </w:tc>
      </w:tr>
      <w:tr w:rsidR="003C5F9B" w:rsidRPr="00661291" w:rsidTr="003C53B7">
        <w:trPr>
          <w:trHeight w:val="93"/>
          <w:jc w:val="center"/>
        </w:trPr>
        <w:tc>
          <w:tcPr>
            <w:tcW w:w="2799" w:type="dxa"/>
            <w:hideMark/>
          </w:tcPr>
          <w:p w:rsidR="003C5F9B" w:rsidRPr="00661291" w:rsidRDefault="003C5F9B" w:rsidP="0006281D">
            <w:pPr>
              <w:spacing w:before="40" w:after="40"/>
              <w:rPr>
                <w:rFonts w:cs="Times New Roman"/>
                <w:sz w:val="22"/>
              </w:rPr>
            </w:pPr>
            <w:r w:rsidRPr="00661291">
              <w:rPr>
                <w:rFonts w:cs="Times New Roman"/>
                <w:sz w:val="22"/>
              </w:rPr>
              <w:t>Kok</w:t>
            </w:r>
            <w:r w:rsidR="0006281D">
              <w:rPr>
                <w:rFonts w:cs="Times New Roman"/>
                <w:sz w:val="22"/>
              </w:rPr>
              <w:t>rūpniecība</w:t>
            </w:r>
          </w:p>
        </w:tc>
        <w:tc>
          <w:tcPr>
            <w:tcW w:w="1016"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-4,1</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-17,4</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26,7</w:t>
            </w:r>
          </w:p>
        </w:tc>
        <w:tc>
          <w:tcPr>
            <w:tcW w:w="1016"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-7,3</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-13,8</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22,5</w:t>
            </w:r>
          </w:p>
        </w:tc>
      </w:tr>
      <w:tr w:rsidR="003C5F9B" w:rsidRPr="00661291" w:rsidTr="003C53B7">
        <w:trPr>
          <w:cnfStyle w:val="000000100000"/>
          <w:trHeight w:val="55"/>
          <w:jc w:val="center"/>
        </w:trPr>
        <w:tc>
          <w:tcPr>
            <w:tcW w:w="2799" w:type="dxa"/>
            <w:hideMark/>
          </w:tcPr>
          <w:p w:rsidR="003C5F9B" w:rsidRPr="00661291" w:rsidRDefault="003C5F9B" w:rsidP="002F02CF">
            <w:pPr>
              <w:spacing w:before="40" w:after="40"/>
              <w:rPr>
                <w:rFonts w:cs="Times New Roman"/>
                <w:sz w:val="22"/>
              </w:rPr>
            </w:pPr>
            <w:r w:rsidRPr="00661291">
              <w:rPr>
                <w:rFonts w:cs="Times New Roman"/>
                <w:sz w:val="22"/>
              </w:rPr>
              <w:t>Papīra ražošana un izdevējdarbība</w:t>
            </w:r>
          </w:p>
        </w:tc>
        <w:tc>
          <w:tcPr>
            <w:tcW w:w="1016"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21,6</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-21,1</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20,8</w:t>
            </w:r>
          </w:p>
        </w:tc>
        <w:tc>
          <w:tcPr>
            <w:tcW w:w="1016"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13,8</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-11,2</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6,8</w:t>
            </w:r>
          </w:p>
        </w:tc>
      </w:tr>
      <w:tr w:rsidR="003C5F9B" w:rsidRPr="00661291" w:rsidTr="003C53B7">
        <w:trPr>
          <w:trHeight w:val="37"/>
          <w:jc w:val="center"/>
        </w:trPr>
        <w:tc>
          <w:tcPr>
            <w:tcW w:w="2799" w:type="dxa"/>
            <w:hideMark/>
          </w:tcPr>
          <w:p w:rsidR="003C5F9B" w:rsidRPr="00661291" w:rsidRDefault="003C5F9B" w:rsidP="002F02CF">
            <w:pPr>
              <w:spacing w:before="40" w:after="40"/>
              <w:ind w:right="-151"/>
              <w:rPr>
                <w:rFonts w:cs="Times New Roman"/>
                <w:sz w:val="22"/>
              </w:rPr>
            </w:pPr>
            <w:r w:rsidRPr="00661291">
              <w:rPr>
                <w:rFonts w:cs="Times New Roman"/>
                <w:sz w:val="22"/>
              </w:rPr>
              <w:t>Ķīmiskā rūpniecība un tās saskarnozares</w:t>
            </w:r>
          </w:p>
        </w:tc>
        <w:tc>
          <w:tcPr>
            <w:tcW w:w="1016"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44,8</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-20,9</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31,6</w:t>
            </w:r>
          </w:p>
        </w:tc>
        <w:tc>
          <w:tcPr>
            <w:tcW w:w="1016"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27,1</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-13,0</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11,6</w:t>
            </w:r>
          </w:p>
        </w:tc>
      </w:tr>
      <w:tr w:rsidR="003C5F9B" w:rsidRPr="00661291" w:rsidTr="003C53B7">
        <w:trPr>
          <w:cnfStyle w:val="000000100000"/>
          <w:trHeight w:val="418"/>
          <w:jc w:val="center"/>
        </w:trPr>
        <w:tc>
          <w:tcPr>
            <w:tcW w:w="2799" w:type="dxa"/>
            <w:hideMark/>
          </w:tcPr>
          <w:p w:rsidR="003C5F9B" w:rsidRPr="00661291" w:rsidRDefault="003C5F9B" w:rsidP="002F02CF">
            <w:pPr>
              <w:spacing w:before="40" w:after="40"/>
              <w:rPr>
                <w:rFonts w:cs="Times New Roman"/>
                <w:sz w:val="22"/>
              </w:rPr>
            </w:pPr>
            <w:r w:rsidRPr="00661291">
              <w:rPr>
                <w:rFonts w:cs="Times New Roman"/>
                <w:sz w:val="22"/>
              </w:rPr>
              <w:t>Pārējo nemetālisko minerālu izstrādājumu ražošana</w:t>
            </w:r>
          </w:p>
        </w:tc>
        <w:tc>
          <w:tcPr>
            <w:tcW w:w="1016"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29,0</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-24,8</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14,6</w:t>
            </w:r>
          </w:p>
        </w:tc>
        <w:tc>
          <w:tcPr>
            <w:tcW w:w="1016"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12,3</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-8,4</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3,3</w:t>
            </w:r>
          </w:p>
        </w:tc>
      </w:tr>
      <w:tr w:rsidR="003C5F9B" w:rsidRPr="00661291" w:rsidTr="003C53B7">
        <w:trPr>
          <w:trHeight w:val="170"/>
          <w:jc w:val="center"/>
        </w:trPr>
        <w:tc>
          <w:tcPr>
            <w:tcW w:w="2799" w:type="dxa"/>
            <w:hideMark/>
          </w:tcPr>
          <w:p w:rsidR="003C5F9B" w:rsidRPr="00661291" w:rsidRDefault="003C5F9B" w:rsidP="002F02CF">
            <w:pPr>
              <w:spacing w:before="40" w:after="40"/>
              <w:rPr>
                <w:rFonts w:cs="Times New Roman"/>
                <w:sz w:val="22"/>
              </w:rPr>
            </w:pPr>
            <w:r w:rsidRPr="00661291">
              <w:rPr>
                <w:rFonts w:cs="Times New Roman"/>
                <w:sz w:val="22"/>
              </w:rPr>
              <w:t>Metāli un metālizstrādājumu ražošana</w:t>
            </w:r>
          </w:p>
        </w:tc>
        <w:tc>
          <w:tcPr>
            <w:tcW w:w="1016"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21,5</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-19,4</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21,9</w:t>
            </w:r>
          </w:p>
        </w:tc>
        <w:tc>
          <w:tcPr>
            <w:tcW w:w="1016"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14,9</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-9,6</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8,4</w:t>
            </w:r>
          </w:p>
        </w:tc>
      </w:tr>
      <w:tr w:rsidR="003C5F9B" w:rsidRPr="00661291" w:rsidTr="003C53B7">
        <w:trPr>
          <w:cnfStyle w:val="000000100000"/>
          <w:trHeight w:val="133"/>
          <w:jc w:val="center"/>
        </w:trPr>
        <w:tc>
          <w:tcPr>
            <w:tcW w:w="2799" w:type="dxa"/>
            <w:hideMark/>
          </w:tcPr>
          <w:p w:rsidR="003C5F9B" w:rsidRPr="00661291" w:rsidRDefault="003C5F9B" w:rsidP="002F02CF">
            <w:pPr>
              <w:spacing w:before="40" w:after="40"/>
              <w:rPr>
                <w:rFonts w:cs="Times New Roman"/>
                <w:sz w:val="22"/>
              </w:rPr>
            </w:pPr>
            <w:r w:rsidRPr="00661291">
              <w:rPr>
                <w:rFonts w:cs="Times New Roman"/>
                <w:sz w:val="22"/>
              </w:rPr>
              <w:t>Mašīnu un iekārtu ražošana</w:t>
            </w:r>
          </w:p>
        </w:tc>
        <w:tc>
          <w:tcPr>
            <w:tcW w:w="1016"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-3,6</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-50,9</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30,4</w:t>
            </w:r>
          </w:p>
        </w:tc>
        <w:tc>
          <w:tcPr>
            <w:tcW w:w="1016"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-1,0</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-7,2</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2,4</w:t>
            </w:r>
          </w:p>
        </w:tc>
      </w:tr>
      <w:tr w:rsidR="003C5F9B" w:rsidRPr="00661291" w:rsidTr="003C53B7">
        <w:trPr>
          <w:trHeight w:val="95"/>
          <w:jc w:val="center"/>
        </w:trPr>
        <w:tc>
          <w:tcPr>
            <w:tcW w:w="2799" w:type="dxa"/>
            <w:hideMark/>
          </w:tcPr>
          <w:p w:rsidR="003C5F9B" w:rsidRPr="00661291" w:rsidRDefault="003C5F9B" w:rsidP="002F02CF">
            <w:pPr>
              <w:spacing w:before="40" w:after="40"/>
              <w:rPr>
                <w:rFonts w:cs="Times New Roman"/>
                <w:sz w:val="22"/>
              </w:rPr>
            </w:pPr>
            <w:r w:rsidRPr="00661291">
              <w:rPr>
                <w:rFonts w:cs="Times New Roman"/>
                <w:sz w:val="22"/>
              </w:rPr>
              <w:t>Elektrisko un optisko iekārtu ražošana</w:t>
            </w:r>
          </w:p>
        </w:tc>
        <w:tc>
          <w:tcPr>
            <w:tcW w:w="1016"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24,5</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-7,0</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32,9</w:t>
            </w:r>
          </w:p>
        </w:tc>
        <w:tc>
          <w:tcPr>
            <w:tcW w:w="1016"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11,8</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-1,5</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10,9</w:t>
            </w:r>
          </w:p>
        </w:tc>
      </w:tr>
      <w:tr w:rsidR="003C5F9B" w:rsidRPr="00661291" w:rsidTr="003C53B7">
        <w:trPr>
          <w:cnfStyle w:val="000000100000"/>
          <w:trHeight w:val="199"/>
          <w:jc w:val="center"/>
        </w:trPr>
        <w:tc>
          <w:tcPr>
            <w:tcW w:w="2799" w:type="dxa"/>
            <w:hideMark/>
          </w:tcPr>
          <w:p w:rsidR="003C5F9B" w:rsidRPr="00661291" w:rsidRDefault="003C5F9B" w:rsidP="002F02CF">
            <w:pPr>
              <w:spacing w:before="40" w:after="40"/>
              <w:rPr>
                <w:rFonts w:cs="Times New Roman"/>
                <w:sz w:val="22"/>
              </w:rPr>
            </w:pPr>
            <w:r w:rsidRPr="00661291">
              <w:rPr>
                <w:rFonts w:cs="Times New Roman"/>
                <w:sz w:val="22"/>
              </w:rPr>
              <w:t>Transporta līdzekļu ražošana</w:t>
            </w:r>
          </w:p>
        </w:tc>
        <w:tc>
          <w:tcPr>
            <w:tcW w:w="1016"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4,5</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-24,1</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30,4</w:t>
            </w:r>
          </w:p>
        </w:tc>
        <w:tc>
          <w:tcPr>
            <w:tcW w:w="1016"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0,7</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-1,9</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2,2</w:t>
            </w:r>
          </w:p>
        </w:tc>
      </w:tr>
      <w:tr w:rsidR="003C5F9B" w:rsidRPr="00661291" w:rsidTr="003C53B7">
        <w:trPr>
          <w:trHeight w:val="161"/>
          <w:jc w:val="center"/>
        </w:trPr>
        <w:tc>
          <w:tcPr>
            <w:tcW w:w="2799" w:type="dxa"/>
            <w:hideMark/>
          </w:tcPr>
          <w:p w:rsidR="003C5F9B" w:rsidRPr="00661291" w:rsidRDefault="003C5F9B" w:rsidP="002F02CF">
            <w:pPr>
              <w:spacing w:before="40" w:after="40"/>
              <w:rPr>
                <w:rFonts w:cs="Times New Roman"/>
                <w:sz w:val="22"/>
              </w:rPr>
            </w:pPr>
            <w:r w:rsidRPr="00661291">
              <w:rPr>
                <w:rFonts w:cs="Times New Roman"/>
                <w:sz w:val="22"/>
              </w:rPr>
              <w:t>Pārējās rūpniecības nozares</w:t>
            </w:r>
          </w:p>
        </w:tc>
        <w:tc>
          <w:tcPr>
            <w:tcW w:w="1016"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5,4</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-37,7</w:t>
            </w:r>
          </w:p>
        </w:tc>
        <w:tc>
          <w:tcPr>
            <w:tcW w:w="1017" w:type="dxa"/>
            <w:vAlign w:val="center"/>
            <w:hideMark/>
          </w:tcPr>
          <w:p w:rsidR="003C5F9B" w:rsidRPr="003C53B7" w:rsidRDefault="003C5F9B" w:rsidP="003C53B7">
            <w:pPr>
              <w:tabs>
                <w:tab w:val="decimal" w:pos="267"/>
              </w:tabs>
              <w:spacing w:before="40" w:after="40"/>
              <w:jc w:val="center"/>
              <w:rPr>
                <w:rFonts w:eastAsia="Times New Roman" w:cs="Times New Roman"/>
                <w:sz w:val="20"/>
              </w:rPr>
            </w:pPr>
            <w:r w:rsidRPr="003C53B7">
              <w:rPr>
                <w:rFonts w:eastAsia="Times New Roman" w:cs="Times New Roman"/>
                <w:sz w:val="20"/>
              </w:rPr>
              <w:t>26,7</w:t>
            </w:r>
          </w:p>
        </w:tc>
        <w:tc>
          <w:tcPr>
            <w:tcW w:w="1016"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2,3</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-8,6</w:t>
            </w:r>
          </w:p>
        </w:tc>
        <w:tc>
          <w:tcPr>
            <w:tcW w:w="1017" w:type="dxa"/>
            <w:vAlign w:val="center"/>
            <w:hideMark/>
          </w:tcPr>
          <w:p w:rsidR="003C5F9B" w:rsidRPr="003C53B7" w:rsidRDefault="003C5F9B" w:rsidP="003C53B7">
            <w:pPr>
              <w:tabs>
                <w:tab w:val="decimal" w:pos="267"/>
                <w:tab w:val="decimal" w:pos="347"/>
              </w:tabs>
              <w:spacing w:before="40" w:after="40"/>
              <w:jc w:val="center"/>
              <w:rPr>
                <w:rFonts w:cs="Times New Roman"/>
                <w:sz w:val="20"/>
              </w:rPr>
            </w:pPr>
            <w:r w:rsidRPr="003C53B7">
              <w:rPr>
                <w:rFonts w:cs="Times New Roman"/>
                <w:sz w:val="20"/>
              </w:rPr>
              <w:t>4,5</w:t>
            </w:r>
          </w:p>
        </w:tc>
      </w:tr>
    </w:tbl>
    <w:p w:rsidR="008E433C" w:rsidRPr="00B454C8" w:rsidRDefault="008E433C" w:rsidP="008E433C">
      <w:pPr>
        <w:pStyle w:val="BodyTextIndent"/>
        <w:spacing w:before="120" w:after="0"/>
        <w:ind w:left="0" w:firstLine="567"/>
        <w:rPr>
          <w:bCs/>
          <w:sz w:val="16"/>
          <w:szCs w:val="16"/>
          <w:lang w:val="lv-LV"/>
        </w:rPr>
      </w:pPr>
      <w:r>
        <w:rPr>
          <w:bCs/>
          <w:sz w:val="16"/>
          <w:szCs w:val="16"/>
          <w:lang w:val="lv-LV"/>
        </w:rPr>
        <w:t>*</w:t>
      </w:r>
      <w:r w:rsidR="00BC2C1B" w:rsidRPr="00BC2C1B">
        <w:rPr>
          <w:bCs/>
          <w:sz w:val="16"/>
          <w:szCs w:val="16"/>
          <w:lang w:val="lv-LV"/>
        </w:rPr>
        <w:t xml:space="preserve"> </w:t>
      </w:r>
      <w:r w:rsidR="00BC2C1B" w:rsidRPr="00B454C8">
        <w:rPr>
          <w:bCs/>
          <w:sz w:val="16"/>
          <w:szCs w:val="16"/>
          <w:lang w:val="lv-LV"/>
        </w:rPr>
        <w:t>E</w:t>
      </w:r>
      <w:r w:rsidR="00BC2C1B">
        <w:rPr>
          <w:bCs/>
          <w:sz w:val="16"/>
          <w:szCs w:val="16"/>
          <w:lang w:val="lv-LV"/>
        </w:rPr>
        <w:t>konomikas ministrijas</w:t>
      </w:r>
      <w:r w:rsidRPr="00B454C8">
        <w:rPr>
          <w:bCs/>
          <w:sz w:val="16"/>
          <w:szCs w:val="16"/>
          <w:lang w:val="lv-LV"/>
        </w:rPr>
        <w:t xml:space="preserve"> novērtējums un prognozes</w:t>
      </w:r>
      <w:r w:rsidR="00540B54">
        <w:rPr>
          <w:bCs/>
          <w:sz w:val="16"/>
          <w:szCs w:val="16"/>
          <w:lang w:val="lv-LV"/>
        </w:rPr>
        <w:t xml:space="preserve">, </w:t>
      </w:r>
      <w:r w:rsidR="003C5F9B">
        <w:rPr>
          <w:bCs/>
          <w:sz w:val="16"/>
          <w:szCs w:val="16"/>
          <w:lang w:val="lv-LV"/>
        </w:rPr>
        <w:t>m</w:t>
      </w:r>
      <w:r w:rsidR="00540B54">
        <w:rPr>
          <w:bCs/>
          <w:sz w:val="16"/>
          <w:szCs w:val="16"/>
          <w:lang w:val="lv-LV"/>
        </w:rPr>
        <w:t>ērķa scenārijs</w:t>
      </w:r>
    </w:p>
    <w:p w:rsidR="008E433C" w:rsidRPr="00B454C8" w:rsidRDefault="00BC2C1B" w:rsidP="008E433C">
      <w:pPr>
        <w:pStyle w:val="BodyTextIndent"/>
        <w:spacing w:after="0"/>
        <w:ind w:left="0" w:firstLine="567"/>
        <w:rPr>
          <w:bCs/>
          <w:sz w:val="16"/>
          <w:szCs w:val="16"/>
          <w:lang w:val="lv-LV"/>
        </w:rPr>
      </w:pPr>
      <w:r>
        <w:rPr>
          <w:bCs/>
          <w:sz w:val="16"/>
          <w:szCs w:val="16"/>
          <w:lang w:val="lv-LV"/>
        </w:rPr>
        <w:t>Fakts</w:t>
      </w:r>
      <w:r w:rsidR="008E433C">
        <w:rPr>
          <w:bCs/>
          <w:sz w:val="16"/>
          <w:szCs w:val="16"/>
          <w:lang w:val="lv-LV"/>
        </w:rPr>
        <w:t>: CSP</w:t>
      </w:r>
    </w:p>
    <w:p w:rsidR="008E433C" w:rsidRPr="00EB5FEE" w:rsidRDefault="008E433C" w:rsidP="008E433C">
      <w:pPr>
        <w:rPr>
          <w:rFonts w:cs="Times New Roman"/>
          <w:sz w:val="16"/>
        </w:rPr>
      </w:pPr>
    </w:p>
    <w:p w:rsidR="008E433C" w:rsidRDefault="008E433C" w:rsidP="008E433C">
      <w:pPr>
        <w:spacing w:after="200" w:line="276" w:lineRule="auto"/>
        <w:rPr>
          <w:rFonts w:eastAsiaTheme="majorEastAsia" w:cstheme="majorBidi"/>
          <w:b/>
          <w:bCs/>
          <w:sz w:val="28"/>
          <w:szCs w:val="26"/>
        </w:rPr>
      </w:pPr>
      <w:bookmarkStart w:id="89" w:name="_Palielinot_nozares_izlaidi"/>
      <w:bookmarkStart w:id="90" w:name="_Toc239501380"/>
      <w:bookmarkEnd w:id="89"/>
      <w:r>
        <w:br w:type="page"/>
      </w:r>
    </w:p>
    <w:p w:rsidR="008E433C" w:rsidRPr="00EB5FEE" w:rsidRDefault="008E433C" w:rsidP="008E433C">
      <w:pPr>
        <w:pStyle w:val="Heading2"/>
      </w:pPr>
      <w:bookmarkStart w:id="91" w:name="_Toc242510397"/>
      <w:r w:rsidRPr="00EB5FEE">
        <w:lastRenderedPageBreak/>
        <w:t>1</w:t>
      </w:r>
      <w:r>
        <w:t>8</w:t>
      </w:r>
      <w:r w:rsidRPr="00EB5FEE">
        <w:t>.tabula</w:t>
      </w:r>
      <w:r>
        <w:t>. Apstrādes rūpniecības nozaru pieauguma pakārtotā efekta novērtējums, izmantojot pilnos izmaksu koeficientus</w:t>
      </w:r>
      <w:bookmarkEnd w:id="90"/>
      <w:bookmarkEnd w:id="91"/>
    </w:p>
    <w:p w:rsidR="008E433C" w:rsidRDefault="008E433C" w:rsidP="008E433C">
      <w:r w:rsidRPr="00653E62">
        <w:t xml:space="preserve">(IKP un citu </w:t>
      </w:r>
      <w:r>
        <w:t xml:space="preserve">tautsaimniecības </w:t>
      </w:r>
      <w:r w:rsidRPr="00653E62">
        <w:t>nozaru apjomu izmaiņas, palielinot nozares izlaidi par 1%)</w:t>
      </w:r>
      <w:r w:rsidR="001911DD">
        <w:t>*</w:t>
      </w:r>
    </w:p>
    <w:p w:rsidR="008E433C" w:rsidRPr="00653E62" w:rsidRDefault="008E433C" w:rsidP="008E433C"/>
    <w:tbl>
      <w:tblPr>
        <w:tblStyle w:val="LightShading1"/>
        <w:tblW w:w="8978" w:type="dxa"/>
        <w:jc w:val="center"/>
        <w:tblLook w:val="0400"/>
      </w:tblPr>
      <w:tblGrid>
        <w:gridCol w:w="2868"/>
        <w:gridCol w:w="1527"/>
        <w:gridCol w:w="1528"/>
        <w:gridCol w:w="1527"/>
        <w:gridCol w:w="1528"/>
      </w:tblGrid>
      <w:tr w:rsidR="008E433C" w:rsidRPr="00661291" w:rsidTr="002F02CF">
        <w:trPr>
          <w:cnfStyle w:val="000000100000"/>
          <w:trHeight w:val="350"/>
          <w:jc w:val="center"/>
        </w:trPr>
        <w:tc>
          <w:tcPr>
            <w:tcW w:w="2868" w:type="dxa"/>
            <w:tcBorders>
              <w:top w:val="single" w:sz="8" w:space="0" w:color="000000" w:themeColor="text1"/>
              <w:bottom w:val="single" w:sz="4" w:space="0" w:color="auto"/>
            </w:tcBorders>
            <w:vAlign w:val="center"/>
            <w:hideMark/>
          </w:tcPr>
          <w:p w:rsidR="008E433C" w:rsidRPr="00661291" w:rsidRDefault="008E433C" w:rsidP="002F02CF">
            <w:pPr>
              <w:spacing w:before="40" w:after="40"/>
              <w:rPr>
                <w:rFonts w:cs="Times New Roman"/>
                <w:sz w:val="22"/>
              </w:rPr>
            </w:pPr>
            <w:r w:rsidRPr="00661291">
              <w:rPr>
                <w:rFonts w:cs="Times New Roman"/>
                <w:b/>
                <w:bCs/>
                <w:sz w:val="22"/>
              </w:rPr>
              <w:t>Nozare</w:t>
            </w:r>
          </w:p>
        </w:tc>
        <w:tc>
          <w:tcPr>
            <w:tcW w:w="1527" w:type="dxa"/>
            <w:tcBorders>
              <w:top w:val="single" w:sz="8" w:space="0" w:color="000000" w:themeColor="text1"/>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 xml:space="preserve">IKP pieaug </w:t>
            </w:r>
            <w:r w:rsidRPr="00661291">
              <w:rPr>
                <w:rFonts w:cs="Times New Roman"/>
                <w:b/>
                <w:bCs/>
                <w:sz w:val="22"/>
              </w:rPr>
              <w:br/>
              <w:t>par ...</w:t>
            </w:r>
          </w:p>
        </w:tc>
        <w:tc>
          <w:tcPr>
            <w:tcW w:w="1528" w:type="dxa"/>
            <w:tcBorders>
              <w:top w:val="single" w:sz="8" w:space="0" w:color="000000" w:themeColor="text1"/>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Primārās nozares par ...</w:t>
            </w:r>
          </w:p>
        </w:tc>
        <w:tc>
          <w:tcPr>
            <w:tcW w:w="1527" w:type="dxa"/>
            <w:tcBorders>
              <w:top w:val="single" w:sz="8" w:space="0" w:color="000000" w:themeColor="text1"/>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Apstrādes rūpniecība</w:t>
            </w:r>
            <w:r w:rsidRPr="00661291">
              <w:rPr>
                <w:rFonts w:cs="Times New Roman"/>
                <w:b/>
                <w:bCs/>
                <w:sz w:val="22"/>
              </w:rPr>
              <w:br/>
              <w:t>par ...</w:t>
            </w:r>
          </w:p>
        </w:tc>
        <w:tc>
          <w:tcPr>
            <w:tcW w:w="1528" w:type="dxa"/>
            <w:tcBorders>
              <w:top w:val="single" w:sz="8" w:space="0" w:color="000000" w:themeColor="text1"/>
              <w:bottom w:val="single" w:sz="4" w:space="0" w:color="auto"/>
            </w:tcBorders>
            <w:vAlign w:val="center"/>
            <w:hideMark/>
          </w:tcPr>
          <w:p w:rsidR="008E433C" w:rsidRPr="00661291" w:rsidRDefault="008E433C" w:rsidP="002F02CF">
            <w:pPr>
              <w:spacing w:before="40" w:after="40"/>
              <w:jc w:val="center"/>
              <w:rPr>
                <w:rFonts w:cs="Times New Roman"/>
                <w:sz w:val="22"/>
              </w:rPr>
            </w:pPr>
            <w:r w:rsidRPr="00661291">
              <w:rPr>
                <w:rFonts w:cs="Times New Roman"/>
                <w:b/>
                <w:bCs/>
                <w:sz w:val="22"/>
              </w:rPr>
              <w:t>Pakalpojumi</w:t>
            </w:r>
            <w:r w:rsidRPr="00661291">
              <w:rPr>
                <w:rFonts w:cs="Times New Roman"/>
                <w:b/>
                <w:bCs/>
                <w:sz w:val="22"/>
              </w:rPr>
              <w:br/>
              <w:t>par ...</w:t>
            </w:r>
          </w:p>
        </w:tc>
      </w:tr>
      <w:tr w:rsidR="008E433C" w:rsidRPr="00661291" w:rsidTr="003C53B7">
        <w:trPr>
          <w:trHeight w:val="63"/>
          <w:jc w:val="center"/>
        </w:trPr>
        <w:tc>
          <w:tcPr>
            <w:tcW w:w="2868" w:type="dxa"/>
            <w:tcBorders>
              <w:top w:val="single" w:sz="4" w:space="0" w:color="auto"/>
            </w:tcBorders>
            <w:hideMark/>
          </w:tcPr>
          <w:p w:rsidR="008E433C" w:rsidRPr="00661291" w:rsidRDefault="008E433C" w:rsidP="002F02CF">
            <w:pPr>
              <w:spacing w:before="40" w:after="40"/>
              <w:rPr>
                <w:rFonts w:cs="Times New Roman"/>
                <w:sz w:val="22"/>
              </w:rPr>
            </w:pPr>
            <w:r w:rsidRPr="00661291">
              <w:rPr>
                <w:rFonts w:cs="Times New Roman"/>
                <w:sz w:val="22"/>
              </w:rPr>
              <w:t xml:space="preserve">Pārtikas rūpniecība </w:t>
            </w:r>
          </w:p>
        </w:tc>
        <w:tc>
          <w:tcPr>
            <w:tcW w:w="1527" w:type="dxa"/>
            <w:tcBorders>
              <w:top w:val="single" w:sz="4" w:space="0" w:color="auto"/>
            </w:tcBorders>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0,081</w:t>
            </w:r>
          </w:p>
        </w:tc>
        <w:tc>
          <w:tcPr>
            <w:tcW w:w="1528" w:type="dxa"/>
            <w:tcBorders>
              <w:top w:val="single" w:sz="4" w:space="0" w:color="auto"/>
            </w:tcBorders>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0,086</w:t>
            </w:r>
          </w:p>
        </w:tc>
        <w:tc>
          <w:tcPr>
            <w:tcW w:w="1527" w:type="dxa"/>
            <w:tcBorders>
              <w:top w:val="single" w:sz="4" w:space="0" w:color="auto"/>
            </w:tcBorders>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0,210</w:t>
            </w:r>
          </w:p>
        </w:tc>
        <w:tc>
          <w:tcPr>
            <w:tcW w:w="1528" w:type="dxa"/>
            <w:tcBorders>
              <w:top w:val="single" w:sz="4" w:space="0" w:color="auto"/>
            </w:tcBorders>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0,086</w:t>
            </w:r>
          </w:p>
        </w:tc>
      </w:tr>
      <w:tr w:rsidR="008E433C" w:rsidRPr="00661291" w:rsidTr="003C53B7">
        <w:trPr>
          <w:cnfStyle w:val="000000100000"/>
          <w:trHeight w:val="154"/>
          <w:jc w:val="center"/>
        </w:trPr>
        <w:tc>
          <w:tcPr>
            <w:tcW w:w="2868" w:type="dxa"/>
            <w:hideMark/>
          </w:tcPr>
          <w:p w:rsidR="008E433C" w:rsidRPr="00661291" w:rsidRDefault="008E433C" w:rsidP="002F02CF">
            <w:pPr>
              <w:spacing w:before="40" w:after="40"/>
              <w:rPr>
                <w:rFonts w:cs="Times New Roman"/>
                <w:sz w:val="22"/>
              </w:rPr>
            </w:pPr>
            <w:r w:rsidRPr="00661291">
              <w:rPr>
                <w:rFonts w:cs="Times New Roman"/>
                <w:sz w:val="22"/>
              </w:rPr>
              <w:t xml:space="preserve">Vieglā rūpniecība </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0,035</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0,001</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0,109</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0,032</w:t>
            </w:r>
          </w:p>
        </w:tc>
      </w:tr>
      <w:tr w:rsidR="008E433C" w:rsidRPr="00661291" w:rsidTr="003C53B7">
        <w:trPr>
          <w:trHeight w:val="168"/>
          <w:jc w:val="center"/>
        </w:trPr>
        <w:tc>
          <w:tcPr>
            <w:tcW w:w="2868" w:type="dxa"/>
            <w:hideMark/>
          </w:tcPr>
          <w:p w:rsidR="008E433C" w:rsidRPr="00661291" w:rsidRDefault="008E433C" w:rsidP="0006281D">
            <w:pPr>
              <w:spacing w:before="40" w:after="40"/>
              <w:rPr>
                <w:rFonts w:cs="Times New Roman"/>
                <w:sz w:val="22"/>
              </w:rPr>
            </w:pPr>
            <w:r w:rsidRPr="00661291">
              <w:rPr>
                <w:rFonts w:cs="Times New Roman"/>
                <w:sz w:val="22"/>
              </w:rPr>
              <w:t>Kok</w:t>
            </w:r>
            <w:r w:rsidR="0006281D">
              <w:rPr>
                <w:rFonts w:cs="Times New Roman"/>
                <w:sz w:val="22"/>
              </w:rPr>
              <w:t>rūpniecība</w:t>
            </w:r>
            <w:r w:rsidRPr="00661291">
              <w:rPr>
                <w:rFonts w:cs="Times New Roman"/>
                <w:sz w:val="22"/>
              </w:rPr>
              <w:t xml:space="preserve"> </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0,086</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0,068</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0,202</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0,096</w:t>
            </w:r>
          </w:p>
        </w:tc>
      </w:tr>
      <w:tr w:rsidR="008E433C" w:rsidRPr="00661291" w:rsidTr="003C53B7">
        <w:trPr>
          <w:cnfStyle w:val="000000100000"/>
          <w:trHeight w:val="287"/>
          <w:jc w:val="center"/>
        </w:trPr>
        <w:tc>
          <w:tcPr>
            <w:tcW w:w="2868" w:type="dxa"/>
            <w:hideMark/>
          </w:tcPr>
          <w:p w:rsidR="008E433C" w:rsidRPr="00661291" w:rsidRDefault="008E433C" w:rsidP="002F02CF">
            <w:pPr>
              <w:spacing w:before="40" w:after="40"/>
              <w:rPr>
                <w:rFonts w:cs="Times New Roman"/>
                <w:sz w:val="22"/>
              </w:rPr>
            </w:pPr>
            <w:r w:rsidRPr="00661291">
              <w:rPr>
                <w:rFonts w:cs="Times New Roman"/>
                <w:sz w:val="22"/>
              </w:rPr>
              <w:t xml:space="preserve">Papīra ražošana un poligrāfija </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0,051</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0,001</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0,099</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0,066</w:t>
            </w:r>
          </w:p>
        </w:tc>
      </w:tr>
      <w:tr w:rsidR="008E433C" w:rsidRPr="00661291" w:rsidTr="003C53B7">
        <w:trPr>
          <w:trHeight w:val="249"/>
          <w:jc w:val="center"/>
        </w:trPr>
        <w:tc>
          <w:tcPr>
            <w:tcW w:w="2868" w:type="dxa"/>
            <w:hideMark/>
          </w:tcPr>
          <w:p w:rsidR="008E433C" w:rsidRPr="00661291" w:rsidRDefault="008E433C" w:rsidP="002F02CF">
            <w:pPr>
              <w:spacing w:before="40" w:after="40"/>
              <w:ind w:right="-76"/>
              <w:rPr>
                <w:rFonts w:cs="Times New Roman"/>
                <w:sz w:val="22"/>
              </w:rPr>
            </w:pPr>
            <w:r w:rsidRPr="00661291">
              <w:rPr>
                <w:rFonts w:cs="Times New Roman"/>
                <w:sz w:val="22"/>
              </w:rPr>
              <w:t>Ķīmiskā rūpniecība un tās saskarnozares</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0,032</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0,001</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0,079</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0,035</w:t>
            </w:r>
          </w:p>
        </w:tc>
      </w:tr>
      <w:tr w:rsidR="008E433C" w:rsidRPr="00661291" w:rsidTr="003C53B7">
        <w:trPr>
          <w:cnfStyle w:val="000000100000"/>
          <w:trHeight w:val="210"/>
          <w:jc w:val="center"/>
        </w:trPr>
        <w:tc>
          <w:tcPr>
            <w:tcW w:w="2868" w:type="dxa"/>
            <w:hideMark/>
          </w:tcPr>
          <w:p w:rsidR="008E433C" w:rsidRPr="00661291" w:rsidRDefault="008E433C" w:rsidP="002F02CF">
            <w:pPr>
              <w:spacing w:before="40" w:after="40"/>
              <w:rPr>
                <w:rFonts w:cs="Times New Roman"/>
                <w:sz w:val="22"/>
              </w:rPr>
            </w:pPr>
            <w:r w:rsidRPr="00661291">
              <w:rPr>
                <w:rFonts w:cs="Times New Roman"/>
                <w:sz w:val="22"/>
              </w:rPr>
              <w:t xml:space="preserve">Nemetālisko minerālu ražošana </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0,057</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0,002</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0,040</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0,080</w:t>
            </w:r>
          </w:p>
        </w:tc>
      </w:tr>
      <w:tr w:rsidR="008E433C" w:rsidRPr="00661291" w:rsidTr="003C53B7">
        <w:trPr>
          <w:trHeight w:val="173"/>
          <w:jc w:val="center"/>
        </w:trPr>
        <w:tc>
          <w:tcPr>
            <w:tcW w:w="2868" w:type="dxa"/>
            <w:hideMark/>
          </w:tcPr>
          <w:p w:rsidR="008E433C" w:rsidRPr="00661291" w:rsidRDefault="008E433C" w:rsidP="002F02CF">
            <w:pPr>
              <w:spacing w:before="40" w:after="40"/>
              <w:rPr>
                <w:rFonts w:cs="Times New Roman"/>
                <w:sz w:val="22"/>
              </w:rPr>
            </w:pPr>
            <w:r w:rsidRPr="00661291">
              <w:rPr>
                <w:rFonts w:cs="Times New Roman"/>
                <w:sz w:val="22"/>
              </w:rPr>
              <w:t xml:space="preserve">Metālapstrāde </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0,044</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0,001</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0,094</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0,052</w:t>
            </w:r>
          </w:p>
        </w:tc>
      </w:tr>
      <w:tr w:rsidR="008E433C" w:rsidRPr="00661291" w:rsidTr="003C53B7">
        <w:trPr>
          <w:cnfStyle w:val="000000100000"/>
          <w:trHeight w:val="134"/>
          <w:jc w:val="center"/>
        </w:trPr>
        <w:tc>
          <w:tcPr>
            <w:tcW w:w="2868" w:type="dxa"/>
            <w:hideMark/>
          </w:tcPr>
          <w:p w:rsidR="008E433C" w:rsidRPr="00661291" w:rsidRDefault="008E433C" w:rsidP="002F02CF">
            <w:pPr>
              <w:spacing w:before="40" w:after="40"/>
              <w:rPr>
                <w:rFonts w:cs="Times New Roman"/>
                <w:sz w:val="22"/>
              </w:rPr>
            </w:pPr>
            <w:r w:rsidRPr="00661291">
              <w:rPr>
                <w:rFonts w:cs="Times New Roman"/>
                <w:sz w:val="22"/>
              </w:rPr>
              <w:t xml:space="preserve">Mašīnu un iekārtu ražošana </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0,044</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0,002</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0,056</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0,058</w:t>
            </w:r>
          </w:p>
        </w:tc>
      </w:tr>
      <w:tr w:rsidR="008E433C" w:rsidRPr="00661291" w:rsidTr="003C53B7">
        <w:trPr>
          <w:trHeight w:val="239"/>
          <w:jc w:val="center"/>
        </w:trPr>
        <w:tc>
          <w:tcPr>
            <w:tcW w:w="2868" w:type="dxa"/>
            <w:hideMark/>
          </w:tcPr>
          <w:p w:rsidR="008E433C" w:rsidRPr="00661291" w:rsidRDefault="008E433C" w:rsidP="002F02CF">
            <w:pPr>
              <w:spacing w:before="40" w:after="40"/>
              <w:rPr>
                <w:rFonts w:cs="Times New Roman"/>
                <w:sz w:val="22"/>
              </w:rPr>
            </w:pPr>
            <w:r w:rsidRPr="00661291">
              <w:rPr>
                <w:rFonts w:cs="Times New Roman"/>
                <w:sz w:val="22"/>
              </w:rPr>
              <w:t xml:space="preserve">Elektrisko un optisko iekārtu ražošana </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0,050</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0,001</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0,048</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0,071</w:t>
            </w:r>
          </w:p>
        </w:tc>
      </w:tr>
      <w:tr w:rsidR="008E433C" w:rsidRPr="00661291" w:rsidTr="003C53B7">
        <w:trPr>
          <w:cnfStyle w:val="000000100000"/>
          <w:trHeight w:val="200"/>
          <w:jc w:val="center"/>
        </w:trPr>
        <w:tc>
          <w:tcPr>
            <w:tcW w:w="2868" w:type="dxa"/>
            <w:hideMark/>
          </w:tcPr>
          <w:p w:rsidR="008E433C" w:rsidRPr="00661291" w:rsidRDefault="008E433C" w:rsidP="002F02CF">
            <w:pPr>
              <w:spacing w:before="40" w:after="40"/>
              <w:rPr>
                <w:rFonts w:cs="Times New Roman"/>
                <w:sz w:val="22"/>
              </w:rPr>
            </w:pPr>
            <w:r w:rsidRPr="00661291">
              <w:rPr>
                <w:rFonts w:cs="Times New Roman"/>
                <w:sz w:val="22"/>
              </w:rPr>
              <w:t xml:space="preserve">Transportlīdzekļu ražošana </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0,053</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0,001</w:t>
            </w:r>
          </w:p>
        </w:tc>
        <w:tc>
          <w:tcPr>
            <w:tcW w:w="1527"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0,039</w:t>
            </w:r>
          </w:p>
        </w:tc>
        <w:tc>
          <w:tcPr>
            <w:tcW w:w="1528" w:type="dxa"/>
            <w:vAlign w:val="center"/>
            <w:hideMark/>
          </w:tcPr>
          <w:p w:rsidR="008E433C" w:rsidRPr="003C53B7" w:rsidRDefault="008E433C" w:rsidP="003C53B7">
            <w:pPr>
              <w:tabs>
                <w:tab w:val="decimal" w:pos="568"/>
              </w:tabs>
              <w:spacing w:before="40" w:after="40"/>
              <w:jc w:val="center"/>
              <w:rPr>
                <w:rFonts w:cs="Times New Roman"/>
                <w:sz w:val="20"/>
              </w:rPr>
            </w:pPr>
            <w:r w:rsidRPr="003C53B7">
              <w:rPr>
                <w:rFonts w:cs="Times New Roman"/>
                <w:sz w:val="20"/>
              </w:rPr>
              <w:t>0,079</w:t>
            </w:r>
          </w:p>
        </w:tc>
      </w:tr>
    </w:tbl>
    <w:p w:rsidR="008E433C" w:rsidRPr="00B454C8" w:rsidRDefault="008E433C" w:rsidP="008E433C">
      <w:pPr>
        <w:pStyle w:val="BodyTextIndent"/>
        <w:spacing w:before="120" w:after="0"/>
        <w:ind w:left="0" w:firstLine="284"/>
        <w:rPr>
          <w:bCs/>
          <w:sz w:val="16"/>
          <w:szCs w:val="16"/>
          <w:lang w:val="lv-LV"/>
        </w:rPr>
      </w:pPr>
      <w:bookmarkStart w:id="92" w:name="_50_lielāko_eksportētāju"/>
      <w:bookmarkEnd w:id="92"/>
      <w:r>
        <w:rPr>
          <w:bCs/>
          <w:sz w:val="16"/>
          <w:szCs w:val="16"/>
          <w:lang w:val="lv-LV"/>
        </w:rPr>
        <w:t>*</w:t>
      </w:r>
      <w:r w:rsidR="00BC2C1B" w:rsidRPr="00BC2C1B">
        <w:rPr>
          <w:bCs/>
          <w:sz w:val="16"/>
          <w:szCs w:val="16"/>
          <w:lang w:val="lv-LV"/>
        </w:rPr>
        <w:t xml:space="preserve"> </w:t>
      </w:r>
      <w:r w:rsidR="00BC2C1B" w:rsidRPr="00B454C8">
        <w:rPr>
          <w:bCs/>
          <w:sz w:val="16"/>
          <w:szCs w:val="16"/>
          <w:lang w:val="lv-LV"/>
        </w:rPr>
        <w:t>E</w:t>
      </w:r>
      <w:r w:rsidR="00BC2C1B">
        <w:rPr>
          <w:bCs/>
          <w:sz w:val="16"/>
          <w:szCs w:val="16"/>
          <w:lang w:val="lv-LV"/>
        </w:rPr>
        <w:t>konomikas ministrijas</w:t>
      </w:r>
      <w:r w:rsidRPr="00B454C8">
        <w:rPr>
          <w:bCs/>
          <w:sz w:val="16"/>
          <w:szCs w:val="16"/>
          <w:lang w:val="lv-LV"/>
        </w:rPr>
        <w:t xml:space="preserve"> </w:t>
      </w:r>
      <w:r>
        <w:rPr>
          <w:bCs/>
          <w:sz w:val="16"/>
          <w:szCs w:val="16"/>
          <w:lang w:val="lv-LV"/>
        </w:rPr>
        <w:t>aprēķini;</w:t>
      </w:r>
    </w:p>
    <w:p w:rsidR="008E433C" w:rsidRPr="00B454C8" w:rsidRDefault="008E433C" w:rsidP="008E433C">
      <w:pPr>
        <w:pStyle w:val="BodyTextIndent"/>
        <w:spacing w:after="0"/>
        <w:ind w:left="0" w:firstLine="284"/>
        <w:rPr>
          <w:bCs/>
          <w:sz w:val="16"/>
          <w:szCs w:val="16"/>
          <w:lang w:val="lv-LV"/>
        </w:rPr>
      </w:pPr>
      <w:r>
        <w:rPr>
          <w:bCs/>
          <w:sz w:val="16"/>
          <w:szCs w:val="16"/>
          <w:lang w:val="lv-LV"/>
        </w:rPr>
        <w:t>Avots: CSP</w:t>
      </w:r>
    </w:p>
    <w:p w:rsidR="008E433C" w:rsidRDefault="008E433C" w:rsidP="008E433C">
      <w:pPr>
        <w:jc w:val="right"/>
        <w:rPr>
          <w:sz w:val="28"/>
        </w:rPr>
      </w:pPr>
    </w:p>
    <w:p w:rsidR="008E433C" w:rsidRDefault="008E433C" w:rsidP="008E433C">
      <w:pPr>
        <w:rPr>
          <w:sz w:val="28"/>
        </w:rPr>
      </w:pPr>
    </w:p>
    <w:p w:rsidR="008E433C" w:rsidRDefault="008E433C" w:rsidP="00AB43F2">
      <w:pPr>
        <w:rPr>
          <w:sz w:val="28"/>
        </w:rPr>
      </w:pPr>
    </w:p>
    <w:p w:rsidR="008E433C" w:rsidRDefault="008E433C" w:rsidP="00AB43F2">
      <w:pPr>
        <w:rPr>
          <w:sz w:val="28"/>
        </w:rPr>
      </w:pPr>
    </w:p>
    <w:p w:rsidR="00AB43F2" w:rsidRPr="0088758F" w:rsidRDefault="00AB43F2" w:rsidP="00AB43F2">
      <w:pPr>
        <w:rPr>
          <w:sz w:val="28"/>
        </w:rPr>
      </w:pPr>
      <w:r w:rsidRPr="0088758F">
        <w:rPr>
          <w:sz w:val="28"/>
        </w:rPr>
        <w:t>Ekonomikas ministrs</w:t>
      </w:r>
      <w:r w:rsidRPr="0088758F">
        <w:rPr>
          <w:sz w:val="28"/>
        </w:rPr>
        <w:tab/>
      </w:r>
      <w:r w:rsidRPr="0088758F">
        <w:rPr>
          <w:sz w:val="28"/>
        </w:rPr>
        <w:tab/>
      </w:r>
      <w:r w:rsidRPr="0088758F">
        <w:rPr>
          <w:sz w:val="28"/>
        </w:rPr>
        <w:tab/>
      </w:r>
      <w:r w:rsidRPr="0088758F">
        <w:rPr>
          <w:sz w:val="28"/>
        </w:rPr>
        <w:tab/>
      </w:r>
      <w:r w:rsidRPr="0088758F">
        <w:rPr>
          <w:sz w:val="28"/>
        </w:rPr>
        <w:tab/>
      </w:r>
      <w:r w:rsidRPr="0088758F">
        <w:rPr>
          <w:sz w:val="28"/>
        </w:rPr>
        <w:tab/>
      </w:r>
      <w:r w:rsidRPr="0088758F">
        <w:rPr>
          <w:sz w:val="28"/>
        </w:rPr>
        <w:tab/>
        <w:t>A.Kampars</w:t>
      </w:r>
    </w:p>
    <w:p w:rsidR="0056279F" w:rsidRDefault="0056279F" w:rsidP="00AB43F2">
      <w:pPr>
        <w:jc w:val="both"/>
        <w:rPr>
          <w:sz w:val="28"/>
        </w:rPr>
      </w:pPr>
    </w:p>
    <w:p w:rsidR="00DB2696" w:rsidRPr="0088758F" w:rsidRDefault="00DB2696" w:rsidP="00AB43F2">
      <w:pPr>
        <w:jc w:val="both"/>
        <w:rPr>
          <w:sz w:val="28"/>
        </w:rPr>
      </w:pPr>
    </w:p>
    <w:p w:rsidR="003040B1" w:rsidRDefault="003040B1" w:rsidP="00AB43F2">
      <w:pPr>
        <w:jc w:val="both"/>
        <w:rPr>
          <w:sz w:val="28"/>
        </w:rPr>
      </w:pPr>
    </w:p>
    <w:p w:rsidR="008E433C" w:rsidRDefault="008E433C" w:rsidP="00AB43F2">
      <w:pPr>
        <w:jc w:val="both"/>
        <w:rPr>
          <w:sz w:val="28"/>
        </w:rPr>
      </w:pPr>
    </w:p>
    <w:p w:rsidR="00AB43F2" w:rsidRPr="0088758F" w:rsidRDefault="00AB43F2" w:rsidP="00AB43F2">
      <w:pPr>
        <w:jc w:val="both"/>
        <w:rPr>
          <w:sz w:val="20"/>
        </w:rPr>
      </w:pPr>
      <w:r w:rsidRPr="0088758F">
        <w:rPr>
          <w:sz w:val="28"/>
        </w:rPr>
        <w:t>Vīza: Valsts sekretārs</w:t>
      </w:r>
      <w:r w:rsidRPr="0088758F">
        <w:rPr>
          <w:sz w:val="28"/>
        </w:rPr>
        <w:tab/>
      </w:r>
      <w:r w:rsidRPr="0088758F">
        <w:rPr>
          <w:sz w:val="28"/>
        </w:rPr>
        <w:tab/>
      </w:r>
      <w:r w:rsidRPr="0088758F">
        <w:rPr>
          <w:sz w:val="28"/>
        </w:rPr>
        <w:tab/>
      </w:r>
      <w:r w:rsidRPr="0088758F">
        <w:rPr>
          <w:sz w:val="28"/>
        </w:rPr>
        <w:tab/>
      </w:r>
      <w:r w:rsidRPr="0088758F">
        <w:rPr>
          <w:sz w:val="28"/>
        </w:rPr>
        <w:tab/>
      </w:r>
      <w:r w:rsidRPr="0088758F">
        <w:rPr>
          <w:sz w:val="28"/>
        </w:rPr>
        <w:tab/>
      </w:r>
      <w:r w:rsidRPr="0088758F">
        <w:rPr>
          <w:sz w:val="28"/>
        </w:rPr>
        <w:tab/>
        <w:t>A.Matīss</w:t>
      </w:r>
    </w:p>
    <w:p w:rsidR="00AB43F2" w:rsidRPr="0088758F" w:rsidRDefault="00AB43F2" w:rsidP="00AB43F2">
      <w:pPr>
        <w:pStyle w:val="Subtitle"/>
        <w:widowControl/>
        <w:spacing w:before="0" w:after="0"/>
        <w:rPr>
          <w:b w:val="0"/>
          <w:sz w:val="20"/>
          <w:lang w:val="lv-LV"/>
        </w:rPr>
      </w:pPr>
    </w:p>
    <w:p w:rsidR="002E6A9A" w:rsidRDefault="002E6A9A" w:rsidP="002E6A9A">
      <w:pPr>
        <w:rPr>
          <w:sz w:val="20"/>
          <w:szCs w:val="20"/>
        </w:rPr>
      </w:pPr>
    </w:p>
    <w:p w:rsidR="00DB2696" w:rsidRDefault="00DB2696" w:rsidP="002E6A9A">
      <w:pPr>
        <w:rPr>
          <w:sz w:val="20"/>
          <w:szCs w:val="20"/>
        </w:rPr>
      </w:pPr>
    </w:p>
    <w:p w:rsidR="00DB2696" w:rsidRDefault="00DB2696" w:rsidP="002E6A9A">
      <w:pPr>
        <w:rPr>
          <w:sz w:val="20"/>
          <w:szCs w:val="20"/>
        </w:rPr>
      </w:pPr>
    </w:p>
    <w:p w:rsidR="003040B1" w:rsidRDefault="003040B1" w:rsidP="002E6A9A">
      <w:pPr>
        <w:rPr>
          <w:sz w:val="20"/>
          <w:szCs w:val="18"/>
        </w:rPr>
      </w:pPr>
    </w:p>
    <w:p w:rsidR="003040B1" w:rsidRDefault="003040B1" w:rsidP="002E6A9A">
      <w:pPr>
        <w:rPr>
          <w:sz w:val="20"/>
          <w:szCs w:val="18"/>
        </w:rPr>
      </w:pPr>
    </w:p>
    <w:p w:rsidR="003040B1" w:rsidRDefault="003040B1" w:rsidP="002E6A9A">
      <w:pPr>
        <w:rPr>
          <w:sz w:val="20"/>
          <w:szCs w:val="18"/>
        </w:rPr>
      </w:pPr>
    </w:p>
    <w:p w:rsidR="003040B1" w:rsidRDefault="003040B1" w:rsidP="002E6A9A">
      <w:pPr>
        <w:rPr>
          <w:sz w:val="20"/>
          <w:szCs w:val="18"/>
        </w:rPr>
      </w:pPr>
    </w:p>
    <w:p w:rsidR="003040B1" w:rsidRDefault="003040B1" w:rsidP="002E6A9A">
      <w:pPr>
        <w:rPr>
          <w:sz w:val="20"/>
          <w:szCs w:val="18"/>
        </w:rPr>
      </w:pPr>
    </w:p>
    <w:p w:rsidR="003040B1" w:rsidRDefault="003040B1" w:rsidP="002E6A9A">
      <w:pPr>
        <w:rPr>
          <w:sz w:val="20"/>
          <w:szCs w:val="18"/>
        </w:rPr>
      </w:pPr>
    </w:p>
    <w:p w:rsidR="008E433C" w:rsidRDefault="008E433C" w:rsidP="002E6A9A">
      <w:pPr>
        <w:rPr>
          <w:sz w:val="20"/>
          <w:szCs w:val="18"/>
        </w:rPr>
      </w:pPr>
    </w:p>
    <w:p w:rsidR="0040409F" w:rsidRDefault="0040409F" w:rsidP="002E6A9A">
      <w:pPr>
        <w:rPr>
          <w:sz w:val="20"/>
          <w:szCs w:val="18"/>
        </w:rPr>
      </w:pPr>
    </w:p>
    <w:p w:rsidR="0040409F" w:rsidRDefault="0040409F" w:rsidP="002E6A9A">
      <w:pPr>
        <w:rPr>
          <w:sz w:val="20"/>
          <w:szCs w:val="18"/>
        </w:rPr>
      </w:pPr>
    </w:p>
    <w:p w:rsidR="008E433C" w:rsidRDefault="008E433C" w:rsidP="002E6A9A">
      <w:pPr>
        <w:rPr>
          <w:sz w:val="20"/>
          <w:szCs w:val="18"/>
        </w:rPr>
      </w:pPr>
    </w:p>
    <w:p w:rsidR="00987EE3" w:rsidRDefault="00012D8B" w:rsidP="002E6A9A">
      <w:pPr>
        <w:rPr>
          <w:sz w:val="20"/>
          <w:szCs w:val="18"/>
        </w:rPr>
      </w:pPr>
      <w:r>
        <w:rPr>
          <w:sz w:val="20"/>
          <w:szCs w:val="18"/>
        </w:rPr>
        <w:t>0</w:t>
      </w:r>
      <w:r w:rsidR="00C077B9">
        <w:rPr>
          <w:sz w:val="20"/>
          <w:szCs w:val="18"/>
        </w:rPr>
        <w:t>7</w:t>
      </w:r>
      <w:r w:rsidR="004B0C22">
        <w:rPr>
          <w:sz w:val="20"/>
          <w:szCs w:val="18"/>
        </w:rPr>
        <w:t>.</w:t>
      </w:r>
      <w:r>
        <w:rPr>
          <w:sz w:val="20"/>
          <w:szCs w:val="18"/>
        </w:rPr>
        <w:t>10</w:t>
      </w:r>
      <w:r w:rsidR="004B0C22">
        <w:rPr>
          <w:sz w:val="20"/>
          <w:szCs w:val="18"/>
        </w:rPr>
        <w:t>.2009</w:t>
      </w:r>
      <w:r w:rsidR="001911DD">
        <w:rPr>
          <w:sz w:val="20"/>
          <w:szCs w:val="18"/>
        </w:rPr>
        <w:t>.</w:t>
      </w:r>
      <w:r w:rsidR="004B0C22">
        <w:rPr>
          <w:sz w:val="20"/>
          <w:szCs w:val="18"/>
        </w:rPr>
        <w:t xml:space="preserve"> </w:t>
      </w:r>
      <w:r w:rsidR="003C53B7">
        <w:rPr>
          <w:sz w:val="20"/>
          <w:szCs w:val="18"/>
        </w:rPr>
        <w:t>1</w:t>
      </w:r>
      <w:r w:rsidR="00216971">
        <w:rPr>
          <w:sz w:val="20"/>
          <w:szCs w:val="18"/>
        </w:rPr>
        <w:t>1</w:t>
      </w:r>
      <w:r w:rsidR="00AA5C31">
        <w:rPr>
          <w:sz w:val="20"/>
          <w:szCs w:val="18"/>
        </w:rPr>
        <w:t>.</w:t>
      </w:r>
      <w:r w:rsidR="00216971">
        <w:rPr>
          <w:sz w:val="20"/>
          <w:szCs w:val="18"/>
        </w:rPr>
        <w:t>49</w:t>
      </w:r>
    </w:p>
    <w:p w:rsidR="007B2F22" w:rsidRPr="00DB2696" w:rsidRDefault="00CA0CB5" w:rsidP="002E6A9A">
      <w:pPr>
        <w:rPr>
          <w:sz w:val="20"/>
          <w:szCs w:val="18"/>
        </w:rPr>
      </w:pPr>
      <w:fldSimple w:instr=" NUMWORDS   \* MERGEFORMAT ">
        <w:r w:rsidR="005E189E" w:rsidRPr="005E189E">
          <w:rPr>
            <w:noProof/>
            <w:sz w:val="20"/>
            <w:szCs w:val="18"/>
          </w:rPr>
          <w:t>16176</w:t>
        </w:r>
      </w:fldSimple>
      <w:r w:rsidR="007B2F22" w:rsidRPr="00DB2696">
        <w:rPr>
          <w:sz w:val="20"/>
          <w:szCs w:val="18"/>
        </w:rPr>
        <w:br/>
        <w:t>Jānis Salmiņš</w:t>
      </w:r>
    </w:p>
    <w:p w:rsidR="007B2F22" w:rsidRPr="00DB2696" w:rsidRDefault="00CA0CB5" w:rsidP="002E6A9A">
      <w:pPr>
        <w:rPr>
          <w:sz w:val="20"/>
          <w:szCs w:val="18"/>
        </w:rPr>
      </w:pPr>
      <w:hyperlink r:id="rId17" w:history="1">
        <w:r w:rsidR="007B2F22" w:rsidRPr="00DB2696">
          <w:rPr>
            <w:rStyle w:val="Hyperlink"/>
            <w:color w:val="auto"/>
            <w:sz w:val="20"/>
            <w:szCs w:val="18"/>
          </w:rPr>
          <w:t>janis.salmins@em.gov.lv</w:t>
        </w:r>
      </w:hyperlink>
      <w:r w:rsidR="007B2F22" w:rsidRPr="00DB2696">
        <w:rPr>
          <w:sz w:val="20"/>
          <w:szCs w:val="18"/>
        </w:rPr>
        <w:t>, 67013112</w:t>
      </w:r>
    </w:p>
    <w:sectPr w:rsidR="007B2F22" w:rsidRPr="00DB2696" w:rsidSect="00B07B68">
      <w:headerReference w:type="default" r:id="rId18"/>
      <w:footerReference w:type="default" r:id="rId19"/>
      <w:footerReference w:type="first" r:id="rId20"/>
      <w:type w:val="continuous"/>
      <w:pgSz w:w="11906" w:h="16838"/>
      <w:pgMar w:top="1135" w:right="849" w:bottom="1276" w:left="1418" w:header="426" w:footer="59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2E8" w:rsidRDefault="004562E8" w:rsidP="00F6007A">
      <w:r>
        <w:separator/>
      </w:r>
    </w:p>
  </w:endnote>
  <w:endnote w:type="continuationSeparator" w:id="0">
    <w:p w:rsidR="004562E8" w:rsidRDefault="004562E8" w:rsidP="00F60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6F" w:rsidRPr="00BE4531" w:rsidRDefault="0069286F" w:rsidP="00BE4531">
    <w:pPr>
      <w:rPr>
        <w:sz w:val="20"/>
        <w:szCs w:val="20"/>
      </w:rPr>
    </w:pPr>
    <w:r>
      <w:rPr>
        <w:sz w:val="20"/>
        <w:szCs w:val="20"/>
      </w:rPr>
      <w:t>EMZino_0710</w:t>
    </w:r>
    <w:r w:rsidRPr="00BE4531">
      <w:rPr>
        <w:sz w:val="20"/>
        <w:szCs w:val="20"/>
      </w:rPr>
      <w:t>09; Informatīvais ziņojums par ekonomikas atveseļošanas politikas virzieniem vidēja termiņa periodā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6F" w:rsidRPr="00BE4531" w:rsidRDefault="0069286F" w:rsidP="00BE4531">
    <w:pPr>
      <w:rPr>
        <w:sz w:val="20"/>
        <w:szCs w:val="20"/>
      </w:rPr>
    </w:pPr>
    <w:r w:rsidRPr="00BE4531">
      <w:rPr>
        <w:sz w:val="20"/>
        <w:szCs w:val="20"/>
      </w:rPr>
      <w:t>EMZino_</w:t>
    </w:r>
    <w:r>
      <w:rPr>
        <w:sz w:val="20"/>
        <w:szCs w:val="20"/>
      </w:rPr>
      <w:t>0710</w:t>
    </w:r>
    <w:r w:rsidRPr="00BE4531">
      <w:rPr>
        <w:sz w:val="20"/>
        <w:szCs w:val="20"/>
      </w:rPr>
      <w:t>09; Informatīvais ziņojums par ekonomikas atveseļošanas politikas virzieniem vidēja termiņa periodā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2E8" w:rsidRDefault="004562E8" w:rsidP="00F6007A">
      <w:r>
        <w:separator/>
      </w:r>
    </w:p>
  </w:footnote>
  <w:footnote w:type="continuationSeparator" w:id="0">
    <w:p w:rsidR="004562E8" w:rsidRDefault="004562E8" w:rsidP="00F6007A">
      <w:r>
        <w:continuationSeparator/>
      </w:r>
    </w:p>
  </w:footnote>
  <w:footnote w:id="1">
    <w:p w:rsidR="0069286F" w:rsidRPr="000438B0" w:rsidRDefault="0069286F" w:rsidP="00BF4D3C">
      <w:pPr>
        <w:pStyle w:val="FootnoteText"/>
        <w:rPr>
          <w:rFonts w:cs="Times New Roman"/>
        </w:rPr>
      </w:pPr>
      <w:r w:rsidRPr="000438B0">
        <w:rPr>
          <w:rStyle w:val="FootnoteReference"/>
        </w:rPr>
        <w:footnoteRef/>
      </w:r>
      <w:r w:rsidRPr="000438B0">
        <w:t xml:space="preserve"> </w:t>
      </w:r>
      <w:r w:rsidRPr="000438B0">
        <w:rPr>
          <w:rFonts w:cs="Times New Roman"/>
        </w:rPr>
        <w:t>Globālās konkurētspējas indekss (GCI) ir Pasaules ekonomikas foruma (</w:t>
      </w:r>
      <w:r w:rsidRPr="000438B0">
        <w:rPr>
          <w:rFonts w:cs="Times New Roman"/>
          <w:i/>
        </w:rPr>
        <w:t>World Economic Forum</w:t>
      </w:r>
      <w:r w:rsidRPr="000438B0">
        <w:rPr>
          <w:rFonts w:cs="Times New Roman"/>
        </w:rPr>
        <w:t>) sadarbībā ar Hārvardas universitāti izstrādātais visaptverošs konkurētspējas rādītājs, kas tiek ik gadu publicēts Ziņojuma par globālo konkurētspēju (</w:t>
      </w:r>
      <w:r w:rsidRPr="000438B0">
        <w:rPr>
          <w:rFonts w:cs="Times New Roman"/>
          <w:i/>
        </w:rPr>
        <w:t>The Global Competitiveness report</w:t>
      </w:r>
      <w:r w:rsidRPr="000438B0">
        <w:rPr>
          <w:rFonts w:cs="Times New Roman"/>
        </w:rPr>
        <w:t>).</w:t>
      </w:r>
    </w:p>
    <w:p w:rsidR="0069286F" w:rsidRPr="000438B0" w:rsidRDefault="0069286F" w:rsidP="00BF4D3C">
      <w:pPr>
        <w:pStyle w:val="FootnoteText"/>
      </w:pPr>
      <w:r w:rsidRPr="000438B0">
        <w:t xml:space="preserve">Plašāka informācija - </w:t>
      </w:r>
      <w:hyperlink r:id="rId1" w:history="1">
        <w:r w:rsidRPr="000438B0">
          <w:rPr>
            <w:rStyle w:val="Hyperlink"/>
          </w:rPr>
          <w:t>http://www.weforum.org/en/initiatives/gcp/Global%20Competitiveness%20Report/index.htm</w:t>
        </w:r>
      </w:hyperlink>
    </w:p>
  </w:footnote>
  <w:footnote w:id="2">
    <w:p w:rsidR="0069286F" w:rsidRDefault="0069286F" w:rsidP="00BF4D3C">
      <w:pPr>
        <w:pStyle w:val="FootnoteText"/>
      </w:pPr>
      <w:r>
        <w:rPr>
          <w:rStyle w:val="FootnoteReference"/>
        </w:rPr>
        <w:footnoteRef/>
      </w:r>
      <w:r>
        <w:t xml:space="preserve"> </w:t>
      </w:r>
      <w:hyperlink r:id="rId2" w:history="1">
        <w:r w:rsidRPr="00911D6E">
          <w:rPr>
            <w:rStyle w:val="Hyperlink"/>
          </w:rPr>
          <w:t>http://ec.europa.eu/economy_finance/publications/specpub_list12526.htm</w:t>
        </w:r>
      </w:hyperlink>
      <w:r>
        <w:t xml:space="preserve"> </w:t>
      </w:r>
    </w:p>
  </w:footnote>
  <w:footnote w:id="3">
    <w:p w:rsidR="0069286F" w:rsidRDefault="0069286F" w:rsidP="00BF4D3C">
      <w:pPr>
        <w:pStyle w:val="FootnoteText"/>
      </w:pPr>
      <w:r>
        <w:rPr>
          <w:rStyle w:val="FootnoteReference"/>
        </w:rPr>
        <w:footnoteRef/>
      </w:r>
      <w:r>
        <w:t xml:space="preserve"> </w:t>
      </w:r>
      <w:hyperlink r:id="rId3" w:history="1">
        <w:r w:rsidRPr="00C9767F">
          <w:rPr>
            <w:rStyle w:val="Hyperlink"/>
          </w:rPr>
          <w:t>http://www.imf.org/external/pubs/ft/weo/2009/02/index.htm</w:t>
        </w:r>
      </w:hyperlink>
      <w:r>
        <w:t xml:space="preserve"> </w:t>
      </w:r>
    </w:p>
  </w:footnote>
  <w:footnote w:id="4">
    <w:p w:rsidR="0069286F" w:rsidRPr="0069286F" w:rsidRDefault="0069286F">
      <w:pPr>
        <w:pStyle w:val="FootnoteText"/>
        <w:rPr>
          <w:sz w:val="18"/>
        </w:rPr>
      </w:pPr>
      <w:r w:rsidRPr="0069286F">
        <w:rPr>
          <w:rStyle w:val="FootnoteReference"/>
          <w:sz w:val="18"/>
        </w:rPr>
        <w:footnoteRef/>
      </w:r>
      <w:r w:rsidRPr="0069286F">
        <w:rPr>
          <w:sz w:val="18"/>
        </w:rPr>
        <w:t xml:space="preserve"> </w:t>
      </w:r>
      <w:r>
        <w:rPr>
          <w:sz w:val="18"/>
        </w:rPr>
        <w:t>Statistika par</w:t>
      </w:r>
      <w:r w:rsidRPr="0069286F">
        <w:rPr>
          <w:sz w:val="18"/>
        </w:rPr>
        <w:t xml:space="preserve"> patreizējo situāciju banku sektorā ir pieejama Latvijas Banka</w:t>
      </w:r>
      <w:r>
        <w:rPr>
          <w:sz w:val="18"/>
        </w:rPr>
        <w:t>s</w:t>
      </w:r>
      <w:r w:rsidRPr="0069286F">
        <w:rPr>
          <w:sz w:val="18"/>
        </w:rPr>
        <w:t xml:space="preserve"> mājaslapā - </w:t>
      </w:r>
      <w:hyperlink r:id="rId4" w:history="1">
        <w:r w:rsidRPr="0069286F">
          <w:rPr>
            <w:rStyle w:val="Hyperlink"/>
            <w:sz w:val="18"/>
          </w:rPr>
          <w:t>http://www.bank.lv/lat/main/all/statistika/banku-stat/dati20064/</w:t>
        </w:r>
      </w:hyperlink>
      <w:r w:rsidRPr="0069286F">
        <w:rPr>
          <w:sz w:val="18"/>
        </w:rPr>
        <w:t xml:space="preserve"> </w:t>
      </w:r>
      <w:r>
        <w:rPr>
          <w:sz w:val="18"/>
        </w:rPr>
        <w:t xml:space="preserve">, kā arī </w:t>
      </w:r>
      <w:r w:rsidRPr="0069286F">
        <w:rPr>
          <w:sz w:val="18"/>
        </w:rPr>
        <w:t>Finanšu un kapitāla</w:t>
      </w:r>
      <w:r>
        <w:rPr>
          <w:sz w:val="18"/>
        </w:rPr>
        <w:t xml:space="preserve"> tirgus komisijas mājaslapā - </w:t>
      </w:r>
      <w:hyperlink r:id="rId5" w:history="1">
        <w:r w:rsidRPr="00B93FF6">
          <w:rPr>
            <w:rStyle w:val="Hyperlink"/>
            <w:sz w:val="18"/>
          </w:rPr>
          <w:t>http://www.fktk.lv/lv/statistika/jaunumi/</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7014"/>
      <w:docPartObj>
        <w:docPartGallery w:val="Page Numbers (Top of Page)"/>
        <w:docPartUnique/>
      </w:docPartObj>
    </w:sdtPr>
    <w:sdtContent>
      <w:p w:rsidR="0069286F" w:rsidRDefault="00CA0CB5">
        <w:pPr>
          <w:pStyle w:val="Header"/>
          <w:jc w:val="center"/>
        </w:pPr>
        <w:fldSimple w:instr=" PAGE   \* MERGEFORMAT ">
          <w:r w:rsidR="005E189E">
            <w:rPr>
              <w:noProof/>
            </w:rPr>
            <w:t>59</w:t>
          </w:r>
        </w:fldSimple>
      </w:p>
    </w:sdtContent>
  </w:sdt>
  <w:p w:rsidR="0069286F" w:rsidRDefault="006928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357"/>
    <w:multiLevelType w:val="hybridMultilevel"/>
    <w:tmpl w:val="45A2D990"/>
    <w:lvl w:ilvl="0" w:tplc="9EEE8D7C">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24EA194">
      <w:start w:val="1"/>
      <w:numFmt w:val="bullet"/>
      <w:lvlText w:val=""/>
      <w:lvlJc w:val="left"/>
      <w:pPr>
        <w:ind w:left="1800" w:hanging="360"/>
      </w:pPr>
      <w:rPr>
        <w:rFonts w:ascii="Symbol" w:hAnsi="Symbol" w:hint="default"/>
      </w:rPr>
    </w:lvl>
    <w:lvl w:ilvl="3" w:tplc="04260005">
      <w:start w:val="1"/>
      <w:numFmt w:val="bullet"/>
      <w:lvlText w:val=""/>
      <w:lvlJc w:val="left"/>
      <w:pPr>
        <w:ind w:left="1495" w:hanging="360"/>
      </w:pPr>
      <w:rPr>
        <w:rFonts w:ascii="Wingdings" w:hAnsi="Wingdings"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08C0199"/>
    <w:multiLevelType w:val="hybridMultilevel"/>
    <w:tmpl w:val="FA44A818"/>
    <w:lvl w:ilvl="0" w:tplc="9EEE8D7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24EA194">
      <w:start w:val="1"/>
      <w:numFmt w:val="bullet"/>
      <w:lvlText w:val=""/>
      <w:lvlJc w:val="left"/>
      <w:pPr>
        <w:ind w:left="2160" w:hanging="360"/>
      </w:pPr>
      <w:rPr>
        <w:rFonts w:ascii="Symbol" w:hAnsi="Symbol" w:hint="default"/>
      </w:rPr>
    </w:lvl>
    <w:lvl w:ilvl="3" w:tplc="9EEE8D7C">
      <w:start w:val="1"/>
      <w:numFmt w:val="bullet"/>
      <w:lvlText w:val=""/>
      <w:lvlJc w:val="left"/>
      <w:pPr>
        <w:ind w:left="1855"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E67E30"/>
    <w:multiLevelType w:val="multilevel"/>
    <w:tmpl w:val="E19CE0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A91CFA"/>
    <w:multiLevelType w:val="hybridMultilevel"/>
    <w:tmpl w:val="91527928"/>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143431F0"/>
    <w:multiLevelType w:val="hybridMultilevel"/>
    <w:tmpl w:val="3B46692C"/>
    <w:lvl w:ilvl="0" w:tplc="9EEE8D7C">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2ABCEA4E">
      <w:numFmt w:val="bullet"/>
      <w:lvlText w:val="-"/>
      <w:lvlJc w:val="left"/>
      <w:pPr>
        <w:ind w:left="394" w:hanging="360"/>
      </w:pPr>
      <w:rPr>
        <w:rFonts w:ascii="Times New Roman" w:eastAsiaTheme="minorHAnsi" w:hAnsi="Times New Roman" w:cs="Times New Roman"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175839D3"/>
    <w:multiLevelType w:val="hybridMultilevel"/>
    <w:tmpl w:val="44E2E41C"/>
    <w:lvl w:ilvl="0" w:tplc="E7EE38C6">
      <w:start w:val="1"/>
      <w:numFmt w:val="bullet"/>
      <w:lvlText w:val=""/>
      <w:lvlJc w:val="left"/>
      <w:pPr>
        <w:tabs>
          <w:tab w:val="num" w:pos="720"/>
        </w:tabs>
        <w:ind w:left="720" w:hanging="360"/>
      </w:pPr>
      <w:rPr>
        <w:rFonts w:ascii="Wingdings" w:hAnsi="Wingdings" w:hint="default"/>
      </w:rPr>
    </w:lvl>
    <w:lvl w:ilvl="1" w:tplc="9EEE8D7C">
      <w:start w:val="1"/>
      <w:numFmt w:val="bullet"/>
      <w:lvlText w:val=""/>
      <w:lvlJc w:val="left"/>
      <w:pPr>
        <w:tabs>
          <w:tab w:val="num" w:pos="1440"/>
        </w:tabs>
        <w:ind w:left="1440" w:hanging="360"/>
      </w:pPr>
      <w:rPr>
        <w:rFonts w:ascii="Symbol" w:hAnsi="Symbol" w:hint="default"/>
      </w:rPr>
    </w:lvl>
    <w:lvl w:ilvl="2" w:tplc="52808222" w:tentative="1">
      <w:start w:val="1"/>
      <w:numFmt w:val="bullet"/>
      <w:lvlText w:val=""/>
      <w:lvlJc w:val="left"/>
      <w:pPr>
        <w:tabs>
          <w:tab w:val="num" w:pos="2160"/>
        </w:tabs>
        <w:ind w:left="2160" w:hanging="360"/>
      </w:pPr>
      <w:rPr>
        <w:rFonts w:ascii="Wingdings" w:hAnsi="Wingdings" w:hint="default"/>
      </w:rPr>
    </w:lvl>
    <w:lvl w:ilvl="3" w:tplc="E42C1B80" w:tentative="1">
      <w:start w:val="1"/>
      <w:numFmt w:val="bullet"/>
      <w:lvlText w:val=""/>
      <w:lvlJc w:val="left"/>
      <w:pPr>
        <w:tabs>
          <w:tab w:val="num" w:pos="2880"/>
        </w:tabs>
        <w:ind w:left="2880" w:hanging="360"/>
      </w:pPr>
      <w:rPr>
        <w:rFonts w:ascii="Wingdings" w:hAnsi="Wingdings" w:hint="default"/>
      </w:rPr>
    </w:lvl>
    <w:lvl w:ilvl="4" w:tplc="42AE7978" w:tentative="1">
      <w:start w:val="1"/>
      <w:numFmt w:val="bullet"/>
      <w:lvlText w:val=""/>
      <w:lvlJc w:val="left"/>
      <w:pPr>
        <w:tabs>
          <w:tab w:val="num" w:pos="3600"/>
        </w:tabs>
        <w:ind w:left="3600" w:hanging="360"/>
      </w:pPr>
      <w:rPr>
        <w:rFonts w:ascii="Wingdings" w:hAnsi="Wingdings" w:hint="default"/>
      </w:rPr>
    </w:lvl>
    <w:lvl w:ilvl="5" w:tplc="8490E6D0" w:tentative="1">
      <w:start w:val="1"/>
      <w:numFmt w:val="bullet"/>
      <w:lvlText w:val=""/>
      <w:lvlJc w:val="left"/>
      <w:pPr>
        <w:tabs>
          <w:tab w:val="num" w:pos="4320"/>
        </w:tabs>
        <w:ind w:left="4320" w:hanging="360"/>
      </w:pPr>
      <w:rPr>
        <w:rFonts w:ascii="Wingdings" w:hAnsi="Wingdings" w:hint="default"/>
      </w:rPr>
    </w:lvl>
    <w:lvl w:ilvl="6" w:tplc="6BF6448C" w:tentative="1">
      <w:start w:val="1"/>
      <w:numFmt w:val="bullet"/>
      <w:lvlText w:val=""/>
      <w:lvlJc w:val="left"/>
      <w:pPr>
        <w:tabs>
          <w:tab w:val="num" w:pos="5040"/>
        </w:tabs>
        <w:ind w:left="5040" w:hanging="360"/>
      </w:pPr>
      <w:rPr>
        <w:rFonts w:ascii="Wingdings" w:hAnsi="Wingdings" w:hint="default"/>
      </w:rPr>
    </w:lvl>
    <w:lvl w:ilvl="7" w:tplc="193A062C" w:tentative="1">
      <w:start w:val="1"/>
      <w:numFmt w:val="bullet"/>
      <w:lvlText w:val=""/>
      <w:lvlJc w:val="left"/>
      <w:pPr>
        <w:tabs>
          <w:tab w:val="num" w:pos="5760"/>
        </w:tabs>
        <w:ind w:left="5760" w:hanging="360"/>
      </w:pPr>
      <w:rPr>
        <w:rFonts w:ascii="Wingdings" w:hAnsi="Wingdings" w:hint="default"/>
      </w:rPr>
    </w:lvl>
    <w:lvl w:ilvl="8" w:tplc="0414EF18" w:tentative="1">
      <w:start w:val="1"/>
      <w:numFmt w:val="bullet"/>
      <w:lvlText w:val=""/>
      <w:lvlJc w:val="left"/>
      <w:pPr>
        <w:tabs>
          <w:tab w:val="num" w:pos="6480"/>
        </w:tabs>
        <w:ind w:left="6480" w:hanging="360"/>
      </w:pPr>
      <w:rPr>
        <w:rFonts w:ascii="Wingdings" w:hAnsi="Wingdings" w:hint="default"/>
      </w:rPr>
    </w:lvl>
  </w:abstractNum>
  <w:abstractNum w:abstractNumId="6">
    <w:nsid w:val="17E60714"/>
    <w:multiLevelType w:val="hybridMultilevel"/>
    <w:tmpl w:val="4EEE9A58"/>
    <w:lvl w:ilvl="0" w:tplc="9EEE8D7C">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
    <w:nsid w:val="19B20306"/>
    <w:multiLevelType w:val="hybridMultilevel"/>
    <w:tmpl w:val="F2180DD6"/>
    <w:lvl w:ilvl="0" w:tplc="D6309B44">
      <w:start w:val="1"/>
      <w:numFmt w:val="upperLetter"/>
      <w:lvlText w:val="%1."/>
      <w:lvlJc w:val="left"/>
      <w:pPr>
        <w:ind w:left="1744" w:hanging="1035"/>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1AEB7230"/>
    <w:multiLevelType w:val="hybridMultilevel"/>
    <w:tmpl w:val="B77493D6"/>
    <w:lvl w:ilvl="0" w:tplc="9EEE8D7C">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nsid w:val="1CD00ADD"/>
    <w:multiLevelType w:val="hybridMultilevel"/>
    <w:tmpl w:val="CA661FB0"/>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ED75A19"/>
    <w:multiLevelType w:val="hybridMultilevel"/>
    <w:tmpl w:val="7728DBC6"/>
    <w:lvl w:ilvl="0" w:tplc="9EEE8D7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27201D9F"/>
    <w:multiLevelType w:val="hybridMultilevel"/>
    <w:tmpl w:val="1A8E108E"/>
    <w:lvl w:ilvl="0" w:tplc="9EEE8D7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2B290B85"/>
    <w:multiLevelType w:val="hybridMultilevel"/>
    <w:tmpl w:val="3F2CE984"/>
    <w:lvl w:ilvl="0" w:tplc="1788316E">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1788316E">
      <w:numFmt w:val="bullet"/>
      <w:lvlText w:val="–"/>
      <w:lvlJc w:val="left"/>
      <w:pPr>
        <w:ind w:left="2880" w:hanging="360"/>
      </w:pPr>
      <w:rPr>
        <w:rFonts w:ascii="Times New Roman" w:eastAsia="Calibri"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F772A46"/>
    <w:multiLevelType w:val="hybridMultilevel"/>
    <w:tmpl w:val="D04212AE"/>
    <w:lvl w:ilvl="0" w:tplc="9EEE8D7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9EEE8D7C">
      <w:start w:val="1"/>
      <w:numFmt w:val="bullet"/>
      <w:lvlText w:val=""/>
      <w:lvlJc w:val="left"/>
      <w:pPr>
        <w:ind w:left="2727" w:hanging="360"/>
      </w:pPr>
      <w:rPr>
        <w:rFonts w:ascii="Symbol" w:hAnsi="Symbol"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333B1273"/>
    <w:multiLevelType w:val="hybridMultilevel"/>
    <w:tmpl w:val="69161144"/>
    <w:lvl w:ilvl="0" w:tplc="696835A6">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nsid w:val="37492FBD"/>
    <w:multiLevelType w:val="hybridMultilevel"/>
    <w:tmpl w:val="3EDA8B10"/>
    <w:lvl w:ilvl="0" w:tplc="8794C794">
      <w:start w:val="1"/>
      <w:numFmt w:val="bullet"/>
      <w:lvlText w:val="-"/>
      <w:lvlJc w:val="left"/>
      <w:pPr>
        <w:tabs>
          <w:tab w:val="num" w:pos="714"/>
        </w:tabs>
        <w:ind w:left="714" w:hanging="360"/>
      </w:pPr>
      <w:rPr>
        <w:rFonts w:ascii="Monotype Corsiva" w:hAnsi="Monotype Corsiva" w:hint="default"/>
        <w:color w:val="auto"/>
      </w:rPr>
    </w:lvl>
    <w:lvl w:ilvl="1" w:tplc="04260003" w:tentative="1">
      <w:start w:val="1"/>
      <w:numFmt w:val="bullet"/>
      <w:lvlText w:val="o"/>
      <w:lvlJc w:val="left"/>
      <w:pPr>
        <w:tabs>
          <w:tab w:val="num" w:pos="1074"/>
        </w:tabs>
        <w:ind w:left="1074" w:hanging="360"/>
      </w:pPr>
      <w:rPr>
        <w:rFonts w:ascii="Courier New" w:hAnsi="Courier New" w:cs="Courier New" w:hint="default"/>
      </w:rPr>
    </w:lvl>
    <w:lvl w:ilvl="2" w:tplc="04260005" w:tentative="1">
      <w:start w:val="1"/>
      <w:numFmt w:val="bullet"/>
      <w:lvlText w:val=""/>
      <w:lvlJc w:val="left"/>
      <w:pPr>
        <w:tabs>
          <w:tab w:val="num" w:pos="1794"/>
        </w:tabs>
        <w:ind w:left="1794" w:hanging="360"/>
      </w:pPr>
      <w:rPr>
        <w:rFonts w:ascii="Wingdings" w:hAnsi="Wingdings" w:hint="default"/>
      </w:rPr>
    </w:lvl>
    <w:lvl w:ilvl="3" w:tplc="04260001" w:tentative="1">
      <w:start w:val="1"/>
      <w:numFmt w:val="bullet"/>
      <w:lvlText w:val=""/>
      <w:lvlJc w:val="left"/>
      <w:pPr>
        <w:tabs>
          <w:tab w:val="num" w:pos="2514"/>
        </w:tabs>
        <w:ind w:left="2514" w:hanging="360"/>
      </w:pPr>
      <w:rPr>
        <w:rFonts w:ascii="Symbol" w:hAnsi="Symbol" w:hint="default"/>
      </w:rPr>
    </w:lvl>
    <w:lvl w:ilvl="4" w:tplc="04260003" w:tentative="1">
      <w:start w:val="1"/>
      <w:numFmt w:val="bullet"/>
      <w:lvlText w:val="o"/>
      <w:lvlJc w:val="left"/>
      <w:pPr>
        <w:tabs>
          <w:tab w:val="num" w:pos="3234"/>
        </w:tabs>
        <w:ind w:left="3234" w:hanging="360"/>
      </w:pPr>
      <w:rPr>
        <w:rFonts w:ascii="Courier New" w:hAnsi="Courier New" w:cs="Courier New" w:hint="default"/>
      </w:rPr>
    </w:lvl>
    <w:lvl w:ilvl="5" w:tplc="04260005" w:tentative="1">
      <w:start w:val="1"/>
      <w:numFmt w:val="bullet"/>
      <w:lvlText w:val=""/>
      <w:lvlJc w:val="left"/>
      <w:pPr>
        <w:tabs>
          <w:tab w:val="num" w:pos="3954"/>
        </w:tabs>
        <w:ind w:left="3954" w:hanging="360"/>
      </w:pPr>
      <w:rPr>
        <w:rFonts w:ascii="Wingdings" w:hAnsi="Wingdings" w:hint="default"/>
      </w:rPr>
    </w:lvl>
    <w:lvl w:ilvl="6" w:tplc="04260001" w:tentative="1">
      <w:start w:val="1"/>
      <w:numFmt w:val="bullet"/>
      <w:lvlText w:val=""/>
      <w:lvlJc w:val="left"/>
      <w:pPr>
        <w:tabs>
          <w:tab w:val="num" w:pos="4674"/>
        </w:tabs>
        <w:ind w:left="4674" w:hanging="360"/>
      </w:pPr>
      <w:rPr>
        <w:rFonts w:ascii="Symbol" w:hAnsi="Symbol" w:hint="default"/>
      </w:rPr>
    </w:lvl>
    <w:lvl w:ilvl="7" w:tplc="04260003" w:tentative="1">
      <w:start w:val="1"/>
      <w:numFmt w:val="bullet"/>
      <w:lvlText w:val="o"/>
      <w:lvlJc w:val="left"/>
      <w:pPr>
        <w:tabs>
          <w:tab w:val="num" w:pos="5394"/>
        </w:tabs>
        <w:ind w:left="5394" w:hanging="360"/>
      </w:pPr>
      <w:rPr>
        <w:rFonts w:ascii="Courier New" w:hAnsi="Courier New" w:cs="Courier New" w:hint="default"/>
      </w:rPr>
    </w:lvl>
    <w:lvl w:ilvl="8" w:tplc="04260005" w:tentative="1">
      <w:start w:val="1"/>
      <w:numFmt w:val="bullet"/>
      <w:lvlText w:val=""/>
      <w:lvlJc w:val="left"/>
      <w:pPr>
        <w:tabs>
          <w:tab w:val="num" w:pos="6114"/>
        </w:tabs>
        <w:ind w:left="6114" w:hanging="360"/>
      </w:pPr>
      <w:rPr>
        <w:rFonts w:ascii="Wingdings" w:hAnsi="Wingdings" w:hint="default"/>
      </w:rPr>
    </w:lvl>
  </w:abstractNum>
  <w:abstractNum w:abstractNumId="16">
    <w:nsid w:val="393F54D0"/>
    <w:multiLevelType w:val="hybridMultilevel"/>
    <w:tmpl w:val="0298BA42"/>
    <w:lvl w:ilvl="0" w:tplc="CCAC90D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ACE1DC5"/>
    <w:multiLevelType w:val="hybridMultilevel"/>
    <w:tmpl w:val="B0B8070A"/>
    <w:lvl w:ilvl="0" w:tplc="696835A6">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nsid w:val="3C9D08CD"/>
    <w:multiLevelType w:val="hybridMultilevel"/>
    <w:tmpl w:val="C34602AC"/>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0C3493D"/>
    <w:multiLevelType w:val="hybridMultilevel"/>
    <w:tmpl w:val="E33E6CBE"/>
    <w:lvl w:ilvl="0" w:tplc="9EEE8D7C">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nsid w:val="45D82C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B95F05"/>
    <w:multiLevelType w:val="hybridMultilevel"/>
    <w:tmpl w:val="BA5CE3F4"/>
    <w:lvl w:ilvl="0" w:tplc="23389E3A">
      <w:numFmt w:val="bullet"/>
      <w:lvlText w:val="-"/>
      <w:lvlJc w:val="left"/>
      <w:pPr>
        <w:ind w:left="426" w:hanging="360"/>
      </w:pPr>
      <w:rPr>
        <w:rFonts w:ascii="Times New Roman" w:eastAsiaTheme="minorHAnsi" w:hAnsi="Times New Roman" w:cs="Times New Roman" w:hint="default"/>
      </w:rPr>
    </w:lvl>
    <w:lvl w:ilvl="1" w:tplc="04260003" w:tentative="1">
      <w:start w:val="1"/>
      <w:numFmt w:val="bullet"/>
      <w:lvlText w:val="o"/>
      <w:lvlJc w:val="left"/>
      <w:pPr>
        <w:ind w:left="1146" w:hanging="360"/>
      </w:pPr>
      <w:rPr>
        <w:rFonts w:ascii="Courier New" w:hAnsi="Courier New" w:cs="Courier New" w:hint="default"/>
      </w:rPr>
    </w:lvl>
    <w:lvl w:ilvl="2" w:tplc="04260005" w:tentative="1">
      <w:start w:val="1"/>
      <w:numFmt w:val="bullet"/>
      <w:lvlText w:val=""/>
      <w:lvlJc w:val="left"/>
      <w:pPr>
        <w:ind w:left="1866" w:hanging="360"/>
      </w:pPr>
      <w:rPr>
        <w:rFonts w:ascii="Wingdings" w:hAnsi="Wingdings" w:hint="default"/>
      </w:rPr>
    </w:lvl>
    <w:lvl w:ilvl="3" w:tplc="04260001" w:tentative="1">
      <w:start w:val="1"/>
      <w:numFmt w:val="bullet"/>
      <w:lvlText w:val=""/>
      <w:lvlJc w:val="left"/>
      <w:pPr>
        <w:ind w:left="2586" w:hanging="360"/>
      </w:pPr>
      <w:rPr>
        <w:rFonts w:ascii="Symbol" w:hAnsi="Symbol" w:hint="default"/>
      </w:rPr>
    </w:lvl>
    <w:lvl w:ilvl="4" w:tplc="04260003" w:tentative="1">
      <w:start w:val="1"/>
      <w:numFmt w:val="bullet"/>
      <w:lvlText w:val="o"/>
      <w:lvlJc w:val="left"/>
      <w:pPr>
        <w:ind w:left="3306" w:hanging="360"/>
      </w:pPr>
      <w:rPr>
        <w:rFonts w:ascii="Courier New" w:hAnsi="Courier New" w:cs="Courier New" w:hint="default"/>
      </w:rPr>
    </w:lvl>
    <w:lvl w:ilvl="5" w:tplc="04260005" w:tentative="1">
      <w:start w:val="1"/>
      <w:numFmt w:val="bullet"/>
      <w:lvlText w:val=""/>
      <w:lvlJc w:val="left"/>
      <w:pPr>
        <w:ind w:left="4026" w:hanging="360"/>
      </w:pPr>
      <w:rPr>
        <w:rFonts w:ascii="Wingdings" w:hAnsi="Wingdings" w:hint="default"/>
      </w:rPr>
    </w:lvl>
    <w:lvl w:ilvl="6" w:tplc="04260001" w:tentative="1">
      <w:start w:val="1"/>
      <w:numFmt w:val="bullet"/>
      <w:lvlText w:val=""/>
      <w:lvlJc w:val="left"/>
      <w:pPr>
        <w:ind w:left="4746" w:hanging="360"/>
      </w:pPr>
      <w:rPr>
        <w:rFonts w:ascii="Symbol" w:hAnsi="Symbol" w:hint="default"/>
      </w:rPr>
    </w:lvl>
    <w:lvl w:ilvl="7" w:tplc="04260003" w:tentative="1">
      <w:start w:val="1"/>
      <w:numFmt w:val="bullet"/>
      <w:lvlText w:val="o"/>
      <w:lvlJc w:val="left"/>
      <w:pPr>
        <w:ind w:left="5466" w:hanging="360"/>
      </w:pPr>
      <w:rPr>
        <w:rFonts w:ascii="Courier New" w:hAnsi="Courier New" w:cs="Courier New" w:hint="default"/>
      </w:rPr>
    </w:lvl>
    <w:lvl w:ilvl="8" w:tplc="04260005" w:tentative="1">
      <w:start w:val="1"/>
      <w:numFmt w:val="bullet"/>
      <w:lvlText w:val=""/>
      <w:lvlJc w:val="left"/>
      <w:pPr>
        <w:ind w:left="6186" w:hanging="360"/>
      </w:pPr>
      <w:rPr>
        <w:rFonts w:ascii="Wingdings" w:hAnsi="Wingdings" w:hint="default"/>
      </w:rPr>
    </w:lvl>
  </w:abstractNum>
  <w:abstractNum w:abstractNumId="22">
    <w:nsid w:val="47431BD2"/>
    <w:multiLevelType w:val="hybridMultilevel"/>
    <w:tmpl w:val="F0F469E2"/>
    <w:lvl w:ilvl="0" w:tplc="024EA194">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nsid w:val="48BD4C6F"/>
    <w:multiLevelType w:val="hybridMultilevel"/>
    <w:tmpl w:val="480C621E"/>
    <w:lvl w:ilvl="0" w:tplc="CCAC90DE">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4B9847D8"/>
    <w:multiLevelType w:val="hybridMultilevel"/>
    <w:tmpl w:val="EB3265CE"/>
    <w:lvl w:ilvl="0" w:tplc="9EEE8D7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1788316E">
      <w:numFmt w:val="bullet"/>
      <w:lvlText w:val="–"/>
      <w:lvlJc w:val="left"/>
      <w:pPr>
        <w:ind w:left="2880" w:hanging="360"/>
      </w:pPr>
      <w:rPr>
        <w:rFonts w:ascii="Times New Roman" w:eastAsia="Calibri"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F176959"/>
    <w:multiLevelType w:val="hybridMultilevel"/>
    <w:tmpl w:val="62806696"/>
    <w:lvl w:ilvl="0" w:tplc="0426000F">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26">
    <w:nsid w:val="51A60891"/>
    <w:multiLevelType w:val="hybridMultilevel"/>
    <w:tmpl w:val="BF0CA1AC"/>
    <w:lvl w:ilvl="0" w:tplc="9EEE8D7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4405861"/>
    <w:multiLevelType w:val="hybridMultilevel"/>
    <w:tmpl w:val="8C0C36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85618D2"/>
    <w:multiLevelType w:val="hybridMultilevel"/>
    <w:tmpl w:val="D018DB60"/>
    <w:lvl w:ilvl="0" w:tplc="CCAC90D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11A7C44"/>
    <w:multiLevelType w:val="hybridMultilevel"/>
    <w:tmpl w:val="1F6CD490"/>
    <w:lvl w:ilvl="0" w:tplc="8794C794">
      <w:start w:val="1"/>
      <w:numFmt w:val="bullet"/>
      <w:lvlText w:val="-"/>
      <w:lvlJc w:val="left"/>
      <w:pPr>
        <w:ind w:left="720" w:hanging="360"/>
      </w:pPr>
      <w:rPr>
        <w:rFonts w:ascii="Monotype Corsiva" w:hAnsi="Monotype Corsiva"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1F712B5"/>
    <w:multiLevelType w:val="hybridMultilevel"/>
    <w:tmpl w:val="9AD44D6A"/>
    <w:lvl w:ilvl="0" w:tplc="9EEE8D7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nsid w:val="62A06F5E"/>
    <w:multiLevelType w:val="hybridMultilevel"/>
    <w:tmpl w:val="06006BA8"/>
    <w:lvl w:ilvl="0" w:tplc="5212F38C">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2">
    <w:nsid w:val="62A8221F"/>
    <w:multiLevelType w:val="hybridMultilevel"/>
    <w:tmpl w:val="61C43C2E"/>
    <w:lvl w:ilvl="0" w:tplc="9EEE8D7C">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3">
    <w:nsid w:val="62BF082A"/>
    <w:multiLevelType w:val="hybridMultilevel"/>
    <w:tmpl w:val="CA0E2AD6"/>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32D7F74"/>
    <w:multiLevelType w:val="hybridMultilevel"/>
    <w:tmpl w:val="94B2105E"/>
    <w:lvl w:ilvl="0" w:tplc="9EEE8D7C">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5">
    <w:nsid w:val="63BB5436"/>
    <w:multiLevelType w:val="hybridMultilevel"/>
    <w:tmpl w:val="ADFE76A4"/>
    <w:lvl w:ilvl="0" w:tplc="9EEE8D7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nsid w:val="644E5582"/>
    <w:multiLevelType w:val="hybridMultilevel"/>
    <w:tmpl w:val="4E822468"/>
    <w:lvl w:ilvl="0" w:tplc="024EA19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7">
    <w:nsid w:val="655D63D8"/>
    <w:multiLevelType w:val="hybridMultilevel"/>
    <w:tmpl w:val="56020AAC"/>
    <w:lvl w:ilvl="0" w:tplc="9EEE8D7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nsid w:val="69233589"/>
    <w:multiLevelType w:val="hybridMultilevel"/>
    <w:tmpl w:val="14F67976"/>
    <w:lvl w:ilvl="0" w:tplc="9EEE8D7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CCAC90DE">
      <w:start w:val="3"/>
      <w:numFmt w:val="bullet"/>
      <w:lvlText w:val="-"/>
      <w:lvlJc w:val="left"/>
      <w:pPr>
        <w:ind w:left="2160" w:hanging="360"/>
      </w:pPr>
      <w:rPr>
        <w:rFonts w:ascii="Times New Roman" w:eastAsia="Times New Roman" w:hAnsi="Times New Roman" w:cs="Times New Roman"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A5808C0"/>
    <w:multiLevelType w:val="hybridMultilevel"/>
    <w:tmpl w:val="CF3AA2E2"/>
    <w:lvl w:ilvl="0" w:tplc="9EEE8D7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6B46322B"/>
    <w:multiLevelType w:val="hybridMultilevel"/>
    <w:tmpl w:val="C6F08456"/>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1">
    <w:nsid w:val="6BB14518"/>
    <w:multiLevelType w:val="hybridMultilevel"/>
    <w:tmpl w:val="E8BE4FCC"/>
    <w:lvl w:ilvl="0" w:tplc="9EEE8D7C">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nsid w:val="6D8E263B"/>
    <w:multiLevelType w:val="hybridMultilevel"/>
    <w:tmpl w:val="B79682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6F0C7DE9"/>
    <w:multiLevelType w:val="hybridMultilevel"/>
    <w:tmpl w:val="318422B6"/>
    <w:lvl w:ilvl="0" w:tplc="FE328FD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F417300"/>
    <w:multiLevelType w:val="hybridMultilevel"/>
    <w:tmpl w:val="1C44C306"/>
    <w:lvl w:ilvl="0" w:tplc="9EEE8D7C">
      <w:start w:val="1"/>
      <w:numFmt w:val="bullet"/>
      <w:lvlText w:val=""/>
      <w:lvlJc w:val="left"/>
      <w:pPr>
        <w:ind w:left="1287" w:hanging="360"/>
      </w:pPr>
      <w:rPr>
        <w:rFonts w:ascii="Symbol" w:hAnsi="Symbol" w:hint="default"/>
      </w:rPr>
    </w:lvl>
    <w:lvl w:ilvl="1" w:tplc="9EEE8D7C">
      <w:start w:val="1"/>
      <w:numFmt w:val="bullet"/>
      <w:lvlText w:val=""/>
      <w:lvlJc w:val="left"/>
      <w:pPr>
        <w:ind w:left="2007" w:hanging="360"/>
      </w:pPr>
      <w:rPr>
        <w:rFonts w:ascii="Symbol" w:hAnsi="Symbol"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5">
    <w:nsid w:val="6F5B4A81"/>
    <w:multiLevelType w:val="hybridMultilevel"/>
    <w:tmpl w:val="E2B241C8"/>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6F932EA1"/>
    <w:multiLevelType w:val="hybridMultilevel"/>
    <w:tmpl w:val="13F03B30"/>
    <w:lvl w:ilvl="0" w:tplc="F08001C6">
      <w:start w:val="1"/>
      <w:numFmt w:val="upperLetter"/>
      <w:lvlText w:val="%1."/>
      <w:lvlJc w:val="left"/>
      <w:pPr>
        <w:ind w:left="644" w:hanging="360"/>
      </w:pPr>
      <w:rPr>
        <w:rFonts w:hint="default"/>
        <w:b w:val="0"/>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7">
    <w:nsid w:val="71EB1C4F"/>
    <w:multiLevelType w:val="hybridMultilevel"/>
    <w:tmpl w:val="96B2CD92"/>
    <w:lvl w:ilvl="0" w:tplc="333E5F2C">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8">
    <w:nsid w:val="7CDD7BAC"/>
    <w:multiLevelType w:val="hybridMultilevel"/>
    <w:tmpl w:val="9FE0C728"/>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
  </w:num>
  <w:num w:numId="7">
    <w:abstractNumId w:val="26"/>
  </w:num>
  <w:num w:numId="8">
    <w:abstractNumId w:val="32"/>
  </w:num>
  <w:num w:numId="9">
    <w:abstractNumId w:val="48"/>
  </w:num>
  <w:num w:numId="10">
    <w:abstractNumId w:val="18"/>
  </w:num>
  <w:num w:numId="11">
    <w:abstractNumId w:val="40"/>
  </w:num>
  <w:num w:numId="12">
    <w:abstractNumId w:val="38"/>
  </w:num>
  <w:num w:numId="13">
    <w:abstractNumId w:val="36"/>
  </w:num>
  <w:num w:numId="14">
    <w:abstractNumId w:val="46"/>
  </w:num>
  <w:num w:numId="15">
    <w:abstractNumId w:val="34"/>
  </w:num>
  <w:num w:numId="16">
    <w:abstractNumId w:val="24"/>
  </w:num>
  <w:num w:numId="17">
    <w:abstractNumId w:val="41"/>
  </w:num>
  <w:num w:numId="18">
    <w:abstractNumId w:val="47"/>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5"/>
  </w:num>
  <w:num w:numId="23">
    <w:abstractNumId w:val="19"/>
  </w:num>
  <w:num w:numId="24">
    <w:abstractNumId w:val="39"/>
  </w:num>
  <w:num w:numId="25">
    <w:abstractNumId w:val="5"/>
  </w:num>
  <w:num w:numId="26">
    <w:abstractNumId w:val="4"/>
  </w:num>
  <w:num w:numId="27">
    <w:abstractNumId w:val="44"/>
  </w:num>
  <w:num w:numId="28">
    <w:abstractNumId w:val="10"/>
  </w:num>
  <w:num w:numId="29">
    <w:abstractNumId w:val="13"/>
  </w:num>
  <w:num w:numId="30">
    <w:abstractNumId w:val="0"/>
  </w:num>
  <w:num w:numId="31">
    <w:abstractNumId w:val="20"/>
  </w:num>
  <w:num w:numId="32">
    <w:abstractNumId w:val="27"/>
  </w:num>
  <w:num w:numId="33">
    <w:abstractNumId w:val="15"/>
  </w:num>
  <w:num w:numId="34">
    <w:abstractNumId w:val="29"/>
  </w:num>
  <w:num w:numId="35">
    <w:abstractNumId w:val="43"/>
  </w:num>
  <w:num w:numId="36">
    <w:abstractNumId w:val="28"/>
  </w:num>
  <w:num w:numId="37">
    <w:abstractNumId w:val="16"/>
  </w:num>
  <w:num w:numId="38">
    <w:abstractNumId w:val="23"/>
  </w:num>
  <w:num w:numId="39">
    <w:abstractNumId w:val="30"/>
  </w:num>
  <w:num w:numId="40">
    <w:abstractNumId w:val="2"/>
  </w:num>
  <w:num w:numId="41">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5"/>
  </w:num>
  <w:num w:numId="44">
    <w:abstractNumId w:val="31"/>
  </w:num>
  <w:num w:numId="45">
    <w:abstractNumId w:val="8"/>
  </w:num>
  <w:num w:numId="46">
    <w:abstractNumId w:val="42"/>
  </w:num>
  <w:num w:numId="47">
    <w:abstractNumId w:val="6"/>
  </w:num>
  <w:num w:numId="48">
    <w:abstractNumId w:val="21"/>
  </w:num>
  <w:num w:numId="49">
    <w:abstractNumId w:val="25"/>
  </w:num>
  <w:num w:numId="50">
    <w:abstractNumId w:val="3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6007A"/>
    <w:rsid w:val="00005C37"/>
    <w:rsid w:val="000101A5"/>
    <w:rsid w:val="00012D8B"/>
    <w:rsid w:val="00021379"/>
    <w:rsid w:val="00023776"/>
    <w:rsid w:val="00023FC5"/>
    <w:rsid w:val="00031E1A"/>
    <w:rsid w:val="00032E13"/>
    <w:rsid w:val="00033F42"/>
    <w:rsid w:val="0003478F"/>
    <w:rsid w:val="000406F8"/>
    <w:rsid w:val="000438B0"/>
    <w:rsid w:val="00045526"/>
    <w:rsid w:val="00045756"/>
    <w:rsid w:val="00046F0D"/>
    <w:rsid w:val="000559B9"/>
    <w:rsid w:val="00056C0C"/>
    <w:rsid w:val="0006281D"/>
    <w:rsid w:val="00063A1A"/>
    <w:rsid w:val="00065247"/>
    <w:rsid w:val="00072238"/>
    <w:rsid w:val="000856D3"/>
    <w:rsid w:val="00090402"/>
    <w:rsid w:val="00093320"/>
    <w:rsid w:val="000A5BF8"/>
    <w:rsid w:val="000B0489"/>
    <w:rsid w:val="000B0ED1"/>
    <w:rsid w:val="000B3BBA"/>
    <w:rsid w:val="000B3D5F"/>
    <w:rsid w:val="000B4658"/>
    <w:rsid w:val="000B4722"/>
    <w:rsid w:val="000B6710"/>
    <w:rsid w:val="000B7433"/>
    <w:rsid w:val="000C66CD"/>
    <w:rsid w:val="000D2EA8"/>
    <w:rsid w:val="000D6138"/>
    <w:rsid w:val="000E2D2B"/>
    <w:rsid w:val="000E36BF"/>
    <w:rsid w:val="000F0D78"/>
    <w:rsid w:val="000F56C0"/>
    <w:rsid w:val="00106B20"/>
    <w:rsid w:val="0011016A"/>
    <w:rsid w:val="00115B82"/>
    <w:rsid w:val="00115E12"/>
    <w:rsid w:val="001259B2"/>
    <w:rsid w:val="00125D7A"/>
    <w:rsid w:val="00132C48"/>
    <w:rsid w:val="00140E32"/>
    <w:rsid w:val="001411F8"/>
    <w:rsid w:val="001450F7"/>
    <w:rsid w:val="00145492"/>
    <w:rsid w:val="00147825"/>
    <w:rsid w:val="001556B0"/>
    <w:rsid w:val="00156DFE"/>
    <w:rsid w:val="00160804"/>
    <w:rsid w:val="001628AD"/>
    <w:rsid w:val="00162C7A"/>
    <w:rsid w:val="001673F9"/>
    <w:rsid w:val="00170D65"/>
    <w:rsid w:val="00172F36"/>
    <w:rsid w:val="00184536"/>
    <w:rsid w:val="001845E0"/>
    <w:rsid w:val="00187334"/>
    <w:rsid w:val="001911DD"/>
    <w:rsid w:val="00193885"/>
    <w:rsid w:val="00196399"/>
    <w:rsid w:val="001A2125"/>
    <w:rsid w:val="001A671F"/>
    <w:rsid w:val="001B0EC8"/>
    <w:rsid w:val="001B7099"/>
    <w:rsid w:val="001C06D1"/>
    <w:rsid w:val="001C63C5"/>
    <w:rsid w:val="001D1F98"/>
    <w:rsid w:val="001D51B1"/>
    <w:rsid w:val="001E5899"/>
    <w:rsid w:val="001F0EBB"/>
    <w:rsid w:val="001F5B36"/>
    <w:rsid w:val="00200090"/>
    <w:rsid w:val="00202E7F"/>
    <w:rsid w:val="00210C6A"/>
    <w:rsid w:val="002118C3"/>
    <w:rsid w:val="002132F2"/>
    <w:rsid w:val="00216971"/>
    <w:rsid w:val="00217DB0"/>
    <w:rsid w:val="00225FD8"/>
    <w:rsid w:val="00237E54"/>
    <w:rsid w:val="00242C6F"/>
    <w:rsid w:val="002435DA"/>
    <w:rsid w:val="0024376C"/>
    <w:rsid w:val="00246D45"/>
    <w:rsid w:val="00250984"/>
    <w:rsid w:val="00260C68"/>
    <w:rsid w:val="0027016A"/>
    <w:rsid w:val="0027053F"/>
    <w:rsid w:val="002707C5"/>
    <w:rsid w:val="00270FA3"/>
    <w:rsid w:val="002760B1"/>
    <w:rsid w:val="00276BA1"/>
    <w:rsid w:val="0028112C"/>
    <w:rsid w:val="002813BC"/>
    <w:rsid w:val="00282F9F"/>
    <w:rsid w:val="00284B9E"/>
    <w:rsid w:val="00291EF0"/>
    <w:rsid w:val="00294AD1"/>
    <w:rsid w:val="002A1CE2"/>
    <w:rsid w:val="002B06CD"/>
    <w:rsid w:val="002B297F"/>
    <w:rsid w:val="002B30EC"/>
    <w:rsid w:val="002B5C35"/>
    <w:rsid w:val="002C02EA"/>
    <w:rsid w:val="002C11D6"/>
    <w:rsid w:val="002C351D"/>
    <w:rsid w:val="002C44A4"/>
    <w:rsid w:val="002C44D0"/>
    <w:rsid w:val="002C7727"/>
    <w:rsid w:val="002D0F24"/>
    <w:rsid w:val="002D129E"/>
    <w:rsid w:val="002E18D0"/>
    <w:rsid w:val="002E5700"/>
    <w:rsid w:val="002E6A9A"/>
    <w:rsid w:val="002E71D4"/>
    <w:rsid w:val="002F007C"/>
    <w:rsid w:val="002F02CF"/>
    <w:rsid w:val="002F7113"/>
    <w:rsid w:val="003005D9"/>
    <w:rsid w:val="0030364D"/>
    <w:rsid w:val="003040B1"/>
    <w:rsid w:val="00307B30"/>
    <w:rsid w:val="00310A43"/>
    <w:rsid w:val="00312662"/>
    <w:rsid w:val="00313239"/>
    <w:rsid w:val="00323709"/>
    <w:rsid w:val="00325AA6"/>
    <w:rsid w:val="003333B0"/>
    <w:rsid w:val="0033387E"/>
    <w:rsid w:val="00342766"/>
    <w:rsid w:val="00345605"/>
    <w:rsid w:val="00353C2B"/>
    <w:rsid w:val="00353E68"/>
    <w:rsid w:val="00354280"/>
    <w:rsid w:val="00355BB1"/>
    <w:rsid w:val="00355D44"/>
    <w:rsid w:val="00361C14"/>
    <w:rsid w:val="00362328"/>
    <w:rsid w:val="003707D2"/>
    <w:rsid w:val="003717D8"/>
    <w:rsid w:val="00376855"/>
    <w:rsid w:val="00381919"/>
    <w:rsid w:val="00382CE1"/>
    <w:rsid w:val="00384400"/>
    <w:rsid w:val="00390C34"/>
    <w:rsid w:val="003928A3"/>
    <w:rsid w:val="00394153"/>
    <w:rsid w:val="003948CB"/>
    <w:rsid w:val="003A0F4A"/>
    <w:rsid w:val="003A2727"/>
    <w:rsid w:val="003A3191"/>
    <w:rsid w:val="003B789C"/>
    <w:rsid w:val="003C3BDC"/>
    <w:rsid w:val="003C53B7"/>
    <w:rsid w:val="003C5F9B"/>
    <w:rsid w:val="003D32D5"/>
    <w:rsid w:val="003D6D70"/>
    <w:rsid w:val="003D7824"/>
    <w:rsid w:val="003E0372"/>
    <w:rsid w:val="003E573D"/>
    <w:rsid w:val="003F2CB0"/>
    <w:rsid w:val="003F4A4A"/>
    <w:rsid w:val="003F6A4C"/>
    <w:rsid w:val="00400C4C"/>
    <w:rsid w:val="00400D8E"/>
    <w:rsid w:val="00401DFB"/>
    <w:rsid w:val="0040409F"/>
    <w:rsid w:val="00410C69"/>
    <w:rsid w:val="004143F5"/>
    <w:rsid w:val="00422DEB"/>
    <w:rsid w:val="0042402C"/>
    <w:rsid w:val="004266E1"/>
    <w:rsid w:val="00427864"/>
    <w:rsid w:val="004300C8"/>
    <w:rsid w:val="00430D84"/>
    <w:rsid w:val="00432831"/>
    <w:rsid w:val="00432863"/>
    <w:rsid w:val="004328F7"/>
    <w:rsid w:val="004339CE"/>
    <w:rsid w:val="00433E9A"/>
    <w:rsid w:val="0044140C"/>
    <w:rsid w:val="00444DAF"/>
    <w:rsid w:val="00447A9E"/>
    <w:rsid w:val="004562E8"/>
    <w:rsid w:val="0046027D"/>
    <w:rsid w:val="00461E36"/>
    <w:rsid w:val="00463128"/>
    <w:rsid w:val="0046513D"/>
    <w:rsid w:val="0046543D"/>
    <w:rsid w:val="00466179"/>
    <w:rsid w:val="0047156E"/>
    <w:rsid w:val="004747E6"/>
    <w:rsid w:val="004800B1"/>
    <w:rsid w:val="00481573"/>
    <w:rsid w:val="00495517"/>
    <w:rsid w:val="004965E7"/>
    <w:rsid w:val="004A304B"/>
    <w:rsid w:val="004A4DC6"/>
    <w:rsid w:val="004A4F42"/>
    <w:rsid w:val="004A5494"/>
    <w:rsid w:val="004A5CC8"/>
    <w:rsid w:val="004B0C22"/>
    <w:rsid w:val="004B1486"/>
    <w:rsid w:val="004C0CB3"/>
    <w:rsid w:val="004C2FF8"/>
    <w:rsid w:val="004C53A1"/>
    <w:rsid w:val="004C6E6C"/>
    <w:rsid w:val="004D495B"/>
    <w:rsid w:val="004E7553"/>
    <w:rsid w:val="004F08EA"/>
    <w:rsid w:val="004F1EED"/>
    <w:rsid w:val="004F3642"/>
    <w:rsid w:val="004F539F"/>
    <w:rsid w:val="005014AA"/>
    <w:rsid w:val="00506428"/>
    <w:rsid w:val="00512E5F"/>
    <w:rsid w:val="0051480C"/>
    <w:rsid w:val="005169CF"/>
    <w:rsid w:val="005232E4"/>
    <w:rsid w:val="00524C40"/>
    <w:rsid w:val="005258B9"/>
    <w:rsid w:val="0053122B"/>
    <w:rsid w:val="005404F1"/>
    <w:rsid w:val="00540B54"/>
    <w:rsid w:val="00541CD0"/>
    <w:rsid w:val="00543F9E"/>
    <w:rsid w:val="005441D6"/>
    <w:rsid w:val="00550CF7"/>
    <w:rsid w:val="005549E2"/>
    <w:rsid w:val="00555D28"/>
    <w:rsid w:val="00556DF1"/>
    <w:rsid w:val="0056186E"/>
    <w:rsid w:val="00561BC3"/>
    <w:rsid w:val="0056279F"/>
    <w:rsid w:val="00567805"/>
    <w:rsid w:val="00573254"/>
    <w:rsid w:val="00574B99"/>
    <w:rsid w:val="0057622B"/>
    <w:rsid w:val="00580CEF"/>
    <w:rsid w:val="00580EF2"/>
    <w:rsid w:val="00582EE4"/>
    <w:rsid w:val="005842DE"/>
    <w:rsid w:val="00584821"/>
    <w:rsid w:val="00586FDE"/>
    <w:rsid w:val="00595B08"/>
    <w:rsid w:val="00596CD9"/>
    <w:rsid w:val="00597D41"/>
    <w:rsid w:val="005A17E9"/>
    <w:rsid w:val="005A1FEE"/>
    <w:rsid w:val="005A2CC6"/>
    <w:rsid w:val="005A3F6D"/>
    <w:rsid w:val="005A728F"/>
    <w:rsid w:val="005A7304"/>
    <w:rsid w:val="005B5335"/>
    <w:rsid w:val="005B63F6"/>
    <w:rsid w:val="005B79BC"/>
    <w:rsid w:val="005C16A2"/>
    <w:rsid w:val="005C241B"/>
    <w:rsid w:val="005C2858"/>
    <w:rsid w:val="005C5358"/>
    <w:rsid w:val="005D362C"/>
    <w:rsid w:val="005E0DB1"/>
    <w:rsid w:val="005E189E"/>
    <w:rsid w:val="005E1EF4"/>
    <w:rsid w:val="005E4A0A"/>
    <w:rsid w:val="005E55D0"/>
    <w:rsid w:val="005E6287"/>
    <w:rsid w:val="005F1ED3"/>
    <w:rsid w:val="00603793"/>
    <w:rsid w:val="0060624F"/>
    <w:rsid w:val="00606FD0"/>
    <w:rsid w:val="00611935"/>
    <w:rsid w:val="006138C4"/>
    <w:rsid w:val="0062155A"/>
    <w:rsid w:val="00621A35"/>
    <w:rsid w:val="0062649D"/>
    <w:rsid w:val="00630347"/>
    <w:rsid w:val="006316CF"/>
    <w:rsid w:val="00634249"/>
    <w:rsid w:val="00637013"/>
    <w:rsid w:val="00637DEA"/>
    <w:rsid w:val="00650A48"/>
    <w:rsid w:val="006522F3"/>
    <w:rsid w:val="006525AA"/>
    <w:rsid w:val="00653C1C"/>
    <w:rsid w:val="00653E62"/>
    <w:rsid w:val="00661AAD"/>
    <w:rsid w:val="006667F9"/>
    <w:rsid w:val="0067599A"/>
    <w:rsid w:val="00684B2D"/>
    <w:rsid w:val="00686381"/>
    <w:rsid w:val="0069286F"/>
    <w:rsid w:val="00692AEB"/>
    <w:rsid w:val="00693B34"/>
    <w:rsid w:val="006B3005"/>
    <w:rsid w:val="006B3234"/>
    <w:rsid w:val="006C1871"/>
    <w:rsid w:val="006C2D2B"/>
    <w:rsid w:val="006D42D0"/>
    <w:rsid w:val="006D4ED8"/>
    <w:rsid w:val="006E0FE1"/>
    <w:rsid w:val="006E743A"/>
    <w:rsid w:val="006F0479"/>
    <w:rsid w:val="006F6405"/>
    <w:rsid w:val="006F7876"/>
    <w:rsid w:val="00702C53"/>
    <w:rsid w:val="00702FF1"/>
    <w:rsid w:val="00705293"/>
    <w:rsid w:val="007069A9"/>
    <w:rsid w:val="007102C0"/>
    <w:rsid w:val="00723D3A"/>
    <w:rsid w:val="007243B5"/>
    <w:rsid w:val="007251D8"/>
    <w:rsid w:val="007302BC"/>
    <w:rsid w:val="00734A9E"/>
    <w:rsid w:val="00736947"/>
    <w:rsid w:val="00736C62"/>
    <w:rsid w:val="00740B03"/>
    <w:rsid w:val="00751206"/>
    <w:rsid w:val="007533A7"/>
    <w:rsid w:val="007533AC"/>
    <w:rsid w:val="00755567"/>
    <w:rsid w:val="00755F15"/>
    <w:rsid w:val="00761FD8"/>
    <w:rsid w:val="007632B4"/>
    <w:rsid w:val="00765516"/>
    <w:rsid w:val="007667B9"/>
    <w:rsid w:val="00772545"/>
    <w:rsid w:val="00773FCA"/>
    <w:rsid w:val="00774732"/>
    <w:rsid w:val="0077733A"/>
    <w:rsid w:val="00780B5B"/>
    <w:rsid w:val="007819D0"/>
    <w:rsid w:val="007828D7"/>
    <w:rsid w:val="00782ED3"/>
    <w:rsid w:val="007920BA"/>
    <w:rsid w:val="007A07C6"/>
    <w:rsid w:val="007B2F22"/>
    <w:rsid w:val="007B48FD"/>
    <w:rsid w:val="007B7B9B"/>
    <w:rsid w:val="007C03E8"/>
    <w:rsid w:val="007C13E2"/>
    <w:rsid w:val="007C1C78"/>
    <w:rsid w:val="007C49D7"/>
    <w:rsid w:val="007D53F5"/>
    <w:rsid w:val="007E0311"/>
    <w:rsid w:val="007E629C"/>
    <w:rsid w:val="007F0B40"/>
    <w:rsid w:val="007F3339"/>
    <w:rsid w:val="007F54E5"/>
    <w:rsid w:val="007F644C"/>
    <w:rsid w:val="007F7B25"/>
    <w:rsid w:val="0080208B"/>
    <w:rsid w:val="00803520"/>
    <w:rsid w:val="008041A6"/>
    <w:rsid w:val="008078B2"/>
    <w:rsid w:val="00807911"/>
    <w:rsid w:val="00810A70"/>
    <w:rsid w:val="0081229B"/>
    <w:rsid w:val="00812D22"/>
    <w:rsid w:val="00813CDF"/>
    <w:rsid w:val="0081520B"/>
    <w:rsid w:val="00815408"/>
    <w:rsid w:val="00817B53"/>
    <w:rsid w:val="0082335A"/>
    <w:rsid w:val="00825309"/>
    <w:rsid w:val="008454D9"/>
    <w:rsid w:val="00845514"/>
    <w:rsid w:val="00853AD2"/>
    <w:rsid w:val="00857B22"/>
    <w:rsid w:val="00861E49"/>
    <w:rsid w:val="00864294"/>
    <w:rsid w:val="00870BC8"/>
    <w:rsid w:val="0087103F"/>
    <w:rsid w:val="00875320"/>
    <w:rsid w:val="00877BBB"/>
    <w:rsid w:val="00881379"/>
    <w:rsid w:val="008817E9"/>
    <w:rsid w:val="00882EF1"/>
    <w:rsid w:val="008868A4"/>
    <w:rsid w:val="0088758F"/>
    <w:rsid w:val="0089365C"/>
    <w:rsid w:val="008946B8"/>
    <w:rsid w:val="00896B04"/>
    <w:rsid w:val="00896D1E"/>
    <w:rsid w:val="008A1098"/>
    <w:rsid w:val="008A1354"/>
    <w:rsid w:val="008A501D"/>
    <w:rsid w:val="008A739B"/>
    <w:rsid w:val="008B399F"/>
    <w:rsid w:val="008B6D8E"/>
    <w:rsid w:val="008C0E77"/>
    <w:rsid w:val="008C1012"/>
    <w:rsid w:val="008C41AD"/>
    <w:rsid w:val="008C5B56"/>
    <w:rsid w:val="008D09CE"/>
    <w:rsid w:val="008D25AD"/>
    <w:rsid w:val="008D3C8D"/>
    <w:rsid w:val="008D63BF"/>
    <w:rsid w:val="008E1042"/>
    <w:rsid w:val="008E32AC"/>
    <w:rsid w:val="008E33AC"/>
    <w:rsid w:val="008E378A"/>
    <w:rsid w:val="008E433C"/>
    <w:rsid w:val="008F3C5E"/>
    <w:rsid w:val="009014C1"/>
    <w:rsid w:val="00906C62"/>
    <w:rsid w:val="00910120"/>
    <w:rsid w:val="00914B09"/>
    <w:rsid w:val="00916129"/>
    <w:rsid w:val="00916D14"/>
    <w:rsid w:val="009249F0"/>
    <w:rsid w:val="009257BF"/>
    <w:rsid w:val="0092665B"/>
    <w:rsid w:val="0093371E"/>
    <w:rsid w:val="00941E85"/>
    <w:rsid w:val="00942459"/>
    <w:rsid w:val="00943C09"/>
    <w:rsid w:val="00943CB8"/>
    <w:rsid w:val="00947C75"/>
    <w:rsid w:val="00953697"/>
    <w:rsid w:val="009540F0"/>
    <w:rsid w:val="0095507D"/>
    <w:rsid w:val="00961B5F"/>
    <w:rsid w:val="00962E3A"/>
    <w:rsid w:val="0096648D"/>
    <w:rsid w:val="009671FC"/>
    <w:rsid w:val="00971A7B"/>
    <w:rsid w:val="00974FFD"/>
    <w:rsid w:val="00977061"/>
    <w:rsid w:val="00980798"/>
    <w:rsid w:val="009809E0"/>
    <w:rsid w:val="0098102F"/>
    <w:rsid w:val="009828C2"/>
    <w:rsid w:val="0098487D"/>
    <w:rsid w:val="00985677"/>
    <w:rsid w:val="00987EE3"/>
    <w:rsid w:val="009900C3"/>
    <w:rsid w:val="0099113D"/>
    <w:rsid w:val="00995510"/>
    <w:rsid w:val="0099721A"/>
    <w:rsid w:val="009975CB"/>
    <w:rsid w:val="009A0BA7"/>
    <w:rsid w:val="009A3441"/>
    <w:rsid w:val="009A4095"/>
    <w:rsid w:val="009C7290"/>
    <w:rsid w:val="009C79CC"/>
    <w:rsid w:val="009D64DB"/>
    <w:rsid w:val="009D6650"/>
    <w:rsid w:val="009E39A0"/>
    <w:rsid w:val="009E691E"/>
    <w:rsid w:val="009F15D2"/>
    <w:rsid w:val="009F60E4"/>
    <w:rsid w:val="00A02FCE"/>
    <w:rsid w:val="00A03B76"/>
    <w:rsid w:val="00A04540"/>
    <w:rsid w:val="00A04A33"/>
    <w:rsid w:val="00A1196F"/>
    <w:rsid w:val="00A12B51"/>
    <w:rsid w:val="00A219D9"/>
    <w:rsid w:val="00A2401E"/>
    <w:rsid w:val="00A27279"/>
    <w:rsid w:val="00A3050E"/>
    <w:rsid w:val="00A31ABA"/>
    <w:rsid w:val="00A36EA4"/>
    <w:rsid w:val="00A374E3"/>
    <w:rsid w:val="00A40008"/>
    <w:rsid w:val="00A418A1"/>
    <w:rsid w:val="00A43F29"/>
    <w:rsid w:val="00A44DC8"/>
    <w:rsid w:val="00A51091"/>
    <w:rsid w:val="00A56A6A"/>
    <w:rsid w:val="00A56BCC"/>
    <w:rsid w:val="00A62596"/>
    <w:rsid w:val="00A7175F"/>
    <w:rsid w:val="00A74034"/>
    <w:rsid w:val="00A85F20"/>
    <w:rsid w:val="00A973F8"/>
    <w:rsid w:val="00AA5C31"/>
    <w:rsid w:val="00AB41C5"/>
    <w:rsid w:val="00AB43F2"/>
    <w:rsid w:val="00AB4574"/>
    <w:rsid w:val="00AB775E"/>
    <w:rsid w:val="00AB7764"/>
    <w:rsid w:val="00AC4975"/>
    <w:rsid w:val="00AC5A2C"/>
    <w:rsid w:val="00AE7218"/>
    <w:rsid w:val="00AE7274"/>
    <w:rsid w:val="00AF34FA"/>
    <w:rsid w:val="00AF3C9B"/>
    <w:rsid w:val="00AF5663"/>
    <w:rsid w:val="00B03589"/>
    <w:rsid w:val="00B07B68"/>
    <w:rsid w:val="00B105C1"/>
    <w:rsid w:val="00B13EBA"/>
    <w:rsid w:val="00B1714E"/>
    <w:rsid w:val="00B270B1"/>
    <w:rsid w:val="00B35B6D"/>
    <w:rsid w:val="00B373CE"/>
    <w:rsid w:val="00B40B1E"/>
    <w:rsid w:val="00B45207"/>
    <w:rsid w:val="00B5187D"/>
    <w:rsid w:val="00B51A30"/>
    <w:rsid w:val="00B51EBF"/>
    <w:rsid w:val="00B55AAB"/>
    <w:rsid w:val="00B578FF"/>
    <w:rsid w:val="00B66509"/>
    <w:rsid w:val="00B66FD5"/>
    <w:rsid w:val="00B67595"/>
    <w:rsid w:val="00B72CD3"/>
    <w:rsid w:val="00B77671"/>
    <w:rsid w:val="00B801F2"/>
    <w:rsid w:val="00B8400E"/>
    <w:rsid w:val="00B90DD2"/>
    <w:rsid w:val="00B91418"/>
    <w:rsid w:val="00B94F6A"/>
    <w:rsid w:val="00B9584C"/>
    <w:rsid w:val="00B9623E"/>
    <w:rsid w:val="00B979D3"/>
    <w:rsid w:val="00BA0261"/>
    <w:rsid w:val="00BA09C8"/>
    <w:rsid w:val="00BA4408"/>
    <w:rsid w:val="00BA4C88"/>
    <w:rsid w:val="00BA7849"/>
    <w:rsid w:val="00BB4D3B"/>
    <w:rsid w:val="00BC009E"/>
    <w:rsid w:val="00BC2B81"/>
    <w:rsid w:val="00BC2C1B"/>
    <w:rsid w:val="00BC3307"/>
    <w:rsid w:val="00BC4738"/>
    <w:rsid w:val="00BC7501"/>
    <w:rsid w:val="00BD1F3B"/>
    <w:rsid w:val="00BD4BD6"/>
    <w:rsid w:val="00BD5D57"/>
    <w:rsid w:val="00BD64DF"/>
    <w:rsid w:val="00BE04B6"/>
    <w:rsid w:val="00BE3990"/>
    <w:rsid w:val="00BE4531"/>
    <w:rsid w:val="00BE5244"/>
    <w:rsid w:val="00BE6596"/>
    <w:rsid w:val="00BF007D"/>
    <w:rsid w:val="00BF1A68"/>
    <w:rsid w:val="00BF4D3C"/>
    <w:rsid w:val="00BF67C8"/>
    <w:rsid w:val="00C005A2"/>
    <w:rsid w:val="00C01103"/>
    <w:rsid w:val="00C0112F"/>
    <w:rsid w:val="00C06C18"/>
    <w:rsid w:val="00C06E31"/>
    <w:rsid w:val="00C077B9"/>
    <w:rsid w:val="00C110D5"/>
    <w:rsid w:val="00C12A78"/>
    <w:rsid w:val="00C139D3"/>
    <w:rsid w:val="00C14493"/>
    <w:rsid w:val="00C20B6C"/>
    <w:rsid w:val="00C22084"/>
    <w:rsid w:val="00C224CB"/>
    <w:rsid w:val="00C24291"/>
    <w:rsid w:val="00C257E6"/>
    <w:rsid w:val="00C30C41"/>
    <w:rsid w:val="00C32EF2"/>
    <w:rsid w:val="00C4053D"/>
    <w:rsid w:val="00C46204"/>
    <w:rsid w:val="00C47A49"/>
    <w:rsid w:val="00C54084"/>
    <w:rsid w:val="00C54CC7"/>
    <w:rsid w:val="00C60175"/>
    <w:rsid w:val="00C6039C"/>
    <w:rsid w:val="00C62567"/>
    <w:rsid w:val="00C72383"/>
    <w:rsid w:val="00C72A34"/>
    <w:rsid w:val="00C74B26"/>
    <w:rsid w:val="00C75017"/>
    <w:rsid w:val="00C81644"/>
    <w:rsid w:val="00C84066"/>
    <w:rsid w:val="00C85966"/>
    <w:rsid w:val="00C90704"/>
    <w:rsid w:val="00C973E8"/>
    <w:rsid w:val="00CA0CB5"/>
    <w:rsid w:val="00CA33E4"/>
    <w:rsid w:val="00CA4332"/>
    <w:rsid w:val="00CB7F24"/>
    <w:rsid w:val="00CD1A26"/>
    <w:rsid w:val="00CD3A3D"/>
    <w:rsid w:val="00CD5551"/>
    <w:rsid w:val="00CD72F8"/>
    <w:rsid w:val="00CE4004"/>
    <w:rsid w:val="00CE619A"/>
    <w:rsid w:val="00CE785B"/>
    <w:rsid w:val="00CE7A75"/>
    <w:rsid w:val="00CE7B7C"/>
    <w:rsid w:val="00CF0BA8"/>
    <w:rsid w:val="00CF0EAC"/>
    <w:rsid w:val="00CF320F"/>
    <w:rsid w:val="00CF5EAA"/>
    <w:rsid w:val="00CF63AE"/>
    <w:rsid w:val="00CF7687"/>
    <w:rsid w:val="00D00FE7"/>
    <w:rsid w:val="00D115EC"/>
    <w:rsid w:val="00D11646"/>
    <w:rsid w:val="00D11E7E"/>
    <w:rsid w:val="00D136BF"/>
    <w:rsid w:val="00D13FE0"/>
    <w:rsid w:val="00D23C4B"/>
    <w:rsid w:val="00D251AF"/>
    <w:rsid w:val="00D27620"/>
    <w:rsid w:val="00D35469"/>
    <w:rsid w:val="00D36EC0"/>
    <w:rsid w:val="00D400BF"/>
    <w:rsid w:val="00D4476F"/>
    <w:rsid w:val="00D465A3"/>
    <w:rsid w:val="00D46AEA"/>
    <w:rsid w:val="00D46B05"/>
    <w:rsid w:val="00D50FBB"/>
    <w:rsid w:val="00D5278A"/>
    <w:rsid w:val="00D54409"/>
    <w:rsid w:val="00D63F71"/>
    <w:rsid w:val="00D67738"/>
    <w:rsid w:val="00D71253"/>
    <w:rsid w:val="00D71257"/>
    <w:rsid w:val="00D724B0"/>
    <w:rsid w:val="00D728FD"/>
    <w:rsid w:val="00D75439"/>
    <w:rsid w:val="00D77621"/>
    <w:rsid w:val="00D77C81"/>
    <w:rsid w:val="00D81F63"/>
    <w:rsid w:val="00D8230C"/>
    <w:rsid w:val="00D82676"/>
    <w:rsid w:val="00D82E82"/>
    <w:rsid w:val="00D83730"/>
    <w:rsid w:val="00D85BCE"/>
    <w:rsid w:val="00D91316"/>
    <w:rsid w:val="00D92A00"/>
    <w:rsid w:val="00D93162"/>
    <w:rsid w:val="00D94F61"/>
    <w:rsid w:val="00D96852"/>
    <w:rsid w:val="00DA13F9"/>
    <w:rsid w:val="00DA1441"/>
    <w:rsid w:val="00DA2484"/>
    <w:rsid w:val="00DA3C86"/>
    <w:rsid w:val="00DA66B1"/>
    <w:rsid w:val="00DB0486"/>
    <w:rsid w:val="00DB1563"/>
    <w:rsid w:val="00DB256F"/>
    <w:rsid w:val="00DB2696"/>
    <w:rsid w:val="00DB5E91"/>
    <w:rsid w:val="00DB60FC"/>
    <w:rsid w:val="00DC4F99"/>
    <w:rsid w:val="00DD2189"/>
    <w:rsid w:val="00DD2191"/>
    <w:rsid w:val="00DD4002"/>
    <w:rsid w:val="00DD70A1"/>
    <w:rsid w:val="00DE5D24"/>
    <w:rsid w:val="00DE6B78"/>
    <w:rsid w:val="00DF38C1"/>
    <w:rsid w:val="00DF493F"/>
    <w:rsid w:val="00E02976"/>
    <w:rsid w:val="00E04129"/>
    <w:rsid w:val="00E05BAD"/>
    <w:rsid w:val="00E067F2"/>
    <w:rsid w:val="00E104B5"/>
    <w:rsid w:val="00E12C9E"/>
    <w:rsid w:val="00E16FD3"/>
    <w:rsid w:val="00E202A3"/>
    <w:rsid w:val="00E24724"/>
    <w:rsid w:val="00E25D13"/>
    <w:rsid w:val="00E2611E"/>
    <w:rsid w:val="00E34F38"/>
    <w:rsid w:val="00E42475"/>
    <w:rsid w:val="00E44767"/>
    <w:rsid w:val="00E44C64"/>
    <w:rsid w:val="00E47706"/>
    <w:rsid w:val="00E507C6"/>
    <w:rsid w:val="00E51319"/>
    <w:rsid w:val="00E65644"/>
    <w:rsid w:val="00E66B38"/>
    <w:rsid w:val="00E67484"/>
    <w:rsid w:val="00E80DBE"/>
    <w:rsid w:val="00E8307F"/>
    <w:rsid w:val="00E855AA"/>
    <w:rsid w:val="00E86C94"/>
    <w:rsid w:val="00E93360"/>
    <w:rsid w:val="00E95BBE"/>
    <w:rsid w:val="00E96DC2"/>
    <w:rsid w:val="00EA057A"/>
    <w:rsid w:val="00EA0A5C"/>
    <w:rsid w:val="00EA3715"/>
    <w:rsid w:val="00EA5240"/>
    <w:rsid w:val="00EA5A9A"/>
    <w:rsid w:val="00EA734C"/>
    <w:rsid w:val="00EA78C2"/>
    <w:rsid w:val="00EB401A"/>
    <w:rsid w:val="00EB5FEE"/>
    <w:rsid w:val="00EC7766"/>
    <w:rsid w:val="00ED0077"/>
    <w:rsid w:val="00ED3A14"/>
    <w:rsid w:val="00ED6B64"/>
    <w:rsid w:val="00EF0D16"/>
    <w:rsid w:val="00EF1F2B"/>
    <w:rsid w:val="00EF222A"/>
    <w:rsid w:val="00EF34F1"/>
    <w:rsid w:val="00EF3DAF"/>
    <w:rsid w:val="00EF7A10"/>
    <w:rsid w:val="00F11D5F"/>
    <w:rsid w:val="00F16AF7"/>
    <w:rsid w:val="00F2561E"/>
    <w:rsid w:val="00F408E6"/>
    <w:rsid w:val="00F43850"/>
    <w:rsid w:val="00F4531E"/>
    <w:rsid w:val="00F45819"/>
    <w:rsid w:val="00F45FDB"/>
    <w:rsid w:val="00F461DF"/>
    <w:rsid w:val="00F51B83"/>
    <w:rsid w:val="00F51D1A"/>
    <w:rsid w:val="00F51F23"/>
    <w:rsid w:val="00F57F1C"/>
    <w:rsid w:val="00F6007A"/>
    <w:rsid w:val="00F62882"/>
    <w:rsid w:val="00F64F43"/>
    <w:rsid w:val="00F66661"/>
    <w:rsid w:val="00F67108"/>
    <w:rsid w:val="00F704C2"/>
    <w:rsid w:val="00F724D5"/>
    <w:rsid w:val="00F738F9"/>
    <w:rsid w:val="00F77550"/>
    <w:rsid w:val="00F81C7A"/>
    <w:rsid w:val="00F85AFC"/>
    <w:rsid w:val="00F87788"/>
    <w:rsid w:val="00F9046A"/>
    <w:rsid w:val="00F96A26"/>
    <w:rsid w:val="00F96EA8"/>
    <w:rsid w:val="00F979A5"/>
    <w:rsid w:val="00FA164D"/>
    <w:rsid w:val="00FA2CFD"/>
    <w:rsid w:val="00FA3F98"/>
    <w:rsid w:val="00FA4D22"/>
    <w:rsid w:val="00FB4DF8"/>
    <w:rsid w:val="00FC1194"/>
    <w:rsid w:val="00FC3AE3"/>
    <w:rsid w:val="00FD3CE8"/>
    <w:rsid w:val="00FE317F"/>
    <w:rsid w:val="00FE3415"/>
    <w:rsid w:val="00FF1BEB"/>
    <w:rsid w:val="00FF370B"/>
    <w:rsid w:val="00FF54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2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C2D2B"/>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C2D2B"/>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D85BC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6C2D2B"/>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2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6C2D2B"/>
    <w:rPr>
      <w:rFonts w:ascii="Times New Roman" w:eastAsiaTheme="majorEastAsia" w:hAnsi="Times New Roman" w:cstheme="majorBidi"/>
      <w:b/>
      <w:bCs/>
      <w:sz w:val="28"/>
      <w:szCs w:val="26"/>
    </w:rPr>
  </w:style>
  <w:style w:type="character" w:customStyle="1" w:styleId="Heading4Char">
    <w:name w:val="Heading 4 Char"/>
    <w:basedOn w:val="DefaultParagraphFont"/>
    <w:link w:val="Heading4"/>
    <w:uiPriority w:val="9"/>
    <w:rsid w:val="006C2D2B"/>
    <w:rPr>
      <w:rFonts w:ascii="Times New Roman" w:eastAsiaTheme="majorEastAsia" w:hAnsi="Times New Roman" w:cstheme="majorBidi"/>
      <w:b/>
      <w:bCs/>
      <w:i/>
      <w:iCs/>
      <w:sz w:val="24"/>
    </w:rPr>
  </w:style>
  <w:style w:type="character" w:customStyle="1" w:styleId="Heading3Char">
    <w:name w:val="Heading 3 Char"/>
    <w:basedOn w:val="DefaultParagraphFont"/>
    <w:link w:val="Heading3"/>
    <w:uiPriority w:val="9"/>
    <w:rsid w:val="00D85BCE"/>
    <w:rPr>
      <w:rFonts w:ascii="Times New Roman" w:eastAsiaTheme="majorEastAsia" w:hAnsi="Times New Roman" w:cstheme="majorBidi"/>
      <w:b/>
      <w:bCs/>
      <w:sz w:val="24"/>
    </w:rPr>
  </w:style>
  <w:style w:type="paragraph" w:styleId="BodyText2">
    <w:name w:val="Body Text 2"/>
    <w:basedOn w:val="Normal"/>
    <w:link w:val="BodyText2Char"/>
    <w:uiPriority w:val="99"/>
    <w:rsid w:val="00F6007A"/>
    <w:pPr>
      <w:spacing w:after="120" w:line="480" w:lineRule="auto"/>
    </w:pPr>
    <w:rPr>
      <w:rFonts w:eastAsia="Times New Roman" w:cs="Times New Roman"/>
      <w:szCs w:val="24"/>
      <w:lang w:val="en-GB"/>
    </w:rPr>
  </w:style>
  <w:style w:type="character" w:customStyle="1" w:styleId="BodyText2Char">
    <w:name w:val="Body Text 2 Char"/>
    <w:basedOn w:val="DefaultParagraphFont"/>
    <w:link w:val="BodyText2"/>
    <w:uiPriority w:val="99"/>
    <w:rsid w:val="00F6007A"/>
    <w:rPr>
      <w:rFonts w:ascii="Times New Roman" w:eastAsia="Times New Roman" w:hAnsi="Times New Roman" w:cs="Times New Roman"/>
      <w:sz w:val="24"/>
      <w:szCs w:val="24"/>
      <w:lang w:val="en-GB"/>
    </w:rPr>
  </w:style>
  <w:style w:type="table" w:styleId="MediumList1-Accent3">
    <w:name w:val="Medium List 1 Accent 3"/>
    <w:basedOn w:val="TableNormal"/>
    <w:uiPriority w:val="65"/>
    <w:rsid w:val="00F6007A"/>
    <w:pPr>
      <w:spacing w:after="0" w:line="240" w:lineRule="auto"/>
    </w:pPr>
    <w:rPr>
      <w:color w:val="000000" w:themeColor="text1"/>
      <w:sz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odyTextIndent">
    <w:name w:val="Body Text Indent"/>
    <w:basedOn w:val="Normal"/>
    <w:link w:val="BodyTextIndentChar"/>
    <w:uiPriority w:val="99"/>
    <w:rsid w:val="00F6007A"/>
    <w:pPr>
      <w:spacing w:after="120"/>
      <w:ind w:left="283"/>
    </w:pPr>
    <w:rPr>
      <w:rFonts w:eastAsia="Times New Roman" w:cs="Times New Roman"/>
      <w:szCs w:val="24"/>
      <w:lang w:val="en-GB"/>
    </w:rPr>
  </w:style>
  <w:style w:type="character" w:customStyle="1" w:styleId="BodyTextIndentChar">
    <w:name w:val="Body Text Indent Char"/>
    <w:basedOn w:val="DefaultParagraphFont"/>
    <w:link w:val="BodyTextIndent"/>
    <w:uiPriority w:val="99"/>
    <w:rsid w:val="00F6007A"/>
    <w:rPr>
      <w:rFonts w:ascii="Times New Roman" w:eastAsia="Times New Roman" w:hAnsi="Times New Roman" w:cs="Times New Roman"/>
      <w:sz w:val="24"/>
      <w:szCs w:val="24"/>
      <w:lang w:val="en-GB"/>
    </w:rPr>
  </w:style>
  <w:style w:type="paragraph" w:customStyle="1" w:styleId="TabvirsrakstsB11">
    <w:name w:val="Tab_virsraksts_B_11"/>
    <w:basedOn w:val="Normal"/>
    <w:rsid w:val="00F6007A"/>
    <w:pPr>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cs="Times New Roman"/>
      <w:b/>
      <w:color w:val="000000"/>
      <w:szCs w:val="20"/>
    </w:rPr>
  </w:style>
  <w:style w:type="paragraph" w:styleId="BalloonText">
    <w:name w:val="Balloon Text"/>
    <w:basedOn w:val="Normal"/>
    <w:link w:val="BalloonTextChar"/>
    <w:uiPriority w:val="99"/>
    <w:semiHidden/>
    <w:unhideWhenUsed/>
    <w:rsid w:val="00F6007A"/>
    <w:rPr>
      <w:rFonts w:ascii="Tahoma" w:hAnsi="Tahoma" w:cs="Tahoma"/>
      <w:sz w:val="16"/>
      <w:szCs w:val="16"/>
    </w:rPr>
  </w:style>
  <w:style w:type="character" w:customStyle="1" w:styleId="BalloonTextChar">
    <w:name w:val="Balloon Text Char"/>
    <w:basedOn w:val="DefaultParagraphFont"/>
    <w:link w:val="BalloonText"/>
    <w:uiPriority w:val="99"/>
    <w:semiHidden/>
    <w:rsid w:val="00F6007A"/>
    <w:rPr>
      <w:rFonts w:ascii="Tahoma" w:hAnsi="Tahoma" w:cs="Tahoma"/>
      <w:sz w:val="16"/>
      <w:szCs w:val="16"/>
    </w:rPr>
  </w:style>
  <w:style w:type="paragraph" w:styleId="TOC1">
    <w:name w:val="toc 1"/>
    <w:basedOn w:val="Normal"/>
    <w:next w:val="Normal"/>
    <w:autoRedefine/>
    <w:uiPriority w:val="39"/>
    <w:unhideWhenUsed/>
    <w:qFormat/>
    <w:rsid w:val="00DA2484"/>
    <w:pPr>
      <w:tabs>
        <w:tab w:val="right" w:leader="dot" w:pos="9498"/>
      </w:tabs>
      <w:spacing w:before="120" w:after="40"/>
    </w:pPr>
    <w:rPr>
      <w:rFonts w:eastAsia="Calibri" w:cs="Times New Roman"/>
      <w:b/>
      <w:noProof/>
      <w:szCs w:val="28"/>
    </w:rPr>
  </w:style>
  <w:style w:type="character" w:styleId="Hyperlink">
    <w:name w:val="Hyperlink"/>
    <w:basedOn w:val="DefaultParagraphFont"/>
    <w:uiPriority w:val="99"/>
    <w:unhideWhenUsed/>
    <w:rsid w:val="00F6007A"/>
    <w:rPr>
      <w:color w:val="0000FF" w:themeColor="hyperlink"/>
      <w:u w:val="single"/>
    </w:rPr>
  </w:style>
  <w:style w:type="paragraph" w:styleId="Header">
    <w:name w:val="header"/>
    <w:basedOn w:val="Normal"/>
    <w:link w:val="HeaderChar"/>
    <w:uiPriority w:val="99"/>
    <w:unhideWhenUsed/>
    <w:rsid w:val="00F6007A"/>
    <w:pPr>
      <w:tabs>
        <w:tab w:val="center" w:pos="4153"/>
        <w:tab w:val="right" w:pos="8306"/>
      </w:tabs>
    </w:pPr>
  </w:style>
  <w:style w:type="character" w:customStyle="1" w:styleId="HeaderChar">
    <w:name w:val="Header Char"/>
    <w:basedOn w:val="DefaultParagraphFont"/>
    <w:link w:val="Header"/>
    <w:uiPriority w:val="99"/>
    <w:rsid w:val="00F6007A"/>
    <w:rPr>
      <w:rFonts w:ascii="Times New Roman" w:hAnsi="Times New Roman"/>
      <w:sz w:val="24"/>
    </w:rPr>
  </w:style>
  <w:style w:type="paragraph" w:styleId="Footer">
    <w:name w:val="footer"/>
    <w:basedOn w:val="Normal"/>
    <w:link w:val="FooterChar"/>
    <w:uiPriority w:val="99"/>
    <w:unhideWhenUsed/>
    <w:rsid w:val="00F6007A"/>
    <w:pPr>
      <w:tabs>
        <w:tab w:val="center" w:pos="4153"/>
        <w:tab w:val="right" w:pos="8306"/>
      </w:tabs>
    </w:pPr>
  </w:style>
  <w:style w:type="character" w:customStyle="1" w:styleId="FooterChar">
    <w:name w:val="Footer Char"/>
    <w:basedOn w:val="DefaultParagraphFont"/>
    <w:link w:val="Footer"/>
    <w:uiPriority w:val="99"/>
    <w:rsid w:val="00F6007A"/>
    <w:rPr>
      <w:rFonts w:ascii="Times New Roman" w:hAnsi="Times New Roman"/>
      <w:sz w:val="24"/>
    </w:rPr>
  </w:style>
  <w:style w:type="paragraph" w:styleId="Subtitle">
    <w:name w:val="Subtitle"/>
    <w:basedOn w:val="Normal"/>
    <w:next w:val="Normal"/>
    <w:link w:val="SubtitleChar"/>
    <w:qFormat/>
    <w:rsid w:val="00160804"/>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rsid w:val="00160804"/>
    <w:rPr>
      <w:rFonts w:ascii="Times New Roman" w:eastAsia="Times New Roman" w:hAnsi="Times New Roman" w:cs="Times New Roman"/>
      <w:b/>
      <w:sz w:val="26"/>
      <w:szCs w:val="20"/>
      <w:lang w:val="en-AU"/>
    </w:rPr>
  </w:style>
  <w:style w:type="character" w:styleId="FollowedHyperlink">
    <w:name w:val="FollowedHyperlink"/>
    <w:basedOn w:val="DefaultParagraphFont"/>
    <w:uiPriority w:val="99"/>
    <w:semiHidden/>
    <w:unhideWhenUsed/>
    <w:rsid w:val="004339CE"/>
    <w:rPr>
      <w:color w:val="800080"/>
      <w:u w:val="single"/>
    </w:rPr>
  </w:style>
  <w:style w:type="paragraph" w:customStyle="1" w:styleId="xl76">
    <w:name w:val="xl76"/>
    <w:basedOn w:val="Normal"/>
    <w:rsid w:val="004339CE"/>
    <w:pPr>
      <w:spacing w:before="100" w:beforeAutospacing="1" w:after="100" w:afterAutospacing="1"/>
    </w:pPr>
    <w:rPr>
      <w:rFonts w:ascii="Arial Narrow" w:eastAsia="Times New Roman" w:hAnsi="Arial Narrow" w:cs="Times New Roman"/>
      <w:sz w:val="20"/>
      <w:szCs w:val="20"/>
      <w:lang w:eastAsia="lv-LV"/>
    </w:rPr>
  </w:style>
  <w:style w:type="paragraph" w:customStyle="1" w:styleId="xl77">
    <w:name w:val="xl77"/>
    <w:basedOn w:val="Normal"/>
    <w:rsid w:val="004339CE"/>
    <w:pPr>
      <w:spacing w:before="100" w:beforeAutospacing="1" w:after="100" w:afterAutospacing="1"/>
    </w:pPr>
    <w:rPr>
      <w:rFonts w:ascii="Arial Narrow" w:eastAsia="Times New Roman" w:hAnsi="Arial Narrow" w:cs="Times New Roman"/>
      <w:b/>
      <w:bCs/>
      <w:sz w:val="20"/>
      <w:szCs w:val="20"/>
      <w:lang w:eastAsia="lv-LV"/>
    </w:rPr>
  </w:style>
  <w:style w:type="paragraph" w:customStyle="1" w:styleId="xl78">
    <w:name w:val="xl78"/>
    <w:basedOn w:val="Normal"/>
    <w:rsid w:val="004339CE"/>
    <w:pPr>
      <w:spacing w:before="100" w:beforeAutospacing="1" w:after="100" w:afterAutospacing="1"/>
    </w:pPr>
    <w:rPr>
      <w:rFonts w:eastAsia="Times New Roman" w:cs="Times New Roman"/>
      <w:color w:val="C00000"/>
      <w:szCs w:val="24"/>
      <w:lang w:eastAsia="lv-LV"/>
    </w:rPr>
  </w:style>
  <w:style w:type="paragraph" w:customStyle="1" w:styleId="xl79">
    <w:name w:val="xl79"/>
    <w:basedOn w:val="Normal"/>
    <w:rsid w:val="004339CE"/>
    <w:pPr>
      <w:spacing w:before="100" w:beforeAutospacing="1" w:after="100" w:afterAutospacing="1"/>
    </w:pPr>
    <w:rPr>
      <w:rFonts w:eastAsia="Times New Roman" w:cs="Times New Roman"/>
      <w:b/>
      <w:bCs/>
      <w:szCs w:val="24"/>
      <w:lang w:eastAsia="lv-LV"/>
    </w:rPr>
  </w:style>
  <w:style w:type="paragraph" w:customStyle="1" w:styleId="xl80">
    <w:name w:val="xl80"/>
    <w:basedOn w:val="Normal"/>
    <w:rsid w:val="004339CE"/>
    <w:pPr>
      <w:spacing w:before="100" w:beforeAutospacing="1" w:after="100" w:afterAutospacing="1"/>
    </w:pPr>
    <w:rPr>
      <w:rFonts w:eastAsia="Times New Roman" w:cs="Times New Roman"/>
      <w:b/>
      <w:bCs/>
      <w:szCs w:val="24"/>
      <w:lang w:eastAsia="lv-LV"/>
    </w:rPr>
  </w:style>
  <w:style w:type="paragraph" w:customStyle="1" w:styleId="xl81">
    <w:name w:val="xl81"/>
    <w:basedOn w:val="Normal"/>
    <w:rsid w:val="004339CE"/>
    <w:pPr>
      <w:spacing w:before="100" w:beforeAutospacing="1" w:after="100" w:afterAutospacing="1"/>
    </w:pPr>
    <w:rPr>
      <w:rFonts w:eastAsia="Times New Roman" w:cs="Times New Roman"/>
      <w:szCs w:val="24"/>
      <w:lang w:eastAsia="lv-LV"/>
    </w:rPr>
  </w:style>
  <w:style w:type="paragraph" w:customStyle="1" w:styleId="xl83">
    <w:name w:val="xl83"/>
    <w:basedOn w:val="Normal"/>
    <w:rsid w:val="004339CE"/>
    <w:pPr>
      <w:spacing w:before="100" w:beforeAutospacing="1" w:after="100" w:afterAutospacing="1"/>
    </w:pPr>
    <w:rPr>
      <w:rFonts w:eastAsia="Times New Roman" w:cs="Times New Roman"/>
      <w:szCs w:val="24"/>
      <w:lang w:eastAsia="lv-LV"/>
    </w:rPr>
  </w:style>
  <w:style w:type="paragraph" w:customStyle="1" w:styleId="xl84">
    <w:name w:val="xl84"/>
    <w:basedOn w:val="Normal"/>
    <w:rsid w:val="004339CE"/>
    <w:pPr>
      <w:spacing w:before="100" w:beforeAutospacing="1" w:after="100" w:afterAutospacing="1"/>
    </w:pPr>
    <w:rPr>
      <w:rFonts w:eastAsia="Times New Roman" w:cs="Times New Roman"/>
      <w:b/>
      <w:bCs/>
      <w:szCs w:val="24"/>
      <w:lang w:eastAsia="lv-LV"/>
    </w:rPr>
  </w:style>
  <w:style w:type="paragraph" w:customStyle="1" w:styleId="xl85">
    <w:name w:val="xl85"/>
    <w:basedOn w:val="Normal"/>
    <w:rsid w:val="004339CE"/>
    <w:pPr>
      <w:shd w:val="clear" w:color="000000" w:fill="D8D8D8"/>
      <w:spacing w:before="100" w:beforeAutospacing="1" w:after="100" w:afterAutospacing="1"/>
      <w:jc w:val="center"/>
    </w:pPr>
    <w:rPr>
      <w:rFonts w:eastAsia="Times New Roman" w:cs="Times New Roman"/>
      <w:b/>
      <w:bCs/>
      <w:szCs w:val="24"/>
      <w:lang w:eastAsia="lv-LV"/>
    </w:rPr>
  </w:style>
  <w:style w:type="paragraph" w:customStyle="1" w:styleId="xl86">
    <w:name w:val="xl86"/>
    <w:basedOn w:val="Normal"/>
    <w:rsid w:val="004339CE"/>
    <w:pPr>
      <w:spacing w:before="100" w:beforeAutospacing="1" w:after="100" w:afterAutospacing="1"/>
    </w:pPr>
    <w:rPr>
      <w:rFonts w:eastAsia="Times New Roman" w:cs="Times New Roman"/>
      <w:b/>
      <w:bCs/>
      <w:szCs w:val="24"/>
      <w:lang w:eastAsia="lv-LV"/>
    </w:rPr>
  </w:style>
  <w:style w:type="paragraph" w:customStyle="1" w:styleId="xl87">
    <w:name w:val="xl87"/>
    <w:basedOn w:val="Normal"/>
    <w:rsid w:val="004339CE"/>
    <w:pPr>
      <w:pBdr>
        <w:bottom w:val="single" w:sz="4" w:space="0" w:color="auto"/>
      </w:pBdr>
      <w:spacing w:before="100" w:beforeAutospacing="1" w:after="100" w:afterAutospacing="1"/>
    </w:pPr>
    <w:rPr>
      <w:rFonts w:eastAsia="Times New Roman" w:cs="Times New Roman"/>
      <w:b/>
      <w:bCs/>
      <w:szCs w:val="24"/>
      <w:lang w:eastAsia="lv-LV"/>
    </w:rPr>
  </w:style>
  <w:style w:type="paragraph" w:customStyle="1" w:styleId="xl88">
    <w:name w:val="xl88"/>
    <w:basedOn w:val="Normal"/>
    <w:rsid w:val="004339CE"/>
    <w:pPr>
      <w:spacing w:before="100" w:beforeAutospacing="1" w:after="100" w:afterAutospacing="1"/>
    </w:pPr>
    <w:rPr>
      <w:rFonts w:eastAsia="Times New Roman" w:cs="Times New Roman"/>
      <w:b/>
      <w:bCs/>
      <w:i/>
      <w:iCs/>
      <w:szCs w:val="24"/>
      <w:lang w:eastAsia="lv-LV"/>
    </w:rPr>
  </w:style>
  <w:style w:type="paragraph" w:customStyle="1" w:styleId="xl89">
    <w:name w:val="xl89"/>
    <w:basedOn w:val="Normal"/>
    <w:rsid w:val="004339CE"/>
    <w:pPr>
      <w:spacing w:before="100" w:beforeAutospacing="1" w:after="100" w:afterAutospacing="1"/>
    </w:pPr>
    <w:rPr>
      <w:rFonts w:eastAsia="Times New Roman" w:cs="Times New Roman"/>
      <w:b/>
      <w:bCs/>
      <w:i/>
      <w:iCs/>
      <w:szCs w:val="24"/>
      <w:u w:val="single"/>
      <w:lang w:eastAsia="lv-LV"/>
    </w:rPr>
  </w:style>
  <w:style w:type="paragraph" w:customStyle="1" w:styleId="xl90">
    <w:name w:val="xl90"/>
    <w:basedOn w:val="Normal"/>
    <w:rsid w:val="004339CE"/>
    <w:pPr>
      <w:shd w:val="clear" w:color="000000" w:fill="D8D8D8"/>
      <w:spacing w:before="100" w:beforeAutospacing="1" w:after="100" w:afterAutospacing="1"/>
      <w:jc w:val="center"/>
    </w:pPr>
    <w:rPr>
      <w:rFonts w:eastAsia="Times New Roman" w:cs="Times New Roman"/>
      <w:b/>
      <w:bCs/>
      <w:szCs w:val="24"/>
      <w:lang w:eastAsia="lv-LV"/>
    </w:rPr>
  </w:style>
  <w:style w:type="paragraph" w:customStyle="1" w:styleId="xl91">
    <w:name w:val="xl91"/>
    <w:basedOn w:val="Normal"/>
    <w:rsid w:val="004339CE"/>
    <w:pPr>
      <w:shd w:val="clear" w:color="000000" w:fill="D8D8D8"/>
      <w:spacing w:before="100" w:beforeAutospacing="1" w:after="100" w:afterAutospacing="1"/>
      <w:jc w:val="center"/>
    </w:pPr>
    <w:rPr>
      <w:rFonts w:eastAsia="Times New Roman" w:cs="Times New Roman"/>
      <w:b/>
      <w:bCs/>
      <w:szCs w:val="24"/>
      <w:lang w:eastAsia="lv-LV"/>
    </w:rPr>
  </w:style>
  <w:style w:type="paragraph" w:customStyle="1" w:styleId="xl92">
    <w:name w:val="xl92"/>
    <w:basedOn w:val="Normal"/>
    <w:rsid w:val="004339CE"/>
    <w:pPr>
      <w:spacing w:before="100" w:beforeAutospacing="1" w:after="100" w:afterAutospacing="1"/>
    </w:pPr>
    <w:rPr>
      <w:rFonts w:eastAsia="Times New Roman" w:cs="Times New Roman"/>
      <w:b/>
      <w:bCs/>
      <w:szCs w:val="24"/>
      <w:lang w:eastAsia="lv-LV"/>
    </w:rPr>
  </w:style>
  <w:style w:type="paragraph" w:customStyle="1" w:styleId="xl93">
    <w:name w:val="xl93"/>
    <w:basedOn w:val="Normal"/>
    <w:rsid w:val="004339CE"/>
    <w:pPr>
      <w:spacing w:before="100" w:beforeAutospacing="1" w:after="100" w:afterAutospacing="1"/>
    </w:pPr>
    <w:rPr>
      <w:rFonts w:eastAsia="Times New Roman" w:cs="Times New Roman"/>
      <w:szCs w:val="24"/>
      <w:lang w:eastAsia="lv-LV"/>
    </w:rPr>
  </w:style>
  <w:style w:type="paragraph" w:customStyle="1" w:styleId="xl94">
    <w:name w:val="xl94"/>
    <w:basedOn w:val="Normal"/>
    <w:rsid w:val="004339CE"/>
    <w:pPr>
      <w:spacing w:before="100" w:beforeAutospacing="1" w:after="100" w:afterAutospacing="1"/>
    </w:pPr>
    <w:rPr>
      <w:rFonts w:eastAsia="Times New Roman" w:cs="Times New Roman"/>
      <w:b/>
      <w:bCs/>
      <w:szCs w:val="24"/>
      <w:lang w:eastAsia="lv-LV"/>
    </w:rPr>
  </w:style>
  <w:style w:type="table" w:styleId="TableGrid">
    <w:name w:val="Table Grid"/>
    <w:basedOn w:val="TableNormal"/>
    <w:uiPriority w:val="59"/>
    <w:rsid w:val="00433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39CE"/>
    <w:pPr>
      <w:ind w:left="720"/>
      <w:contextualSpacing/>
    </w:pPr>
  </w:style>
  <w:style w:type="table" w:styleId="LightShading-Accent4">
    <w:name w:val="Light Shading Accent 4"/>
    <w:basedOn w:val="TableNormal"/>
    <w:uiPriority w:val="60"/>
    <w:rsid w:val="004339C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Indent3">
    <w:name w:val="Body Text Indent 3"/>
    <w:basedOn w:val="Normal"/>
    <w:link w:val="BodyTextIndent3Char"/>
    <w:rsid w:val="004339CE"/>
    <w:pPr>
      <w:ind w:firstLine="567"/>
      <w:jc w:val="both"/>
    </w:pPr>
    <w:rPr>
      <w:rFonts w:eastAsia="Times New Roman" w:cs="Times New Roman"/>
      <w:sz w:val="22"/>
      <w:szCs w:val="24"/>
    </w:rPr>
  </w:style>
  <w:style w:type="character" w:customStyle="1" w:styleId="BodyTextIndent3Char">
    <w:name w:val="Body Text Indent 3 Char"/>
    <w:basedOn w:val="DefaultParagraphFont"/>
    <w:link w:val="BodyTextIndent3"/>
    <w:rsid w:val="004339CE"/>
    <w:rPr>
      <w:rFonts w:ascii="Times New Roman" w:eastAsia="Times New Roman" w:hAnsi="Times New Roman" w:cs="Times New Roman"/>
      <w:sz w:val="22"/>
      <w:szCs w:val="24"/>
    </w:rPr>
  </w:style>
  <w:style w:type="table" w:customStyle="1" w:styleId="LightGrid1">
    <w:name w:val="Light Grid1"/>
    <w:basedOn w:val="TableNormal"/>
    <w:uiPriority w:val="62"/>
    <w:rsid w:val="004339C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4339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339CE"/>
    <w:pPr>
      <w:spacing w:after="0" w:line="240" w:lineRule="auto"/>
    </w:pPr>
    <w:rPr>
      <w:rFonts w:ascii="Times New Roman" w:hAnsi="Times New Roman"/>
      <w:sz w:val="24"/>
    </w:rPr>
  </w:style>
  <w:style w:type="paragraph" w:styleId="NormalWeb">
    <w:name w:val="Normal (Web)"/>
    <w:basedOn w:val="Normal"/>
    <w:uiPriority w:val="99"/>
    <w:unhideWhenUsed/>
    <w:rsid w:val="004339CE"/>
    <w:pPr>
      <w:spacing w:before="100" w:beforeAutospacing="1" w:after="100" w:afterAutospacing="1"/>
    </w:pPr>
    <w:rPr>
      <w:rFonts w:eastAsia="Times New Roman" w:cs="Times New Roman"/>
      <w:szCs w:val="24"/>
      <w:lang w:eastAsia="lv-LV"/>
    </w:rPr>
  </w:style>
  <w:style w:type="paragraph" w:styleId="TOCHeading">
    <w:name w:val="TOC Heading"/>
    <w:basedOn w:val="Heading1"/>
    <w:next w:val="Normal"/>
    <w:uiPriority w:val="39"/>
    <w:unhideWhenUsed/>
    <w:qFormat/>
    <w:rsid w:val="00063A1A"/>
    <w:pPr>
      <w:spacing w:before="480"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063A1A"/>
    <w:pPr>
      <w:spacing w:after="100"/>
      <w:ind w:left="240"/>
    </w:pPr>
  </w:style>
  <w:style w:type="table" w:customStyle="1" w:styleId="LightShading2">
    <w:name w:val="Light Shading2"/>
    <w:basedOn w:val="TableNormal"/>
    <w:uiPriority w:val="60"/>
    <w:rsid w:val="00F96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ksts11">
    <w:name w:val="Taksts_11"/>
    <w:basedOn w:val="Normal"/>
    <w:rsid w:val="006E743A"/>
    <w:pPr>
      <w:ind w:firstLine="567"/>
      <w:jc w:val="both"/>
    </w:pPr>
    <w:rPr>
      <w:rFonts w:eastAsia="Times New Roman" w:cs="Times New Roman"/>
      <w:szCs w:val="20"/>
      <w:lang w:val="en-US"/>
    </w:rPr>
  </w:style>
  <w:style w:type="paragraph" w:styleId="FootnoteText">
    <w:name w:val="footnote text"/>
    <w:basedOn w:val="Normal"/>
    <w:link w:val="FootnoteTextChar"/>
    <w:uiPriority w:val="99"/>
    <w:semiHidden/>
    <w:unhideWhenUsed/>
    <w:rsid w:val="00260C68"/>
    <w:rPr>
      <w:sz w:val="20"/>
      <w:szCs w:val="20"/>
    </w:rPr>
  </w:style>
  <w:style w:type="character" w:customStyle="1" w:styleId="FootnoteTextChar">
    <w:name w:val="Footnote Text Char"/>
    <w:basedOn w:val="DefaultParagraphFont"/>
    <w:link w:val="FootnoteText"/>
    <w:uiPriority w:val="99"/>
    <w:semiHidden/>
    <w:rsid w:val="00260C68"/>
    <w:rPr>
      <w:rFonts w:ascii="Times New Roman" w:hAnsi="Times New Roman"/>
      <w:sz w:val="20"/>
      <w:szCs w:val="20"/>
    </w:rPr>
  </w:style>
  <w:style w:type="character" w:styleId="FootnoteReference">
    <w:name w:val="footnote reference"/>
    <w:basedOn w:val="DefaultParagraphFont"/>
    <w:uiPriority w:val="99"/>
    <w:semiHidden/>
    <w:unhideWhenUsed/>
    <w:rsid w:val="00260C68"/>
    <w:rPr>
      <w:vertAlign w:val="superscript"/>
    </w:rPr>
  </w:style>
  <w:style w:type="paragraph" w:customStyle="1" w:styleId="Default">
    <w:name w:val="Default"/>
    <w:rsid w:val="009856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TOC3">
    <w:name w:val="toc 3"/>
    <w:basedOn w:val="Normal"/>
    <w:next w:val="Normal"/>
    <w:autoRedefine/>
    <w:uiPriority w:val="39"/>
    <w:unhideWhenUsed/>
    <w:rsid w:val="00307B30"/>
    <w:pPr>
      <w:spacing w:after="100"/>
      <w:ind w:left="480"/>
    </w:pPr>
  </w:style>
  <w:style w:type="paragraph" w:styleId="EndnoteText">
    <w:name w:val="endnote text"/>
    <w:basedOn w:val="Normal"/>
    <w:link w:val="EndnoteTextChar"/>
    <w:uiPriority w:val="99"/>
    <w:unhideWhenUsed/>
    <w:rsid w:val="00B91418"/>
    <w:rPr>
      <w:sz w:val="20"/>
      <w:szCs w:val="20"/>
    </w:rPr>
  </w:style>
  <w:style w:type="character" w:customStyle="1" w:styleId="EndnoteTextChar">
    <w:name w:val="Endnote Text Char"/>
    <w:basedOn w:val="DefaultParagraphFont"/>
    <w:link w:val="EndnoteText"/>
    <w:uiPriority w:val="99"/>
    <w:rsid w:val="00B91418"/>
    <w:rPr>
      <w:rFonts w:ascii="Times New Roman" w:hAnsi="Times New Roman"/>
      <w:sz w:val="20"/>
      <w:szCs w:val="20"/>
    </w:rPr>
  </w:style>
  <w:style w:type="character" w:styleId="EndnoteReference">
    <w:name w:val="endnote reference"/>
    <w:basedOn w:val="DefaultParagraphFont"/>
    <w:uiPriority w:val="99"/>
    <w:semiHidden/>
    <w:unhideWhenUsed/>
    <w:rsid w:val="00B91418"/>
    <w:rPr>
      <w:vertAlign w:val="superscript"/>
    </w:rPr>
  </w:style>
  <w:style w:type="character" w:styleId="CommentReference">
    <w:name w:val="annotation reference"/>
    <w:basedOn w:val="DefaultParagraphFont"/>
    <w:uiPriority w:val="99"/>
    <w:semiHidden/>
    <w:unhideWhenUsed/>
    <w:rsid w:val="00DC4F99"/>
    <w:rPr>
      <w:sz w:val="16"/>
      <w:szCs w:val="16"/>
    </w:rPr>
  </w:style>
  <w:style w:type="paragraph" w:styleId="CommentText">
    <w:name w:val="annotation text"/>
    <w:basedOn w:val="Normal"/>
    <w:link w:val="CommentTextChar"/>
    <w:uiPriority w:val="99"/>
    <w:semiHidden/>
    <w:unhideWhenUsed/>
    <w:rsid w:val="00DC4F99"/>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DC4F99"/>
    <w:rPr>
      <w:rFonts w:ascii="Times New Roman" w:eastAsia="Calibri" w:hAnsi="Times New Roman" w:cs="Times New Roman"/>
      <w:sz w:val="20"/>
      <w:szCs w:val="20"/>
    </w:rPr>
  </w:style>
  <w:style w:type="character" w:customStyle="1" w:styleId="apple-style-span">
    <w:name w:val="apple-style-span"/>
    <w:basedOn w:val="DefaultParagraphFont"/>
    <w:rsid w:val="00AB43F2"/>
  </w:style>
  <w:style w:type="character" w:styleId="Strong">
    <w:name w:val="Strong"/>
    <w:basedOn w:val="DefaultParagraphFont"/>
    <w:uiPriority w:val="22"/>
    <w:qFormat/>
    <w:rsid w:val="0093371E"/>
    <w:rPr>
      <w:b/>
      <w:bCs/>
    </w:rPr>
  </w:style>
  <w:style w:type="paragraph" w:styleId="BodyTextIndent2">
    <w:name w:val="Body Text Indent 2"/>
    <w:basedOn w:val="Normal"/>
    <w:link w:val="BodyTextIndent2Char"/>
    <w:uiPriority w:val="99"/>
    <w:semiHidden/>
    <w:unhideWhenUsed/>
    <w:rsid w:val="0093371E"/>
    <w:pPr>
      <w:spacing w:after="120" w:line="480" w:lineRule="auto"/>
      <w:ind w:left="283"/>
    </w:pPr>
  </w:style>
  <w:style w:type="character" w:customStyle="1" w:styleId="BodyTextIndent2Char">
    <w:name w:val="Body Text Indent 2 Char"/>
    <w:basedOn w:val="DefaultParagraphFont"/>
    <w:link w:val="BodyTextIndent2"/>
    <w:uiPriority w:val="99"/>
    <w:semiHidden/>
    <w:rsid w:val="0093371E"/>
    <w:rPr>
      <w:rFonts w:ascii="Times New Roman" w:hAnsi="Times New Roman"/>
      <w:sz w:val="24"/>
    </w:rPr>
  </w:style>
  <w:style w:type="table" w:customStyle="1" w:styleId="LightShading3">
    <w:name w:val="Light Shading3"/>
    <w:basedOn w:val="TableNormal"/>
    <w:uiPriority w:val="60"/>
    <w:rsid w:val="009337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E96DC2"/>
    <w:pPr>
      <w:spacing w:after="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E96DC2"/>
    <w:rPr>
      <w:b/>
      <w:bCs/>
    </w:rPr>
  </w:style>
  <w:style w:type="paragraph" w:styleId="Revision">
    <w:name w:val="Revision"/>
    <w:hidden/>
    <w:uiPriority w:val="99"/>
    <w:semiHidden/>
    <w:rsid w:val="00C54CC7"/>
    <w:pPr>
      <w:spacing w:after="0" w:line="240" w:lineRule="auto"/>
    </w:pPr>
    <w:rPr>
      <w:rFonts w:ascii="Times New Roman" w:hAnsi="Times New Roman"/>
      <w:sz w:val="24"/>
    </w:rPr>
  </w:style>
  <w:style w:type="character" w:customStyle="1" w:styleId="spelle">
    <w:name w:val="spelle"/>
    <w:basedOn w:val="DefaultParagraphFont"/>
    <w:rsid w:val="00B55AAB"/>
  </w:style>
  <w:style w:type="paragraph" w:customStyle="1" w:styleId="naisf">
    <w:name w:val="naisf"/>
    <w:basedOn w:val="Normal"/>
    <w:rsid w:val="00D115EC"/>
    <w:pPr>
      <w:spacing w:before="75" w:after="75"/>
      <w:ind w:firstLine="375"/>
      <w:jc w:val="both"/>
    </w:pPr>
    <w:rPr>
      <w:rFonts w:cs="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696352397">
      <w:bodyDiv w:val="1"/>
      <w:marLeft w:val="0"/>
      <w:marRight w:val="0"/>
      <w:marTop w:val="0"/>
      <w:marBottom w:val="0"/>
      <w:divBdr>
        <w:top w:val="none" w:sz="0" w:space="0" w:color="auto"/>
        <w:left w:val="none" w:sz="0" w:space="0" w:color="auto"/>
        <w:bottom w:val="none" w:sz="0" w:space="0" w:color="auto"/>
        <w:right w:val="none" w:sz="0" w:space="0" w:color="auto"/>
      </w:divBdr>
      <w:divsChild>
        <w:div w:id="67307211">
          <w:marLeft w:val="0"/>
          <w:marRight w:val="0"/>
          <w:marTop w:val="0"/>
          <w:marBottom w:val="200"/>
          <w:divBdr>
            <w:top w:val="none" w:sz="0" w:space="0" w:color="auto"/>
            <w:left w:val="none" w:sz="0" w:space="0" w:color="auto"/>
            <w:bottom w:val="none" w:sz="0" w:space="0" w:color="auto"/>
            <w:right w:val="none" w:sz="0" w:space="0" w:color="auto"/>
          </w:divBdr>
        </w:div>
      </w:divsChild>
    </w:div>
    <w:div w:id="1006984334">
      <w:bodyDiv w:val="1"/>
      <w:marLeft w:val="0"/>
      <w:marRight w:val="0"/>
      <w:marTop w:val="0"/>
      <w:marBottom w:val="0"/>
      <w:divBdr>
        <w:top w:val="none" w:sz="0" w:space="0" w:color="auto"/>
        <w:left w:val="none" w:sz="0" w:space="0" w:color="auto"/>
        <w:bottom w:val="none" w:sz="0" w:space="0" w:color="auto"/>
        <w:right w:val="none" w:sz="0" w:space="0" w:color="auto"/>
      </w:divBdr>
    </w:div>
    <w:div w:id="1071807105">
      <w:bodyDiv w:val="1"/>
      <w:marLeft w:val="0"/>
      <w:marRight w:val="0"/>
      <w:marTop w:val="0"/>
      <w:marBottom w:val="0"/>
      <w:divBdr>
        <w:top w:val="none" w:sz="0" w:space="0" w:color="auto"/>
        <w:left w:val="none" w:sz="0" w:space="0" w:color="auto"/>
        <w:bottom w:val="none" w:sz="0" w:space="0" w:color="auto"/>
        <w:right w:val="none" w:sz="0" w:space="0" w:color="auto"/>
      </w:divBdr>
    </w:div>
    <w:div w:id="1077676787">
      <w:bodyDiv w:val="1"/>
      <w:marLeft w:val="0"/>
      <w:marRight w:val="0"/>
      <w:marTop w:val="0"/>
      <w:marBottom w:val="0"/>
      <w:divBdr>
        <w:top w:val="none" w:sz="0" w:space="0" w:color="auto"/>
        <w:left w:val="none" w:sz="0" w:space="0" w:color="auto"/>
        <w:bottom w:val="none" w:sz="0" w:space="0" w:color="auto"/>
        <w:right w:val="none" w:sz="0" w:space="0" w:color="auto"/>
      </w:divBdr>
    </w:div>
    <w:div w:id="1156923412">
      <w:bodyDiv w:val="1"/>
      <w:marLeft w:val="0"/>
      <w:marRight w:val="0"/>
      <w:marTop w:val="0"/>
      <w:marBottom w:val="0"/>
      <w:divBdr>
        <w:top w:val="none" w:sz="0" w:space="0" w:color="auto"/>
        <w:left w:val="none" w:sz="0" w:space="0" w:color="auto"/>
        <w:bottom w:val="none" w:sz="0" w:space="0" w:color="auto"/>
        <w:right w:val="none" w:sz="0" w:space="0" w:color="auto"/>
      </w:divBdr>
    </w:div>
    <w:div w:id="1163932437">
      <w:bodyDiv w:val="1"/>
      <w:marLeft w:val="0"/>
      <w:marRight w:val="0"/>
      <w:marTop w:val="0"/>
      <w:marBottom w:val="0"/>
      <w:divBdr>
        <w:top w:val="none" w:sz="0" w:space="0" w:color="auto"/>
        <w:left w:val="none" w:sz="0" w:space="0" w:color="auto"/>
        <w:bottom w:val="none" w:sz="0" w:space="0" w:color="auto"/>
        <w:right w:val="none" w:sz="0" w:space="0" w:color="auto"/>
      </w:divBdr>
    </w:div>
    <w:div w:id="1293945676">
      <w:bodyDiv w:val="1"/>
      <w:marLeft w:val="0"/>
      <w:marRight w:val="0"/>
      <w:marTop w:val="0"/>
      <w:marBottom w:val="0"/>
      <w:divBdr>
        <w:top w:val="none" w:sz="0" w:space="0" w:color="auto"/>
        <w:left w:val="none" w:sz="0" w:space="0" w:color="auto"/>
        <w:bottom w:val="none" w:sz="0" w:space="0" w:color="auto"/>
        <w:right w:val="none" w:sz="0" w:space="0" w:color="auto"/>
      </w:divBdr>
    </w:div>
    <w:div w:id="1814131196">
      <w:bodyDiv w:val="1"/>
      <w:marLeft w:val="0"/>
      <w:marRight w:val="0"/>
      <w:marTop w:val="0"/>
      <w:marBottom w:val="0"/>
      <w:divBdr>
        <w:top w:val="none" w:sz="0" w:space="0" w:color="auto"/>
        <w:left w:val="none" w:sz="0" w:space="0" w:color="auto"/>
        <w:bottom w:val="none" w:sz="0" w:space="0" w:color="auto"/>
        <w:right w:val="none" w:sz="0" w:space="0" w:color="auto"/>
      </w:divBdr>
      <w:divsChild>
        <w:div w:id="1579050256">
          <w:marLeft w:val="0"/>
          <w:marRight w:val="0"/>
          <w:marTop w:val="0"/>
          <w:marBottom w:val="0"/>
          <w:divBdr>
            <w:top w:val="none" w:sz="0" w:space="0" w:color="auto"/>
            <w:left w:val="none" w:sz="0" w:space="0" w:color="auto"/>
            <w:bottom w:val="none" w:sz="0" w:space="0" w:color="auto"/>
            <w:right w:val="none" w:sz="0" w:space="0" w:color="auto"/>
          </w:divBdr>
        </w:div>
        <w:div w:id="1147893861">
          <w:marLeft w:val="0"/>
          <w:marRight w:val="0"/>
          <w:marTop w:val="0"/>
          <w:marBottom w:val="0"/>
          <w:divBdr>
            <w:top w:val="none" w:sz="0" w:space="0" w:color="auto"/>
            <w:left w:val="none" w:sz="0" w:space="0" w:color="auto"/>
            <w:bottom w:val="none" w:sz="0" w:space="0" w:color="auto"/>
            <w:right w:val="none" w:sz="0" w:space="0" w:color="auto"/>
          </w:divBdr>
        </w:div>
        <w:div w:id="1470124026">
          <w:marLeft w:val="0"/>
          <w:marRight w:val="0"/>
          <w:marTop w:val="0"/>
          <w:marBottom w:val="0"/>
          <w:divBdr>
            <w:top w:val="none" w:sz="0" w:space="0" w:color="auto"/>
            <w:left w:val="none" w:sz="0" w:space="0" w:color="auto"/>
            <w:bottom w:val="none" w:sz="0" w:space="0" w:color="auto"/>
            <w:right w:val="none" w:sz="0" w:space="0" w:color="auto"/>
          </w:divBdr>
        </w:div>
        <w:div w:id="139863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mailto:janis.salmins@em.gov.lv"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mf.org/external/pubs/ft/weo/2009/02/index.htm" TargetMode="External"/><Relationship Id="rId2" Type="http://schemas.openxmlformats.org/officeDocument/2006/relationships/hyperlink" Target="http://ec.europa.eu/economy_finance/publications/specpub_list12526.htm" TargetMode="External"/><Relationship Id="rId1" Type="http://schemas.openxmlformats.org/officeDocument/2006/relationships/hyperlink" Target="http://www.weforum.org/en/initiatives/gcp/Global%20Competitiveness%20Report/index.htm" TargetMode="External"/><Relationship Id="rId5" Type="http://schemas.openxmlformats.org/officeDocument/2006/relationships/hyperlink" Target="http://www.fktk.lv/lv/statistika/jaunumi/" TargetMode="External"/><Relationship Id="rId4" Type="http://schemas.openxmlformats.org/officeDocument/2006/relationships/hyperlink" Target="http://www.bank.lv/lat/main/all/statistika/banku-stat/dati2006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28012737744275207"/>
          <c:y val="8.3806282279231745E-2"/>
          <c:w val="0.36930585098663632"/>
          <c:h val="0.75409872153078505"/>
        </c:manualLayout>
      </c:layout>
      <c:radarChart>
        <c:radarStyle val="marker"/>
        <c:ser>
          <c:idx val="0"/>
          <c:order val="0"/>
          <c:tx>
            <c:strRef>
              <c:f>Sheet1!$B$1</c:f>
              <c:strCache>
                <c:ptCount val="1"/>
                <c:pt idx="0">
                  <c:v>Latvija</c:v>
                </c:pt>
              </c:strCache>
            </c:strRef>
          </c:tx>
          <c:spPr>
            <a:ln>
              <a:solidFill>
                <a:srgbClr val="C00000"/>
              </a:solidFill>
            </a:ln>
          </c:spPr>
          <c:marker>
            <c:symbol val="none"/>
          </c:marker>
          <c:cat>
            <c:strRef>
              <c:f>Sheet1!$A$2:$A$13</c:f>
              <c:strCache>
                <c:ptCount val="12"/>
                <c:pt idx="0">
                  <c:v>Institucionālais ietvars</c:v>
                </c:pt>
                <c:pt idx="1">
                  <c:v>Sabiedrisko tīklu infrastruktūra</c:v>
                </c:pt>
                <c:pt idx="2">
                  <c:v>Makroekonomiskā stabilitāte</c:v>
                </c:pt>
                <c:pt idx="3">
                  <c:v>Veselības stāvoklis un pamatizglītība</c:v>
                </c:pt>
                <c:pt idx="4">
                  <c:v>Augstākā izglītība un apmācība</c:v>
                </c:pt>
                <c:pt idx="5">
                  <c:v>Produktu tirgus efektivitāte</c:v>
                </c:pt>
                <c:pt idx="6">
                  <c:v>Darba tirgus efektivitāte</c:v>
                </c:pt>
                <c:pt idx="7">
                  <c:v>Finanšu tirgus attīstības līmenis</c:v>
                </c:pt>
                <c:pt idx="8">
                  <c:v>Tehnoloģiju līmenis</c:v>
                </c:pt>
                <c:pt idx="9">
                  <c:v>Atvērtība un tirgus lielums</c:v>
                </c:pt>
                <c:pt idx="10">
                  <c:v>Uzņēmējdarbības kvalitāte</c:v>
                </c:pt>
                <c:pt idx="11">
                  <c:v>Inovācijas</c:v>
                </c:pt>
              </c:strCache>
            </c:strRef>
          </c:cat>
          <c:val>
            <c:numRef>
              <c:f>Sheet1!$B$2:$B$13</c:f>
              <c:numCache>
                <c:formatCode>0.00</c:formatCode>
                <c:ptCount val="12"/>
                <c:pt idx="0">
                  <c:v>3.9099999999999997</c:v>
                </c:pt>
                <c:pt idx="1">
                  <c:v>4.04</c:v>
                </c:pt>
                <c:pt idx="2">
                  <c:v>4.2</c:v>
                </c:pt>
                <c:pt idx="3">
                  <c:v>5.6599999999999975</c:v>
                </c:pt>
                <c:pt idx="4">
                  <c:v>4.6599999999999975</c:v>
                </c:pt>
                <c:pt idx="5">
                  <c:v>4.29</c:v>
                </c:pt>
                <c:pt idx="6">
                  <c:v>4.7</c:v>
                </c:pt>
                <c:pt idx="7">
                  <c:v>4.3199999999999985</c:v>
                </c:pt>
                <c:pt idx="8">
                  <c:v>4</c:v>
                </c:pt>
                <c:pt idx="9">
                  <c:v>3.27</c:v>
                </c:pt>
                <c:pt idx="10">
                  <c:v>3.79</c:v>
                </c:pt>
                <c:pt idx="11">
                  <c:v>2.94</c:v>
                </c:pt>
              </c:numCache>
            </c:numRef>
          </c:val>
        </c:ser>
        <c:ser>
          <c:idx val="1"/>
          <c:order val="1"/>
          <c:tx>
            <c:strRef>
              <c:f>Sheet1!$C$1</c:f>
              <c:strCache>
                <c:ptCount val="1"/>
                <c:pt idx="0">
                  <c:v>Uz inovācijām balstītās ekonomikas</c:v>
                </c:pt>
              </c:strCache>
            </c:strRef>
          </c:tx>
          <c:spPr>
            <a:ln w="31750">
              <a:solidFill>
                <a:srgbClr val="0000FF"/>
              </a:solidFill>
              <a:prstDash val="sysDash"/>
            </a:ln>
          </c:spPr>
          <c:marker>
            <c:symbol val="none"/>
          </c:marker>
          <c:cat>
            <c:strRef>
              <c:f>Sheet1!$A$2:$A$13</c:f>
              <c:strCache>
                <c:ptCount val="12"/>
                <c:pt idx="0">
                  <c:v>Institucionālais ietvars</c:v>
                </c:pt>
                <c:pt idx="1">
                  <c:v>Sabiedrisko tīklu infrastruktūra</c:v>
                </c:pt>
                <c:pt idx="2">
                  <c:v>Makroekonomiskā stabilitāte</c:v>
                </c:pt>
                <c:pt idx="3">
                  <c:v>Veselības stāvoklis un pamatizglītība</c:v>
                </c:pt>
                <c:pt idx="4">
                  <c:v>Augstākā izglītība un apmācība</c:v>
                </c:pt>
                <c:pt idx="5">
                  <c:v>Produktu tirgus efektivitāte</c:v>
                </c:pt>
                <c:pt idx="6">
                  <c:v>Darba tirgus efektivitāte</c:v>
                </c:pt>
                <c:pt idx="7">
                  <c:v>Finanšu tirgus attīstības līmenis</c:v>
                </c:pt>
                <c:pt idx="8">
                  <c:v>Tehnoloģiju līmenis</c:v>
                </c:pt>
                <c:pt idx="9">
                  <c:v>Atvērtība un tirgus lielums</c:v>
                </c:pt>
                <c:pt idx="10">
                  <c:v>Uzņēmējdarbības kvalitāte</c:v>
                </c:pt>
                <c:pt idx="11">
                  <c:v>Inovācijas</c:v>
                </c:pt>
              </c:strCache>
            </c:strRef>
          </c:cat>
          <c:val>
            <c:numRef>
              <c:f>Sheet1!$C$2:$C$13</c:f>
              <c:numCache>
                <c:formatCode>0.00</c:formatCode>
                <c:ptCount val="12"/>
                <c:pt idx="0">
                  <c:v>5.0635135135135085</c:v>
                </c:pt>
                <c:pt idx="1">
                  <c:v>5.3332432432433059</c:v>
                </c:pt>
                <c:pt idx="2">
                  <c:v>5.0381081081081094</c:v>
                </c:pt>
                <c:pt idx="3">
                  <c:v>6.0748648648648684</c:v>
                </c:pt>
                <c:pt idx="4">
                  <c:v>5.1027027027027021</c:v>
                </c:pt>
                <c:pt idx="5">
                  <c:v>4.9059459459459456</c:v>
                </c:pt>
                <c:pt idx="6">
                  <c:v>4.8437837837838735</c:v>
                </c:pt>
                <c:pt idx="7">
                  <c:v>4.8894594594594603</c:v>
                </c:pt>
                <c:pt idx="8">
                  <c:v>5.2659459459459255</c:v>
                </c:pt>
                <c:pt idx="9">
                  <c:v>4.5321621621622024</c:v>
                </c:pt>
                <c:pt idx="10">
                  <c:v>4.9937837837838979</c:v>
                </c:pt>
                <c:pt idx="11">
                  <c:v>4.3783783783783781</c:v>
                </c:pt>
              </c:numCache>
            </c:numRef>
          </c:val>
        </c:ser>
        <c:axId val="81819904"/>
        <c:axId val="104312832"/>
      </c:radarChart>
      <c:catAx>
        <c:axId val="81819904"/>
        <c:scaling>
          <c:orientation val="minMax"/>
        </c:scaling>
        <c:axPos val="b"/>
        <c:majorGridlines/>
        <c:numFmt formatCode="dd/mm/yyyy" sourceLinked="1"/>
        <c:tickLblPos val="nextTo"/>
        <c:txPr>
          <a:bodyPr/>
          <a:lstStyle/>
          <a:p>
            <a:pPr>
              <a:defRPr lang="lv-LV" sz="1000">
                <a:latin typeface="Times New Roman" pitchFamily="18" charset="0"/>
                <a:cs typeface="Times New Roman" pitchFamily="18" charset="0"/>
              </a:defRPr>
            </a:pPr>
            <a:endParaRPr lang="lv-LV"/>
          </a:p>
        </c:txPr>
        <c:crossAx val="104312832"/>
        <c:crosses val="autoZero"/>
        <c:auto val="1"/>
        <c:lblAlgn val="ctr"/>
        <c:lblOffset val="100"/>
      </c:catAx>
      <c:valAx>
        <c:axId val="104312832"/>
        <c:scaling>
          <c:orientation val="minMax"/>
          <c:max val="6"/>
          <c:min val="2"/>
        </c:scaling>
        <c:axPos val="l"/>
        <c:majorGridlines/>
        <c:numFmt formatCode="0" sourceLinked="0"/>
        <c:majorTickMark val="cross"/>
        <c:tickLblPos val="nextTo"/>
        <c:txPr>
          <a:bodyPr/>
          <a:lstStyle/>
          <a:p>
            <a:pPr>
              <a:defRPr lang="lv-LV" sz="1200" b="1">
                <a:latin typeface="Times New Roman" pitchFamily="18" charset="0"/>
                <a:cs typeface="Times New Roman" pitchFamily="18" charset="0"/>
              </a:defRPr>
            </a:pPr>
            <a:endParaRPr lang="lv-LV"/>
          </a:p>
        </c:txPr>
        <c:crossAx val="81819904"/>
        <c:crosses val="autoZero"/>
        <c:crossBetween val="between"/>
        <c:majorUnit val="1"/>
      </c:valAx>
      <c:spPr>
        <a:solidFill>
          <a:schemeClr val="bg1"/>
        </a:solidFill>
      </c:spPr>
    </c:plotArea>
    <c:legend>
      <c:legendPos val="r"/>
      <c:layout>
        <c:manualLayout>
          <c:xMode val="edge"/>
          <c:yMode val="edge"/>
          <c:x val="0.18190610059998477"/>
          <c:y val="0.91651849970366439"/>
          <c:w val="0.64909139912013514"/>
          <c:h val="7.9320944638689009E-2"/>
        </c:manualLayout>
      </c:layout>
      <c:txPr>
        <a:bodyPr/>
        <a:lstStyle/>
        <a:p>
          <a:pPr>
            <a:defRPr lang="lv-LV" sz="1200" b="0">
              <a:latin typeface="Times New Roman" pitchFamily="18" charset="0"/>
              <a:cs typeface="Times New Roman" pitchFamily="18" charset="0"/>
            </a:defRPr>
          </a:pPr>
          <a:endParaRPr lang="lv-LV"/>
        </a:p>
      </c:txPr>
    </c:legend>
    <c:plotVisOnly val="1"/>
  </c:chart>
  <c:spPr>
    <a:ln>
      <a:noFill/>
    </a:ln>
  </c:spPr>
  <c:txPr>
    <a:bodyPr/>
    <a:lstStyle/>
    <a:p>
      <a:pPr>
        <a:defRPr sz="1200"/>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25987899586305968"/>
          <c:y val="0.13867322097378232"/>
          <c:w val="0.38502859755308766"/>
          <c:h val="0.70497378277153555"/>
        </c:manualLayout>
      </c:layout>
      <c:radarChart>
        <c:radarStyle val="marker"/>
        <c:ser>
          <c:idx val="0"/>
          <c:order val="0"/>
          <c:tx>
            <c:strRef>
              <c:f>Sheet1!$B$1</c:f>
              <c:strCache>
                <c:ptCount val="1"/>
                <c:pt idx="0">
                  <c:v>Latvija</c:v>
                </c:pt>
              </c:strCache>
            </c:strRef>
          </c:tx>
          <c:spPr>
            <a:ln w="31750">
              <a:solidFill>
                <a:srgbClr val="FF0000"/>
              </a:solidFill>
            </a:ln>
          </c:spPr>
          <c:marker>
            <c:symbol val="none"/>
          </c:marker>
          <c:cat>
            <c:strRef>
              <c:f>Sheet1!$A$2:$A$13</c:f>
              <c:strCache>
                <c:ptCount val="12"/>
                <c:pt idx="0">
                  <c:v>Institucionālais ietvars</c:v>
                </c:pt>
                <c:pt idx="1">
                  <c:v>Sabiedrisko tīklu infrastruktūra</c:v>
                </c:pt>
                <c:pt idx="2">
                  <c:v>Makroekonomiskā stabilitāte</c:v>
                </c:pt>
                <c:pt idx="3">
                  <c:v>Veselības stāvoklis un pamatizglītība</c:v>
                </c:pt>
                <c:pt idx="4">
                  <c:v>Augstākā izglītība un apmācība</c:v>
                </c:pt>
                <c:pt idx="5">
                  <c:v>Produktu tirgus efektivitāte</c:v>
                </c:pt>
                <c:pt idx="6">
                  <c:v>Darba tirgus efektivitāte</c:v>
                </c:pt>
                <c:pt idx="7">
                  <c:v>Finanšu tirgus attīstības līmenis</c:v>
                </c:pt>
                <c:pt idx="8">
                  <c:v>Tehnoloģiju līmenis</c:v>
                </c:pt>
                <c:pt idx="9">
                  <c:v>Atvērtība un tirgus lielums</c:v>
                </c:pt>
                <c:pt idx="10">
                  <c:v>Uzņēmējdarbības kvalitāte</c:v>
                </c:pt>
                <c:pt idx="11">
                  <c:v>Inovācijas</c:v>
                </c:pt>
              </c:strCache>
            </c:strRef>
          </c:cat>
          <c:val>
            <c:numRef>
              <c:f>Sheet1!$B$2:$B$13</c:f>
              <c:numCache>
                <c:formatCode>General</c:formatCode>
                <c:ptCount val="12"/>
                <c:pt idx="0">
                  <c:v>3.9099999999999997</c:v>
                </c:pt>
                <c:pt idx="1">
                  <c:v>4.04</c:v>
                </c:pt>
                <c:pt idx="2">
                  <c:v>4.2</c:v>
                </c:pt>
                <c:pt idx="3">
                  <c:v>5.6599999999999975</c:v>
                </c:pt>
                <c:pt idx="4">
                  <c:v>4.6599999999999975</c:v>
                </c:pt>
                <c:pt idx="5">
                  <c:v>4.29</c:v>
                </c:pt>
                <c:pt idx="6">
                  <c:v>4.7</c:v>
                </c:pt>
                <c:pt idx="7">
                  <c:v>4.3199999999999985</c:v>
                </c:pt>
                <c:pt idx="8">
                  <c:v>4</c:v>
                </c:pt>
                <c:pt idx="9">
                  <c:v>3.27</c:v>
                </c:pt>
                <c:pt idx="10">
                  <c:v>3.79</c:v>
                </c:pt>
                <c:pt idx="11">
                  <c:v>2.94</c:v>
                </c:pt>
              </c:numCache>
            </c:numRef>
          </c:val>
        </c:ser>
        <c:ser>
          <c:idx val="1"/>
          <c:order val="1"/>
          <c:tx>
            <c:strRef>
              <c:f>Sheet1!$C$1</c:f>
              <c:strCache>
                <c:ptCount val="1"/>
                <c:pt idx="0">
                  <c:v>Lietuva</c:v>
                </c:pt>
              </c:strCache>
            </c:strRef>
          </c:tx>
          <c:spPr>
            <a:ln>
              <a:solidFill>
                <a:srgbClr val="006600"/>
              </a:solidFill>
              <a:prstDash val="sysDash"/>
            </a:ln>
          </c:spPr>
          <c:marker>
            <c:symbol val="none"/>
          </c:marker>
          <c:cat>
            <c:strRef>
              <c:f>Sheet1!$A$2:$A$13</c:f>
              <c:strCache>
                <c:ptCount val="12"/>
                <c:pt idx="0">
                  <c:v>Institucionālais ietvars</c:v>
                </c:pt>
                <c:pt idx="1">
                  <c:v>Sabiedrisko tīklu infrastruktūra</c:v>
                </c:pt>
                <c:pt idx="2">
                  <c:v>Makroekonomiskā stabilitāte</c:v>
                </c:pt>
                <c:pt idx="3">
                  <c:v>Veselības stāvoklis un pamatizglītība</c:v>
                </c:pt>
                <c:pt idx="4">
                  <c:v>Augstākā izglītība un apmācība</c:v>
                </c:pt>
                <c:pt idx="5">
                  <c:v>Produktu tirgus efektivitāte</c:v>
                </c:pt>
                <c:pt idx="6">
                  <c:v>Darba tirgus efektivitāte</c:v>
                </c:pt>
                <c:pt idx="7">
                  <c:v>Finanšu tirgus attīstības līmenis</c:v>
                </c:pt>
                <c:pt idx="8">
                  <c:v>Tehnoloģiju līmenis</c:v>
                </c:pt>
                <c:pt idx="9">
                  <c:v>Atvērtība un tirgus lielums</c:v>
                </c:pt>
                <c:pt idx="10">
                  <c:v>Uzņēmējdarbības kvalitāte</c:v>
                </c:pt>
                <c:pt idx="11">
                  <c:v>Inovācijas</c:v>
                </c:pt>
              </c:strCache>
            </c:strRef>
          </c:cat>
          <c:val>
            <c:numRef>
              <c:f>Sheet1!$C$2:$C$13</c:f>
              <c:numCache>
                <c:formatCode>General</c:formatCode>
                <c:ptCount val="12"/>
                <c:pt idx="0">
                  <c:v>4</c:v>
                </c:pt>
                <c:pt idx="1">
                  <c:v>4.4400000000000004</c:v>
                </c:pt>
                <c:pt idx="2">
                  <c:v>4.72</c:v>
                </c:pt>
                <c:pt idx="3">
                  <c:v>5.57</c:v>
                </c:pt>
                <c:pt idx="4">
                  <c:v>4.76</c:v>
                </c:pt>
                <c:pt idx="5">
                  <c:v>4.26</c:v>
                </c:pt>
                <c:pt idx="6">
                  <c:v>4.6399999999999997</c:v>
                </c:pt>
                <c:pt idx="7">
                  <c:v>4.1599999999999975</c:v>
                </c:pt>
                <c:pt idx="8">
                  <c:v>4.54</c:v>
                </c:pt>
                <c:pt idx="9">
                  <c:v>3.63</c:v>
                </c:pt>
                <c:pt idx="10">
                  <c:v>4.22</c:v>
                </c:pt>
                <c:pt idx="11">
                  <c:v>3.2800000000000002</c:v>
                </c:pt>
              </c:numCache>
            </c:numRef>
          </c:val>
        </c:ser>
        <c:ser>
          <c:idx val="2"/>
          <c:order val="2"/>
          <c:tx>
            <c:strRef>
              <c:f>Sheet1!$D$1</c:f>
              <c:strCache>
                <c:ptCount val="1"/>
                <c:pt idx="0">
                  <c:v>Igaunija</c:v>
                </c:pt>
              </c:strCache>
            </c:strRef>
          </c:tx>
          <c:spPr>
            <a:ln>
              <a:solidFill>
                <a:srgbClr val="0000FF"/>
              </a:solidFill>
              <a:prstDash val="sysDot"/>
            </a:ln>
          </c:spPr>
          <c:marker>
            <c:symbol val="none"/>
          </c:marker>
          <c:cat>
            <c:strRef>
              <c:f>Sheet1!$A$2:$A$13</c:f>
              <c:strCache>
                <c:ptCount val="12"/>
                <c:pt idx="0">
                  <c:v>Institucionālais ietvars</c:v>
                </c:pt>
                <c:pt idx="1">
                  <c:v>Sabiedrisko tīklu infrastruktūra</c:v>
                </c:pt>
                <c:pt idx="2">
                  <c:v>Makroekonomiskā stabilitāte</c:v>
                </c:pt>
                <c:pt idx="3">
                  <c:v>Veselības stāvoklis un pamatizglītība</c:v>
                </c:pt>
                <c:pt idx="4">
                  <c:v>Augstākā izglītība un apmācība</c:v>
                </c:pt>
                <c:pt idx="5">
                  <c:v>Produktu tirgus efektivitāte</c:v>
                </c:pt>
                <c:pt idx="6">
                  <c:v>Darba tirgus efektivitāte</c:v>
                </c:pt>
                <c:pt idx="7">
                  <c:v>Finanšu tirgus attīstības līmenis</c:v>
                </c:pt>
                <c:pt idx="8">
                  <c:v>Tehnoloģiju līmenis</c:v>
                </c:pt>
                <c:pt idx="9">
                  <c:v>Atvērtība un tirgus lielums</c:v>
                </c:pt>
                <c:pt idx="10">
                  <c:v>Uzņēmējdarbības kvalitāte</c:v>
                </c:pt>
                <c:pt idx="11">
                  <c:v>Inovācijas</c:v>
                </c:pt>
              </c:strCache>
            </c:strRef>
          </c:cat>
          <c:val>
            <c:numRef>
              <c:f>Sheet1!$D$2:$D$13</c:f>
              <c:numCache>
                <c:formatCode>General</c:formatCode>
                <c:ptCount val="12"/>
                <c:pt idx="0">
                  <c:v>4.8499999999999996</c:v>
                </c:pt>
                <c:pt idx="1">
                  <c:v>4.67</c:v>
                </c:pt>
                <c:pt idx="2">
                  <c:v>4.9000000000000004</c:v>
                </c:pt>
                <c:pt idx="3">
                  <c:v>5.98</c:v>
                </c:pt>
                <c:pt idx="4">
                  <c:v>5.1099999999999985</c:v>
                </c:pt>
                <c:pt idx="5">
                  <c:v>4.8099999999999996</c:v>
                </c:pt>
                <c:pt idx="6">
                  <c:v>4.8599999999999985</c:v>
                </c:pt>
                <c:pt idx="7">
                  <c:v>4.8199999999999985</c:v>
                </c:pt>
                <c:pt idx="8">
                  <c:v>5.49</c:v>
                </c:pt>
                <c:pt idx="9">
                  <c:v>3.08</c:v>
                </c:pt>
                <c:pt idx="10">
                  <c:v>4.3099999999999996</c:v>
                </c:pt>
                <c:pt idx="11">
                  <c:v>3.64</c:v>
                </c:pt>
              </c:numCache>
            </c:numRef>
          </c:val>
        </c:ser>
        <c:axId val="113406720"/>
        <c:axId val="113408256"/>
      </c:radarChart>
      <c:catAx>
        <c:axId val="113406720"/>
        <c:scaling>
          <c:orientation val="minMax"/>
        </c:scaling>
        <c:axPos val="b"/>
        <c:majorGridlines/>
        <c:numFmt formatCode="dd/mm/yyyy" sourceLinked="1"/>
        <c:tickLblPos val="nextTo"/>
        <c:txPr>
          <a:bodyPr/>
          <a:lstStyle/>
          <a:p>
            <a:pPr>
              <a:defRPr lang="lv-LV" sz="1000">
                <a:latin typeface="Times New Roman" pitchFamily="18" charset="0"/>
                <a:cs typeface="Times New Roman" pitchFamily="18" charset="0"/>
              </a:defRPr>
            </a:pPr>
            <a:endParaRPr lang="lv-LV"/>
          </a:p>
        </c:txPr>
        <c:crossAx val="113408256"/>
        <c:crosses val="autoZero"/>
        <c:auto val="1"/>
        <c:lblAlgn val="ctr"/>
        <c:lblOffset val="100"/>
      </c:catAx>
      <c:valAx>
        <c:axId val="113408256"/>
        <c:scaling>
          <c:orientation val="minMax"/>
          <c:max val="6"/>
          <c:min val="2"/>
        </c:scaling>
        <c:axPos val="l"/>
        <c:majorGridlines>
          <c:spPr>
            <a:effectLst>
              <a:outerShdw blurRad="50800" dist="50800" dir="5400000" algn="ctr" rotWithShape="0">
                <a:schemeClr val="bg1">
                  <a:lumMod val="85000"/>
                </a:schemeClr>
              </a:outerShdw>
            </a:effectLst>
          </c:spPr>
        </c:majorGridlines>
        <c:numFmt formatCode="General" sourceLinked="1"/>
        <c:majorTickMark val="cross"/>
        <c:tickLblPos val="nextTo"/>
        <c:txPr>
          <a:bodyPr/>
          <a:lstStyle/>
          <a:p>
            <a:pPr>
              <a:defRPr lang="lv-LV" sz="1200" b="1">
                <a:latin typeface="Times New Roman" pitchFamily="18" charset="0"/>
                <a:cs typeface="Times New Roman" pitchFamily="18" charset="0"/>
              </a:defRPr>
            </a:pPr>
            <a:endParaRPr lang="lv-LV"/>
          </a:p>
        </c:txPr>
        <c:crossAx val="113406720"/>
        <c:crosses val="autoZero"/>
        <c:crossBetween val="between"/>
        <c:majorUnit val="1"/>
      </c:valAx>
      <c:spPr>
        <a:solidFill>
          <a:schemeClr val="bg1"/>
        </a:solidFill>
      </c:spPr>
    </c:plotArea>
    <c:legend>
      <c:legendPos val="r"/>
      <c:layout>
        <c:manualLayout>
          <c:xMode val="edge"/>
          <c:yMode val="edge"/>
          <c:x val="0.17589510861069921"/>
          <c:y val="0.91230274656679167"/>
          <c:w val="0.55855104594614957"/>
          <c:h val="8.2752741097564572E-2"/>
        </c:manualLayout>
      </c:layout>
      <c:txPr>
        <a:bodyPr/>
        <a:lstStyle/>
        <a:p>
          <a:pPr>
            <a:defRPr lang="lv-LV" sz="1200">
              <a:latin typeface="Times New Roman" pitchFamily="18" charset="0"/>
              <a:cs typeface="Times New Roman" pitchFamily="18" charset="0"/>
            </a:defRPr>
          </a:pPr>
          <a:endParaRPr lang="lv-LV"/>
        </a:p>
      </c:txPr>
    </c:legend>
    <c:plotVisOnly val="1"/>
  </c:chart>
  <c:spPr>
    <a:ln>
      <a:noFill/>
    </a:ln>
  </c:spPr>
  <c:txPr>
    <a:bodyPr/>
    <a:lstStyle/>
    <a:p>
      <a:pPr>
        <a:defRPr sz="1200"/>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5.8823529411764705E-2"/>
          <c:y val="3.1420765027322446E-2"/>
          <c:w val="0.8454668044938467"/>
          <c:h val="0.80568392065745853"/>
        </c:manualLayout>
      </c:layout>
      <c:lineChart>
        <c:grouping val="standard"/>
        <c:ser>
          <c:idx val="1"/>
          <c:order val="0"/>
          <c:tx>
            <c:strRef>
              <c:f>Sheet1!$A$2</c:f>
              <c:strCache>
                <c:ptCount val="1"/>
                <c:pt idx="0">
                  <c:v>a</c:v>
                </c:pt>
              </c:strCache>
            </c:strRef>
          </c:tx>
          <c:spPr>
            <a:ln w="47625">
              <a:solidFill>
                <a:srgbClr val="800000"/>
              </a:solidFill>
              <a:prstDash val="solid"/>
            </a:ln>
          </c:spPr>
          <c:marker>
            <c:symbol val="none"/>
          </c:marker>
          <c:dLbls>
            <c:delete val="1"/>
          </c:dLbls>
          <c:cat>
            <c:numRef>
              <c:f>Sheet1!$B$1:$M$1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Sheet1!$B$2:$M$2</c:f>
              <c:numCache>
                <c:formatCode>0.0</c:formatCode>
                <c:ptCount val="12"/>
                <c:pt idx="0">
                  <c:v>100</c:v>
                </c:pt>
                <c:pt idx="1">
                  <c:v>110.602440900779</c:v>
                </c:pt>
                <c:pt idx="2">
                  <c:v>124.13269362646007</c:v>
                </c:pt>
                <c:pt idx="3">
                  <c:v>135.80000000000001</c:v>
                </c:pt>
                <c:pt idx="4">
                  <c:v>130.26284086521932</c:v>
                </c:pt>
              </c:numCache>
            </c:numRef>
          </c:val>
          <c:smooth val="1"/>
        </c:ser>
        <c:ser>
          <c:idx val="2"/>
          <c:order val="1"/>
          <c:tx>
            <c:strRef>
              <c:f>Sheet1!$A$3</c:f>
              <c:strCache>
                <c:ptCount val="1"/>
                <c:pt idx="0">
                  <c:v>Vājas izaugsmes v.</c:v>
                </c:pt>
              </c:strCache>
            </c:strRef>
          </c:tx>
          <c:spPr>
            <a:ln w="31750" cmpd="sng">
              <a:solidFill>
                <a:srgbClr val="800000"/>
              </a:solidFill>
              <a:prstDash val="dashDot"/>
            </a:ln>
          </c:spPr>
          <c:marker>
            <c:symbol val="none"/>
          </c:marker>
          <c:dLbls>
            <c:dLbl>
              <c:idx val="0"/>
              <c:delete val="1"/>
            </c:dLbl>
            <c:dLbl>
              <c:idx val="1"/>
              <c:delete val="1"/>
            </c:dLbl>
            <c:dLbl>
              <c:idx val="2"/>
              <c:delete val="1"/>
            </c:dLbl>
            <c:dLbl>
              <c:idx val="3"/>
              <c:delete val="1"/>
            </c:dLbl>
            <c:dLbl>
              <c:idx val="4"/>
              <c:delete val="1"/>
            </c:dLbl>
            <c:dLbl>
              <c:idx val="5"/>
              <c:layout>
                <c:manualLayout>
                  <c:x val="0.37161263656643784"/>
                  <c:y val="8.5103814582327374E-3"/>
                </c:manualLayout>
              </c:layout>
              <c:tx>
                <c:rich>
                  <a:bodyPr/>
                  <a:lstStyle/>
                  <a:p>
                    <a:r>
                      <a:rPr lang="lv-LV" sz="1100" dirty="0">
                        <a:latin typeface="Times New Roman" pitchFamily="18" charset="0"/>
                        <a:cs typeface="Times New Roman" pitchFamily="18" charset="0"/>
                      </a:rPr>
                      <a:t>Bāzes scenārijs</a:t>
                    </a:r>
                  </a:p>
                </c:rich>
              </c:tx>
              <c:dLblPos val="r"/>
            </c:dLbl>
            <c:dLbl>
              <c:idx val="6"/>
              <c:delete val="1"/>
            </c:dLbl>
            <c:dLbl>
              <c:idx val="7"/>
              <c:layout>
                <c:manualLayout>
                  <c:x val="0.25007006214985594"/>
                  <c:y val="-0.59366147513499168"/>
                </c:manualLayout>
              </c:layout>
              <c:tx>
                <c:rich>
                  <a:bodyPr/>
                  <a:lstStyle/>
                  <a:p>
                    <a:r>
                      <a:rPr lang="lv-LV" sz="1100">
                        <a:latin typeface="Times New Roman" pitchFamily="18" charset="0"/>
                        <a:cs typeface="Times New Roman" pitchFamily="18" charset="0"/>
                      </a:rPr>
                      <a:t>Mērķa scenārijs</a:t>
                    </a:r>
                  </a:p>
                </c:rich>
              </c:tx>
              <c:dLblPos val="r"/>
            </c:dLbl>
            <c:dLbl>
              <c:idx val="8"/>
              <c:delete val="1"/>
            </c:dLbl>
            <c:dLbl>
              <c:idx val="9"/>
              <c:delete val="1"/>
            </c:dLbl>
            <c:dLbl>
              <c:idx val="10"/>
              <c:delete val="1"/>
            </c:dLbl>
            <c:dLbl>
              <c:idx val="11"/>
              <c:delete val="1"/>
            </c:dLbl>
            <c:spPr>
              <a:noFill/>
              <a:ln w="25799">
                <a:noFill/>
              </a:ln>
            </c:spPr>
            <c:txPr>
              <a:bodyPr/>
              <a:lstStyle/>
              <a:p>
                <a:pPr>
                  <a:defRPr lang="lv-LV" sz="1100">
                    <a:latin typeface="Times New Roman" pitchFamily="18" charset="0"/>
                    <a:cs typeface="Times New Roman" pitchFamily="18" charset="0"/>
                  </a:defRPr>
                </a:pPr>
                <a:endParaRPr lang="lv-LV"/>
              </a:p>
            </c:txPr>
            <c:showVal val="1"/>
          </c:dLbls>
          <c:cat>
            <c:numRef>
              <c:f>Sheet1!$B$1:$M$1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Sheet1!$B$3:$M$3</c:f>
              <c:numCache>
                <c:formatCode>General</c:formatCode>
                <c:ptCount val="12"/>
                <c:pt idx="4" formatCode="0.0">
                  <c:v>130.26284086521932</c:v>
                </c:pt>
                <c:pt idx="5" formatCode="0.0">
                  <c:v>106.81552950947953</c:v>
                </c:pt>
                <c:pt idx="6" formatCode="0.0">
                  <c:v>102.97017044713826</c:v>
                </c:pt>
                <c:pt idx="7" formatCode="0.0">
                  <c:v>103.99987215160942</c:v>
                </c:pt>
                <c:pt idx="8" formatCode="0.0">
                  <c:v>106.07986959464181</c:v>
                </c:pt>
                <c:pt idx="9" formatCode="0.0">
                  <c:v>109.26226568248109</c:v>
                </c:pt>
                <c:pt idx="10" formatCode="0.0">
                  <c:v>113.63275630978006</c:v>
                </c:pt>
                <c:pt idx="11" formatCode="0.0">
                  <c:v>118.74623034372044</c:v>
                </c:pt>
              </c:numCache>
            </c:numRef>
          </c:val>
        </c:ser>
        <c:ser>
          <c:idx val="3"/>
          <c:order val="2"/>
          <c:tx>
            <c:strRef>
              <c:f>Sheet1!#REF!</c:f>
              <c:strCache>
                <c:ptCount val="1"/>
                <c:pt idx="0">
                  <c:v>#REF!</c:v>
                </c:pt>
              </c:strCache>
            </c:strRef>
          </c:tx>
          <c:spPr>
            <a:ln w="31750">
              <a:solidFill>
                <a:srgbClr val="800000"/>
              </a:solidFill>
              <a:prstDash val="dash"/>
            </a:ln>
          </c:spPr>
          <c:marker>
            <c:symbol val="none"/>
          </c:marker>
          <c:dLbls>
            <c:delete val="1"/>
          </c:dLbls>
          <c:cat>
            <c:numRef>
              <c:f>Sheet1!$B$1:$M$1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Sheet1!#REF!</c:f>
              <c:numCache>
                <c:formatCode>General</c:formatCode>
                <c:ptCount val="1"/>
                <c:pt idx="0">
                  <c:v>1</c:v>
                </c:pt>
              </c:numCache>
            </c:numRef>
          </c:val>
          <c:smooth val="1"/>
        </c:ser>
        <c:ser>
          <c:idx val="0"/>
          <c:order val="3"/>
          <c:tx>
            <c:strRef>
              <c:f>Sheet1!$A$4</c:f>
              <c:strCache>
                <c:ptCount val="1"/>
                <c:pt idx="0">
                  <c:v>Dinamiskas izaugsmes v.</c:v>
                </c:pt>
              </c:strCache>
            </c:strRef>
          </c:tx>
          <c:spPr>
            <a:ln w="31750">
              <a:solidFill>
                <a:srgbClr val="800000"/>
              </a:solidFill>
              <a:prstDash val="sysDash"/>
            </a:ln>
          </c:spPr>
          <c:marker>
            <c:symbol val="none"/>
          </c:marker>
          <c:dLbls>
            <c:delete val="1"/>
          </c:dLbls>
          <c:cat>
            <c:numRef>
              <c:f>Sheet1!$B$1:$M$1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Sheet1!$B$4:$M$4</c:f>
              <c:numCache>
                <c:formatCode>General</c:formatCode>
                <c:ptCount val="12"/>
                <c:pt idx="4" formatCode="0.0">
                  <c:v>130.26284086521932</c:v>
                </c:pt>
                <c:pt idx="5" formatCode="0.0">
                  <c:v>106.81552950947953</c:v>
                </c:pt>
                <c:pt idx="6" formatCode="0.0">
                  <c:v>105.2132965668375</c:v>
                </c:pt>
                <c:pt idx="7" formatCode="0.0">
                  <c:v>108.36969546384267</c:v>
                </c:pt>
                <c:pt idx="8" formatCode="0.0">
                  <c:v>113.46307115064305</c:v>
                </c:pt>
                <c:pt idx="9" formatCode="0.0">
                  <c:v>119.81700313507906</c:v>
                </c:pt>
                <c:pt idx="10" formatCode="0.0">
                  <c:v>126.76638931691365</c:v>
                </c:pt>
                <c:pt idx="11" formatCode="0.0">
                  <c:v>134.62590545456212</c:v>
                </c:pt>
              </c:numCache>
            </c:numRef>
          </c:val>
        </c:ser>
        <c:dLbls>
          <c:showVal val="1"/>
        </c:dLbls>
        <c:marker val="1"/>
        <c:axId val="81822080"/>
        <c:axId val="81823616"/>
      </c:lineChart>
      <c:catAx>
        <c:axId val="81822080"/>
        <c:scaling>
          <c:orientation val="minMax"/>
        </c:scaling>
        <c:axPos val="b"/>
        <c:numFmt formatCode="General" sourceLinked="1"/>
        <c:tickLblPos val="nextTo"/>
        <c:spPr>
          <a:ln w="3223">
            <a:solidFill>
              <a:srgbClr val="000000"/>
            </a:solidFill>
            <a:prstDash val="solid"/>
          </a:ln>
        </c:spPr>
        <c:txPr>
          <a:bodyPr rot="0" vert="horz"/>
          <a:lstStyle/>
          <a:p>
            <a:pPr>
              <a:defRPr lang="lv-LV" sz="1000" baseline="0">
                <a:latin typeface="Times New Roman" pitchFamily="18" charset="0"/>
              </a:defRPr>
            </a:pPr>
            <a:endParaRPr lang="lv-LV"/>
          </a:p>
        </c:txPr>
        <c:crossAx val="81823616"/>
        <c:crosses val="autoZero"/>
        <c:lblAlgn val="ctr"/>
        <c:lblOffset val="100"/>
        <c:tickLblSkip val="1"/>
        <c:tickMarkSkip val="1"/>
      </c:catAx>
      <c:valAx>
        <c:axId val="81823616"/>
        <c:scaling>
          <c:orientation val="minMax"/>
          <c:max val="140"/>
          <c:min val="90"/>
        </c:scaling>
        <c:axPos val="l"/>
        <c:majorGridlines>
          <c:spPr>
            <a:ln>
              <a:solidFill>
                <a:schemeClr val="bg1">
                  <a:lumMod val="75000"/>
                </a:schemeClr>
              </a:solidFill>
            </a:ln>
          </c:spPr>
        </c:majorGridlines>
        <c:numFmt formatCode="0" sourceLinked="0"/>
        <c:tickLblPos val="nextTo"/>
        <c:spPr>
          <a:ln w="3223">
            <a:solidFill>
              <a:srgbClr val="000000"/>
            </a:solidFill>
            <a:prstDash val="solid"/>
          </a:ln>
        </c:spPr>
        <c:txPr>
          <a:bodyPr rot="0" vert="horz"/>
          <a:lstStyle/>
          <a:p>
            <a:pPr>
              <a:defRPr lang="lv-LV" sz="1000">
                <a:latin typeface="Times New Roman" pitchFamily="18" charset="0"/>
                <a:cs typeface="Times New Roman" pitchFamily="18" charset="0"/>
              </a:defRPr>
            </a:pPr>
            <a:endParaRPr lang="lv-LV"/>
          </a:p>
        </c:txPr>
        <c:crossAx val="81822080"/>
        <c:crosses val="autoZero"/>
        <c:crossBetween val="midCat"/>
        <c:majorUnit val="10"/>
      </c:valAx>
      <c:spPr>
        <a:noFill/>
        <a:ln w="25799">
          <a:noFill/>
        </a:ln>
      </c:spPr>
    </c:plotArea>
    <c:plotVisOnly val="1"/>
    <c:dispBlanksAs val="gap"/>
  </c:chart>
  <c:spPr>
    <a:noFill/>
    <a:ln>
      <a:noFill/>
    </a:ln>
  </c:spPr>
  <c:txPr>
    <a:bodyPr/>
    <a:lstStyle/>
    <a:p>
      <a:pPr>
        <a:defRPr sz="1400" b="0" i="0" u="none" strike="noStrike" baseline="0">
          <a:solidFill>
            <a:srgbClr val="000000"/>
          </a:solidFill>
          <a:latin typeface="+mj-lt"/>
          <a:ea typeface="Arial"/>
          <a:cs typeface="Times New Roman" pitchFamily="18" charset="0"/>
        </a:defRPr>
      </a:pPr>
      <a:endParaRPr lang="lv-LV"/>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7.3399500455129413E-2"/>
          <c:y val="3.3265786629612472E-2"/>
          <c:w val="0.92266512712213877"/>
          <c:h val="0.85877862595420063"/>
        </c:manualLayout>
      </c:layout>
      <c:barChart>
        <c:barDir val="col"/>
        <c:grouping val="clustered"/>
        <c:ser>
          <c:idx val="0"/>
          <c:order val="0"/>
          <c:tx>
            <c:strRef>
              <c:f>Sheet1!$A$2</c:f>
              <c:strCache>
                <c:ptCount val="1"/>
                <c:pt idx="0">
                  <c:v>IKP</c:v>
                </c:pt>
              </c:strCache>
            </c:strRef>
          </c:tx>
          <c:spPr>
            <a:solidFill>
              <a:schemeClr val="bg2">
                <a:lumMod val="75000"/>
              </a:schemeClr>
            </a:solidFill>
            <a:ln w="6350">
              <a:solidFill>
                <a:schemeClr val="tx1"/>
              </a:solidFill>
              <a:prstDash val="solid"/>
            </a:ln>
          </c:spPr>
          <c:cat>
            <c:numRef>
              <c:f>Sheet1!$B$1:$M$1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Sheet1!$B$2:$M$2</c:f>
              <c:numCache>
                <c:formatCode>0.0</c:formatCode>
                <c:ptCount val="12"/>
                <c:pt idx="0">
                  <c:v>8.6754790540794566</c:v>
                </c:pt>
                <c:pt idx="1">
                  <c:v>10.602440900779159</c:v>
                </c:pt>
                <c:pt idx="2">
                  <c:v>12.233231577428597</c:v>
                </c:pt>
                <c:pt idx="3">
                  <c:v>9.9776113567386204</c:v>
                </c:pt>
                <c:pt idx="4">
                  <c:v>-4.5820497267724294</c:v>
                </c:pt>
                <c:pt idx="5">
                  <c:v>-18</c:v>
                </c:pt>
                <c:pt idx="6">
                  <c:v>-2.5852694078925254</c:v>
                </c:pt>
                <c:pt idx="7">
                  <c:v>1.6555367198586026</c:v>
                </c:pt>
                <c:pt idx="8">
                  <c:v>2.973999474075157</c:v>
                </c:pt>
                <c:pt idx="9">
                  <c:v>4.9933206022563184</c:v>
                </c:pt>
                <c:pt idx="10">
                  <c:v>4.9798851711064742</c:v>
                </c:pt>
                <c:pt idx="11">
                  <c:v>4.9634121962160815</c:v>
                </c:pt>
              </c:numCache>
            </c:numRef>
          </c:val>
        </c:ser>
        <c:gapWidth val="50"/>
        <c:axId val="105085952"/>
        <c:axId val="113636480"/>
      </c:barChart>
      <c:lineChart>
        <c:grouping val="standard"/>
        <c:ser>
          <c:idx val="1"/>
          <c:order val="1"/>
          <c:tx>
            <c:strRef>
              <c:f>Sheet1!$A$3</c:f>
              <c:strCache>
                <c:ptCount val="1"/>
                <c:pt idx="0">
                  <c:v>nodarbinātie</c:v>
                </c:pt>
              </c:strCache>
            </c:strRef>
          </c:tx>
          <c:spPr>
            <a:ln w="25400">
              <a:solidFill>
                <a:srgbClr val="C00000"/>
              </a:solidFill>
              <a:prstDash val="dash"/>
            </a:ln>
          </c:spPr>
          <c:marker>
            <c:symbol val="square"/>
            <c:size val="7"/>
            <c:spPr>
              <a:solidFill>
                <a:schemeClr val="bg1"/>
              </a:solidFill>
              <a:ln w="12700">
                <a:solidFill>
                  <a:srgbClr val="C00000"/>
                </a:solidFill>
                <a:prstDash val="solid"/>
              </a:ln>
            </c:spPr>
          </c:marker>
          <c:dLbls>
            <c:delete val="1"/>
          </c:dLbls>
          <c:cat>
            <c:numRef>
              <c:f>Sheet1!$B$1:$M$1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Sheet1!$B$3:$M$3</c:f>
              <c:numCache>
                <c:formatCode>0.0</c:formatCode>
                <c:ptCount val="12"/>
                <c:pt idx="0">
                  <c:v>1.103309929789376</c:v>
                </c:pt>
                <c:pt idx="1">
                  <c:v>1.7857142857142601</c:v>
                </c:pt>
                <c:pt idx="2">
                  <c:v>4.6783625730994203</c:v>
                </c:pt>
                <c:pt idx="3">
                  <c:v>3.5381750465549402</c:v>
                </c:pt>
                <c:pt idx="4">
                  <c:v>0.68884086765913588</c:v>
                </c:pt>
                <c:pt idx="5">
                  <c:v>-13.429296951486412</c:v>
                </c:pt>
                <c:pt idx="6">
                  <c:v>-4.7840732468084255</c:v>
                </c:pt>
                <c:pt idx="7">
                  <c:v>0.14642617141220401</c:v>
                </c:pt>
                <c:pt idx="8">
                  <c:v>0.98908017756052402</c:v>
                </c:pt>
                <c:pt idx="9">
                  <c:v>2.2089055508502042</c:v>
                </c:pt>
                <c:pt idx="10">
                  <c:v>2.2035959704856252</c:v>
                </c:pt>
                <c:pt idx="11">
                  <c:v>2.3333331939150384</c:v>
                </c:pt>
              </c:numCache>
            </c:numRef>
          </c:val>
        </c:ser>
        <c:ser>
          <c:idx val="2"/>
          <c:order val="2"/>
          <c:tx>
            <c:strRef>
              <c:f>Sheet1!$A$4</c:f>
              <c:strCache>
                <c:ptCount val="1"/>
                <c:pt idx="0">
                  <c:v>produktivitāte</c:v>
                </c:pt>
              </c:strCache>
            </c:strRef>
          </c:tx>
          <c:spPr>
            <a:ln w="25400">
              <a:solidFill>
                <a:srgbClr val="006600"/>
              </a:solidFill>
              <a:prstDash val="sysDot"/>
            </a:ln>
          </c:spPr>
          <c:marker>
            <c:symbol val="triangle"/>
            <c:size val="7"/>
            <c:spPr>
              <a:solidFill>
                <a:schemeClr val="tx1"/>
              </a:solidFill>
              <a:ln>
                <a:solidFill>
                  <a:srgbClr val="008000"/>
                </a:solidFill>
                <a:prstDash val="solid"/>
              </a:ln>
            </c:spPr>
          </c:marker>
          <c:dLbls>
            <c:delete val="1"/>
          </c:dLbls>
          <c:cat>
            <c:numRef>
              <c:f>Sheet1!$B$1:$M$1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Sheet1!$B$4:$M$4</c:f>
              <c:numCache>
                <c:formatCode>0.0</c:formatCode>
                <c:ptCount val="12"/>
                <c:pt idx="0">
                  <c:v>7.4895363263067285</c:v>
                </c:pt>
                <c:pt idx="1">
                  <c:v>8.6620472007655067</c:v>
                </c:pt>
                <c:pt idx="2">
                  <c:v>7.2172212275993815</c:v>
                </c:pt>
                <c:pt idx="3">
                  <c:v>6.2193836305191494</c:v>
                </c:pt>
                <c:pt idx="4">
                  <c:v>-5.2348309395668959</c:v>
                </c:pt>
                <c:pt idx="5">
                  <c:v>-4.749715969981068</c:v>
                </c:pt>
                <c:pt idx="6">
                  <c:v>2.3092815602325092</c:v>
                </c:pt>
                <c:pt idx="7">
                  <c:v>1.5069040465441503</c:v>
                </c:pt>
                <c:pt idx="8">
                  <c:v>1.9654791320256777</c:v>
                </c:pt>
                <c:pt idx="9">
                  <c:v>2.7242391809203212</c:v>
                </c:pt>
                <c:pt idx="10">
                  <c:v>2.7164300573363849</c:v>
                </c:pt>
                <c:pt idx="11">
                  <c:v>2.5701097777370476</c:v>
                </c:pt>
              </c:numCache>
            </c:numRef>
          </c:val>
        </c:ser>
        <c:ser>
          <c:idx val="3"/>
          <c:order val="3"/>
          <c:tx>
            <c:strRef>
              <c:f>Sheet1!$A$5</c:f>
              <c:strCache>
                <c:ptCount val="1"/>
                <c:pt idx="0">
                  <c:v>Reālā darba samaksa</c:v>
                </c:pt>
              </c:strCache>
            </c:strRef>
          </c:tx>
          <c:spPr>
            <a:ln w="25400">
              <a:solidFill>
                <a:schemeClr val="tx1"/>
              </a:solidFill>
              <a:prstDash val="dashDot"/>
            </a:ln>
          </c:spPr>
          <c:marker>
            <c:symbol val="circle"/>
            <c:size val="7"/>
            <c:spPr>
              <a:solidFill>
                <a:srgbClr val="FFC000"/>
              </a:solidFill>
            </c:spPr>
          </c:marker>
          <c:dLbls>
            <c:delete val="1"/>
          </c:dLbls>
          <c:cat>
            <c:numRef>
              <c:f>Sheet1!$B$1:$M$1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Sheet1!$B$5:$M$5</c:f>
              <c:numCache>
                <c:formatCode>0.0</c:formatCode>
                <c:ptCount val="12"/>
                <c:pt idx="0">
                  <c:v>2.4482109227871982</c:v>
                </c:pt>
                <c:pt idx="1">
                  <c:v>9.9656357388317556</c:v>
                </c:pt>
                <c:pt idx="2">
                  <c:v>15.236875800256048</c:v>
                </c:pt>
                <c:pt idx="3">
                  <c:v>20.261042150233596</c:v>
                </c:pt>
                <c:pt idx="4">
                  <c:v>6.0464665317351489</c:v>
                </c:pt>
                <c:pt idx="5">
                  <c:v>-18.336575875486435</c:v>
                </c:pt>
                <c:pt idx="6">
                  <c:v>-2.8</c:v>
                </c:pt>
                <c:pt idx="7">
                  <c:v>-0.2</c:v>
                </c:pt>
                <c:pt idx="8" formatCode="0.00">
                  <c:v>0.5</c:v>
                </c:pt>
                <c:pt idx="9" formatCode="0.00">
                  <c:v>0.70000000000000062</c:v>
                </c:pt>
                <c:pt idx="10" formatCode="0.00">
                  <c:v>1.05</c:v>
                </c:pt>
                <c:pt idx="11" formatCode="0.00">
                  <c:v>1.1000000000000001</c:v>
                </c:pt>
              </c:numCache>
            </c:numRef>
          </c:val>
        </c:ser>
        <c:dLbls>
          <c:showVal val="1"/>
        </c:dLbls>
        <c:marker val="1"/>
        <c:axId val="105085952"/>
        <c:axId val="113636480"/>
      </c:lineChart>
      <c:catAx>
        <c:axId val="105085952"/>
        <c:scaling>
          <c:orientation val="minMax"/>
        </c:scaling>
        <c:axPos val="b"/>
        <c:numFmt formatCode="General" sourceLinked="1"/>
        <c:tickLblPos val="low"/>
        <c:spPr>
          <a:ln w="9525">
            <a:solidFill>
              <a:srgbClr val="000000"/>
            </a:solidFill>
            <a:prstDash val="solid"/>
          </a:ln>
        </c:spPr>
        <c:txPr>
          <a:bodyPr rot="0" vert="horz"/>
          <a:lstStyle/>
          <a:p>
            <a:pPr>
              <a:defRPr lang="lv-LV" sz="1050" b="0" baseline="0">
                <a:latin typeface="Times New Roman" pitchFamily="18" charset="0"/>
                <a:cs typeface="Times New Roman" pitchFamily="18" charset="0"/>
              </a:defRPr>
            </a:pPr>
            <a:endParaRPr lang="lv-LV"/>
          </a:p>
        </c:txPr>
        <c:crossAx val="113636480"/>
        <c:crosses val="autoZero"/>
        <c:auto val="1"/>
        <c:lblAlgn val="ctr"/>
        <c:lblOffset val="100"/>
        <c:tickLblSkip val="1"/>
        <c:tickMarkSkip val="1"/>
      </c:catAx>
      <c:valAx>
        <c:axId val="113636480"/>
        <c:scaling>
          <c:orientation val="minMax"/>
          <c:max val="22"/>
          <c:min val="-20"/>
        </c:scaling>
        <c:axPos val="l"/>
        <c:majorGridlines>
          <c:spPr>
            <a:ln w="3175">
              <a:solidFill>
                <a:schemeClr val="bg1">
                  <a:lumMod val="50000"/>
                </a:schemeClr>
              </a:solidFill>
              <a:prstDash val="solid"/>
            </a:ln>
          </c:spPr>
        </c:majorGridlines>
        <c:numFmt formatCode="0" sourceLinked="0"/>
        <c:tickLblPos val="nextTo"/>
        <c:spPr>
          <a:ln w="3175">
            <a:solidFill>
              <a:srgbClr val="000000"/>
            </a:solidFill>
            <a:prstDash val="solid"/>
          </a:ln>
        </c:spPr>
        <c:txPr>
          <a:bodyPr rot="0" vert="horz"/>
          <a:lstStyle/>
          <a:p>
            <a:pPr>
              <a:defRPr lang="lv-LV" sz="1050" b="0" baseline="0">
                <a:latin typeface="Times New Roman" pitchFamily="18" charset="0"/>
                <a:cs typeface="Times New Roman" pitchFamily="18" charset="0"/>
              </a:defRPr>
            </a:pPr>
            <a:endParaRPr lang="lv-LV"/>
          </a:p>
        </c:txPr>
        <c:crossAx val="105085952"/>
        <c:crosses val="autoZero"/>
        <c:crossBetween val="between"/>
      </c:valAx>
      <c:spPr>
        <a:solidFill>
          <a:srgbClr val="FFFFFF"/>
        </a:solidFill>
        <a:ln w="12699">
          <a:noFill/>
          <a:prstDash val="solid"/>
        </a:ln>
      </c:spPr>
    </c:plotArea>
    <c:legend>
      <c:legendPos val="r"/>
      <c:layout>
        <c:manualLayout>
          <c:xMode val="edge"/>
          <c:yMode val="edge"/>
          <c:x val="0.69125429392226456"/>
          <c:y val="0.52571013180814441"/>
          <c:w val="0.30575290557372931"/>
          <c:h val="0.28296314886434992"/>
        </c:manualLayout>
      </c:layout>
      <c:spPr>
        <a:solidFill>
          <a:srgbClr val="FFFFFF"/>
        </a:solidFill>
        <a:ln w="25399">
          <a:noFill/>
        </a:ln>
      </c:spPr>
      <c:txPr>
        <a:bodyPr/>
        <a:lstStyle/>
        <a:p>
          <a:pPr>
            <a:defRPr lang="lv-LV" sz="1050" b="0" baseline="0">
              <a:latin typeface="Times New Roman" pitchFamily="18" charset="0"/>
              <a:cs typeface="Times New Roman" pitchFamily="18" charset="0"/>
            </a:defRPr>
          </a:pPr>
          <a:endParaRPr lang="lv-LV"/>
        </a:p>
      </c:txPr>
    </c:legend>
    <c:plotVisOnly val="1"/>
    <c:dispBlanksAs val="gap"/>
  </c:chart>
  <c:spPr>
    <a:noFill/>
    <a:ln>
      <a:noFill/>
    </a:ln>
  </c:spPr>
  <c:txPr>
    <a:bodyPr/>
    <a:lstStyle/>
    <a:p>
      <a:pPr>
        <a:defRPr sz="900" b="1" i="0" u="none" strike="noStrike" baseline="0">
          <a:solidFill>
            <a:srgbClr val="000000"/>
          </a:solidFill>
          <a:latin typeface="+mn-lt"/>
          <a:ea typeface="Arial"/>
          <a:cs typeface="Arial"/>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1590558203635917"/>
          <c:y val="2.4446180555555592E-2"/>
          <c:w val="0.71296166574495856"/>
          <c:h val="0.85877862595420063"/>
        </c:manualLayout>
      </c:layout>
      <c:barChart>
        <c:barDir val="col"/>
        <c:grouping val="percentStacked"/>
        <c:ser>
          <c:idx val="0"/>
          <c:order val="0"/>
          <c:tx>
            <c:strRef>
              <c:f>Sheet1!$A$2</c:f>
              <c:strCache>
                <c:ptCount val="1"/>
                <c:pt idx="0">
                  <c:v>Apstrādes rūpniecība</c:v>
                </c:pt>
              </c:strCache>
            </c:strRef>
          </c:tx>
          <c:spPr>
            <a:solidFill>
              <a:srgbClr val="800000"/>
            </a:solidFill>
            <a:ln w="12700">
              <a:solidFill>
                <a:schemeClr val="tx1"/>
              </a:solidFill>
              <a:prstDash val="solid"/>
            </a:ln>
          </c:spPr>
          <c:dLbls>
            <c:txPr>
              <a:bodyPr/>
              <a:lstStyle/>
              <a:p>
                <a:pPr>
                  <a:defRPr lang="lv-LV">
                    <a:solidFill>
                      <a:schemeClr val="bg1"/>
                    </a:solidFill>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Sheet1!$B$2</c:f>
              <c:numCache>
                <c:formatCode>General</c:formatCode>
                <c:ptCount val="1"/>
                <c:pt idx="0">
                  <c:v>13.7</c:v>
                </c:pt>
              </c:numCache>
            </c:numRef>
          </c:val>
        </c:ser>
        <c:ser>
          <c:idx val="1"/>
          <c:order val="1"/>
          <c:tx>
            <c:strRef>
              <c:f>Sheet1!$A$3</c:f>
              <c:strCache>
                <c:ptCount val="1"/>
                <c:pt idx="0">
                  <c:v>Transports un sakari</c:v>
                </c:pt>
              </c:strCache>
            </c:strRef>
          </c:tx>
          <c:spPr>
            <a:solidFill>
              <a:schemeClr val="accent6">
                <a:lumMod val="75000"/>
              </a:schemeClr>
            </a:solidFill>
            <a:ln w="12700">
              <a:solidFill>
                <a:schemeClr val="tx1"/>
              </a:solidFill>
              <a:prstDash val="solid"/>
            </a:ln>
          </c:spPr>
          <c:dLbls>
            <c:txPr>
              <a:bodyPr/>
              <a:lstStyle/>
              <a:p>
                <a:pPr>
                  <a:defRPr lang="lv-LV">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Sheet1!$B$3</c:f>
              <c:numCache>
                <c:formatCode>General</c:formatCode>
                <c:ptCount val="1"/>
                <c:pt idx="0">
                  <c:v>20.3</c:v>
                </c:pt>
              </c:numCache>
            </c:numRef>
          </c:val>
        </c:ser>
        <c:ser>
          <c:idx val="2"/>
          <c:order val="2"/>
          <c:tx>
            <c:strRef>
              <c:f>Sheet1!$A$4</c:f>
              <c:strCache>
                <c:ptCount val="1"/>
                <c:pt idx="0">
                  <c:v>Pārējās nozares</c:v>
                </c:pt>
              </c:strCache>
            </c:strRef>
          </c:tx>
          <c:spPr>
            <a:solidFill>
              <a:schemeClr val="bg2">
                <a:lumMod val="90000"/>
              </a:schemeClr>
            </a:solidFill>
            <a:ln w="12700">
              <a:solidFill>
                <a:schemeClr val="tx1"/>
              </a:solidFill>
              <a:prstDash val="solid"/>
            </a:ln>
          </c:spPr>
          <c:dLbls>
            <c:numFmt formatCode="#,##0.0" sourceLinked="0"/>
            <c:txPr>
              <a:bodyPr/>
              <a:lstStyle/>
              <a:p>
                <a:pPr>
                  <a:defRPr lang="lv-LV">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Sheet1!$B$4</c:f>
              <c:numCache>
                <c:formatCode>General</c:formatCode>
                <c:ptCount val="1"/>
                <c:pt idx="0">
                  <c:v>66</c:v>
                </c:pt>
              </c:numCache>
            </c:numRef>
          </c:val>
        </c:ser>
        <c:dLbls>
          <c:showVal val="1"/>
        </c:dLbls>
        <c:overlap val="100"/>
        <c:axId val="113789952"/>
        <c:axId val="113804032"/>
      </c:barChart>
      <c:catAx>
        <c:axId val="113789952"/>
        <c:scaling>
          <c:orientation val="minMax"/>
        </c:scaling>
        <c:axPos val="b"/>
        <c:numFmt formatCode="General" sourceLinked="1"/>
        <c:tickLblPos val="low"/>
        <c:spPr>
          <a:ln w="9525">
            <a:solidFill>
              <a:srgbClr val="000000"/>
            </a:solidFill>
            <a:prstDash val="solid"/>
          </a:ln>
        </c:spPr>
        <c:txPr>
          <a:bodyPr rot="0" vert="horz"/>
          <a:lstStyle/>
          <a:p>
            <a:pPr>
              <a:defRPr lang="lv-LV" sz="1050" b="0" baseline="0">
                <a:latin typeface="Times New Roman" pitchFamily="18" charset="0"/>
                <a:cs typeface="Times New Roman" pitchFamily="18" charset="0"/>
              </a:defRPr>
            </a:pPr>
            <a:endParaRPr lang="lv-LV"/>
          </a:p>
        </c:txPr>
        <c:crossAx val="113804032"/>
        <c:crosses val="autoZero"/>
        <c:auto val="1"/>
        <c:lblAlgn val="ctr"/>
        <c:lblOffset val="100"/>
        <c:tickLblSkip val="1"/>
        <c:tickMarkSkip val="1"/>
      </c:catAx>
      <c:valAx>
        <c:axId val="113804032"/>
        <c:scaling>
          <c:orientation val="minMax"/>
        </c:scaling>
        <c:axPos val="l"/>
        <c:majorGridlines>
          <c:spPr>
            <a:ln w="3175">
              <a:solidFill>
                <a:schemeClr val="bg1">
                  <a:lumMod val="50000"/>
                </a:schemeClr>
              </a:solidFill>
              <a:prstDash val="solid"/>
            </a:ln>
          </c:spPr>
        </c:majorGridlines>
        <c:numFmt formatCode="0%" sourceLinked="0"/>
        <c:tickLblPos val="nextTo"/>
        <c:spPr>
          <a:ln w="3175">
            <a:solidFill>
              <a:srgbClr val="000000"/>
            </a:solidFill>
            <a:prstDash val="solid"/>
          </a:ln>
        </c:spPr>
        <c:txPr>
          <a:bodyPr rot="0" vert="horz"/>
          <a:lstStyle/>
          <a:p>
            <a:pPr>
              <a:defRPr lang="lv-LV" sz="900" b="0" baseline="0">
                <a:latin typeface="Times New Roman" pitchFamily="18" charset="0"/>
                <a:cs typeface="Times New Roman" pitchFamily="18" charset="0"/>
              </a:defRPr>
            </a:pPr>
            <a:endParaRPr lang="lv-LV"/>
          </a:p>
        </c:txPr>
        <c:crossAx val="113789952"/>
        <c:crosses val="autoZero"/>
        <c:crossBetween val="between"/>
        <c:majorUnit val="0.2"/>
      </c:valAx>
      <c:spPr>
        <a:solidFill>
          <a:srgbClr val="FFFFFF"/>
        </a:solidFill>
        <a:ln w="12699">
          <a:noFill/>
          <a:prstDash val="solid"/>
        </a:ln>
      </c:spPr>
    </c:plotArea>
    <c:legend>
      <c:legendPos val="r"/>
      <c:layout>
        <c:manualLayout>
          <c:xMode val="edge"/>
          <c:yMode val="edge"/>
          <c:x val="0.69125431227451972"/>
          <c:y val="4.3453472222222234E-2"/>
          <c:w val="0.30575290557372931"/>
          <c:h val="0.83524791666666665"/>
        </c:manualLayout>
      </c:layout>
      <c:spPr>
        <a:solidFill>
          <a:srgbClr val="FFFFFF"/>
        </a:solidFill>
        <a:ln w="25399">
          <a:noFill/>
        </a:ln>
      </c:spPr>
      <c:txPr>
        <a:bodyPr/>
        <a:lstStyle/>
        <a:p>
          <a:pPr>
            <a:defRPr lang="lv-LV" sz="1050" b="0" baseline="0">
              <a:latin typeface="Times New Roman" pitchFamily="18" charset="0"/>
              <a:cs typeface="Times New Roman" pitchFamily="18" charset="0"/>
            </a:defRPr>
          </a:pPr>
          <a:endParaRPr lang="lv-LV"/>
        </a:p>
      </c:txPr>
    </c:legend>
    <c:plotVisOnly val="1"/>
    <c:dispBlanksAs val="gap"/>
  </c:chart>
  <c:spPr>
    <a:noFill/>
    <a:ln>
      <a:noFill/>
    </a:ln>
  </c:spPr>
  <c:txPr>
    <a:bodyPr/>
    <a:lstStyle/>
    <a:p>
      <a:pPr>
        <a:defRPr sz="900" b="1" i="0" u="none" strike="noStrike" baseline="0">
          <a:solidFill>
            <a:srgbClr val="000000"/>
          </a:solidFill>
          <a:latin typeface="+mn-lt"/>
          <a:ea typeface="Arial"/>
          <a:cs typeface="Arial"/>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7.3399500455129413E-2"/>
          <c:y val="3.3265786629612472E-2"/>
          <c:w val="0.71296166574495856"/>
          <c:h val="0.85877862595420063"/>
        </c:manualLayout>
      </c:layout>
      <c:barChart>
        <c:barDir val="col"/>
        <c:grouping val="percentStacked"/>
        <c:ser>
          <c:idx val="0"/>
          <c:order val="0"/>
          <c:tx>
            <c:strRef>
              <c:f>Sheet1!$A$2</c:f>
              <c:strCache>
                <c:ptCount val="1"/>
                <c:pt idx="0">
                  <c:v>Apstrādes rūpniecība</c:v>
                </c:pt>
              </c:strCache>
            </c:strRef>
          </c:tx>
          <c:spPr>
            <a:solidFill>
              <a:srgbClr val="800000"/>
            </a:solidFill>
            <a:ln w="12700">
              <a:solidFill>
                <a:schemeClr val="tx1"/>
              </a:solidFill>
              <a:prstDash val="solid"/>
            </a:ln>
          </c:spPr>
          <c:dLbls>
            <c:txPr>
              <a:bodyPr/>
              <a:lstStyle/>
              <a:p>
                <a:pPr>
                  <a:defRPr lang="lv-LV">
                    <a:solidFill>
                      <a:schemeClr val="bg1"/>
                    </a:solidFill>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Sheet1!$B$2</c:f>
              <c:numCache>
                <c:formatCode>General</c:formatCode>
                <c:ptCount val="1"/>
                <c:pt idx="0">
                  <c:v>66.099999999999994</c:v>
                </c:pt>
              </c:numCache>
            </c:numRef>
          </c:val>
        </c:ser>
        <c:ser>
          <c:idx val="1"/>
          <c:order val="1"/>
          <c:tx>
            <c:strRef>
              <c:f>Sheet1!$A$3</c:f>
              <c:strCache>
                <c:ptCount val="1"/>
                <c:pt idx="0">
                  <c:v>Transports un sakari</c:v>
                </c:pt>
              </c:strCache>
            </c:strRef>
          </c:tx>
          <c:spPr>
            <a:solidFill>
              <a:schemeClr val="accent6">
                <a:lumMod val="75000"/>
              </a:schemeClr>
            </a:solidFill>
            <a:ln w="12700">
              <a:solidFill>
                <a:schemeClr val="tx1"/>
              </a:solidFill>
              <a:prstDash val="solid"/>
            </a:ln>
          </c:spPr>
          <c:dLbls>
            <c:txPr>
              <a:bodyPr/>
              <a:lstStyle/>
              <a:p>
                <a:pPr>
                  <a:defRPr lang="lv-LV">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Sheet1!$B$3</c:f>
              <c:numCache>
                <c:formatCode>General</c:formatCode>
                <c:ptCount val="1"/>
                <c:pt idx="0">
                  <c:v>19.3</c:v>
                </c:pt>
              </c:numCache>
            </c:numRef>
          </c:val>
        </c:ser>
        <c:ser>
          <c:idx val="2"/>
          <c:order val="2"/>
          <c:tx>
            <c:strRef>
              <c:f>Sheet1!$A$4</c:f>
              <c:strCache>
                <c:ptCount val="1"/>
                <c:pt idx="0">
                  <c:v>Pārējās nozares</c:v>
                </c:pt>
              </c:strCache>
            </c:strRef>
          </c:tx>
          <c:spPr>
            <a:solidFill>
              <a:schemeClr val="bg2">
                <a:lumMod val="90000"/>
              </a:schemeClr>
            </a:solidFill>
            <a:ln w="12700">
              <a:solidFill>
                <a:schemeClr val="tx1"/>
              </a:solidFill>
              <a:prstDash val="solid"/>
            </a:ln>
          </c:spPr>
          <c:dLbls>
            <c:txPr>
              <a:bodyPr/>
              <a:lstStyle/>
              <a:p>
                <a:pPr>
                  <a:defRPr lang="lv-LV">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Sheet1!$B$4</c:f>
              <c:numCache>
                <c:formatCode>General</c:formatCode>
                <c:ptCount val="1"/>
                <c:pt idx="0">
                  <c:v>14.6</c:v>
                </c:pt>
              </c:numCache>
            </c:numRef>
          </c:val>
        </c:ser>
        <c:dLbls>
          <c:showVal val="1"/>
        </c:dLbls>
        <c:overlap val="100"/>
        <c:axId val="113937024"/>
        <c:axId val="113955200"/>
      </c:barChart>
      <c:catAx>
        <c:axId val="113937024"/>
        <c:scaling>
          <c:orientation val="minMax"/>
        </c:scaling>
        <c:axPos val="b"/>
        <c:numFmt formatCode="General" sourceLinked="1"/>
        <c:tickLblPos val="low"/>
        <c:spPr>
          <a:ln w="9525">
            <a:solidFill>
              <a:srgbClr val="000000"/>
            </a:solidFill>
            <a:prstDash val="solid"/>
          </a:ln>
        </c:spPr>
        <c:txPr>
          <a:bodyPr rot="0" vert="horz"/>
          <a:lstStyle/>
          <a:p>
            <a:pPr>
              <a:defRPr lang="lv-LV" sz="1050" b="0" baseline="0">
                <a:latin typeface="Times New Roman" pitchFamily="18" charset="0"/>
                <a:cs typeface="Times New Roman" pitchFamily="18" charset="0"/>
              </a:defRPr>
            </a:pPr>
            <a:endParaRPr lang="lv-LV"/>
          </a:p>
        </c:txPr>
        <c:crossAx val="113955200"/>
        <c:crosses val="autoZero"/>
        <c:auto val="1"/>
        <c:lblAlgn val="ctr"/>
        <c:lblOffset val="100"/>
        <c:tickLblSkip val="1"/>
        <c:tickMarkSkip val="1"/>
      </c:catAx>
      <c:valAx>
        <c:axId val="113955200"/>
        <c:scaling>
          <c:orientation val="minMax"/>
        </c:scaling>
        <c:axPos val="l"/>
        <c:majorGridlines>
          <c:spPr>
            <a:ln w="3175">
              <a:solidFill>
                <a:schemeClr val="bg1">
                  <a:lumMod val="50000"/>
                </a:schemeClr>
              </a:solidFill>
              <a:prstDash val="solid"/>
            </a:ln>
          </c:spPr>
        </c:majorGridlines>
        <c:numFmt formatCode="0%" sourceLinked="0"/>
        <c:tickLblPos val="nextTo"/>
        <c:spPr>
          <a:ln w="3175">
            <a:solidFill>
              <a:srgbClr val="000000"/>
            </a:solidFill>
            <a:prstDash val="solid"/>
          </a:ln>
        </c:spPr>
        <c:txPr>
          <a:bodyPr rot="0" vert="horz"/>
          <a:lstStyle/>
          <a:p>
            <a:pPr>
              <a:defRPr lang="lv-LV" sz="900" b="0" baseline="0">
                <a:latin typeface="Times New Roman" pitchFamily="18" charset="0"/>
                <a:cs typeface="Times New Roman" pitchFamily="18" charset="0"/>
              </a:defRPr>
            </a:pPr>
            <a:endParaRPr lang="lv-LV"/>
          </a:p>
        </c:txPr>
        <c:crossAx val="113937024"/>
        <c:crosses val="autoZero"/>
        <c:crossBetween val="between"/>
        <c:majorUnit val="0.2"/>
      </c:valAx>
      <c:spPr>
        <a:solidFill>
          <a:srgbClr val="FFFFFF"/>
        </a:solidFill>
        <a:ln w="12699">
          <a:noFill/>
          <a:prstDash val="solid"/>
        </a:ln>
      </c:spPr>
    </c:plotArea>
    <c:legend>
      <c:legendPos val="r"/>
      <c:layout>
        <c:manualLayout>
          <c:xMode val="edge"/>
          <c:yMode val="edge"/>
          <c:x val="0.69125431227452916"/>
          <c:y val="4.3453425464674046E-2"/>
          <c:w val="0.30575290557372931"/>
          <c:h val="0.79997000374953164"/>
        </c:manualLayout>
      </c:layout>
      <c:spPr>
        <a:solidFill>
          <a:srgbClr val="FFFFFF"/>
        </a:solidFill>
        <a:ln w="25399">
          <a:noFill/>
        </a:ln>
      </c:spPr>
      <c:txPr>
        <a:bodyPr/>
        <a:lstStyle/>
        <a:p>
          <a:pPr>
            <a:defRPr lang="lv-LV" sz="1050" b="0" baseline="0">
              <a:latin typeface="Times New Roman" pitchFamily="18" charset="0"/>
              <a:cs typeface="Times New Roman" pitchFamily="18" charset="0"/>
            </a:defRPr>
          </a:pPr>
          <a:endParaRPr lang="lv-LV"/>
        </a:p>
      </c:txPr>
    </c:legend>
    <c:plotVisOnly val="1"/>
    <c:dispBlanksAs val="gap"/>
  </c:chart>
  <c:spPr>
    <a:noFill/>
    <a:ln>
      <a:noFill/>
    </a:ln>
  </c:spPr>
  <c:txPr>
    <a:bodyPr/>
    <a:lstStyle/>
    <a:p>
      <a:pPr>
        <a:defRPr sz="900" b="1" i="0" u="none" strike="noStrike" baseline="0">
          <a:solidFill>
            <a:srgbClr val="000000"/>
          </a:solidFill>
          <a:latin typeface="+mn-lt"/>
          <a:ea typeface="Arial"/>
          <a:cs typeface="Arial"/>
        </a:defRPr>
      </a:pPr>
      <a:endParaRPr lang="lv-L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style val="4"/>
  <c:chart>
    <c:autoTitleDeleted val="1"/>
    <c:plotArea>
      <c:layout>
        <c:manualLayout>
          <c:layoutTarget val="inner"/>
          <c:xMode val="edge"/>
          <c:yMode val="edge"/>
          <c:x val="7.3399500455129413E-2"/>
          <c:y val="3.3265786629612472E-2"/>
          <c:w val="0.54796723988095242"/>
          <c:h val="0.85877862595420063"/>
        </c:manualLayout>
      </c:layout>
      <c:barChart>
        <c:barDir val="col"/>
        <c:grouping val="percentStacked"/>
        <c:ser>
          <c:idx val="0"/>
          <c:order val="0"/>
          <c:tx>
            <c:strRef>
              <c:f>Sheet1!$A$2</c:f>
              <c:strCache>
                <c:ptCount val="1"/>
                <c:pt idx="0">
                  <c:v>Pārtika rūpniecība</c:v>
                </c:pt>
              </c:strCache>
            </c:strRef>
          </c:tx>
          <c:spPr>
            <a:solidFill>
              <a:srgbClr val="800000"/>
            </a:solidFill>
            <a:ln>
              <a:solidFill>
                <a:srgbClr val="000000"/>
              </a:solidFill>
            </a:ln>
          </c:spPr>
          <c:dLbls>
            <c:dLbl>
              <c:idx val="0"/>
              <c:spPr/>
              <c:txPr>
                <a:bodyPr/>
                <a:lstStyle/>
                <a:p>
                  <a:pPr>
                    <a:defRPr lang="lv-LV" b="1">
                      <a:solidFill>
                        <a:schemeClr val="bg1"/>
                      </a:solidFill>
                      <a:latin typeface="Times New Roman" pitchFamily="18" charset="0"/>
                      <a:cs typeface="Times New Roman" pitchFamily="18" charset="0"/>
                    </a:defRPr>
                  </a:pPr>
                  <a:endParaRPr lang="lv-LV"/>
                </a:p>
              </c:txPr>
            </c:dLbl>
            <c:txPr>
              <a:bodyPr/>
              <a:lstStyle/>
              <a:p>
                <a:pPr>
                  <a:defRPr lang="lv-LV" b="1">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Sheet1!$B$2</c:f>
              <c:numCache>
                <c:formatCode>General</c:formatCode>
                <c:ptCount val="1"/>
                <c:pt idx="0">
                  <c:v>22.4</c:v>
                </c:pt>
              </c:numCache>
            </c:numRef>
          </c:val>
        </c:ser>
        <c:ser>
          <c:idx val="1"/>
          <c:order val="1"/>
          <c:tx>
            <c:strRef>
              <c:f>Sheet1!$A$3</c:f>
              <c:strCache>
                <c:ptCount val="1"/>
                <c:pt idx="0">
                  <c:v>Kokrūpniecība</c:v>
                </c:pt>
              </c:strCache>
            </c:strRef>
          </c:tx>
          <c:spPr>
            <a:solidFill>
              <a:srgbClr val="FF4F4F"/>
            </a:solidFill>
            <a:ln>
              <a:solidFill>
                <a:srgbClr val="000000"/>
              </a:solidFill>
            </a:ln>
          </c:spPr>
          <c:dLbls>
            <c:txPr>
              <a:bodyPr/>
              <a:lstStyle/>
              <a:p>
                <a:pPr>
                  <a:defRPr lang="lv-LV" b="1">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Sheet1!$B$3</c:f>
              <c:numCache>
                <c:formatCode>General</c:formatCode>
                <c:ptCount val="1"/>
                <c:pt idx="0">
                  <c:v>21.9</c:v>
                </c:pt>
              </c:numCache>
            </c:numRef>
          </c:val>
        </c:ser>
        <c:ser>
          <c:idx val="2"/>
          <c:order val="2"/>
          <c:tx>
            <c:strRef>
              <c:f>Sheet1!$A$4</c:f>
              <c:strCache>
                <c:ptCount val="1"/>
                <c:pt idx="0">
                  <c:v>Ķīmiskā rūpniecība</c:v>
                </c:pt>
              </c:strCache>
            </c:strRef>
          </c:tx>
          <c:spPr>
            <a:solidFill>
              <a:schemeClr val="bg2">
                <a:lumMod val="75000"/>
              </a:schemeClr>
            </a:solidFill>
            <a:ln>
              <a:solidFill>
                <a:srgbClr val="000000"/>
              </a:solidFill>
            </a:ln>
          </c:spPr>
          <c:dLbls>
            <c:txPr>
              <a:bodyPr/>
              <a:lstStyle/>
              <a:p>
                <a:pPr>
                  <a:defRPr lang="lv-LV" b="1">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Sheet1!$B$4</c:f>
              <c:numCache>
                <c:formatCode>General</c:formatCode>
                <c:ptCount val="1"/>
                <c:pt idx="0">
                  <c:v>12.6</c:v>
                </c:pt>
              </c:numCache>
            </c:numRef>
          </c:val>
        </c:ser>
        <c:ser>
          <c:idx val="3"/>
          <c:order val="3"/>
          <c:tx>
            <c:strRef>
              <c:f>Sheet1!$A$5</c:f>
              <c:strCache>
                <c:ptCount val="1"/>
                <c:pt idx="0">
                  <c:v>Elektrisko un optisko iekārtu ražošana</c:v>
                </c:pt>
              </c:strCache>
            </c:strRef>
          </c:tx>
          <c:spPr>
            <a:solidFill>
              <a:schemeClr val="bg1">
                <a:lumMod val="95000"/>
              </a:schemeClr>
            </a:solidFill>
            <a:ln>
              <a:solidFill>
                <a:srgbClr val="000000"/>
              </a:solidFill>
            </a:ln>
          </c:spPr>
          <c:dLbls>
            <c:txPr>
              <a:bodyPr/>
              <a:lstStyle/>
              <a:p>
                <a:pPr>
                  <a:defRPr lang="lv-LV" b="1">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Sheet1!$B$5</c:f>
              <c:numCache>
                <c:formatCode>0.0</c:formatCode>
                <c:ptCount val="1"/>
                <c:pt idx="0">
                  <c:v>10.6</c:v>
                </c:pt>
              </c:numCache>
            </c:numRef>
          </c:val>
        </c:ser>
        <c:ser>
          <c:idx val="4"/>
          <c:order val="4"/>
          <c:tx>
            <c:strRef>
              <c:f>Sheet1!$A$6</c:f>
              <c:strCache>
                <c:ptCount val="1"/>
                <c:pt idx="0">
                  <c:v>Mašīnbūve un metālapstrāde</c:v>
                </c:pt>
              </c:strCache>
            </c:strRef>
          </c:tx>
          <c:spPr>
            <a:solidFill>
              <a:schemeClr val="accent6">
                <a:lumMod val="75000"/>
              </a:schemeClr>
            </a:solidFill>
            <a:ln>
              <a:solidFill>
                <a:srgbClr val="000000"/>
              </a:solidFill>
            </a:ln>
          </c:spPr>
          <c:dLbls>
            <c:txPr>
              <a:bodyPr/>
              <a:lstStyle/>
              <a:p>
                <a:pPr>
                  <a:defRPr lang="lv-LV" b="1">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Sheet1!$B$6</c:f>
              <c:numCache>
                <c:formatCode>General</c:formatCode>
                <c:ptCount val="1"/>
                <c:pt idx="0">
                  <c:v>13.1</c:v>
                </c:pt>
              </c:numCache>
            </c:numRef>
          </c:val>
        </c:ser>
        <c:ser>
          <c:idx val="5"/>
          <c:order val="5"/>
          <c:tx>
            <c:strRef>
              <c:f>Sheet1!$A$7</c:f>
              <c:strCache>
                <c:ptCount val="1"/>
                <c:pt idx="0">
                  <c:v>Pārējās apstrādes rūpniecības nozares</c:v>
                </c:pt>
              </c:strCache>
            </c:strRef>
          </c:tx>
          <c:spPr>
            <a:solidFill>
              <a:schemeClr val="bg1">
                <a:lumMod val="65000"/>
              </a:schemeClr>
            </a:solidFill>
            <a:ln>
              <a:solidFill>
                <a:srgbClr val="000000"/>
              </a:solidFill>
            </a:ln>
          </c:spPr>
          <c:dLbls>
            <c:txPr>
              <a:bodyPr/>
              <a:lstStyle/>
              <a:p>
                <a:pPr>
                  <a:defRPr lang="lv-LV" b="1">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Sheet1!$B$7</c:f>
              <c:numCache>
                <c:formatCode>General</c:formatCode>
                <c:ptCount val="1"/>
                <c:pt idx="0">
                  <c:v>19.399999999999999</c:v>
                </c:pt>
              </c:numCache>
            </c:numRef>
          </c:val>
        </c:ser>
        <c:dLbls>
          <c:showVal val="1"/>
        </c:dLbls>
        <c:overlap val="100"/>
        <c:axId val="114067712"/>
        <c:axId val="114081792"/>
      </c:barChart>
      <c:catAx>
        <c:axId val="114067712"/>
        <c:scaling>
          <c:orientation val="minMax"/>
        </c:scaling>
        <c:axPos val="b"/>
        <c:numFmt formatCode="General" sourceLinked="1"/>
        <c:tickLblPos val="low"/>
        <c:txPr>
          <a:bodyPr rot="0" vert="horz"/>
          <a:lstStyle/>
          <a:p>
            <a:pPr>
              <a:defRPr lang="lv-LV">
                <a:latin typeface="Times New Roman" pitchFamily="18" charset="0"/>
                <a:cs typeface="Times New Roman" pitchFamily="18" charset="0"/>
              </a:defRPr>
            </a:pPr>
            <a:endParaRPr lang="lv-LV"/>
          </a:p>
        </c:txPr>
        <c:crossAx val="114081792"/>
        <c:crosses val="autoZero"/>
        <c:auto val="1"/>
        <c:lblAlgn val="ctr"/>
        <c:lblOffset val="100"/>
        <c:tickLblSkip val="1"/>
        <c:tickMarkSkip val="1"/>
      </c:catAx>
      <c:valAx>
        <c:axId val="114081792"/>
        <c:scaling>
          <c:orientation val="minMax"/>
        </c:scaling>
        <c:axPos val="l"/>
        <c:majorGridlines/>
        <c:numFmt formatCode="0%" sourceLinked="0"/>
        <c:tickLblPos val="nextTo"/>
        <c:txPr>
          <a:bodyPr rot="0" vert="horz"/>
          <a:lstStyle/>
          <a:p>
            <a:pPr>
              <a:defRPr lang="lv-LV">
                <a:latin typeface="Times New Roman" pitchFamily="18" charset="0"/>
                <a:cs typeface="Times New Roman" pitchFamily="18" charset="0"/>
              </a:defRPr>
            </a:pPr>
            <a:endParaRPr lang="lv-LV"/>
          </a:p>
        </c:txPr>
        <c:crossAx val="114067712"/>
        <c:crosses val="autoZero"/>
        <c:crossBetween val="between"/>
      </c:valAx>
    </c:plotArea>
    <c:legend>
      <c:legendPos val="r"/>
      <c:layout>
        <c:manualLayout>
          <c:xMode val="edge"/>
          <c:yMode val="edge"/>
          <c:x val="0.56639366567473381"/>
          <c:y val="2.2048611111111192E-2"/>
          <c:w val="0.43360633432527418"/>
          <c:h val="0.90298611111111116"/>
        </c:manualLayout>
      </c:layout>
      <c:spPr>
        <a:solidFill>
          <a:schemeClr val="bg1"/>
        </a:solidFill>
      </c:spPr>
      <c:txPr>
        <a:bodyPr/>
        <a:lstStyle/>
        <a:p>
          <a:pPr>
            <a:defRPr lang="lv-LV">
              <a:latin typeface="Times New Roman" pitchFamily="18" charset="0"/>
              <a:cs typeface="Times New Roman" pitchFamily="18" charset="0"/>
            </a:defRPr>
          </a:pPr>
          <a:endParaRPr lang="lv-LV"/>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v-LV"/>
  <c:style val="4"/>
  <c:chart>
    <c:autoTitleDeleted val="1"/>
    <c:plotArea>
      <c:layout>
        <c:manualLayout>
          <c:layoutTarget val="inner"/>
          <c:xMode val="edge"/>
          <c:yMode val="edge"/>
          <c:x val="7.3399500455129413E-2"/>
          <c:y val="3.3265786629612472E-2"/>
          <c:w val="0.54796723988095219"/>
          <c:h val="0.85877862595420063"/>
        </c:manualLayout>
      </c:layout>
      <c:barChart>
        <c:barDir val="col"/>
        <c:grouping val="percentStacked"/>
        <c:ser>
          <c:idx val="0"/>
          <c:order val="0"/>
          <c:tx>
            <c:strRef>
              <c:f>Sheet1!$A$2</c:f>
              <c:strCache>
                <c:ptCount val="1"/>
                <c:pt idx="0">
                  <c:v>Pārtika rūpniecība</c:v>
                </c:pt>
              </c:strCache>
            </c:strRef>
          </c:tx>
          <c:spPr>
            <a:solidFill>
              <a:srgbClr val="800000"/>
            </a:solidFill>
            <a:ln>
              <a:solidFill>
                <a:srgbClr val="000000"/>
              </a:solidFill>
            </a:ln>
          </c:spPr>
          <c:dLbls>
            <c:dLbl>
              <c:idx val="0"/>
              <c:spPr/>
              <c:txPr>
                <a:bodyPr/>
                <a:lstStyle/>
                <a:p>
                  <a:pPr>
                    <a:defRPr lang="lv-LV" b="1">
                      <a:solidFill>
                        <a:schemeClr val="bg1"/>
                      </a:solidFill>
                      <a:latin typeface="Times New Roman" pitchFamily="18" charset="0"/>
                      <a:cs typeface="Times New Roman" pitchFamily="18" charset="0"/>
                    </a:defRPr>
                  </a:pPr>
                  <a:endParaRPr lang="lv-LV"/>
                </a:p>
              </c:txPr>
            </c:dLbl>
            <c:txPr>
              <a:bodyPr/>
              <a:lstStyle/>
              <a:p>
                <a:pPr>
                  <a:defRPr lang="lv-LV">
                    <a:solidFill>
                      <a:schemeClr val="bg1"/>
                    </a:solidFill>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Sheet1!$B$2</c:f>
              <c:numCache>
                <c:formatCode>General</c:formatCode>
                <c:ptCount val="1"/>
                <c:pt idx="0">
                  <c:v>17.8</c:v>
                </c:pt>
              </c:numCache>
            </c:numRef>
          </c:val>
        </c:ser>
        <c:ser>
          <c:idx val="1"/>
          <c:order val="1"/>
          <c:tx>
            <c:strRef>
              <c:f>Sheet1!$A$3</c:f>
              <c:strCache>
                <c:ptCount val="1"/>
                <c:pt idx="0">
                  <c:v>Kokrūpniecība</c:v>
                </c:pt>
              </c:strCache>
            </c:strRef>
          </c:tx>
          <c:spPr>
            <a:solidFill>
              <a:srgbClr val="FF4F4F"/>
            </a:solidFill>
            <a:ln>
              <a:solidFill>
                <a:srgbClr val="000000"/>
              </a:solidFill>
            </a:ln>
          </c:spPr>
          <c:dLbls>
            <c:numFmt formatCode="#,##0.0" sourceLinked="0"/>
            <c:txPr>
              <a:bodyPr/>
              <a:lstStyle/>
              <a:p>
                <a:pPr>
                  <a:defRPr lang="lv-LV" b="1">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Sheet1!$B$3</c:f>
              <c:numCache>
                <c:formatCode>General</c:formatCode>
                <c:ptCount val="1"/>
                <c:pt idx="0">
                  <c:v>25.6</c:v>
                </c:pt>
              </c:numCache>
            </c:numRef>
          </c:val>
        </c:ser>
        <c:ser>
          <c:idx val="2"/>
          <c:order val="2"/>
          <c:tx>
            <c:strRef>
              <c:f>Sheet1!$A$4</c:f>
              <c:strCache>
                <c:ptCount val="1"/>
                <c:pt idx="0">
                  <c:v>Ķīmiskā rūpniecība</c:v>
                </c:pt>
              </c:strCache>
            </c:strRef>
          </c:tx>
          <c:spPr>
            <a:solidFill>
              <a:schemeClr val="bg2">
                <a:lumMod val="75000"/>
              </a:schemeClr>
            </a:solidFill>
            <a:ln>
              <a:solidFill>
                <a:srgbClr val="000000"/>
              </a:solidFill>
            </a:ln>
          </c:spPr>
          <c:dLbls>
            <c:txPr>
              <a:bodyPr/>
              <a:lstStyle/>
              <a:p>
                <a:pPr>
                  <a:defRPr lang="lv-LV" b="1">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Sheet1!$B$4</c:f>
              <c:numCache>
                <c:formatCode>General</c:formatCode>
                <c:ptCount val="1"/>
                <c:pt idx="0">
                  <c:v>4.7</c:v>
                </c:pt>
              </c:numCache>
            </c:numRef>
          </c:val>
        </c:ser>
        <c:ser>
          <c:idx val="3"/>
          <c:order val="3"/>
          <c:tx>
            <c:strRef>
              <c:f>Sheet1!$A$5</c:f>
              <c:strCache>
                <c:ptCount val="1"/>
                <c:pt idx="0">
                  <c:v>Elektrisko un optisko iekārtu ražošana</c:v>
                </c:pt>
              </c:strCache>
            </c:strRef>
          </c:tx>
          <c:spPr>
            <a:solidFill>
              <a:schemeClr val="bg1">
                <a:lumMod val="95000"/>
              </a:schemeClr>
            </a:solidFill>
            <a:ln>
              <a:solidFill>
                <a:srgbClr val="000000"/>
              </a:solidFill>
            </a:ln>
          </c:spPr>
          <c:dLbls>
            <c:txPr>
              <a:bodyPr/>
              <a:lstStyle/>
              <a:p>
                <a:pPr>
                  <a:defRPr lang="lv-LV" b="1">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Sheet1!$B$5</c:f>
              <c:numCache>
                <c:formatCode>0.0</c:formatCode>
                <c:ptCount val="1"/>
                <c:pt idx="0">
                  <c:v>3.8</c:v>
                </c:pt>
              </c:numCache>
            </c:numRef>
          </c:val>
        </c:ser>
        <c:ser>
          <c:idx val="4"/>
          <c:order val="4"/>
          <c:tx>
            <c:strRef>
              <c:f>Sheet1!$A$6</c:f>
              <c:strCache>
                <c:ptCount val="1"/>
                <c:pt idx="0">
                  <c:v>Mašīnbūve un metālapstrāde</c:v>
                </c:pt>
              </c:strCache>
            </c:strRef>
          </c:tx>
          <c:spPr>
            <a:solidFill>
              <a:schemeClr val="accent6">
                <a:lumMod val="75000"/>
              </a:schemeClr>
            </a:solidFill>
            <a:ln>
              <a:solidFill>
                <a:srgbClr val="000000"/>
              </a:solidFill>
            </a:ln>
          </c:spPr>
          <c:dLbls>
            <c:numFmt formatCode="#,##0.0" sourceLinked="0"/>
            <c:txPr>
              <a:bodyPr/>
              <a:lstStyle/>
              <a:p>
                <a:pPr>
                  <a:defRPr lang="lv-LV" b="1">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Sheet1!$B$6</c:f>
              <c:numCache>
                <c:formatCode>General</c:formatCode>
                <c:ptCount val="1"/>
                <c:pt idx="0">
                  <c:v>29</c:v>
                </c:pt>
              </c:numCache>
            </c:numRef>
          </c:val>
        </c:ser>
        <c:ser>
          <c:idx val="5"/>
          <c:order val="5"/>
          <c:tx>
            <c:strRef>
              <c:f>Sheet1!$A$7</c:f>
              <c:strCache>
                <c:ptCount val="1"/>
                <c:pt idx="0">
                  <c:v>Pārējās apstrādes rūpniecības nozares</c:v>
                </c:pt>
              </c:strCache>
            </c:strRef>
          </c:tx>
          <c:spPr>
            <a:solidFill>
              <a:schemeClr val="bg1">
                <a:lumMod val="65000"/>
              </a:schemeClr>
            </a:solidFill>
            <a:ln>
              <a:solidFill>
                <a:srgbClr val="000000"/>
              </a:solidFill>
            </a:ln>
          </c:spPr>
          <c:dLbls>
            <c:txPr>
              <a:bodyPr/>
              <a:lstStyle/>
              <a:p>
                <a:pPr>
                  <a:defRPr lang="lv-LV" b="1">
                    <a:latin typeface="Times New Roman" pitchFamily="18" charset="0"/>
                    <a:cs typeface="Times New Roman" pitchFamily="18" charset="0"/>
                  </a:defRPr>
                </a:pPr>
                <a:endParaRPr lang="lv-LV"/>
              </a:p>
            </c:txPr>
            <c:showVal val="1"/>
          </c:dLbls>
          <c:cat>
            <c:strRef>
              <c:f>Sheet1!$B$1</c:f>
              <c:strCache>
                <c:ptCount val="1"/>
                <c:pt idx="0">
                  <c:v>2011.-2015.</c:v>
                </c:pt>
              </c:strCache>
            </c:strRef>
          </c:cat>
          <c:val>
            <c:numRef>
              <c:f>Sheet1!$B$7</c:f>
              <c:numCache>
                <c:formatCode>General</c:formatCode>
                <c:ptCount val="1"/>
                <c:pt idx="0">
                  <c:v>19.100000000000001</c:v>
                </c:pt>
              </c:numCache>
            </c:numRef>
          </c:val>
        </c:ser>
        <c:dLbls>
          <c:showVal val="1"/>
        </c:dLbls>
        <c:overlap val="100"/>
        <c:axId val="113911680"/>
        <c:axId val="113913216"/>
      </c:barChart>
      <c:catAx>
        <c:axId val="113911680"/>
        <c:scaling>
          <c:orientation val="minMax"/>
        </c:scaling>
        <c:axPos val="b"/>
        <c:numFmt formatCode="General" sourceLinked="1"/>
        <c:tickLblPos val="low"/>
        <c:txPr>
          <a:bodyPr rot="0" vert="horz"/>
          <a:lstStyle/>
          <a:p>
            <a:pPr>
              <a:defRPr lang="lv-LV">
                <a:latin typeface="Times New Roman" pitchFamily="18" charset="0"/>
                <a:cs typeface="Times New Roman" pitchFamily="18" charset="0"/>
              </a:defRPr>
            </a:pPr>
            <a:endParaRPr lang="lv-LV"/>
          </a:p>
        </c:txPr>
        <c:crossAx val="113913216"/>
        <c:crosses val="autoZero"/>
        <c:auto val="1"/>
        <c:lblAlgn val="ctr"/>
        <c:lblOffset val="100"/>
        <c:tickLblSkip val="1"/>
        <c:tickMarkSkip val="1"/>
      </c:catAx>
      <c:valAx>
        <c:axId val="113913216"/>
        <c:scaling>
          <c:orientation val="minMax"/>
        </c:scaling>
        <c:axPos val="l"/>
        <c:majorGridlines/>
        <c:numFmt formatCode="0%" sourceLinked="0"/>
        <c:tickLblPos val="nextTo"/>
        <c:txPr>
          <a:bodyPr rot="0" vert="horz"/>
          <a:lstStyle/>
          <a:p>
            <a:pPr>
              <a:defRPr lang="lv-LV">
                <a:latin typeface="Times New Roman" pitchFamily="18" charset="0"/>
                <a:cs typeface="Times New Roman" pitchFamily="18" charset="0"/>
              </a:defRPr>
            </a:pPr>
            <a:endParaRPr lang="lv-LV"/>
          </a:p>
        </c:txPr>
        <c:crossAx val="113911680"/>
        <c:crosses val="autoZero"/>
        <c:crossBetween val="between"/>
      </c:valAx>
    </c:plotArea>
    <c:legend>
      <c:legendPos val="r"/>
      <c:layout>
        <c:manualLayout>
          <c:xMode val="edge"/>
          <c:yMode val="edge"/>
          <c:x val="0.56639366567473381"/>
          <c:y val="4.4097222222223523E-2"/>
          <c:w val="0.43360633432527435"/>
          <c:h val="0.95590277777777777"/>
        </c:manualLayout>
      </c:layout>
      <c:spPr>
        <a:solidFill>
          <a:schemeClr val="bg1"/>
        </a:solidFill>
      </c:spPr>
      <c:txPr>
        <a:bodyPr/>
        <a:lstStyle/>
        <a:p>
          <a:pPr>
            <a:defRPr lang="lv-LV">
              <a:latin typeface="Times New Roman" pitchFamily="18" charset="0"/>
              <a:cs typeface="Times New Roman" pitchFamily="18" charset="0"/>
            </a:defRPr>
          </a:pPr>
          <a:endParaRPr lang="lv-LV"/>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5.8823529411764705E-2"/>
          <c:y val="3.1420765027322412E-2"/>
          <c:w val="0.75955302742928565"/>
          <c:h val="0.80568392065745853"/>
        </c:manualLayout>
      </c:layout>
      <c:lineChart>
        <c:grouping val="standard"/>
        <c:ser>
          <c:idx val="1"/>
          <c:order val="0"/>
          <c:tx>
            <c:strRef>
              <c:f>Sheet1!$A$2</c:f>
              <c:strCache>
                <c:ptCount val="1"/>
                <c:pt idx="0">
                  <c:v>a</c:v>
                </c:pt>
              </c:strCache>
            </c:strRef>
          </c:tx>
          <c:spPr>
            <a:ln w="47625">
              <a:solidFill>
                <a:srgbClr val="800000"/>
              </a:solidFill>
              <a:prstDash val="solid"/>
            </a:ln>
          </c:spPr>
          <c:marker>
            <c:symbol val="none"/>
          </c:marker>
          <c:dLbls>
            <c:delete val="1"/>
          </c:dLbls>
          <c:cat>
            <c:numRef>
              <c:f>Sheet1!$B$1:$Q$1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Sheet1!$B$2:$Q$2</c:f>
              <c:numCache>
                <c:formatCode>0.0</c:formatCode>
                <c:ptCount val="16"/>
                <c:pt idx="0">
                  <c:v>939</c:v>
                </c:pt>
                <c:pt idx="1">
                  <c:v>960</c:v>
                </c:pt>
                <c:pt idx="2">
                  <c:v>989</c:v>
                </c:pt>
                <c:pt idx="3">
                  <c:v>1006.9</c:v>
                </c:pt>
                <c:pt idx="4">
                  <c:v>1017.7</c:v>
                </c:pt>
                <c:pt idx="5">
                  <c:v>1035.9000000000001</c:v>
                </c:pt>
                <c:pt idx="6">
                  <c:v>1087.5999999999999</c:v>
                </c:pt>
                <c:pt idx="7">
                  <c:v>1119</c:v>
                </c:pt>
                <c:pt idx="8">
                  <c:v>1124.0999999999999</c:v>
                </c:pt>
              </c:numCache>
            </c:numRef>
          </c:val>
          <c:smooth val="1"/>
        </c:ser>
        <c:ser>
          <c:idx val="2"/>
          <c:order val="1"/>
          <c:tx>
            <c:strRef>
              <c:f>Sheet1!$A$3</c:f>
              <c:strCache>
                <c:ptCount val="1"/>
                <c:pt idx="0">
                  <c:v>Vājas izaugsmes v.</c:v>
                </c:pt>
              </c:strCache>
            </c:strRef>
          </c:tx>
          <c:spPr>
            <a:ln w="31750" cmpd="sng">
              <a:solidFill>
                <a:srgbClr val="800000"/>
              </a:solidFill>
              <a:prstDash val="dashDot"/>
            </a:ln>
          </c:spPr>
          <c:marker>
            <c:symbol val="none"/>
          </c:marker>
          <c:dLbls>
            <c:delete val="1"/>
          </c:dLbls>
          <c:cat>
            <c:numRef>
              <c:f>Sheet1!$B$1:$Q$1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Sheet1!$B$3:$Q$3</c:f>
              <c:numCache>
                <c:formatCode>General</c:formatCode>
                <c:ptCount val="16"/>
                <c:pt idx="8" formatCode="0.0">
                  <c:v>1124.0999999999999</c:v>
                </c:pt>
                <c:pt idx="9" formatCode="0.0">
                  <c:v>983.3045504181041</c:v>
                </c:pt>
                <c:pt idx="10" formatCode="0.0">
                  <c:v>915.97786810389277</c:v>
                </c:pt>
                <c:pt idx="11" formatCode="0.0">
                  <c:v>910.7338702996658</c:v>
                </c:pt>
                <c:pt idx="12" formatCode="0.0">
                  <c:v>909.05071522464755</c:v>
                </c:pt>
                <c:pt idx="13" formatCode="0.0">
                  <c:v>907.33074987964915</c:v>
                </c:pt>
                <c:pt idx="14" formatCode="0.0">
                  <c:v>911.6424218166934</c:v>
                </c:pt>
                <c:pt idx="15" formatCode="0.0">
                  <c:v>927.6450398633234</c:v>
                </c:pt>
              </c:numCache>
            </c:numRef>
          </c:val>
        </c:ser>
        <c:ser>
          <c:idx val="3"/>
          <c:order val="2"/>
          <c:tx>
            <c:strRef>
              <c:f>Sheet1!$A$4</c:f>
              <c:strCache>
                <c:ptCount val="1"/>
                <c:pt idx="0">
                  <c:v>Bāzes v.</c:v>
                </c:pt>
              </c:strCache>
            </c:strRef>
          </c:tx>
          <c:spPr>
            <a:ln w="31750">
              <a:solidFill>
                <a:srgbClr val="800000"/>
              </a:solidFill>
              <a:prstDash val="dash"/>
            </a:ln>
          </c:spPr>
          <c:marker>
            <c:symbol val="none"/>
          </c:marker>
          <c:dLbls>
            <c:delete val="1"/>
          </c:dLbls>
          <c:cat>
            <c:numRef>
              <c:f>Sheet1!$B$1:$Q$1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Sheet1!$B$4:$Q$4</c:f>
            </c:numRef>
          </c:val>
          <c:smooth val="1"/>
        </c:ser>
        <c:ser>
          <c:idx val="0"/>
          <c:order val="3"/>
          <c:tx>
            <c:strRef>
              <c:f>Sheet1!$A$5</c:f>
              <c:strCache>
                <c:ptCount val="1"/>
                <c:pt idx="0">
                  <c:v>Straujākas izaugsmes v.</c:v>
                </c:pt>
              </c:strCache>
            </c:strRef>
          </c:tx>
          <c:spPr>
            <a:ln w="31750">
              <a:solidFill>
                <a:srgbClr val="800000"/>
              </a:solidFill>
              <a:prstDash val="sysDash"/>
            </a:ln>
          </c:spPr>
          <c:marker>
            <c:symbol val="none"/>
          </c:marker>
          <c:dLbls>
            <c:dLbl>
              <c:idx val="8"/>
              <c:delete val="1"/>
            </c:dLbl>
            <c:dLbl>
              <c:idx val="9"/>
              <c:delete val="1"/>
            </c:dLbl>
            <c:dLbl>
              <c:idx val="10"/>
              <c:delete val="1"/>
            </c:dLbl>
            <c:dLbl>
              <c:idx val="11"/>
              <c:delete val="1"/>
            </c:dLbl>
            <c:dLbl>
              <c:idx val="12"/>
              <c:layout>
                <c:manualLayout>
                  <c:x val="0.14551868592217249"/>
                  <c:y val="0.21574301100233176"/>
                </c:manualLayout>
              </c:layout>
              <c:tx>
                <c:rich>
                  <a:bodyPr/>
                  <a:lstStyle/>
                  <a:p>
                    <a:pPr>
                      <a:defRPr lang="lv-LV" sz="1100">
                        <a:latin typeface="Times New Roman" pitchFamily="18" charset="0"/>
                        <a:cs typeface="Times New Roman" pitchFamily="18" charset="0"/>
                      </a:defRPr>
                    </a:pPr>
                    <a:r>
                      <a:rPr lang="lv-LV" sz="1100">
                        <a:latin typeface="Times New Roman" pitchFamily="18" charset="0"/>
                        <a:cs typeface="Times New Roman" pitchFamily="18" charset="0"/>
                      </a:rPr>
                      <a:t>Bāzes scenārijs</a:t>
                    </a:r>
                    <a:endParaRPr lang="en-US" sz="1100">
                      <a:latin typeface="Times New Roman" pitchFamily="18" charset="0"/>
                      <a:cs typeface="Times New Roman" pitchFamily="18" charset="0"/>
                    </a:endParaRPr>
                  </a:p>
                </c:rich>
              </c:tx>
              <c:spPr/>
              <c:showVal val="1"/>
            </c:dLbl>
            <c:dLbl>
              <c:idx val="13"/>
              <c:delete val="1"/>
            </c:dLbl>
            <c:dLbl>
              <c:idx val="14"/>
              <c:delete val="1"/>
            </c:dLbl>
            <c:dLbl>
              <c:idx val="15"/>
              <c:tx>
                <c:rich>
                  <a:bodyPr anchor="ctr" anchorCtr="0"/>
                  <a:lstStyle/>
                  <a:p>
                    <a:pPr>
                      <a:defRPr lang="lv-LV" sz="1100">
                        <a:latin typeface="Times New Roman" pitchFamily="18" charset="0"/>
                        <a:cs typeface="Times New Roman" pitchFamily="18" charset="0"/>
                      </a:defRPr>
                    </a:pPr>
                    <a:r>
                      <a:rPr lang="lv-LV" sz="1100">
                        <a:latin typeface="Times New Roman" pitchFamily="18" charset="0"/>
                        <a:cs typeface="Times New Roman" pitchFamily="18" charset="0"/>
                      </a:rPr>
                      <a:t>Mērķa scenārijs</a:t>
                    </a:r>
                    <a:endParaRPr lang="en-US" sz="1100">
                      <a:latin typeface="Times New Roman" pitchFamily="18" charset="0"/>
                      <a:cs typeface="Times New Roman" pitchFamily="18" charset="0"/>
                    </a:endParaRPr>
                  </a:p>
                </c:rich>
              </c:tx>
              <c:spPr/>
              <c:showVal val="1"/>
            </c:dLbl>
            <c:txPr>
              <a:bodyPr/>
              <a:lstStyle/>
              <a:p>
                <a:pPr>
                  <a:defRPr lang="lv-LV"/>
                </a:pPr>
                <a:endParaRPr lang="lv-LV"/>
              </a:p>
            </c:txPr>
            <c:showVal val="1"/>
          </c:dLbls>
          <c:cat>
            <c:numRef>
              <c:f>Sheet1!$B$1:$Q$1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Sheet1!$B$5:$Q$5</c:f>
              <c:numCache>
                <c:formatCode>General</c:formatCode>
                <c:ptCount val="16"/>
                <c:pt idx="8" formatCode="0.0">
                  <c:v>1124.0999999999999</c:v>
                </c:pt>
                <c:pt idx="9" formatCode="0.0">
                  <c:v>990</c:v>
                </c:pt>
                <c:pt idx="10" formatCode="0.0">
                  <c:v>980.65322211884506</c:v>
                </c:pt>
                <c:pt idx="11" formatCode="0.0">
                  <c:v>983.72303010311555</c:v>
                </c:pt>
                <c:pt idx="12" formatCode="0.0">
                  <c:v>999.18938313106355</c:v>
                </c:pt>
                <c:pt idx="13" formatCode="0.0">
                  <c:v>1020.9255871719063</c:v>
                </c:pt>
                <c:pt idx="14" formatCode="0.0">
                  <c:v>1049.9335251558753</c:v>
                </c:pt>
                <c:pt idx="15" formatCode="0.0">
                  <c:v>1081.0033105607158</c:v>
                </c:pt>
              </c:numCache>
            </c:numRef>
          </c:val>
        </c:ser>
        <c:dLbls>
          <c:showVal val="1"/>
        </c:dLbls>
        <c:marker val="1"/>
        <c:axId val="128911616"/>
        <c:axId val="128929792"/>
      </c:lineChart>
      <c:catAx>
        <c:axId val="128911616"/>
        <c:scaling>
          <c:orientation val="minMax"/>
        </c:scaling>
        <c:axPos val="b"/>
        <c:numFmt formatCode="General" sourceLinked="1"/>
        <c:tickLblPos val="nextTo"/>
        <c:spPr>
          <a:ln w="3223">
            <a:solidFill>
              <a:srgbClr val="000000"/>
            </a:solidFill>
            <a:prstDash val="solid"/>
          </a:ln>
        </c:spPr>
        <c:txPr>
          <a:bodyPr rot="0" vert="horz"/>
          <a:lstStyle/>
          <a:p>
            <a:pPr>
              <a:defRPr lang="lv-LV" sz="1000" baseline="0">
                <a:latin typeface="Times New Roman" pitchFamily="18" charset="0"/>
              </a:defRPr>
            </a:pPr>
            <a:endParaRPr lang="lv-LV"/>
          </a:p>
        </c:txPr>
        <c:crossAx val="128929792"/>
        <c:crosses val="autoZero"/>
        <c:lblAlgn val="ctr"/>
        <c:lblOffset val="100"/>
        <c:tickLblSkip val="1"/>
        <c:tickMarkSkip val="1"/>
      </c:catAx>
      <c:valAx>
        <c:axId val="128929792"/>
        <c:scaling>
          <c:orientation val="minMax"/>
          <c:min val="800"/>
        </c:scaling>
        <c:axPos val="l"/>
        <c:majorGridlines>
          <c:spPr>
            <a:ln>
              <a:solidFill>
                <a:schemeClr val="bg1">
                  <a:lumMod val="75000"/>
                </a:schemeClr>
              </a:solidFill>
            </a:ln>
          </c:spPr>
        </c:majorGridlines>
        <c:numFmt formatCode="0" sourceLinked="0"/>
        <c:tickLblPos val="nextTo"/>
        <c:spPr>
          <a:ln w="3223">
            <a:solidFill>
              <a:srgbClr val="000000"/>
            </a:solidFill>
            <a:prstDash val="solid"/>
          </a:ln>
        </c:spPr>
        <c:txPr>
          <a:bodyPr rot="0" vert="horz"/>
          <a:lstStyle/>
          <a:p>
            <a:pPr>
              <a:defRPr lang="lv-LV" sz="1000">
                <a:latin typeface="Times New Roman" pitchFamily="18" charset="0"/>
                <a:cs typeface="Times New Roman" pitchFamily="18" charset="0"/>
              </a:defRPr>
            </a:pPr>
            <a:endParaRPr lang="lv-LV"/>
          </a:p>
        </c:txPr>
        <c:crossAx val="128911616"/>
        <c:crosses val="autoZero"/>
        <c:crossBetween val="midCat"/>
      </c:valAx>
      <c:spPr>
        <a:noFill/>
        <a:ln w="25799">
          <a:noFill/>
        </a:ln>
      </c:spPr>
    </c:plotArea>
    <c:plotVisOnly val="1"/>
    <c:dispBlanksAs val="gap"/>
  </c:chart>
  <c:spPr>
    <a:noFill/>
    <a:ln>
      <a:noFill/>
    </a:ln>
  </c:spPr>
  <c:txPr>
    <a:bodyPr/>
    <a:lstStyle/>
    <a:p>
      <a:pPr>
        <a:defRPr sz="1400" b="0" i="0" u="none" strike="noStrike" baseline="0">
          <a:solidFill>
            <a:srgbClr val="000000"/>
          </a:solidFill>
          <a:latin typeface="+mj-lt"/>
          <a:ea typeface="Arial"/>
          <a:cs typeface="Times New Roman" pitchFamily="18" charset="0"/>
        </a:defRPr>
      </a:pPr>
      <a:endParaRPr lang="lv-LV"/>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0.31025</cdr:x>
      <cdr:y>0.557</cdr:y>
    </cdr:from>
    <cdr:to>
      <cdr:x>0.3155</cdr:x>
      <cdr:y>0.66475</cdr:y>
    </cdr:to>
    <cdr:sp macro="" textlink="">
      <cdr:nvSpPr>
        <cdr:cNvPr id="1028" name="Text Box 4"/>
        <cdr:cNvSpPr txBox="1">
          <a:spLocks xmlns:a="http://schemas.openxmlformats.org/drawingml/2006/main" noChangeArrowheads="1"/>
        </cdr:cNvSpPr>
      </cdr:nvSpPr>
      <cdr:spPr bwMode="auto">
        <a:xfrm xmlns:a="http://schemas.openxmlformats.org/drawingml/2006/main">
          <a:off x="1717700" y="1147405"/>
          <a:ext cx="28904" cy="2097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0.31025</cdr:x>
      <cdr:y>0.557</cdr:y>
    </cdr:from>
    <cdr:to>
      <cdr:x>0.3155</cdr:x>
      <cdr:y>0.66475</cdr:y>
    </cdr:to>
    <cdr:sp macro="" textlink="">
      <cdr:nvSpPr>
        <cdr:cNvPr id="4" name="Text Box 4"/>
        <cdr:cNvSpPr txBox="1">
          <a:spLocks xmlns:a="http://schemas.openxmlformats.org/drawingml/2006/main" noChangeArrowheads="1"/>
        </cdr:cNvSpPr>
      </cdr:nvSpPr>
      <cdr:spPr bwMode="auto">
        <a:xfrm xmlns:a="http://schemas.openxmlformats.org/drawingml/2006/main">
          <a:off x="1717700" y="1147405"/>
          <a:ext cx="28904" cy="2097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0.31025</cdr:x>
      <cdr:y>0.557</cdr:y>
    </cdr:from>
    <cdr:to>
      <cdr:x>0.3155</cdr:x>
      <cdr:y>0.66475</cdr:y>
    </cdr:to>
    <cdr:sp macro="" textlink="">
      <cdr:nvSpPr>
        <cdr:cNvPr id="1028" name="Text Box 4"/>
        <cdr:cNvSpPr txBox="1">
          <a:spLocks xmlns:a="http://schemas.openxmlformats.org/drawingml/2006/main" noChangeArrowheads="1"/>
        </cdr:cNvSpPr>
      </cdr:nvSpPr>
      <cdr:spPr bwMode="auto">
        <a:xfrm xmlns:a="http://schemas.openxmlformats.org/drawingml/2006/main">
          <a:off x="1717700" y="1147405"/>
          <a:ext cx="28904" cy="2097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0.31025</cdr:x>
      <cdr:y>0.557</cdr:y>
    </cdr:from>
    <cdr:to>
      <cdr:x>0.3155</cdr:x>
      <cdr:y>0.66475</cdr:y>
    </cdr:to>
    <cdr:sp macro="" textlink="">
      <cdr:nvSpPr>
        <cdr:cNvPr id="4" name="Text Box 4"/>
        <cdr:cNvSpPr txBox="1">
          <a:spLocks xmlns:a="http://schemas.openxmlformats.org/drawingml/2006/main" noChangeArrowheads="1"/>
        </cdr:cNvSpPr>
      </cdr:nvSpPr>
      <cdr:spPr bwMode="auto">
        <a:xfrm xmlns:a="http://schemas.openxmlformats.org/drawingml/2006/main">
          <a:off x="1717700" y="1147405"/>
          <a:ext cx="28904" cy="2097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AC88-5923-413F-A92D-8CE9955F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16649</Words>
  <Characters>111716</Characters>
  <Application>Microsoft Office Word</Application>
  <DocSecurity>0</DocSecurity>
  <Lines>5879</Lines>
  <Paragraphs>4584</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123781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SalminsJ</dc:creator>
  <cp:lastModifiedBy>SalminsJ</cp:lastModifiedBy>
  <cp:revision>21</cp:revision>
  <cp:lastPrinted>2009-10-07T11:13:00Z</cp:lastPrinted>
  <dcterms:created xsi:type="dcterms:W3CDTF">2009-10-01T12:48:00Z</dcterms:created>
  <dcterms:modified xsi:type="dcterms:W3CDTF">2009-10-07T11:34:00Z</dcterms:modified>
</cp:coreProperties>
</file>