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rawings/drawing1.xml" ContentType="application/vnd.openxmlformats-officedocument.drawingml.chartshapes+xml"/>
  <Override PartName="/word/diagrams/drawing1.xml" ContentType="application/vnd.ms-office.drawingml.diagramDrawing+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diagrams/layout1.xml" ContentType="application/vnd.openxmlformats-officedocument.drawingml.diagramLayou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7E5F" w:rsidRPr="005C232D" w:rsidRDefault="0070016C" w:rsidP="0070016C">
      <w:pPr>
        <w:spacing w:after="0" w:line="240" w:lineRule="auto"/>
        <w:jc w:val="center"/>
        <w:rPr>
          <w:rFonts w:ascii="Times New Roman" w:hAnsi="Times New Roman"/>
          <w:b/>
          <w:sz w:val="28"/>
          <w:szCs w:val="28"/>
          <w:lang w:val="lv-LV"/>
        </w:rPr>
      </w:pPr>
      <w:r w:rsidRPr="005C232D">
        <w:rPr>
          <w:rFonts w:ascii="Times New Roman" w:hAnsi="Times New Roman"/>
          <w:b/>
          <w:sz w:val="28"/>
          <w:szCs w:val="28"/>
          <w:lang w:val="lv-LV"/>
        </w:rPr>
        <w:t>Infor</w:t>
      </w:r>
      <w:r w:rsidR="00BE125F" w:rsidRPr="005C232D">
        <w:rPr>
          <w:rFonts w:ascii="Times New Roman" w:hAnsi="Times New Roman"/>
          <w:b/>
          <w:sz w:val="28"/>
          <w:szCs w:val="28"/>
          <w:lang w:val="lv-LV"/>
        </w:rPr>
        <w:t xml:space="preserve">matīvais ziņojums </w:t>
      </w:r>
      <w:r w:rsidR="00E23F5A">
        <w:rPr>
          <w:rFonts w:ascii="Times New Roman" w:hAnsi="Times New Roman"/>
          <w:b/>
          <w:sz w:val="28"/>
          <w:szCs w:val="28"/>
          <w:lang w:val="lv-LV"/>
        </w:rPr>
        <w:t>„P</w:t>
      </w:r>
      <w:r w:rsidR="00BE125F" w:rsidRPr="005C232D">
        <w:rPr>
          <w:rFonts w:ascii="Times New Roman" w:hAnsi="Times New Roman"/>
          <w:b/>
          <w:sz w:val="28"/>
          <w:szCs w:val="28"/>
          <w:lang w:val="lv-LV"/>
        </w:rPr>
        <w:t xml:space="preserve">ar </w:t>
      </w:r>
      <w:r w:rsidRPr="005C232D">
        <w:rPr>
          <w:rFonts w:ascii="Times New Roman" w:hAnsi="Times New Roman"/>
          <w:b/>
          <w:sz w:val="28"/>
          <w:szCs w:val="28"/>
          <w:lang w:val="lv-LV"/>
        </w:rPr>
        <w:t>Latvijas elektroenerģijas tirgus pilnīg</w:t>
      </w:r>
      <w:r w:rsidR="00BE125F" w:rsidRPr="005C232D">
        <w:rPr>
          <w:rFonts w:ascii="Times New Roman" w:hAnsi="Times New Roman"/>
          <w:b/>
          <w:sz w:val="28"/>
          <w:szCs w:val="28"/>
          <w:lang w:val="lv-LV"/>
        </w:rPr>
        <w:t>u atvēršanu</w:t>
      </w:r>
      <w:r w:rsidR="00E23F5A">
        <w:rPr>
          <w:rFonts w:ascii="Times New Roman" w:hAnsi="Times New Roman"/>
          <w:b/>
          <w:sz w:val="28"/>
          <w:szCs w:val="28"/>
          <w:lang w:val="lv-LV"/>
        </w:rPr>
        <w:t>”</w:t>
      </w:r>
    </w:p>
    <w:p w:rsidR="00D60F9B" w:rsidRDefault="00D60F9B" w:rsidP="00D60F9B">
      <w:pPr>
        <w:spacing w:after="0" w:line="240" w:lineRule="auto"/>
        <w:rPr>
          <w:rFonts w:ascii="Times New Roman" w:hAnsi="Times New Roman"/>
          <w:b/>
          <w:sz w:val="28"/>
          <w:szCs w:val="28"/>
          <w:lang w:val="lv-LV"/>
        </w:rPr>
      </w:pPr>
    </w:p>
    <w:p w:rsidR="006F02AC" w:rsidRDefault="006F02AC" w:rsidP="00D60F9B">
      <w:pPr>
        <w:spacing w:after="0" w:line="240" w:lineRule="auto"/>
        <w:rPr>
          <w:rFonts w:ascii="Times New Roman" w:hAnsi="Times New Roman"/>
          <w:b/>
          <w:sz w:val="28"/>
          <w:szCs w:val="28"/>
          <w:lang w:val="lv-LV"/>
        </w:rPr>
      </w:pPr>
    </w:p>
    <w:p w:rsidR="00AD6AA5" w:rsidRDefault="00AD6AA5" w:rsidP="00D60F9B">
      <w:pPr>
        <w:spacing w:after="0" w:line="240" w:lineRule="auto"/>
        <w:rPr>
          <w:rFonts w:ascii="Times New Roman" w:hAnsi="Times New Roman"/>
          <w:b/>
          <w:sz w:val="28"/>
          <w:szCs w:val="28"/>
          <w:lang w:val="lv-LV"/>
        </w:rPr>
      </w:pPr>
    </w:p>
    <w:p w:rsidR="0070016C" w:rsidRPr="00F81D3A" w:rsidRDefault="0070016C" w:rsidP="00F81D3A">
      <w:pPr>
        <w:pStyle w:val="ListParagraph"/>
        <w:numPr>
          <w:ilvl w:val="0"/>
          <w:numId w:val="6"/>
        </w:numPr>
        <w:spacing w:after="0" w:line="240" w:lineRule="auto"/>
        <w:jc w:val="center"/>
        <w:rPr>
          <w:rFonts w:ascii="Times New Roman" w:hAnsi="Times New Roman"/>
          <w:b/>
          <w:sz w:val="28"/>
          <w:szCs w:val="28"/>
          <w:lang w:val="lv-LV"/>
        </w:rPr>
      </w:pPr>
      <w:r w:rsidRPr="00F81D3A">
        <w:rPr>
          <w:rFonts w:ascii="Times New Roman" w:hAnsi="Times New Roman"/>
          <w:b/>
          <w:sz w:val="28"/>
          <w:szCs w:val="28"/>
          <w:lang w:val="lv-LV"/>
        </w:rPr>
        <w:t>Ievads</w:t>
      </w:r>
    </w:p>
    <w:p w:rsidR="0070016C" w:rsidRPr="008475F6" w:rsidRDefault="0070016C" w:rsidP="00D60F9B">
      <w:pPr>
        <w:spacing w:after="0" w:line="240" w:lineRule="auto"/>
        <w:jc w:val="center"/>
        <w:rPr>
          <w:rFonts w:ascii="Times New Roman" w:hAnsi="Times New Roman"/>
          <w:sz w:val="28"/>
          <w:szCs w:val="28"/>
          <w:lang w:val="lv-LV"/>
        </w:rPr>
      </w:pPr>
    </w:p>
    <w:p w:rsidR="00670AA9" w:rsidRPr="005C232D" w:rsidRDefault="00542D08" w:rsidP="00C819F5">
      <w:pPr>
        <w:spacing w:after="0" w:line="240" w:lineRule="auto"/>
        <w:jc w:val="both"/>
        <w:rPr>
          <w:rFonts w:ascii="Times New Roman" w:hAnsi="Times New Roman"/>
          <w:sz w:val="28"/>
          <w:szCs w:val="28"/>
          <w:lang w:val="lv-LV"/>
        </w:rPr>
      </w:pPr>
      <w:r w:rsidRPr="008475F6">
        <w:rPr>
          <w:rFonts w:ascii="Times New Roman" w:hAnsi="Times New Roman"/>
          <w:sz w:val="28"/>
          <w:szCs w:val="28"/>
          <w:lang w:val="lv-LV"/>
        </w:rPr>
        <w:t>2009.gada 17.jūnijā Latvija un septiņas citas Baltijas jūras reģiona dalībvalstis parakstīja saprašanās memorandu ar Eiropas Komisiju par Baltijas enerģētikas tirgus starpsavienojumu plānu  (turpmāk – BEMIP).</w:t>
      </w:r>
      <w:r w:rsidR="000A4DD4" w:rsidRPr="008475F6">
        <w:rPr>
          <w:rFonts w:ascii="Times New Roman" w:hAnsi="Times New Roman"/>
          <w:sz w:val="28"/>
          <w:szCs w:val="28"/>
          <w:lang w:val="lv-LV"/>
        </w:rPr>
        <w:t xml:space="preserve"> </w:t>
      </w:r>
      <w:r w:rsidR="000B0F6F" w:rsidRPr="008475F6">
        <w:rPr>
          <w:rFonts w:ascii="Times New Roman" w:hAnsi="Times New Roman"/>
          <w:sz w:val="28"/>
          <w:szCs w:val="28"/>
          <w:lang w:val="lv-LV"/>
        </w:rPr>
        <w:t>Eiropas Savienības</w:t>
      </w:r>
      <w:r w:rsidR="0024244F">
        <w:rPr>
          <w:rFonts w:ascii="Times New Roman" w:hAnsi="Times New Roman"/>
          <w:sz w:val="28"/>
          <w:szCs w:val="28"/>
          <w:lang w:val="lv-LV"/>
        </w:rPr>
        <w:t xml:space="preserve"> </w:t>
      </w:r>
      <w:r w:rsidR="0024244F" w:rsidRPr="0024244F">
        <w:rPr>
          <w:rFonts w:ascii="Times New Roman" w:hAnsi="Times New Roman"/>
          <w:sz w:val="28"/>
          <w:szCs w:val="28"/>
          <w:lang w:val="lv-LV"/>
        </w:rPr>
        <w:t xml:space="preserve">(turpmāk – ES) </w:t>
      </w:r>
      <w:r w:rsidR="004C55DF" w:rsidRPr="008475F6">
        <w:rPr>
          <w:rFonts w:ascii="Times New Roman" w:hAnsi="Times New Roman"/>
          <w:sz w:val="28"/>
          <w:szCs w:val="28"/>
          <w:lang w:val="lv-LV"/>
        </w:rPr>
        <w:t xml:space="preserve"> iekšējā tirgus</w:t>
      </w:r>
      <w:r w:rsidR="000B0F6F" w:rsidRPr="008475F6">
        <w:rPr>
          <w:rFonts w:ascii="Times New Roman" w:hAnsi="Times New Roman"/>
          <w:sz w:val="28"/>
          <w:szCs w:val="28"/>
          <w:lang w:val="lv-LV"/>
        </w:rPr>
        <w:t xml:space="preserve"> viens no būtiskākajiem pamatprincipiem ir nodrošināt</w:t>
      </w:r>
      <w:r w:rsidRPr="008475F6">
        <w:rPr>
          <w:rFonts w:ascii="Times New Roman" w:hAnsi="Times New Roman"/>
          <w:sz w:val="28"/>
          <w:szCs w:val="28"/>
          <w:lang w:val="lv-LV"/>
        </w:rPr>
        <w:t xml:space="preserve"> </w:t>
      </w:r>
      <w:r w:rsidR="00C7211C" w:rsidRPr="008475F6">
        <w:rPr>
          <w:rFonts w:ascii="Times New Roman" w:hAnsi="Times New Roman"/>
          <w:sz w:val="28"/>
          <w:szCs w:val="28"/>
          <w:lang w:val="lv-LV"/>
        </w:rPr>
        <w:t>brīvu preču apriti, brīvību veikt uzņēmējdarbību un pakalpojumu sniegšanas brīvību</w:t>
      </w:r>
      <w:r w:rsidR="00B11A57" w:rsidRPr="008475F6">
        <w:rPr>
          <w:rFonts w:ascii="Times New Roman" w:hAnsi="Times New Roman"/>
          <w:sz w:val="28"/>
          <w:szCs w:val="28"/>
          <w:lang w:val="lv-LV"/>
        </w:rPr>
        <w:t>.</w:t>
      </w:r>
      <w:r w:rsidR="000B0F6F" w:rsidRPr="008475F6">
        <w:rPr>
          <w:rFonts w:ascii="Times New Roman" w:hAnsi="Times New Roman"/>
          <w:sz w:val="28"/>
          <w:szCs w:val="28"/>
          <w:lang w:val="lv-LV"/>
        </w:rPr>
        <w:t xml:space="preserve"> </w:t>
      </w:r>
      <w:r w:rsidR="00B11A57" w:rsidRPr="008475F6">
        <w:rPr>
          <w:rFonts w:ascii="Times New Roman" w:hAnsi="Times New Roman"/>
          <w:sz w:val="28"/>
          <w:szCs w:val="28"/>
          <w:lang w:val="lv-LV"/>
        </w:rPr>
        <w:t>V</w:t>
      </w:r>
      <w:r w:rsidR="000B0F6F" w:rsidRPr="008475F6">
        <w:rPr>
          <w:rFonts w:ascii="Times New Roman" w:hAnsi="Times New Roman"/>
          <w:sz w:val="28"/>
          <w:szCs w:val="28"/>
          <w:lang w:val="lv-LV"/>
        </w:rPr>
        <w:t>iena no brīvā tirgus sastāvdaļām ir arī atvērts, harmonizēts</w:t>
      </w:r>
      <w:r w:rsidR="00967B49" w:rsidRPr="008475F6">
        <w:rPr>
          <w:rFonts w:ascii="Times New Roman" w:hAnsi="Times New Roman"/>
          <w:sz w:val="28"/>
          <w:szCs w:val="28"/>
          <w:lang w:val="lv-LV"/>
        </w:rPr>
        <w:t xml:space="preserve"> Eiropas Savienības iekšējais elektroenerģijas tirgus.</w:t>
      </w:r>
      <w:r w:rsidR="000B0F6F" w:rsidRPr="008475F6">
        <w:rPr>
          <w:rFonts w:ascii="Times New Roman" w:hAnsi="Times New Roman"/>
          <w:sz w:val="28"/>
          <w:szCs w:val="28"/>
          <w:lang w:val="lv-LV"/>
        </w:rPr>
        <w:t xml:space="preserve"> </w:t>
      </w:r>
      <w:r w:rsidR="000B0F6F" w:rsidRPr="008475F6">
        <w:rPr>
          <w:sz w:val="19"/>
          <w:szCs w:val="19"/>
          <w:lang w:val="lv-LV"/>
        </w:rPr>
        <w:t xml:space="preserve"> </w:t>
      </w:r>
      <w:r w:rsidRPr="008475F6">
        <w:rPr>
          <w:rFonts w:ascii="Times New Roman" w:hAnsi="Times New Roman"/>
          <w:sz w:val="28"/>
          <w:szCs w:val="28"/>
          <w:lang w:val="lv-LV"/>
        </w:rPr>
        <w:t>BEMIP rīcības plāns paredz</w:t>
      </w:r>
      <w:r w:rsidR="00065F77" w:rsidRPr="008475F6">
        <w:rPr>
          <w:rFonts w:ascii="Times New Roman" w:hAnsi="Times New Roman"/>
          <w:sz w:val="28"/>
          <w:szCs w:val="28"/>
          <w:lang w:val="lv-LV"/>
        </w:rPr>
        <w:t xml:space="preserve"> Baltijas valstīm veikt  saskaņotas darbības, lai izveidotu pilnīgi funkcionējošu un integrētu elektroenerģijas tirgu, to balsto</w:t>
      </w:r>
      <w:r w:rsidR="00243422" w:rsidRPr="008475F6">
        <w:rPr>
          <w:rFonts w:ascii="Times New Roman" w:hAnsi="Times New Roman"/>
          <w:sz w:val="28"/>
          <w:szCs w:val="28"/>
          <w:lang w:val="lv-LV"/>
        </w:rPr>
        <w:t>t</w:t>
      </w:r>
      <w:r w:rsidR="00065F77" w:rsidRPr="008475F6">
        <w:rPr>
          <w:rFonts w:ascii="Times New Roman" w:hAnsi="Times New Roman"/>
          <w:sz w:val="28"/>
          <w:szCs w:val="28"/>
          <w:lang w:val="lv-LV"/>
        </w:rPr>
        <w:t xml:space="preserve"> uz </w:t>
      </w:r>
      <w:r w:rsidR="00065F77" w:rsidRPr="008475F6">
        <w:rPr>
          <w:rStyle w:val="at4"/>
          <w:rFonts w:ascii="Times New Roman" w:hAnsi="Times New Roman"/>
          <w:sz w:val="28"/>
          <w:szCs w:val="28"/>
          <w:lang w:val="lv-LV"/>
        </w:rPr>
        <w:t>Ziemeļvalstu elektroenerģijas tirgus modeli</w:t>
      </w:r>
      <w:r w:rsidR="00065F77" w:rsidRPr="008475F6">
        <w:rPr>
          <w:rFonts w:ascii="Times New Roman" w:hAnsi="Times New Roman"/>
          <w:sz w:val="28"/>
          <w:szCs w:val="28"/>
          <w:lang w:val="lv-LV"/>
        </w:rPr>
        <w:t xml:space="preserve">. Viens no BEMIP rīcības plāna uzdevumiem ir pakāpeniska </w:t>
      </w:r>
      <w:r w:rsidR="007714FA" w:rsidRPr="008475F6">
        <w:rPr>
          <w:rFonts w:ascii="Times New Roman" w:hAnsi="Times New Roman"/>
          <w:sz w:val="28"/>
          <w:szCs w:val="28"/>
          <w:lang w:val="lv-LV"/>
        </w:rPr>
        <w:t xml:space="preserve">Baltijas valstu iekšējo </w:t>
      </w:r>
      <w:r w:rsidR="00065F77" w:rsidRPr="008475F6">
        <w:rPr>
          <w:rFonts w:ascii="Times New Roman" w:hAnsi="Times New Roman"/>
          <w:sz w:val="28"/>
          <w:szCs w:val="28"/>
          <w:lang w:val="lv-LV"/>
        </w:rPr>
        <w:t>elektroenerģijas tirgu</w:t>
      </w:r>
      <w:r w:rsidR="00065F77" w:rsidRPr="000A1347">
        <w:rPr>
          <w:rFonts w:ascii="Times New Roman" w:hAnsi="Times New Roman"/>
          <w:sz w:val="28"/>
          <w:szCs w:val="28"/>
          <w:lang w:val="lv-LV"/>
        </w:rPr>
        <w:t xml:space="preserve"> atvēršana</w:t>
      </w:r>
      <w:r w:rsidR="007714FA" w:rsidRPr="000A1347">
        <w:rPr>
          <w:rFonts w:ascii="Times New Roman" w:hAnsi="Times New Roman"/>
          <w:sz w:val="28"/>
          <w:szCs w:val="28"/>
          <w:lang w:val="lv-LV"/>
        </w:rPr>
        <w:t xml:space="preserve">, cita starpā paredzot arī regulētu elektroenerģijas tarifu  atcelšanu </w:t>
      </w:r>
      <w:r w:rsidR="008610C9" w:rsidRPr="000A1347">
        <w:rPr>
          <w:rFonts w:ascii="Times New Roman" w:hAnsi="Times New Roman"/>
          <w:sz w:val="28"/>
          <w:szCs w:val="28"/>
          <w:lang w:val="lv-LV"/>
        </w:rPr>
        <w:t xml:space="preserve">saistītajiem </w:t>
      </w:r>
      <w:r w:rsidR="007714FA" w:rsidRPr="000A1347">
        <w:rPr>
          <w:rFonts w:ascii="Times New Roman" w:hAnsi="Times New Roman"/>
          <w:sz w:val="28"/>
          <w:szCs w:val="28"/>
          <w:lang w:val="lv-LV"/>
        </w:rPr>
        <w:t xml:space="preserve"> elektroenerģijas lietotājiem, tostarp mājsaimniecībām, lai tās varētu izvēlēties sev piemērotu elektroenerģijas piegādātāju konkurētspējīgā elektroenerģijas tirgū.</w:t>
      </w:r>
      <w:r w:rsidR="000A4DD4" w:rsidRPr="000A1347">
        <w:rPr>
          <w:rFonts w:ascii="Times New Roman" w:hAnsi="Times New Roman"/>
          <w:sz w:val="28"/>
          <w:szCs w:val="28"/>
          <w:lang w:val="lv-LV"/>
        </w:rPr>
        <w:t xml:space="preserve"> </w:t>
      </w:r>
    </w:p>
    <w:p w:rsidR="00C819F5" w:rsidRPr="005C232D" w:rsidRDefault="00C819F5" w:rsidP="00C819F5">
      <w:pPr>
        <w:pStyle w:val="Default"/>
        <w:jc w:val="both"/>
        <w:rPr>
          <w:rFonts w:ascii="Times New Roman" w:hAnsi="Times New Roman" w:cs="Times New Roman"/>
          <w:sz w:val="28"/>
          <w:szCs w:val="28"/>
        </w:rPr>
      </w:pPr>
    </w:p>
    <w:p w:rsidR="00C819F5" w:rsidRPr="005C232D" w:rsidRDefault="00E239CB" w:rsidP="00C819F5">
      <w:pPr>
        <w:pStyle w:val="Default"/>
        <w:jc w:val="both"/>
        <w:rPr>
          <w:rFonts w:ascii="Times New Roman" w:hAnsi="Times New Roman" w:cs="Times New Roman"/>
          <w:sz w:val="28"/>
          <w:szCs w:val="28"/>
        </w:rPr>
      </w:pPr>
      <w:r>
        <w:rPr>
          <w:rFonts w:ascii="Times New Roman" w:hAnsi="Times New Roman" w:cs="Times New Roman"/>
          <w:sz w:val="28"/>
          <w:szCs w:val="28"/>
        </w:rPr>
        <w:t xml:space="preserve">Eiropas Parlamenta un Padomes </w:t>
      </w:r>
      <w:r>
        <w:rPr>
          <w:rFonts w:ascii="Times New Roman" w:hAnsi="Times New Roman" w:cs="Times New Roman"/>
          <w:bCs/>
          <w:sz w:val="28"/>
          <w:szCs w:val="28"/>
        </w:rPr>
        <w:t>2009. gada 13.jūlija direktīvas</w:t>
      </w:r>
      <w:r>
        <w:rPr>
          <w:rFonts w:ascii="Times New Roman" w:hAnsi="Times New Roman" w:cs="Times New Roman"/>
          <w:sz w:val="28"/>
          <w:szCs w:val="28"/>
        </w:rPr>
        <w:t xml:space="preserve"> </w:t>
      </w:r>
      <w:r>
        <w:rPr>
          <w:rFonts w:ascii="Times New Roman" w:hAnsi="Times New Roman" w:cs="Times New Roman"/>
          <w:bCs/>
          <w:sz w:val="28"/>
          <w:szCs w:val="28"/>
        </w:rPr>
        <w:t xml:space="preserve">2009/72/EK par kopīgiem noteikumiem attiecībā uz elektroenerģijas iekšējo tirgu un par Direktīvas 2003/54/EK atcelšanu </w:t>
      </w:r>
      <w:r w:rsidR="005F70FA" w:rsidRPr="005C232D">
        <w:rPr>
          <w:rFonts w:ascii="Times New Roman" w:hAnsi="Times New Roman" w:cs="Times New Roman"/>
          <w:bCs/>
          <w:sz w:val="28"/>
          <w:szCs w:val="28"/>
        </w:rPr>
        <w:t>(turpmāk – Direktīva</w:t>
      </w:r>
      <w:r w:rsidR="0019387E">
        <w:rPr>
          <w:rFonts w:ascii="Times New Roman" w:hAnsi="Times New Roman" w:cs="Times New Roman"/>
          <w:bCs/>
          <w:sz w:val="28"/>
          <w:szCs w:val="28"/>
        </w:rPr>
        <w:t xml:space="preserve"> 2009/72/EK</w:t>
      </w:r>
      <w:r w:rsidR="005F70FA" w:rsidRPr="005C232D">
        <w:rPr>
          <w:rFonts w:ascii="Times New Roman" w:hAnsi="Times New Roman" w:cs="Times New Roman"/>
          <w:bCs/>
          <w:sz w:val="28"/>
          <w:szCs w:val="28"/>
        </w:rPr>
        <w:t>)</w:t>
      </w:r>
      <w:r w:rsidR="00C819F5" w:rsidRPr="005C232D">
        <w:rPr>
          <w:rFonts w:ascii="Times New Roman" w:hAnsi="Times New Roman" w:cs="Times New Roman"/>
          <w:bCs/>
          <w:sz w:val="28"/>
          <w:szCs w:val="28"/>
        </w:rPr>
        <w:t xml:space="preserve"> preambulas 3.punktā ir nostiprināta atziņa, ka, </w:t>
      </w:r>
      <w:r w:rsidR="00C819F5" w:rsidRPr="005C232D">
        <w:rPr>
          <w:rFonts w:ascii="Times New Roman" w:hAnsi="Times New Roman" w:cs="Times New Roman"/>
          <w:sz w:val="28"/>
          <w:szCs w:val="28"/>
        </w:rPr>
        <w:t xml:space="preserve">līgumā </w:t>
      </w:r>
      <w:r w:rsidR="0024244F">
        <w:rPr>
          <w:rFonts w:ascii="Times New Roman" w:hAnsi="Times New Roman" w:cs="Times New Roman"/>
          <w:sz w:val="28"/>
          <w:szCs w:val="28"/>
        </w:rPr>
        <w:t xml:space="preserve">par Eiropas Savienības darbu </w:t>
      </w:r>
      <w:r w:rsidR="00C819F5" w:rsidRPr="005C232D">
        <w:rPr>
          <w:rFonts w:ascii="Times New Roman" w:hAnsi="Times New Roman" w:cs="Times New Roman"/>
          <w:sz w:val="28"/>
          <w:szCs w:val="28"/>
        </w:rPr>
        <w:t xml:space="preserve">noteiktās </w:t>
      </w:r>
      <w:r w:rsidR="0024244F">
        <w:rPr>
          <w:rFonts w:ascii="Times New Roman" w:hAnsi="Times New Roman" w:cs="Times New Roman"/>
          <w:sz w:val="28"/>
          <w:szCs w:val="28"/>
        </w:rPr>
        <w:t>ES</w:t>
      </w:r>
      <w:r w:rsidR="00C819F5" w:rsidRPr="005C232D">
        <w:rPr>
          <w:rFonts w:ascii="Times New Roman" w:hAnsi="Times New Roman" w:cs="Times New Roman"/>
          <w:sz w:val="28"/>
          <w:szCs w:val="28"/>
        </w:rPr>
        <w:t xml:space="preserve"> pilsoņu garantētās brīvības, proti, brīva preču aprite, brīvība veikt uzņēmējdarbību un pakalpojumu sniegšan</w:t>
      </w:r>
      <w:r w:rsidR="008610C9">
        <w:rPr>
          <w:rFonts w:ascii="Times New Roman" w:hAnsi="Times New Roman" w:cs="Times New Roman"/>
          <w:sz w:val="28"/>
          <w:szCs w:val="28"/>
        </w:rPr>
        <w:t>u</w:t>
      </w:r>
      <w:r w:rsidR="007714FA" w:rsidRPr="005C232D">
        <w:rPr>
          <w:rFonts w:ascii="Times New Roman" w:hAnsi="Times New Roman" w:cs="Times New Roman"/>
          <w:sz w:val="28"/>
          <w:szCs w:val="28"/>
        </w:rPr>
        <w:t>,</w:t>
      </w:r>
      <w:r w:rsidR="00C819F5" w:rsidRPr="005C232D">
        <w:rPr>
          <w:rFonts w:ascii="Times New Roman" w:hAnsi="Times New Roman" w:cs="Times New Roman"/>
          <w:sz w:val="28"/>
          <w:szCs w:val="28"/>
        </w:rPr>
        <w:t xml:space="preserve"> ir sasniedzamas </w:t>
      </w:r>
      <w:r w:rsidR="007714FA" w:rsidRPr="005C232D">
        <w:rPr>
          <w:rFonts w:ascii="Times New Roman" w:hAnsi="Times New Roman" w:cs="Times New Roman"/>
          <w:sz w:val="28"/>
          <w:szCs w:val="28"/>
        </w:rPr>
        <w:t xml:space="preserve">tikai </w:t>
      </w:r>
      <w:r w:rsidR="00C819F5" w:rsidRPr="005C232D">
        <w:rPr>
          <w:rFonts w:ascii="Times New Roman" w:hAnsi="Times New Roman" w:cs="Times New Roman"/>
          <w:sz w:val="28"/>
          <w:szCs w:val="28"/>
        </w:rPr>
        <w:t xml:space="preserve">pilnībā atvērtā tirgū, kas </w:t>
      </w:r>
      <w:r w:rsidR="008610C9">
        <w:rPr>
          <w:rFonts w:ascii="Times New Roman" w:hAnsi="Times New Roman" w:cs="Times New Roman"/>
          <w:sz w:val="28"/>
          <w:szCs w:val="28"/>
        </w:rPr>
        <w:t>nodrošina</w:t>
      </w:r>
      <w:r w:rsidR="007714FA" w:rsidRPr="005C232D">
        <w:rPr>
          <w:rFonts w:ascii="Times New Roman" w:hAnsi="Times New Roman" w:cs="Times New Roman"/>
          <w:sz w:val="28"/>
          <w:szCs w:val="28"/>
        </w:rPr>
        <w:t xml:space="preserve"> iespēju </w:t>
      </w:r>
      <w:r w:rsidR="00C819F5" w:rsidRPr="005C232D">
        <w:rPr>
          <w:rFonts w:ascii="Times New Roman" w:hAnsi="Times New Roman" w:cs="Times New Roman"/>
          <w:sz w:val="28"/>
          <w:szCs w:val="28"/>
        </w:rPr>
        <w:t>visiem patērētājiem brīvi izvēl</w:t>
      </w:r>
      <w:r>
        <w:rPr>
          <w:rFonts w:ascii="Times New Roman" w:hAnsi="Times New Roman" w:cs="Times New Roman"/>
          <w:sz w:val="28"/>
          <w:szCs w:val="28"/>
        </w:rPr>
        <w:t>ēties piegādātājus un visiem piegādātājiem brīvi veikt piegādes lietotājiem.</w:t>
      </w:r>
    </w:p>
    <w:p w:rsidR="00C819F5" w:rsidRPr="005C232D" w:rsidRDefault="00C819F5" w:rsidP="00C819F5">
      <w:pPr>
        <w:pStyle w:val="Default"/>
        <w:jc w:val="both"/>
        <w:rPr>
          <w:rFonts w:ascii="Times New Roman" w:hAnsi="Times New Roman" w:cs="Times New Roman"/>
          <w:sz w:val="28"/>
          <w:szCs w:val="28"/>
        </w:rPr>
      </w:pPr>
    </w:p>
    <w:p w:rsidR="00C819F5" w:rsidRPr="005C232D" w:rsidRDefault="00E239CB" w:rsidP="00C819F5">
      <w:pPr>
        <w:pStyle w:val="Default"/>
        <w:jc w:val="both"/>
        <w:rPr>
          <w:rFonts w:ascii="Times New Roman" w:hAnsi="Times New Roman" w:cs="Times New Roman"/>
          <w:sz w:val="28"/>
          <w:szCs w:val="28"/>
        </w:rPr>
      </w:pPr>
      <w:r>
        <w:rPr>
          <w:rFonts w:ascii="Times New Roman" w:hAnsi="Times New Roman" w:cs="Times New Roman"/>
          <w:sz w:val="28"/>
          <w:szCs w:val="28"/>
        </w:rPr>
        <w:t xml:space="preserve">Eiropas </w:t>
      </w:r>
      <w:r w:rsidR="009A6828">
        <w:rPr>
          <w:rStyle w:val="st1"/>
          <w:rFonts w:ascii="Times New Roman" w:hAnsi="Times New Roman" w:cs="Times New Roman"/>
          <w:bCs/>
          <w:sz w:val="28"/>
        </w:rPr>
        <w:t>e</w:t>
      </w:r>
      <w:r>
        <w:rPr>
          <w:rStyle w:val="st1"/>
          <w:rFonts w:ascii="Times New Roman" w:hAnsi="Times New Roman" w:cs="Times New Roman"/>
          <w:bCs/>
          <w:sz w:val="28"/>
        </w:rPr>
        <w:t>nergoregulatoru</w:t>
      </w:r>
      <w:r>
        <w:rPr>
          <w:rStyle w:val="st1"/>
          <w:rFonts w:ascii="Times New Roman" w:hAnsi="Times New Roman" w:cs="Times New Roman"/>
          <w:color w:val="222222"/>
          <w:sz w:val="28"/>
        </w:rPr>
        <w:t xml:space="preserve"> sadarbības </w:t>
      </w:r>
      <w:r>
        <w:rPr>
          <w:rStyle w:val="st1"/>
          <w:rFonts w:ascii="Times New Roman" w:hAnsi="Times New Roman" w:cs="Times New Roman"/>
          <w:bCs/>
          <w:sz w:val="28"/>
        </w:rPr>
        <w:t>aģentūra</w:t>
      </w:r>
      <w:r>
        <w:rPr>
          <w:rStyle w:val="st1"/>
          <w:rFonts w:ascii="Arial" w:hAnsi="Arial" w:cs="Arial"/>
          <w:color w:val="222222"/>
          <w:sz w:val="28"/>
        </w:rPr>
        <w:t xml:space="preserve"> </w:t>
      </w:r>
      <w:r>
        <w:rPr>
          <w:rFonts w:ascii="Times New Roman" w:hAnsi="Times New Roman" w:cs="Times New Roman"/>
          <w:sz w:val="28"/>
          <w:szCs w:val="28"/>
        </w:rPr>
        <w:t xml:space="preserve">2010.gada 8.septembrī publicētajā pārskatā par gala lietotāju tarifu regulāciju uz 2010.gada 1.janvāri ir secinājusi, ka regulētie gala tarifi kropļo konkurenci un kavē mazumtirdzniecības tirgu attīstību, tāpēc to piemērošana ir jāatceļ pēc iespējas ātrāk, veidojot valsts politiku brīva elektroenerģijas tirgus attīstībai. </w:t>
      </w:r>
    </w:p>
    <w:p w:rsidR="005C0290" w:rsidRPr="005C232D" w:rsidRDefault="005C0290" w:rsidP="00C819F5">
      <w:pPr>
        <w:pStyle w:val="Default"/>
        <w:jc w:val="both"/>
        <w:rPr>
          <w:rFonts w:ascii="Times New Roman" w:hAnsi="Times New Roman" w:cs="Times New Roman"/>
          <w:sz w:val="28"/>
          <w:szCs w:val="28"/>
        </w:rPr>
      </w:pPr>
    </w:p>
    <w:p w:rsidR="0061710F" w:rsidRPr="00CC2E61" w:rsidRDefault="00E239CB" w:rsidP="0061710F">
      <w:pPr>
        <w:pStyle w:val="Default"/>
        <w:jc w:val="both"/>
        <w:rPr>
          <w:rStyle w:val="hps"/>
          <w:rFonts w:ascii="Times New Roman" w:hAnsi="Times New Roman" w:cs="Times New Roman"/>
          <w:sz w:val="28"/>
          <w:szCs w:val="28"/>
        </w:rPr>
      </w:pPr>
      <w:r>
        <w:rPr>
          <w:rFonts w:ascii="Times New Roman" w:hAnsi="Times New Roman" w:cs="Times New Roman"/>
          <w:sz w:val="28"/>
          <w:szCs w:val="28"/>
        </w:rPr>
        <w:t>Pēdējos gados daudzas E</w:t>
      </w:r>
      <w:r w:rsidR="00EE3766">
        <w:rPr>
          <w:rFonts w:ascii="Times New Roman" w:hAnsi="Times New Roman" w:cs="Times New Roman"/>
          <w:sz w:val="28"/>
          <w:szCs w:val="28"/>
        </w:rPr>
        <w:t>S</w:t>
      </w:r>
      <w:r>
        <w:rPr>
          <w:rFonts w:ascii="Times New Roman" w:hAnsi="Times New Roman" w:cs="Times New Roman"/>
          <w:sz w:val="28"/>
          <w:szCs w:val="28"/>
        </w:rPr>
        <w:t xml:space="preserve"> </w:t>
      </w:r>
      <w:r w:rsidR="00EE3766">
        <w:rPr>
          <w:rFonts w:ascii="Times New Roman" w:hAnsi="Times New Roman" w:cs="Times New Roman"/>
          <w:sz w:val="28"/>
          <w:szCs w:val="28"/>
        </w:rPr>
        <w:t>dalīb</w:t>
      </w:r>
      <w:r>
        <w:rPr>
          <w:rFonts w:ascii="Times New Roman" w:hAnsi="Times New Roman" w:cs="Times New Roman"/>
          <w:sz w:val="28"/>
          <w:szCs w:val="28"/>
        </w:rPr>
        <w:t xml:space="preserve">valstis ir veikušas pāreju no pilnībā regulētas elektroenerģijas cenu noteikšanas sistēmas, veidojot uz tirgus cenām bāzētu sistēmu. Viens no galvenajiem pamatprincipiem, uz kura balstās šīs pārmaiņas, ir izpratne, ka regulētas cenas tiek noteiktas tikai to uzņēmumu sabiedriskajiem pakalpojumiem, kas nav saistīti ar atvērtu tirgu. Tomēr uz tirgus cenām balstīta elektroenerģijas tirdzniecība tiek uzskatīta par vitāli nepieciešamu, lai izveidotu sekmīgi funkcionējošu un konkurētspējīgu elektroenerģijas tirgu. Atvērta tirgus </w:t>
      </w:r>
      <w:r>
        <w:rPr>
          <w:rFonts w:ascii="Times New Roman" w:hAnsi="Times New Roman" w:cs="Times New Roman"/>
          <w:sz w:val="28"/>
          <w:szCs w:val="28"/>
        </w:rPr>
        <w:lastRenderedPageBreak/>
        <w:t>teorija liecina, ka pilnībā atvērts un funkcionējošs tirgus nevar ilgtermiņā pastāvēt līdzās regulētām cenām enerģijas galalietotājiem. Pirmkārt, tas ir tāpēc, ka regulēto cenu  nostiprināšanas metodoloģijai ir pretējs raksturs tirgus cenas noteikšanas mehānismiem. Otrkārt, regulētas cenas nav radītas konkurējoša tirgus</w:t>
      </w:r>
      <w:r w:rsidR="008610C9">
        <w:rPr>
          <w:rFonts w:ascii="Times New Roman" w:hAnsi="Times New Roman" w:cs="Times New Roman"/>
          <w:sz w:val="28"/>
          <w:szCs w:val="28"/>
        </w:rPr>
        <w:t xml:space="preserve"> </w:t>
      </w:r>
      <w:r w:rsidR="008610C9" w:rsidRPr="008475F6">
        <w:rPr>
          <w:rFonts w:ascii="Times New Roman" w:hAnsi="Times New Roman" w:cs="Times New Roman"/>
          <w:color w:val="auto"/>
          <w:sz w:val="28"/>
          <w:szCs w:val="28"/>
        </w:rPr>
        <w:t xml:space="preserve">nodrošināšanas vajadzībām </w:t>
      </w:r>
      <w:r w:rsidRPr="008475F6">
        <w:rPr>
          <w:rFonts w:ascii="Times New Roman" w:hAnsi="Times New Roman" w:cs="Times New Roman"/>
          <w:color w:val="auto"/>
          <w:sz w:val="28"/>
          <w:szCs w:val="28"/>
        </w:rPr>
        <w:t xml:space="preserve"> – tās </w:t>
      </w:r>
      <w:r w:rsidR="008610C9" w:rsidRPr="008475F6">
        <w:rPr>
          <w:rFonts w:ascii="Times New Roman" w:hAnsi="Times New Roman" w:cs="Times New Roman"/>
          <w:color w:val="auto"/>
          <w:sz w:val="28"/>
          <w:szCs w:val="28"/>
        </w:rPr>
        <w:t xml:space="preserve">drīzāk </w:t>
      </w:r>
      <w:r w:rsidRPr="008475F6">
        <w:rPr>
          <w:rFonts w:ascii="Times New Roman" w:hAnsi="Times New Roman" w:cs="Times New Roman"/>
          <w:color w:val="auto"/>
          <w:sz w:val="28"/>
          <w:szCs w:val="28"/>
        </w:rPr>
        <w:t>ir valsts vadīt</w:t>
      </w:r>
      <w:r w:rsidR="008610C9" w:rsidRPr="008475F6">
        <w:rPr>
          <w:rFonts w:ascii="Times New Roman" w:hAnsi="Times New Roman" w:cs="Times New Roman"/>
          <w:color w:val="auto"/>
          <w:sz w:val="28"/>
          <w:szCs w:val="28"/>
        </w:rPr>
        <w:t>u</w:t>
      </w:r>
      <w:r w:rsidRPr="008475F6">
        <w:rPr>
          <w:rFonts w:ascii="Times New Roman" w:hAnsi="Times New Roman" w:cs="Times New Roman"/>
          <w:color w:val="auto"/>
          <w:sz w:val="28"/>
          <w:szCs w:val="28"/>
        </w:rPr>
        <w:t xml:space="preserve"> (centralizēt</w:t>
      </w:r>
      <w:r w:rsidR="008610C9" w:rsidRPr="008475F6">
        <w:rPr>
          <w:rFonts w:ascii="Times New Roman" w:hAnsi="Times New Roman" w:cs="Times New Roman"/>
          <w:color w:val="auto"/>
          <w:sz w:val="28"/>
          <w:szCs w:val="28"/>
        </w:rPr>
        <w:t>u</w:t>
      </w:r>
      <w:r w:rsidRPr="008475F6">
        <w:rPr>
          <w:rFonts w:ascii="Times New Roman" w:hAnsi="Times New Roman" w:cs="Times New Roman"/>
          <w:color w:val="auto"/>
          <w:sz w:val="28"/>
          <w:szCs w:val="28"/>
        </w:rPr>
        <w:t>) ek</w:t>
      </w:r>
      <w:r w:rsidR="00C964DD" w:rsidRPr="008475F6">
        <w:rPr>
          <w:rFonts w:ascii="Times New Roman" w:hAnsi="Times New Roman" w:cs="Times New Roman"/>
          <w:color w:val="auto"/>
          <w:sz w:val="28"/>
          <w:szCs w:val="28"/>
        </w:rPr>
        <w:t>onomikas virzien</w:t>
      </w:r>
      <w:r w:rsidR="00243422" w:rsidRPr="008475F6">
        <w:rPr>
          <w:rFonts w:ascii="Times New Roman" w:hAnsi="Times New Roman" w:cs="Times New Roman"/>
          <w:color w:val="auto"/>
          <w:sz w:val="28"/>
          <w:szCs w:val="28"/>
        </w:rPr>
        <w:t>u</w:t>
      </w:r>
      <w:r w:rsidR="004C55DF" w:rsidRPr="008475F6">
        <w:rPr>
          <w:rFonts w:ascii="Times New Roman" w:hAnsi="Times New Roman" w:cs="Times New Roman"/>
          <w:color w:val="auto"/>
          <w:sz w:val="28"/>
          <w:szCs w:val="28"/>
        </w:rPr>
        <w:t xml:space="preserve"> </w:t>
      </w:r>
      <w:r w:rsidR="00FF16DA" w:rsidRPr="008475F6">
        <w:rPr>
          <w:rFonts w:ascii="Times New Roman" w:hAnsi="Times New Roman" w:cs="Times New Roman"/>
          <w:color w:val="auto"/>
          <w:sz w:val="28"/>
          <w:szCs w:val="28"/>
        </w:rPr>
        <w:t xml:space="preserve">mākslīgi veidots </w:t>
      </w:r>
      <w:r w:rsidR="004C55DF" w:rsidRPr="008475F6">
        <w:rPr>
          <w:rFonts w:ascii="Times New Roman" w:hAnsi="Times New Roman" w:cs="Times New Roman"/>
          <w:color w:val="auto"/>
          <w:sz w:val="28"/>
          <w:szCs w:val="28"/>
        </w:rPr>
        <w:t>veidojums</w:t>
      </w:r>
      <w:r w:rsidRPr="008475F6">
        <w:rPr>
          <w:rFonts w:ascii="Times New Roman" w:hAnsi="Times New Roman" w:cs="Times New Roman"/>
          <w:color w:val="auto"/>
          <w:sz w:val="28"/>
          <w:szCs w:val="28"/>
        </w:rPr>
        <w:t xml:space="preserve">, un tāpēc tās ir attālinātas no </w:t>
      </w:r>
      <w:r w:rsidR="00243422" w:rsidRPr="008475F6">
        <w:rPr>
          <w:rFonts w:ascii="Times New Roman" w:hAnsi="Times New Roman" w:cs="Times New Roman"/>
          <w:color w:val="auto"/>
          <w:sz w:val="28"/>
          <w:szCs w:val="28"/>
        </w:rPr>
        <w:t>pašreizējās situācijas</w:t>
      </w:r>
      <w:r w:rsidRPr="008475F6">
        <w:rPr>
          <w:rFonts w:ascii="Times New Roman" w:hAnsi="Times New Roman" w:cs="Times New Roman"/>
          <w:color w:val="auto"/>
          <w:sz w:val="28"/>
          <w:szCs w:val="28"/>
        </w:rPr>
        <w:t xml:space="preserve"> enerģētikas sektor</w:t>
      </w:r>
      <w:r w:rsidR="00243422" w:rsidRPr="008475F6">
        <w:rPr>
          <w:rFonts w:ascii="Times New Roman" w:hAnsi="Times New Roman" w:cs="Times New Roman"/>
          <w:color w:val="auto"/>
          <w:sz w:val="28"/>
          <w:szCs w:val="28"/>
        </w:rPr>
        <w:t>ā</w:t>
      </w:r>
      <w:r w:rsidRPr="008475F6">
        <w:rPr>
          <w:rFonts w:ascii="Times New Roman" w:hAnsi="Times New Roman" w:cs="Times New Roman"/>
          <w:color w:val="auto"/>
          <w:sz w:val="28"/>
          <w:szCs w:val="28"/>
        </w:rPr>
        <w:t>, kura virzienus un attīstību nosaka tirgus. Tāpat būtisks pārmaiņu elements, atsakoties un</w:t>
      </w:r>
      <w:r>
        <w:rPr>
          <w:rFonts w:ascii="Times New Roman" w:hAnsi="Times New Roman" w:cs="Times New Roman"/>
          <w:sz w:val="28"/>
          <w:szCs w:val="28"/>
        </w:rPr>
        <w:t xml:space="preserve"> regulētiem tarifiem, ir publiskā tirgotāja sociālā funkcija, ko tas veic ar regulētu tarifu, bet ko tam nebūs jāveic pilnībā atvērtā un neregulētā tirgū, jo tarifs nevar būt sociālās politikas instruments tirgus apstākļos.</w:t>
      </w:r>
      <w:r w:rsidR="00CC2E61">
        <w:rPr>
          <w:rFonts w:ascii="Times New Roman" w:hAnsi="Times New Roman" w:cs="Times New Roman"/>
          <w:sz w:val="28"/>
          <w:szCs w:val="28"/>
        </w:rPr>
        <w:t xml:space="preserve"> </w:t>
      </w:r>
      <w:r w:rsidR="0061710F">
        <w:rPr>
          <w:rStyle w:val="hps"/>
          <w:rFonts w:ascii="Times New Roman" w:hAnsi="Times New Roman" w:cs="Times New Roman"/>
          <w:color w:val="auto"/>
          <w:sz w:val="28"/>
          <w:szCs w:val="28"/>
        </w:rPr>
        <w:t xml:space="preserve">Regulētās cenas, kas nav veidojušās konkurences apstākļos, nedod uzticamus cenu signālus tirgum un gala patērētājiem. Regulēto cenu noteikšanas procesā galvenā loma ir regulatīvai iestādei, kamēr tirgus cenas rodas piedāvājuma un pieprasījuma mijiedarbībā, citiem vārdiem sakot, pilnīgos konkurences apstākļos, kad piegādātāja vēlme piedāvāt sakrīt ar patērētāja vēlmi maksāt. Piegādātāji un lietotāji ir abpusēji ieinteresēti atrast „godīgu cenu”, lai apmierinātu savas vajadzības. </w:t>
      </w:r>
    </w:p>
    <w:p w:rsidR="0061710F" w:rsidRPr="005C232D" w:rsidRDefault="0061710F" w:rsidP="0061710F">
      <w:pPr>
        <w:pStyle w:val="Default"/>
        <w:jc w:val="both"/>
        <w:rPr>
          <w:rStyle w:val="hps"/>
          <w:rFonts w:ascii="Times New Roman" w:hAnsi="Times New Roman" w:cs="Times New Roman"/>
          <w:color w:val="auto"/>
          <w:sz w:val="28"/>
          <w:szCs w:val="28"/>
        </w:rPr>
      </w:pPr>
    </w:p>
    <w:p w:rsidR="0061710F" w:rsidRPr="005C232D" w:rsidRDefault="0061710F" w:rsidP="0061710F">
      <w:pPr>
        <w:pStyle w:val="Default"/>
        <w:jc w:val="both"/>
        <w:rPr>
          <w:rStyle w:val="hps"/>
          <w:rFonts w:ascii="Times New Roman" w:hAnsi="Times New Roman" w:cs="Times New Roman"/>
          <w:color w:val="auto"/>
          <w:sz w:val="28"/>
          <w:szCs w:val="28"/>
        </w:rPr>
      </w:pPr>
      <w:r>
        <w:rPr>
          <w:rStyle w:val="hps"/>
          <w:rFonts w:ascii="Times New Roman" w:hAnsi="Times New Roman" w:cs="Times New Roman"/>
          <w:color w:val="auto"/>
          <w:sz w:val="28"/>
          <w:szCs w:val="28"/>
        </w:rPr>
        <w:t xml:space="preserve">Tāpat jāuzsver, ka gala lietotāji nav ieinteresēti samazināt ne savu elektroenerģijas kopējo patēriņu, ne patēriņu elektroenerģijas pieprasījuma pīķa slodzes laikā. Pie šī jautājuma risināšanas šobrīd aktīvi tiek strādāts ES energoefektivitātes politikas ietvaros, kas paredz vairākus valsts, pašvaldību un privāta līmeņa instrumentus energoefektivitātes un enerģijas taupīšanas veicināšanai galapatēriņā.  </w:t>
      </w:r>
    </w:p>
    <w:p w:rsidR="0003064B" w:rsidRPr="005C232D" w:rsidRDefault="0003064B" w:rsidP="00C819F5">
      <w:pPr>
        <w:pStyle w:val="Default"/>
        <w:jc w:val="both"/>
        <w:rPr>
          <w:rFonts w:ascii="Times New Roman" w:hAnsi="Times New Roman" w:cs="Times New Roman"/>
          <w:sz w:val="28"/>
          <w:szCs w:val="28"/>
        </w:rPr>
      </w:pPr>
    </w:p>
    <w:p w:rsidR="00117B79" w:rsidRPr="008475F6" w:rsidRDefault="00E239CB" w:rsidP="00C819F5">
      <w:pPr>
        <w:pStyle w:val="Default"/>
        <w:jc w:val="both"/>
        <w:rPr>
          <w:rStyle w:val="hps"/>
          <w:rFonts w:ascii="Times New Roman" w:hAnsi="Times New Roman" w:cs="Times New Roman"/>
          <w:color w:val="auto"/>
          <w:sz w:val="28"/>
          <w:szCs w:val="28"/>
        </w:rPr>
      </w:pPr>
      <w:r>
        <w:rPr>
          <w:rFonts w:ascii="Times New Roman" w:hAnsi="Times New Roman" w:cs="Times New Roman"/>
          <w:sz w:val="28"/>
          <w:szCs w:val="28"/>
        </w:rPr>
        <w:t xml:space="preserve">Tāpat Eiropas elektroenerģijas industrijas apvienības </w:t>
      </w:r>
      <w:r>
        <w:rPr>
          <w:rFonts w:ascii="Times New Roman" w:hAnsi="Times New Roman" w:cs="Times New Roman"/>
          <w:i/>
          <w:sz w:val="28"/>
          <w:szCs w:val="28"/>
        </w:rPr>
        <w:t xml:space="preserve">Eurelectric </w:t>
      </w:r>
      <w:r>
        <w:rPr>
          <w:rFonts w:ascii="Times New Roman" w:hAnsi="Times New Roman" w:cs="Times New Roman"/>
          <w:sz w:val="28"/>
          <w:szCs w:val="28"/>
        </w:rPr>
        <w:t xml:space="preserve">2011.gada septembrī publicētajā industrijas politikas dokumentā par elektroenerģijas </w:t>
      </w:r>
      <w:r w:rsidRPr="008475F6">
        <w:rPr>
          <w:rFonts w:ascii="Times New Roman" w:hAnsi="Times New Roman" w:cs="Times New Roman"/>
          <w:color w:val="auto"/>
          <w:sz w:val="28"/>
          <w:szCs w:val="28"/>
        </w:rPr>
        <w:t xml:space="preserve">mazumtirdzniecības tirgus nākotnes redzējumu līdz 2020.gadam tiek uzsvērts, ka, izbeidzot cenu regulēšanu, lietotāji </w:t>
      </w:r>
      <w:r w:rsidR="002849E3" w:rsidRPr="008475F6">
        <w:rPr>
          <w:rFonts w:ascii="Times New Roman" w:hAnsi="Times New Roman" w:cs="Times New Roman"/>
          <w:color w:val="auto"/>
          <w:sz w:val="28"/>
          <w:szCs w:val="28"/>
        </w:rPr>
        <w:t xml:space="preserve">ilgtermiņā </w:t>
      </w:r>
      <w:r w:rsidRPr="008475F6">
        <w:rPr>
          <w:rFonts w:ascii="Times New Roman" w:hAnsi="Times New Roman" w:cs="Times New Roman"/>
          <w:color w:val="auto"/>
          <w:sz w:val="28"/>
          <w:szCs w:val="28"/>
        </w:rPr>
        <w:t xml:space="preserve">būs ieguvēji no elektroenerģijas cenām, ko nosaka un vada tirgus. </w:t>
      </w:r>
      <w:r w:rsidRPr="008475F6">
        <w:rPr>
          <w:rStyle w:val="hps"/>
          <w:rFonts w:ascii="Times New Roman" w:hAnsi="Times New Roman" w:cs="Times New Roman"/>
          <w:color w:val="auto"/>
          <w:sz w:val="28"/>
          <w:szCs w:val="28"/>
        </w:rPr>
        <w:t>Tomēr</w:t>
      </w:r>
      <w:r w:rsidRPr="008475F6">
        <w:rPr>
          <w:rFonts w:ascii="Times New Roman" w:hAnsi="Times New Roman" w:cs="Times New Roman"/>
          <w:color w:val="auto"/>
          <w:sz w:val="28"/>
          <w:szCs w:val="28"/>
        </w:rPr>
        <w:t xml:space="preserve"> </w:t>
      </w:r>
      <w:r w:rsidRPr="008475F6">
        <w:rPr>
          <w:rStyle w:val="hps"/>
          <w:rFonts w:ascii="Times New Roman" w:hAnsi="Times New Roman" w:cs="Times New Roman"/>
          <w:color w:val="auto"/>
          <w:sz w:val="28"/>
          <w:szCs w:val="28"/>
        </w:rPr>
        <w:t>cenu regulēšana</w:t>
      </w:r>
      <w:r w:rsidRPr="008475F6">
        <w:rPr>
          <w:rFonts w:ascii="Times New Roman" w:hAnsi="Times New Roman" w:cs="Times New Roman"/>
          <w:color w:val="auto"/>
          <w:sz w:val="28"/>
          <w:szCs w:val="28"/>
        </w:rPr>
        <w:t xml:space="preserve"> </w:t>
      </w:r>
      <w:r w:rsidRPr="008475F6">
        <w:rPr>
          <w:rStyle w:val="hps"/>
          <w:rFonts w:ascii="Times New Roman" w:hAnsi="Times New Roman" w:cs="Times New Roman"/>
          <w:color w:val="auto"/>
          <w:sz w:val="28"/>
          <w:szCs w:val="28"/>
        </w:rPr>
        <w:t>mājsaimniecību līmenī</w:t>
      </w:r>
      <w:r w:rsidRPr="008475F6">
        <w:rPr>
          <w:rFonts w:ascii="Times New Roman" w:hAnsi="Times New Roman" w:cs="Times New Roman"/>
          <w:color w:val="auto"/>
          <w:sz w:val="28"/>
          <w:szCs w:val="28"/>
        </w:rPr>
        <w:t xml:space="preserve"> </w:t>
      </w:r>
      <w:r w:rsidRPr="008475F6">
        <w:rPr>
          <w:rStyle w:val="hps"/>
          <w:rFonts w:ascii="Times New Roman" w:hAnsi="Times New Roman" w:cs="Times New Roman"/>
          <w:color w:val="auto"/>
          <w:sz w:val="28"/>
          <w:szCs w:val="28"/>
        </w:rPr>
        <w:t>joprojām</w:t>
      </w:r>
      <w:r w:rsidRPr="008475F6">
        <w:rPr>
          <w:rFonts w:ascii="Times New Roman" w:hAnsi="Times New Roman" w:cs="Times New Roman"/>
          <w:color w:val="auto"/>
          <w:sz w:val="28"/>
          <w:szCs w:val="28"/>
        </w:rPr>
        <w:t xml:space="preserve"> </w:t>
      </w:r>
      <w:r w:rsidRPr="008475F6">
        <w:rPr>
          <w:rStyle w:val="hps"/>
          <w:rFonts w:ascii="Times New Roman" w:hAnsi="Times New Roman" w:cs="Times New Roman"/>
          <w:color w:val="auto"/>
          <w:sz w:val="28"/>
          <w:szCs w:val="28"/>
        </w:rPr>
        <w:t>notiek</w:t>
      </w:r>
      <w:r w:rsidRPr="008475F6">
        <w:rPr>
          <w:rFonts w:ascii="Times New Roman" w:hAnsi="Times New Roman" w:cs="Times New Roman"/>
          <w:color w:val="auto"/>
          <w:sz w:val="28"/>
          <w:szCs w:val="28"/>
        </w:rPr>
        <w:t xml:space="preserve"> </w:t>
      </w:r>
      <w:r w:rsidR="004C55DF" w:rsidRPr="008475F6">
        <w:rPr>
          <w:rFonts w:ascii="Times New Roman" w:hAnsi="Times New Roman" w:cs="Times New Roman"/>
          <w:color w:val="auto"/>
          <w:sz w:val="28"/>
          <w:szCs w:val="28"/>
        </w:rPr>
        <w:t>lielākajā daļā (</w:t>
      </w:r>
      <w:r w:rsidR="004C55DF" w:rsidRPr="008475F6">
        <w:rPr>
          <w:rStyle w:val="hps"/>
          <w:rFonts w:ascii="Times New Roman" w:hAnsi="Times New Roman" w:cs="Times New Roman"/>
          <w:color w:val="auto"/>
          <w:sz w:val="28"/>
          <w:szCs w:val="28"/>
        </w:rPr>
        <w:t>19</w:t>
      </w:r>
      <w:r w:rsidR="004C55DF" w:rsidRPr="008475F6">
        <w:rPr>
          <w:rFonts w:ascii="Times New Roman" w:hAnsi="Times New Roman" w:cs="Times New Roman"/>
          <w:color w:val="auto"/>
          <w:sz w:val="28"/>
          <w:szCs w:val="28"/>
        </w:rPr>
        <w:t xml:space="preserve"> </w:t>
      </w:r>
      <w:r w:rsidR="004C55DF" w:rsidRPr="008475F6">
        <w:rPr>
          <w:rStyle w:val="hps"/>
          <w:rFonts w:ascii="Times New Roman" w:hAnsi="Times New Roman" w:cs="Times New Roman"/>
          <w:color w:val="auto"/>
          <w:sz w:val="28"/>
          <w:szCs w:val="28"/>
        </w:rPr>
        <w:t>no 27) ES</w:t>
      </w:r>
      <w:r w:rsidR="004C55DF" w:rsidRPr="008475F6">
        <w:rPr>
          <w:rFonts w:ascii="Times New Roman" w:hAnsi="Times New Roman" w:cs="Times New Roman"/>
          <w:color w:val="auto"/>
          <w:sz w:val="28"/>
          <w:szCs w:val="28"/>
        </w:rPr>
        <w:t xml:space="preserve"> </w:t>
      </w:r>
      <w:r w:rsidR="004C55DF" w:rsidRPr="008475F6">
        <w:rPr>
          <w:rStyle w:val="hps"/>
          <w:rFonts w:ascii="Times New Roman" w:hAnsi="Times New Roman" w:cs="Times New Roman"/>
          <w:color w:val="auto"/>
          <w:sz w:val="28"/>
          <w:szCs w:val="28"/>
        </w:rPr>
        <w:t>dalībvalstīs,</w:t>
      </w:r>
      <w:r w:rsidR="004C55DF" w:rsidRPr="008475F6">
        <w:rPr>
          <w:rFonts w:ascii="Times New Roman" w:hAnsi="Times New Roman" w:cs="Times New Roman"/>
          <w:color w:val="auto"/>
          <w:sz w:val="28"/>
          <w:szCs w:val="28"/>
        </w:rPr>
        <w:t xml:space="preserve"> </w:t>
      </w:r>
      <w:r w:rsidR="004C55DF" w:rsidRPr="008475F6">
        <w:rPr>
          <w:rStyle w:val="hps"/>
          <w:rFonts w:ascii="Times New Roman" w:hAnsi="Times New Roman" w:cs="Times New Roman"/>
          <w:color w:val="auto"/>
          <w:sz w:val="28"/>
          <w:szCs w:val="28"/>
        </w:rPr>
        <w:t xml:space="preserve">tādejādi </w:t>
      </w:r>
      <w:r w:rsidRPr="008475F6">
        <w:rPr>
          <w:rStyle w:val="hps"/>
          <w:rFonts w:ascii="Times New Roman" w:hAnsi="Times New Roman" w:cs="Times New Roman"/>
          <w:color w:val="auto"/>
          <w:sz w:val="28"/>
          <w:szCs w:val="28"/>
        </w:rPr>
        <w:t>kavē</w:t>
      </w:r>
      <w:r w:rsidR="003A6BB8" w:rsidRPr="008475F6">
        <w:rPr>
          <w:rStyle w:val="hps"/>
          <w:rFonts w:ascii="Times New Roman" w:hAnsi="Times New Roman" w:cs="Times New Roman"/>
          <w:color w:val="auto"/>
          <w:sz w:val="28"/>
          <w:szCs w:val="28"/>
        </w:rPr>
        <w:t>jot</w:t>
      </w:r>
      <w:r w:rsidRPr="008475F6">
        <w:rPr>
          <w:rFonts w:ascii="Times New Roman" w:hAnsi="Times New Roman" w:cs="Times New Roman"/>
          <w:color w:val="auto"/>
          <w:sz w:val="28"/>
          <w:szCs w:val="28"/>
        </w:rPr>
        <w:t xml:space="preserve"> </w:t>
      </w:r>
      <w:r w:rsidRPr="008475F6">
        <w:rPr>
          <w:rStyle w:val="hps"/>
          <w:rFonts w:ascii="Times New Roman" w:hAnsi="Times New Roman" w:cs="Times New Roman"/>
          <w:color w:val="auto"/>
          <w:sz w:val="28"/>
          <w:szCs w:val="28"/>
        </w:rPr>
        <w:t>labi</w:t>
      </w:r>
      <w:r w:rsidRPr="008475F6">
        <w:rPr>
          <w:rFonts w:ascii="Times New Roman" w:hAnsi="Times New Roman" w:cs="Times New Roman"/>
          <w:color w:val="auto"/>
          <w:sz w:val="28"/>
          <w:szCs w:val="28"/>
        </w:rPr>
        <w:t xml:space="preserve"> </w:t>
      </w:r>
      <w:r w:rsidRPr="008475F6">
        <w:rPr>
          <w:rStyle w:val="hps"/>
          <w:rFonts w:ascii="Times New Roman" w:hAnsi="Times New Roman" w:cs="Times New Roman"/>
          <w:color w:val="auto"/>
          <w:sz w:val="28"/>
          <w:szCs w:val="28"/>
        </w:rPr>
        <w:t>funkcionējošu mazumtirdzniecības</w:t>
      </w:r>
      <w:r w:rsidRPr="008475F6">
        <w:rPr>
          <w:rFonts w:ascii="Times New Roman" w:hAnsi="Times New Roman" w:cs="Times New Roman"/>
          <w:color w:val="auto"/>
          <w:sz w:val="28"/>
          <w:szCs w:val="28"/>
        </w:rPr>
        <w:t xml:space="preserve"> </w:t>
      </w:r>
      <w:r w:rsidRPr="008475F6">
        <w:rPr>
          <w:rStyle w:val="hps"/>
          <w:rFonts w:ascii="Times New Roman" w:hAnsi="Times New Roman" w:cs="Times New Roman"/>
          <w:color w:val="auto"/>
          <w:sz w:val="28"/>
          <w:szCs w:val="28"/>
        </w:rPr>
        <w:t>tirgu attīstību.</w:t>
      </w:r>
      <w:r w:rsidR="0061710F" w:rsidRPr="008475F6">
        <w:rPr>
          <w:rStyle w:val="hps"/>
          <w:rFonts w:ascii="Times New Roman" w:hAnsi="Times New Roman" w:cs="Times New Roman"/>
          <w:color w:val="auto"/>
          <w:sz w:val="28"/>
          <w:szCs w:val="28"/>
        </w:rPr>
        <w:t xml:space="preserve"> </w:t>
      </w:r>
    </w:p>
    <w:p w:rsidR="007602C5" w:rsidRDefault="007602C5" w:rsidP="00C819F5">
      <w:pPr>
        <w:pStyle w:val="Default"/>
        <w:jc w:val="both"/>
        <w:rPr>
          <w:rStyle w:val="hps"/>
          <w:rFonts w:ascii="Times New Roman" w:hAnsi="Times New Roman" w:cs="Times New Roman"/>
          <w:color w:val="auto"/>
          <w:sz w:val="28"/>
          <w:szCs w:val="28"/>
        </w:rPr>
      </w:pPr>
    </w:p>
    <w:p w:rsidR="006F02AC" w:rsidRDefault="006F02AC" w:rsidP="00C819F5">
      <w:pPr>
        <w:pStyle w:val="Default"/>
        <w:jc w:val="both"/>
        <w:rPr>
          <w:rStyle w:val="hps"/>
          <w:rFonts w:ascii="Times New Roman" w:hAnsi="Times New Roman" w:cs="Times New Roman"/>
          <w:color w:val="auto"/>
          <w:sz w:val="28"/>
          <w:szCs w:val="28"/>
        </w:rPr>
      </w:pPr>
    </w:p>
    <w:p w:rsidR="00AD6AA5" w:rsidRDefault="00AD6AA5" w:rsidP="00C819F5">
      <w:pPr>
        <w:pStyle w:val="Default"/>
        <w:jc w:val="both"/>
        <w:rPr>
          <w:rStyle w:val="hps"/>
          <w:rFonts w:ascii="Times New Roman" w:hAnsi="Times New Roman" w:cs="Times New Roman"/>
          <w:color w:val="auto"/>
          <w:sz w:val="28"/>
          <w:szCs w:val="28"/>
        </w:rPr>
      </w:pPr>
    </w:p>
    <w:p w:rsidR="00C7211C" w:rsidRPr="00C77193" w:rsidRDefault="00117B79" w:rsidP="00F81D3A">
      <w:pPr>
        <w:pStyle w:val="Default"/>
        <w:numPr>
          <w:ilvl w:val="0"/>
          <w:numId w:val="6"/>
        </w:numPr>
        <w:jc w:val="center"/>
        <w:rPr>
          <w:rStyle w:val="hps"/>
          <w:rFonts w:ascii="Times New Roman" w:hAnsi="Times New Roman" w:cs="Times New Roman"/>
          <w:b/>
          <w:color w:val="auto"/>
          <w:sz w:val="28"/>
          <w:szCs w:val="28"/>
        </w:rPr>
      </w:pPr>
      <w:r w:rsidRPr="007602C5">
        <w:rPr>
          <w:rStyle w:val="hps"/>
          <w:rFonts w:ascii="Times New Roman" w:hAnsi="Times New Roman" w:cs="Times New Roman"/>
          <w:b/>
          <w:color w:val="auto"/>
          <w:sz w:val="28"/>
          <w:szCs w:val="28"/>
        </w:rPr>
        <w:t>Citu valstu pieredze</w:t>
      </w:r>
    </w:p>
    <w:p w:rsidR="00A0229A" w:rsidRDefault="00A0229A" w:rsidP="00C819F5">
      <w:pPr>
        <w:pStyle w:val="Default"/>
        <w:jc w:val="both"/>
        <w:rPr>
          <w:rStyle w:val="hps"/>
          <w:rFonts w:ascii="Times New Roman" w:hAnsi="Times New Roman" w:cs="Times New Roman"/>
          <w:color w:val="auto"/>
          <w:sz w:val="28"/>
          <w:szCs w:val="28"/>
        </w:rPr>
      </w:pPr>
    </w:p>
    <w:p w:rsidR="00A0229A" w:rsidRDefault="000C5D92" w:rsidP="00C819F5">
      <w:pPr>
        <w:pStyle w:val="Default"/>
        <w:jc w:val="both"/>
        <w:rPr>
          <w:rStyle w:val="hps"/>
          <w:rFonts w:ascii="Times New Roman" w:hAnsi="Times New Roman" w:cs="Times New Roman"/>
          <w:color w:val="auto"/>
          <w:sz w:val="28"/>
          <w:szCs w:val="28"/>
        </w:rPr>
      </w:pPr>
      <w:r>
        <w:rPr>
          <w:rStyle w:val="hps"/>
          <w:rFonts w:ascii="Times New Roman" w:hAnsi="Times New Roman" w:cs="Times New Roman"/>
          <w:color w:val="auto"/>
          <w:sz w:val="28"/>
          <w:szCs w:val="28"/>
        </w:rPr>
        <w:t xml:space="preserve">Elektroenerģijas tirgus liberalizācijas procesos </w:t>
      </w:r>
      <w:r w:rsidR="00A0229A">
        <w:rPr>
          <w:rStyle w:val="hps"/>
          <w:rFonts w:ascii="Times New Roman" w:hAnsi="Times New Roman" w:cs="Times New Roman"/>
          <w:color w:val="auto"/>
          <w:sz w:val="28"/>
          <w:szCs w:val="28"/>
        </w:rPr>
        <w:t xml:space="preserve">Norvēģija </w:t>
      </w:r>
      <w:r>
        <w:rPr>
          <w:rStyle w:val="hps"/>
          <w:rFonts w:ascii="Times New Roman" w:hAnsi="Times New Roman" w:cs="Times New Roman"/>
          <w:color w:val="auto"/>
          <w:sz w:val="28"/>
          <w:szCs w:val="28"/>
        </w:rPr>
        <w:t>ir viena no šo darbību sākotnējām aizsācējām. Norvēģijas elektroenerģijas tirgus tika pilnīgā atvērts 1991.gadā</w:t>
      </w:r>
      <w:r w:rsidR="00882F41">
        <w:rPr>
          <w:rStyle w:val="hps"/>
          <w:rFonts w:ascii="Times New Roman" w:hAnsi="Times New Roman" w:cs="Times New Roman"/>
          <w:color w:val="auto"/>
          <w:sz w:val="28"/>
          <w:szCs w:val="28"/>
        </w:rPr>
        <w:t xml:space="preserve"> un atvēršana nenotika pakāpeniski, bet gan vienlaicīgi visiem lietotājiem. Pirms tirgus liberalizācijas Norvēģijas elektroenerģijas tirgus </w:t>
      </w:r>
      <w:r w:rsidR="00BD7FD6">
        <w:rPr>
          <w:rStyle w:val="hps"/>
          <w:rFonts w:ascii="Times New Roman" w:hAnsi="Times New Roman" w:cs="Times New Roman"/>
          <w:color w:val="auto"/>
          <w:sz w:val="28"/>
          <w:szCs w:val="28"/>
        </w:rPr>
        <w:t xml:space="preserve">būtībā </w:t>
      </w:r>
      <w:r w:rsidR="00882F41">
        <w:rPr>
          <w:rStyle w:val="hps"/>
          <w:rFonts w:ascii="Times New Roman" w:hAnsi="Times New Roman" w:cs="Times New Roman"/>
          <w:color w:val="auto"/>
          <w:sz w:val="28"/>
          <w:szCs w:val="28"/>
        </w:rPr>
        <w:t xml:space="preserve">bija sadalīts atsevišķos reģionālos tirgos, kuru ietvaros tajos </w:t>
      </w:r>
      <w:r w:rsidR="00BD7FD6">
        <w:rPr>
          <w:rStyle w:val="hps"/>
          <w:rFonts w:ascii="Times New Roman" w:hAnsi="Times New Roman" w:cs="Times New Roman"/>
          <w:color w:val="auto"/>
          <w:sz w:val="28"/>
          <w:szCs w:val="28"/>
        </w:rPr>
        <w:t>operējošiem</w:t>
      </w:r>
      <w:r w:rsidR="00882F41">
        <w:rPr>
          <w:rStyle w:val="hps"/>
          <w:rFonts w:ascii="Times New Roman" w:hAnsi="Times New Roman" w:cs="Times New Roman"/>
          <w:color w:val="auto"/>
          <w:sz w:val="28"/>
          <w:szCs w:val="28"/>
        </w:rPr>
        <w:t xml:space="preserve"> komersantiem bija gan tiesības, gan pienākums nodrošināt elektroenerģijas </w:t>
      </w:r>
      <w:r w:rsidR="00882F41">
        <w:rPr>
          <w:rStyle w:val="hps"/>
          <w:rFonts w:ascii="Times New Roman" w:hAnsi="Times New Roman" w:cs="Times New Roman"/>
          <w:color w:val="auto"/>
          <w:sz w:val="28"/>
          <w:szCs w:val="28"/>
        </w:rPr>
        <w:lastRenderedPageBreak/>
        <w:t>piegādi</w:t>
      </w:r>
      <w:r w:rsidR="00610350">
        <w:rPr>
          <w:rStyle w:val="hps"/>
          <w:rFonts w:ascii="Times New Roman" w:hAnsi="Times New Roman" w:cs="Times New Roman"/>
          <w:color w:val="auto"/>
          <w:sz w:val="28"/>
          <w:szCs w:val="28"/>
        </w:rPr>
        <w:t xml:space="preserve"> pie to tīkliem pieslēgtajiem lietotājiem. Tirgus </w:t>
      </w:r>
      <w:r w:rsidR="00BD7FD6">
        <w:rPr>
          <w:rStyle w:val="hps"/>
          <w:rFonts w:ascii="Times New Roman" w:hAnsi="Times New Roman" w:cs="Times New Roman"/>
          <w:color w:val="auto"/>
          <w:sz w:val="28"/>
          <w:szCs w:val="28"/>
        </w:rPr>
        <w:t xml:space="preserve">reforma noteica, ka lokālajiem </w:t>
      </w:r>
      <w:r w:rsidR="00876B56">
        <w:rPr>
          <w:rStyle w:val="hps"/>
          <w:rFonts w:ascii="Times New Roman" w:hAnsi="Times New Roman" w:cs="Times New Roman"/>
          <w:color w:val="auto"/>
          <w:sz w:val="28"/>
          <w:szCs w:val="28"/>
        </w:rPr>
        <w:t>piegādātājiem tika izbeigtas t</w:t>
      </w:r>
      <w:r w:rsidR="00BD7FD6">
        <w:rPr>
          <w:rStyle w:val="hps"/>
          <w:rFonts w:ascii="Times New Roman" w:hAnsi="Times New Roman" w:cs="Times New Roman"/>
          <w:color w:val="auto"/>
          <w:sz w:val="28"/>
          <w:szCs w:val="28"/>
        </w:rPr>
        <w:t xml:space="preserve">o vienpusējās tiesības piegādāt elektroenerģiju, un lietotāji varēja izvēlēties jebkuru piegādātāju. Ar tirgus atvēršanu tika atcelti līdz tam pastāvošie regulētie gala tarifi (arī mājsaimniecībām), bet tika izveidots </w:t>
      </w:r>
      <w:r w:rsidR="008D0FCC">
        <w:rPr>
          <w:rStyle w:val="hps"/>
          <w:rFonts w:ascii="Times New Roman" w:hAnsi="Times New Roman" w:cs="Times New Roman"/>
          <w:color w:val="auto"/>
          <w:sz w:val="28"/>
          <w:szCs w:val="28"/>
        </w:rPr>
        <w:t xml:space="preserve">pēdējās piegādes instruments </w:t>
      </w:r>
      <w:r w:rsidR="00876B56">
        <w:rPr>
          <w:rStyle w:val="hps"/>
          <w:rFonts w:ascii="Times New Roman" w:hAnsi="Times New Roman" w:cs="Times New Roman"/>
          <w:color w:val="auto"/>
          <w:sz w:val="28"/>
          <w:szCs w:val="28"/>
        </w:rPr>
        <w:t xml:space="preserve">Norvēģijā </w:t>
      </w:r>
      <w:r w:rsidR="00397867">
        <w:rPr>
          <w:rStyle w:val="hps"/>
          <w:rFonts w:ascii="Times New Roman" w:hAnsi="Times New Roman" w:cs="Times New Roman"/>
          <w:color w:val="auto"/>
          <w:sz w:val="28"/>
          <w:szCs w:val="28"/>
        </w:rPr>
        <w:t xml:space="preserve">ņemot vērā plaši izplatīto decentralizēto ģenerāciju, gan pirms tirgus reformas, gan pēc tās veikšanas nozarē elektroenerģijas tirdzniecības pakalpojumus piedāvā ļoti ievērojams skaits komersantu </w:t>
      </w:r>
      <w:r w:rsidR="002460EE">
        <w:rPr>
          <w:rStyle w:val="hps"/>
          <w:rFonts w:ascii="Times New Roman" w:hAnsi="Times New Roman" w:cs="Times New Roman"/>
          <w:color w:val="auto"/>
          <w:sz w:val="28"/>
          <w:szCs w:val="28"/>
        </w:rPr>
        <w:t>(mainīgs skaits, kas svārstās ap 100 komersantiem). Un pēc 2011.gada datiem 25 tirgotāji piedāvā elektroenerģijas tirdzniecību visā valsts teritorijā</w:t>
      </w:r>
      <w:r w:rsidR="000700A4">
        <w:rPr>
          <w:rStyle w:val="hps"/>
          <w:rFonts w:ascii="Times New Roman" w:hAnsi="Times New Roman" w:cs="Times New Roman"/>
          <w:color w:val="auto"/>
          <w:sz w:val="28"/>
          <w:szCs w:val="28"/>
        </w:rPr>
        <w:t>, daļa no šiem tirgotājiem ir pirms reformas saistītie piegādātāji, bet lielākā daļa ir pēc tirgus liberalizācijas veidojušies komersanti. Tikai pieciem tirgotājiem  mazumtirdzniecības tirgū ir lielāka tirgus daļa (pēc patēriņa) par 5%,</w:t>
      </w:r>
      <w:r w:rsidR="00B60379">
        <w:rPr>
          <w:rStyle w:val="hps"/>
          <w:rFonts w:ascii="Times New Roman" w:hAnsi="Times New Roman" w:cs="Times New Roman"/>
          <w:color w:val="auto"/>
          <w:sz w:val="28"/>
          <w:szCs w:val="28"/>
        </w:rPr>
        <w:t xml:space="preserve"> kopēji aizņemot 76% tirgus daļas,</w:t>
      </w:r>
      <w:r w:rsidR="000700A4">
        <w:rPr>
          <w:rStyle w:val="hps"/>
          <w:rFonts w:ascii="Times New Roman" w:hAnsi="Times New Roman" w:cs="Times New Roman"/>
          <w:color w:val="auto"/>
          <w:sz w:val="28"/>
          <w:szCs w:val="28"/>
        </w:rPr>
        <w:t xml:space="preserve"> un trīs no šiem pieciem tirgotājiem</w:t>
      </w:r>
      <w:r w:rsidR="00B60379">
        <w:rPr>
          <w:rStyle w:val="hps"/>
          <w:rFonts w:ascii="Times New Roman" w:hAnsi="Times New Roman" w:cs="Times New Roman"/>
          <w:color w:val="auto"/>
          <w:sz w:val="28"/>
          <w:szCs w:val="28"/>
        </w:rPr>
        <w:t xml:space="preserve"> mājsaimniecību apgādes sektorā aizņem 36%.</w:t>
      </w:r>
    </w:p>
    <w:p w:rsidR="00264B39" w:rsidRDefault="00264B39" w:rsidP="00264B39">
      <w:pPr>
        <w:pStyle w:val="Default"/>
        <w:jc w:val="both"/>
        <w:rPr>
          <w:rStyle w:val="hps"/>
          <w:rFonts w:ascii="Times New Roman" w:hAnsi="Times New Roman" w:cs="Times New Roman"/>
          <w:color w:val="auto"/>
          <w:sz w:val="28"/>
          <w:szCs w:val="28"/>
        </w:rPr>
      </w:pPr>
    </w:p>
    <w:p w:rsidR="00882F41" w:rsidRDefault="00B60379" w:rsidP="00264B39">
      <w:pPr>
        <w:pStyle w:val="Default"/>
        <w:jc w:val="both"/>
        <w:rPr>
          <w:rStyle w:val="hps"/>
          <w:rFonts w:ascii="Times New Roman" w:hAnsi="Times New Roman" w:cs="Times New Roman"/>
          <w:color w:val="auto"/>
          <w:sz w:val="28"/>
          <w:szCs w:val="28"/>
        </w:rPr>
      </w:pPr>
      <w:r>
        <w:rPr>
          <w:rStyle w:val="hps"/>
          <w:rFonts w:ascii="Times New Roman" w:hAnsi="Times New Roman" w:cs="Times New Roman"/>
          <w:color w:val="auto"/>
          <w:sz w:val="28"/>
          <w:szCs w:val="28"/>
        </w:rPr>
        <w:t xml:space="preserve">Lai mājsaimniecības lietotājiem, atvieglotu darbības tirgū, izvēloties piegādātāju un to sniegtos produktus, </w:t>
      </w:r>
      <w:r w:rsidR="006948C2">
        <w:rPr>
          <w:rStyle w:val="hps"/>
          <w:rFonts w:ascii="Times New Roman" w:hAnsi="Times New Roman" w:cs="Times New Roman"/>
          <w:color w:val="auto"/>
          <w:sz w:val="28"/>
          <w:szCs w:val="28"/>
        </w:rPr>
        <w:t xml:space="preserve">elektroenerģijas tirgotāji ar patērētāju tiesību aizsardzības </w:t>
      </w:r>
      <w:r w:rsidR="007602C5">
        <w:rPr>
          <w:rStyle w:val="hps"/>
          <w:rFonts w:ascii="Times New Roman" w:hAnsi="Times New Roman" w:cs="Times New Roman"/>
          <w:color w:val="auto"/>
          <w:sz w:val="28"/>
          <w:szCs w:val="28"/>
        </w:rPr>
        <w:t>O</w:t>
      </w:r>
      <w:r w:rsidR="006948C2">
        <w:rPr>
          <w:rStyle w:val="hps"/>
          <w:rFonts w:ascii="Times New Roman" w:hAnsi="Times New Roman" w:cs="Times New Roman"/>
          <w:color w:val="auto"/>
          <w:sz w:val="28"/>
          <w:szCs w:val="28"/>
        </w:rPr>
        <w:t>mbudu ir izstr</w:t>
      </w:r>
      <w:r w:rsidR="00744B08">
        <w:rPr>
          <w:rStyle w:val="hps"/>
          <w:rFonts w:ascii="Times New Roman" w:hAnsi="Times New Roman" w:cs="Times New Roman"/>
          <w:color w:val="auto"/>
          <w:sz w:val="28"/>
          <w:szCs w:val="28"/>
        </w:rPr>
        <w:t>ādājuši S</w:t>
      </w:r>
      <w:r w:rsidR="006948C2">
        <w:rPr>
          <w:rStyle w:val="hps"/>
          <w:rFonts w:ascii="Times New Roman" w:hAnsi="Times New Roman" w:cs="Times New Roman"/>
          <w:color w:val="auto"/>
          <w:sz w:val="28"/>
          <w:szCs w:val="28"/>
        </w:rPr>
        <w:t>tandarta vienošanos par elektroenerģijas piegādi. Standarta vienošanos sevī ietver, ka tirgotājs mājsaimniecību lietotājiem piedāvā dažādus elektroenerģijas tirdzniecības produktus, piemēram, mainīgās cenas piegāde, kur tirgotājs piedāvā cenu par kW/h, kas mainās katru nedēļu, par ko tirgotājam lietotājs ir noteikti jāinformē. Šis ir tipisks produkts, ko izmanto mājsaimniecības lietotāji. Tāpat ir</w:t>
      </w:r>
      <w:r w:rsidR="00A87852">
        <w:rPr>
          <w:rStyle w:val="hps"/>
          <w:rFonts w:ascii="Times New Roman" w:hAnsi="Times New Roman" w:cs="Times New Roman"/>
          <w:color w:val="auto"/>
          <w:sz w:val="28"/>
          <w:szCs w:val="28"/>
        </w:rPr>
        <w:t xml:space="preserve"> </w:t>
      </w:r>
      <w:r w:rsidR="00744B08">
        <w:rPr>
          <w:rStyle w:val="hps"/>
          <w:rFonts w:ascii="Times New Roman" w:hAnsi="Times New Roman" w:cs="Times New Roman"/>
          <w:color w:val="auto"/>
          <w:sz w:val="28"/>
          <w:szCs w:val="28"/>
        </w:rPr>
        <w:t>Standarta vienošanās ietvaros mājsaimniecības lietotājam piedāvā Spot cenas pakalpojumu, kas ir Nordpool Spot vairumtirdzniecības mēneša cena un tirgotāja uzcenojums. Fiksētās cenas pakalpojums sevī ietver, ka elektroenerģijas cenu fiksē uz lielāku laika periodu no vien</w:t>
      </w:r>
      <w:r w:rsidR="004D017C">
        <w:rPr>
          <w:rStyle w:val="hps"/>
          <w:rFonts w:ascii="Times New Roman" w:hAnsi="Times New Roman" w:cs="Times New Roman"/>
          <w:color w:val="auto"/>
          <w:sz w:val="28"/>
          <w:szCs w:val="28"/>
        </w:rPr>
        <w:t>a</w:t>
      </w:r>
      <w:r w:rsidR="00744B08">
        <w:rPr>
          <w:rStyle w:val="hps"/>
          <w:rFonts w:ascii="Times New Roman" w:hAnsi="Times New Roman" w:cs="Times New Roman"/>
          <w:color w:val="auto"/>
          <w:sz w:val="28"/>
          <w:szCs w:val="28"/>
        </w:rPr>
        <w:t xml:space="preserve"> līdz trīs gadiem.</w:t>
      </w:r>
    </w:p>
    <w:p w:rsidR="001C096C" w:rsidRDefault="001C096C" w:rsidP="00C819F5">
      <w:pPr>
        <w:pStyle w:val="Default"/>
        <w:jc w:val="both"/>
        <w:rPr>
          <w:rStyle w:val="hps"/>
          <w:rFonts w:ascii="Times New Roman" w:hAnsi="Times New Roman" w:cs="Times New Roman"/>
          <w:color w:val="auto"/>
          <w:sz w:val="28"/>
          <w:szCs w:val="28"/>
        </w:rPr>
      </w:pPr>
    </w:p>
    <w:p w:rsidR="00744B08" w:rsidRDefault="001C096C" w:rsidP="00C819F5">
      <w:pPr>
        <w:pStyle w:val="Default"/>
        <w:jc w:val="both"/>
        <w:rPr>
          <w:rStyle w:val="hps"/>
          <w:rFonts w:ascii="Times New Roman" w:hAnsi="Times New Roman" w:cs="Times New Roman"/>
          <w:color w:val="auto"/>
          <w:sz w:val="28"/>
          <w:szCs w:val="28"/>
        </w:rPr>
      </w:pPr>
      <w:r>
        <w:rPr>
          <w:rStyle w:val="hps"/>
          <w:rFonts w:ascii="Times New Roman" w:hAnsi="Times New Roman" w:cs="Times New Roman"/>
          <w:color w:val="auto"/>
          <w:sz w:val="28"/>
          <w:szCs w:val="28"/>
        </w:rPr>
        <w:t>E</w:t>
      </w:r>
      <w:r w:rsidR="00744B08">
        <w:rPr>
          <w:rStyle w:val="hps"/>
          <w:rFonts w:ascii="Times New Roman" w:hAnsi="Times New Roman" w:cs="Times New Roman"/>
          <w:color w:val="auto"/>
          <w:sz w:val="28"/>
          <w:szCs w:val="28"/>
        </w:rPr>
        <w:t xml:space="preserve">lektroenerģijas </w:t>
      </w:r>
      <w:r>
        <w:rPr>
          <w:rStyle w:val="hps"/>
          <w:rFonts w:ascii="Times New Roman" w:hAnsi="Times New Roman" w:cs="Times New Roman"/>
          <w:color w:val="auto"/>
          <w:sz w:val="28"/>
          <w:szCs w:val="28"/>
        </w:rPr>
        <w:t xml:space="preserve">mazumtirdzniecības cenas Norvēģijā korelē ar vairumtirdzniecības cenu izmaiņām, tomēr ir  dažkārt mazumtirdzniecības cenas atpaliek no vairumtirdzniecības cenu </w:t>
      </w:r>
      <w:r w:rsidR="00752AD7">
        <w:rPr>
          <w:rStyle w:val="hps"/>
          <w:rFonts w:ascii="Times New Roman" w:hAnsi="Times New Roman" w:cs="Times New Roman"/>
          <w:color w:val="auto"/>
          <w:sz w:val="28"/>
          <w:szCs w:val="28"/>
        </w:rPr>
        <w:t xml:space="preserve">svārstībām. </w:t>
      </w:r>
      <w:r w:rsidR="0039262B">
        <w:rPr>
          <w:rStyle w:val="hps"/>
          <w:rFonts w:ascii="Times New Roman" w:hAnsi="Times New Roman" w:cs="Times New Roman"/>
          <w:color w:val="auto"/>
          <w:sz w:val="28"/>
          <w:szCs w:val="28"/>
        </w:rPr>
        <w:t xml:space="preserve">Norvēģijas elektroenerģijas patērētāji ir </w:t>
      </w:r>
      <w:r w:rsidR="0039262B" w:rsidRPr="0039262B">
        <w:rPr>
          <w:rStyle w:val="hps"/>
          <w:rFonts w:ascii="Times New Roman" w:hAnsi="Times New Roman" w:cs="Times New Roman"/>
          <w:color w:val="auto"/>
          <w:sz w:val="28"/>
          <w:szCs w:val="28"/>
        </w:rPr>
        <w:t>vieni no aktīvākajiem Eiropā, jo statistika liecina,</w:t>
      </w:r>
      <w:r w:rsidR="0039262B" w:rsidRPr="0039262B">
        <w:rPr>
          <w:rFonts w:ascii="Times New Roman" w:hAnsi="Times New Roman" w:cs="Times New Roman"/>
          <w:sz w:val="28"/>
          <w:szCs w:val="28"/>
        </w:rPr>
        <w:t xml:space="preserve"> pēdējos gados elektroenerģijas piegādātāju gadā mainījuši ap 10%, atsevišķos gados pat 15-20%</w:t>
      </w:r>
      <w:r w:rsidR="0039262B">
        <w:rPr>
          <w:rFonts w:ascii="Times New Roman" w:hAnsi="Times New Roman" w:cs="Times New Roman"/>
          <w:sz w:val="28"/>
          <w:szCs w:val="28"/>
        </w:rPr>
        <w:t xml:space="preserve"> no patērētājiem</w:t>
      </w:r>
      <w:r w:rsidR="0039262B" w:rsidRPr="0039262B">
        <w:rPr>
          <w:rFonts w:ascii="Times New Roman" w:hAnsi="Times New Roman" w:cs="Times New Roman"/>
          <w:sz w:val="28"/>
          <w:szCs w:val="28"/>
        </w:rPr>
        <w:t>.</w:t>
      </w:r>
    </w:p>
    <w:p w:rsidR="00882F41" w:rsidRDefault="00882F41" w:rsidP="00C819F5">
      <w:pPr>
        <w:pStyle w:val="Default"/>
        <w:jc w:val="both"/>
        <w:rPr>
          <w:rStyle w:val="hps"/>
          <w:rFonts w:ascii="Times New Roman" w:hAnsi="Times New Roman" w:cs="Times New Roman"/>
          <w:color w:val="auto"/>
          <w:sz w:val="28"/>
          <w:szCs w:val="28"/>
        </w:rPr>
      </w:pPr>
    </w:p>
    <w:p w:rsidR="00CC7905" w:rsidRDefault="00853AFB" w:rsidP="00C819F5">
      <w:pPr>
        <w:pStyle w:val="Default"/>
        <w:jc w:val="both"/>
        <w:rPr>
          <w:rFonts w:ascii="Times New Roman" w:hAnsi="Times New Roman" w:cs="Times New Roman"/>
          <w:sz w:val="28"/>
          <w:szCs w:val="28"/>
        </w:rPr>
      </w:pPr>
      <w:r>
        <w:rPr>
          <w:rStyle w:val="hps"/>
          <w:rFonts w:ascii="Times New Roman" w:hAnsi="Times New Roman" w:cs="Times New Roman"/>
          <w:color w:val="auto"/>
          <w:sz w:val="28"/>
          <w:szCs w:val="28"/>
        </w:rPr>
        <w:t xml:space="preserve">Ja Norvēģija tirgus liberalizācijas veikšanā ir viena no šī procesa celmlaužiem pasaulē, tad Somijas tirgus liberalizācija ir veikta nedaudz vēlāk un arī šīs valsts veikto reformu var minēt, kā </w:t>
      </w:r>
      <w:r w:rsidR="00E239CB">
        <w:rPr>
          <w:rStyle w:val="hps"/>
          <w:rFonts w:ascii="Times New Roman" w:hAnsi="Times New Roman" w:cs="Times New Roman"/>
          <w:color w:val="auto"/>
          <w:sz w:val="28"/>
          <w:szCs w:val="28"/>
        </w:rPr>
        <w:t>pozitīvu piemēru  efektīvai pārejai uz neregulētiem mājsaimniecību tarifiem</w:t>
      </w:r>
      <w:r>
        <w:rPr>
          <w:rStyle w:val="hps"/>
          <w:rFonts w:ascii="Times New Roman" w:hAnsi="Times New Roman" w:cs="Times New Roman"/>
          <w:color w:val="auto"/>
          <w:sz w:val="28"/>
          <w:szCs w:val="28"/>
        </w:rPr>
        <w:t>.</w:t>
      </w:r>
      <w:r w:rsidR="00E239CB">
        <w:rPr>
          <w:rStyle w:val="hps"/>
          <w:rFonts w:ascii="Times New Roman" w:hAnsi="Times New Roman" w:cs="Times New Roman"/>
          <w:color w:val="auto"/>
          <w:sz w:val="28"/>
          <w:szCs w:val="28"/>
        </w:rPr>
        <w:t xml:space="preserve"> Somijas elektroenerģijas tirgus ir pilnībā atvērts jau kopš 1998.gada beigām, līdz ar to visi elektroenerģijas lietotāji, tostarp mājsaimniecības, </w:t>
      </w:r>
      <w:r w:rsidR="003A6BB8">
        <w:rPr>
          <w:rStyle w:val="hps"/>
          <w:rFonts w:ascii="Times New Roman" w:hAnsi="Times New Roman" w:cs="Times New Roman"/>
          <w:color w:val="auto"/>
          <w:sz w:val="28"/>
          <w:szCs w:val="28"/>
        </w:rPr>
        <w:t xml:space="preserve">jau vairāk kā desmit gadu </w:t>
      </w:r>
      <w:r w:rsidR="00E239CB">
        <w:rPr>
          <w:rStyle w:val="hps"/>
          <w:rFonts w:ascii="Times New Roman" w:hAnsi="Times New Roman" w:cs="Times New Roman"/>
          <w:color w:val="auto"/>
          <w:sz w:val="28"/>
          <w:szCs w:val="28"/>
        </w:rPr>
        <w:t xml:space="preserve">var </w:t>
      </w:r>
      <w:r w:rsidR="003A6BB8">
        <w:rPr>
          <w:rStyle w:val="hps"/>
          <w:rFonts w:ascii="Times New Roman" w:hAnsi="Times New Roman" w:cs="Times New Roman"/>
          <w:color w:val="auto"/>
          <w:sz w:val="28"/>
          <w:szCs w:val="28"/>
        </w:rPr>
        <w:t xml:space="preserve">brīvi </w:t>
      </w:r>
      <w:r w:rsidR="00E239CB">
        <w:rPr>
          <w:rStyle w:val="hps"/>
          <w:rFonts w:ascii="Times New Roman" w:hAnsi="Times New Roman" w:cs="Times New Roman"/>
          <w:color w:val="auto"/>
          <w:sz w:val="28"/>
          <w:szCs w:val="28"/>
        </w:rPr>
        <w:t>izvēlēties un mainīt savu elektroenerģijas piegādātāju. Somijā elektroenerģijas tirgu uzrauga Enerģijas tirgus institūcija (</w:t>
      </w:r>
      <w:r w:rsidR="00E239CB">
        <w:rPr>
          <w:rStyle w:val="hps"/>
          <w:rFonts w:ascii="Times New Roman" w:hAnsi="Times New Roman" w:cs="Times New Roman"/>
          <w:i/>
          <w:color w:val="auto"/>
          <w:sz w:val="28"/>
          <w:szCs w:val="28"/>
        </w:rPr>
        <w:t>Energy Market Authority</w:t>
      </w:r>
      <w:r w:rsidR="00E239CB">
        <w:rPr>
          <w:rStyle w:val="hps"/>
          <w:rFonts w:ascii="Times New Roman" w:hAnsi="Times New Roman" w:cs="Times New Roman"/>
          <w:color w:val="auto"/>
          <w:sz w:val="28"/>
          <w:szCs w:val="28"/>
        </w:rPr>
        <w:t xml:space="preserve">) – tā uzrauga elektroenerģijas tīkla </w:t>
      </w:r>
      <w:r w:rsidR="00E239CB">
        <w:rPr>
          <w:rStyle w:val="hps"/>
          <w:rFonts w:ascii="Times New Roman" w:hAnsi="Times New Roman" w:cs="Times New Roman"/>
          <w:color w:val="auto"/>
          <w:sz w:val="28"/>
          <w:szCs w:val="28"/>
        </w:rPr>
        <w:lastRenderedPageBreak/>
        <w:t xml:space="preserve">darbību un sistēmas pakalpojumu cenu pamatotību, izmantojot apstiprinātu metodoloģiju, kā arī uzrauga, ka visi elektroenerģijas tirgotāji pilda Somijā noteiktās saistības obligāti piegādāt elektroenerģiju par pamatotu cenu mazajiem lietotājiem, kuru </w:t>
      </w:r>
      <w:r w:rsidR="00E239CB">
        <w:rPr>
          <w:rFonts w:ascii="Times New Roman" w:hAnsi="Times New Roman"/>
          <w:sz w:val="28"/>
          <w:szCs w:val="28"/>
        </w:rPr>
        <w:t>ievadaizsardzības aparāta nominālā strāva</w:t>
      </w:r>
      <w:r w:rsidR="00E239CB">
        <w:rPr>
          <w:rStyle w:val="hps"/>
          <w:rFonts w:ascii="Times New Roman" w:hAnsi="Times New Roman" w:cs="Times New Roman"/>
          <w:color w:val="auto"/>
          <w:sz w:val="28"/>
          <w:szCs w:val="28"/>
        </w:rPr>
        <w:t xml:space="preserve"> nepārsniedz </w:t>
      </w:r>
      <w:r w:rsidR="00E239CB">
        <w:rPr>
          <w:rFonts w:ascii="Times New Roman" w:hAnsi="Times New Roman" w:cs="Times New Roman"/>
          <w:sz w:val="28"/>
          <w:szCs w:val="28"/>
        </w:rPr>
        <w:t xml:space="preserve">63 A un gada patēriņš nepārsniedz 100.000 kWh. Šādi Somijā mazie lietotāji tiek pasargāti </w:t>
      </w:r>
      <w:r w:rsidR="00D80B2F">
        <w:rPr>
          <w:rFonts w:ascii="Times New Roman" w:hAnsi="Times New Roman" w:cs="Times New Roman"/>
          <w:sz w:val="28"/>
          <w:szCs w:val="28"/>
        </w:rPr>
        <w:t>no</w:t>
      </w:r>
      <w:r w:rsidR="00E239CB">
        <w:rPr>
          <w:rFonts w:ascii="Times New Roman" w:hAnsi="Times New Roman" w:cs="Times New Roman"/>
          <w:sz w:val="28"/>
          <w:szCs w:val="28"/>
        </w:rPr>
        <w:t xml:space="preserve"> nesamērīgi augstu elektroenerģijas cenu riska.</w:t>
      </w:r>
    </w:p>
    <w:p w:rsidR="00C964DD" w:rsidRDefault="00C964DD" w:rsidP="00C819F5">
      <w:pPr>
        <w:pStyle w:val="Default"/>
        <w:jc w:val="both"/>
        <w:rPr>
          <w:rFonts w:ascii="Times New Roman" w:hAnsi="Times New Roman" w:cs="Times New Roman"/>
          <w:sz w:val="28"/>
          <w:szCs w:val="28"/>
        </w:rPr>
      </w:pPr>
    </w:p>
    <w:p w:rsidR="00B45F90" w:rsidRDefault="00CC7905" w:rsidP="00C819F5">
      <w:pPr>
        <w:pStyle w:val="Default"/>
        <w:jc w:val="both"/>
        <w:rPr>
          <w:rStyle w:val="hps"/>
          <w:rFonts w:ascii="Times New Roman" w:hAnsi="Times New Roman" w:cs="Times New Roman"/>
          <w:color w:val="auto"/>
          <w:sz w:val="28"/>
          <w:szCs w:val="28"/>
        </w:rPr>
      </w:pPr>
      <w:r>
        <w:rPr>
          <w:rFonts w:ascii="Times New Roman" w:hAnsi="Times New Roman" w:cs="Times New Roman"/>
          <w:sz w:val="28"/>
          <w:szCs w:val="28"/>
        </w:rPr>
        <w:t xml:space="preserve">Somijā pēc 2011.gada datiem elektroenerģijas tirdzniecības pakalpojumus piegādā 72 komersanti un no kuriem viena trešā daļa savus pakalpojumus piedāvā ne tikai noteiktā reģionā, bet visā valsts teritorijā. Arī Somijā tikai </w:t>
      </w:r>
      <w:r w:rsidR="00C32F6C">
        <w:rPr>
          <w:rFonts w:ascii="Times New Roman" w:hAnsi="Times New Roman" w:cs="Times New Roman"/>
          <w:sz w:val="28"/>
          <w:szCs w:val="28"/>
        </w:rPr>
        <w:t>četriem</w:t>
      </w:r>
      <w:r>
        <w:rPr>
          <w:rFonts w:ascii="Times New Roman" w:hAnsi="Times New Roman" w:cs="Times New Roman"/>
          <w:sz w:val="28"/>
          <w:szCs w:val="28"/>
        </w:rPr>
        <w:t xml:space="preserve"> tirgotāji</w:t>
      </w:r>
      <w:r w:rsidR="00C964DD">
        <w:rPr>
          <w:rFonts w:ascii="Times New Roman" w:hAnsi="Times New Roman" w:cs="Times New Roman"/>
          <w:sz w:val="28"/>
          <w:szCs w:val="28"/>
        </w:rPr>
        <w:t>em</w:t>
      </w:r>
      <w:r w:rsidR="00C32F6C">
        <w:rPr>
          <w:rFonts w:ascii="Times New Roman" w:hAnsi="Times New Roman" w:cs="Times New Roman"/>
          <w:sz w:val="28"/>
          <w:szCs w:val="28"/>
        </w:rPr>
        <w:t xml:space="preserve"> kopējā</w:t>
      </w:r>
      <w:r w:rsidR="00C964DD">
        <w:rPr>
          <w:rFonts w:ascii="Times New Roman" w:hAnsi="Times New Roman" w:cs="Times New Roman"/>
          <w:sz w:val="28"/>
          <w:szCs w:val="28"/>
        </w:rPr>
        <w:t xml:space="preserve"> </w:t>
      </w:r>
      <w:r w:rsidR="00C32F6C">
        <w:rPr>
          <w:rStyle w:val="hps"/>
          <w:rFonts w:ascii="Times New Roman" w:hAnsi="Times New Roman" w:cs="Times New Roman"/>
          <w:color w:val="auto"/>
          <w:sz w:val="28"/>
          <w:szCs w:val="28"/>
        </w:rPr>
        <w:t>mazumtirdzniecības tirgū ir lielāka tirgus daļa (pēc patēriņa) par 5%, Tirgotāju maina aptuveni 7-8 % no visiem lietotājiem, aktīvi šajā ziņā ir uzņēmumi un arī mājsaimniecības, gan dzīvokļu īpašnieki, gan privātmāju īpašnieki. Mazumtirdzniecības cenas Somijā nav regulētas un to izmaiņas ir cieši saistītas ar vairumtirdzniecības cenu izmaiņām, kas savukārt maiņās no tirgus apstākļiem, resursu pieejamības un elektrosistēmas kapacitātes iespējām. Lai paaugstinātu konkurences līmeni mazumtirdzniecības jomā, Somijas Enerģijas tirgus institūcija ir izveidojusi lietotājiem pieejamu elektroenerģijas cenu noteikšanas instrumentu</w:t>
      </w:r>
      <w:r w:rsidR="00C168E2">
        <w:rPr>
          <w:rStyle w:val="hps"/>
          <w:rFonts w:ascii="Times New Roman" w:hAnsi="Times New Roman" w:cs="Times New Roman"/>
          <w:color w:val="auto"/>
          <w:sz w:val="28"/>
          <w:szCs w:val="28"/>
        </w:rPr>
        <w:t>, kas ļauj salīdzināt tirgotāju piedāvājumus</w:t>
      </w:r>
      <w:r w:rsidR="004D5DA1">
        <w:rPr>
          <w:rStyle w:val="hps"/>
          <w:rFonts w:ascii="Times New Roman" w:hAnsi="Times New Roman" w:cs="Times New Roman"/>
          <w:color w:val="auto"/>
          <w:sz w:val="28"/>
          <w:szCs w:val="28"/>
        </w:rPr>
        <w:t>,</w:t>
      </w:r>
      <w:r w:rsidR="00C964DD">
        <w:rPr>
          <w:rStyle w:val="hps"/>
          <w:rFonts w:ascii="Times New Roman" w:hAnsi="Times New Roman" w:cs="Times New Roman"/>
          <w:color w:val="auto"/>
          <w:sz w:val="28"/>
          <w:szCs w:val="28"/>
        </w:rPr>
        <w:t xml:space="preserve"> gan no cenas, gan produkta asp</w:t>
      </w:r>
      <w:r w:rsidR="004D5DA1">
        <w:rPr>
          <w:rStyle w:val="hps"/>
          <w:rFonts w:ascii="Times New Roman" w:hAnsi="Times New Roman" w:cs="Times New Roman"/>
          <w:color w:val="auto"/>
          <w:sz w:val="28"/>
          <w:szCs w:val="28"/>
        </w:rPr>
        <w:t>ekta</w:t>
      </w:r>
      <w:r w:rsidR="00C168E2">
        <w:rPr>
          <w:rStyle w:val="hps"/>
          <w:rFonts w:ascii="Times New Roman" w:hAnsi="Times New Roman" w:cs="Times New Roman"/>
          <w:color w:val="auto"/>
          <w:sz w:val="28"/>
          <w:szCs w:val="28"/>
        </w:rPr>
        <w:t xml:space="preserve"> un tā izvēlēties sev atbilstošāko piedāvājumu.</w:t>
      </w:r>
    </w:p>
    <w:p w:rsidR="00C168E2" w:rsidRDefault="00C168E2" w:rsidP="00C819F5">
      <w:pPr>
        <w:pStyle w:val="Default"/>
        <w:jc w:val="both"/>
        <w:rPr>
          <w:rStyle w:val="hps"/>
          <w:rFonts w:ascii="Times New Roman" w:hAnsi="Times New Roman" w:cs="Times New Roman"/>
          <w:color w:val="auto"/>
          <w:sz w:val="28"/>
          <w:szCs w:val="28"/>
        </w:rPr>
      </w:pPr>
    </w:p>
    <w:p w:rsidR="00C168E2" w:rsidRDefault="00C168E2" w:rsidP="00C819F5">
      <w:pPr>
        <w:pStyle w:val="Default"/>
        <w:jc w:val="both"/>
        <w:rPr>
          <w:rStyle w:val="hps"/>
          <w:rFonts w:ascii="Times New Roman" w:hAnsi="Times New Roman" w:cs="Times New Roman"/>
          <w:color w:val="auto"/>
          <w:sz w:val="28"/>
          <w:szCs w:val="28"/>
        </w:rPr>
      </w:pPr>
      <w:r>
        <w:rPr>
          <w:rStyle w:val="hps"/>
          <w:rFonts w:ascii="Times New Roman" w:hAnsi="Times New Roman" w:cs="Times New Roman"/>
          <w:color w:val="auto"/>
          <w:sz w:val="28"/>
          <w:szCs w:val="28"/>
        </w:rPr>
        <w:t>No 2005.gada ziemeļvalstu ener</w:t>
      </w:r>
      <w:r w:rsidR="000A4DD4">
        <w:rPr>
          <w:rStyle w:val="hps"/>
          <w:rFonts w:ascii="Times New Roman" w:hAnsi="Times New Roman" w:cs="Times New Roman"/>
          <w:color w:val="auto"/>
          <w:sz w:val="28"/>
          <w:szCs w:val="28"/>
        </w:rPr>
        <w:t xml:space="preserve">ģijas </w:t>
      </w:r>
      <w:r>
        <w:rPr>
          <w:rStyle w:val="hps"/>
          <w:rFonts w:ascii="Times New Roman" w:hAnsi="Times New Roman" w:cs="Times New Roman"/>
          <w:color w:val="auto"/>
          <w:sz w:val="28"/>
          <w:szCs w:val="28"/>
        </w:rPr>
        <w:t xml:space="preserve">regulatori strādā, lai sekmētu un atvieglotu kopēja galalietotāju tirgus izveidi  Skandināvijā. Politiskās apņemšanās un starp regulatoriem noslēgtie memorandi liecina, ka puses šo mērķi plāno īstenot līdz 2015.gadam. </w:t>
      </w:r>
    </w:p>
    <w:p w:rsidR="00C168E2" w:rsidRDefault="00C168E2" w:rsidP="00C819F5">
      <w:pPr>
        <w:pStyle w:val="Default"/>
        <w:jc w:val="both"/>
        <w:rPr>
          <w:rStyle w:val="hps"/>
          <w:rFonts w:ascii="Times New Roman" w:hAnsi="Times New Roman" w:cs="Times New Roman"/>
          <w:color w:val="auto"/>
          <w:sz w:val="28"/>
          <w:szCs w:val="28"/>
        </w:rPr>
      </w:pPr>
    </w:p>
    <w:p w:rsidR="00C168E2" w:rsidRPr="00853AFB" w:rsidRDefault="00C168E2" w:rsidP="00C819F5">
      <w:pPr>
        <w:pStyle w:val="Default"/>
        <w:jc w:val="both"/>
        <w:rPr>
          <w:rFonts w:ascii="Times New Roman" w:hAnsi="Times New Roman" w:cs="Times New Roman"/>
          <w:color w:val="auto"/>
          <w:sz w:val="28"/>
          <w:szCs w:val="28"/>
        </w:rPr>
      </w:pPr>
      <w:r>
        <w:rPr>
          <w:rStyle w:val="hps"/>
          <w:rFonts w:ascii="Times New Roman" w:hAnsi="Times New Roman" w:cs="Times New Roman"/>
          <w:color w:val="auto"/>
          <w:sz w:val="28"/>
          <w:szCs w:val="28"/>
        </w:rPr>
        <w:t xml:space="preserve">Skandināvijas pieredze liecina, ka mazumtirdzniecības </w:t>
      </w:r>
      <w:r w:rsidR="003B5FFA">
        <w:rPr>
          <w:rStyle w:val="hps"/>
          <w:rFonts w:ascii="Times New Roman" w:hAnsi="Times New Roman" w:cs="Times New Roman"/>
          <w:color w:val="auto"/>
          <w:sz w:val="28"/>
          <w:szCs w:val="28"/>
        </w:rPr>
        <w:t>tirgu</w:t>
      </w:r>
      <w:r w:rsidR="0039262B">
        <w:rPr>
          <w:rStyle w:val="hps"/>
          <w:rFonts w:ascii="Times New Roman" w:hAnsi="Times New Roman" w:cs="Times New Roman"/>
          <w:color w:val="auto"/>
          <w:sz w:val="28"/>
          <w:szCs w:val="28"/>
        </w:rPr>
        <w:t>s</w:t>
      </w:r>
      <w:r w:rsidR="003B5FFA">
        <w:rPr>
          <w:rStyle w:val="hps"/>
          <w:rFonts w:ascii="Times New Roman" w:hAnsi="Times New Roman" w:cs="Times New Roman"/>
          <w:color w:val="auto"/>
          <w:sz w:val="28"/>
          <w:szCs w:val="28"/>
        </w:rPr>
        <w:t xml:space="preserve"> izveidošana ir nozīmīgs process kopējā tirgus izveidei. Mazumtirdzniecības tirgus nodrošina lietotājiem ieguvumus no tirgotāju dažādajiem produktiem, sniegtajiem servisa pakalpojumiem un pakalpojumu sniegšanas metodēm.</w:t>
      </w:r>
    </w:p>
    <w:p w:rsidR="00AD6AA5" w:rsidRDefault="00AD6AA5" w:rsidP="00AD6AA5">
      <w:pPr>
        <w:pStyle w:val="Default"/>
        <w:rPr>
          <w:rStyle w:val="hps"/>
          <w:rFonts w:ascii="Times New Roman" w:hAnsi="Times New Roman" w:cs="Times New Roman"/>
          <w:b/>
          <w:color w:val="auto"/>
          <w:sz w:val="28"/>
          <w:szCs w:val="28"/>
        </w:rPr>
      </w:pPr>
    </w:p>
    <w:p w:rsidR="00AD6AA5" w:rsidRDefault="00AD6AA5" w:rsidP="007602C5">
      <w:pPr>
        <w:pStyle w:val="Default"/>
        <w:jc w:val="center"/>
        <w:rPr>
          <w:rStyle w:val="hps"/>
          <w:rFonts w:ascii="Times New Roman" w:hAnsi="Times New Roman" w:cs="Times New Roman"/>
          <w:b/>
          <w:color w:val="auto"/>
          <w:sz w:val="28"/>
          <w:szCs w:val="28"/>
        </w:rPr>
      </w:pPr>
    </w:p>
    <w:p w:rsidR="000A1347" w:rsidRPr="007602C5" w:rsidRDefault="007602C5" w:rsidP="00F81D3A">
      <w:pPr>
        <w:pStyle w:val="Default"/>
        <w:numPr>
          <w:ilvl w:val="0"/>
          <w:numId w:val="6"/>
        </w:numPr>
        <w:jc w:val="center"/>
        <w:rPr>
          <w:rStyle w:val="hps"/>
          <w:rFonts w:ascii="Times New Roman" w:hAnsi="Times New Roman" w:cs="Times New Roman"/>
          <w:b/>
          <w:color w:val="auto"/>
          <w:sz w:val="28"/>
          <w:szCs w:val="28"/>
        </w:rPr>
      </w:pPr>
      <w:r w:rsidRPr="007602C5">
        <w:rPr>
          <w:rStyle w:val="hps"/>
          <w:rFonts w:ascii="Times New Roman" w:hAnsi="Times New Roman" w:cs="Times New Roman"/>
          <w:b/>
          <w:color w:val="auto"/>
          <w:sz w:val="28"/>
          <w:szCs w:val="28"/>
        </w:rPr>
        <w:t>Baltijas valstu pieredze</w:t>
      </w:r>
    </w:p>
    <w:p w:rsidR="00867742" w:rsidRDefault="00867742" w:rsidP="008430D1">
      <w:pPr>
        <w:pStyle w:val="NormalWeb"/>
        <w:spacing w:line="270" w:lineRule="atLeast"/>
        <w:jc w:val="both"/>
        <w:rPr>
          <w:color w:val="1E1F20"/>
          <w:sz w:val="28"/>
          <w:szCs w:val="28"/>
        </w:rPr>
      </w:pPr>
    </w:p>
    <w:p w:rsidR="008430D1" w:rsidRPr="004D0439" w:rsidRDefault="00A845FF" w:rsidP="008430D1">
      <w:pPr>
        <w:pStyle w:val="NormalWeb"/>
        <w:spacing w:line="270" w:lineRule="atLeast"/>
        <w:jc w:val="both"/>
        <w:rPr>
          <w:sz w:val="28"/>
          <w:szCs w:val="28"/>
        </w:rPr>
      </w:pPr>
      <w:r w:rsidRPr="008475F6">
        <w:rPr>
          <w:sz w:val="28"/>
          <w:szCs w:val="28"/>
        </w:rPr>
        <w:t xml:space="preserve">Igaunija savu elektroenerģijas tirgus atvēršanu ir veikusi citādāk nekā Latvija, proti, Igaunijā elektroenerģijas lietotājiem, kuri atbilst noteiktiem kritērijiem (elektroenerģijas patēriņa apjoms) ir tiesīgi izvēlēties elektroenerģijas tirgotāju. Pārējiem elektroenerģijas lietotājiem netiek dotas tiesības izvēlēties tirgotāju. Liedzot atsevišķām lietotāju kategorijām izvēlēties elektroenerģiju tirgotāju, Igaunijas elektroenerģijas tirgus var uzskatīt par daļēji slēgtu. </w:t>
      </w:r>
      <w:r w:rsidR="008430D1" w:rsidRPr="008475F6">
        <w:rPr>
          <w:sz w:val="28"/>
          <w:szCs w:val="28"/>
        </w:rPr>
        <w:t xml:space="preserve">Šīs situācijas pamatā galvenokārt ir Igaunijas </w:t>
      </w:r>
      <w:r w:rsidR="00B11A57" w:rsidRPr="008475F6">
        <w:rPr>
          <w:sz w:val="28"/>
          <w:szCs w:val="28"/>
        </w:rPr>
        <w:t xml:space="preserve">īpašie </w:t>
      </w:r>
      <w:r w:rsidR="008430D1" w:rsidRPr="008475F6">
        <w:rPr>
          <w:sz w:val="28"/>
          <w:szCs w:val="28"/>
        </w:rPr>
        <w:t>apstākļi, kas</w:t>
      </w:r>
      <w:r w:rsidR="008430D1" w:rsidRPr="004D0439">
        <w:rPr>
          <w:sz w:val="28"/>
          <w:szCs w:val="28"/>
        </w:rPr>
        <w:t xml:space="preserve"> pastāvēja, Igaunijai 2004.gadā pievienojoties </w:t>
      </w:r>
      <w:r w:rsidR="0024244F">
        <w:rPr>
          <w:sz w:val="28"/>
          <w:szCs w:val="28"/>
        </w:rPr>
        <w:t>ES</w:t>
      </w:r>
      <w:r w:rsidR="008430D1" w:rsidRPr="004D0439">
        <w:rPr>
          <w:sz w:val="28"/>
          <w:szCs w:val="28"/>
        </w:rPr>
        <w:t xml:space="preserve">. Igaunijai pievienošanās procesā piešķirtie </w:t>
      </w:r>
      <w:r w:rsidR="008430D1" w:rsidRPr="004D0439">
        <w:rPr>
          <w:sz w:val="28"/>
          <w:szCs w:val="28"/>
        </w:rPr>
        <w:lastRenderedPageBreak/>
        <w:t xml:space="preserve">izņēmumi tika </w:t>
      </w:r>
      <w:r w:rsidR="00867742" w:rsidRPr="004D0439">
        <w:rPr>
          <w:sz w:val="28"/>
          <w:szCs w:val="28"/>
        </w:rPr>
        <w:t xml:space="preserve">piešķirti balstoties uz </w:t>
      </w:r>
      <w:r w:rsidR="008430D1" w:rsidRPr="004D0439">
        <w:rPr>
          <w:sz w:val="28"/>
          <w:szCs w:val="28"/>
        </w:rPr>
        <w:t xml:space="preserve">nepieciešamību aizsargāt investīcijas </w:t>
      </w:r>
      <w:r w:rsidR="00867742" w:rsidRPr="004D0439">
        <w:rPr>
          <w:sz w:val="28"/>
          <w:szCs w:val="28"/>
        </w:rPr>
        <w:t>Narvas elektrostacijās</w:t>
      </w:r>
      <w:r w:rsidR="008430D1" w:rsidRPr="004D0439">
        <w:rPr>
          <w:sz w:val="28"/>
          <w:szCs w:val="28"/>
        </w:rPr>
        <w:t xml:space="preserve"> un ar nepieciešamību tālāk attīstīt Igaunijas savienojamību ar Skandināvijas elektrotīklu, būvējot Estlink 1 kabeli un Estlink 2 kabeli. Šo projektu pabeigšanai vajadzētu nodrošināt, ka Igaunija atbilst visām tehniskajām prasībām, lai pilnībā atvērtu elektroenerģijas tirgu 2013.gadā.</w:t>
      </w:r>
    </w:p>
    <w:p w:rsidR="008430D1" w:rsidRPr="004D0439" w:rsidRDefault="008430D1" w:rsidP="008430D1">
      <w:pPr>
        <w:pStyle w:val="Default"/>
        <w:jc w:val="both"/>
        <w:rPr>
          <w:rStyle w:val="hps"/>
          <w:rFonts w:ascii="Times New Roman" w:hAnsi="Times New Roman" w:cs="Times New Roman"/>
          <w:color w:val="auto"/>
          <w:sz w:val="28"/>
          <w:szCs w:val="28"/>
        </w:rPr>
      </w:pPr>
      <w:r w:rsidRPr="004D0439">
        <w:rPr>
          <w:rStyle w:val="hps"/>
          <w:rFonts w:ascii="Times New Roman" w:hAnsi="Times New Roman" w:cs="Times New Roman"/>
          <w:color w:val="auto"/>
          <w:sz w:val="28"/>
          <w:szCs w:val="28"/>
        </w:rPr>
        <w:t xml:space="preserve"> </w:t>
      </w:r>
    </w:p>
    <w:p w:rsidR="0037127B" w:rsidRPr="004D0439" w:rsidRDefault="004D0439" w:rsidP="008430D1">
      <w:pPr>
        <w:pStyle w:val="Default"/>
        <w:jc w:val="both"/>
        <w:rPr>
          <w:rStyle w:val="hps"/>
          <w:rFonts w:ascii="Times New Roman" w:hAnsi="Times New Roman" w:cs="Times New Roman"/>
          <w:color w:val="auto"/>
          <w:sz w:val="28"/>
          <w:szCs w:val="28"/>
        </w:rPr>
      </w:pPr>
      <w:r w:rsidRPr="004D0439">
        <w:rPr>
          <w:rFonts w:ascii="Times New Roman" w:hAnsi="Times New Roman" w:cs="Times New Roman"/>
          <w:color w:val="auto"/>
          <w:sz w:val="28"/>
          <w:szCs w:val="28"/>
        </w:rPr>
        <w:t>Elektroenerģijas tirgus liberalizācijas galvenie principi un nosacījumi ir iestrādāti 2004.gadā pieņemtajā Elektroenerģijas tirgus likumā, kas līdz šim ir  būtiski grozīts.</w:t>
      </w:r>
      <w:r w:rsidRPr="004D0439">
        <w:rPr>
          <w:rStyle w:val="hps"/>
          <w:rFonts w:ascii="Times New Roman" w:hAnsi="Times New Roman" w:cs="Times New Roman"/>
          <w:color w:val="auto"/>
          <w:sz w:val="28"/>
          <w:szCs w:val="28"/>
        </w:rPr>
        <w:t xml:space="preserve"> Igaunijā</w:t>
      </w:r>
      <w:r w:rsidR="00CD6E2F" w:rsidRPr="004D0439">
        <w:rPr>
          <w:rStyle w:val="hps"/>
          <w:rFonts w:ascii="Times New Roman" w:hAnsi="Times New Roman" w:cs="Times New Roman"/>
          <w:color w:val="auto"/>
          <w:sz w:val="28"/>
          <w:szCs w:val="28"/>
        </w:rPr>
        <w:t xml:space="preserve"> </w:t>
      </w:r>
      <w:r w:rsidR="0037127B" w:rsidRPr="004D0439">
        <w:rPr>
          <w:rStyle w:val="hps"/>
          <w:rFonts w:ascii="Times New Roman" w:hAnsi="Times New Roman" w:cs="Times New Roman"/>
          <w:color w:val="auto"/>
          <w:sz w:val="28"/>
          <w:szCs w:val="28"/>
        </w:rPr>
        <w:t xml:space="preserve">līdz </w:t>
      </w:r>
      <w:r w:rsidR="00CD6E2F" w:rsidRPr="004D0439">
        <w:rPr>
          <w:rStyle w:val="hps"/>
          <w:rFonts w:ascii="Times New Roman" w:hAnsi="Times New Roman" w:cs="Times New Roman"/>
          <w:color w:val="auto"/>
          <w:sz w:val="28"/>
          <w:szCs w:val="28"/>
        </w:rPr>
        <w:t>2009.gadam tiem patērētājiem kuru elektroenerģijas patēriņš ir lielāks par 40GW/h gadā bija tiesības elektroenerģiju pirkt tirgū</w:t>
      </w:r>
      <w:r w:rsidR="0037127B" w:rsidRPr="004D0439">
        <w:rPr>
          <w:rStyle w:val="hps"/>
          <w:rFonts w:ascii="Times New Roman" w:hAnsi="Times New Roman" w:cs="Times New Roman"/>
          <w:color w:val="auto"/>
          <w:sz w:val="28"/>
          <w:szCs w:val="28"/>
        </w:rPr>
        <w:t xml:space="preserve"> un to daļa sastādīja 12 % no kopējā patēriņa</w:t>
      </w:r>
      <w:r w:rsidR="00CD6E2F" w:rsidRPr="004D0439">
        <w:rPr>
          <w:rStyle w:val="hps"/>
          <w:rFonts w:ascii="Times New Roman" w:hAnsi="Times New Roman" w:cs="Times New Roman"/>
          <w:color w:val="auto"/>
          <w:sz w:val="28"/>
          <w:szCs w:val="28"/>
        </w:rPr>
        <w:t>.</w:t>
      </w:r>
      <w:r w:rsidR="0037127B" w:rsidRPr="004D0439">
        <w:rPr>
          <w:rStyle w:val="hps"/>
          <w:rFonts w:ascii="Times New Roman" w:hAnsi="Times New Roman" w:cs="Times New Roman"/>
          <w:color w:val="auto"/>
          <w:sz w:val="28"/>
          <w:szCs w:val="28"/>
        </w:rPr>
        <w:t xml:space="preserve"> 2009.gadā tika mainīti kritēriji un pēc jaunajiem nosacījumiem patērētājiem ar 2GWh patēriņu gada bija tiesības pirkt elektroenerģiju tirgū (35%, no kopējā patēriņa). Tomēr  tika pēc 2010.gada 1.aprīļa var uzskatīt, ka Igaunijas elektroenerģijas tirgus tiek liberalizēts, jo tiek atcelti elektroenerģijas tarifi saistītajiem lietotājiem (lietotāji ar patēriņu 2GW/h gadā un lielāku) un atvērtā tirgus daļa no kopējā patēriņā </w:t>
      </w:r>
      <w:r w:rsidR="00096922">
        <w:rPr>
          <w:rStyle w:val="hps"/>
          <w:rFonts w:ascii="Times New Roman" w:hAnsi="Times New Roman" w:cs="Times New Roman"/>
          <w:color w:val="auto"/>
          <w:sz w:val="28"/>
          <w:szCs w:val="28"/>
        </w:rPr>
        <w:t xml:space="preserve">sastādīja </w:t>
      </w:r>
      <w:r w:rsidR="0037127B" w:rsidRPr="004D0439">
        <w:rPr>
          <w:rStyle w:val="hps"/>
          <w:rFonts w:ascii="Times New Roman" w:hAnsi="Times New Roman" w:cs="Times New Roman"/>
          <w:color w:val="auto"/>
          <w:sz w:val="28"/>
          <w:szCs w:val="28"/>
        </w:rPr>
        <w:t>35 %. Pārējiem lietotājiem, kuri nav saistītie lietotāji nav tiesību izvēlēties elektroenerģijas piegādātāju un tie elektroenerģiju saņem pa regulētiem tarifiem.</w:t>
      </w:r>
      <w:r w:rsidR="001D2EE6">
        <w:rPr>
          <w:rStyle w:val="hps"/>
          <w:rFonts w:ascii="Times New Roman" w:hAnsi="Times New Roman" w:cs="Times New Roman"/>
          <w:color w:val="auto"/>
          <w:sz w:val="28"/>
          <w:szCs w:val="28"/>
        </w:rPr>
        <w:t xml:space="preserve"> Ņemot vērā tā brīža zemās regulētās cenas, Igaunijas lielie patērgātāji, kuriem pēc tarifu atcelšanas bija elektroenerģija jāpērk tirgū, saskārās ar apjomīgu elektroenerģijas cenu pieaugumu, aptuveni 40 % apmērā.</w:t>
      </w:r>
      <w:r w:rsidR="00096922">
        <w:rPr>
          <w:rStyle w:val="hps"/>
          <w:rFonts w:ascii="Times New Roman" w:hAnsi="Times New Roman" w:cs="Times New Roman"/>
          <w:color w:val="auto"/>
          <w:sz w:val="28"/>
          <w:szCs w:val="28"/>
        </w:rPr>
        <w:t xml:space="preserve"> </w:t>
      </w:r>
    </w:p>
    <w:p w:rsidR="0037127B" w:rsidRDefault="0037127B" w:rsidP="00C819F5">
      <w:pPr>
        <w:pStyle w:val="Default"/>
        <w:jc w:val="both"/>
        <w:rPr>
          <w:rStyle w:val="hps"/>
          <w:rFonts w:ascii="Times New Roman" w:hAnsi="Times New Roman" w:cs="Times New Roman"/>
          <w:color w:val="auto"/>
          <w:sz w:val="28"/>
          <w:szCs w:val="28"/>
        </w:rPr>
      </w:pPr>
    </w:p>
    <w:p w:rsidR="00733A18" w:rsidRDefault="00096922" w:rsidP="00C819F5">
      <w:pPr>
        <w:pStyle w:val="Default"/>
        <w:jc w:val="both"/>
        <w:rPr>
          <w:rStyle w:val="hps"/>
          <w:rFonts w:ascii="Times New Roman" w:hAnsi="Times New Roman" w:cs="Times New Roman"/>
          <w:color w:val="auto"/>
          <w:sz w:val="28"/>
          <w:szCs w:val="28"/>
        </w:rPr>
      </w:pPr>
      <w:r>
        <w:rPr>
          <w:rStyle w:val="hps"/>
          <w:rFonts w:ascii="Times New Roman" w:hAnsi="Times New Roman" w:cs="Times New Roman"/>
          <w:color w:val="auto"/>
          <w:sz w:val="28"/>
          <w:szCs w:val="28"/>
        </w:rPr>
        <w:t>Sākot ar 2013.gada 1.janvāri Igaunijas elektroenerģijas tirgus</w:t>
      </w:r>
      <w:r w:rsidR="00E239CB">
        <w:rPr>
          <w:rStyle w:val="hps"/>
          <w:rFonts w:ascii="Times New Roman" w:hAnsi="Times New Roman" w:cs="Times New Roman"/>
          <w:color w:val="auto"/>
          <w:sz w:val="28"/>
          <w:szCs w:val="28"/>
        </w:rPr>
        <w:t xml:space="preserve"> </w:t>
      </w:r>
      <w:r>
        <w:rPr>
          <w:rStyle w:val="hps"/>
          <w:rFonts w:ascii="Times New Roman" w:hAnsi="Times New Roman" w:cs="Times New Roman"/>
          <w:color w:val="auto"/>
          <w:sz w:val="28"/>
          <w:szCs w:val="28"/>
        </w:rPr>
        <w:t>tiks pilnībā atvērts un pienākums pirkt elektroenerģiju brīvajā</w:t>
      </w:r>
      <w:r w:rsidR="00E239CB">
        <w:rPr>
          <w:rStyle w:val="hps"/>
          <w:rFonts w:ascii="Times New Roman" w:hAnsi="Times New Roman" w:cs="Times New Roman"/>
          <w:color w:val="auto"/>
          <w:sz w:val="28"/>
          <w:szCs w:val="28"/>
        </w:rPr>
        <w:t xml:space="preserve"> tirgū </w:t>
      </w:r>
      <w:r>
        <w:rPr>
          <w:rStyle w:val="hps"/>
          <w:rFonts w:ascii="Times New Roman" w:hAnsi="Times New Roman" w:cs="Times New Roman"/>
          <w:color w:val="auto"/>
          <w:sz w:val="28"/>
          <w:szCs w:val="28"/>
        </w:rPr>
        <w:t>būs</w:t>
      </w:r>
      <w:r w:rsidR="00E239CB">
        <w:rPr>
          <w:rStyle w:val="hps"/>
          <w:rFonts w:ascii="Times New Roman" w:hAnsi="Times New Roman" w:cs="Times New Roman"/>
          <w:color w:val="auto"/>
          <w:sz w:val="28"/>
          <w:szCs w:val="28"/>
        </w:rPr>
        <w:t xml:space="preserve"> visi</w:t>
      </w:r>
      <w:r>
        <w:rPr>
          <w:rStyle w:val="hps"/>
          <w:rFonts w:ascii="Times New Roman" w:hAnsi="Times New Roman" w:cs="Times New Roman"/>
          <w:color w:val="auto"/>
          <w:sz w:val="28"/>
          <w:szCs w:val="28"/>
        </w:rPr>
        <w:t>em</w:t>
      </w:r>
      <w:r w:rsidR="00E239CB">
        <w:rPr>
          <w:rStyle w:val="hps"/>
          <w:rFonts w:ascii="Times New Roman" w:hAnsi="Times New Roman" w:cs="Times New Roman"/>
          <w:color w:val="auto"/>
          <w:sz w:val="28"/>
          <w:szCs w:val="28"/>
        </w:rPr>
        <w:t xml:space="preserve"> elektroenerģijas lietotāji</w:t>
      </w:r>
      <w:r>
        <w:rPr>
          <w:rStyle w:val="hps"/>
          <w:rFonts w:ascii="Times New Roman" w:hAnsi="Times New Roman" w:cs="Times New Roman"/>
          <w:color w:val="auto"/>
          <w:sz w:val="28"/>
          <w:szCs w:val="28"/>
        </w:rPr>
        <w:t>em, ieskaitot mājsaimniecīb</w:t>
      </w:r>
      <w:r w:rsidR="00C964DD">
        <w:rPr>
          <w:rStyle w:val="hps"/>
          <w:rFonts w:ascii="Times New Roman" w:hAnsi="Times New Roman" w:cs="Times New Roman"/>
          <w:color w:val="auto"/>
          <w:sz w:val="28"/>
          <w:szCs w:val="28"/>
        </w:rPr>
        <w:t>as</w:t>
      </w:r>
      <w:r>
        <w:rPr>
          <w:rStyle w:val="hps"/>
          <w:rFonts w:ascii="Times New Roman" w:hAnsi="Times New Roman" w:cs="Times New Roman"/>
          <w:color w:val="auto"/>
          <w:sz w:val="28"/>
          <w:szCs w:val="28"/>
        </w:rPr>
        <w:t>.</w:t>
      </w:r>
      <w:r w:rsidR="00E239CB">
        <w:rPr>
          <w:rStyle w:val="hps"/>
          <w:rFonts w:ascii="Times New Roman" w:hAnsi="Times New Roman" w:cs="Times New Roman"/>
          <w:color w:val="auto"/>
          <w:sz w:val="28"/>
          <w:szCs w:val="28"/>
        </w:rPr>
        <w:t xml:space="preserve"> </w:t>
      </w:r>
      <w:r w:rsidR="00C964DD">
        <w:rPr>
          <w:rStyle w:val="hps"/>
          <w:rFonts w:ascii="Times New Roman" w:hAnsi="Times New Roman" w:cs="Times New Roman"/>
          <w:color w:val="auto"/>
          <w:sz w:val="28"/>
          <w:szCs w:val="28"/>
        </w:rPr>
        <w:t>Tāpat</w:t>
      </w:r>
      <w:r w:rsidR="00E239CB">
        <w:rPr>
          <w:rStyle w:val="hps"/>
          <w:rFonts w:ascii="Times New Roman" w:hAnsi="Times New Roman" w:cs="Times New Roman"/>
          <w:color w:val="auto"/>
          <w:sz w:val="28"/>
          <w:szCs w:val="28"/>
        </w:rPr>
        <w:t xml:space="preserve"> Igaunijā ir paredzēta mazo lietotāju (</w:t>
      </w:r>
      <w:r w:rsidR="005C232D" w:rsidRPr="005C232D">
        <w:rPr>
          <w:rFonts w:ascii="Times New Roman" w:hAnsi="Times New Roman"/>
          <w:sz w:val="28"/>
          <w:szCs w:val="28"/>
        </w:rPr>
        <w:t xml:space="preserve">ievadaizsardzības aparāta nominālā strāva </w:t>
      </w:r>
      <w:r w:rsidR="0081013D" w:rsidRPr="005C232D">
        <w:rPr>
          <w:rStyle w:val="hps"/>
          <w:rFonts w:ascii="Times New Roman" w:hAnsi="Times New Roman" w:cs="Times New Roman"/>
          <w:color w:val="auto"/>
          <w:sz w:val="28"/>
          <w:szCs w:val="28"/>
        </w:rPr>
        <w:t xml:space="preserve">nepārsniedz 63A) aizsardzība, nodrošinot, ka tie nepaliek bez elektroenerģijas gadījumā, ja līdz 2013.gada 1.janvārim nepagūst noslēgt līgumu ar kādu elektroenerģijas piegādātāju. </w:t>
      </w:r>
      <w:r w:rsidR="009343A3">
        <w:rPr>
          <w:rStyle w:val="hps"/>
          <w:rFonts w:ascii="Times New Roman" w:hAnsi="Times New Roman" w:cs="Times New Roman"/>
          <w:color w:val="auto"/>
          <w:sz w:val="28"/>
          <w:szCs w:val="28"/>
        </w:rPr>
        <w:t xml:space="preserve"> </w:t>
      </w:r>
    </w:p>
    <w:p w:rsidR="00733A18" w:rsidRDefault="00733A18" w:rsidP="00C819F5">
      <w:pPr>
        <w:pStyle w:val="Default"/>
        <w:jc w:val="both"/>
        <w:rPr>
          <w:rStyle w:val="hps"/>
          <w:rFonts w:ascii="Times New Roman" w:hAnsi="Times New Roman" w:cs="Times New Roman"/>
          <w:color w:val="auto"/>
          <w:sz w:val="28"/>
          <w:szCs w:val="28"/>
        </w:rPr>
      </w:pPr>
    </w:p>
    <w:p w:rsidR="00694BA7" w:rsidRDefault="009343A3" w:rsidP="00C819F5">
      <w:pPr>
        <w:pStyle w:val="Default"/>
        <w:jc w:val="both"/>
        <w:rPr>
          <w:rStyle w:val="hps"/>
          <w:rFonts w:ascii="Times New Roman" w:hAnsi="Times New Roman" w:cs="Times New Roman"/>
          <w:color w:val="auto"/>
          <w:sz w:val="28"/>
          <w:szCs w:val="28"/>
        </w:rPr>
      </w:pPr>
      <w:r>
        <w:rPr>
          <w:rStyle w:val="hps"/>
          <w:rFonts w:ascii="Times New Roman" w:hAnsi="Times New Roman" w:cs="Times New Roman"/>
          <w:color w:val="auto"/>
          <w:sz w:val="28"/>
          <w:szCs w:val="28"/>
        </w:rPr>
        <w:t>Universālais pakalpojum</w:t>
      </w:r>
      <w:r w:rsidR="007602C5">
        <w:rPr>
          <w:rStyle w:val="hps"/>
          <w:rFonts w:ascii="Times New Roman" w:hAnsi="Times New Roman" w:cs="Times New Roman"/>
          <w:color w:val="auto"/>
          <w:sz w:val="28"/>
          <w:szCs w:val="28"/>
        </w:rPr>
        <w:t xml:space="preserve">s </w:t>
      </w:r>
      <w:r>
        <w:rPr>
          <w:rStyle w:val="hps"/>
          <w:rFonts w:ascii="Times New Roman" w:hAnsi="Times New Roman" w:cs="Times New Roman"/>
          <w:color w:val="auto"/>
          <w:sz w:val="28"/>
          <w:szCs w:val="28"/>
        </w:rPr>
        <w:t>paredz, ka tie mājsaimniecības lietotāji, kuriem līdz 2013.gada 1.janvārim nebūs noslēgts elektroenerģijas tirdzniecības līgums ar kādu no tirgotājiem, elektroenerģiju saņems universāla pakalpojuma ietvaros. Universālo pakalpojumu nodrošinās</w:t>
      </w:r>
      <w:r w:rsidR="006C66F7">
        <w:rPr>
          <w:rStyle w:val="hps"/>
          <w:rFonts w:ascii="Times New Roman" w:hAnsi="Times New Roman" w:cs="Times New Roman"/>
          <w:color w:val="auto"/>
          <w:sz w:val="28"/>
          <w:szCs w:val="28"/>
        </w:rPr>
        <w:t xml:space="preserve"> tas tīkla operators, pie kura sistēmas lietotājs ir pieslēgts. Mājsaimniecības universāla pakalpojuma ietvaros par elektroenerģiju norēķināsies pēc ikmēneša biržas cenu, tai pievienojot sapratīgu uzcenojumu. Visi tie lietotāji, kas nav mājsaimniecības un kuriem nebūs spēkā esoša tirdzniecības līguma</w:t>
      </w:r>
      <w:r w:rsidR="00B11A57">
        <w:rPr>
          <w:rStyle w:val="hps"/>
          <w:rFonts w:ascii="Times New Roman" w:hAnsi="Times New Roman" w:cs="Times New Roman"/>
          <w:color w:val="auto"/>
          <w:sz w:val="28"/>
          <w:szCs w:val="28"/>
        </w:rPr>
        <w:t>,</w:t>
      </w:r>
      <w:r w:rsidR="006C66F7">
        <w:rPr>
          <w:rStyle w:val="hps"/>
          <w:rFonts w:ascii="Times New Roman" w:hAnsi="Times New Roman" w:cs="Times New Roman"/>
          <w:color w:val="auto"/>
          <w:sz w:val="28"/>
          <w:szCs w:val="28"/>
        </w:rPr>
        <w:t xml:space="preserve"> elektroenerģiju pirks par balansēšanas cenu.</w:t>
      </w:r>
    </w:p>
    <w:p w:rsidR="00AD6AA5" w:rsidRDefault="00AD6AA5" w:rsidP="00C819F5">
      <w:pPr>
        <w:pStyle w:val="Default"/>
        <w:jc w:val="both"/>
        <w:rPr>
          <w:rStyle w:val="hps"/>
          <w:rFonts w:ascii="Times New Roman" w:hAnsi="Times New Roman" w:cs="Times New Roman"/>
          <w:color w:val="auto"/>
          <w:sz w:val="28"/>
          <w:szCs w:val="28"/>
        </w:rPr>
      </w:pPr>
    </w:p>
    <w:p w:rsidR="0081013D" w:rsidRDefault="00C964DD" w:rsidP="00C819F5">
      <w:pPr>
        <w:pStyle w:val="Default"/>
        <w:jc w:val="both"/>
        <w:rPr>
          <w:rStyle w:val="hps"/>
          <w:rFonts w:ascii="Times New Roman" w:hAnsi="Times New Roman" w:cs="Times New Roman"/>
          <w:color w:val="auto"/>
          <w:sz w:val="28"/>
          <w:szCs w:val="28"/>
        </w:rPr>
      </w:pPr>
      <w:r>
        <w:rPr>
          <w:rStyle w:val="hps"/>
          <w:rFonts w:ascii="Times New Roman" w:hAnsi="Times New Roman" w:cs="Times New Roman"/>
          <w:color w:val="auto"/>
          <w:sz w:val="28"/>
          <w:szCs w:val="28"/>
        </w:rPr>
        <w:t xml:space="preserve">Lietuva </w:t>
      </w:r>
      <w:r w:rsidR="00E92940">
        <w:rPr>
          <w:rStyle w:val="hps"/>
          <w:rFonts w:ascii="Times New Roman" w:hAnsi="Times New Roman" w:cs="Times New Roman"/>
          <w:color w:val="auto"/>
          <w:sz w:val="28"/>
          <w:szCs w:val="28"/>
        </w:rPr>
        <w:t xml:space="preserve">savu </w:t>
      </w:r>
      <w:r w:rsidR="002C413D">
        <w:rPr>
          <w:rStyle w:val="hps"/>
          <w:rFonts w:ascii="Times New Roman" w:hAnsi="Times New Roman" w:cs="Times New Roman"/>
          <w:color w:val="auto"/>
          <w:sz w:val="28"/>
          <w:szCs w:val="28"/>
        </w:rPr>
        <w:t>elektroenerģijas tirgu</w:t>
      </w:r>
      <w:r>
        <w:rPr>
          <w:rStyle w:val="hps"/>
          <w:rFonts w:ascii="Times New Roman" w:hAnsi="Times New Roman" w:cs="Times New Roman"/>
          <w:color w:val="auto"/>
          <w:sz w:val="28"/>
          <w:szCs w:val="28"/>
        </w:rPr>
        <w:t xml:space="preserve"> </w:t>
      </w:r>
      <w:r w:rsidR="00E92940">
        <w:rPr>
          <w:rStyle w:val="hps"/>
          <w:rFonts w:ascii="Times New Roman" w:hAnsi="Times New Roman" w:cs="Times New Roman"/>
          <w:color w:val="auto"/>
          <w:sz w:val="28"/>
          <w:szCs w:val="28"/>
        </w:rPr>
        <w:t xml:space="preserve">atvēra 2010.gadā, nosakot, ka </w:t>
      </w:r>
      <w:r w:rsidR="002C413D">
        <w:rPr>
          <w:rStyle w:val="hps"/>
          <w:rFonts w:ascii="Times New Roman" w:hAnsi="Times New Roman" w:cs="Times New Roman"/>
          <w:color w:val="auto"/>
          <w:sz w:val="28"/>
          <w:szCs w:val="28"/>
        </w:rPr>
        <w:t>lietotājiem</w:t>
      </w:r>
      <w:r w:rsidR="00E92940">
        <w:rPr>
          <w:rStyle w:val="hps"/>
          <w:rFonts w:ascii="Times New Roman" w:hAnsi="Times New Roman" w:cs="Times New Roman"/>
          <w:color w:val="auto"/>
          <w:sz w:val="28"/>
          <w:szCs w:val="28"/>
        </w:rPr>
        <w:t>, kuru atļautā maksi</w:t>
      </w:r>
      <w:r w:rsidR="00A87852">
        <w:rPr>
          <w:rStyle w:val="hps"/>
          <w:rFonts w:ascii="Times New Roman" w:hAnsi="Times New Roman" w:cs="Times New Roman"/>
          <w:color w:val="auto"/>
          <w:sz w:val="28"/>
          <w:szCs w:val="28"/>
        </w:rPr>
        <w:t>mālā slodze ir lielāka par 400kW</w:t>
      </w:r>
      <w:r w:rsidR="002C413D">
        <w:rPr>
          <w:rStyle w:val="hps"/>
          <w:rFonts w:ascii="Times New Roman" w:hAnsi="Times New Roman" w:cs="Times New Roman"/>
          <w:color w:val="auto"/>
          <w:sz w:val="28"/>
          <w:szCs w:val="28"/>
        </w:rPr>
        <w:t xml:space="preserve"> ir </w:t>
      </w:r>
      <w:r w:rsidR="00E92940">
        <w:rPr>
          <w:rStyle w:val="hps"/>
          <w:rFonts w:ascii="Times New Roman" w:hAnsi="Times New Roman" w:cs="Times New Roman"/>
          <w:color w:val="auto"/>
          <w:sz w:val="28"/>
          <w:szCs w:val="28"/>
        </w:rPr>
        <w:t xml:space="preserve">pienākums pirkt elektroenerģiju </w:t>
      </w:r>
      <w:r w:rsidR="002C413D">
        <w:rPr>
          <w:rStyle w:val="hps"/>
          <w:rFonts w:ascii="Times New Roman" w:hAnsi="Times New Roman" w:cs="Times New Roman"/>
          <w:color w:val="auto"/>
          <w:sz w:val="28"/>
          <w:szCs w:val="28"/>
        </w:rPr>
        <w:t>atvērtajā tirgū, pie šādiem nosacījumiem brīvā tirgus daļa</w:t>
      </w:r>
      <w:r w:rsidR="00E26407">
        <w:rPr>
          <w:rStyle w:val="hps"/>
          <w:rFonts w:ascii="Times New Roman" w:hAnsi="Times New Roman" w:cs="Times New Roman"/>
          <w:color w:val="auto"/>
          <w:sz w:val="28"/>
          <w:szCs w:val="28"/>
        </w:rPr>
        <w:t xml:space="preserve"> bija 35% no kopējā patēriņa. Lietuvā, gan 2011.gadā, gan 2012.gadā šie kritēriji tika pakāpeniski samazināti un šobrīd Lietuvā elektroenerģija pa tirgus cenu ir jāpērk </w:t>
      </w:r>
      <w:r w:rsidR="00E26407" w:rsidRPr="00325B88">
        <w:rPr>
          <w:rStyle w:val="hps"/>
          <w:rFonts w:ascii="Times New Roman" w:hAnsi="Times New Roman" w:cs="Times New Roman"/>
          <w:color w:val="auto"/>
          <w:sz w:val="28"/>
          <w:szCs w:val="28"/>
        </w:rPr>
        <w:lastRenderedPageBreak/>
        <w:t>lietotājiem ar atļauto maks</w:t>
      </w:r>
      <w:r w:rsidR="00A87852">
        <w:rPr>
          <w:rStyle w:val="hps"/>
          <w:rFonts w:ascii="Times New Roman" w:hAnsi="Times New Roman" w:cs="Times New Roman"/>
          <w:color w:val="auto"/>
          <w:sz w:val="28"/>
          <w:szCs w:val="28"/>
        </w:rPr>
        <w:t>imālo slodzi ir lielāka par 30kW</w:t>
      </w:r>
      <w:r w:rsidR="00E26407" w:rsidRPr="00325B88">
        <w:rPr>
          <w:rStyle w:val="hps"/>
          <w:rFonts w:ascii="Times New Roman" w:hAnsi="Times New Roman" w:cs="Times New Roman"/>
          <w:color w:val="auto"/>
          <w:sz w:val="28"/>
          <w:szCs w:val="28"/>
        </w:rPr>
        <w:t xml:space="preserve"> un tas ir 55% no kopējā tirgus.</w:t>
      </w:r>
      <w:r w:rsidR="00325B88" w:rsidRPr="00325B88">
        <w:rPr>
          <w:rFonts w:ascii="Times New Roman" w:eastAsia="Arial Unicode MS" w:hAnsi="Times New Roman" w:cs="Times New Roman"/>
          <w:color w:val="auto"/>
          <w:sz w:val="28"/>
          <w:szCs w:val="28"/>
        </w:rPr>
        <w:t xml:space="preserve"> Ņemot vērā, ka Lietuvā līdz tam pastāvēja viszemākās regulētās cenas, 2010. gadā, atvēroties 35% tirgum, lielākie patērētāji piedzīvoja gandrīz divkāršu elektroenerģijas cenas pieaugumu.</w:t>
      </w:r>
    </w:p>
    <w:p w:rsidR="00E26407" w:rsidRDefault="00E26407" w:rsidP="00C819F5">
      <w:pPr>
        <w:pStyle w:val="Default"/>
        <w:jc w:val="both"/>
        <w:rPr>
          <w:rStyle w:val="hps"/>
          <w:rFonts w:ascii="Times New Roman" w:hAnsi="Times New Roman" w:cs="Times New Roman"/>
          <w:color w:val="auto"/>
          <w:sz w:val="28"/>
          <w:szCs w:val="28"/>
        </w:rPr>
      </w:pPr>
    </w:p>
    <w:p w:rsidR="00E26407" w:rsidRDefault="00E26407" w:rsidP="00C819F5">
      <w:pPr>
        <w:pStyle w:val="Default"/>
        <w:jc w:val="both"/>
        <w:rPr>
          <w:rStyle w:val="hps"/>
          <w:rFonts w:ascii="Times New Roman" w:hAnsi="Times New Roman" w:cs="Times New Roman"/>
          <w:color w:val="auto"/>
          <w:sz w:val="28"/>
          <w:szCs w:val="28"/>
        </w:rPr>
      </w:pPr>
      <w:r>
        <w:rPr>
          <w:rStyle w:val="hps"/>
          <w:rFonts w:ascii="Times New Roman" w:hAnsi="Times New Roman" w:cs="Times New Roman"/>
          <w:color w:val="auto"/>
          <w:sz w:val="28"/>
          <w:szCs w:val="28"/>
        </w:rPr>
        <w:t>No 2013.gada 1.janvāra, Lietuvā elektroenerģijas pa tirgus cenu būs, jāpērk visiem lietotājiem izņemot mājsaimniecībām, kuras līdz 2015.gadam būs tiesības saņemt elektroenerģiju par regulētiem tarifiem</w:t>
      </w:r>
      <w:r w:rsidR="00325B88">
        <w:rPr>
          <w:rStyle w:val="hps"/>
          <w:rFonts w:ascii="Times New Roman" w:hAnsi="Times New Roman" w:cs="Times New Roman"/>
          <w:color w:val="auto"/>
          <w:sz w:val="28"/>
          <w:szCs w:val="28"/>
        </w:rPr>
        <w:t>.</w:t>
      </w:r>
    </w:p>
    <w:p w:rsidR="006F02AC" w:rsidRDefault="006F02AC" w:rsidP="00C819F5">
      <w:pPr>
        <w:pStyle w:val="Default"/>
        <w:jc w:val="both"/>
        <w:rPr>
          <w:rStyle w:val="hps"/>
          <w:rFonts w:ascii="Times New Roman" w:hAnsi="Times New Roman" w:cs="Times New Roman"/>
          <w:color w:val="auto"/>
          <w:sz w:val="28"/>
          <w:szCs w:val="28"/>
        </w:rPr>
      </w:pPr>
    </w:p>
    <w:p w:rsidR="00AD6AA5" w:rsidRPr="005C232D" w:rsidRDefault="00AD6AA5" w:rsidP="00C819F5">
      <w:pPr>
        <w:pStyle w:val="Default"/>
        <w:jc w:val="both"/>
        <w:rPr>
          <w:rStyle w:val="hps"/>
          <w:rFonts w:ascii="Times New Roman" w:hAnsi="Times New Roman" w:cs="Times New Roman"/>
          <w:color w:val="auto"/>
          <w:sz w:val="28"/>
          <w:szCs w:val="28"/>
        </w:rPr>
      </w:pPr>
    </w:p>
    <w:p w:rsidR="00B27BE7" w:rsidRPr="005C232D" w:rsidRDefault="0039262B" w:rsidP="00F81D3A">
      <w:pPr>
        <w:pStyle w:val="Default"/>
        <w:numPr>
          <w:ilvl w:val="0"/>
          <w:numId w:val="6"/>
        </w:numPr>
        <w:jc w:val="center"/>
        <w:rPr>
          <w:rFonts w:ascii="Times New Roman" w:hAnsi="Times New Roman" w:cs="Times New Roman"/>
          <w:b/>
          <w:color w:val="auto"/>
          <w:sz w:val="28"/>
          <w:szCs w:val="28"/>
        </w:rPr>
      </w:pPr>
      <w:r>
        <w:rPr>
          <w:rFonts w:ascii="Times New Roman" w:hAnsi="Times New Roman" w:cs="Times New Roman"/>
          <w:b/>
          <w:color w:val="auto"/>
          <w:sz w:val="28"/>
          <w:szCs w:val="28"/>
        </w:rPr>
        <w:t>Latvijas elektroenerģijas</w:t>
      </w:r>
      <w:r w:rsidR="00C964DD">
        <w:rPr>
          <w:rFonts w:ascii="Times New Roman" w:hAnsi="Times New Roman" w:cs="Times New Roman"/>
          <w:b/>
          <w:color w:val="auto"/>
          <w:sz w:val="28"/>
          <w:szCs w:val="28"/>
        </w:rPr>
        <w:t xml:space="preserve"> </w:t>
      </w:r>
      <w:r>
        <w:rPr>
          <w:rFonts w:ascii="Times New Roman" w:hAnsi="Times New Roman" w:cs="Times New Roman"/>
          <w:b/>
          <w:color w:val="auto"/>
          <w:sz w:val="28"/>
          <w:szCs w:val="28"/>
        </w:rPr>
        <w:t>t</w:t>
      </w:r>
      <w:r w:rsidR="00884A8F" w:rsidRPr="005C232D">
        <w:rPr>
          <w:rFonts w:ascii="Times New Roman" w:hAnsi="Times New Roman" w:cs="Times New Roman"/>
          <w:b/>
          <w:color w:val="auto"/>
          <w:sz w:val="28"/>
          <w:szCs w:val="28"/>
        </w:rPr>
        <w:t xml:space="preserve">irgus </w:t>
      </w:r>
      <w:r>
        <w:rPr>
          <w:rFonts w:ascii="Times New Roman" w:hAnsi="Times New Roman" w:cs="Times New Roman"/>
          <w:b/>
          <w:color w:val="auto"/>
          <w:sz w:val="28"/>
          <w:szCs w:val="28"/>
        </w:rPr>
        <w:t>attīstība</w:t>
      </w:r>
    </w:p>
    <w:p w:rsidR="00884A8F" w:rsidRPr="005C232D" w:rsidRDefault="00884A8F" w:rsidP="00D60F9B">
      <w:pPr>
        <w:pStyle w:val="Default"/>
        <w:jc w:val="center"/>
        <w:rPr>
          <w:rFonts w:ascii="Times New Roman" w:hAnsi="Times New Roman" w:cs="Times New Roman"/>
          <w:b/>
          <w:color w:val="333333"/>
          <w:sz w:val="28"/>
          <w:szCs w:val="28"/>
        </w:rPr>
      </w:pPr>
    </w:p>
    <w:p w:rsidR="003F7088" w:rsidRPr="005C232D" w:rsidRDefault="008C0493" w:rsidP="008C0493">
      <w:pPr>
        <w:spacing w:after="0" w:line="240" w:lineRule="auto"/>
        <w:jc w:val="both"/>
        <w:rPr>
          <w:rFonts w:ascii="Times New Roman" w:hAnsi="Times New Roman"/>
          <w:sz w:val="28"/>
          <w:szCs w:val="28"/>
          <w:lang w:val="lv-LV"/>
        </w:rPr>
      </w:pPr>
      <w:r w:rsidRPr="005C232D">
        <w:rPr>
          <w:rFonts w:ascii="Times New Roman" w:hAnsi="Times New Roman"/>
          <w:sz w:val="28"/>
          <w:szCs w:val="28"/>
          <w:lang w:val="lv-LV"/>
        </w:rPr>
        <w:t>Latvij</w:t>
      </w:r>
      <w:r w:rsidR="001F424B" w:rsidRPr="005C232D">
        <w:rPr>
          <w:rFonts w:ascii="Times New Roman" w:hAnsi="Times New Roman"/>
          <w:sz w:val="28"/>
          <w:szCs w:val="28"/>
          <w:lang w:val="lv-LV"/>
        </w:rPr>
        <w:t>a</w:t>
      </w:r>
      <w:r w:rsidRPr="005C232D">
        <w:rPr>
          <w:rFonts w:ascii="Times New Roman" w:hAnsi="Times New Roman"/>
          <w:sz w:val="28"/>
          <w:szCs w:val="28"/>
          <w:lang w:val="lv-LV"/>
        </w:rPr>
        <w:t xml:space="preserve"> </w:t>
      </w:r>
      <w:r w:rsidR="003F7088" w:rsidRPr="005C232D">
        <w:rPr>
          <w:rFonts w:ascii="Times New Roman" w:hAnsi="Times New Roman"/>
          <w:sz w:val="28"/>
          <w:szCs w:val="28"/>
          <w:lang w:val="lv-LV"/>
        </w:rPr>
        <w:t xml:space="preserve">savu </w:t>
      </w:r>
      <w:r w:rsidRPr="005C232D">
        <w:rPr>
          <w:rFonts w:ascii="Times New Roman" w:hAnsi="Times New Roman"/>
          <w:sz w:val="28"/>
          <w:szCs w:val="28"/>
          <w:lang w:val="lv-LV"/>
        </w:rPr>
        <w:t xml:space="preserve">elektroenerģijas tirgus </w:t>
      </w:r>
      <w:r w:rsidR="003F7088" w:rsidRPr="005C232D">
        <w:rPr>
          <w:rFonts w:ascii="Times New Roman" w:hAnsi="Times New Roman"/>
          <w:sz w:val="28"/>
          <w:szCs w:val="28"/>
          <w:lang w:val="lv-LV"/>
        </w:rPr>
        <w:t>atvēršanas procesu uzsāka</w:t>
      </w:r>
      <w:r w:rsidRPr="005C232D">
        <w:rPr>
          <w:rFonts w:ascii="Times New Roman" w:hAnsi="Times New Roman"/>
          <w:sz w:val="28"/>
          <w:szCs w:val="28"/>
          <w:lang w:val="lv-LV"/>
        </w:rPr>
        <w:t xml:space="preserve"> </w:t>
      </w:r>
      <w:r w:rsidR="005F70FA" w:rsidRPr="005C232D">
        <w:rPr>
          <w:rFonts w:ascii="Times New Roman" w:hAnsi="Times New Roman"/>
          <w:sz w:val="28"/>
          <w:szCs w:val="28"/>
          <w:lang w:val="lv-LV"/>
        </w:rPr>
        <w:t>2007.gada 1.jūlijā</w:t>
      </w:r>
      <w:r w:rsidR="003F7088" w:rsidRPr="005C232D">
        <w:rPr>
          <w:rFonts w:ascii="Times New Roman" w:hAnsi="Times New Roman"/>
          <w:sz w:val="28"/>
          <w:szCs w:val="28"/>
          <w:lang w:val="lv-LV"/>
        </w:rPr>
        <w:t>, kad</w:t>
      </w:r>
      <w:r w:rsidRPr="005C232D">
        <w:rPr>
          <w:rFonts w:ascii="Times New Roman" w:hAnsi="Times New Roman"/>
          <w:sz w:val="28"/>
          <w:szCs w:val="28"/>
          <w:lang w:val="lv-LV"/>
        </w:rPr>
        <w:t xml:space="preserve"> atbilstoši tobrīd spēkā esošās Eiropas Parlamenta un Padomes 2003.gada 26.jūnija direktīvas 2003/54/EK par elektroenerģijas tirgu</w:t>
      </w:r>
      <w:r w:rsidR="005F70FA" w:rsidRPr="005C232D">
        <w:rPr>
          <w:rFonts w:ascii="Times New Roman" w:hAnsi="Times New Roman"/>
          <w:sz w:val="28"/>
          <w:szCs w:val="28"/>
          <w:lang w:val="lv-LV"/>
        </w:rPr>
        <w:t xml:space="preserve">s kopīgiem noteikumiem prasībām, spēkā stājās </w:t>
      </w:r>
      <w:r w:rsidR="00EE3766">
        <w:rPr>
          <w:rFonts w:ascii="Times New Roman" w:hAnsi="Times New Roman"/>
          <w:sz w:val="28"/>
          <w:szCs w:val="28"/>
          <w:lang w:val="lv-LV"/>
        </w:rPr>
        <w:t>grozījumi</w:t>
      </w:r>
      <w:r w:rsidR="005F70FA" w:rsidRPr="005C232D">
        <w:rPr>
          <w:rFonts w:ascii="Times New Roman" w:hAnsi="Times New Roman"/>
          <w:sz w:val="28"/>
          <w:szCs w:val="28"/>
          <w:lang w:val="lv-LV"/>
        </w:rPr>
        <w:t xml:space="preserve"> Elektroenerģijas tirgus likumā</w:t>
      </w:r>
    </w:p>
    <w:p w:rsidR="00065C85" w:rsidRPr="002629E9" w:rsidRDefault="00065C85" w:rsidP="008C0493">
      <w:pPr>
        <w:spacing w:after="0" w:line="240" w:lineRule="auto"/>
        <w:jc w:val="both"/>
        <w:rPr>
          <w:rFonts w:ascii="Times New Roman" w:hAnsi="Times New Roman"/>
          <w:sz w:val="28"/>
          <w:szCs w:val="28"/>
          <w:lang w:val="lv-LV"/>
        </w:rPr>
      </w:pPr>
      <w:r>
        <w:rPr>
          <w:rFonts w:ascii="Times New Roman" w:hAnsi="Times New Roman"/>
          <w:sz w:val="28"/>
          <w:szCs w:val="28"/>
          <w:lang w:val="lv-LV"/>
        </w:rPr>
        <w:t>t</w:t>
      </w:r>
      <w:r w:rsidR="00E239CB">
        <w:rPr>
          <w:rFonts w:ascii="Times New Roman" w:hAnsi="Times New Roman"/>
          <w:sz w:val="28"/>
          <w:szCs w:val="28"/>
          <w:lang w:val="lv-LV"/>
        </w:rPr>
        <w:t xml:space="preserve">irgus atvēršanas mērķis bija radīt iespēju jebkuram elektroenerģijas lietotājam izvēlēties atbilstošāko elektroenerģijas piegādātāju, veicināt elektroenerģijas </w:t>
      </w:r>
      <w:r w:rsidR="00E239CB" w:rsidRPr="002629E9">
        <w:rPr>
          <w:rFonts w:ascii="Times New Roman" w:hAnsi="Times New Roman"/>
          <w:sz w:val="28"/>
          <w:szCs w:val="28"/>
          <w:lang w:val="lv-LV"/>
        </w:rPr>
        <w:t xml:space="preserve">tirdzniecību par ekonomiski pamatotām cenām un rosināt konkurenci elektroenerģijas tirdzniecībā. </w:t>
      </w:r>
    </w:p>
    <w:p w:rsidR="00065C85" w:rsidRPr="002629E9" w:rsidRDefault="00065C85" w:rsidP="008C0493">
      <w:pPr>
        <w:spacing w:after="0" w:line="240" w:lineRule="auto"/>
        <w:jc w:val="both"/>
        <w:rPr>
          <w:rFonts w:ascii="Times New Roman" w:hAnsi="Times New Roman"/>
          <w:sz w:val="28"/>
          <w:szCs w:val="28"/>
          <w:lang w:val="lv-LV"/>
        </w:rPr>
      </w:pPr>
    </w:p>
    <w:p w:rsidR="00065C85" w:rsidRPr="002629E9" w:rsidRDefault="00065C85" w:rsidP="00D769F5">
      <w:pPr>
        <w:spacing w:after="0" w:line="240" w:lineRule="auto"/>
        <w:jc w:val="both"/>
        <w:rPr>
          <w:rFonts w:ascii="Times New Roman" w:hAnsi="Times New Roman"/>
          <w:sz w:val="28"/>
          <w:szCs w:val="28"/>
          <w:lang w:val="lv-LV"/>
        </w:rPr>
      </w:pPr>
      <w:r w:rsidRPr="002629E9">
        <w:rPr>
          <w:rFonts w:ascii="Times New Roman" w:hAnsi="Times New Roman"/>
          <w:sz w:val="28"/>
          <w:szCs w:val="28"/>
          <w:lang w:val="lv-LV"/>
        </w:rPr>
        <w:t>Ar Elektroenerģijas tirgus likuma normām visi elektroenerģijas lietotāji tika i</w:t>
      </w:r>
      <w:r w:rsidR="00D769F5" w:rsidRPr="002629E9">
        <w:rPr>
          <w:rFonts w:ascii="Times New Roman" w:hAnsi="Times New Roman"/>
          <w:sz w:val="28"/>
          <w:szCs w:val="28"/>
          <w:lang w:val="lv-LV"/>
        </w:rPr>
        <w:t>e</w:t>
      </w:r>
      <w:r w:rsidRPr="002629E9">
        <w:rPr>
          <w:rFonts w:ascii="Times New Roman" w:hAnsi="Times New Roman"/>
          <w:sz w:val="28"/>
          <w:szCs w:val="28"/>
          <w:lang w:val="lv-LV"/>
        </w:rPr>
        <w:t>dalīti divās kategorijās: saistītie lietotāji un elektroenerģijas tirgus dalībnieki. Saistītie lietotāji ir tās personas, kuras neizmanto iespēju kļūt pat elektroenerģijas tirgus dalībniekiem un iespēju brīvi izvēlēties elektrības tirgotāju, bet iegādājas elektrību no publiska tirgotāja vai sistēmas operatora par tarifiem, kurus apstiprinājusi Sabiedrisko pakalpojumu regulēšanas komisija</w:t>
      </w:r>
      <w:r w:rsidR="00D769F5" w:rsidRPr="002629E9">
        <w:rPr>
          <w:rFonts w:ascii="Times New Roman" w:hAnsi="Times New Roman"/>
          <w:sz w:val="28"/>
          <w:szCs w:val="28"/>
          <w:lang w:val="lv-LV"/>
        </w:rPr>
        <w:t>, lai arī šiem lietotājiem ir tiesības pirkt elektroenerģiju no elektroenerģijas tirgotājiem par vienošanās (tirgus) cenu. S</w:t>
      </w:r>
      <w:r w:rsidRPr="002629E9">
        <w:rPr>
          <w:rFonts w:ascii="Times New Roman" w:hAnsi="Times New Roman"/>
          <w:sz w:val="28"/>
          <w:szCs w:val="28"/>
          <w:lang w:val="lv-LV"/>
        </w:rPr>
        <w:t>aistītie lietotāji ir tiesīgi uz garantētu noteiktas kvalitātes elektroenerģijas piegādi par cenu, kas var tikt viegli un skaidri salīdzināta un pārs</w:t>
      </w:r>
      <w:r w:rsidR="00D769F5" w:rsidRPr="002629E9">
        <w:rPr>
          <w:rFonts w:ascii="Times New Roman" w:hAnsi="Times New Roman"/>
          <w:sz w:val="28"/>
          <w:szCs w:val="28"/>
          <w:lang w:val="lv-LV"/>
        </w:rPr>
        <w:t xml:space="preserve">katīta, proti, </w:t>
      </w:r>
      <w:r w:rsidRPr="002629E9">
        <w:rPr>
          <w:rFonts w:ascii="Times New Roman" w:hAnsi="Times New Roman"/>
          <w:sz w:val="28"/>
          <w:szCs w:val="28"/>
          <w:lang w:val="lv-LV"/>
        </w:rPr>
        <w:t>ties</w:t>
      </w:r>
      <w:r w:rsidR="00D769F5" w:rsidRPr="002629E9">
        <w:rPr>
          <w:rFonts w:ascii="Times New Roman" w:hAnsi="Times New Roman"/>
          <w:sz w:val="28"/>
          <w:szCs w:val="28"/>
          <w:lang w:val="lv-LV"/>
        </w:rPr>
        <w:t>ības uz universālo pakalpojumu</w:t>
      </w:r>
      <w:r w:rsidRPr="002629E9">
        <w:rPr>
          <w:rFonts w:ascii="Times New Roman" w:hAnsi="Times New Roman"/>
          <w:sz w:val="28"/>
          <w:szCs w:val="28"/>
          <w:lang w:val="lv-LV"/>
        </w:rPr>
        <w:t>. Universāla pakalpojuma sniedzējs ir publisks tirgotājs, kuram ir pienākums piegādāt elektrību visiem saistītajiem lietotājiem.</w:t>
      </w:r>
    </w:p>
    <w:p w:rsidR="00065C85" w:rsidRDefault="00065C85" w:rsidP="008C0493">
      <w:pPr>
        <w:spacing w:after="0" w:line="240" w:lineRule="auto"/>
        <w:jc w:val="both"/>
        <w:rPr>
          <w:rFonts w:ascii="Times New Roman" w:hAnsi="Times New Roman"/>
          <w:sz w:val="28"/>
          <w:szCs w:val="28"/>
          <w:lang w:val="lv-LV"/>
        </w:rPr>
      </w:pPr>
    </w:p>
    <w:p w:rsidR="00D769F5" w:rsidRPr="005C232D" w:rsidRDefault="00D769F5" w:rsidP="00AD6AA5">
      <w:pPr>
        <w:pStyle w:val="naislab"/>
        <w:spacing w:before="0" w:after="0"/>
        <w:jc w:val="both"/>
        <w:rPr>
          <w:bCs/>
          <w:sz w:val="28"/>
          <w:szCs w:val="28"/>
        </w:rPr>
      </w:pPr>
      <w:r>
        <w:rPr>
          <w:bCs/>
          <w:sz w:val="28"/>
          <w:szCs w:val="28"/>
        </w:rPr>
        <w:t>Augstāk minētās direktīvas 3. panta trešajā daļā dalībvalstīm paredzēts pienākums nodrošināt universālo pakalpojumu vismaz mājsaimniecības lietotājiem un, kur uzskata par nepiecieša</w:t>
      </w:r>
      <w:r w:rsidRPr="005C232D">
        <w:rPr>
          <w:bCs/>
          <w:sz w:val="28"/>
          <w:szCs w:val="28"/>
        </w:rPr>
        <w:t>mu, arī mazajiem uzņēmumiem. Universālais pakalpojums šīs normas izpratnē ir tiesības saņemt elektroenerģiju, balstoties uz saprātīgiem nosacījumiem.</w:t>
      </w:r>
      <w:r w:rsidRPr="007602C5">
        <w:rPr>
          <w:sz w:val="28"/>
          <w:szCs w:val="28"/>
        </w:rPr>
        <w:t xml:space="preserve"> </w:t>
      </w:r>
      <w:r>
        <w:rPr>
          <w:sz w:val="28"/>
          <w:szCs w:val="28"/>
        </w:rPr>
        <w:t>Tāpat universālais pakalpojums elektroapgādē bez saprotamas cenas aspektiem sevī ietver arī lietotāja tiesības uz nepārtrauktu enerģijas piegādi noteiktā kvalitātē.</w:t>
      </w:r>
      <w:r w:rsidR="00AD6AA5">
        <w:rPr>
          <w:sz w:val="28"/>
          <w:szCs w:val="28"/>
        </w:rPr>
        <w:t xml:space="preserve"> </w:t>
      </w:r>
      <w:r w:rsidRPr="005C232D">
        <w:rPr>
          <w:bCs/>
          <w:sz w:val="28"/>
          <w:szCs w:val="28"/>
        </w:rPr>
        <w:t xml:space="preserve">Normālos apstākļos šī nosacījuma ievērošanai nav vajadzīga aktīva dalībvalsts rīcība, jo iekšējā enerģijas tirgus būtība ir nodrošināt konkurētspējīgas enerģijas cenas un augstu </w:t>
      </w:r>
      <w:r w:rsidRPr="005C232D">
        <w:rPr>
          <w:bCs/>
          <w:sz w:val="28"/>
          <w:szCs w:val="28"/>
        </w:rPr>
        <w:lastRenderedPageBreak/>
        <w:t xml:space="preserve">pakalpojumu kvalitāti. Tādejādi efektīva tirgus gadījumā valstij obligāti nebūtu jānosaka enerģijas cenu griesti kādai no lietotāju grupām vai jāapstiprina galalietotāju tarifi. </w:t>
      </w:r>
    </w:p>
    <w:p w:rsidR="00065C85" w:rsidRDefault="00065C85" w:rsidP="008C0493">
      <w:pPr>
        <w:spacing w:after="0" w:line="240" w:lineRule="auto"/>
        <w:jc w:val="both"/>
        <w:rPr>
          <w:rFonts w:ascii="Times New Roman" w:hAnsi="Times New Roman"/>
          <w:sz w:val="28"/>
          <w:szCs w:val="28"/>
          <w:lang w:val="lv-LV"/>
        </w:rPr>
      </w:pPr>
    </w:p>
    <w:p w:rsidR="005F70FA" w:rsidRDefault="0039262B" w:rsidP="008C0493">
      <w:pPr>
        <w:spacing w:after="0" w:line="240" w:lineRule="auto"/>
        <w:jc w:val="both"/>
        <w:rPr>
          <w:rFonts w:ascii="Times New Roman" w:hAnsi="Times New Roman"/>
          <w:sz w:val="28"/>
          <w:szCs w:val="28"/>
          <w:lang w:val="lv-LV"/>
        </w:rPr>
      </w:pPr>
      <w:r>
        <w:rPr>
          <w:rFonts w:ascii="Times New Roman" w:hAnsi="Times New Roman"/>
          <w:sz w:val="28"/>
          <w:szCs w:val="28"/>
          <w:lang w:val="lv-LV"/>
        </w:rPr>
        <w:t xml:space="preserve">Praktiskas darbības elektroenerģijas tirgū notika sākot ar 2008.gadu, kad </w:t>
      </w:r>
      <w:r w:rsidR="007602C5">
        <w:rPr>
          <w:rFonts w:ascii="Times New Roman" w:hAnsi="Times New Roman"/>
          <w:sz w:val="28"/>
          <w:szCs w:val="28"/>
          <w:lang w:val="lv-LV"/>
        </w:rPr>
        <w:t>pirmie  elektroenerģijas lietotāji – tirgus dalībnieki noslēdza elektroenerģijas tirdzniecības līgumus ar neatkarīgajiem tirgotājiem.</w:t>
      </w:r>
    </w:p>
    <w:p w:rsidR="00C964DD" w:rsidRPr="005C232D" w:rsidRDefault="00C964DD" w:rsidP="008C0493">
      <w:pPr>
        <w:spacing w:after="0" w:line="240" w:lineRule="auto"/>
        <w:jc w:val="both"/>
        <w:rPr>
          <w:rFonts w:ascii="Times New Roman" w:hAnsi="Times New Roman"/>
          <w:sz w:val="28"/>
          <w:szCs w:val="28"/>
          <w:lang w:val="lv-LV"/>
        </w:rPr>
      </w:pPr>
    </w:p>
    <w:p w:rsidR="005F70FA" w:rsidRPr="005C232D" w:rsidRDefault="00D47F02" w:rsidP="008C0493">
      <w:pPr>
        <w:spacing w:after="0" w:line="240" w:lineRule="auto"/>
        <w:jc w:val="both"/>
        <w:rPr>
          <w:rFonts w:ascii="Times New Roman" w:hAnsi="Times New Roman"/>
          <w:sz w:val="28"/>
          <w:szCs w:val="28"/>
          <w:lang w:val="lv-LV"/>
        </w:rPr>
      </w:pPr>
      <w:r w:rsidRPr="00D47F02">
        <w:rPr>
          <w:rFonts w:ascii="Times New Roman" w:hAnsi="Times New Roman"/>
          <w:noProof/>
          <w:sz w:val="28"/>
          <w:szCs w:val="28"/>
          <w:lang w:val="lv-LV" w:eastAsia="lv-LV"/>
        </w:rPr>
        <w:drawing>
          <wp:inline distT="0" distB="0" distL="0" distR="0">
            <wp:extent cx="5753100" cy="3086100"/>
            <wp:effectExtent l="0" t="0" r="0" b="0"/>
            <wp:docPr id="5"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AD6AA5" w:rsidRDefault="00AD6AA5" w:rsidP="005F70FA">
      <w:pPr>
        <w:spacing w:after="0" w:line="240" w:lineRule="auto"/>
        <w:jc w:val="both"/>
        <w:rPr>
          <w:rFonts w:ascii="Times New Roman" w:hAnsi="Times New Roman"/>
          <w:bCs/>
          <w:sz w:val="28"/>
          <w:szCs w:val="28"/>
          <w:lang w:val="lv-LV"/>
        </w:rPr>
      </w:pPr>
    </w:p>
    <w:p w:rsidR="005F70FA" w:rsidRDefault="005F70FA" w:rsidP="005F70FA">
      <w:pPr>
        <w:spacing w:after="0" w:line="240" w:lineRule="auto"/>
        <w:jc w:val="both"/>
        <w:rPr>
          <w:rFonts w:ascii="Times New Roman" w:hAnsi="Times New Roman"/>
          <w:bCs/>
          <w:sz w:val="28"/>
          <w:szCs w:val="28"/>
          <w:lang w:val="lv-LV"/>
        </w:rPr>
      </w:pPr>
      <w:r w:rsidRPr="005C232D">
        <w:rPr>
          <w:rFonts w:ascii="Times New Roman" w:hAnsi="Times New Roman"/>
          <w:bCs/>
          <w:sz w:val="28"/>
          <w:szCs w:val="28"/>
          <w:lang w:val="lv-LV"/>
        </w:rPr>
        <w:t>Līdz 2012.gada 1.aprīlim tiesības saņemt universālo pakalpojumu bija ir mājsaimniecībām un komersantiem, kuru gada apgrozījumus vai bilances kopsumma nepārsniedz 7 milj. Ls un kuru algoto darbinieku skaits ir mazāks par 50 darbiniekiem. Pie šādiem nosacījumiem elektroenerģiju par vienošan</w:t>
      </w:r>
      <w:r w:rsidR="005C232D" w:rsidRPr="005C232D">
        <w:rPr>
          <w:rFonts w:ascii="Times New Roman" w:hAnsi="Times New Roman"/>
          <w:bCs/>
          <w:sz w:val="28"/>
          <w:szCs w:val="28"/>
          <w:lang w:val="lv-LV"/>
        </w:rPr>
        <w:t>ā</w:t>
      </w:r>
      <w:r w:rsidRPr="005C232D">
        <w:rPr>
          <w:rFonts w:ascii="Times New Roman" w:hAnsi="Times New Roman"/>
          <w:bCs/>
          <w:sz w:val="28"/>
          <w:szCs w:val="28"/>
          <w:lang w:val="lv-LV"/>
        </w:rPr>
        <w:t>s cenu (tirgū) pirka aptuveni 1700 elektroenerģijas lietotāj</w:t>
      </w:r>
      <w:r w:rsidR="005C232D" w:rsidRPr="005C232D">
        <w:rPr>
          <w:rFonts w:ascii="Times New Roman" w:hAnsi="Times New Roman"/>
          <w:bCs/>
          <w:sz w:val="28"/>
          <w:szCs w:val="28"/>
          <w:lang w:val="lv-LV"/>
        </w:rPr>
        <w:t>u</w:t>
      </w:r>
      <w:r w:rsidRPr="005C232D">
        <w:rPr>
          <w:rFonts w:ascii="Times New Roman" w:hAnsi="Times New Roman"/>
          <w:bCs/>
          <w:sz w:val="28"/>
          <w:szCs w:val="28"/>
          <w:lang w:val="lv-LV"/>
        </w:rPr>
        <w:t xml:space="preserve"> (energoietilpīgie </w:t>
      </w:r>
      <w:r w:rsidR="00FB14F8" w:rsidRPr="005C232D">
        <w:rPr>
          <w:rFonts w:ascii="Times New Roman" w:hAnsi="Times New Roman"/>
          <w:bCs/>
          <w:sz w:val="28"/>
          <w:szCs w:val="28"/>
          <w:lang w:val="lv-LV"/>
        </w:rPr>
        <w:t>un l</w:t>
      </w:r>
      <w:r w:rsidR="003B29FF" w:rsidRPr="005C232D">
        <w:rPr>
          <w:rFonts w:ascii="Times New Roman" w:hAnsi="Times New Roman"/>
          <w:bCs/>
          <w:sz w:val="28"/>
          <w:szCs w:val="28"/>
          <w:lang w:val="lv-LV"/>
        </w:rPr>
        <w:t xml:space="preserve">ielie komersanti), aizņemot ~ </w:t>
      </w:r>
      <w:r w:rsidR="00C964DD">
        <w:rPr>
          <w:rFonts w:ascii="Times New Roman" w:hAnsi="Times New Roman"/>
          <w:bCs/>
          <w:sz w:val="28"/>
          <w:szCs w:val="28"/>
          <w:lang w:val="lv-LV"/>
        </w:rPr>
        <w:t>35</w:t>
      </w:r>
      <w:r w:rsidR="00FB14F8" w:rsidRPr="005C232D">
        <w:rPr>
          <w:rFonts w:ascii="Times New Roman" w:hAnsi="Times New Roman"/>
          <w:bCs/>
          <w:sz w:val="28"/>
          <w:szCs w:val="28"/>
          <w:lang w:val="lv-LV"/>
        </w:rPr>
        <w:t>% no Latvijas gada elektroenerģijas patēriņa.</w:t>
      </w:r>
    </w:p>
    <w:p w:rsidR="00065C85" w:rsidRPr="00D60F9B" w:rsidRDefault="00065C85" w:rsidP="00065C85">
      <w:pPr>
        <w:spacing w:after="0" w:line="240" w:lineRule="auto"/>
        <w:jc w:val="both"/>
        <w:rPr>
          <w:rFonts w:ascii="Times New Roman" w:eastAsia="Arial Unicode MS" w:hAnsi="Times New Roman"/>
          <w:sz w:val="28"/>
          <w:szCs w:val="28"/>
          <w:lang w:val="lv-LV"/>
        </w:rPr>
      </w:pPr>
    </w:p>
    <w:p w:rsidR="00065C85" w:rsidRPr="00D60F9B" w:rsidRDefault="00065C85" w:rsidP="00065C85">
      <w:pPr>
        <w:spacing w:after="0" w:line="240" w:lineRule="auto"/>
        <w:jc w:val="both"/>
        <w:rPr>
          <w:rFonts w:ascii="Times New Roman" w:eastAsia="Arial Unicode MS" w:hAnsi="Times New Roman"/>
          <w:sz w:val="28"/>
          <w:szCs w:val="28"/>
          <w:lang w:val="lv-LV"/>
        </w:rPr>
      </w:pPr>
      <w:r w:rsidRPr="00D60F9B">
        <w:rPr>
          <w:rFonts w:ascii="Times New Roman" w:eastAsia="Arial Unicode MS" w:hAnsi="Times New Roman"/>
          <w:sz w:val="28"/>
          <w:szCs w:val="28"/>
          <w:lang w:val="lv-LV"/>
        </w:rPr>
        <w:t xml:space="preserve">Ņemot vērā, ka tirgus </w:t>
      </w:r>
      <w:r w:rsidR="002629E9">
        <w:rPr>
          <w:rFonts w:ascii="Times New Roman" w:eastAsia="Arial Unicode MS" w:hAnsi="Times New Roman"/>
          <w:sz w:val="28"/>
          <w:szCs w:val="28"/>
          <w:lang w:val="lv-LV"/>
        </w:rPr>
        <w:t>atvēršan</w:t>
      </w:r>
      <w:r w:rsidRPr="00D60F9B">
        <w:rPr>
          <w:rFonts w:ascii="Times New Roman" w:eastAsia="Arial Unicode MS" w:hAnsi="Times New Roman"/>
          <w:sz w:val="28"/>
          <w:szCs w:val="28"/>
          <w:lang w:val="lv-LV"/>
        </w:rPr>
        <w:t>a sakrita</w:t>
      </w:r>
      <w:r w:rsidR="002629E9">
        <w:rPr>
          <w:rFonts w:ascii="Times New Roman" w:eastAsia="Arial Unicode MS" w:hAnsi="Times New Roman"/>
          <w:sz w:val="28"/>
          <w:szCs w:val="28"/>
          <w:lang w:val="lv-LV"/>
        </w:rPr>
        <w:t>, kad elektroenerģijas vairumtirdzniecības</w:t>
      </w:r>
      <w:r w:rsidRPr="00D60F9B">
        <w:rPr>
          <w:rFonts w:ascii="Times New Roman" w:eastAsia="Arial Unicode MS" w:hAnsi="Times New Roman"/>
          <w:sz w:val="28"/>
          <w:szCs w:val="28"/>
          <w:lang w:val="lv-LV"/>
        </w:rPr>
        <w:t xml:space="preserve"> cenu </w:t>
      </w:r>
      <w:r w:rsidR="002629E9">
        <w:rPr>
          <w:rFonts w:ascii="Times New Roman" w:eastAsia="Arial Unicode MS" w:hAnsi="Times New Roman"/>
          <w:sz w:val="28"/>
          <w:szCs w:val="28"/>
          <w:lang w:val="lv-LV"/>
        </w:rPr>
        <w:t>bija augstas</w:t>
      </w:r>
      <w:r w:rsidRPr="00D60F9B">
        <w:rPr>
          <w:rFonts w:ascii="Times New Roman" w:eastAsia="Arial Unicode MS" w:hAnsi="Times New Roman"/>
          <w:sz w:val="28"/>
          <w:szCs w:val="28"/>
          <w:lang w:val="lv-LV"/>
        </w:rPr>
        <w:t xml:space="preserve">, un apstākli, ka </w:t>
      </w:r>
      <w:r w:rsidR="002629E9">
        <w:rPr>
          <w:rFonts w:ascii="Times New Roman" w:eastAsia="Arial Unicode MS" w:hAnsi="Times New Roman"/>
          <w:sz w:val="28"/>
          <w:szCs w:val="28"/>
          <w:lang w:val="lv-LV"/>
        </w:rPr>
        <w:t>tobrīd spēkā</w:t>
      </w:r>
      <w:r w:rsidRPr="00D60F9B">
        <w:rPr>
          <w:rFonts w:ascii="Times New Roman" w:eastAsia="Arial Unicode MS" w:hAnsi="Times New Roman"/>
          <w:sz w:val="28"/>
          <w:szCs w:val="28"/>
          <w:lang w:val="lv-LV"/>
        </w:rPr>
        <w:t xml:space="preserve"> esošie elektroenerģijas tirdzniecības tarifi, bija noteikti zem vidējās tirgus cenas, lielākie Latvijas elektroenerģijas patērētāji piedzīvoja strauju elektr</w:t>
      </w:r>
      <w:r w:rsidR="002629E9">
        <w:rPr>
          <w:rFonts w:ascii="Times New Roman" w:eastAsia="Arial Unicode MS" w:hAnsi="Times New Roman"/>
          <w:sz w:val="28"/>
          <w:szCs w:val="28"/>
          <w:lang w:val="lv-LV"/>
        </w:rPr>
        <w:t>oenerģijas</w:t>
      </w:r>
      <w:r w:rsidRPr="00D60F9B">
        <w:rPr>
          <w:rFonts w:ascii="Times New Roman" w:eastAsia="Arial Unicode MS" w:hAnsi="Times New Roman"/>
          <w:sz w:val="28"/>
          <w:szCs w:val="28"/>
          <w:lang w:val="lv-LV"/>
        </w:rPr>
        <w:t xml:space="preserve"> cenu kāpumu </w:t>
      </w:r>
      <w:r w:rsidR="002629E9">
        <w:rPr>
          <w:rFonts w:ascii="Times New Roman" w:eastAsia="Arial Unicode MS" w:hAnsi="Times New Roman"/>
          <w:sz w:val="28"/>
          <w:szCs w:val="28"/>
          <w:lang w:val="lv-LV"/>
        </w:rPr>
        <w:t xml:space="preserve"> - 50 % apmērā.</w:t>
      </w:r>
    </w:p>
    <w:p w:rsidR="003B29FF" w:rsidRDefault="003B29FF" w:rsidP="005F70FA">
      <w:pPr>
        <w:spacing w:after="0" w:line="240" w:lineRule="auto"/>
        <w:jc w:val="both"/>
        <w:rPr>
          <w:rFonts w:ascii="Times New Roman" w:hAnsi="Times New Roman"/>
          <w:bCs/>
          <w:sz w:val="28"/>
          <w:szCs w:val="28"/>
          <w:lang w:val="lv-LV"/>
        </w:rPr>
      </w:pPr>
    </w:p>
    <w:p w:rsidR="00A37294" w:rsidRDefault="00A37294" w:rsidP="005F70FA">
      <w:pPr>
        <w:spacing w:after="0" w:line="240" w:lineRule="auto"/>
        <w:jc w:val="both"/>
        <w:rPr>
          <w:rFonts w:ascii="Times New Roman" w:hAnsi="Times New Roman"/>
          <w:bCs/>
          <w:sz w:val="28"/>
          <w:szCs w:val="28"/>
          <w:lang w:val="lv-LV"/>
        </w:rPr>
      </w:pPr>
      <w:r w:rsidRPr="004D7B9E">
        <w:rPr>
          <w:rFonts w:ascii="Times New Roman" w:hAnsi="Times New Roman"/>
          <w:bCs/>
          <w:sz w:val="28"/>
          <w:szCs w:val="28"/>
          <w:lang w:val="lv-LV"/>
        </w:rPr>
        <w:t>Direktīva 2009/72/EK</w:t>
      </w:r>
      <w:r w:rsidR="004D7B9E" w:rsidRPr="004D7B9E">
        <w:rPr>
          <w:rFonts w:ascii="Times New Roman" w:hAnsi="Times New Roman"/>
          <w:bCs/>
          <w:sz w:val="28"/>
          <w:szCs w:val="28"/>
          <w:lang w:val="lv-LV"/>
        </w:rPr>
        <w:t xml:space="preserve">, </w:t>
      </w:r>
      <w:r w:rsidR="004D7B9E">
        <w:rPr>
          <w:rFonts w:ascii="Times New Roman" w:hAnsi="Times New Roman"/>
          <w:bCs/>
          <w:sz w:val="28"/>
          <w:szCs w:val="28"/>
          <w:lang w:val="lv-LV"/>
        </w:rPr>
        <w:t>kas turpina Direktīvā 2003/54/EK noteiktos mērķus par elektroenerģijas tirgus liberalizāciju ir devusi ES dalībvalstīm jaunus uzdevumus veidojot savus iekšējos elektroenerģijas tirgus.</w:t>
      </w:r>
      <w:r w:rsidR="004D7B9E" w:rsidRPr="004D7B9E">
        <w:rPr>
          <w:rFonts w:ascii="Times New Roman" w:hAnsi="Times New Roman"/>
          <w:bCs/>
          <w:sz w:val="28"/>
          <w:szCs w:val="28"/>
          <w:lang w:val="lv-LV"/>
        </w:rPr>
        <w:t xml:space="preserve"> Direktīva</w:t>
      </w:r>
      <w:r w:rsidR="004D7B9E">
        <w:rPr>
          <w:rFonts w:ascii="Times New Roman" w:hAnsi="Times New Roman"/>
          <w:bCs/>
          <w:sz w:val="28"/>
          <w:szCs w:val="28"/>
          <w:lang w:val="lv-LV"/>
        </w:rPr>
        <w:t>s</w:t>
      </w:r>
      <w:r w:rsidR="004D7B9E" w:rsidRPr="004D7B9E">
        <w:rPr>
          <w:rFonts w:ascii="Times New Roman" w:hAnsi="Times New Roman"/>
          <w:bCs/>
          <w:sz w:val="28"/>
          <w:szCs w:val="28"/>
          <w:lang w:val="lv-LV"/>
        </w:rPr>
        <w:t xml:space="preserve"> 2009/72/EK</w:t>
      </w:r>
      <w:r w:rsidR="004D7B9E">
        <w:rPr>
          <w:rFonts w:ascii="Times New Roman" w:hAnsi="Times New Roman"/>
          <w:bCs/>
          <w:sz w:val="28"/>
          <w:szCs w:val="28"/>
          <w:lang w:val="lv-LV"/>
        </w:rPr>
        <w:t xml:space="preserve"> uzdevumi galvenokārt ir saistīti ar </w:t>
      </w:r>
      <w:r w:rsidR="00B22794">
        <w:rPr>
          <w:rFonts w:ascii="Times New Roman" w:hAnsi="Times New Roman"/>
          <w:bCs/>
          <w:sz w:val="28"/>
          <w:szCs w:val="28"/>
          <w:lang w:val="lv-LV"/>
        </w:rPr>
        <w:t xml:space="preserve">elektroenerģijas sistēmas darbību nodalīšanu, proti elektroenerģijas pārvades pakalpojuma nodalīšana no ražošanas un tirdzniecības darbībām, regulatīvās iestādes neatkarības nostiprināšanu. Latvijas nacionālajos </w:t>
      </w:r>
      <w:r w:rsidR="00B22794" w:rsidRPr="00B22794">
        <w:rPr>
          <w:rFonts w:ascii="Times New Roman" w:hAnsi="Times New Roman"/>
          <w:bCs/>
          <w:sz w:val="28"/>
          <w:szCs w:val="28"/>
          <w:lang w:val="lv-LV"/>
        </w:rPr>
        <w:lastRenderedPageBreak/>
        <w:t>tiesību aktos Direktīvas 2009/72/EK prasības ir pārņemtas ar 2011.gada 8.jūlija likumu „Grozījumi Elektroenerģijas tirgus likumā” un 2011.gada 14.jūlija likumu „</w:t>
      </w:r>
      <w:r w:rsidR="00B22794" w:rsidRPr="00B22794">
        <w:rPr>
          <w:rFonts w:ascii="Times New Roman" w:hAnsi="Times New Roman"/>
          <w:sz w:val="28"/>
          <w:szCs w:val="28"/>
          <w:lang w:val="lv-LV"/>
        </w:rPr>
        <w:t>Grozījumi likumā "Par sabiedrisko pakalpojumu regulatoriem"".</w:t>
      </w:r>
      <w:r w:rsidR="00B22794">
        <w:rPr>
          <w:bCs/>
          <w:sz w:val="28"/>
          <w:szCs w:val="28"/>
          <w:lang w:val="lv-LV"/>
        </w:rPr>
        <w:t xml:space="preserve"> </w:t>
      </w:r>
    </w:p>
    <w:p w:rsidR="004D7B9E" w:rsidRDefault="004D7B9E" w:rsidP="005F70FA">
      <w:pPr>
        <w:spacing w:after="0" w:line="240" w:lineRule="auto"/>
        <w:jc w:val="both"/>
        <w:rPr>
          <w:rFonts w:ascii="Times New Roman" w:hAnsi="Times New Roman"/>
          <w:bCs/>
          <w:sz w:val="28"/>
          <w:szCs w:val="28"/>
          <w:lang w:val="lv-LV"/>
        </w:rPr>
      </w:pPr>
    </w:p>
    <w:p w:rsidR="004D7B9E" w:rsidRPr="004D7B9E" w:rsidRDefault="004D7B9E" w:rsidP="005F70FA">
      <w:pPr>
        <w:spacing w:after="0" w:line="240" w:lineRule="auto"/>
        <w:jc w:val="both"/>
        <w:rPr>
          <w:rFonts w:ascii="Times New Roman" w:hAnsi="Times New Roman"/>
          <w:bCs/>
          <w:sz w:val="28"/>
          <w:szCs w:val="28"/>
          <w:lang w:val="lv-LV"/>
        </w:rPr>
      </w:pPr>
    </w:p>
    <w:p w:rsidR="00884A8F" w:rsidRPr="00F81D3A" w:rsidRDefault="00884A8F" w:rsidP="00F81D3A">
      <w:pPr>
        <w:pStyle w:val="ListParagraph"/>
        <w:numPr>
          <w:ilvl w:val="0"/>
          <w:numId w:val="6"/>
        </w:numPr>
        <w:spacing w:after="0" w:line="240" w:lineRule="auto"/>
        <w:jc w:val="center"/>
        <w:rPr>
          <w:rFonts w:ascii="Times New Roman" w:hAnsi="Times New Roman"/>
          <w:b/>
          <w:sz w:val="28"/>
          <w:szCs w:val="28"/>
          <w:lang w:val="lv-LV"/>
        </w:rPr>
      </w:pPr>
      <w:r w:rsidRPr="00F81D3A">
        <w:rPr>
          <w:rFonts w:ascii="Times New Roman" w:hAnsi="Times New Roman"/>
          <w:b/>
          <w:sz w:val="28"/>
          <w:szCs w:val="28"/>
          <w:lang w:val="lv-LV"/>
        </w:rPr>
        <w:t>Tirgus atvēršana</w:t>
      </w:r>
      <w:r w:rsidR="00593AC9" w:rsidRPr="00F81D3A">
        <w:rPr>
          <w:rFonts w:ascii="Times New Roman" w:hAnsi="Times New Roman"/>
          <w:b/>
          <w:sz w:val="28"/>
          <w:szCs w:val="28"/>
          <w:lang w:val="lv-LV"/>
        </w:rPr>
        <w:t>s</w:t>
      </w:r>
      <w:r w:rsidRPr="00F81D3A">
        <w:rPr>
          <w:rFonts w:ascii="Times New Roman" w:hAnsi="Times New Roman"/>
          <w:b/>
          <w:sz w:val="28"/>
          <w:szCs w:val="28"/>
          <w:lang w:val="lv-LV"/>
        </w:rPr>
        <w:t xml:space="preserve"> otrais posms</w:t>
      </w:r>
    </w:p>
    <w:p w:rsidR="00884A8F" w:rsidRPr="005C232D" w:rsidRDefault="00884A8F" w:rsidP="005F70FA">
      <w:pPr>
        <w:spacing w:after="0" w:line="240" w:lineRule="auto"/>
        <w:jc w:val="both"/>
        <w:rPr>
          <w:rFonts w:ascii="Times New Roman" w:hAnsi="Times New Roman"/>
          <w:b/>
          <w:sz w:val="28"/>
          <w:szCs w:val="28"/>
          <w:lang w:val="lv-LV"/>
        </w:rPr>
      </w:pPr>
    </w:p>
    <w:p w:rsidR="003B29FF" w:rsidRPr="005C232D" w:rsidRDefault="003B29FF" w:rsidP="005F70FA">
      <w:pPr>
        <w:spacing w:after="0" w:line="240" w:lineRule="auto"/>
        <w:jc w:val="both"/>
        <w:rPr>
          <w:rFonts w:ascii="Times New Roman" w:hAnsi="Times New Roman"/>
          <w:sz w:val="28"/>
          <w:szCs w:val="28"/>
          <w:lang w:val="lv-LV"/>
        </w:rPr>
      </w:pPr>
      <w:r w:rsidRPr="005C232D">
        <w:rPr>
          <w:rFonts w:ascii="Times New Roman" w:hAnsi="Times New Roman"/>
          <w:sz w:val="28"/>
          <w:szCs w:val="28"/>
          <w:lang w:val="lv-LV"/>
        </w:rPr>
        <w:t xml:space="preserve">Pakāpeniski samazinot saistīto elektroenerģijas lietotāju loku Latvijā, kopš 2012. gada 1. aprīļa tirgū tika iesaistīti lietotāji, kuru pieslēguma spriegums pārsniedz 400 </w:t>
      </w:r>
      <w:r w:rsidR="00D80B2F">
        <w:rPr>
          <w:rFonts w:ascii="Times New Roman" w:hAnsi="Times New Roman"/>
          <w:sz w:val="28"/>
          <w:szCs w:val="28"/>
          <w:lang w:val="lv-LV"/>
        </w:rPr>
        <w:t>V</w:t>
      </w:r>
      <w:r w:rsidR="00D80B2F" w:rsidRPr="005C232D">
        <w:rPr>
          <w:rFonts w:ascii="Times New Roman" w:hAnsi="Times New Roman"/>
          <w:sz w:val="28"/>
          <w:szCs w:val="28"/>
          <w:lang w:val="lv-LV"/>
        </w:rPr>
        <w:t xml:space="preserve"> </w:t>
      </w:r>
      <w:r w:rsidRPr="005C232D">
        <w:rPr>
          <w:rFonts w:ascii="Times New Roman" w:hAnsi="Times New Roman"/>
          <w:sz w:val="28"/>
          <w:szCs w:val="28"/>
          <w:lang w:val="lv-LV"/>
        </w:rPr>
        <w:t xml:space="preserve">un ievadaizsardzības aparāta nominālā strāva pārsniedz 100 </w:t>
      </w:r>
      <w:r w:rsidR="00D80B2F">
        <w:rPr>
          <w:rFonts w:ascii="Times New Roman" w:hAnsi="Times New Roman"/>
          <w:sz w:val="28"/>
          <w:szCs w:val="28"/>
          <w:lang w:val="lv-LV"/>
        </w:rPr>
        <w:t>A</w:t>
      </w:r>
      <w:r w:rsidRPr="005C232D">
        <w:rPr>
          <w:rFonts w:ascii="Times New Roman" w:hAnsi="Times New Roman"/>
          <w:sz w:val="28"/>
          <w:szCs w:val="28"/>
          <w:lang w:val="lv-LV"/>
        </w:rPr>
        <w:t>, proti, vidēji lieli elektroenerģijas patērētāji. Tirgū tika iesaistīti ~ 4800 lietotāj</w:t>
      </w:r>
      <w:r w:rsidR="005C232D" w:rsidRPr="005C232D">
        <w:rPr>
          <w:rFonts w:ascii="Times New Roman" w:hAnsi="Times New Roman"/>
          <w:sz w:val="28"/>
          <w:szCs w:val="28"/>
          <w:lang w:val="lv-LV"/>
        </w:rPr>
        <w:t>u</w:t>
      </w:r>
      <w:r w:rsidRPr="005C232D">
        <w:rPr>
          <w:rFonts w:ascii="Times New Roman" w:hAnsi="Times New Roman"/>
          <w:sz w:val="28"/>
          <w:szCs w:val="28"/>
          <w:lang w:val="lv-LV"/>
        </w:rPr>
        <w:t xml:space="preserve"> ar </w:t>
      </w:r>
      <w:r w:rsidR="005C232D" w:rsidRPr="005C232D">
        <w:rPr>
          <w:rFonts w:ascii="Times New Roman" w:hAnsi="Times New Roman"/>
          <w:sz w:val="28"/>
          <w:szCs w:val="28"/>
          <w:lang w:val="lv-LV"/>
        </w:rPr>
        <w:t xml:space="preserve">vidējo patēriņu </w:t>
      </w:r>
      <w:r w:rsidRPr="005C232D">
        <w:rPr>
          <w:rFonts w:ascii="Times New Roman" w:hAnsi="Times New Roman"/>
          <w:sz w:val="28"/>
          <w:szCs w:val="28"/>
          <w:lang w:val="lv-LV"/>
        </w:rPr>
        <w:t>200MWh/gadā, kas Latvijas elektroenerģijas tirgus brīvo daļu palielināja līdz ~ 66%.</w:t>
      </w:r>
    </w:p>
    <w:p w:rsidR="00791194" w:rsidRPr="005C232D" w:rsidRDefault="00791194" w:rsidP="005F70FA">
      <w:pPr>
        <w:spacing w:after="0" w:line="240" w:lineRule="auto"/>
        <w:jc w:val="both"/>
        <w:rPr>
          <w:rFonts w:ascii="Times New Roman" w:hAnsi="Times New Roman"/>
          <w:sz w:val="28"/>
          <w:szCs w:val="28"/>
          <w:lang w:val="lv-LV"/>
        </w:rPr>
      </w:pPr>
    </w:p>
    <w:p w:rsidR="00791194" w:rsidRDefault="00791194" w:rsidP="00791194">
      <w:pPr>
        <w:spacing w:after="0" w:line="240" w:lineRule="auto"/>
        <w:jc w:val="both"/>
        <w:rPr>
          <w:rFonts w:ascii="Times New Roman" w:hAnsi="Times New Roman"/>
          <w:sz w:val="28"/>
          <w:szCs w:val="28"/>
          <w:lang w:val="lv-LV"/>
        </w:rPr>
      </w:pPr>
      <w:r w:rsidRPr="005C232D">
        <w:rPr>
          <w:rFonts w:ascii="Times New Roman" w:hAnsi="Times New Roman"/>
          <w:sz w:val="28"/>
          <w:szCs w:val="28"/>
          <w:lang w:val="lv-LV"/>
        </w:rPr>
        <w:t>Paralēli tirgu</w:t>
      </w:r>
      <w:r w:rsidR="005C232D" w:rsidRPr="005C232D">
        <w:rPr>
          <w:rFonts w:ascii="Times New Roman" w:hAnsi="Times New Roman"/>
          <w:sz w:val="28"/>
          <w:szCs w:val="28"/>
          <w:lang w:val="lv-LV"/>
        </w:rPr>
        <w:t>s</w:t>
      </w:r>
      <w:r w:rsidRPr="005C232D">
        <w:rPr>
          <w:rFonts w:ascii="Times New Roman" w:hAnsi="Times New Roman"/>
          <w:sz w:val="28"/>
          <w:szCs w:val="28"/>
          <w:lang w:val="lv-LV"/>
        </w:rPr>
        <w:t xml:space="preserve"> paplašināšanai tika ieviesta pēdējā garantētā piegāde tirgus lietotāju aizsardzībai. Atvērtā elektroenerģijas tirgū elektroenerģijas tirgotājiem nav pienākuma tirgot </w:t>
      </w:r>
      <w:r w:rsidR="00593AC9" w:rsidRPr="005C232D">
        <w:rPr>
          <w:rFonts w:ascii="Times New Roman" w:hAnsi="Times New Roman"/>
          <w:sz w:val="28"/>
          <w:szCs w:val="28"/>
          <w:lang w:val="lv-LV"/>
        </w:rPr>
        <w:t>elektroenerģiju, kad ir beidzie</w:t>
      </w:r>
      <w:r w:rsidRPr="005C232D">
        <w:rPr>
          <w:rFonts w:ascii="Times New Roman" w:hAnsi="Times New Roman"/>
          <w:sz w:val="28"/>
          <w:szCs w:val="28"/>
          <w:lang w:val="lv-LV"/>
        </w:rPr>
        <w:t>s tirdzniecības līgums</w:t>
      </w:r>
      <w:r w:rsidR="005C232D" w:rsidRPr="005C232D">
        <w:rPr>
          <w:rFonts w:ascii="Times New Roman" w:hAnsi="Times New Roman"/>
          <w:sz w:val="28"/>
          <w:szCs w:val="28"/>
          <w:lang w:val="lv-LV"/>
        </w:rPr>
        <w:t>,</w:t>
      </w:r>
      <w:r w:rsidRPr="005C232D">
        <w:rPr>
          <w:rFonts w:ascii="Times New Roman" w:hAnsi="Times New Roman"/>
          <w:sz w:val="28"/>
          <w:szCs w:val="28"/>
          <w:lang w:val="lv-LV"/>
        </w:rPr>
        <w:t xml:space="preserve"> un</w:t>
      </w:r>
      <w:r w:rsidR="005C232D" w:rsidRPr="005C232D">
        <w:rPr>
          <w:rFonts w:ascii="Times New Roman" w:hAnsi="Times New Roman"/>
          <w:sz w:val="28"/>
          <w:szCs w:val="28"/>
          <w:lang w:val="lv-LV"/>
        </w:rPr>
        <w:t>,</w:t>
      </w:r>
      <w:r w:rsidRPr="005C232D">
        <w:rPr>
          <w:rFonts w:ascii="Times New Roman" w:hAnsi="Times New Roman"/>
          <w:sz w:val="28"/>
          <w:szCs w:val="28"/>
          <w:lang w:val="lv-LV"/>
        </w:rPr>
        <w:t xml:space="preserve"> lai turpinātu saņemt elektroenerģiju</w:t>
      </w:r>
      <w:r w:rsidR="005C232D" w:rsidRPr="005C232D">
        <w:rPr>
          <w:rFonts w:ascii="Times New Roman" w:hAnsi="Times New Roman"/>
          <w:sz w:val="28"/>
          <w:szCs w:val="28"/>
          <w:lang w:val="lv-LV"/>
        </w:rPr>
        <w:t>,</w:t>
      </w:r>
      <w:r w:rsidRPr="005C232D">
        <w:rPr>
          <w:rFonts w:ascii="Times New Roman" w:hAnsi="Times New Roman"/>
          <w:sz w:val="28"/>
          <w:szCs w:val="28"/>
          <w:lang w:val="lv-LV"/>
        </w:rPr>
        <w:t xml:space="preserve"> lietotājam ir jāslēdz jauns līgums ar tirgotāju. Ņemot vērā, ka lietotāji ne</w:t>
      </w:r>
      <w:r w:rsidR="005C232D" w:rsidRPr="005C232D">
        <w:rPr>
          <w:rFonts w:ascii="Times New Roman" w:hAnsi="Times New Roman"/>
          <w:sz w:val="28"/>
          <w:szCs w:val="28"/>
          <w:lang w:val="lv-LV"/>
        </w:rPr>
        <w:t xml:space="preserve"> </w:t>
      </w:r>
      <w:r w:rsidRPr="005C232D">
        <w:rPr>
          <w:rFonts w:ascii="Times New Roman" w:hAnsi="Times New Roman"/>
          <w:sz w:val="28"/>
          <w:szCs w:val="28"/>
          <w:lang w:val="lv-LV"/>
        </w:rPr>
        <w:t>vienmēr laicīgi noslēdz un pārjauno elektroenerģijas tirdznie</w:t>
      </w:r>
      <w:r w:rsidR="005C232D" w:rsidRPr="005C232D">
        <w:rPr>
          <w:rFonts w:ascii="Times New Roman" w:hAnsi="Times New Roman"/>
          <w:sz w:val="28"/>
          <w:szCs w:val="28"/>
          <w:lang w:val="lv-LV"/>
        </w:rPr>
        <w:t>c</w:t>
      </w:r>
      <w:r w:rsidRPr="005C232D">
        <w:rPr>
          <w:rFonts w:ascii="Times New Roman" w:hAnsi="Times New Roman"/>
          <w:sz w:val="28"/>
          <w:szCs w:val="28"/>
          <w:lang w:val="lv-LV"/>
        </w:rPr>
        <w:t xml:space="preserve">ības līgumus, pēdējā garantētā piegāde nodrošina lietotājam </w:t>
      </w:r>
      <w:r w:rsidR="00E822AF" w:rsidRPr="005C232D">
        <w:rPr>
          <w:rFonts w:ascii="Times New Roman" w:hAnsi="Times New Roman"/>
          <w:sz w:val="28"/>
          <w:szCs w:val="28"/>
          <w:lang w:val="lv-LV"/>
        </w:rPr>
        <w:t>elektroenerģijas saņemšanu no pēdējā garantētā piegādātāja.</w:t>
      </w:r>
    </w:p>
    <w:p w:rsidR="00AD1BD3" w:rsidRDefault="00AD1BD3" w:rsidP="00791194">
      <w:pPr>
        <w:spacing w:after="0" w:line="240" w:lineRule="auto"/>
        <w:jc w:val="both"/>
        <w:rPr>
          <w:rFonts w:ascii="Times New Roman" w:hAnsi="Times New Roman"/>
          <w:sz w:val="28"/>
          <w:szCs w:val="28"/>
          <w:lang w:val="lv-LV"/>
        </w:rPr>
      </w:pPr>
    </w:p>
    <w:p w:rsidR="00D60F9B" w:rsidRPr="00FF16DA" w:rsidRDefault="00D60F9B" w:rsidP="00791194">
      <w:pPr>
        <w:spacing w:after="0" w:line="240" w:lineRule="auto"/>
        <w:jc w:val="both"/>
        <w:rPr>
          <w:rFonts w:ascii="Times New Roman" w:hAnsi="Times New Roman"/>
          <w:sz w:val="28"/>
          <w:szCs w:val="28"/>
          <w:lang w:val="lv-LV"/>
        </w:rPr>
      </w:pPr>
      <w:r w:rsidRPr="00D60F9B">
        <w:rPr>
          <w:rFonts w:ascii="Times New Roman" w:hAnsi="Times New Roman"/>
          <w:sz w:val="28"/>
          <w:szCs w:val="28"/>
          <w:lang w:val="lv-LV"/>
        </w:rPr>
        <w:t>2012.gada pavasaris bija laiks, kas elektroenerģijas vairumtirdzniecības cenas bija zemas un tie lietotāji, kuriem no 2012.gada aprīļa elektroenerģijas bija jāpērk pa tirgus cenu bija ieguvēji</w:t>
      </w:r>
      <w:r w:rsidR="000A4DD4">
        <w:rPr>
          <w:rFonts w:ascii="Times New Roman" w:hAnsi="Times New Roman"/>
          <w:sz w:val="28"/>
          <w:szCs w:val="28"/>
          <w:lang w:val="lv-LV"/>
        </w:rPr>
        <w:t xml:space="preserve"> un tie varēja samazināta savas elektroenerģijas izmaksas</w:t>
      </w:r>
      <w:r w:rsidRPr="00D60F9B">
        <w:rPr>
          <w:rFonts w:ascii="Times New Roman" w:hAnsi="Times New Roman"/>
          <w:sz w:val="28"/>
          <w:szCs w:val="28"/>
          <w:lang w:val="lv-LV"/>
        </w:rPr>
        <w:t>, jo tirgus tiem piedāvāja zemāku elektroenerģijas cenu, nekā elektroenerģijas cena, kas iekļauta elektroenerģijas tirdzniecības tarifos.</w:t>
      </w:r>
    </w:p>
    <w:p w:rsidR="00791194" w:rsidRDefault="00791194" w:rsidP="00791194">
      <w:pPr>
        <w:spacing w:after="0" w:line="240" w:lineRule="auto"/>
        <w:jc w:val="both"/>
        <w:rPr>
          <w:rFonts w:ascii="Times New Roman" w:hAnsi="Times New Roman"/>
          <w:lang w:val="lv-LV"/>
        </w:rPr>
      </w:pPr>
    </w:p>
    <w:p w:rsidR="00AD1BD3" w:rsidRPr="005C232D" w:rsidRDefault="00AD1BD3" w:rsidP="00791194">
      <w:pPr>
        <w:spacing w:after="0" w:line="240" w:lineRule="auto"/>
        <w:jc w:val="both"/>
        <w:rPr>
          <w:rFonts w:ascii="Times New Roman" w:hAnsi="Times New Roman"/>
          <w:lang w:val="lv-LV"/>
        </w:rPr>
      </w:pPr>
    </w:p>
    <w:p w:rsidR="00884A8F" w:rsidRPr="00F81D3A" w:rsidRDefault="00884A8F" w:rsidP="00F81D3A">
      <w:pPr>
        <w:pStyle w:val="ListParagraph"/>
        <w:numPr>
          <w:ilvl w:val="0"/>
          <w:numId w:val="6"/>
        </w:numPr>
        <w:spacing w:after="0" w:line="240" w:lineRule="auto"/>
        <w:jc w:val="center"/>
        <w:rPr>
          <w:rFonts w:ascii="Times New Roman" w:hAnsi="Times New Roman"/>
          <w:b/>
          <w:sz w:val="28"/>
          <w:szCs w:val="28"/>
          <w:lang w:val="lv-LV"/>
        </w:rPr>
      </w:pPr>
      <w:r w:rsidRPr="00F81D3A">
        <w:rPr>
          <w:rFonts w:ascii="Times New Roman" w:hAnsi="Times New Roman"/>
          <w:b/>
          <w:sz w:val="28"/>
          <w:szCs w:val="28"/>
          <w:lang w:val="lv-LV"/>
        </w:rPr>
        <w:t>Tirgus atvēršana</w:t>
      </w:r>
      <w:r w:rsidR="00593AC9" w:rsidRPr="00F81D3A">
        <w:rPr>
          <w:rFonts w:ascii="Times New Roman" w:hAnsi="Times New Roman"/>
          <w:b/>
          <w:sz w:val="28"/>
          <w:szCs w:val="28"/>
          <w:lang w:val="lv-LV"/>
        </w:rPr>
        <w:t>s</w:t>
      </w:r>
      <w:r w:rsidRPr="00F81D3A">
        <w:rPr>
          <w:rFonts w:ascii="Times New Roman" w:hAnsi="Times New Roman"/>
          <w:b/>
          <w:sz w:val="28"/>
          <w:szCs w:val="28"/>
          <w:lang w:val="lv-LV"/>
        </w:rPr>
        <w:t xml:space="preserve"> trešais posms</w:t>
      </w:r>
    </w:p>
    <w:p w:rsidR="00884A8F" w:rsidRPr="005C232D" w:rsidRDefault="00884A8F" w:rsidP="00884A8F">
      <w:pPr>
        <w:spacing w:after="0" w:line="240" w:lineRule="auto"/>
        <w:jc w:val="both"/>
        <w:rPr>
          <w:rFonts w:ascii="Times New Roman" w:hAnsi="Times New Roman"/>
          <w:sz w:val="28"/>
          <w:szCs w:val="28"/>
          <w:lang w:val="lv-LV"/>
        </w:rPr>
      </w:pPr>
    </w:p>
    <w:p w:rsidR="00791194" w:rsidRPr="005C232D" w:rsidRDefault="00884A8F" w:rsidP="00884A8F">
      <w:pPr>
        <w:spacing w:after="0" w:line="240" w:lineRule="auto"/>
        <w:jc w:val="both"/>
        <w:rPr>
          <w:rFonts w:ascii="Times New Roman" w:hAnsi="Times New Roman"/>
          <w:bCs/>
          <w:sz w:val="28"/>
          <w:szCs w:val="28"/>
          <w:lang w:val="lv-LV"/>
        </w:rPr>
      </w:pPr>
      <w:r w:rsidRPr="005C232D">
        <w:rPr>
          <w:rFonts w:ascii="Times New Roman" w:hAnsi="Times New Roman"/>
          <w:sz w:val="28"/>
          <w:szCs w:val="28"/>
          <w:lang w:val="lv-LV"/>
        </w:rPr>
        <w:t xml:space="preserve">Ņemot vērā tirgus atvēršanas otrā posma sekmīgo norisi un apstākļus, ka </w:t>
      </w:r>
      <w:r w:rsidR="00E822AF" w:rsidRPr="005C232D">
        <w:rPr>
          <w:rFonts w:ascii="Times New Roman" w:hAnsi="Times New Roman"/>
          <w:sz w:val="28"/>
          <w:szCs w:val="28"/>
          <w:lang w:val="lv-LV"/>
        </w:rPr>
        <w:t>s</w:t>
      </w:r>
      <w:r w:rsidR="00791194" w:rsidRPr="005C232D">
        <w:rPr>
          <w:rFonts w:ascii="Times New Roman" w:hAnsi="Times New Roman"/>
          <w:sz w:val="28"/>
          <w:szCs w:val="28"/>
          <w:lang w:val="lv-LV"/>
        </w:rPr>
        <w:t xml:space="preserve">adales sistēmas operators un tirgotāji veiksmīgi </w:t>
      </w:r>
      <w:r w:rsidR="00F54A05">
        <w:rPr>
          <w:rFonts w:ascii="Times New Roman" w:hAnsi="Times New Roman"/>
          <w:sz w:val="28"/>
          <w:szCs w:val="28"/>
          <w:lang w:val="lv-LV"/>
        </w:rPr>
        <w:t xml:space="preserve">ir </w:t>
      </w:r>
      <w:r w:rsidR="00791194" w:rsidRPr="005C232D">
        <w:rPr>
          <w:rFonts w:ascii="Times New Roman" w:hAnsi="Times New Roman"/>
          <w:sz w:val="28"/>
          <w:szCs w:val="28"/>
          <w:lang w:val="lv-LV"/>
        </w:rPr>
        <w:t>pielāg</w:t>
      </w:r>
      <w:r w:rsidR="00F54A05">
        <w:rPr>
          <w:rFonts w:ascii="Times New Roman" w:hAnsi="Times New Roman"/>
          <w:sz w:val="28"/>
          <w:szCs w:val="28"/>
          <w:lang w:val="lv-LV"/>
        </w:rPr>
        <w:t>ojuši</w:t>
      </w:r>
      <w:r w:rsidR="00791194" w:rsidRPr="005C232D">
        <w:rPr>
          <w:rFonts w:ascii="Times New Roman" w:hAnsi="Times New Roman"/>
          <w:sz w:val="28"/>
          <w:szCs w:val="28"/>
          <w:lang w:val="lv-LV"/>
        </w:rPr>
        <w:t xml:space="preserve"> gan savas uzskaites, gan norēķinu sistēmas liela skaita lietotāju vienlaicīgai statusa maiņai, tādējādi gan sistēmas operators, gan tirgotāji ir gatavi</w:t>
      </w:r>
      <w:r w:rsidRPr="005C232D">
        <w:rPr>
          <w:rFonts w:ascii="Times New Roman" w:hAnsi="Times New Roman"/>
          <w:sz w:val="28"/>
          <w:szCs w:val="28"/>
          <w:lang w:val="lv-LV"/>
        </w:rPr>
        <w:t xml:space="preserve"> tirgus tālākai liberalizācijai, </w:t>
      </w:r>
      <w:r w:rsidR="006C66F7">
        <w:rPr>
          <w:rFonts w:ascii="Times New Roman" w:hAnsi="Times New Roman"/>
          <w:sz w:val="28"/>
          <w:szCs w:val="28"/>
          <w:lang w:val="lv-LV"/>
        </w:rPr>
        <w:t xml:space="preserve">Ministru kabinets  š.g. 28.augustā atbalstīja </w:t>
      </w:r>
      <w:r w:rsidRPr="005C232D">
        <w:rPr>
          <w:rFonts w:ascii="Times New Roman" w:hAnsi="Times New Roman"/>
          <w:sz w:val="28"/>
          <w:szCs w:val="28"/>
          <w:lang w:val="lv-LV"/>
        </w:rPr>
        <w:t>Ministru kabin</w:t>
      </w:r>
      <w:r w:rsidR="00BF6F06">
        <w:rPr>
          <w:rFonts w:ascii="Times New Roman" w:hAnsi="Times New Roman"/>
          <w:sz w:val="28"/>
          <w:szCs w:val="28"/>
          <w:lang w:val="lv-LV"/>
        </w:rPr>
        <w:t>e</w:t>
      </w:r>
      <w:r w:rsidRPr="005C232D">
        <w:rPr>
          <w:rFonts w:ascii="Times New Roman" w:hAnsi="Times New Roman"/>
          <w:sz w:val="28"/>
          <w:szCs w:val="28"/>
          <w:lang w:val="lv-LV"/>
        </w:rPr>
        <w:t>ta note</w:t>
      </w:r>
      <w:r w:rsidR="00BF6F06">
        <w:rPr>
          <w:rFonts w:ascii="Times New Roman" w:hAnsi="Times New Roman"/>
          <w:sz w:val="28"/>
          <w:szCs w:val="28"/>
          <w:lang w:val="lv-LV"/>
        </w:rPr>
        <w:t>i</w:t>
      </w:r>
      <w:r w:rsidRPr="005C232D">
        <w:rPr>
          <w:rFonts w:ascii="Times New Roman" w:hAnsi="Times New Roman"/>
          <w:sz w:val="28"/>
          <w:szCs w:val="28"/>
          <w:lang w:val="lv-LV"/>
        </w:rPr>
        <w:t>kumu projektu „Grozījumi Ministru kabineta 2011. gada 29. novembra noteikumos Nr.914 „</w:t>
      </w:r>
      <w:r w:rsidRPr="005C232D">
        <w:rPr>
          <w:rFonts w:ascii="Times New Roman" w:hAnsi="Times New Roman"/>
          <w:bCs/>
          <w:sz w:val="28"/>
          <w:szCs w:val="28"/>
          <w:lang w:val="lv-LV"/>
        </w:rPr>
        <w:t>Elektroenerģijas tirdzn</w:t>
      </w:r>
      <w:r w:rsidR="002D0B0D">
        <w:rPr>
          <w:rFonts w:ascii="Times New Roman" w:hAnsi="Times New Roman"/>
          <w:bCs/>
          <w:sz w:val="28"/>
          <w:szCs w:val="28"/>
          <w:lang w:val="lv-LV"/>
        </w:rPr>
        <w:t>iecības un lietošanas noteikumi”.</w:t>
      </w:r>
      <w:r w:rsidRPr="005C232D">
        <w:rPr>
          <w:rFonts w:ascii="Times New Roman" w:hAnsi="Times New Roman"/>
          <w:bCs/>
          <w:sz w:val="28"/>
          <w:szCs w:val="28"/>
          <w:lang w:val="lv-LV"/>
        </w:rPr>
        <w:t xml:space="preserve"> </w:t>
      </w:r>
    </w:p>
    <w:p w:rsidR="00884A8F" w:rsidRPr="005C232D" w:rsidRDefault="00884A8F" w:rsidP="00884A8F">
      <w:pPr>
        <w:spacing w:after="0" w:line="240" w:lineRule="auto"/>
        <w:jc w:val="both"/>
        <w:rPr>
          <w:rFonts w:ascii="Times New Roman" w:hAnsi="Times New Roman"/>
          <w:bCs/>
          <w:sz w:val="28"/>
          <w:szCs w:val="28"/>
          <w:lang w:val="lv-LV"/>
        </w:rPr>
      </w:pPr>
    </w:p>
    <w:p w:rsidR="0037044C" w:rsidRDefault="006C66F7" w:rsidP="00884A8F">
      <w:pPr>
        <w:pStyle w:val="naislab"/>
        <w:spacing w:before="0" w:after="0"/>
        <w:jc w:val="both"/>
        <w:rPr>
          <w:bCs/>
          <w:sz w:val="28"/>
          <w:szCs w:val="28"/>
        </w:rPr>
      </w:pPr>
      <w:r>
        <w:rPr>
          <w:bCs/>
          <w:sz w:val="28"/>
          <w:szCs w:val="28"/>
        </w:rPr>
        <w:t>Izmaiņas n</w:t>
      </w:r>
      <w:r w:rsidR="00884A8F" w:rsidRPr="005C232D">
        <w:rPr>
          <w:bCs/>
          <w:sz w:val="28"/>
          <w:szCs w:val="28"/>
        </w:rPr>
        <w:t>oteikum</w:t>
      </w:r>
      <w:r>
        <w:rPr>
          <w:bCs/>
          <w:sz w:val="28"/>
          <w:szCs w:val="28"/>
        </w:rPr>
        <w:t>os</w:t>
      </w:r>
      <w:r w:rsidR="00884A8F" w:rsidRPr="005C232D">
        <w:rPr>
          <w:bCs/>
          <w:sz w:val="28"/>
          <w:szCs w:val="28"/>
        </w:rPr>
        <w:t xml:space="preserve"> </w:t>
      </w:r>
      <w:r w:rsidR="00733A18">
        <w:rPr>
          <w:bCs/>
          <w:sz w:val="28"/>
          <w:szCs w:val="28"/>
        </w:rPr>
        <w:t>paredz</w:t>
      </w:r>
      <w:r>
        <w:rPr>
          <w:bCs/>
          <w:sz w:val="28"/>
          <w:szCs w:val="28"/>
        </w:rPr>
        <w:t xml:space="preserve">, ka </w:t>
      </w:r>
      <w:r w:rsidR="00884A8F" w:rsidRPr="005C232D">
        <w:rPr>
          <w:bCs/>
          <w:sz w:val="28"/>
          <w:szCs w:val="28"/>
        </w:rPr>
        <w:t xml:space="preserve">tiesības saņemt universālo pakalpojumu </w:t>
      </w:r>
      <w:r w:rsidR="00733A18">
        <w:rPr>
          <w:bCs/>
          <w:sz w:val="28"/>
          <w:szCs w:val="28"/>
        </w:rPr>
        <w:t xml:space="preserve">ir </w:t>
      </w:r>
      <w:r w:rsidR="00884A8F" w:rsidRPr="005C232D">
        <w:rPr>
          <w:bCs/>
          <w:sz w:val="28"/>
          <w:szCs w:val="28"/>
        </w:rPr>
        <w:t xml:space="preserve">tikai tiem lietotājiem, kas elektroenerģiju </w:t>
      </w:r>
      <w:r w:rsidR="00F54A05">
        <w:rPr>
          <w:bCs/>
          <w:sz w:val="28"/>
          <w:szCs w:val="28"/>
        </w:rPr>
        <w:t>pa</w:t>
      </w:r>
      <w:r w:rsidR="00884A8F" w:rsidRPr="005C232D">
        <w:rPr>
          <w:bCs/>
          <w:sz w:val="28"/>
          <w:szCs w:val="28"/>
        </w:rPr>
        <w:t xml:space="preserve">tērē mājsaimniecības vajadzībām. Pārējie lietotāji no 2012. gada 1. novembra zaudēs tiesības saņemt universālo </w:t>
      </w:r>
      <w:r w:rsidR="00884A8F" w:rsidRPr="005C232D">
        <w:rPr>
          <w:bCs/>
          <w:sz w:val="28"/>
          <w:szCs w:val="28"/>
        </w:rPr>
        <w:lastRenderedPageBreak/>
        <w:t xml:space="preserve">pakalpojumu. Ar šādu universāla pakalpojuma regulējumu elektroenerģijas tirgū </w:t>
      </w:r>
      <w:r w:rsidRPr="005C232D">
        <w:rPr>
          <w:bCs/>
          <w:sz w:val="28"/>
          <w:szCs w:val="28"/>
        </w:rPr>
        <w:t>ti</w:t>
      </w:r>
      <w:r>
        <w:rPr>
          <w:bCs/>
          <w:sz w:val="28"/>
          <w:szCs w:val="28"/>
        </w:rPr>
        <w:t>ek</w:t>
      </w:r>
      <w:r w:rsidRPr="005C232D">
        <w:rPr>
          <w:bCs/>
          <w:sz w:val="28"/>
          <w:szCs w:val="28"/>
        </w:rPr>
        <w:t xml:space="preserve"> </w:t>
      </w:r>
      <w:r w:rsidR="00884A8F" w:rsidRPr="005C232D">
        <w:rPr>
          <w:bCs/>
          <w:sz w:val="28"/>
          <w:szCs w:val="28"/>
        </w:rPr>
        <w:t>iesaistīti vēl aptuveni 20 000 lietotāju, kas ir 2.3% no lietotājiem un patērē ap 9 % no Latvijā kopā patērētās elektroenerģijas</w:t>
      </w:r>
      <w:r w:rsidR="00BF6F06">
        <w:rPr>
          <w:bCs/>
          <w:sz w:val="28"/>
          <w:szCs w:val="28"/>
        </w:rPr>
        <w:t>, līdz ar to</w:t>
      </w:r>
      <w:r w:rsidR="006D3EA0" w:rsidRPr="005C232D">
        <w:rPr>
          <w:bCs/>
          <w:sz w:val="28"/>
          <w:szCs w:val="28"/>
        </w:rPr>
        <w:t xml:space="preserve"> Latvijas atvērtā elektroenerģijas tirgus daļa sasniegs 75% no kopējā patēriņa. </w:t>
      </w:r>
      <w:r w:rsidR="00884A8F" w:rsidRPr="005C232D">
        <w:rPr>
          <w:bCs/>
          <w:sz w:val="28"/>
          <w:szCs w:val="28"/>
        </w:rPr>
        <w:t xml:space="preserve"> </w:t>
      </w:r>
    </w:p>
    <w:p w:rsidR="00791194" w:rsidRDefault="00791194" w:rsidP="00791194">
      <w:pPr>
        <w:spacing w:after="0" w:line="240" w:lineRule="auto"/>
        <w:jc w:val="both"/>
        <w:rPr>
          <w:rFonts w:ascii="Times New Roman" w:hAnsi="Times New Roman"/>
          <w:lang w:val="lv-LV"/>
        </w:rPr>
      </w:pPr>
    </w:p>
    <w:p w:rsidR="000A4DD4" w:rsidRDefault="002D0B0D" w:rsidP="000A4DD4">
      <w:pPr>
        <w:autoSpaceDE w:val="0"/>
        <w:autoSpaceDN w:val="0"/>
        <w:adjustRightInd w:val="0"/>
        <w:spacing w:after="0" w:line="240" w:lineRule="auto"/>
        <w:jc w:val="both"/>
        <w:rPr>
          <w:rFonts w:ascii="Times New Roman" w:hAnsi="Times New Roman"/>
          <w:sz w:val="28"/>
          <w:szCs w:val="28"/>
          <w:lang w:val="lv-LV" w:eastAsia="lv-LV"/>
        </w:rPr>
      </w:pPr>
      <w:r w:rsidRPr="00844D0E">
        <w:rPr>
          <w:rFonts w:ascii="Times New Roman" w:hAnsi="Times New Roman"/>
          <w:sz w:val="28"/>
          <w:szCs w:val="28"/>
          <w:lang w:val="lv-LV"/>
        </w:rPr>
        <w:t>Ņemot vērā elektroenerģijas vairumtirdzniecības dotā brīža cenas un nākotnes tendences, kas</w:t>
      </w:r>
      <w:r w:rsidR="00844D0E" w:rsidRPr="00844D0E">
        <w:rPr>
          <w:rFonts w:ascii="Times New Roman" w:hAnsi="Times New Roman"/>
          <w:sz w:val="28"/>
          <w:szCs w:val="28"/>
          <w:lang w:val="lv-LV"/>
        </w:rPr>
        <w:t xml:space="preserve"> liecina, ka būtisks cenu pieaugums uz ziemas mēnešiem nav gaidāms, tie</w:t>
      </w:r>
      <w:r w:rsidRPr="00844D0E">
        <w:rPr>
          <w:rFonts w:ascii="Times New Roman" w:hAnsi="Times New Roman"/>
          <w:sz w:val="28"/>
          <w:szCs w:val="28"/>
          <w:lang w:val="lv-LV"/>
        </w:rPr>
        <w:t xml:space="preserve"> lietotāji</w:t>
      </w:r>
      <w:r w:rsidR="00844D0E" w:rsidRPr="00844D0E">
        <w:rPr>
          <w:rFonts w:ascii="Times New Roman" w:hAnsi="Times New Roman"/>
          <w:sz w:val="28"/>
          <w:szCs w:val="28"/>
          <w:lang w:val="lv-LV"/>
        </w:rPr>
        <w:t>,</w:t>
      </w:r>
      <w:r w:rsidRPr="00844D0E">
        <w:rPr>
          <w:rFonts w:ascii="Times New Roman" w:hAnsi="Times New Roman"/>
          <w:sz w:val="28"/>
          <w:szCs w:val="28"/>
          <w:lang w:val="lv-LV"/>
        </w:rPr>
        <w:t xml:space="preserve"> k</w:t>
      </w:r>
      <w:r w:rsidR="00844D0E" w:rsidRPr="00844D0E">
        <w:rPr>
          <w:rFonts w:ascii="Times New Roman" w:hAnsi="Times New Roman"/>
          <w:sz w:val="28"/>
          <w:szCs w:val="28"/>
          <w:lang w:val="lv-LV"/>
        </w:rPr>
        <w:t xml:space="preserve">uriem </w:t>
      </w:r>
      <w:r w:rsidRPr="00844D0E">
        <w:rPr>
          <w:rFonts w:ascii="Times New Roman" w:eastAsia="Arial Unicode MS" w:hAnsi="Times New Roman"/>
          <w:sz w:val="28"/>
          <w:szCs w:val="28"/>
          <w:lang w:val="lv-LV" w:eastAsia="lv-LV"/>
        </w:rPr>
        <w:t>no 2012.</w:t>
      </w:r>
      <w:r w:rsidR="00C16B5A" w:rsidRPr="00C16B5A">
        <w:rPr>
          <w:rFonts w:ascii="Times New Roman" w:eastAsia="Arial Unicode MS" w:hAnsi="Times New Roman"/>
          <w:sz w:val="28"/>
          <w:szCs w:val="28"/>
          <w:lang w:val="lv-LV" w:eastAsia="lv-LV"/>
        </w:rPr>
        <w:t>gada 1.</w:t>
      </w:r>
      <w:r w:rsidR="00844D0E" w:rsidRPr="00844D0E">
        <w:rPr>
          <w:rFonts w:ascii="Times New Roman" w:eastAsia="Arial Unicode MS" w:hAnsi="Times New Roman"/>
          <w:sz w:val="28"/>
          <w:szCs w:val="28"/>
          <w:lang w:val="lv-LV" w:eastAsia="lv-LV"/>
        </w:rPr>
        <w:t>n</w:t>
      </w:r>
      <w:r w:rsidR="00C16B5A" w:rsidRPr="00C16B5A">
        <w:rPr>
          <w:rFonts w:ascii="Times New Roman" w:eastAsia="Arial Unicode MS" w:hAnsi="Times New Roman"/>
          <w:sz w:val="28"/>
          <w:szCs w:val="28"/>
          <w:lang w:val="lv-LV" w:eastAsia="lv-LV"/>
        </w:rPr>
        <w:t>ovembr</w:t>
      </w:r>
      <w:r w:rsidRPr="00844D0E">
        <w:rPr>
          <w:rFonts w:ascii="Times New Roman" w:eastAsia="Arial Unicode MS" w:hAnsi="Times New Roman"/>
          <w:sz w:val="28"/>
          <w:szCs w:val="28"/>
          <w:lang w:val="lv-LV" w:eastAsia="lv-LV"/>
        </w:rPr>
        <w:t>a</w:t>
      </w:r>
      <w:r w:rsidR="00844D0E" w:rsidRPr="00844D0E">
        <w:rPr>
          <w:rFonts w:ascii="Times New Roman" w:eastAsia="Arial Unicode MS" w:hAnsi="Times New Roman"/>
          <w:sz w:val="28"/>
          <w:szCs w:val="28"/>
          <w:lang w:val="lv-LV" w:eastAsia="lv-LV"/>
        </w:rPr>
        <w:t xml:space="preserve"> elektroenerģija ir jāpērk par tirgus cenu un kļūstot par tirgus dalībniekiem varēs samazināt izdevumus par elektroenerģiju, jo tirgus cenas ir zem regulētajos tarifos iestrādātās elektroenerģijas cenas. Tomēr ir svarīgi apzināties, ka elektroenerģijas vairumtirdzniecības tirgus ir </w:t>
      </w:r>
      <w:r w:rsidR="00844D0E" w:rsidRPr="00844D0E">
        <w:rPr>
          <w:rFonts w:ascii="Times New Roman" w:hAnsi="Times New Roman"/>
          <w:sz w:val="28"/>
          <w:szCs w:val="28"/>
          <w:lang w:val="lv-LV" w:eastAsia="lv-LV"/>
        </w:rPr>
        <w:t>pakļautas dažādiem svārstīgiem</w:t>
      </w:r>
      <w:r w:rsidR="00844D0E">
        <w:rPr>
          <w:rFonts w:ascii="Times New Roman" w:hAnsi="Times New Roman"/>
          <w:sz w:val="28"/>
          <w:szCs w:val="28"/>
          <w:lang w:val="lv-LV" w:eastAsia="lv-LV"/>
        </w:rPr>
        <w:t xml:space="preserve"> </w:t>
      </w:r>
      <w:r w:rsidR="00844D0E" w:rsidRPr="00844D0E">
        <w:rPr>
          <w:rFonts w:ascii="Times New Roman" w:hAnsi="Times New Roman"/>
          <w:sz w:val="28"/>
          <w:szCs w:val="28"/>
          <w:lang w:val="lv-LV" w:eastAsia="lv-LV"/>
        </w:rPr>
        <w:t xml:space="preserve">faktoriem kā </w:t>
      </w:r>
      <w:r w:rsidR="00844D0E">
        <w:rPr>
          <w:rFonts w:ascii="Times New Roman" w:hAnsi="Times New Roman"/>
          <w:sz w:val="28"/>
          <w:szCs w:val="28"/>
          <w:lang w:val="lv-LV" w:eastAsia="lv-LV"/>
        </w:rPr>
        <w:t xml:space="preserve">citu </w:t>
      </w:r>
      <w:r w:rsidR="00844D0E" w:rsidRPr="00844D0E">
        <w:rPr>
          <w:rFonts w:ascii="Times New Roman" w:hAnsi="Times New Roman"/>
          <w:sz w:val="28"/>
          <w:szCs w:val="28"/>
          <w:lang w:val="lv-LV" w:eastAsia="lv-LV"/>
        </w:rPr>
        <w:t>energoresursu cen</w:t>
      </w:r>
      <w:r w:rsidR="00844D0E">
        <w:rPr>
          <w:rFonts w:ascii="Times New Roman" w:hAnsi="Times New Roman"/>
          <w:sz w:val="28"/>
          <w:szCs w:val="28"/>
          <w:lang w:val="lv-LV" w:eastAsia="lv-LV"/>
        </w:rPr>
        <w:t xml:space="preserve">ām </w:t>
      </w:r>
      <w:r w:rsidR="00844D0E" w:rsidRPr="00844D0E">
        <w:rPr>
          <w:rFonts w:ascii="Times New Roman" w:hAnsi="Times New Roman"/>
          <w:sz w:val="28"/>
          <w:szCs w:val="28"/>
          <w:lang w:val="lv-LV" w:eastAsia="lv-LV"/>
        </w:rPr>
        <w:t xml:space="preserve">globālajā tirgū, </w:t>
      </w:r>
      <w:r w:rsidR="00844D0E">
        <w:rPr>
          <w:rFonts w:ascii="Times New Roman" w:hAnsi="Times New Roman"/>
          <w:sz w:val="28"/>
          <w:szCs w:val="28"/>
          <w:lang w:val="lv-LV" w:eastAsia="lv-LV"/>
        </w:rPr>
        <w:t>klimatisko</w:t>
      </w:r>
      <w:r w:rsidR="00844D0E" w:rsidRPr="00844D0E">
        <w:rPr>
          <w:rFonts w:ascii="Times New Roman" w:hAnsi="Times New Roman"/>
          <w:sz w:val="28"/>
          <w:szCs w:val="28"/>
          <w:lang w:val="lv-LV" w:eastAsia="lv-LV"/>
        </w:rPr>
        <w:t xml:space="preserve"> apstākļu</w:t>
      </w:r>
      <w:r w:rsidR="00844D0E">
        <w:rPr>
          <w:rFonts w:ascii="Times New Roman" w:hAnsi="Times New Roman"/>
          <w:sz w:val="28"/>
          <w:szCs w:val="28"/>
          <w:lang w:val="lv-LV" w:eastAsia="lv-LV"/>
        </w:rPr>
        <w:t xml:space="preserve"> </w:t>
      </w:r>
      <w:r w:rsidR="00844D0E" w:rsidRPr="00844D0E">
        <w:rPr>
          <w:rFonts w:ascii="Times New Roman" w:hAnsi="Times New Roman"/>
          <w:sz w:val="28"/>
          <w:szCs w:val="28"/>
          <w:lang w:val="lv-LV" w:eastAsia="lv-LV"/>
        </w:rPr>
        <w:t>izmaiņām, u.c.</w:t>
      </w:r>
      <w:r w:rsidR="00074A33">
        <w:rPr>
          <w:rFonts w:ascii="Times New Roman" w:hAnsi="Times New Roman"/>
          <w:sz w:val="28"/>
          <w:szCs w:val="28"/>
          <w:lang w:val="lv-LV" w:eastAsia="lv-LV"/>
        </w:rPr>
        <w:t xml:space="preserve"> dažādiem faktoriem.</w:t>
      </w:r>
    </w:p>
    <w:p w:rsidR="00AD6AA5" w:rsidRPr="000A4DD4" w:rsidRDefault="00AD6AA5" w:rsidP="000A4DD4">
      <w:pPr>
        <w:autoSpaceDE w:val="0"/>
        <w:autoSpaceDN w:val="0"/>
        <w:adjustRightInd w:val="0"/>
        <w:spacing w:after="0" w:line="240" w:lineRule="auto"/>
        <w:jc w:val="both"/>
        <w:rPr>
          <w:rFonts w:ascii="Times New Roman" w:hAnsi="Times New Roman"/>
          <w:sz w:val="28"/>
          <w:szCs w:val="28"/>
          <w:lang w:val="lv-LV" w:eastAsia="lv-LV"/>
        </w:rPr>
      </w:pPr>
    </w:p>
    <w:p w:rsidR="00C418BF" w:rsidRPr="00F81D3A" w:rsidRDefault="00593AC9" w:rsidP="00F81D3A">
      <w:pPr>
        <w:pStyle w:val="ListParagraph"/>
        <w:numPr>
          <w:ilvl w:val="0"/>
          <w:numId w:val="6"/>
        </w:numPr>
        <w:spacing w:before="150" w:after="150" w:line="240" w:lineRule="auto"/>
        <w:jc w:val="center"/>
        <w:rPr>
          <w:rFonts w:ascii="Arial Unicode MS" w:eastAsia="Arial Unicode MS" w:hAnsi="Arial Unicode MS" w:cs="Arial Unicode MS"/>
          <w:sz w:val="20"/>
          <w:szCs w:val="20"/>
          <w:lang w:val="lv-LV" w:eastAsia="lv-LV"/>
        </w:rPr>
      </w:pPr>
      <w:r w:rsidRPr="00F81D3A">
        <w:rPr>
          <w:rFonts w:ascii="Times New Roman" w:hAnsi="Times New Roman"/>
          <w:b/>
          <w:sz w:val="28"/>
          <w:szCs w:val="28"/>
          <w:lang w:val="lv-LV"/>
        </w:rPr>
        <w:t>Tirgus pilnīga atvēršana</w:t>
      </w:r>
    </w:p>
    <w:p w:rsidR="00593AC9" w:rsidRPr="005C232D" w:rsidRDefault="00593AC9" w:rsidP="00593AC9">
      <w:pPr>
        <w:spacing w:after="0" w:line="240" w:lineRule="auto"/>
        <w:jc w:val="center"/>
        <w:rPr>
          <w:rFonts w:ascii="Times New Roman" w:hAnsi="Times New Roman"/>
          <w:b/>
          <w:sz w:val="28"/>
          <w:szCs w:val="28"/>
          <w:lang w:val="lv-LV"/>
        </w:rPr>
      </w:pPr>
    </w:p>
    <w:p w:rsidR="00F81D3A" w:rsidRPr="00FF16DA" w:rsidRDefault="006D3EA0" w:rsidP="006D3EA0">
      <w:pPr>
        <w:spacing w:after="0" w:line="240" w:lineRule="auto"/>
        <w:jc w:val="both"/>
        <w:rPr>
          <w:rFonts w:ascii="Times New Roman" w:hAnsi="Times New Roman"/>
          <w:bCs/>
          <w:sz w:val="28"/>
          <w:szCs w:val="28"/>
          <w:lang w:val="lv-LV"/>
        </w:rPr>
      </w:pPr>
      <w:r w:rsidRPr="005C232D">
        <w:rPr>
          <w:rFonts w:ascii="Times New Roman" w:hAnsi="Times New Roman"/>
          <w:bCs/>
          <w:sz w:val="28"/>
          <w:szCs w:val="28"/>
          <w:lang w:val="lv-LV"/>
        </w:rPr>
        <w:t>Veidojot nosacījumus efektīvam un integrētam elektroenerģijas tirgum, ir nepieciešams pakāpeniski samazināt to lietotāju skaitu, kas saņem elektroenerģiju par regulētām cenām, tādejādi nodrošinot pietiekama skaita tirgus dalībnieku klātbūtni tirgū</w:t>
      </w:r>
      <w:r w:rsidR="00625B40">
        <w:rPr>
          <w:rFonts w:ascii="Times New Roman" w:hAnsi="Times New Roman"/>
          <w:bCs/>
          <w:sz w:val="28"/>
          <w:szCs w:val="28"/>
          <w:lang w:val="lv-LV"/>
        </w:rPr>
        <w:t>.</w:t>
      </w:r>
      <w:r w:rsidR="00FF16DA">
        <w:rPr>
          <w:rFonts w:ascii="Times New Roman" w:hAnsi="Times New Roman"/>
          <w:bCs/>
          <w:sz w:val="28"/>
          <w:szCs w:val="28"/>
          <w:lang w:val="lv-LV"/>
        </w:rPr>
        <w:t xml:space="preserve"> </w:t>
      </w:r>
      <w:r w:rsidR="007565ED" w:rsidRPr="005C232D">
        <w:rPr>
          <w:rFonts w:ascii="Times New Roman" w:hAnsi="Times New Roman"/>
          <w:sz w:val="28"/>
          <w:szCs w:val="28"/>
          <w:lang w:val="lv-LV"/>
        </w:rPr>
        <w:t>Pēc elektroenerģijas tirgus atvēršanas trešā posma Latvijā tiesības pirkt elektroenerģiju par regulētām cenām būs mājsaimniecībām, kas veido 25% no Latvijas kopēja elektroenerģija patēriņā.</w:t>
      </w:r>
      <w:r w:rsidR="00331747" w:rsidRPr="005C232D">
        <w:rPr>
          <w:rFonts w:ascii="Times New Roman" w:hAnsi="Times New Roman"/>
          <w:sz w:val="28"/>
          <w:szCs w:val="28"/>
          <w:lang w:val="lv-LV"/>
        </w:rPr>
        <w:t xml:space="preserve"> Lai pilnībā atvērtu tirgu un izbeigtu elektroenerģijas cenu regulāciju, nepieciešams </w:t>
      </w:r>
      <w:r w:rsidR="00196372" w:rsidRPr="005C232D">
        <w:rPr>
          <w:rFonts w:ascii="Times New Roman" w:hAnsi="Times New Roman"/>
          <w:sz w:val="28"/>
          <w:szCs w:val="28"/>
          <w:lang w:val="lv-LV"/>
        </w:rPr>
        <w:t xml:space="preserve">noteikt, ka visiem elektroenerģijas lietotājiem, ieskaitot mājsaimniecības, tā ir jāpērk tirgū. </w:t>
      </w:r>
    </w:p>
    <w:p w:rsidR="00F81D3A" w:rsidRDefault="00F81D3A" w:rsidP="006D3EA0">
      <w:pPr>
        <w:spacing w:after="0" w:line="240" w:lineRule="auto"/>
        <w:jc w:val="both"/>
        <w:rPr>
          <w:rFonts w:ascii="Times New Roman" w:hAnsi="Times New Roman"/>
          <w:sz w:val="28"/>
          <w:szCs w:val="28"/>
          <w:lang w:val="lv-LV"/>
        </w:rPr>
      </w:pPr>
    </w:p>
    <w:p w:rsidR="00733A18" w:rsidRDefault="00196372" w:rsidP="006D3EA0">
      <w:pPr>
        <w:spacing w:after="0" w:line="240" w:lineRule="auto"/>
        <w:jc w:val="both"/>
        <w:rPr>
          <w:rFonts w:ascii="Times New Roman" w:hAnsi="Times New Roman"/>
          <w:sz w:val="28"/>
          <w:szCs w:val="28"/>
          <w:lang w:val="lv-LV"/>
        </w:rPr>
      </w:pPr>
      <w:r w:rsidRPr="005C232D">
        <w:rPr>
          <w:rFonts w:ascii="Times New Roman" w:hAnsi="Times New Roman"/>
          <w:sz w:val="28"/>
          <w:szCs w:val="28"/>
          <w:lang w:val="lv-LV"/>
        </w:rPr>
        <w:t>Tomēr, lai saglabātu D</w:t>
      </w:r>
      <w:r w:rsidR="00415DA0">
        <w:rPr>
          <w:rFonts w:ascii="Times New Roman" w:hAnsi="Times New Roman"/>
          <w:sz w:val="28"/>
          <w:szCs w:val="28"/>
          <w:lang w:val="lv-LV"/>
        </w:rPr>
        <w:t>irektīvas</w:t>
      </w:r>
      <w:r w:rsidRPr="005C232D">
        <w:rPr>
          <w:rFonts w:ascii="Times New Roman" w:hAnsi="Times New Roman"/>
          <w:sz w:val="28"/>
          <w:szCs w:val="28"/>
          <w:lang w:val="lv-LV"/>
        </w:rPr>
        <w:t xml:space="preserve"> </w:t>
      </w:r>
      <w:r w:rsidR="0019387E">
        <w:rPr>
          <w:rFonts w:ascii="Times New Roman" w:hAnsi="Times New Roman"/>
          <w:sz w:val="28"/>
          <w:szCs w:val="28"/>
          <w:lang w:val="lv-LV"/>
        </w:rPr>
        <w:t>2009/72/EK</w:t>
      </w:r>
      <w:r w:rsidR="00415DA0">
        <w:rPr>
          <w:rFonts w:ascii="Times New Roman" w:hAnsi="Times New Roman"/>
          <w:sz w:val="28"/>
          <w:szCs w:val="28"/>
          <w:lang w:val="lv-LV"/>
        </w:rPr>
        <w:t xml:space="preserve"> 3.panta trešajā daļā</w:t>
      </w:r>
      <w:r w:rsidR="0019387E">
        <w:rPr>
          <w:rFonts w:ascii="Times New Roman" w:hAnsi="Times New Roman"/>
          <w:sz w:val="28"/>
          <w:szCs w:val="28"/>
          <w:lang w:val="lv-LV"/>
        </w:rPr>
        <w:t xml:space="preserve"> </w:t>
      </w:r>
      <w:r w:rsidRPr="005C232D">
        <w:rPr>
          <w:rFonts w:ascii="Times New Roman" w:hAnsi="Times New Roman"/>
          <w:sz w:val="28"/>
          <w:szCs w:val="28"/>
          <w:lang w:val="lv-LV"/>
        </w:rPr>
        <w:t>noteikto aizsargājamo lietotāju tiesības uz universālo pakalpojumu</w:t>
      </w:r>
      <w:r w:rsidR="0019387E">
        <w:rPr>
          <w:rFonts w:ascii="Times New Roman" w:hAnsi="Times New Roman"/>
          <w:sz w:val="28"/>
          <w:szCs w:val="28"/>
          <w:lang w:val="lv-LV"/>
        </w:rPr>
        <w:t>,</w:t>
      </w:r>
      <w:r w:rsidRPr="005C232D">
        <w:rPr>
          <w:rFonts w:ascii="Times New Roman" w:hAnsi="Times New Roman"/>
          <w:sz w:val="28"/>
          <w:szCs w:val="28"/>
          <w:lang w:val="lv-LV"/>
        </w:rPr>
        <w:t xml:space="preserve"> ir jāpilnveido šobrīd esošais universāla pakalpojuma modeļa finansiālais aspekts, proti, jānosaka cenas veidošanas mehānisms </w:t>
      </w:r>
      <w:r w:rsidR="00512029" w:rsidRPr="005C232D">
        <w:rPr>
          <w:rFonts w:ascii="Times New Roman" w:hAnsi="Times New Roman"/>
          <w:sz w:val="28"/>
          <w:szCs w:val="28"/>
          <w:lang w:val="lv-LV"/>
        </w:rPr>
        <w:t>tiem</w:t>
      </w:r>
      <w:r w:rsidRPr="005C232D">
        <w:rPr>
          <w:rFonts w:ascii="Times New Roman" w:hAnsi="Times New Roman"/>
          <w:sz w:val="28"/>
          <w:szCs w:val="28"/>
          <w:lang w:val="lv-LV"/>
        </w:rPr>
        <w:t xml:space="preserve"> mājsaimniecības lietotājiem, kuri nebūs noslēguši elektroenerģijas tirdzniecības līgumu</w:t>
      </w:r>
      <w:r w:rsidR="00512029" w:rsidRPr="005C232D">
        <w:rPr>
          <w:rFonts w:ascii="Times New Roman" w:hAnsi="Times New Roman"/>
          <w:sz w:val="28"/>
          <w:szCs w:val="28"/>
          <w:lang w:val="lv-LV"/>
        </w:rPr>
        <w:t>, saglabājot to tiesības saņemt elektroenerģiju par skaidri salīdzināmām, pārredzamām un saprātīgām cenā</w:t>
      </w:r>
      <w:r w:rsidR="0037044C">
        <w:rPr>
          <w:rFonts w:ascii="Times New Roman" w:hAnsi="Times New Roman"/>
          <w:sz w:val="28"/>
          <w:szCs w:val="28"/>
          <w:lang w:val="lv-LV"/>
        </w:rPr>
        <w:t>m</w:t>
      </w:r>
      <w:r w:rsidR="00733A18">
        <w:rPr>
          <w:rFonts w:ascii="Times New Roman" w:hAnsi="Times New Roman"/>
          <w:sz w:val="28"/>
          <w:szCs w:val="28"/>
          <w:lang w:val="lv-LV"/>
        </w:rPr>
        <w:t xml:space="preserve">. </w:t>
      </w:r>
    </w:p>
    <w:p w:rsidR="00733A18" w:rsidRPr="008475F6" w:rsidRDefault="00733A18" w:rsidP="006D3EA0">
      <w:pPr>
        <w:spacing w:after="0" w:line="240" w:lineRule="auto"/>
        <w:jc w:val="both"/>
        <w:rPr>
          <w:rFonts w:ascii="Times New Roman" w:hAnsi="Times New Roman"/>
          <w:sz w:val="28"/>
          <w:szCs w:val="28"/>
          <w:lang w:val="lv-LV"/>
        </w:rPr>
      </w:pPr>
    </w:p>
    <w:p w:rsidR="002849E3" w:rsidRDefault="00625B40" w:rsidP="002849E3">
      <w:pPr>
        <w:spacing w:after="0" w:line="240" w:lineRule="auto"/>
        <w:jc w:val="both"/>
        <w:rPr>
          <w:rFonts w:ascii="Times New Roman" w:hAnsi="Times New Roman"/>
          <w:bCs/>
          <w:sz w:val="28"/>
          <w:szCs w:val="28"/>
          <w:lang w:val="lv-LV"/>
        </w:rPr>
      </w:pPr>
      <w:r w:rsidRPr="008475F6">
        <w:rPr>
          <w:rFonts w:ascii="Times New Roman" w:hAnsi="Times New Roman"/>
          <w:bCs/>
          <w:sz w:val="28"/>
          <w:szCs w:val="28"/>
          <w:lang w:val="lv-LV"/>
        </w:rPr>
        <w:t>O</w:t>
      </w:r>
      <w:r w:rsidR="0037044C" w:rsidRPr="008475F6">
        <w:rPr>
          <w:rFonts w:ascii="Times New Roman" w:hAnsi="Times New Roman"/>
          <w:bCs/>
          <w:sz w:val="28"/>
          <w:szCs w:val="28"/>
          <w:lang w:val="lv-LV"/>
        </w:rPr>
        <w:t>trajā tirgus atvēršanas posmā elektroenerģijas tirgus sis</w:t>
      </w:r>
      <w:r w:rsidR="007F1C9D" w:rsidRPr="008475F6">
        <w:rPr>
          <w:rFonts w:ascii="Times New Roman" w:hAnsi="Times New Roman"/>
          <w:bCs/>
          <w:sz w:val="28"/>
          <w:szCs w:val="28"/>
          <w:lang w:val="lv-LV"/>
        </w:rPr>
        <w:t>tēmā tika izveidots instruments, kā pēdējā garantētā piegāde, kas nodrošina elektroenerģijas piegādi tiem elektroenerģijas lietotājiem, kas nav noslēguši elektroenerģijas tirdzniecības līgumu.</w:t>
      </w:r>
      <w:r w:rsidR="007F1C9D" w:rsidRPr="009A6828">
        <w:rPr>
          <w:rFonts w:ascii="Times New Roman" w:hAnsi="Times New Roman"/>
          <w:bCs/>
          <w:sz w:val="28"/>
          <w:szCs w:val="28"/>
          <w:lang w:val="lv-LV"/>
        </w:rPr>
        <w:t xml:space="preserve"> </w:t>
      </w:r>
      <w:r w:rsidR="0037044C" w:rsidRPr="009A6828">
        <w:rPr>
          <w:rFonts w:ascii="Times New Roman" w:hAnsi="Times New Roman"/>
          <w:bCs/>
          <w:sz w:val="28"/>
          <w:szCs w:val="28"/>
          <w:lang w:val="lv-LV"/>
        </w:rPr>
        <w:t xml:space="preserve">Ņemot vērā šī instrumenta veiksmīgu pielietošanu no pēdējā garantētā piegādātāja puses, pēdējā garantētā piegāde būt tas instruments, kas </w:t>
      </w:r>
      <w:r w:rsidR="009A6828" w:rsidRPr="009A6828">
        <w:rPr>
          <w:rFonts w:ascii="Times New Roman" w:hAnsi="Times New Roman"/>
          <w:bCs/>
          <w:sz w:val="28"/>
          <w:szCs w:val="28"/>
          <w:lang w:val="lv-LV"/>
        </w:rPr>
        <w:t xml:space="preserve">būtu piemērojams mājsaimniecības lietotājiem, ja tie nebūs noslēguši </w:t>
      </w:r>
      <w:r w:rsidR="00733A18">
        <w:rPr>
          <w:rFonts w:ascii="Times New Roman" w:hAnsi="Times New Roman"/>
          <w:bCs/>
          <w:sz w:val="28"/>
          <w:szCs w:val="28"/>
          <w:lang w:val="lv-LV"/>
        </w:rPr>
        <w:t xml:space="preserve">elektroenerģijas </w:t>
      </w:r>
      <w:r w:rsidR="009A6828" w:rsidRPr="009A6828">
        <w:rPr>
          <w:rFonts w:ascii="Times New Roman" w:hAnsi="Times New Roman"/>
          <w:bCs/>
          <w:sz w:val="28"/>
          <w:szCs w:val="28"/>
          <w:lang w:val="lv-LV"/>
        </w:rPr>
        <w:t xml:space="preserve">tirdzniecības līgumu. Vienlaikus varētu diskutēt arī par mazo uzņēmumu iespēju saņemt šo pakalpojumu, bet pārējie lietotāji, kas būtu bez </w:t>
      </w:r>
      <w:r w:rsidR="009A6828" w:rsidRPr="009A6828">
        <w:rPr>
          <w:rFonts w:ascii="Times New Roman" w:hAnsi="Times New Roman"/>
          <w:bCs/>
          <w:sz w:val="28"/>
          <w:szCs w:val="28"/>
          <w:lang w:val="lv-LV"/>
        </w:rPr>
        <w:lastRenderedPageBreak/>
        <w:t xml:space="preserve">spēkā esošiem tirdzniecības līgumiem elektroenerģiju saņemtu par balansēšanas cenu. </w:t>
      </w:r>
      <w:r w:rsidR="002849E3" w:rsidRPr="009A6828">
        <w:rPr>
          <w:rFonts w:ascii="Times New Roman" w:hAnsi="Times New Roman"/>
          <w:bCs/>
          <w:sz w:val="28"/>
          <w:szCs w:val="28"/>
          <w:lang w:val="lv-LV"/>
        </w:rPr>
        <w:t>Balansēšanas cenas aprēķinu saskaņā ar Elektroenerģijas tirgus likumu un Tīkla kodeks</w:t>
      </w:r>
      <w:r w:rsidR="002849E3">
        <w:rPr>
          <w:rFonts w:ascii="Times New Roman" w:hAnsi="Times New Roman"/>
          <w:bCs/>
          <w:sz w:val="28"/>
          <w:szCs w:val="28"/>
          <w:lang w:val="lv-LV"/>
        </w:rPr>
        <w:t>u</w:t>
      </w:r>
      <w:r w:rsidR="002849E3" w:rsidRPr="009A6828">
        <w:rPr>
          <w:rFonts w:ascii="Times New Roman" w:hAnsi="Times New Roman"/>
          <w:bCs/>
          <w:sz w:val="28"/>
          <w:szCs w:val="28"/>
          <w:lang w:val="lv-LV"/>
        </w:rPr>
        <w:t xml:space="preserve"> veic pārvades sistēmas operators un balansēšanas pakalpojumu nodrošina tas tirgus dalībnieks ar kuru lietotājam ir noslēgts līgums par balansēšanas pakalpojumu sniegšanu.</w:t>
      </w:r>
    </w:p>
    <w:p w:rsidR="002849E3" w:rsidRDefault="002849E3" w:rsidP="006D3EA0">
      <w:pPr>
        <w:spacing w:after="0" w:line="240" w:lineRule="auto"/>
        <w:jc w:val="both"/>
        <w:rPr>
          <w:rFonts w:ascii="Times New Roman" w:hAnsi="Times New Roman"/>
          <w:bCs/>
          <w:sz w:val="28"/>
          <w:szCs w:val="28"/>
          <w:lang w:val="lv-LV"/>
        </w:rPr>
      </w:pPr>
    </w:p>
    <w:p w:rsidR="002849E3" w:rsidRDefault="002849E3" w:rsidP="006D3EA0">
      <w:pPr>
        <w:spacing w:after="0" w:line="240" w:lineRule="auto"/>
        <w:jc w:val="both"/>
        <w:rPr>
          <w:rFonts w:ascii="Times New Roman" w:hAnsi="Times New Roman"/>
          <w:bCs/>
          <w:sz w:val="28"/>
          <w:szCs w:val="28"/>
          <w:lang w:val="lv-LV"/>
        </w:rPr>
      </w:pPr>
      <w:r>
        <w:rPr>
          <w:rFonts w:ascii="Times New Roman" w:hAnsi="Times New Roman"/>
          <w:bCs/>
          <w:sz w:val="28"/>
          <w:szCs w:val="28"/>
          <w:lang w:val="lv-LV"/>
        </w:rPr>
        <w:t>Pēc vairumtirdzniecības biržas ieviešanas Latvijā, kas dotu uzticamu elektroenerģijas vairumtirdzniecības cenu Latvijas teritorijā, būtu jāpārskata l</w:t>
      </w:r>
      <w:r w:rsidR="009A6828" w:rsidRPr="009A6828">
        <w:rPr>
          <w:rFonts w:ascii="Times New Roman" w:hAnsi="Times New Roman"/>
          <w:bCs/>
          <w:sz w:val="28"/>
          <w:szCs w:val="28"/>
          <w:lang w:val="lv-LV"/>
        </w:rPr>
        <w:t>īdzšinējas pēdējas garantētās piegādes cenas noteikšanas mehānism</w:t>
      </w:r>
      <w:r>
        <w:rPr>
          <w:rFonts w:ascii="Times New Roman" w:hAnsi="Times New Roman"/>
          <w:bCs/>
          <w:sz w:val="28"/>
          <w:szCs w:val="28"/>
          <w:lang w:val="lv-LV"/>
        </w:rPr>
        <w:t>s. P</w:t>
      </w:r>
      <w:r w:rsidR="009A6828" w:rsidRPr="009A6828">
        <w:rPr>
          <w:rFonts w:ascii="Times New Roman" w:hAnsi="Times New Roman"/>
          <w:bCs/>
          <w:sz w:val="28"/>
          <w:szCs w:val="28"/>
          <w:lang w:val="lv-LV"/>
        </w:rPr>
        <w:t xml:space="preserve">ēdējās garantētās piegādes cenu varētu noteikt pēc </w:t>
      </w:r>
      <w:r>
        <w:rPr>
          <w:rFonts w:ascii="Times New Roman" w:hAnsi="Times New Roman"/>
          <w:bCs/>
          <w:sz w:val="28"/>
          <w:szCs w:val="28"/>
          <w:lang w:val="lv-LV"/>
        </w:rPr>
        <w:t xml:space="preserve">vairumtirdzniecības </w:t>
      </w:r>
      <w:r w:rsidR="00F81D3A">
        <w:rPr>
          <w:rFonts w:ascii="Times New Roman" w:hAnsi="Times New Roman"/>
          <w:bCs/>
          <w:sz w:val="28"/>
          <w:szCs w:val="28"/>
          <w:lang w:val="lv-LV"/>
        </w:rPr>
        <w:t xml:space="preserve">biržas vidējās cenas. </w:t>
      </w:r>
    </w:p>
    <w:p w:rsidR="00DC1DC1" w:rsidRDefault="00DC1DC1" w:rsidP="006D3EA0">
      <w:pPr>
        <w:spacing w:after="0" w:line="240" w:lineRule="auto"/>
        <w:jc w:val="both"/>
        <w:rPr>
          <w:rFonts w:ascii="Times New Roman" w:hAnsi="Times New Roman"/>
          <w:bCs/>
          <w:sz w:val="28"/>
          <w:szCs w:val="28"/>
          <w:lang w:val="lv-LV"/>
        </w:rPr>
      </w:pPr>
    </w:p>
    <w:p w:rsidR="009A6828" w:rsidRPr="005D3E7F" w:rsidRDefault="00DC1DC1" w:rsidP="006D3EA0">
      <w:pPr>
        <w:spacing w:after="0" w:line="240" w:lineRule="auto"/>
        <w:jc w:val="both"/>
        <w:rPr>
          <w:rFonts w:ascii="Times New Roman" w:hAnsi="Times New Roman"/>
          <w:bCs/>
          <w:sz w:val="28"/>
          <w:szCs w:val="28"/>
          <w:lang w:val="lv-LV"/>
        </w:rPr>
      </w:pPr>
      <w:r w:rsidRPr="006F02AC">
        <w:rPr>
          <w:rFonts w:ascii="Times New Roman" w:hAnsi="Times New Roman"/>
          <w:bCs/>
          <w:sz w:val="28"/>
          <w:szCs w:val="28"/>
          <w:lang w:val="lv-LV"/>
        </w:rPr>
        <w:t>Līdz šim saistītie lietotāji, lai saņemtu elektroenerģiju ar publisko tirgotāju slēdza tipveida elektroenerģijas piegādes līgumu, ko saskaņā ar Elektroenerģijas tirgus likuma 33.panta ceturto daļu apstiprina</w:t>
      </w:r>
      <w:r w:rsidRPr="005D3E7F">
        <w:rPr>
          <w:rFonts w:ascii="Times New Roman" w:hAnsi="Times New Roman"/>
          <w:bCs/>
          <w:sz w:val="28"/>
          <w:szCs w:val="28"/>
          <w:lang w:val="lv-LV"/>
        </w:rPr>
        <w:t xml:space="preserve"> Sabiedrisko pakalpojumu regulēšanas </w:t>
      </w:r>
      <w:r w:rsidRPr="00041556">
        <w:rPr>
          <w:rFonts w:ascii="Times New Roman" w:hAnsi="Times New Roman"/>
          <w:bCs/>
          <w:sz w:val="28"/>
          <w:szCs w:val="28"/>
          <w:lang w:val="lv-LV"/>
        </w:rPr>
        <w:t>komisija, tādejādi nodrošinot</w:t>
      </w:r>
      <w:r w:rsidR="005D3E7F" w:rsidRPr="00041556">
        <w:rPr>
          <w:rFonts w:ascii="Times New Roman" w:hAnsi="Times New Roman"/>
          <w:bCs/>
          <w:sz w:val="28"/>
          <w:szCs w:val="28"/>
          <w:lang w:val="lv-LV"/>
        </w:rPr>
        <w:t xml:space="preserve"> </w:t>
      </w:r>
      <w:r w:rsidR="005D3E7F" w:rsidRPr="00041556">
        <w:rPr>
          <w:rFonts w:ascii="Times New Roman" w:hAnsi="Times New Roman"/>
          <w:sz w:val="28"/>
          <w:szCs w:val="28"/>
          <w:lang w:val="lv-LV"/>
        </w:rPr>
        <w:t xml:space="preserve">negodīgas </w:t>
      </w:r>
      <w:proofErr w:type="spellStart"/>
      <w:r w:rsidR="005D3E7F" w:rsidRPr="00041556">
        <w:rPr>
          <w:rFonts w:ascii="Times New Roman" w:hAnsi="Times New Roman"/>
          <w:sz w:val="28"/>
          <w:szCs w:val="28"/>
          <w:lang w:val="lv-LV"/>
        </w:rPr>
        <w:t>komercprakses</w:t>
      </w:r>
      <w:proofErr w:type="spellEnd"/>
      <w:r w:rsidR="005D3E7F" w:rsidRPr="00041556">
        <w:rPr>
          <w:rFonts w:ascii="Times New Roman" w:hAnsi="Times New Roman"/>
          <w:sz w:val="28"/>
          <w:szCs w:val="28"/>
          <w:lang w:val="lv-LV"/>
        </w:rPr>
        <w:t xml:space="preserve"> pielietošanu un netaisnīgu līgumu nosacījumu neesamību</w:t>
      </w:r>
      <w:r w:rsidR="005D3E7F" w:rsidRPr="005D3E7F">
        <w:rPr>
          <w:rFonts w:ascii="Times New Roman" w:hAnsi="Times New Roman"/>
          <w:color w:val="FF0000"/>
          <w:sz w:val="28"/>
          <w:szCs w:val="28"/>
          <w:lang w:val="lv-LV"/>
        </w:rPr>
        <w:t>.</w:t>
      </w:r>
      <w:r w:rsidR="005D3E7F">
        <w:rPr>
          <w:rFonts w:ascii="Times New Roman" w:hAnsi="Times New Roman"/>
          <w:bCs/>
          <w:sz w:val="28"/>
          <w:szCs w:val="28"/>
          <w:lang w:val="lv-LV"/>
        </w:rPr>
        <w:t xml:space="preserve"> </w:t>
      </w:r>
      <w:r w:rsidR="00BB19EC" w:rsidRPr="006F02AC">
        <w:rPr>
          <w:rFonts w:ascii="Times New Roman" w:hAnsi="Times New Roman"/>
          <w:bCs/>
          <w:sz w:val="28"/>
          <w:szCs w:val="28"/>
          <w:lang w:val="lv-LV"/>
        </w:rPr>
        <w:t xml:space="preserve">Tirgus apstākļos elektroenerģijas tirdzniecības līguma formu un sastāvu nosaka pusēm vienojoties. Tomēr, lai aizsargātu mājsaimniecības lietotājus, kas ir tirgus dalībnieki </w:t>
      </w:r>
      <w:r w:rsidR="00BB19EC" w:rsidRPr="006F02AC">
        <w:rPr>
          <w:rFonts w:ascii="Times New Roman" w:hAnsi="Times New Roman"/>
          <w:sz w:val="28"/>
          <w:szCs w:val="28"/>
          <w:lang w:val="lv-LV"/>
        </w:rPr>
        <w:t xml:space="preserve">Ministru kabineta 2011.gada 29.novembra noteikumu Nr.914 „Elektroenerģijas tirdzniecības un lietošanas noteikumi” 90.punkts nosaka, tos būtiskos nosacījumus un informāciju, kas tirgotājam ir jāiekļauj elektroenerģijas tirdzniecības līgumā. </w:t>
      </w:r>
    </w:p>
    <w:p w:rsidR="00F44DE3" w:rsidRDefault="00F44DE3" w:rsidP="006D3EA0">
      <w:pPr>
        <w:spacing w:after="0" w:line="240" w:lineRule="auto"/>
        <w:jc w:val="both"/>
        <w:rPr>
          <w:rFonts w:ascii="Times New Roman" w:hAnsi="Times New Roman"/>
          <w:sz w:val="28"/>
          <w:szCs w:val="28"/>
          <w:lang w:val="lv-LV"/>
        </w:rPr>
      </w:pPr>
    </w:p>
    <w:p w:rsidR="009B482B" w:rsidRPr="006F02AC" w:rsidRDefault="009B482B" w:rsidP="006D3EA0">
      <w:pPr>
        <w:spacing w:after="0" w:line="240" w:lineRule="auto"/>
        <w:jc w:val="both"/>
        <w:rPr>
          <w:rFonts w:ascii="Times New Roman" w:hAnsi="Times New Roman"/>
          <w:sz w:val="28"/>
          <w:szCs w:val="28"/>
          <w:lang w:val="lv-LV"/>
        </w:rPr>
      </w:pPr>
      <w:r w:rsidRPr="006F02AC">
        <w:rPr>
          <w:rFonts w:ascii="Times New Roman" w:hAnsi="Times New Roman"/>
          <w:sz w:val="28"/>
          <w:szCs w:val="28"/>
          <w:lang w:val="lv-LV"/>
        </w:rPr>
        <w:t xml:space="preserve">Kā viens no būtiskiem apstākļiem, kas ietekmē </w:t>
      </w:r>
      <w:r w:rsidR="00BD0C49" w:rsidRPr="006F02AC">
        <w:rPr>
          <w:rFonts w:ascii="Times New Roman" w:hAnsi="Times New Roman"/>
          <w:sz w:val="28"/>
          <w:szCs w:val="28"/>
          <w:lang w:val="lv-LV"/>
        </w:rPr>
        <w:t>elektroenerģijas lietotāju iespējas izvēlēties sev izdevīgāko tirgotāju ir elektroenerģijas tirgotāja maiņas process. Saskaņā ar Elektroenerģijas tirgus likuma 35.pantu un Ministru kabineta 2011.gada 29.novembra noteikumu Nr.914 „Elektroenerģijas tirdzniecības un lietošanas noteikumi” 121.punktu par elektroe</w:t>
      </w:r>
      <w:r w:rsidR="00456E53" w:rsidRPr="006F02AC">
        <w:rPr>
          <w:rFonts w:ascii="Times New Roman" w:hAnsi="Times New Roman"/>
          <w:sz w:val="28"/>
          <w:szCs w:val="28"/>
          <w:lang w:val="lv-LV"/>
        </w:rPr>
        <w:t>nerģijas tirgotāja</w:t>
      </w:r>
      <w:r w:rsidR="00BD0C49" w:rsidRPr="006F02AC">
        <w:rPr>
          <w:rFonts w:ascii="Times New Roman" w:hAnsi="Times New Roman"/>
          <w:sz w:val="28"/>
          <w:szCs w:val="28"/>
          <w:lang w:val="lv-LV"/>
        </w:rPr>
        <w:t xml:space="preserve"> izmaiņām sistēmas operatoram jāziņo vismaz 21dienu iepriekš</w:t>
      </w:r>
      <w:r w:rsidR="00456E53" w:rsidRPr="006F02AC">
        <w:rPr>
          <w:rFonts w:ascii="Times New Roman" w:hAnsi="Times New Roman"/>
          <w:sz w:val="28"/>
          <w:szCs w:val="28"/>
          <w:lang w:val="lv-LV"/>
        </w:rPr>
        <w:t>. Eiropas regulatoru padome (</w:t>
      </w:r>
      <w:proofErr w:type="spellStart"/>
      <w:r w:rsidR="00456E53" w:rsidRPr="006F02AC">
        <w:rPr>
          <w:rFonts w:ascii="Times New Roman" w:hAnsi="Times New Roman"/>
          <w:sz w:val="28"/>
          <w:szCs w:val="28"/>
          <w:lang w:val="lv-LV"/>
        </w:rPr>
        <w:t>Council</w:t>
      </w:r>
      <w:proofErr w:type="spellEnd"/>
      <w:r w:rsidR="00456E53" w:rsidRPr="006F02AC">
        <w:rPr>
          <w:rFonts w:ascii="Times New Roman" w:hAnsi="Times New Roman"/>
          <w:sz w:val="28"/>
          <w:szCs w:val="28"/>
          <w:lang w:val="lv-LV"/>
        </w:rPr>
        <w:t xml:space="preserve"> </w:t>
      </w:r>
      <w:proofErr w:type="spellStart"/>
      <w:r w:rsidR="00456E53" w:rsidRPr="006F02AC">
        <w:rPr>
          <w:rFonts w:ascii="Times New Roman" w:hAnsi="Times New Roman"/>
          <w:sz w:val="28"/>
          <w:szCs w:val="28"/>
          <w:lang w:val="lv-LV"/>
        </w:rPr>
        <w:t>of</w:t>
      </w:r>
      <w:proofErr w:type="spellEnd"/>
      <w:r w:rsidR="00456E53" w:rsidRPr="006F02AC">
        <w:rPr>
          <w:rFonts w:ascii="Times New Roman" w:hAnsi="Times New Roman"/>
          <w:sz w:val="28"/>
          <w:szCs w:val="28"/>
          <w:lang w:val="lv-LV"/>
        </w:rPr>
        <w:t xml:space="preserve"> </w:t>
      </w:r>
      <w:proofErr w:type="spellStart"/>
      <w:r w:rsidR="00456E53" w:rsidRPr="006F02AC">
        <w:rPr>
          <w:rFonts w:ascii="Times New Roman" w:hAnsi="Times New Roman"/>
          <w:sz w:val="28"/>
          <w:szCs w:val="28"/>
          <w:lang w:val="lv-LV"/>
        </w:rPr>
        <w:t>European</w:t>
      </w:r>
      <w:proofErr w:type="spellEnd"/>
      <w:r w:rsidR="00456E53" w:rsidRPr="006F02AC">
        <w:rPr>
          <w:rFonts w:ascii="Times New Roman" w:hAnsi="Times New Roman"/>
          <w:sz w:val="28"/>
          <w:szCs w:val="28"/>
          <w:lang w:val="lv-LV"/>
        </w:rPr>
        <w:t xml:space="preserve"> </w:t>
      </w:r>
      <w:proofErr w:type="spellStart"/>
      <w:r w:rsidR="00456E53" w:rsidRPr="006F02AC">
        <w:rPr>
          <w:rFonts w:ascii="Times New Roman" w:hAnsi="Times New Roman"/>
          <w:sz w:val="28"/>
          <w:szCs w:val="28"/>
          <w:lang w:val="lv-LV"/>
        </w:rPr>
        <w:t>Energy</w:t>
      </w:r>
      <w:proofErr w:type="spellEnd"/>
      <w:r w:rsidR="00456E53" w:rsidRPr="006F02AC">
        <w:rPr>
          <w:rFonts w:ascii="Times New Roman" w:hAnsi="Times New Roman"/>
          <w:sz w:val="28"/>
          <w:szCs w:val="28"/>
          <w:lang w:val="lv-LV"/>
        </w:rPr>
        <w:t xml:space="preserve"> Regulators) savā 2012.gada 24.janvāra ziņojumā  par </w:t>
      </w:r>
      <w:r w:rsidR="0051238A" w:rsidRPr="006F02AC">
        <w:rPr>
          <w:rFonts w:ascii="Times New Roman" w:hAnsi="Times New Roman"/>
          <w:sz w:val="28"/>
          <w:szCs w:val="28"/>
          <w:lang w:val="lv-LV"/>
        </w:rPr>
        <w:t>labās prakses vadlīnijām elektroenerģijas mazumtirdzniecībā ir norādījusi,  ka tiešie ieguvēji no ātras un efektīvas tirgotāju maiņas būs elektroenerģijas</w:t>
      </w:r>
      <w:r w:rsidR="006D5856" w:rsidRPr="006F02AC">
        <w:rPr>
          <w:rFonts w:ascii="Times New Roman" w:hAnsi="Times New Roman"/>
          <w:sz w:val="28"/>
          <w:szCs w:val="28"/>
          <w:lang w:val="lv-LV"/>
        </w:rPr>
        <w:t xml:space="preserve"> lietotāji, jo tie spēs ātrāk reaģēt uz tirgus apstākļiem, novērsīs administratīvās barjeras un vairos lietotāju iesaistīšanos tirgus procesos.</w:t>
      </w:r>
      <w:r w:rsidR="0051238A" w:rsidRPr="006F02AC">
        <w:rPr>
          <w:rFonts w:ascii="Times New Roman" w:hAnsi="Times New Roman"/>
          <w:sz w:val="28"/>
          <w:szCs w:val="28"/>
          <w:lang w:val="lv-LV"/>
        </w:rPr>
        <w:t xml:space="preserve"> Padome iesaka tirgotāju maiņas </w:t>
      </w:r>
      <w:r w:rsidR="006D5856" w:rsidRPr="006F02AC">
        <w:rPr>
          <w:rFonts w:ascii="Times New Roman" w:hAnsi="Times New Roman"/>
          <w:sz w:val="28"/>
          <w:szCs w:val="28"/>
          <w:lang w:val="lv-LV"/>
        </w:rPr>
        <w:t>procesu pēc iespējas saīsināt</w:t>
      </w:r>
      <w:r w:rsidR="00BA586F" w:rsidRPr="006F02AC">
        <w:rPr>
          <w:rFonts w:ascii="Times New Roman" w:hAnsi="Times New Roman"/>
          <w:sz w:val="28"/>
          <w:szCs w:val="28"/>
          <w:lang w:val="lv-LV"/>
        </w:rPr>
        <w:t>, tuvinot to 24 stundu termiņam.</w:t>
      </w:r>
    </w:p>
    <w:p w:rsidR="00BA586F" w:rsidRPr="006F02AC" w:rsidRDefault="00BA586F" w:rsidP="006D3EA0">
      <w:pPr>
        <w:spacing w:after="0" w:line="240" w:lineRule="auto"/>
        <w:jc w:val="both"/>
        <w:rPr>
          <w:rFonts w:ascii="Times New Roman" w:hAnsi="Times New Roman"/>
          <w:sz w:val="28"/>
          <w:szCs w:val="28"/>
          <w:lang w:val="lv-LV"/>
        </w:rPr>
      </w:pPr>
    </w:p>
    <w:p w:rsidR="00BA586F" w:rsidRPr="006F02AC" w:rsidRDefault="00BA586F" w:rsidP="006D3EA0">
      <w:pPr>
        <w:spacing w:after="0" w:line="240" w:lineRule="auto"/>
        <w:jc w:val="both"/>
        <w:rPr>
          <w:rFonts w:ascii="Times New Roman" w:hAnsi="Times New Roman"/>
          <w:sz w:val="28"/>
          <w:szCs w:val="28"/>
          <w:lang w:val="lv-LV"/>
        </w:rPr>
      </w:pPr>
      <w:r w:rsidRPr="006F02AC">
        <w:rPr>
          <w:rFonts w:ascii="Times New Roman" w:hAnsi="Times New Roman"/>
          <w:sz w:val="28"/>
          <w:szCs w:val="28"/>
          <w:lang w:val="lv-LV"/>
        </w:rPr>
        <w:t>Vērtējot šo Eiropas regulatoru padomes secinājumus kopsakarā ar Latvijā pastāvošo tirgotāja maiņas procesu, ir jāvērtē arī Latvijā pēc iespējas samazināt tirgotāja maiņas procesam nepieciešamo laiku.</w:t>
      </w:r>
      <w:r w:rsidR="00264B78" w:rsidRPr="006F02AC">
        <w:rPr>
          <w:rFonts w:ascii="Times New Roman" w:hAnsi="Times New Roman"/>
          <w:sz w:val="28"/>
          <w:szCs w:val="28"/>
          <w:lang w:val="lv-LV"/>
        </w:rPr>
        <w:t xml:space="preserve"> Ņemot vērā, ka Latvijas elektroenerģijas tirgus tiek veidots, kā par piemēru ņemot Skandināvijas elektroenerģijas tirgus modeli, tad tirgotāja maiņas procesu Latvijā varētu veidot pēc līdzīgiem principiem, piemēram, Norvēģijā par tirgotāja maiņu sistēmas </w:t>
      </w:r>
      <w:r w:rsidR="00264B78" w:rsidRPr="006F02AC">
        <w:rPr>
          <w:rFonts w:ascii="Times New Roman" w:hAnsi="Times New Roman"/>
          <w:sz w:val="28"/>
          <w:szCs w:val="28"/>
          <w:lang w:val="lv-LV"/>
        </w:rPr>
        <w:lastRenderedPageBreak/>
        <w:t>operators ir jāinformē vienu nedēļu iepriekš, Zviedrijā un Somijā divas nedēļas iepriekš.</w:t>
      </w:r>
    </w:p>
    <w:p w:rsidR="009B482B" w:rsidRPr="006F02AC" w:rsidRDefault="009B482B" w:rsidP="006D3EA0">
      <w:pPr>
        <w:spacing w:after="0" w:line="240" w:lineRule="auto"/>
        <w:jc w:val="both"/>
        <w:rPr>
          <w:rFonts w:ascii="Times New Roman" w:hAnsi="Times New Roman"/>
          <w:sz w:val="28"/>
          <w:szCs w:val="28"/>
          <w:lang w:val="lv-LV"/>
        </w:rPr>
      </w:pPr>
    </w:p>
    <w:p w:rsidR="002E0C88" w:rsidRPr="006F02AC" w:rsidRDefault="00AD6AA5" w:rsidP="006D3EA0">
      <w:pPr>
        <w:spacing w:after="0" w:line="240" w:lineRule="auto"/>
        <w:jc w:val="both"/>
        <w:rPr>
          <w:rFonts w:ascii="Times New Roman" w:hAnsi="Times New Roman"/>
          <w:sz w:val="28"/>
          <w:szCs w:val="28"/>
          <w:lang w:val="lv-LV"/>
        </w:rPr>
      </w:pPr>
      <w:r>
        <w:rPr>
          <w:rFonts w:ascii="Times New Roman" w:hAnsi="Times New Roman"/>
          <w:sz w:val="28"/>
          <w:szCs w:val="28"/>
          <w:lang w:val="lv-LV"/>
        </w:rPr>
        <w:t>Plānots</w:t>
      </w:r>
      <w:r w:rsidR="002E0C88" w:rsidRPr="006F02AC">
        <w:rPr>
          <w:rFonts w:ascii="Times New Roman" w:hAnsi="Times New Roman"/>
          <w:sz w:val="28"/>
          <w:szCs w:val="28"/>
          <w:lang w:val="lv-LV"/>
        </w:rPr>
        <w:t xml:space="preserve"> ka 2013.gada ietvaros Latvijā darbību varētu uzsākt </w:t>
      </w:r>
      <w:proofErr w:type="spellStart"/>
      <w:r w:rsidR="002E0C88" w:rsidRPr="006F02AC">
        <w:rPr>
          <w:rFonts w:ascii="Times New Roman" w:hAnsi="Times New Roman"/>
          <w:sz w:val="28"/>
          <w:szCs w:val="28"/>
          <w:lang w:val="lv-LV"/>
        </w:rPr>
        <w:t>Nord</w:t>
      </w:r>
      <w:proofErr w:type="spellEnd"/>
      <w:r w:rsidR="002E0C88" w:rsidRPr="006F02AC">
        <w:rPr>
          <w:rFonts w:ascii="Times New Roman" w:hAnsi="Times New Roman"/>
          <w:sz w:val="28"/>
          <w:szCs w:val="28"/>
          <w:lang w:val="lv-LV"/>
        </w:rPr>
        <w:t xml:space="preserve"> </w:t>
      </w:r>
      <w:proofErr w:type="spellStart"/>
      <w:r w:rsidR="002E0C88" w:rsidRPr="006F02AC">
        <w:rPr>
          <w:rFonts w:ascii="Times New Roman" w:hAnsi="Times New Roman"/>
          <w:sz w:val="28"/>
          <w:szCs w:val="28"/>
          <w:lang w:val="lv-LV"/>
        </w:rPr>
        <w:t>Pool</w:t>
      </w:r>
      <w:proofErr w:type="spellEnd"/>
      <w:r w:rsidR="002E0C88" w:rsidRPr="006F02AC">
        <w:rPr>
          <w:rFonts w:ascii="Times New Roman" w:hAnsi="Times New Roman"/>
          <w:sz w:val="28"/>
          <w:szCs w:val="28"/>
          <w:lang w:val="lv-LV"/>
        </w:rPr>
        <w:t xml:space="preserve"> </w:t>
      </w:r>
      <w:proofErr w:type="spellStart"/>
      <w:r w:rsidR="002E0C88" w:rsidRPr="006F02AC">
        <w:rPr>
          <w:rFonts w:ascii="Times New Roman" w:hAnsi="Times New Roman"/>
          <w:sz w:val="28"/>
          <w:szCs w:val="28"/>
          <w:lang w:val="lv-LV"/>
        </w:rPr>
        <w:t>Spot</w:t>
      </w:r>
      <w:proofErr w:type="spellEnd"/>
      <w:r w:rsidR="002E0C88" w:rsidRPr="006F02AC">
        <w:rPr>
          <w:rFonts w:ascii="Times New Roman" w:hAnsi="Times New Roman"/>
          <w:sz w:val="28"/>
          <w:szCs w:val="28"/>
          <w:lang w:val="lv-LV"/>
        </w:rPr>
        <w:t xml:space="preserve"> elektroenerģijas vairumtirdzniecības birža, kas radīs uzticamu Latvijā tirgotās elektroenerģijas atsauces cenu. Ņemot vērā ka</w:t>
      </w:r>
      <w:r w:rsidR="00515C60" w:rsidRPr="006F02AC">
        <w:rPr>
          <w:rFonts w:ascii="Times New Roman" w:hAnsi="Times New Roman"/>
          <w:sz w:val="28"/>
          <w:szCs w:val="28"/>
          <w:lang w:val="lv-LV"/>
        </w:rPr>
        <w:t xml:space="preserve"> pilnīga tirgus atvēršanas ietvaros ir plānots mainīt un pilnveidot atsevišķu elektroenerģijas tirgus pakalpojumu modeli (pēdējā garantētā piegāde), Ekonomikas ministrijas ieskatā tirgus atvēršanai mājsaimniecībām būtu jā</w:t>
      </w:r>
      <w:r w:rsidR="005D3E7F">
        <w:rPr>
          <w:rFonts w:ascii="Times New Roman" w:hAnsi="Times New Roman"/>
          <w:sz w:val="28"/>
          <w:szCs w:val="28"/>
          <w:lang w:val="lv-LV"/>
        </w:rPr>
        <w:t xml:space="preserve">notiek </w:t>
      </w:r>
      <w:r w:rsidR="008A6C04">
        <w:rPr>
          <w:rFonts w:ascii="Times New Roman" w:hAnsi="Times New Roman"/>
          <w:sz w:val="28"/>
          <w:szCs w:val="28"/>
          <w:lang w:val="lv-LV"/>
        </w:rPr>
        <w:t>vienu</w:t>
      </w:r>
      <w:r w:rsidR="005D3E7F">
        <w:rPr>
          <w:rFonts w:ascii="Times New Roman" w:hAnsi="Times New Roman"/>
          <w:sz w:val="28"/>
          <w:szCs w:val="28"/>
          <w:lang w:val="lv-LV"/>
        </w:rPr>
        <w:t xml:space="preserve"> </w:t>
      </w:r>
      <w:r w:rsidR="00515C60" w:rsidRPr="006F02AC">
        <w:rPr>
          <w:rFonts w:ascii="Times New Roman" w:hAnsi="Times New Roman"/>
          <w:sz w:val="28"/>
          <w:szCs w:val="28"/>
          <w:lang w:val="lv-LV"/>
        </w:rPr>
        <w:t>mēne</w:t>
      </w:r>
      <w:r w:rsidR="008A6C04">
        <w:rPr>
          <w:rFonts w:ascii="Times New Roman" w:hAnsi="Times New Roman"/>
          <w:sz w:val="28"/>
          <w:szCs w:val="28"/>
          <w:lang w:val="lv-LV"/>
        </w:rPr>
        <w:t>si</w:t>
      </w:r>
      <w:r w:rsidR="00515C60" w:rsidRPr="006F02AC">
        <w:rPr>
          <w:rFonts w:ascii="Times New Roman" w:hAnsi="Times New Roman"/>
          <w:sz w:val="28"/>
          <w:szCs w:val="28"/>
          <w:lang w:val="lv-LV"/>
        </w:rPr>
        <w:t xml:space="preserve"> pēc Latvijas tirdzniecības apgabala izveidošanas.</w:t>
      </w:r>
    </w:p>
    <w:p w:rsidR="002E0C88" w:rsidRPr="00515C60" w:rsidRDefault="002E0C88" w:rsidP="006D3EA0">
      <w:pPr>
        <w:spacing w:after="0" w:line="240" w:lineRule="auto"/>
        <w:jc w:val="both"/>
        <w:rPr>
          <w:rFonts w:ascii="Times New Roman" w:hAnsi="Times New Roman"/>
          <w:color w:val="FF0000"/>
          <w:sz w:val="28"/>
          <w:szCs w:val="28"/>
          <w:lang w:val="lv-LV"/>
        </w:rPr>
      </w:pPr>
    </w:p>
    <w:p w:rsidR="007565ED" w:rsidRDefault="002F5E7C" w:rsidP="006D3EA0">
      <w:pPr>
        <w:spacing w:after="0" w:line="240" w:lineRule="auto"/>
        <w:jc w:val="both"/>
        <w:rPr>
          <w:rFonts w:ascii="Times New Roman" w:hAnsi="Times New Roman"/>
          <w:sz w:val="28"/>
          <w:szCs w:val="28"/>
          <w:lang w:val="lv-LV"/>
        </w:rPr>
      </w:pPr>
      <w:r w:rsidRPr="006F02AC">
        <w:rPr>
          <w:rFonts w:ascii="Times New Roman" w:hAnsi="Times New Roman"/>
          <w:sz w:val="28"/>
          <w:szCs w:val="28"/>
          <w:lang w:val="lv-LV"/>
        </w:rPr>
        <w:t>Ekonomikas ministrija</w:t>
      </w:r>
      <w:r w:rsidR="0019387E" w:rsidRPr="006F02AC">
        <w:rPr>
          <w:rFonts w:ascii="Times New Roman" w:hAnsi="Times New Roman"/>
          <w:sz w:val="28"/>
          <w:szCs w:val="28"/>
          <w:lang w:val="lv-LV"/>
        </w:rPr>
        <w:t>s</w:t>
      </w:r>
      <w:r w:rsidRPr="006F02AC">
        <w:rPr>
          <w:rFonts w:ascii="Times New Roman" w:hAnsi="Times New Roman"/>
          <w:sz w:val="28"/>
          <w:szCs w:val="28"/>
          <w:lang w:val="lv-LV"/>
        </w:rPr>
        <w:t xml:space="preserve"> ieskatā tirgus atvēršana mājsaimniecībām varē</w:t>
      </w:r>
      <w:r w:rsidR="00515C60" w:rsidRPr="006F02AC">
        <w:rPr>
          <w:rFonts w:ascii="Times New Roman" w:hAnsi="Times New Roman"/>
          <w:sz w:val="28"/>
          <w:szCs w:val="28"/>
          <w:lang w:val="lv-LV"/>
        </w:rPr>
        <w:t xml:space="preserve">tu notikt 2013.gada 1.septembrī, ja līdz tam </w:t>
      </w:r>
      <w:r w:rsidR="00852062" w:rsidRPr="006F02AC">
        <w:rPr>
          <w:rFonts w:ascii="Times New Roman" w:hAnsi="Times New Roman"/>
          <w:sz w:val="28"/>
          <w:szCs w:val="28"/>
          <w:lang w:val="lv-LV"/>
        </w:rPr>
        <w:t xml:space="preserve">būs uzsākusi </w:t>
      </w:r>
      <w:r w:rsidR="00515C60" w:rsidRPr="006F02AC">
        <w:rPr>
          <w:rFonts w:ascii="Times New Roman" w:hAnsi="Times New Roman"/>
          <w:sz w:val="28"/>
          <w:szCs w:val="28"/>
          <w:lang w:val="lv-LV"/>
        </w:rPr>
        <w:t>darboties elektroenerģijas vairumtirdzniecības birža</w:t>
      </w:r>
      <w:r w:rsidR="00515C60" w:rsidRPr="00515C60">
        <w:rPr>
          <w:rFonts w:ascii="Times New Roman" w:hAnsi="Times New Roman"/>
          <w:color w:val="FF0000"/>
          <w:sz w:val="28"/>
          <w:szCs w:val="28"/>
          <w:lang w:val="lv-LV"/>
        </w:rPr>
        <w:t>.</w:t>
      </w:r>
      <w:r w:rsidRPr="005C232D">
        <w:rPr>
          <w:rFonts w:ascii="Times New Roman" w:hAnsi="Times New Roman"/>
          <w:sz w:val="28"/>
          <w:szCs w:val="28"/>
          <w:lang w:val="lv-LV"/>
        </w:rPr>
        <w:t xml:space="preserve"> </w:t>
      </w:r>
      <w:r w:rsidR="0019387E">
        <w:rPr>
          <w:rFonts w:ascii="Times New Roman" w:hAnsi="Times New Roman"/>
          <w:sz w:val="28"/>
          <w:szCs w:val="28"/>
          <w:lang w:val="lv-LV"/>
        </w:rPr>
        <w:t xml:space="preserve">Lai to paveiktu sekmīgi un efektīvi, </w:t>
      </w:r>
      <w:r w:rsidR="0019387E" w:rsidRPr="005C232D">
        <w:rPr>
          <w:rFonts w:ascii="Times New Roman" w:hAnsi="Times New Roman"/>
          <w:sz w:val="28"/>
          <w:szCs w:val="28"/>
          <w:lang w:val="lv-LV"/>
        </w:rPr>
        <w:t xml:space="preserve">jāņem vērā tirgus prognozes, jo </w:t>
      </w:r>
      <w:r w:rsidR="0019387E">
        <w:rPr>
          <w:rFonts w:ascii="Times New Roman" w:hAnsi="Times New Roman"/>
          <w:sz w:val="28"/>
          <w:szCs w:val="28"/>
          <w:lang w:val="lv-LV"/>
        </w:rPr>
        <w:t xml:space="preserve">elektroenerģijas </w:t>
      </w:r>
      <w:r w:rsidR="0019387E" w:rsidRPr="005C232D">
        <w:rPr>
          <w:rFonts w:ascii="Times New Roman" w:hAnsi="Times New Roman"/>
          <w:sz w:val="28"/>
          <w:szCs w:val="28"/>
          <w:lang w:val="lv-LV"/>
        </w:rPr>
        <w:t xml:space="preserve">tirgus </w:t>
      </w:r>
      <w:r w:rsidR="0019387E">
        <w:rPr>
          <w:rFonts w:ascii="Times New Roman" w:hAnsi="Times New Roman"/>
          <w:sz w:val="28"/>
          <w:szCs w:val="28"/>
          <w:lang w:val="lv-LV"/>
        </w:rPr>
        <w:t xml:space="preserve">Latvijā ir </w:t>
      </w:r>
      <w:r w:rsidR="0019387E" w:rsidRPr="005C232D">
        <w:rPr>
          <w:rFonts w:ascii="Times New Roman" w:hAnsi="Times New Roman"/>
          <w:sz w:val="28"/>
          <w:szCs w:val="28"/>
          <w:lang w:val="lv-LV"/>
        </w:rPr>
        <w:t xml:space="preserve">izteikti sezonāls ar būtiskām cenu svārstībām vasaras-ziemas mēnešos, tāpēc </w:t>
      </w:r>
      <w:r w:rsidR="00ED49E7" w:rsidRPr="005C232D">
        <w:rPr>
          <w:rFonts w:ascii="Times New Roman" w:hAnsi="Times New Roman"/>
          <w:sz w:val="28"/>
          <w:szCs w:val="28"/>
          <w:lang w:val="lv-LV"/>
        </w:rPr>
        <w:t xml:space="preserve">jāveido maksimāli izdevīgāki apstākļi </w:t>
      </w:r>
      <w:r w:rsidR="0019387E" w:rsidRPr="005C232D">
        <w:rPr>
          <w:rFonts w:ascii="Times New Roman" w:hAnsi="Times New Roman"/>
          <w:sz w:val="28"/>
          <w:szCs w:val="28"/>
          <w:lang w:val="lv-LV"/>
        </w:rPr>
        <w:t xml:space="preserve">tirgus jaunpienācējiem. </w:t>
      </w:r>
      <w:r w:rsidR="0019387E">
        <w:rPr>
          <w:rFonts w:ascii="Times New Roman" w:hAnsi="Times New Roman"/>
          <w:sz w:val="28"/>
          <w:szCs w:val="28"/>
          <w:lang w:val="lv-LV"/>
        </w:rPr>
        <w:t>Tāpat l</w:t>
      </w:r>
      <w:r w:rsidRPr="005C232D">
        <w:rPr>
          <w:rFonts w:ascii="Times New Roman" w:hAnsi="Times New Roman"/>
          <w:sz w:val="28"/>
          <w:szCs w:val="28"/>
          <w:lang w:val="lv-LV"/>
        </w:rPr>
        <w:t>īdz šim laikam būs iegūta Igaunijas pieredze t</w:t>
      </w:r>
      <w:r w:rsidR="00512029" w:rsidRPr="005C232D">
        <w:rPr>
          <w:rFonts w:ascii="Times New Roman" w:hAnsi="Times New Roman"/>
          <w:sz w:val="28"/>
          <w:szCs w:val="28"/>
          <w:lang w:val="lv-LV"/>
        </w:rPr>
        <w:t>irgus atvēršan</w:t>
      </w:r>
      <w:r w:rsidR="0019387E">
        <w:rPr>
          <w:rFonts w:ascii="Times New Roman" w:hAnsi="Times New Roman"/>
          <w:sz w:val="28"/>
          <w:szCs w:val="28"/>
          <w:lang w:val="lv-LV"/>
        </w:rPr>
        <w:t>ā</w:t>
      </w:r>
      <w:r w:rsidR="00512029" w:rsidRPr="005C232D">
        <w:rPr>
          <w:rFonts w:ascii="Times New Roman" w:hAnsi="Times New Roman"/>
          <w:sz w:val="28"/>
          <w:szCs w:val="28"/>
          <w:lang w:val="lv-LV"/>
        </w:rPr>
        <w:t xml:space="preserve"> mājsaimniecībām,</w:t>
      </w:r>
      <w:r w:rsidR="0019387E">
        <w:rPr>
          <w:rFonts w:ascii="Times New Roman" w:hAnsi="Times New Roman"/>
          <w:sz w:val="28"/>
          <w:szCs w:val="28"/>
          <w:lang w:val="lv-LV"/>
        </w:rPr>
        <w:t xml:space="preserve"> kas Latvijai</w:t>
      </w:r>
      <w:r w:rsidR="008264F3">
        <w:rPr>
          <w:rFonts w:ascii="Times New Roman" w:hAnsi="Times New Roman"/>
          <w:sz w:val="28"/>
          <w:szCs w:val="28"/>
          <w:lang w:val="lv-LV"/>
        </w:rPr>
        <w:t xml:space="preserve"> var būtiski palīdzēt pilnīgas tirgus atvēršanas</w:t>
      </w:r>
      <w:r w:rsidR="0019387E">
        <w:rPr>
          <w:rFonts w:ascii="Times New Roman" w:hAnsi="Times New Roman"/>
          <w:sz w:val="28"/>
          <w:szCs w:val="28"/>
          <w:lang w:val="lv-LV"/>
        </w:rPr>
        <w:t xml:space="preserve"> </w:t>
      </w:r>
      <w:r w:rsidR="00512029" w:rsidRPr="005C232D">
        <w:rPr>
          <w:rFonts w:ascii="Times New Roman" w:hAnsi="Times New Roman"/>
          <w:sz w:val="28"/>
          <w:szCs w:val="28"/>
          <w:lang w:val="lv-LV"/>
        </w:rPr>
        <w:t xml:space="preserve"> </w:t>
      </w:r>
      <w:r w:rsidR="008264F3">
        <w:rPr>
          <w:rFonts w:ascii="Times New Roman" w:hAnsi="Times New Roman"/>
          <w:sz w:val="28"/>
          <w:szCs w:val="28"/>
          <w:lang w:val="lv-LV"/>
        </w:rPr>
        <w:t xml:space="preserve">procesā. </w:t>
      </w:r>
    </w:p>
    <w:p w:rsidR="00DD0A77" w:rsidRDefault="00DD0A77" w:rsidP="006D3EA0">
      <w:pPr>
        <w:spacing w:after="0" w:line="240" w:lineRule="auto"/>
        <w:jc w:val="both"/>
        <w:rPr>
          <w:rFonts w:ascii="Times New Roman" w:hAnsi="Times New Roman"/>
          <w:sz w:val="28"/>
          <w:szCs w:val="28"/>
          <w:lang w:val="lv-LV"/>
        </w:rPr>
      </w:pPr>
    </w:p>
    <w:p w:rsidR="00AD6AA5" w:rsidRDefault="00B8208A" w:rsidP="006D3EA0">
      <w:pPr>
        <w:spacing w:after="0" w:line="240" w:lineRule="auto"/>
        <w:jc w:val="both"/>
        <w:rPr>
          <w:rFonts w:ascii="Times New Roman" w:hAnsi="Times New Roman"/>
          <w:sz w:val="28"/>
          <w:szCs w:val="28"/>
          <w:lang w:val="lv-LV"/>
        </w:rPr>
      </w:pPr>
      <w:r w:rsidRPr="00B8208A">
        <w:rPr>
          <w:rFonts w:ascii="Times New Roman" w:hAnsi="Times New Roman"/>
          <w:noProof/>
          <w:sz w:val="28"/>
          <w:szCs w:val="28"/>
          <w:lang w:val="lv-LV" w:eastAsia="lv-LV"/>
        </w:rPr>
        <w:drawing>
          <wp:inline distT="0" distB="0" distL="0" distR="0">
            <wp:extent cx="5781675" cy="2181860"/>
            <wp:effectExtent l="0" t="0" r="0" b="0"/>
            <wp:docPr id="9"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AD6AA5" w:rsidRDefault="00AD6AA5" w:rsidP="00AD6AA5">
      <w:pPr>
        <w:pStyle w:val="Default"/>
        <w:jc w:val="both"/>
        <w:rPr>
          <w:rStyle w:val="hps"/>
          <w:rFonts w:ascii="Times New Roman" w:hAnsi="Times New Roman" w:cs="Times New Roman"/>
          <w:color w:val="auto"/>
        </w:rPr>
      </w:pPr>
      <w:r w:rsidRPr="00694BA7">
        <w:rPr>
          <w:rStyle w:val="hps"/>
          <w:rFonts w:ascii="Times New Roman" w:hAnsi="Times New Roman" w:cs="Times New Roman"/>
          <w:i/>
          <w:color w:val="auto"/>
        </w:rPr>
        <w:t>*</w:t>
      </w:r>
      <w:r w:rsidRPr="006F02AC">
        <w:rPr>
          <w:rStyle w:val="hps"/>
          <w:rFonts w:ascii="Times New Roman" w:hAnsi="Times New Roman" w:cs="Times New Roman"/>
          <w:i/>
          <w:color w:val="auto"/>
        </w:rPr>
        <w:t xml:space="preserve">Elektroenerģijas vairumtirdzniecības cenu prognoze Latvijai tuvākajā </w:t>
      </w:r>
      <w:proofErr w:type="spellStart"/>
      <w:r w:rsidRPr="006F02AC">
        <w:rPr>
          <w:rStyle w:val="hps"/>
          <w:rFonts w:ascii="Times New Roman" w:hAnsi="Times New Roman" w:cs="Times New Roman"/>
          <w:i/>
          <w:color w:val="auto"/>
        </w:rPr>
        <w:t>Nord</w:t>
      </w:r>
      <w:proofErr w:type="spellEnd"/>
      <w:r w:rsidRPr="006F02AC">
        <w:rPr>
          <w:rStyle w:val="hps"/>
          <w:rFonts w:ascii="Times New Roman" w:hAnsi="Times New Roman" w:cs="Times New Roman"/>
          <w:i/>
          <w:color w:val="auto"/>
        </w:rPr>
        <w:t xml:space="preserve"> </w:t>
      </w:r>
      <w:proofErr w:type="spellStart"/>
      <w:r w:rsidRPr="006F02AC">
        <w:rPr>
          <w:rStyle w:val="hps"/>
          <w:rFonts w:ascii="Times New Roman" w:hAnsi="Times New Roman" w:cs="Times New Roman"/>
          <w:i/>
          <w:color w:val="auto"/>
        </w:rPr>
        <w:t>Pool</w:t>
      </w:r>
      <w:proofErr w:type="spellEnd"/>
      <w:r w:rsidRPr="006F02AC">
        <w:rPr>
          <w:rStyle w:val="hps"/>
          <w:rFonts w:ascii="Times New Roman" w:hAnsi="Times New Roman" w:cs="Times New Roman"/>
          <w:i/>
          <w:color w:val="auto"/>
        </w:rPr>
        <w:t xml:space="preserve"> </w:t>
      </w:r>
      <w:proofErr w:type="spellStart"/>
      <w:r w:rsidRPr="006F02AC">
        <w:rPr>
          <w:rStyle w:val="hps"/>
          <w:rFonts w:ascii="Times New Roman" w:hAnsi="Times New Roman" w:cs="Times New Roman"/>
          <w:i/>
          <w:color w:val="auto"/>
        </w:rPr>
        <w:t>Spot</w:t>
      </w:r>
      <w:proofErr w:type="spellEnd"/>
      <w:r w:rsidRPr="006F02AC">
        <w:rPr>
          <w:rStyle w:val="hps"/>
          <w:rFonts w:ascii="Times New Roman" w:hAnsi="Times New Roman" w:cs="Times New Roman"/>
          <w:i/>
          <w:color w:val="auto"/>
        </w:rPr>
        <w:t xml:space="preserve"> elektroenerģijas tirdzniecības apgabalā (Somija), kurā tiek piedāvāti elektroenerģijas tirgus </w:t>
      </w:r>
      <w:proofErr w:type="spellStart"/>
      <w:r w:rsidRPr="006F02AC">
        <w:rPr>
          <w:rStyle w:val="hps"/>
          <w:rFonts w:ascii="Times New Roman" w:hAnsi="Times New Roman" w:cs="Times New Roman"/>
          <w:i/>
          <w:color w:val="auto"/>
        </w:rPr>
        <w:t>derivatīvu</w:t>
      </w:r>
      <w:proofErr w:type="spellEnd"/>
      <w:r w:rsidRPr="006F02AC">
        <w:rPr>
          <w:rStyle w:val="hps"/>
          <w:rFonts w:ascii="Times New Roman" w:hAnsi="Times New Roman" w:cs="Times New Roman"/>
          <w:i/>
          <w:color w:val="auto"/>
        </w:rPr>
        <w:t xml:space="preserve"> produkti</w:t>
      </w:r>
      <w:r w:rsidR="00DD0A77">
        <w:rPr>
          <w:rStyle w:val="hps"/>
          <w:rFonts w:ascii="Times New Roman" w:hAnsi="Times New Roman" w:cs="Times New Roman"/>
          <w:i/>
          <w:color w:val="auto"/>
        </w:rPr>
        <w:t xml:space="preserve">. (2012.gada </w:t>
      </w:r>
      <w:r w:rsidR="001C7E39">
        <w:rPr>
          <w:rStyle w:val="hps"/>
          <w:rFonts w:ascii="Times New Roman" w:hAnsi="Times New Roman" w:cs="Times New Roman"/>
          <w:i/>
          <w:color w:val="auto"/>
        </w:rPr>
        <w:t>31</w:t>
      </w:r>
      <w:r w:rsidR="00DD0A77">
        <w:rPr>
          <w:rStyle w:val="hps"/>
          <w:rFonts w:ascii="Times New Roman" w:hAnsi="Times New Roman" w:cs="Times New Roman"/>
          <w:i/>
          <w:color w:val="auto"/>
        </w:rPr>
        <w:t>.oktobra dati)</w:t>
      </w:r>
    </w:p>
    <w:p w:rsidR="00AD6AA5" w:rsidRDefault="00AD6AA5" w:rsidP="006D3EA0">
      <w:pPr>
        <w:spacing w:after="0" w:line="240" w:lineRule="auto"/>
        <w:jc w:val="both"/>
        <w:rPr>
          <w:rFonts w:ascii="Times New Roman" w:hAnsi="Times New Roman"/>
          <w:sz w:val="28"/>
          <w:szCs w:val="28"/>
          <w:lang w:val="lv-LV"/>
        </w:rPr>
      </w:pPr>
    </w:p>
    <w:p w:rsidR="00852062" w:rsidRPr="005C232D" w:rsidRDefault="00852062" w:rsidP="006D3EA0">
      <w:pPr>
        <w:spacing w:after="0" w:line="240" w:lineRule="auto"/>
        <w:jc w:val="both"/>
        <w:rPr>
          <w:rFonts w:ascii="Times New Roman" w:hAnsi="Times New Roman"/>
          <w:sz w:val="28"/>
          <w:szCs w:val="28"/>
          <w:lang w:val="lv-LV"/>
        </w:rPr>
      </w:pPr>
      <w:r>
        <w:rPr>
          <w:rFonts w:ascii="Times New Roman" w:hAnsi="Times New Roman"/>
          <w:sz w:val="28"/>
          <w:szCs w:val="28"/>
          <w:lang w:val="lv-LV"/>
        </w:rPr>
        <w:t>Lai nodrošinātu,  ka tirgus dalībnieki tiktu savlaicīgi un pietiekami labi informēti par gaidāmo tirgus atvēršanu, Ekonomikas ministrijai sadarbībā ar tirgus atvēršanā iesaistītajiem pusēm ir jāizstrādā sabiedrības informēšanas plāns</w:t>
      </w:r>
    </w:p>
    <w:p w:rsidR="00083A32" w:rsidRPr="005C232D" w:rsidRDefault="00083A32" w:rsidP="006D3EA0">
      <w:pPr>
        <w:spacing w:after="0" w:line="240" w:lineRule="auto"/>
        <w:jc w:val="both"/>
        <w:rPr>
          <w:rFonts w:ascii="Times New Roman" w:hAnsi="Times New Roman"/>
          <w:sz w:val="28"/>
          <w:szCs w:val="28"/>
          <w:lang w:val="lv-LV"/>
        </w:rPr>
      </w:pPr>
    </w:p>
    <w:p w:rsidR="00593AC9" w:rsidRPr="00041556" w:rsidRDefault="00083A32" w:rsidP="00593AC9">
      <w:pPr>
        <w:spacing w:after="0" w:line="240" w:lineRule="auto"/>
        <w:jc w:val="both"/>
        <w:rPr>
          <w:rFonts w:ascii="Times New Roman" w:hAnsi="Times New Roman"/>
          <w:sz w:val="28"/>
          <w:szCs w:val="28"/>
          <w:lang w:val="lv-LV"/>
        </w:rPr>
      </w:pPr>
      <w:r w:rsidRPr="00041556">
        <w:rPr>
          <w:rFonts w:ascii="Times New Roman" w:hAnsi="Times New Roman"/>
          <w:sz w:val="28"/>
          <w:szCs w:val="28"/>
          <w:lang w:val="lv-LV"/>
        </w:rPr>
        <w:t>Pilnī</w:t>
      </w:r>
      <w:r w:rsidR="00ED49E7" w:rsidRPr="00041556">
        <w:rPr>
          <w:rFonts w:ascii="Times New Roman" w:hAnsi="Times New Roman"/>
          <w:sz w:val="28"/>
          <w:szCs w:val="28"/>
          <w:lang w:val="lv-LV"/>
        </w:rPr>
        <w:t>bā</w:t>
      </w:r>
      <w:r w:rsidRPr="00041556">
        <w:rPr>
          <w:rFonts w:ascii="Times New Roman" w:hAnsi="Times New Roman"/>
          <w:sz w:val="28"/>
          <w:szCs w:val="28"/>
          <w:lang w:val="lv-LV"/>
        </w:rPr>
        <w:t xml:space="preserve"> atvērts tirgus sekmēs pilnīgus konkurences apstākļus visos tirgus segmentos, uzlabos tirgus pārredzamību, kas</w:t>
      </w:r>
      <w:r w:rsidR="008264F3" w:rsidRPr="00041556">
        <w:rPr>
          <w:rFonts w:ascii="Times New Roman" w:hAnsi="Times New Roman"/>
          <w:sz w:val="28"/>
          <w:szCs w:val="28"/>
          <w:lang w:val="lv-LV"/>
        </w:rPr>
        <w:t>,</w:t>
      </w:r>
      <w:r w:rsidRPr="00041556">
        <w:rPr>
          <w:rFonts w:ascii="Times New Roman" w:hAnsi="Times New Roman"/>
          <w:sz w:val="28"/>
          <w:szCs w:val="28"/>
          <w:lang w:val="lv-LV"/>
        </w:rPr>
        <w:t xml:space="preserve"> savukārt</w:t>
      </w:r>
      <w:r w:rsidR="008264F3" w:rsidRPr="00041556">
        <w:rPr>
          <w:rFonts w:ascii="Times New Roman" w:hAnsi="Times New Roman"/>
          <w:sz w:val="28"/>
          <w:szCs w:val="28"/>
          <w:lang w:val="lv-LV"/>
        </w:rPr>
        <w:t>,</w:t>
      </w:r>
      <w:r w:rsidRPr="00041556">
        <w:rPr>
          <w:rFonts w:ascii="Times New Roman" w:hAnsi="Times New Roman"/>
          <w:sz w:val="28"/>
          <w:szCs w:val="28"/>
          <w:lang w:val="lv-LV"/>
        </w:rPr>
        <w:t xml:space="preserve"> ļaus elektroenerģijas lietotājiem gūt labumu - saprotamas, salīdzināmas cenas. </w:t>
      </w:r>
    </w:p>
    <w:p w:rsidR="002849E3" w:rsidRDefault="002849E3" w:rsidP="002849E3">
      <w:pPr>
        <w:spacing w:after="0" w:line="240" w:lineRule="auto"/>
        <w:jc w:val="both"/>
        <w:rPr>
          <w:rFonts w:ascii="Times New Roman" w:hAnsi="Times New Roman"/>
          <w:bCs/>
          <w:color w:val="FF0000"/>
          <w:sz w:val="28"/>
          <w:szCs w:val="28"/>
          <w:lang w:val="lv-LV"/>
        </w:rPr>
      </w:pPr>
    </w:p>
    <w:p w:rsidR="00415DA0" w:rsidRPr="006F02AC" w:rsidRDefault="005B43F0" w:rsidP="00415DA0">
      <w:pPr>
        <w:pStyle w:val="Default"/>
        <w:jc w:val="both"/>
        <w:rPr>
          <w:rFonts w:ascii="Times New Roman" w:hAnsi="Times New Roman" w:cs="Times New Roman"/>
          <w:color w:val="auto"/>
          <w:sz w:val="28"/>
          <w:szCs w:val="28"/>
        </w:rPr>
      </w:pPr>
      <w:r w:rsidRPr="006F02AC">
        <w:rPr>
          <w:rFonts w:ascii="Times New Roman" w:hAnsi="Times New Roman" w:cs="Times New Roman"/>
          <w:bCs/>
          <w:color w:val="auto"/>
          <w:sz w:val="28"/>
          <w:szCs w:val="28"/>
        </w:rPr>
        <w:lastRenderedPageBreak/>
        <w:t>Atvērta tirgus apstākļos vērība ir</w:t>
      </w:r>
      <w:r w:rsidR="002849E3" w:rsidRPr="006F02AC">
        <w:rPr>
          <w:rFonts w:ascii="Times New Roman" w:hAnsi="Times New Roman" w:cs="Times New Roman"/>
          <w:bCs/>
          <w:color w:val="auto"/>
          <w:sz w:val="28"/>
          <w:szCs w:val="28"/>
        </w:rPr>
        <w:t xml:space="preserve"> jāpievērš </w:t>
      </w:r>
      <w:r w:rsidRPr="006F02AC">
        <w:rPr>
          <w:rFonts w:ascii="Times New Roman" w:hAnsi="Times New Roman" w:cs="Times New Roman"/>
          <w:bCs/>
          <w:color w:val="auto"/>
          <w:sz w:val="28"/>
          <w:szCs w:val="28"/>
        </w:rPr>
        <w:t>tiem elektroenerģijas patērētājiem, kas atbilstoši D</w:t>
      </w:r>
      <w:r w:rsidR="00415DA0" w:rsidRPr="006F02AC">
        <w:rPr>
          <w:rFonts w:ascii="Times New Roman" w:hAnsi="Times New Roman" w:cs="Times New Roman"/>
          <w:bCs/>
          <w:color w:val="auto"/>
          <w:sz w:val="28"/>
          <w:szCs w:val="28"/>
        </w:rPr>
        <w:t>irektīvas</w:t>
      </w:r>
      <w:r w:rsidRPr="006F02AC">
        <w:rPr>
          <w:rFonts w:ascii="Times New Roman" w:hAnsi="Times New Roman" w:cs="Times New Roman"/>
          <w:bCs/>
          <w:color w:val="auto"/>
          <w:sz w:val="28"/>
          <w:szCs w:val="28"/>
        </w:rPr>
        <w:t xml:space="preserve"> 2009/72/EK </w:t>
      </w:r>
      <w:r w:rsidR="00415DA0" w:rsidRPr="006F02AC">
        <w:rPr>
          <w:rFonts w:ascii="Times New Roman" w:hAnsi="Times New Roman" w:cs="Times New Roman"/>
          <w:bCs/>
          <w:color w:val="auto"/>
          <w:sz w:val="28"/>
          <w:szCs w:val="28"/>
        </w:rPr>
        <w:t xml:space="preserve"> 3.panta septītajai daļai </w:t>
      </w:r>
      <w:r w:rsidRPr="006F02AC">
        <w:rPr>
          <w:rFonts w:ascii="Times New Roman" w:hAnsi="Times New Roman" w:cs="Times New Roman"/>
          <w:bCs/>
          <w:color w:val="auto"/>
          <w:sz w:val="28"/>
          <w:szCs w:val="28"/>
        </w:rPr>
        <w:t>ir uzskatāmi neaizsargātajiem lietotājiem</w:t>
      </w:r>
      <w:r w:rsidR="00052F6A" w:rsidRPr="006F02AC">
        <w:rPr>
          <w:rFonts w:ascii="Times New Roman" w:hAnsi="Times New Roman" w:cs="Times New Roman"/>
          <w:bCs/>
          <w:color w:val="auto"/>
          <w:sz w:val="28"/>
          <w:szCs w:val="28"/>
        </w:rPr>
        <w:t xml:space="preserve"> – </w:t>
      </w:r>
      <w:r w:rsidRPr="006F02AC">
        <w:rPr>
          <w:rFonts w:ascii="Times New Roman" w:hAnsi="Times New Roman" w:cs="Times New Roman"/>
          <w:bCs/>
          <w:color w:val="auto"/>
          <w:sz w:val="28"/>
          <w:szCs w:val="28"/>
        </w:rPr>
        <w:t>tie</w:t>
      </w:r>
      <w:r w:rsidR="00052F6A" w:rsidRPr="006F02AC">
        <w:rPr>
          <w:rFonts w:ascii="Times New Roman" w:hAnsi="Times New Roman" w:cs="Times New Roman"/>
          <w:bCs/>
          <w:color w:val="auto"/>
          <w:sz w:val="28"/>
          <w:szCs w:val="28"/>
        </w:rPr>
        <w:t>, kas</w:t>
      </w:r>
      <w:r w:rsidRPr="006F02AC">
        <w:rPr>
          <w:rFonts w:ascii="Times New Roman" w:hAnsi="Times New Roman" w:cs="Times New Roman"/>
          <w:bCs/>
          <w:color w:val="auto"/>
          <w:sz w:val="28"/>
          <w:szCs w:val="28"/>
        </w:rPr>
        <w:t xml:space="preserve"> saskaras elektroenerģijas nepieejamību</w:t>
      </w:r>
      <w:r w:rsidR="00052F6A" w:rsidRPr="006F02AC">
        <w:rPr>
          <w:rFonts w:ascii="Times New Roman" w:hAnsi="Times New Roman" w:cs="Times New Roman"/>
          <w:bCs/>
          <w:color w:val="auto"/>
          <w:sz w:val="28"/>
          <w:szCs w:val="28"/>
        </w:rPr>
        <w:t xml:space="preserve"> no tās izmaksu viedokļa</w:t>
      </w:r>
      <w:r w:rsidRPr="006F02AC">
        <w:rPr>
          <w:rFonts w:ascii="Times New Roman" w:hAnsi="Times New Roman" w:cs="Times New Roman"/>
          <w:bCs/>
          <w:color w:val="auto"/>
          <w:sz w:val="28"/>
          <w:szCs w:val="28"/>
        </w:rPr>
        <w:t xml:space="preserve">. </w:t>
      </w:r>
      <w:r w:rsidR="00415DA0" w:rsidRPr="006F02AC">
        <w:rPr>
          <w:rFonts w:ascii="Times New Roman" w:hAnsi="Times New Roman" w:cs="Times New Roman"/>
          <w:bCs/>
          <w:color w:val="auto"/>
          <w:sz w:val="28"/>
          <w:szCs w:val="28"/>
        </w:rPr>
        <w:t xml:space="preserve">Direktīvas 2009/72/EK preambulas 45.punkts saka, ka </w:t>
      </w:r>
      <w:r w:rsidR="00A54AA1" w:rsidRPr="006F02AC">
        <w:rPr>
          <w:rFonts w:ascii="Times New Roman" w:hAnsi="Times New Roman" w:cs="Times New Roman"/>
          <w:color w:val="auto"/>
          <w:sz w:val="28"/>
          <w:szCs w:val="28"/>
        </w:rPr>
        <w:t>d</w:t>
      </w:r>
      <w:r w:rsidR="00415DA0" w:rsidRPr="006F02AC">
        <w:rPr>
          <w:rFonts w:ascii="Times New Roman" w:hAnsi="Times New Roman" w:cs="Times New Roman"/>
          <w:color w:val="auto"/>
          <w:sz w:val="28"/>
          <w:szCs w:val="28"/>
        </w:rPr>
        <w:t xml:space="preserve">alībvalstīm būtu jāveic neaizsargāto lietotāju aizsardzībai vajadzīgie pasākumi elektroenerģijas iekšējā tirgus kontekstā. Šādi pasākumi var būt atšķirīgi, ņemot vērā konkrētos apstākļus attiecīgajās  dalībvalstīs, un var ietvert īpašus pasākumus attiecībā uz elektroenerģijas rēķinu apmaksu vai vispārīgākus pasākumus sociālās nodrošināšanas sistēmā. </w:t>
      </w:r>
    </w:p>
    <w:p w:rsidR="00B32BE0" w:rsidRPr="006F02AC" w:rsidRDefault="00B32BE0" w:rsidP="00415DA0">
      <w:pPr>
        <w:pStyle w:val="Default"/>
        <w:jc w:val="both"/>
        <w:rPr>
          <w:rFonts w:ascii="Times New Roman" w:hAnsi="Times New Roman" w:cs="Times New Roman"/>
          <w:color w:val="auto"/>
          <w:sz w:val="28"/>
          <w:szCs w:val="28"/>
        </w:rPr>
      </w:pPr>
    </w:p>
    <w:p w:rsidR="007B16AE" w:rsidRDefault="003C256A" w:rsidP="00B32BE0">
      <w:pPr>
        <w:pStyle w:val="Default"/>
        <w:jc w:val="both"/>
        <w:rPr>
          <w:rFonts w:ascii="Times New Roman" w:hAnsi="Times New Roman" w:cs="Times New Roman"/>
          <w:color w:val="auto"/>
          <w:sz w:val="28"/>
          <w:szCs w:val="28"/>
        </w:rPr>
      </w:pPr>
      <w:r w:rsidRPr="003C256A">
        <w:rPr>
          <w:rFonts w:ascii="Times New Roman" w:hAnsi="Times New Roman" w:cs="Times New Roman"/>
          <w:color w:val="auto"/>
          <w:sz w:val="28"/>
          <w:szCs w:val="28"/>
        </w:rPr>
        <w:t>P</w:t>
      </w:r>
      <w:r w:rsidR="00F44DE3" w:rsidRPr="003C256A">
        <w:rPr>
          <w:rFonts w:ascii="Times New Roman" w:hAnsi="Times New Roman" w:cs="Times New Roman"/>
          <w:color w:val="auto"/>
          <w:sz w:val="28"/>
          <w:szCs w:val="28"/>
        </w:rPr>
        <w:t xml:space="preserve">ubliskais elektroenerģijas tirgotājs AS „Latvenergo” </w:t>
      </w:r>
      <w:r w:rsidRPr="003C256A">
        <w:rPr>
          <w:rFonts w:ascii="Times New Roman" w:eastAsia="Arial Unicode MS" w:hAnsi="Times New Roman" w:cs="Times New Roman"/>
          <w:color w:val="auto"/>
          <w:sz w:val="28"/>
          <w:szCs w:val="28"/>
        </w:rPr>
        <w:t>jau no 2009. gada rudens īsteno korporatīvās sociālās atbildības kampaņu, atbalstot sociāli mazaizsargātas iedzīvotāju grupas.</w:t>
      </w:r>
      <w:r w:rsidRPr="006F02AC">
        <w:rPr>
          <w:rFonts w:ascii="Times New Roman" w:hAnsi="Times New Roman" w:cs="Times New Roman"/>
          <w:color w:val="auto"/>
          <w:sz w:val="28"/>
          <w:szCs w:val="28"/>
        </w:rPr>
        <w:t xml:space="preserve"> </w:t>
      </w:r>
      <w:r w:rsidR="00F44DE3" w:rsidRPr="006F02AC">
        <w:rPr>
          <w:rFonts w:ascii="Times New Roman" w:hAnsi="Times New Roman" w:cs="Times New Roman"/>
          <w:color w:val="auto"/>
          <w:sz w:val="28"/>
          <w:szCs w:val="28"/>
        </w:rPr>
        <w:t xml:space="preserve">Šis programmas ietvaros </w:t>
      </w:r>
      <w:r w:rsidR="00F44DE3">
        <w:rPr>
          <w:rFonts w:ascii="Times New Roman" w:hAnsi="Times New Roman" w:cs="Times New Roman"/>
          <w:color w:val="auto"/>
          <w:sz w:val="28"/>
          <w:szCs w:val="28"/>
        </w:rPr>
        <w:t xml:space="preserve">par trūcīgām atzītas </w:t>
      </w:r>
      <w:r w:rsidR="00F44DE3" w:rsidRPr="006F02AC">
        <w:rPr>
          <w:rFonts w:ascii="Times New Roman" w:hAnsi="Times New Roman" w:cs="Times New Roman"/>
          <w:color w:val="auto"/>
          <w:sz w:val="28"/>
          <w:szCs w:val="28"/>
        </w:rPr>
        <w:t xml:space="preserve"> personas, k</w:t>
      </w:r>
      <w:r w:rsidR="00F44DE3">
        <w:rPr>
          <w:rFonts w:ascii="Times New Roman" w:hAnsi="Times New Roman" w:cs="Times New Roman"/>
          <w:color w:val="auto"/>
          <w:sz w:val="28"/>
          <w:szCs w:val="28"/>
        </w:rPr>
        <w:t>ura</w:t>
      </w:r>
      <w:r w:rsidR="00F44DE3" w:rsidRPr="006F02AC">
        <w:rPr>
          <w:rFonts w:ascii="Times New Roman" w:hAnsi="Times New Roman" w:cs="Times New Roman"/>
          <w:color w:val="auto"/>
          <w:sz w:val="28"/>
          <w:szCs w:val="28"/>
        </w:rPr>
        <w:t>s ir tiesīgas saņemt garantētā minimāla ienākumu pabalstu (GMI), var saņemt elektroenerģijas norēķinu karti, kas garantē 500 kWh elektroenerģijas saņemšanu bez maksas. Daudzbērnu ģimenes sociāla atbalsta programmas ietvaros papildus sākotnējām Starta tarifa 1200 kWh, kas dod iespēju par elektroenerģiju norēķināties pēc pazemināta tarifa, saņem tiesības par pazeminātu tarifu patērē</w:t>
      </w:r>
      <w:r w:rsidR="006B2558">
        <w:rPr>
          <w:rFonts w:ascii="Times New Roman" w:hAnsi="Times New Roman" w:cs="Times New Roman"/>
          <w:color w:val="auto"/>
          <w:sz w:val="28"/>
          <w:szCs w:val="28"/>
        </w:rPr>
        <w:t xml:space="preserve">t vēl 2400 kWh </w:t>
      </w:r>
      <w:r w:rsidR="006B2558" w:rsidRPr="006B2558">
        <w:rPr>
          <w:rFonts w:ascii="Times New Roman" w:hAnsi="Times New Roman" w:cs="Times New Roman"/>
          <w:color w:val="auto"/>
          <w:sz w:val="28"/>
          <w:szCs w:val="28"/>
        </w:rPr>
        <w:t>elektroenerģijas</w:t>
      </w:r>
      <w:r w:rsidR="007B16AE">
        <w:rPr>
          <w:rFonts w:ascii="Times New Roman" w:hAnsi="Times New Roman" w:cs="Times New Roman"/>
          <w:color w:val="auto"/>
          <w:sz w:val="28"/>
          <w:szCs w:val="28"/>
        </w:rPr>
        <w:t>.</w:t>
      </w:r>
    </w:p>
    <w:p w:rsidR="00DF0626" w:rsidRDefault="00DF0626" w:rsidP="00B32BE0">
      <w:pPr>
        <w:pStyle w:val="Default"/>
        <w:jc w:val="both"/>
        <w:rPr>
          <w:rFonts w:ascii="Times New Roman" w:hAnsi="Times New Roman" w:cs="Times New Roman"/>
          <w:sz w:val="28"/>
          <w:szCs w:val="28"/>
        </w:rPr>
      </w:pPr>
    </w:p>
    <w:p w:rsidR="00C24269" w:rsidRDefault="007B16AE" w:rsidP="00B32BE0">
      <w:pPr>
        <w:pStyle w:val="Default"/>
        <w:jc w:val="both"/>
        <w:rPr>
          <w:rFonts w:ascii="Times New Roman" w:hAnsi="Times New Roman" w:cs="Times New Roman"/>
          <w:sz w:val="28"/>
          <w:szCs w:val="28"/>
        </w:rPr>
      </w:pPr>
      <w:r>
        <w:rPr>
          <w:rFonts w:ascii="Times New Roman" w:hAnsi="Times New Roman" w:cs="Times New Roman"/>
          <w:sz w:val="28"/>
          <w:szCs w:val="28"/>
        </w:rPr>
        <w:t>L</w:t>
      </w:r>
      <w:r w:rsidRPr="007B16AE">
        <w:rPr>
          <w:rFonts w:ascii="Times New Roman" w:hAnsi="Times New Roman" w:cs="Times New Roman"/>
          <w:sz w:val="28"/>
          <w:szCs w:val="28"/>
        </w:rPr>
        <w:t>aikā</w:t>
      </w:r>
      <w:r w:rsidR="00C24269">
        <w:rPr>
          <w:rFonts w:ascii="Times New Roman" w:hAnsi="Times New Roman" w:cs="Times New Roman"/>
          <w:sz w:val="28"/>
          <w:szCs w:val="28"/>
        </w:rPr>
        <w:t xml:space="preserve"> posmā</w:t>
      </w:r>
      <w:r w:rsidRPr="007B16AE">
        <w:rPr>
          <w:rFonts w:ascii="Times New Roman" w:hAnsi="Times New Roman" w:cs="Times New Roman"/>
          <w:sz w:val="28"/>
          <w:szCs w:val="28"/>
        </w:rPr>
        <w:t xml:space="preserve"> no 2009.gada </w:t>
      </w:r>
      <w:r>
        <w:rPr>
          <w:rFonts w:ascii="Times New Roman" w:hAnsi="Times New Roman" w:cs="Times New Roman"/>
          <w:color w:val="auto"/>
          <w:sz w:val="28"/>
          <w:szCs w:val="28"/>
        </w:rPr>
        <w:t>p</w:t>
      </w:r>
      <w:r w:rsidRPr="007B16AE">
        <w:rPr>
          <w:rFonts w:ascii="Times New Roman" w:hAnsi="Times New Roman" w:cs="Times New Roman"/>
          <w:color w:val="auto"/>
          <w:sz w:val="28"/>
          <w:szCs w:val="28"/>
        </w:rPr>
        <w:t xml:space="preserve">ubliskais elektroenerģijas tirgotājs AS „Latvenergo” </w:t>
      </w:r>
      <w:r w:rsidRPr="007B16AE">
        <w:rPr>
          <w:rFonts w:ascii="Times New Roman" w:hAnsi="Times New Roman" w:cs="Times New Roman"/>
          <w:sz w:val="28"/>
          <w:szCs w:val="28"/>
        </w:rPr>
        <w:t xml:space="preserve">veicis </w:t>
      </w:r>
      <w:r w:rsidRPr="00DF0626">
        <w:rPr>
          <w:rFonts w:ascii="Times New Roman" w:hAnsi="Times New Roman" w:cs="Times New Roman"/>
          <w:sz w:val="28"/>
          <w:szCs w:val="28"/>
        </w:rPr>
        <w:t xml:space="preserve">divus dāvinājumus Latvijas </w:t>
      </w:r>
      <w:r w:rsidR="00D321DD">
        <w:rPr>
          <w:rFonts w:ascii="Times New Roman" w:hAnsi="Times New Roman" w:cs="Times New Roman"/>
          <w:sz w:val="28"/>
          <w:szCs w:val="28"/>
        </w:rPr>
        <w:t>P</w:t>
      </w:r>
      <w:r w:rsidRPr="00DF0626">
        <w:rPr>
          <w:rFonts w:ascii="Times New Roman" w:hAnsi="Times New Roman" w:cs="Times New Roman"/>
          <w:sz w:val="28"/>
          <w:szCs w:val="28"/>
        </w:rPr>
        <w:t>ašvaldību savienībai un nodevis 100 000 Elektrības norēķinu kartes 500 kWh vērtībā</w:t>
      </w:r>
      <w:r w:rsidR="00C24269">
        <w:rPr>
          <w:rFonts w:ascii="Times New Roman" w:hAnsi="Times New Roman" w:cs="Times New Roman"/>
          <w:sz w:val="28"/>
          <w:szCs w:val="28"/>
        </w:rPr>
        <w:t>. 2010.gadā sociālā atbalsta programmas izmaksas sasniedza 3,7 milj. Ls un 2011.gadā 2,3 milj. Ls.</w:t>
      </w:r>
      <w:r w:rsidR="00C24269" w:rsidRPr="00DF0626">
        <w:rPr>
          <w:rFonts w:ascii="Times New Roman" w:hAnsi="Times New Roman" w:cs="Times New Roman"/>
          <w:sz w:val="28"/>
          <w:szCs w:val="28"/>
        </w:rPr>
        <w:t xml:space="preserve"> </w:t>
      </w:r>
    </w:p>
    <w:p w:rsidR="007B16AE" w:rsidRPr="009F5403" w:rsidRDefault="00C24269" w:rsidP="00B32BE0">
      <w:pPr>
        <w:pStyle w:val="Default"/>
        <w:jc w:val="both"/>
        <w:rPr>
          <w:rFonts w:ascii="Times New Roman" w:hAnsi="Times New Roman" w:cs="Times New Roman"/>
          <w:sz w:val="28"/>
          <w:szCs w:val="28"/>
        </w:rPr>
      </w:pPr>
      <w:r>
        <w:rPr>
          <w:rFonts w:ascii="Times New Roman" w:hAnsi="Times New Roman" w:cs="Times New Roman"/>
          <w:sz w:val="28"/>
          <w:szCs w:val="28"/>
        </w:rPr>
        <w:t xml:space="preserve">2012. gadā  </w:t>
      </w:r>
      <w:r w:rsidRPr="00DF0626">
        <w:rPr>
          <w:rFonts w:ascii="Times New Roman" w:hAnsi="Times New Roman" w:cs="Times New Roman"/>
          <w:sz w:val="28"/>
          <w:szCs w:val="28"/>
        </w:rPr>
        <w:t xml:space="preserve">Latvijas </w:t>
      </w:r>
      <w:r>
        <w:rPr>
          <w:rFonts w:ascii="Times New Roman" w:hAnsi="Times New Roman" w:cs="Times New Roman"/>
          <w:sz w:val="28"/>
          <w:szCs w:val="28"/>
        </w:rPr>
        <w:t>P</w:t>
      </w:r>
      <w:r w:rsidRPr="00DF0626">
        <w:rPr>
          <w:rFonts w:ascii="Times New Roman" w:hAnsi="Times New Roman" w:cs="Times New Roman"/>
          <w:sz w:val="28"/>
          <w:szCs w:val="28"/>
        </w:rPr>
        <w:t xml:space="preserve">ašvaldību savienībai </w:t>
      </w:r>
      <w:r>
        <w:rPr>
          <w:rFonts w:ascii="Times New Roman" w:hAnsi="Times New Roman" w:cs="Times New Roman"/>
          <w:sz w:val="28"/>
          <w:szCs w:val="28"/>
        </w:rPr>
        <w:t xml:space="preserve">dāvinātas </w:t>
      </w:r>
      <w:r w:rsidR="007B16AE" w:rsidRPr="00DF0626">
        <w:rPr>
          <w:rFonts w:ascii="Times New Roman" w:hAnsi="Times New Roman" w:cs="Times New Roman"/>
          <w:sz w:val="28"/>
          <w:szCs w:val="28"/>
        </w:rPr>
        <w:t>40 000 Elektrības norēķinu kartes 53,70 LVL vērtībā (kopā 2 148 000 Ls). Latvijas pilsētu un novadu pašvaldību soc</w:t>
      </w:r>
      <w:r w:rsidR="00DF0626" w:rsidRPr="00DF0626">
        <w:rPr>
          <w:rFonts w:ascii="Times New Roman" w:hAnsi="Times New Roman" w:cs="Times New Roman"/>
          <w:sz w:val="28"/>
          <w:szCs w:val="28"/>
        </w:rPr>
        <w:t xml:space="preserve">iālie </w:t>
      </w:r>
      <w:r w:rsidR="007B16AE" w:rsidRPr="00DF0626">
        <w:rPr>
          <w:rFonts w:ascii="Times New Roman" w:hAnsi="Times New Roman" w:cs="Times New Roman"/>
          <w:sz w:val="28"/>
          <w:szCs w:val="28"/>
        </w:rPr>
        <w:t>dienesti mērķa grup</w:t>
      </w:r>
      <w:r w:rsidR="00DF0626" w:rsidRPr="00DF0626">
        <w:rPr>
          <w:rFonts w:ascii="Times New Roman" w:hAnsi="Times New Roman" w:cs="Times New Roman"/>
          <w:sz w:val="28"/>
          <w:szCs w:val="28"/>
        </w:rPr>
        <w:t xml:space="preserve">u mājsaimniecībām izsnieguši 98 647 elektrības norēķinu kartes 500 kWh vērtībā un 15 </w:t>
      </w:r>
      <w:r w:rsidR="007B16AE" w:rsidRPr="00DF0626">
        <w:rPr>
          <w:rFonts w:ascii="Times New Roman" w:hAnsi="Times New Roman" w:cs="Times New Roman"/>
          <w:sz w:val="28"/>
          <w:szCs w:val="28"/>
        </w:rPr>
        <w:t>892 elek</w:t>
      </w:r>
      <w:r w:rsidR="00DF0626" w:rsidRPr="00DF0626">
        <w:rPr>
          <w:rFonts w:ascii="Times New Roman" w:hAnsi="Times New Roman" w:cs="Times New Roman"/>
          <w:sz w:val="28"/>
          <w:szCs w:val="28"/>
        </w:rPr>
        <w:t>trības norēķinu kartes 53,70 Ls</w:t>
      </w:r>
      <w:r w:rsidR="007B16AE" w:rsidRPr="00DF0626">
        <w:rPr>
          <w:rFonts w:ascii="Times New Roman" w:hAnsi="Times New Roman" w:cs="Times New Roman"/>
          <w:sz w:val="28"/>
          <w:szCs w:val="28"/>
        </w:rPr>
        <w:t xml:space="preserve"> vērtībā. </w:t>
      </w:r>
    </w:p>
    <w:p w:rsidR="003C256A" w:rsidRDefault="003C256A" w:rsidP="00B32BE0">
      <w:pPr>
        <w:pStyle w:val="Default"/>
        <w:jc w:val="both"/>
        <w:rPr>
          <w:rFonts w:ascii="Times New Roman" w:hAnsi="Times New Roman" w:cs="Times New Roman"/>
          <w:color w:val="auto"/>
          <w:sz w:val="28"/>
          <w:szCs w:val="28"/>
        </w:rPr>
      </w:pPr>
    </w:p>
    <w:p w:rsidR="00415DA0" w:rsidRPr="006F02AC" w:rsidRDefault="00B32BE0" w:rsidP="00B32BE0">
      <w:pPr>
        <w:pStyle w:val="Default"/>
        <w:jc w:val="both"/>
        <w:rPr>
          <w:rFonts w:ascii="Times New Roman" w:hAnsi="Times New Roman" w:cs="Times New Roman"/>
          <w:color w:val="auto"/>
          <w:sz w:val="28"/>
          <w:szCs w:val="28"/>
        </w:rPr>
      </w:pPr>
      <w:r w:rsidRPr="006F02AC">
        <w:rPr>
          <w:rFonts w:ascii="Times New Roman" w:hAnsi="Times New Roman" w:cs="Times New Roman"/>
          <w:color w:val="auto"/>
          <w:sz w:val="28"/>
          <w:szCs w:val="28"/>
        </w:rPr>
        <w:t xml:space="preserve">Pēc pilnīgas tirgus atvēršanas, kas paredz elektroenerģijas diferencēto tirdzniecības tarifu piemērošanas izbeigšanu, arī publiskā tirgotāja īstenotā sociāla atbalsta programma pārtrauks darbību. </w:t>
      </w:r>
    </w:p>
    <w:p w:rsidR="003A7414" w:rsidRPr="00BA6605" w:rsidRDefault="003A7414" w:rsidP="00B32BE0">
      <w:pPr>
        <w:pStyle w:val="Default"/>
        <w:jc w:val="both"/>
        <w:rPr>
          <w:rFonts w:ascii="Times New Roman" w:hAnsi="Times New Roman" w:cs="Times New Roman"/>
          <w:color w:val="FF0000"/>
          <w:sz w:val="28"/>
          <w:szCs w:val="28"/>
        </w:rPr>
      </w:pPr>
    </w:p>
    <w:p w:rsidR="00F44DE3" w:rsidRPr="006F02AC" w:rsidRDefault="00F44DE3" w:rsidP="00F44DE3">
      <w:pPr>
        <w:pStyle w:val="Default"/>
        <w:jc w:val="both"/>
        <w:rPr>
          <w:rFonts w:ascii="Times New Roman" w:hAnsi="Times New Roman"/>
          <w:bCs/>
          <w:color w:val="auto"/>
          <w:sz w:val="28"/>
          <w:szCs w:val="28"/>
        </w:rPr>
      </w:pPr>
      <w:r w:rsidRPr="006F02AC">
        <w:rPr>
          <w:rFonts w:ascii="Times New Roman" w:hAnsi="Times New Roman" w:cs="Times New Roman"/>
          <w:color w:val="auto"/>
          <w:sz w:val="28"/>
          <w:szCs w:val="28"/>
        </w:rPr>
        <w:t xml:space="preserve">Vienlaikus Labklājības ministrija ir izstrādājusi </w:t>
      </w:r>
      <w:r w:rsidRPr="00F44DE3">
        <w:rPr>
          <w:rFonts w:ascii="Times New Roman" w:hAnsi="Times New Roman"/>
          <w:sz w:val="28"/>
          <w:szCs w:val="28"/>
          <w:lang w:bidi="en-US"/>
        </w:rPr>
        <w:t>un 2012.gada 17.septembrī iesniegusi Valsts kancelejā</w:t>
      </w:r>
      <w:r w:rsidRPr="00F44DE3">
        <w:rPr>
          <w:rFonts w:ascii="Times New Roman" w:hAnsi="Times New Roman" w:cs="Times New Roman"/>
          <w:color w:val="auto"/>
          <w:sz w:val="28"/>
          <w:szCs w:val="28"/>
        </w:rPr>
        <w:t xml:space="preserve"> </w:t>
      </w:r>
      <w:r w:rsidRPr="006F02AC">
        <w:rPr>
          <w:rFonts w:ascii="Times New Roman" w:hAnsi="Times New Roman" w:cs="Times New Roman"/>
          <w:color w:val="auto"/>
          <w:sz w:val="28"/>
          <w:szCs w:val="28"/>
        </w:rPr>
        <w:t xml:space="preserve">Informatīvo ziņojumu par sociālas palīdzības sistēmas reformas gaitu, kas atbilstoši </w:t>
      </w:r>
      <w:r w:rsidRPr="006F02AC">
        <w:rPr>
          <w:rStyle w:val="Strong"/>
          <w:rFonts w:ascii="Times New Roman" w:hAnsi="Times New Roman"/>
          <w:b w:val="0"/>
          <w:color w:val="auto"/>
          <w:sz w:val="28"/>
          <w:szCs w:val="28"/>
        </w:rPr>
        <w:t>2012.gada 16.februāra Ministru kabineta rīkojuma Nr.84</w:t>
      </w:r>
      <w:r w:rsidRPr="006F02AC">
        <w:rPr>
          <w:rStyle w:val="Strong"/>
          <w:rFonts w:ascii="Times New Roman" w:hAnsi="Times New Roman"/>
          <w:color w:val="auto"/>
          <w:sz w:val="28"/>
          <w:szCs w:val="28"/>
        </w:rPr>
        <w:t xml:space="preserve"> „</w:t>
      </w:r>
      <w:r w:rsidRPr="006F02AC">
        <w:rPr>
          <w:rFonts w:ascii="Times New Roman" w:hAnsi="Times New Roman"/>
          <w:bCs/>
          <w:color w:val="auto"/>
          <w:sz w:val="28"/>
          <w:szCs w:val="28"/>
        </w:rPr>
        <w:t xml:space="preserve">Par Valdības rīcības plānu Deklarācijas par Valda </w:t>
      </w:r>
      <w:proofErr w:type="spellStart"/>
      <w:r w:rsidRPr="006F02AC">
        <w:rPr>
          <w:rFonts w:ascii="Times New Roman" w:hAnsi="Times New Roman"/>
          <w:bCs/>
          <w:color w:val="auto"/>
          <w:sz w:val="28"/>
          <w:szCs w:val="28"/>
        </w:rPr>
        <w:t>Dombrovska</w:t>
      </w:r>
      <w:proofErr w:type="spellEnd"/>
      <w:r w:rsidRPr="006F02AC">
        <w:rPr>
          <w:rFonts w:ascii="Times New Roman" w:hAnsi="Times New Roman"/>
          <w:bCs/>
          <w:color w:val="auto"/>
          <w:sz w:val="28"/>
          <w:szCs w:val="28"/>
        </w:rPr>
        <w:t xml:space="preserve"> vadītā Ministru kabineta iecerēto darbību īstenošanai” </w:t>
      </w:r>
      <w:r>
        <w:rPr>
          <w:rFonts w:ascii="Times New Roman" w:hAnsi="Times New Roman"/>
          <w:bCs/>
          <w:color w:val="auto"/>
          <w:sz w:val="28"/>
          <w:szCs w:val="28"/>
        </w:rPr>
        <w:t xml:space="preserve">pielikuma </w:t>
      </w:r>
      <w:r w:rsidRPr="006F02AC">
        <w:rPr>
          <w:rFonts w:ascii="Times New Roman" w:hAnsi="Times New Roman"/>
          <w:color w:val="auto"/>
          <w:sz w:val="28"/>
          <w:szCs w:val="28"/>
        </w:rPr>
        <w:t xml:space="preserve">I nodaļas </w:t>
      </w:r>
      <w:proofErr w:type="spellStart"/>
      <w:r w:rsidRPr="006F02AC">
        <w:rPr>
          <w:rFonts w:ascii="Times New Roman" w:hAnsi="Times New Roman"/>
          <w:bCs/>
          <w:i/>
          <w:color w:val="auto"/>
          <w:sz w:val="28"/>
          <w:szCs w:val="28"/>
        </w:rPr>
        <w:t>Cilvēkkapitāls</w:t>
      </w:r>
      <w:proofErr w:type="spellEnd"/>
      <w:r w:rsidRPr="006F02AC">
        <w:rPr>
          <w:rFonts w:ascii="Times New Roman" w:hAnsi="Times New Roman"/>
          <w:color w:val="auto"/>
          <w:sz w:val="28"/>
          <w:szCs w:val="28"/>
        </w:rPr>
        <w:t xml:space="preserve"> apakšnodaļai </w:t>
      </w:r>
      <w:r w:rsidRPr="006F02AC">
        <w:rPr>
          <w:rFonts w:ascii="Times New Roman" w:hAnsi="Times New Roman"/>
          <w:bCs/>
          <w:i/>
          <w:color w:val="auto"/>
          <w:sz w:val="28"/>
          <w:szCs w:val="28"/>
        </w:rPr>
        <w:t xml:space="preserve">Labklājība un demogrāfija </w:t>
      </w:r>
      <w:r w:rsidRPr="006F02AC">
        <w:rPr>
          <w:rFonts w:ascii="Times New Roman" w:hAnsi="Times New Roman"/>
          <w:bCs/>
          <w:color w:val="auto"/>
          <w:sz w:val="28"/>
          <w:szCs w:val="28"/>
        </w:rPr>
        <w:t xml:space="preserve"> 17.punktam, sevī ietver, ka paredzētais sociālās palīdzības sistēmas reformas mērķis ir pakāpeniski pāriet no pasīvām palīdzības formām uz aktīvāku jeb klientus motivējošu un savas situācijas uzlabošanā iesaistīt</w:t>
      </w:r>
      <w:r w:rsidR="009F5403">
        <w:rPr>
          <w:rFonts w:ascii="Times New Roman" w:hAnsi="Times New Roman"/>
          <w:bCs/>
          <w:color w:val="auto"/>
          <w:sz w:val="28"/>
          <w:szCs w:val="28"/>
        </w:rPr>
        <w:t>u</w:t>
      </w:r>
      <w:r w:rsidRPr="006F02AC">
        <w:rPr>
          <w:rFonts w:ascii="Times New Roman" w:hAnsi="Times New Roman"/>
          <w:bCs/>
          <w:color w:val="auto"/>
          <w:sz w:val="28"/>
          <w:szCs w:val="28"/>
        </w:rPr>
        <w:t xml:space="preserve"> sistēmu. </w:t>
      </w:r>
    </w:p>
    <w:p w:rsidR="00C67B92" w:rsidRPr="006F02AC" w:rsidRDefault="00C67B92" w:rsidP="00C67B92">
      <w:pPr>
        <w:pStyle w:val="Default"/>
        <w:jc w:val="both"/>
        <w:rPr>
          <w:rFonts w:ascii="Times New Roman" w:hAnsi="Times New Roman"/>
          <w:bCs/>
          <w:color w:val="auto"/>
          <w:sz w:val="28"/>
          <w:szCs w:val="28"/>
        </w:rPr>
      </w:pPr>
    </w:p>
    <w:p w:rsidR="00F44DE3" w:rsidRDefault="00F44DE3" w:rsidP="00F44DE3">
      <w:pPr>
        <w:spacing w:after="0" w:line="240" w:lineRule="auto"/>
        <w:jc w:val="both"/>
        <w:rPr>
          <w:rFonts w:ascii="Times New Roman" w:hAnsi="Times New Roman"/>
          <w:bCs/>
          <w:sz w:val="28"/>
          <w:szCs w:val="28"/>
          <w:lang w:val="lv-LV"/>
        </w:rPr>
      </w:pPr>
      <w:r w:rsidRPr="00F44DE3">
        <w:rPr>
          <w:rFonts w:ascii="Times New Roman" w:hAnsi="Times New Roman"/>
          <w:bCs/>
          <w:sz w:val="28"/>
          <w:szCs w:val="28"/>
          <w:lang w:val="lv-LV"/>
        </w:rPr>
        <w:t>Jāatzīmē, ka atsevišķa</w:t>
      </w:r>
      <w:r w:rsidRPr="00F44DE3">
        <w:rPr>
          <w:rFonts w:ascii="Times New Roman" w:hAnsi="Times New Roman"/>
          <w:bCs/>
          <w:i/>
          <w:sz w:val="28"/>
          <w:szCs w:val="28"/>
          <w:lang w:val="lv-LV"/>
        </w:rPr>
        <w:t>s</w:t>
      </w:r>
      <w:r w:rsidRPr="00F44DE3">
        <w:rPr>
          <w:rFonts w:ascii="Times New Roman" w:hAnsi="Times New Roman"/>
          <w:bCs/>
          <w:sz w:val="28"/>
          <w:szCs w:val="28"/>
          <w:lang w:val="lv-LV"/>
        </w:rPr>
        <w:t xml:space="preserve"> pašvaldības aprēķinot un piešķirot Sociālo pakalpojumu un sociālas palīdzības likuma 35.panta piektajā daļā noteikto dzīvokļa pabalstu, tajā iekļauj arī izdevumus par elektroenerģiju. Dzīvokļa pabalsta piešķiršanas nosacījumus reglamentē pašvaldības saistošajos noteikumos, tāpēc esošo sistēmu nevar uzskatīt par pietiekamu mājsaimniecību aizsardzībai visā Latvijas teritorijā</w:t>
      </w:r>
      <w:r>
        <w:rPr>
          <w:rFonts w:ascii="Times New Roman" w:hAnsi="Times New Roman"/>
          <w:bCs/>
          <w:sz w:val="28"/>
          <w:szCs w:val="28"/>
          <w:lang w:val="lv-LV"/>
        </w:rPr>
        <w:t>.</w:t>
      </w:r>
    </w:p>
    <w:p w:rsidR="00F44DE3" w:rsidRDefault="00F44DE3" w:rsidP="00F44DE3">
      <w:pPr>
        <w:spacing w:after="0" w:line="240" w:lineRule="auto"/>
        <w:jc w:val="both"/>
        <w:rPr>
          <w:rFonts w:ascii="Times New Roman" w:hAnsi="Times New Roman"/>
          <w:bCs/>
          <w:sz w:val="28"/>
          <w:szCs w:val="28"/>
          <w:lang w:val="lv-LV"/>
        </w:rPr>
      </w:pPr>
    </w:p>
    <w:p w:rsidR="00F44DE3" w:rsidRPr="00F44DE3" w:rsidRDefault="00F44DE3" w:rsidP="00F44DE3">
      <w:pPr>
        <w:spacing w:after="0" w:line="240" w:lineRule="auto"/>
        <w:jc w:val="both"/>
        <w:rPr>
          <w:rFonts w:ascii="Times New Roman" w:hAnsi="Times New Roman"/>
          <w:bCs/>
          <w:sz w:val="28"/>
          <w:szCs w:val="28"/>
          <w:lang w:val="lv-LV"/>
        </w:rPr>
      </w:pPr>
      <w:r w:rsidRPr="00F44DE3">
        <w:rPr>
          <w:rFonts w:ascii="Times New Roman" w:hAnsi="Times New Roman"/>
          <w:sz w:val="28"/>
          <w:szCs w:val="28"/>
          <w:lang w:val="lv-LV"/>
        </w:rPr>
        <w:t>Lai aizsargātu noteiktus mājsaimniecības tipus, Labklājības ministrija kopā ar sadarbības partneriem līdz 2013.gada 1.augustam izstrādās priekšlikumus sociālās drošības sistēmas (viens no riskiem – mājoklis) pilnveidošanai, paredzot sociālās palīdzības sistēmas reformas iespējamo variantu integrēšanu soc</w:t>
      </w:r>
      <w:r w:rsidR="00754FFA">
        <w:rPr>
          <w:rFonts w:ascii="Times New Roman" w:hAnsi="Times New Roman"/>
          <w:sz w:val="28"/>
          <w:szCs w:val="28"/>
          <w:lang w:val="lv-LV"/>
        </w:rPr>
        <w:t>iālās drošības  kopējā sistēmā.</w:t>
      </w:r>
    </w:p>
    <w:p w:rsidR="00B8208A" w:rsidRDefault="00B8208A" w:rsidP="00FF16DA">
      <w:pPr>
        <w:spacing w:after="0" w:line="240" w:lineRule="auto"/>
        <w:rPr>
          <w:rFonts w:ascii="Times New Roman" w:hAnsi="Times New Roman"/>
          <w:b/>
          <w:sz w:val="28"/>
          <w:szCs w:val="28"/>
          <w:lang w:val="lv-LV"/>
        </w:rPr>
      </w:pPr>
    </w:p>
    <w:p w:rsidR="00B8208A" w:rsidRPr="00FF16DA" w:rsidRDefault="00B8208A" w:rsidP="00FF16DA">
      <w:pPr>
        <w:spacing w:after="0" w:line="240" w:lineRule="auto"/>
        <w:rPr>
          <w:rFonts w:ascii="Times New Roman" w:hAnsi="Times New Roman"/>
          <w:b/>
          <w:sz w:val="28"/>
          <w:szCs w:val="28"/>
          <w:lang w:val="lv-LV"/>
        </w:rPr>
      </w:pPr>
    </w:p>
    <w:p w:rsidR="00ED49E7" w:rsidRPr="00063EB2" w:rsidRDefault="00AB5A88" w:rsidP="00063EB2">
      <w:pPr>
        <w:pStyle w:val="ListParagraph"/>
        <w:numPr>
          <w:ilvl w:val="0"/>
          <w:numId w:val="6"/>
        </w:numPr>
        <w:spacing w:after="0" w:line="240" w:lineRule="auto"/>
        <w:jc w:val="center"/>
        <w:rPr>
          <w:rFonts w:ascii="Times New Roman" w:hAnsi="Times New Roman"/>
          <w:b/>
          <w:sz w:val="28"/>
          <w:szCs w:val="28"/>
          <w:lang w:val="lv-LV"/>
        </w:rPr>
      </w:pPr>
      <w:r w:rsidRPr="00AB5A88">
        <w:rPr>
          <w:rFonts w:ascii="Times New Roman" w:hAnsi="Times New Roman"/>
          <w:b/>
          <w:sz w:val="28"/>
          <w:szCs w:val="28"/>
          <w:lang w:val="lv-LV"/>
        </w:rPr>
        <w:t>Rīcības soļi pilnīgi atvērta tirgus izveidei</w:t>
      </w:r>
    </w:p>
    <w:p w:rsidR="00ED49E7" w:rsidRDefault="009F4C91" w:rsidP="00593AC9">
      <w:pPr>
        <w:spacing w:after="0" w:line="240" w:lineRule="auto"/>
        <w:jc w:val="both"/>
        <w:rPr>
          <w:rFonts w:ascii="Times New Roman" w:hAnsi="Times New Roman"/>
          <w:sz w:val="28"/>
          <w:szCs w:val="28"/>
          <w:lang w:val="lv-LV"/>
        </w:rPr>
      </w:pPr>
      <w:r>
        <w:rPr>
          <w:rFonts w:ascii="Times New Roman" w:hAnsi="Times New Roman"/>
          <w:noProof/>
          <w:sz w:val="28"/>
          <w:szCs w:val="28"/>
          <w:lang w:val="lv-LV" w:eastAsia="lv-LV"/>
        </w:rPr>
        <w:pict>
          <v:shapetype id="_x0000_t202" coordsize="21600,21600" o:spt="202" path="m,l,21600r21600,l21600,xe">
            <v:stroke joinstyle="miter"/>
            <v:path gradientshapeok="t" o:connecttype="rect"/>
          </v:shapetype>
          <v:shape id="_x0000_s1033" type="#_x0000_t202" style="position:absolute;left:0;text-align:left;margin-left:280.2pt;margin-top:97.95pt;width:78pt;height:56.15pt;z-index:251665408" stroked="f">
            <v:textbox style="mso-next-textbox:#_x0000_s1033">
              <w:txbxContent>
                <w:p w:rsidR="008326D1" w:rsidRPr="00B64EE2" w:rsidRDefault="008326D1" w:rsidP="00DF4EBE">
                  <w:pPr>
                    <w:jc w:val="both"/>
                    <w:rPr>
                      <w:rFonts w:ascii="Arial Narrow" w:hAnsi="Arial Narrow"/>
                      <w:b/>
                      <w:sz w:val="16"/>
                      <w:szCs w:val="16"/>
                      <w:lang w:val="lv-LV"/>
                    </w:rPr>
                  </w:pPr>
                  <w:r>
                    <w:rPr>
                      <w:rFonts w:ascii="Arial Narrow" w:hAnsi="Arial Narrow"/>
                      <w:b/>
                      <w:sz w:val="16"/>
                      <w:szCs w:val="16"/>
                      <w:lang w:val="lv-LV"/>
                    </w:rPr>
                    <w:t>Tirgotāji uzsāk  piedāvāt  tirdzniecības darījumus mājsaimniecībām</w:t>
                  </w:r>
                </w:p>
              </w:txbxContent>
            </v:textbox>
          </v:shape>
        </w:pict>
      </w:r>
      <w:r>
        <w:rPr>
          <w:rFonts w:ascii="Times New Roman" w:hAnsi="Times New Roman"/>
          <w:noProof/>
          <w:sz w:val="28"/>
          <w:szCs w:val="28"/>
          <w:lang w:val="lv-LV" w:eastAsia="lv-LV"/>
        </w:rPr>
        <w:pict>
          <v:shape id="_x0000_s1034" type="#_x0000_t202" style="position:absolute;left:0;text-align:left;margin-left:351.45pt;margin-top:96.85pt;width:67.5pt;height:39.7pt;z-index:251666432" stroked="f">
            <v:textbox style="mso-next-textbox:#_x0000_s1034">
              <w:txbxContent>
                <w:p w:rsidR="008326D1" w:rsidRPr="00B64EE2" w:rsidRDefault="008326D1" w:rsidP="00DF4EBE">
                  <w:pPr>
                    <w:jc w:val="both"/>
                    <w:rPr>
                      <w:rFonts w:ascii="Arial Narrow" w:hAnsi="Arial Narrow"/>
                      <w:b/>
                      <w:sz w:val="16"/>
                      <w:szCs w:val="16"/>
                      <w:lang w:val="lv-LV"/>
                    </w:rPr>
                  </w:pPr>
                  <w:r w:rsidRPr="00B64EE2">
                    <w:rPr>
                      <w:rFonts w:ascii="Arial Narrow" w:hAnsi="Arial Narrow"/>
                      <w:b/>
                      <w:sz w:val="16"/>
                      <w:szCs w:val="16"/>
                      <w:lang w:val="lv-LV"/>
                    </w:rPr>
                    <w:t xml:space="preserve">Elektroenerģijas </w:t>
                  </w:r>
                  <w:r>
                    <w:rPr>
                      <w:rFonts w:ascii="Arial Narrow" w:hAnsi="Arial Narrow"/>
                      <w:b/>
                      <w:sz w:val="16"/>
                      <w:szCs w:val="16"/>
                      <w:lang w:val="lv-LV"/>
                    </w:rPr>
                    <w:t>tirgus visiem lietotājiem</w:t>
                  </w:r>
                </w:p>
              </w:txbxContent>
            </v:textbox>
          </v:shape>
        </w:pict>
      </w:r>
      <w:r>
        <w:rPr>
          <w:rFonts w:ascii="Times New Roman" w:hAnsi="Times New Roman"/>
          <w:noProof/>
          <w:sz w:val="28"/>
          <w:szCs w:val="28"/>
          <w:lang w:val="lv-LV" w:eastAsia="lv-LV"/>
        </w:rPr>
        <w:pict>
          <v:shape id="_x0000_s1031" type="#_x0000_t202" style="position:absolute;left:0;text-align:left;margin-left:228.45pt;margin-top:33.85pt;width:51.75pt;height:27pt;z-index:251663360" stroked="f">
            <v:textbox style="mso-next-textbox:#_x0000_s1031">
              <w:txbxContent>
                <w:p w:rsidR="008326D1" w:rsidRPr="00457689" w:rsidRDefault="008326D1" w:rsidP="00457689">
                  <w:pPr>
                    <w:rPr>
                      <w:rFonts w:ascii="Arial Narrow" w:hAnsi="Arial Narrow"/>
                      <w:b/>
                      <w:sz w:val="16"/>
                      <w:szCs w:val="16"/>
                      <w:lang w:val="lv-LV"/>
                    </w:rPr>
                  </w:pPr>
                  <w:r w:rsidRPr="00457689">
                    <w:rPr>
                      <w:rFonts w:ascii="Arial Narrow" w:hAnsi="Arial Narrow"/>
                      <w:b/>
                      <w:sz w:val="16"/>
                      <w:szCs w:val="16"/>
                      <w:lang w:val="lv-LV"/>
                    </w:rPr>
                    <w:t>2</w:t>
                  </w:r>
                  <w:r>
                    <w:rPr>
                      <w:rFonts w:ascii="Arial Narrow" w:hAnsi="Arial Narrow"/>
                      <w:b/>
                      <w:sz w:val="16"/>
                      <w:szCs w:val="16"/>
                      <w:lang w:val="lv-LV"/>
                    </w:rPr>
                    <w:t>013</w:t>
                  </w:r>
                  <w:r w:rsidRPr="00457689">
                    <w:rPr>
                      <w:rFonts w:ascii="Arial Narrow" w:hAnsi="Arial Narrow"/>
                      <w:b/>
                      <w:sz w:val="16"/>
                      <w:szCs w:val="16"/>
                      <w:lang w:val="lv-LV"/>
                    </w:rPr>
                    <w:t xml:space="preserve">.gada </w:t>
                  </w:r>
                  <w:r>
                    <w:rPr>
                      <w:rFonts w:ascii="Arial Narrow" w:hAnsi="Arial Narrow"/>
                      <w:b/>
                      <w:sz w:val="16"/>
                      <w:szCs w:val="16"/>
                      <w:lang w:val="lv-LV"/>
                    </w:rPr>
                    <w:t>aprīlis</w:t>
                  </w:r>
                </w:p>
              </w:txbxContent>
            </v:textbox>
          </v:shape>
        </w:pict>
      </w:r>
      <w:r>
        <w:rPr>
          <w:rFonts w:ascii="Times New Roman" w:hAnsi="Times New Roman"/>
          <w:noProof/>
          <w:sz w:val="28"/>
          <w:szCs w:val="28"/>
          <w:lang w:val="lv-LV" w:eastAsia="lv-LV"/>
        </w:rPr>
        <w:pict>
          <v:shape id="_x0000_s1027" type="#_x0000_t202" style="position:absolute;left:0;text-align:left;margin-left:351.45pt;margin-top:33.85pt;width:54pt;height:26.6pt;z-index:251659264" stroked="f">
            <v:textbox style="mso-next-textbox:#_x0000_s1027">
              <w:txbxContent>
                <w:p w:rsidR="008326D1" w:rsidRPr="00457689" w:rsidRDefault="008326D1" w:rsidP="00457689">
                  <w:pPr>
                    <w:rPr>
                      <w:rFonts w:ascii="Arial Narrow" w:hAnsi="Arial Narrow"/>
                      <w:b/>
                      <w:sz w:val="16"/>
                      <w:szCs w:val="16"/>
                      <w:lang w:val="lv-LV"/>
                    </w:rPr>
                  </w:pPr>
                  <w:r w:rsidRPr="00457689">
                    <w:rPr>
                      <w:rFonts w:ascii="Arial Narrow" w:hAnsi="Arial Narrow"/>
                      <w:b/>
                      <w:sz w:val="16"/>
                      <w:szCs w:val="16"/>
                      <w:lang w:val="lv-LV"/>
                    </w:rPr>
                    <w:t>2</w:t>
                  </w:r>
                  <w:r>
                    <w:rPr>
                      <w:rFonts w:ascii="Arial Narrow" w:hAnsi="Arial Narrow"/>
                      <w:b/>
                      <w:sz w:val="16"/>
                      <w:szCs w:val="16"/>
                      <w:lang w:val="lv-LV"/>
                    </w:rPr>
                    <w:t>013</w:t>
                  </w:r>
                  <w:r w:rsidRPr="00457689">
                    <w:rPr>
                      <w:rFonts w:ascii="Arial Narrow" w:hAnsi="Arial Narrow"/>
                      <w:b/>
                      <w:sz w:val="16"/>
                      <w:szCs w:val="16"/>
                      <w:lang w:val="lv-LV"/>
                    </w:rPr>
                    <w:t xml:space="preserve">.gada </w:t>
                  </w:r>
                  <w:r>
                    <w:rPr>
                      <w:rFonts w:ascii="Arial Narrow" w:hAnsi="Arial Narrow"/>
                      <w:b/>
                      <w:sz w:val="16"/>
                      <w:szCs w:val="16"/>
                      <w:lang w:val="lv-LV"/>
                    </w:rPr>
                    <w:t>septembris</w:t>
                  </w:r>
                </w:p>
              </w:txbxContent>
            </v:textbox>
          </v:shape>
        </w:pict>
      </w:r>
      <w:r>
        <w:rPr>
          <w:rFonts w:ascii="Times New Roman" w:hAnsi="Times New Roman"/>
          <w:noProof/>
          <w:sz w:val="28"/>
          <w:szCs w:val="28"/>
          <w:lang w:val="lv-LV" w:eastAsia="lv-LV"/>
        </w:rPr>
        <w:pict>
          <v:shape id="_x0000_s1030" type="#_x0000_t202" style="position:absolute;left:0;text-align:left;margin-left:295.2pt;margin-top:33.85pt;width:51.75pt;height:27pt;z-index:251662336" stroked="f">
            <v:textbox style="mso-next-textbox:#_x0000_s1030">
              <w:txbxContent>
                <w:p w:rsidR="008326D1" w:rsidRPr="00457689" w:rsidRDefault="008326D1" w:rsidP="00457689">
                  <w:pPr>
                    <w:rPr>
                      <w:rFonts w:ascii="Arial Narrow" w:hAnsi="Arial Narrow"/>
                      <w:b/>
                      <w:sz w:val="16"/>
                      <w:szCs w:val="16"/>
                      <w:lang w:val="lv-LV"/>
                    </w:rPr>
                  </w:pPr>
                  <w:r w:rsidRPr="00457689">
                    <w:rPr>
                      <w:rFonts w:ascii="Arial Narrow" w:hAnsi="Arial Narrow"/>
                      <w:b/>
                      <w:sz w:val="16"/>
                      <w:szCs w:val="16"/>
                      <w:lang w:val="lv-LV"/>
                    </w:rPr>
                    <w:t>2</w:t>
                  </w:r>
                  <w:r>
                    <w:rPr>
                      <w:rFonts w:ascii="Arial Narrow" w:hAnsi="Arial Narrow"/>
                      <w:b/>
                      <w:sz w:val="16"/>
                      <w:szCs w:val="16"/>
                      <w:lang w:val="lv-LV"/>
                    </w:rPr>
                    <w:t>013</w:t>
                  </w:r>
                  <w:r w:rsidRPr="00457689">
                    <w:rPr>
                      <w:rFonts w:ascii="Arial Narrow" w:hAnsi="Arial Narrow"/>
                      <w:b/>
                      <w:sz w:val="16"/>
                      <w:szCs w:val="16"/>
                      <w:lang w:val="lv-LV"/>
                    </w:rPr>
                    <w:t xml:space="preserve">.gada </w:t>
                  </w:r>
                  <w:r>
                    <w:rPr>
                      <w:rFonts w:ascii="Arial Narrow" w:hAnsi="Arial Narrow"/>
                      <w:b/>
                      <w:sz w:val="16"/>
                      <w:szCs w:val="16"/>
                      <w:lang w:val="lv-LV"/>
                    </w:rPr>
                    <w:t>jūnijs</w:t>
                  </w:r>
                </w:p>
              </w:txbxContent>
            </v:textbox>
          </v:shape>
        </w:pict>
      </w:r>
      <w:r>
        <w:rPr>
          <w:rFonts w:ascii="Times New Roman" w:hAnsi="Times New Roman"/>
          <w:noProof/>
          <w:sz w:val="28"/>
          <w:szCs w:val="28"/>
          <w:lang w:val="lv-LV" w:eastAsia="lv-LV"/>
        </w:rPr>
        <w:pict>
          <v:shape id="_x0000_s1028" type="#_x0000_t202" style="position:absolute;left:0;text-align:left;margin-left:158.7pt;margin-top:33.85pt;width:54.75pt;height:27pt;z-index:251660288" stroked="f">
            <v:textbox style="mso-next-textbox:#_x0000_s1028">
              <w:txbxContent>
                <w:p w:rsidR="008326D1" w:rsidRPr="00457689" w:rsidRDefault="008326D1" w:rsidP="00457689">
                  <w:pPr>
                    <w:rPr>
                      <w:rFonts w:ascii="Arial Narrow" w:hAnsi="Arial Narrow"/>
                      <w:b/>
                      <w:sz w:val="16"/>
                      <w:szCs w:val="16"/>
                      <w:lang w:val="lv-LV"/>
                    </w:rPr>
                  </w:pPr>
                  <w:r w:rsidRPr="00457689">
                    <w:rPr>
                      <w:rFonts w:ascii="Arial Narrow" w:hAnsi="Arial Narrow"/>
                      <w:b/>
                      <w:sz w:val="16"/>
                      <w:szCs w:val="16"/>
                      <w:lang w:val="lv-LV"/>
                    </w:rPr>
                    <w:t xml:space="preserve">2012.gada </w:t>
                  </w:r>
                  <w:r>
                    <w:rPr>
                      <w:rFonts w:ascii="Arial Narrow" w:hAnsi="Arial Narrow"/>
                      <w:b/>
                      <w:sz w:val="16"/>
                      <w:szCs w:val="16"/>
                      <w:lang w:val="lv-LV"/>
                    </w:rPr>
                    <w:t>decembris</w:t>
                  </w:r>
                </w:p>
              </w:txbxContent>
            </v:textbox>
          </v:shape>
        </w:pict>
      </w:r>
      <w:r>
        <w:rPr>
          <w:rFonts w:ascii="Times New Roman" w:hAnsi="Times New Roman"/>
          <w:noProof/>
          <w:sz w:val="28"/>
          <w:szCs w:val="28"/>
          <w:lang w:val="lv-LV" w:eastAsia="lv-LV"/>
        </w:rPr>
        <w:pict>
          <v:shape id="_x0000_s1026" type="#_x0000_t202" style="position:absolute;left:0;text-align:left;margin-left:100.95pt;margin-top:33.85pt;width:51pt;height:27pt;z-index:251658240" stroked="f">
            <v:textbox style="mso-next-textbox:#_x0000_s1026">
              <w:txbxContent>
                <w:p w:rsidR="008326D1" w:rsidRPr="00457689" w:rsidRDefault="008326D1">
                  <w:pPr>
                    <w:rPr>
                      <w:rFonts w:ascii="Arial Narrow" w:hAnsi="Arial Narrow"/>
                      <w:b/>
                      <w:sz w:val="16"/>
                      <w:szCs w:val="16"/>
                      <w:lang w:val="lv-LV"/>
                    </w:rPr>
                  </w:pPr>
                  <w:r w:rsidRPr="00457689">
                    <w:rPr>
                      <w:rFonts w:ascii="Arial Narrow" w:hAnsi="Arial Narrow"/>
                      <w:b/>
                      <w:sz w:val="16"/>
                      <w:szCs w:val="16"/>
                      <w:lang w:val="lv-LV"/>
                    </w:rPr>
                    <w:t>2012.gada novembris</w:t>
                  </w:r>
                </w:p>
              </w:txbxContent>
            </v:textbox>
          </v:shape>
        </w:pict>
      </w:r>
      <w:r>
        <w:rPr>
          <w:rFonts w:ascii="Times New Roman" w:hAnsi="Times New Roman"/>
          <w:noProof/>
          <w:sz w:val="28"/>
          <w:szCs w:val="28"/>
          <w:lang w:val="lv-LV" w:eastAsia="lv-LV"/>
        </w:rPr>
        <w:pict>
          <v:shape id="_x0000_s1032" type="#_x0000_t202" style="position:absolute;left:0;text-align:left;margin-left:222.45pt;margin-top:97.95pt;width:63.75pt;height:38.6pt;z-index:251664384" stroked="f">
            <v:textbox style="mso-next-textbox:#_x0000_s1032">
              <w:txbxContent>
                <w:p w:rsidR="008326D1" w:rsidRPr="00B64EE2" w:rsidRDefault="008326D1" w:rsidP="00B64EE2">
                  <w:pPr>
                    <w:rPr>
                      <w:rFonts w:ascii="Arial Narrow" w:hAnsi="Arial Narrow"/>
                      <w:b/>
                      <w:bCs/>
                      <w:sz w:val="16"/>
                      <w:szCs w:val="16"/>
                      <w:lang w:val="lv-LV"/>
                    </w:rPr>
                  </w:pPr>
                  <w:r w:rsidRPr="00B64EE2">
                    <w:rPr>
                      <w:rFonts w:ascii="Arial Narrow" w:hAnsi="Arial Narrow"/>
                      <w:b/>
                      <w:bCs/>
                      <w:sz w:val="16"/>
                      <w:szCs w:val="16"/>
                      <w:lang w:val="lv-LV"/>
                    </w:rPr>
                    <w:t>TA projektu apstiprināš</w:t>
                  </w:r>
                  <w:r>
                    <w:rPr>
                      <w:rFonts w:ascii="Arial Narrow" w:hAnsi="Arial Narrow"/>
                      <w:b/>
                      <w:bCs/>
                      <w:sz w:val="16"/>
                      <w:szCs w:val="16"/>
                      <w:lang w:val="lv-LV"/>
                    </w:rPr>
                    <w:t>a</w:t>
                  </w:r>
                  <w:r w:rsidRPr="00B64EE2">
                    <w:rPr>
                      <w:rFonts w:ascii="Arial Narrow" w:hAnsi="Arial Narrow"/>
                      <w:b/>
                      <w:bCs/>
                      <w:sz w:val="16"/>
                      <w:szCs w:val="16"/>
                      <w:lang w:val="lv-LV"/>
                    </w:rPr>
                    <w:t xml:space="preserve">na MK, Saeimā </w:t>
                  </w:r>
                </w:p>
                <w:p w:rsidR="008326D1" w:rsidRPr="00457689" w:rsidRDefault="008326D1" w:rsidP="00B64EE2">
                  <w:pPr>
                    <w:rPr>
                      <w:lang w:val="lv-LV"/>
                    </w:rPr>
                  </w:pPr>
                </w:p>
              </w:txbxContent>
            </v:textbox>
          </v:shape>
        </w:pict>
      </w:r>
      <w:r>
        <w:rPr>
          <w:rFonts w:ascii="Times New Roman" w:hAnsi="Times New Roman"/>
          <w:noProof/>
          <w:sz w:val="28"/>
          <w:szCs w:val="28"/>
          <w:lang w:val="lv-LV" w:eastAsia="lv-LV"/>
        </w:rPr>
        <w:pict>
          <v:shape id="_x0000_s1029" type="#_x0000_t202" style="position:absolute;left:0;text-align:left;margin-left:158.7pt;margin-top:97.95pt;width:58.5pt;height:49.5pt;z-index:251661312" stroked="f">
            <v:textbox style="mso-next-textbox:#_x0000_s1029">
              <w:txbxContent>
                <w:p w:rsidR="008326D1" w:rsidRPr="00457689" w:rsidRDefault="008326D1" w:rsidP="00457689">
                  <w:pPr>
                    <w:rPr>
                      <w:rFonts w:ascii="Arial Narrow" w:hAnsi="Arial Narrow"/>
                      <w:b/>
                      <w:sz w:val="16"/>
                      <w:szCs w:val="16"/>
                      <w:lang w:val="lv-LV"/>
                    </w:rPr>
                  </w:pPr>
                  <w:r w:rsidRPr="00457689">
                    <w:rPr>
                      <w:rFonts w:ascii="Arial Narrow" w:hAnsi="Arial Narrow"/>
                      <w:b/>
                      <w:bCs/>
                      <w:sz w:val="16"/>
                      <w:szCs w:val="16"/>
                      <w:lang w:val="lv-LV"/>
                    </w:rPr>
                    <w:t xml:space="preserve">TA projektu </w:t>
                  </w:r>
                  <w:r>
                    <w:rPr>
                      <w:rFonts w:ascii="Arial Narrow" w:hAnsi="Arial Narrow"/>
                      <w:b/>
                      <w:bCs/>
                      <w:sz w:val="16"/>
                      <w:szCs w:val="16"/>
                      <w:lang w:val="lv-LV"/>
                    </w:rPr>
                    <w:t>izsludināšana</w:t>
                  </w:r>
                  <w:r w:rsidRPr="00457689">
                    <w:rPr>
                      <w:rFonts w:ascii="Arial Narrow" w:hAnsi="Arial Narrow"/>
                      <w:b/>
                      <w:bCs/>
                      <w:sz w:val="16"/>
                      <w:szCs w:val="16"/>
                      <w:lang w:val="lv-LV"/>
                    </w:rPr>
                    <w:t xml:space="preserve"> </w:t>
                  </w:r>
                  <w:r w:rsidR="00F53A26">
                    <w:rPr>
                      <w:rFonts w:ascii="Arial Narrow" w:hAnsi="Arial Narrow"/>
                      <w:b/>
                      <w:bCs/>
                      <w:sz w:val="16"/>
                      <w:szCs w:val="16"/>
                      <w:lang w:val="lv-LV"/>
                    </w:rPr>
                    <w:t xml:space="preserve"> VSS</w:t>
                  </w:r>
                </w:p>
                <w:p w:rsidR="008326D1" w:rsidRPr="00457689" w:rsidRDefault="008326D1" w:rsidP="00457689">
                  <w:pPr>
                    <w:rPr>
                      <w:lang w:val="lv-LV"/>
                    </w:rPr>
                  </w:pPr>
                </w:p>
              </w:txbxContent>
            </v:textbox>
          </v:shape>
        </w:pict>
      </w:r>
      <w:r w:rsidR="004505AB">
        <w:rPr>
          <w:rFonts w:ascii="Times New Roman" w:hAnsi="Times New Roman"/>
          <w:noProof/>
          <w:sz w:val="28"/>
          <w:szCs w:val="28"/>
          <w:lang w:val="lv-LV" w:eastAsia="lv-LV"/>
        </w:rPr>
        <w:drawing>
          <wp:inline distT="0" distB="0" distL="0" distR="0">
            <wp:extent cx="5753100" cy="2038350"/>
            <wp:effectExtent l="19050" t="0" r="0" b="0"/>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AB5A88" w:rsidRDefault="00AB5A88" w:rsidP="00593AC9">
      <w:pPr>
        <w:spacing w:after="0" w:line="240" w:lineRule="auto"/>
        <w:jc w:val="both"/>
        <w:rPr>
          <w:rFonts w:ascii="Times New Roman" w:hAnsi="Times New Roman"/>
          <w:sz w:val="28"/>
          <w:szCs w:val="28"/>
          <w:lang w:val="lv-LV"/>
        </w:rPr>
      </w:pPr>
    </w:p>
    <w:p w:rsidR="00A87852" w:rsidRDefault="00A87852" w:rsidP="00593AC9">
      <w:pPr>
        <w:spacing w:after="0" w:line="240" w:lineRule="auto"/>
        <w:jc w:val="both"/>
        <w:rPr>
          <w:rFonts w:ascii="Times New Roman" w:hAnsi="Times New Roman"/>
          <w:sz w:val="28"/>
          <w:szCs w:val="28"/>
          <w:lang w:val="lv-LV"/>
        </w:rPr>
      </w:pPr>
    </w:p>
    <w:p w:rsidR="005A4A98" w:rsidRDefault="00E961DC" w:rsidP="00690631">
      <w:pPr>
        <w:pStyle w:val="ListParagraph"/>
        <w:numPr>
          <w:ilvl w:val="0"/>
          <w:numId w:val="2"/>
        </w:numPr>
        <w:spacing w:after="120" w:line="240" w:lineRule="auto"/>
        <w:ind w:left="714" w:hanging="357"/>
        <w:jc w:val="both"/>
        <w:rPr>
          <w:rFonts w:ascii="Times New Roman" w:hAnsi="Times New Roman"/>
          <w:sz w:val="28"/>
          <w:szCs w:val="28"/>
          <w:lang w:val="lv-LV"/>
        </w:rPr>
      </w:pPr>
      <w:r>
        <w:rPr>
          <w:rFonts w:ascii="Times New Roman" w:hAnsi="Times New Roman"/>
          <w:sz w:val="28"/>
          <w:szCs w:val="28"/>
          <w:lang w:val="lv-LV"/>
        </w:rPr>
        <w:t xml:space="preserve">2012.gada </w:t>
      </w:r>
      <w:r w:rsidR="00036D15">
        <w:rPr>
          <w:rFonts w:ascii="Times New Roman" w:hAnsi="Times New Roman"/>
          <w:sz w:val="28"/>
          <w:szCs w:val="28"/>
          <w:lang w:val="lv-LV"/>
        </w:rPr>
        <w:t>novembra</w:t>
      </w:r>
      <w:r>
        <w:rPr>
          <w:rFonts w:ascii="Times New Roman" w:hAnsi="Times New Roman"/>
          <w:sz w:val="28"/>
          <w:szCs w:val="28"/>
          <w:lang w:val="lv-LV"/>
        </w:rPr>
        <w:t xml:space="preserve"> ietvaros</w:t>
      </w:r>
      <w:r w:rsidR="00AB5A88">
        <w:rPr>
          <w:rFonts w:ascii="Times New Roman" w:hAnsi="Times New Roman"/>
          <w:sz w:val="28"/>
          <w:szCs w:val="28"/>
          <w:lang w:val="lv-LV"/>
        </w:rPr>
        <w:t xml:space="preserve"> </w:t>
      </w:r>
      <w:r w:rsidR="005A4A98">
        <w:rPr>
          <w:rFonts w:ascii="Times New Roman" w:hAnsi="Times New Roman"/>
          <w:sz w:val="28"/>
          <w:szCs w:val="28"/>
          <w:lang w:val="lv-LV"/>
        </w:rPr>
        <w:t>ar elektroenerģijas tirgus atvēršanu mājsaimniecībās saistītos jautājumus izskatī</w:t>
      </w:r>
      <w:r w:rsidR="00036D15">
        <w:rPr>
          <w:rFonts w:ascii="Times New Roman" w:hAnsi="Times New Roman"/>
          <w:sz w:val="28"/>
          <w:szCs w:val="28"/>
          <w:lang w:val="lv-LV"/>
        </w:rPr>
        <w:t>s</w:t>
      </w:r>
      <w:r w:rsidR="005A4A98">
        <w:rPr>
          <w:rFonts w:ascii="Times New Roman" w:hAnsi="Times New Roman"/>
          <w:sz w:val="28"/>
          <w:szCs w:val="28"/>
          <w:lang w:val="lv-LV"/>
        </w:rPr>
        <w:t xml:space="preserve"> Elektroenerģi</w:t>
      </w:r>
      <w:r w:rsidR="00690631">
        <w:rPr>
          <w:rFonts w:ascii="Times New Roman" w:hAnsi="Times New Roman"/>
          <w:sz w:val="28"/>
          <w:szCs w:val="28"/>
          <w:lang w:val="lv-LV"/>
        </w:rPr>
        <w:t>jas tirgus konsultatīvajā padome</w:t>
      </w:r>
      <w:r w:rsidR="005A4A98">
        <w:rPr>
          <w:rFonts w:ascii="Times New Roman" w:hAnsi="Times New Roman"/>
          <w:sz w:val="28"/>
          <w:szCs w:val="28"/>
          <w:lang w:val="lv-LV"/>
        </w:rPr>
        <w:t>, k</w:t>
      </w:r>
      <w:r w:rsidR="00690631">
        <w:rPr>
          <w:rFonts w:ascii="Times New Roman" w:hAnsi="Times New Roman"/>
          <w:sz w:val="28"/>
          <w:szCs w:val="28"/>
          <w:lang w:val="lv-LV"/>
        </w:rPr>
        <w:t>ura</w:t>
      </w:r>
      <w:r w:rsidR="00036D15">
        <w:rPr>
          <w:rFonts w:ascii="Times New Roman" w:hAnsi="Times New Roman"/>
          <w:sz w:val="28"/>
          <w:szCs w:val="28"/>
          <w:lang w:val="lv-LV"/>
        </w:rPr>
        <w:t xml:space="preserve"> sniegs Ekonomikas ministrijai priekšlikumus par elektroenerģijas tirgus atvēršanu mājsaimniecības lietotājiem</w:t>
      </w:r>
      <w:r w:rsidR="00690631">
        <w:rPr>
          <w:rFonts w:ascii="Times New Roman" w:hAnsi="Times New Roman"/>
          <w:sz w:val="28"/>
          <w:szCs w:val="28"/>
          <w:lang w:val="lv-LV"/>
        </w:rPr>
        <w:t>. Ekonomikas ministrija ņemot vērā Elektroenerģijas tirgus konsultatīvās padomes ieteikumus un sniegto informāciju sagatavo</w:t>
      </w:r>
      <w:r w:rsidR="00C90302">
        <w:rPr>
          <w:rFonts w:ascii="Times New Roman" w:hAnsi="Times New Roman"/>
          <w:sz w:val="28"/>
          <w:szCs w:val="28"/>
          <w:lang w:val="lv-LV"/>
        </w:rPr>
        <w:t>s</w:t>
      </w:r>
      <w:r w:rsidR="00690631">
        <w:rPr>
          <w:rFonts w:ascii="Times New Roman" w:hAnsi="Times New Roman"/>
          <w:sz w:val="28"/>
          <w:szCs w:val="28"/>
          <w:lang w:val="lv-LV"/>
        </w:rPr>
        <w:t xml:space="preserve"> vispārīgu analīzi par elektroenerģijas tirgus pilnīgu atvēršanu, tajā ietverot informāciju par </w:t>
      </w:r>
      <w:r w:rsidR="00690631" w:rsidRPr="006F02AC">
        <w:rPr>
          <w:rFonts w:ascii="Times New Roman" w:hAnsi="Times New Roman"/>
          <w:sz w:val="28"/>
          <w:szCs w:val="28"/>
          <w:lang w:val="lv-LV"/>
        </w:rPr>
        <w:t>sistēmas gatavību, tirgus apstākļu raksturojumu.</w:t>
      </w:r>
    </w:p>
    <w:p w:rsidR="00A87852" w:rsidRPr="006F02AC" w:rsidRDefault="00A87852" w:rsidP="00A87852">
      <w:pPr>
        <w:pStyle w:val="ListParagraph"/>
        <w:spacing w:after="120" w:line="240" w:lineRule="auto"/>
        <w:ind w:left="714"/>
        <w:jc w:val="both"/>
        <w:rPr>
          <w:rFonts w:ascii="Times New Roman" w:hAnsi="Times New Roman"/>
          <w:sz w:val="28"/>
          <w:szCs w:val="28"/>
          <w:lang w:val="lv-LV"/>
        </w:rPr>
      </w:pPr>
    </w:p>
    <w:p w:rsidR="00A87852" w:rsidRDefault="00A37294" w:rsidP="00A87852">
      <w:pPr>
        <w:pStyle w:val="ListParagraph"/>
        <w:numPr>
          <w:ilvl w:val="0"/>
          <w:numId w:val="2"/>
        </w:numPr>
        <w:spacing w:after="120" w:line="240" w:lineRule="auto"/>
        <w:ind w:left="714" w:hanging="357"/>
        <w:jc w:val="both"/>
        <w:rPr>
          <w:rFonts w:ascii="Times New Roman" w:hAnsi="Times New Roman"/>
          <w:sz w:val="28"/>
          <w:szCs w:val="28"/>
          <w:lang w:val="lv-LV"/>
        </w:rPr>
      </w:pPr>
      <w:r w:rsidRPr="006F02AC">
        <w:rPr>
          <w:rFonts w:ascii="Times New Roman" w:hAnsi="Times New Roman"/>
          <w:sz w:val="28"/>
          <w:szCs w:val="28"/>
          <w:lang w:val="lv-LV"/>
        </w:rPr>
        <w:t xml:space="preserve">Ekonomikas ministrija sadarbībā ar </w:t>
      </w:r>
      <w:r w:rsidR="00E961DC" w:rsidRPr="006F02AC">
        <w:rPr>
          <w:rFonts w:ascii="Times New Roman" w:hAnsi="Times New Roman"/>
          <w:sz w:val="28"/>
          <w:szCs w:val="28"/>
          <w:lang w:val="lv-LV"/>
        </w:rPr>
        <w:t>Elektroenerģi</w:t>
      </w:r>
      <w:r w:rsidRPr="006F02AC">
        <w:rPr>
          <w:rFonts w:ascii="Times New Roman" w:hAnsi="Times New Roman"/>
          <w:sz w:val="28"/>
          <w:szCs w:val="28"/>
          <w:lang w:val="lv-LV"/>
        </w:rPr>
        <w:t>jas tirgus konsultatīvās padomi</w:t>
      </w:r>
      <w:r w:rsidR="00E961DC" w:rsidRPr="006F02AC">
        <w:rPr>
          <w:rFonts w:ascii="Times New Roman" w:hAnsi="Times New Roman"/>
          <w:sz w:val="28"/>
          <w:szCs w:val="28"/>
          <w:lang w:val="lv-LV"/>
        </w:rPr>
        <w:t>, 2012.gada novembra ietvaros izstrādās tiesību aktu projektus regulētā elektroenerģijas gala tarifa atcelšanai.</w:t>
      </w:r>
    </w:p>
    <w:p w:rsidR="00A87852" w:rsidRPr="00A87852" w:rsidRDefault="00A87852" w:rsidP="00A87852">
      <w:pPr>
        <w:spacing w:after="120" w:line="240" w:lineRule="auto"/>
        <w:jc w:val="both"/>
        <w:rPr>
          <w:rFonts w:ascii="Times New Roman" w:hAnsi="Times New Roman"/>
          <w:sz w:val="28"/>
          <w:szCs w:val="28"/>
          <w:lang w:val="lv-LV"/>
        </w:rPr>
      </w:pPr>
    </w:p>
    <w:p w:rsidR="004A225C" w:rsidRDefault="00E961DC" w:rsidP="006F02AC">
      <w:pPr>
        <w:pStyle w:val="ListParagraph"/>
        <w:numPr>
          <w:ilvl w:val="0"/>
          <w:numId w:val="2"/>
        </w:numPr>
        <w:spacing w:after="0" w:line="240" w:lineRule="auto"/>
        <w:ind w:left="714" w:hanging="357"/>
        <w:jc w:val="both"/>
        <w:rPr>
          <w:rFonts w:ascii="Times New Roman" w:hAnsi="Times New Roman"/>
          <w:sz w:val="28"/>
          <w:szCs w:val="28"/>
          <w:lang w:val="lv-LV"/>
        </w:rPr>
      </w:pPr>
      <w:r w:rsidRPr="006F02AC">
        <w:rPr>
          <w:rFonts w:ascii="Times New Roman" w:hAnsi="Times New Roman"/>
          <w:sz w:val="28"/>
          <w:szCs w:val="28"/>
          <w:lang w:val="lv-LV"/>
        </w:rPr>
        <w:lastRenderedPageBreak/>
        <w:t xml:space="preserve">Ekonomikas ministrija 2012.gada decembra ietvaros nodrošina </w:t>
      </w:r>
      <w:r w:rsidR="00F53A26" w:rsidRPr="006F02AC">
        <w:rPr>
          <w:rFonts w:ascii="Times New Roman" w:hAnsi="Times New Roman"/>
          <w:sz w:val="28"/>
          <w:szCs w:val="28"/>
          <w:lang w:val="lv-LV"/>
        </w:rPr>
        <w:t xml:space="preserve">Elektroenerģijas tirgus likuma, Ministru kabineta 2011.gada 29.novembra noteikumu Nr.914 „Elektroenerģijas tirdzniecības un lietošanas noteikumi”  grozījumu publisku izsludināšanu Valsts sekretāru sanāksmē </w:t>
      </w:r>
      <w:r w:rsidRPr="006F02AC">
        <w:rPr>
          <w:rFonts w:ascii="Times New Roman" w:hAnsi="Times New Roman"/>
          <w:sz w:val="28"/>
          <w:szCs w:val="28"/>
          <w:lang w:val="lv-LV"/>
        </w:rPr>
        <w:t>un iesniegšanu Ministru kabinetā.</w:t>
      </w:r>
      <w:r w:rsidR="00AB5A88" w:rsidRPr="006F02AC">
        <w:rPr>
          <w:rFonts w:ascii="Times New Roman" w:hAnsi="Times New Roman"/>
          <w:sz w:val="28"/>
          <w:szCs w:val="28"/>
          <w:lang w:val="lv-LV"/>
        </w:rPr>
        <w:t xml:space="preserve"> </w:t>
      </w:r>
    </w:p>
    <w:p w:rsidR="00A87852" w:rsidRPr="00A87852" w:rsidRDefault="00A87852" w:rsidP="00A87852">
      <w:pPr>
        <w:spacing w:after="0" w:line="240" w:lineRule="auto"/>
        <w:jc w:val="both"/>
        <w:rPr>
          <w:rFonts w:ascii="Times New Roman" w:hAnsi="Times New Roman"/>
          <w:sz w:val="28"/>
          <w:szCs w:val="28"/>
          <w:lang w:val="lv-LV"/>
        </w:rPr>
      </w:pPr>
    </w:p>
    <w:p w:rsidR="004A225C" w:rsidRPr="006F02AC" w:rsidRDefault="004A225C" w:rsidP="004A225C">
      <w:pPr>
        <w:pStyle w:val="ListParagraph"/>
        <w:numPr>
          <w:ilvl w:val="0"/>
          <w:numId w:val="2"/>
        </w:numPr>
        <w:spacing w:after="0" w:line="240" w:lineRule="auto"/>
        <w:jc w:val="both"/>
        <w:rPr>
          <w:rFonts w:ascii="Times New Roman" w:hAnsi="Times New Roman"/>
          <w:sz w:val="28"/>
          <w:szCs w:val="28"/>
          <w:lang w:val="lv-LV"/>
        </w:rPr>
      </w:pPr>
      <w:r w:rsidRPr="006F02AC">
        <w:rPr>
          <w:rFonts w:ascii="Times New Roman" w:hAnsi="Times New Roman"/>
          <w:sz w:val="28"/>
          <w:szCs w:val="28"/>
          <w:lang w:val="lv-LV"/>
        </w:rPr>
        <w:t>Lai nodrošinātu,  ka tirgus dalībnieki tiktu savlaicīgi un pietiekami labi informēti par gaidāmo tirgus atvēršanu, Ekonomikas ministrijai sadarbībā ar tirgus atvēršanā iesaistītajiem pusēm līdz 2013.gada 1.janvārim izstrādā</w:t>
      </w:r>
      <w:r w:rsidR="00C90302" w:rsidRPr="006F02AC">
        <w:rPr>
          <w:rFonts w:ascii="Times New Roman" w:hAnsi="Times New Roman"/>
          <w:sz w:val="28"/>
          <w:szCs w:val="28"/>
          <w:lang w:val="lv-LV"/>
        </w:rPr>
        <w:t xml:space="preserve">s sabiedrības informēšanas plānu un </w:t>
      </w:r>
      <w:r w:rsidRPr="006F02AC">
        <w:rPr>
          <w:rFonts w:ascii="Times New Roman" w:hAnsi="Times New Roman"/>
          <w:sz w:val="28"/>
          <w:szCs w:val="28"/>
          <w:lang w:val="lv-LV"/>
        </w:rPr>
        <w:t>uzsāk</w:t>
      </w:r>
      <w:r w:rsidR="00C90302" w:rsidRPr="006F02AC">
        <w:rPr>
          <w:rFonts w:ascii="Times New Roman" w:hAnsi="Times New Roman"/>
          <w:sz w:val="28"/>
          <w:szCs w:val="28"/>
          <w:lang w:val="lv-LV"/>
        </w:rPr>
        <w:t>s tā īstenošanu</w:t>
      </w:r>
      <w:r w:rsidRPr="006F02AC">
        <w:rPr>
          <w:rFonts w:ascii="Times New Roman" w:hAnsi="Times New Roman"/>
          <w:sz w:val="28"/>
          <w:szCs w:val="28"/>
          <w:lang w:val="lv-LV"/>
        </w:rPr>
        <w:t>.</w:t>
      </w:r>
    </w:p>
    <w:p w:rsidR="00DF4EBE" w:rsidRDefault="00DF4EBE" w:rsidP="00DF4EBE">
      <w:pPr>
        <w:spacing w:after="0" w:line="240" w:lineRule="auto"/>
        <w:jc w:val="both"/>
        <w:rPr>
          <w:rFonts w:ascii="Times New Roman" w:hAnsi="Times New Roman"/>
          <w:sz w:val="28"/>
          <w:szCs w:val="28"/>
          <w:lang w:val="lv-LV"/>
        </w:rPr>
      </w:pPr>
    </w:p>
    <w:p w:rsidR="00A87852" w:rsidRPr="00DF4EBE" w:rsidRDefault="00A87852" w:rsidP="00DF4EBE">
      <w:pPr>
        <w:spacing w:after="0" w:line="240" w:lineRule="auto"/>
        <w:jc w:val="both"/>
        <w:rPr>
          <w:rFonts w:ascii="Times New Roman" w:hAnsi="Times New Roman"/>
          <w:sz w:val="28"/>
          <w:szCs w:val="28"/>
          <w:lang w:val="lv-LV"/>
        </w:rPr>
      </w:pPr>
    </w:p>
    <w:p w:rsidR="00FB17C5" w:rsidRDefault="00FB17C5" w:rsidP="00AB5A88">
      <w:pPr>
        <w:pStyle w:val="ListParagraph"/>
        <w:numPr>
          <w:ilvl w:val="0"/>
          <w:numId w:val="2"/>
        </w:numPr>
        <w:spacing w:after="0" w:line="240" w:lineRule="auto"/>
        <w:jc w:val="both"/>
        <w:rPr>
          <w:rFonts w:ascii="Times New Roman" w:hAnsi="Times New Roman"/>
          <w:sz w:val="28"/>
          <w:szCs w:val="28"/>
          <w:lang w:val="lv-LV"/>
        </w:rPr>
      </w:pPr>
      <w:r>
        <w:rPr>
          <w:rFonts w:ascii="Times New Roman" w:hAnsi="Times New Roman"/>
          <w:sz w:val="28"/>
          <w:szCs w:val="28"/>
          <w:lang w:val="lv-LV"/>
        </w:rPr>
        <w:t>Provizoriski 2013.gada vasaras sākumā</w:t>
      </w:r>
      <w:r w:rsidR="00DF4EBE">
        <w:rPr>
          <w:rFonts w:ascii="Times New Roman" w:hAnsi="Times New Roman"/>
          <w:sz w:val="28"/>
          <w:szCs w:val="28"/>
          <w:lang w:val="lv-LV"/>
        </w:rPr>
        <w:t xml:space="preserve"> elektroenerģijas tirgotāji varētu uzsākt piedāvāt elektroenerģijas tirdzniecības pakalpojumu</w:t>
      </w:r>
      <w:r w:rsidR="00852062">
        <w:rPr>
          <w:rFonts w:ascii="Times New Roman" w:hAnsi="Times New Roman"/>
          <w:sz w:val="28"/>
          <w:szCs w:val="28"/>
          <w:lang w:val="lv-LV"/>
        </w:rPr>
        <w:t>s</w:t>
      </w:r>
      <w:r w:rsidR="00DF4EBE">
        <w:rPr>
          <w:rFonts w:ascii="Times New Roman" w:hAnsi="Times New Roman"/>
          <w:sz w:val="28"/>
          <w:szCs w:val="28"/>
          <w:lang w:val="lv-LV"/>
        </w:rPr>
        <w:t xml:space="preserve"> mājsaimniecības lietotājiem.</w:t>
      </w:r>
    </w:p>
    <w:p w:rsidR="005D3E7F" w:rsidRDefault="005D3E7F" w:rsidP="005D3E7F">
      <w:pPr>
        <w:pStyle w:val="ListParagraph"/>
        <w:spacing w:after="0" w:line="240" w:lineRule="auto"/>
        <w:jc w:val="both"/>
        <w:rPr>
          <w:rFonts w:ascii="Times New Roman" w:hAnsi="Times New Roman"/>
          <w:sz w:val="28"/>
          <w:szCs w:val="28"/>
          <w:lang w:val="lv-LV"/>
        </w:rPr>
      </w:pPr>
    </w:p>
    <w:p w:rsidR="005D3E7F" w:rsidRPr="00041556" w:rsidRDefault="005D3E7F" w:rsidP="00AB5A88">
      <w:pPr>
        <w:pStyle w:val="ListParagraph"/>
        <w:numPr>
          <w:ilvl w:val="0"/>
          <w:numId w:val="2"/>
        </w:numPr>
        <w:spacing w:after="0" w:line="240" w:lineRule="auto"/>
        <w:jc w:val="both"/>
        <w:rPr>
          <w:rFonts w:ascii="Times New Roman" w:hAnsi="Times New Roman"/>
          <w:sz w:val="28"/>
          <w:szCs w:val="28"/>
          <w:lang w:val="lv-LV"/>
        </w:rPr>
      </w:pPr>
      <w:r w:rsidRPr="00041556">
        <w:rPr>
          <w:rFonts w:ascii="Times New Roman" w:hAnsi="Times New Roman"/>
          <w:sz w:val="28"/>
          <w:szCs w:val="28"/>
          <w:lang w:val="lv-LV"/>
        </w:rPr>
        <w:t>201</w:t>
      </w:r>
      <w:r w:rsidR="005E49F1">
        <w:rPr>
          <w:rFonts w:ascii="Times New Roman" w:hAnsi="Times New Roman"/>
          <w:sz w:val="28"/>
          <w:szCs w:val="28"/>
          <w:lang w:val="lv-LV"/>
        </w:rPr>
        <w:t>3</w:t>
      </w:r>
      <w:r w:rsidRPr="00041556">
        <w:rPr>
          <w:rFonts w:ascii="Times New Roman" w:hAnsi="Times New Roman"/>
          <w:sz w:val="28"/>
          <w:szCs w:val="28"/>
          <w:lang w:val="lv-LV"/>
        </w:rPr>
        <w:t>.gada septembrī, ja pirms tam vairāk nekā vienu mēnesi iepriekš darbību ir uzsākusi elektroenerģijas vairumtirdzniecības birža, visi mājsaimniecības lietotāji kļūst par elektroenerģijas tirgus dalībniekiem.</w:t>
      </w:r>
    </w:p>
    <w:p w:rsidR="005D3E7F" w:rsidRPr="005D3E7F" w:rsidRDefault="005D3E7F" w:rsidP="005D3E7F">
      <w:pPr>
        <w:spacing w:after="0" w:line="240" w:lineRule="auto"/>
        <w:jc w:val="both"/>
        <w:rPr>
          <w:rFonts w:ascii="Times New Roman" w:hAnsi="Times New Roman"/>
          <w:sz w:val="28"/>
          <w:szCs w:val="28"/>
          <w:lang w:val="lv-LV"/>
        </w:rPr>
      </w:pPr>
    </w:p>
    <w:p w:rsidR="003E3EF5" w:rsidRDefault="003E3EF5" w:rsidP="00593AC9">
      <w:pPr>
        <w:spacing w:after="0" w:line="240" w:lineRule="auto"/>
        <w:jc w:val="both"/>
        <w:rPr>
          <w:rFonts w:ascii="Times New Roman" w:hAnsi="Times New Roman"/>
          <w:sz w:val="28"/>
          <w:szCs w:val="28"/>
          <w:lang w:val="lv-LV"/>
        </w:rPr>
      </w:pPr>
    </w:p>
    <w:p w:rsidR="00AD6AA5" w:rsidRDefault="00AD6AA5" w:rsidP="00593AC9">
      <w:pPr>
        <w:spacing w:after="0" w:line="240" w:lineRule="auto"/>
        <w:jc w:val="both"/>
        <w:rPr>
          <w:rFonts w:ascii="Times New Roman" w:hAnsi="Times New Roman"/>
          <w:sz w:val="28"/>
          <w:szCs w:val="28"/>
          <w:lang w:val="lv-LV"/>
        </w:rPr>
      </w:pPr>
    </w:p>
    <w:p w:rsidR="00AD6AA5" w:rsidRDefault="00AD6AA5" w:rsidP="00593AC9">
      <w:pPr>
        <w:spacing w:after="0" w:line="240" w:lineRule="auto"/>
        <w:jc w:val="both"/>
        <w:rPr>
          <w:rFonts w:ascii="Times New Roman" w:hAnsi="Times New Roman"/>
          <w:sz w:val="28"/>
          <w:szCs w:val="28"/>
          <w:lang w:val="lv-LV"/>
        </w:rPr>
      </w:pPr>
    </w:p>
    <w:p w:rsidR="003E3EF5" w:rsidRDefault="003E3EF5" w:rsidP="00593AC9">
      <w:pPr>
        <w:spacing w:after="0" w:line="240" w:lineRule="auto"/>
        <w:jc w:val="both"/>
        <w:rPr>
          <w:rFonts w:ascii="Times New Roman" w:hAnsi="Times New Roman"/>
          <w:sz w:val="28"/>
          <w:szCs w:val="28"/>
          <w:lang w:val="lv-LV"/>
        </w:rPr>
      </w:pPr>
      <w:r>
        <w:rPr>
          <w:rFonts w:ascii="Times New Roman" w:hAnsi="Times New Roman"/>
          <w:sz w:val="28"/>
          <w:szCs w:val="28"/>
          <w:lang w:val="lv-LV"/>
        </w:rPr>
        <w:t xml:space="preserve">Ekonomikas ministrs                                                                       </w:t>
      </w:r>
      <w:proofErr w:type="spellStart"/>
      <w:r>
        <w:rPr>
          <w:rFonts w:ascii="Times New Roman" w:hAnsi="Times New Roman"/>
          <w:sz w:val="28"/>
          <w:szCs w:val="28"/>
          <w:lang w:val="lv-LV"/>
        </w:rPr>
        <w:t>D.Pavļuts</w:t>
      </w:r>
      <w:proofErr w:type="spellEnd"/>
    </w:p>
    <w:p w:rsidR="00686115" w:rsidRDefault="00686115" w:rsidP="00593AC9">
      <w:pPr>
        <w:spacing w:after="0" w:line="240" w:lineRule="auto"/>
        <w:jc w:val="both"/>
        <w:rPr>
          <w:rFonts w:ascii="Times New Roman" w:hAnsi="Times New Roman"/>
          <w:sz w:val="28"/>
          <w:szCs w:val="28"/>
          <w:lang w:val="lv-LV"/>
        </w:rPr>
      </w:pPr>
    </w:p>
    <w:p w:rsidR="00686115" w:rsidRDefault="00686115" w:rsidP="00593AC9">
      <w:pPr>
        <w:spacing w:after="0" w:line="240" w:lineRule="auto"/>
        <w:jc w:val="both"/>
        <w:rPr>
          <w:rFonts w:ascii="Times New Roman" w:hAnsi="Times New Roman"/>
          <w:sz w:val="28"/>
          <w:szCs w:val="28"/>
          <w:lang w:val="lv-LV"/>
        </w:rPr>
      </w:pPr>
      <w:r>
        <w:rPr>
          <w:rFonts w:ascii="Times New Roman" w:hAnsi="Times New Roman"/>
          <w:sz w:val="28"/>
          <w:szCs w:val="28"/>
          <w:lang w:val="lv-LV"/>
        </w:rPr>
        <w:t>Vīza:</w:t>
      </w:r>
    </w:p>
    <w:p w:rsidR="00686115" w:rsidRDefault="00686115" w:rsidP="00593AC9">
      <w:pPr>
        <w:spacing w:after="0" w:line="240" w:lineRule="auto"/>
        <w:jc w:val="both"/>
        <w:rPr>
          <w:rFonts w:ascii="Times New Roman" w:hAnsi="Times New Roman"/>
          <w:sz w:val="28"/>
          <w:szCs w:val="28"/>
          <w:lang w:val="lv-LV"/>
        </w:rPr>
      </w:pPr>
      <w:r>
        <w:rPr>
          <w:rFonts w:ascii="Times New Roman" w:hAnsi="Times New Roman"/>
          <w:sz w:val="28"/>
          <w:szCs w:val="28"/>
          <w:lang w:val="lv-LV"/>
        </w:rPr>
        <w:t>Valsts sekretārs                                                                                J.Pūce</w:t>
      </w:r>
    </w:p>
    <w:p w:rsidR="003E3EF5" w:rsidRDefault="003E3EF5" w:rsidP="00593AC9">
      <w:pPr>
        <w:spacing w:after="0" w:line="240" w:lineRule="auto"/>
        <w:jc w:val="both"/>
        <w:rPr>
          <w:rFonts w:ascii="Times New Roman" w:hAnsi="Times New Roman"/>
          <w:sz w:val="28"/>
          <w:szCs w:val="28"/>
          <w:lang w:val="lv-LV"/>
        </w:rPr>
      </w:pPr>
    </w:p>
    <w:p w:rsidR="00686115" w:rsidRPr="00E23F5A" w:rsidRDefault="00686115" w:rsidP="003E3EF5">
      <w:pPr>
        <w:spacing w:after="0" w:line="240" w:lineRule="auto"/>
        <w:rPr>
          <w:rFonts w:ascii="Times New Roman" w:hAnsi="Times New Roman"/>
          <w:sz w:val="20"/>
          <w:szCs w:val="20"/>
          <w:lang w:val="lv-LV"/>
        </w:rPr>
      </w:pPr>
    </w:p>
    <w:p w:rsidR="00686115" w:rsidRPr="00E23F5A" w:rsidRDefault="00686115" w:rsidP="003E3EF5">
      <w:pPr>
        <w:spacing w:after="0" w:line="240" w:lineRule="auto"/>
        <w:rPr>
          <w:rFonts w:ascii="Times New Roman" w:hAnsi="Times New Roman"/>
          <w:sz w:val="20"/>
          <w:szCs w:val="20"/>
          <w:lang w:val="lv-LV"/>
        </w:rPr>
      </w:pPr>
    </w:p>
    <w:p w:rsidR="003E3EF5" w:rsidRPr="00E23F5A" w:rsidRDefault="009F4C91" w:rsidP="003E3EF5">
      <w:pPr>
        <w:spacing w:after="0" w:line="240" w:lineRule="auto"/>
        <w:rPr>
          <w:rFonts w:ascii="Times New Roman" w:hAnsi="Times New Roman"/>
          <w:sz w:val="20"/>
          <w:szCs w:val="20"/>
          <w:lang w:val="lv-LV"/>
        </w:rPr>
      </w:pPr>
      <w:fldSimple w:instr=" CREATEDATE  \* MERGEFORMAT ">
        <w:r w:rsidR="00D321DD">
          <w:rPr>
            <w:rFonts w:ascii="Times New Roman" w:hAnsi="Times New Roman"/>
            <w:noProof/>
            <w:sz w:val="20"/>
            <w:szCs w:val="20"/>
          </w:rPr>
          <w:t>08</w:t>
        </w:r>
        <w:r w:rsidR="00686115">
          <w:rPr>
            <w:rFonts w:ascii="Times New Roman" w:hAnsi="Times New Roman"/>
            <w:noProof/>
            <w:sz w:val="20"/>
            <w:szCs w:val="20"/>
          </w:rPr>
          <w:t>.</w:t>
        </w:r>
        <w:r w:rsidR="00314126">
          <w:rPr>
            <w:rFonts w:ascii="Times New Roman" w:hAnsi="Times New Roman"/>
            <w:noProof/>
            <w:sz w:val="20"/>
            <w:szCs w:val="20"/>
          </w:rPr>
          <w:t>11</w:t>
        </w:r>
        <w:r w:rsidR="001C7E39">
          <w:rPr>
            <w:rFonts w:ascii="Times New Roman" w:hAnsi="Times New Roman"/>
            <w:noProof/>
            <w:sz w:val="20"/>
            <w:szCs w:val="20"/>
          </w:rPr>
          <w:t xml:space="preserve">.2012. </w:t>
        </w:r>
        <w:r w:rsidR="00B818C2">
          <w:rPr>
            <w:rFonts w:ascii="Times New Roman" w:hAnsi="Times New Roman"/>
            <w:noProof/>
            <w:sz w:val="20"/>
            <w:szCs w:val="20"/>
          </w:rPr>
          <w:t>11</w:t>
        </w:r>
        <w:r w:rsidR="003E3EF5" w:rsidRPr="003E3EF5">
          <w:rPr>
            <w:rFonts w:ascii="Times New Roman" w:hAnsi="Times New Roman"/>
            <w:noProof/>
            <w:sz w:val="20"/>
            <w:szCs w:val="20"/>
          </w:rPr>
          <w:t>:</w:t>
        </w:r>
        <w:r w:rsidR="00B818C2">
          <w:rPr>
            <w:rFonts w:ascii="Times New Roman" w:hAnsi="Times New Roman"/>
            <w:noProof/>
            <w:sz w:val="20"/>
            <w:szCs w:val="20"/>
          </w:rPr>
          <w:t>26</w:t>
        </w:r>
      </w:fldSimple>
    </w:p>
    <w:p w:rsidR="003E3EF5" w:rsidRPr="00E23F5A" w:rsidRDefault="00B818C2" w:rsidP="003E3EF5">
      <w:pPr>
        <w:spacing w:after="0" w:line="240" w:lineRule="auto"/>
        <w:rPr>
          <w:rFonts w:ascii="Times New Roman" w:hAnsi="Times New Roman"/>
          <w:sz w:val="20"/>
          <w:szCs w:val="20"/>
          <w:lang w:val="lv-LV"/>
        </w:rPr>
      </w:pPr>
      <w:r>
        <w:rPr>
          <w:rFonts w:ascii="Times New Roman" w:hAnsi="Times New Roman"/>
          <w:sz w:val="20"/>
          <w:szCs w:val="20"/>
          <w:lang w:val="lv-LV"/>
        </w:rPr>
        <w:t>4001</w:t>
      </w:r>
    </w:p>
    <w:p w:rsidR="003E3EF5" w:rsidRPr="00E23F5A" w:rsidRDefault="003E3EF5" w:rsidP="003E3EF5">
      <w:pPr>
        <w:spacing w:after="0" w:line="240" w:lineRule="auto"/>
        <w:rPr>
          <w:rFonts w:ascii="Times New Roman" w:hAnsi="Times New Roman"/>
          <w:sz w:val="20"/>
          <w:szCs w:val="20"/>
          <w:lang w:val="lv-LV"/>
        </w:rPr>
      </w:pPr>
      <w:r w:rsidRPr="00E23F5A">
        <w:rPr>
          <w:rFonts w:ascii="Times New Roman" w:hAnsi="Times New Roman"/>
          <w:sz w:val="20"/>
          <w:szCs w:val="20"/>
          <w:lang w:val="lv-LV"/>
        </w:rPr>
        <w:t>J.Bunkovskis</w:t>
      </w:r>
    </w:p>
    <w:p w:rsidR="003E3EF5" w:rsidRPr="003E3EF5" w:rsidRDefault="003E3EF5" w:rsidP="003E3EF5">
      <w:pPr>
        <w:spacing w:after="0" w:line="240" w:lineRule="auto"/>
        <w:rPr>
          <w:rFonts w:ascii="Times New Roman" w:hAnsi="Times New Roman"/>
          <w:sz w:val="20"/>
          <w:szCs w:val="20"/>
          <w:lang w:val="de-DE"/>
        </w:rPr>
      </w:pPr>
      <w:r w:rsidRPr="003E3EF5">
        <w:rPr>
          <w:rFonts w:ascii="Times New Roman" w:hAnsi="Times New Roman"/>
          <w:sz w:val="20"/>
          <w:szCs w:val="20"/>
          <w:lang w:val="de-DE"/>
        </w:rPr>
        <w:t>67013170, Janis.Bunkovskis@em.gov.lv</w:t>
      </w:r>
    </w:p>
    <w:p w:rsidR="003E3EF5" w:rsidRDefault="003E3EF5" w:rsidP="00593AC9">
      <w:pPr>
        <w:spacing w:after="0" w:line="240" w:lineRule="auto"/>
        <w:jc w:val="both"/>
        <w:rPr>
          <w:rFonts w:ascii="Times New Roman" w:hAnsi="Times New Roman"/>
          <w:sz w:val="28"/>
          <w:szCs w:val="28"/>
          <w:lang w:val="de-DE"/>
        </w:rPr>
      </w:pPr>
    </w:p>
    <w:p w:rsidR="00B8208A" w:rsidRDefault="00B8208A" w:rsidP="00593AC9">
      <w:pPr>
        <w:spacing w:after="0" w:line="240" w:lineRule="auto"/>
        <w:jc w:val="both"/>
        <w:rPr>
          <w:rFonts w:ascii="Times New Roman" w:hAnsi="Times New Roman"/>
          <w:sz w:val="28"/>
          <w:szCs w:val="28"/>
          <w:lang w:val="de-DE"/>
        </w:rPr>
      </w:pPr>
    </w:p>
    <w:p w:rsidR="00B8208A" w:rsidRPr="003E3EF5" w:rsidRDefault="00B8208A" w:rsidP="00593AC9">
      <w:pPr>
        <w:spacing w:after="0" w:line="240" w:lineRule="auto"/>
        <w:jc w:val="both"/>
        <w:rPr>
          <w:rFonts w:ascii="Times New Roman" w:hAnsi="Times New Roman"/>
          <w:sz w:val="28"/>
          <w:szCs w:val="28"/>
          <w:lang w:val="de-DE"/>
        </w:rPr>
      </w:pPr>
    </w:p>
    <w:sectPr w:rsidR="00B8208A" w:rsidRPr="003E3EF5" w:rsidSect="003E3EF5">
      <w:headerReference w:type="default" r:id="rId15"/>
      <w:footerReference w:type="default" r:id="rId16"/>
      <w:footerReference w:type="first" r:id="rId17"/>
      <w:pgSz w:w="11906" w:h="16838"/>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29F7" w:rsidRDefault="009B29F7" w:rsidP="000A4DD4">
      <w:pPr>
        <w:spacing w:after="0" w:line="240" w:lineRule="auto"/>
      </w:pPr>
      <w:r>
        <w:separator/>
      </w:r>
    </w:p>
  </w:endnote>
  <w:endnote w:type="continuationSeparator" w:id="0">
    <w:p w:rsidR="009B29F7" w:rsidRDefault="009B29F7" w:rsidP="000A4D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A00002EF" w:usb1="4000207B" w:usb2="00000000" w:usb3="00000000" w:csb0="0000009F" w:csb1="00000000"/>
  </w:font>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EUAlbertina">
    <w:altName w:val="Times New Roman"/>
    <w:panose1 w:val="00000000000000000000"/>
    <w:charset w:val="EE"/>
    <w:family w:val="roman"/>
    <w:notTrueType/>
    <w:pitch w:val="default"/>
    <w:sig w:usb0="00000005" w:usb1="00000000" w:usb2="00000000" w:usb3="00000000" w:csb0="00000002"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BA"/>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BA"/>
    <w:family w:val="swiss"/>
    <w:pitch w:val="variable"/>
    <w:sig w:usb0="00000287" w:usb1="00000800" w:usb2="00000000" w:usb3="00000000" w:csb0="0000009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4126" w:rsidRPr="003E3EF5" w:rsidRDefault="00D321DD" w:rsidP="00314126">
    <w:pPr>
      <w:pStyle w:val="Footer"/>
      <w:rPr>
        <w:rFonts w:ascii="Times New Roman" w:hAnsi="Times New Roman"/>
        <w:sz w:val="20"/>
        <w:szCs w:val="20"/>
        <w:lang w:val="lv-LV"/>
      </w:rPr>
    </w:pPr>
    <w:r>
      <w:rPr>
        <w:rFonts w:ascii="Times New Roman" w:hAnsi="Times New Roman"/>
        <w:sz w:val="20"/>
        <w:szCs w:val="20"/>
        <w:lang w:val="lv-LV"/>
      </w:rPr>
      <w:t>EMZino_08</w:t>
    </w:r>
    <w:r w:rsidR="00314126">
      <w:rPr>
        <w:rFonts w:ascii="Times New Roman" w:hAnsi="Times New Roman"/>
        <w:sz w:val="20"/>
        <w:szCs w:val="20"/>
        <w:lang w:val="lv-LV"/>
      </w:rPr>
      <w:t>11</w:t>
    </w:r>
    <w:r w:rsidR="00314126" w:rsidRPr="003E3EF5">
      <w:rPr>
        <w:rFonts w:ascii="Times New Roman" w:hAnsi="Times New Roman"/>
        <w:sz w:val="20"/>
        <w:szCs w:val="20"/>
        <w:lang w:val="lv-LV"/>
      </w:rPr>
      <w:t>12_</w:t>
    </w:r>
    <w:r w:rsidR="00314126">
      <w:rPr>
        <w:rFonts w:ascii="Times New Roman" w:hAnsi="Times New Roman"/>
        <w:sz w:val="20"/>
        <w:szCs w:val="20"/>
        <w:lang w:val="lv-LV"/>
      </w:rPr>
      <w:t>el_tirg; Informatīvā ziņojuma projekts „P</w:t>
    </w:r>
    <w:r w:rsidR="00314126" w:rsidRPr="003E3EF5">
      <w:rPr>
        <w:rFonts w:ascii="Times New Roman" w:hAnsi="Times New Roman"/>
        <w:sz w:val="20"/>
        <w:szCs w:val="20"/>
        <w:lang w:val="lv-LV"/>
      </w:rPr>
      <w:t>ar Latvijas elektroenerģijas tirgus pilnīgu atvēršanu</w:t>
    </w:r>
    <w:r w:rsidR="00314126">
      <w:rPr>
        <w:rFonts w:ascii="Times New Roman" w:hAnsi="Times New Roman"/>
        <w:sz w:val="20"/>
        <w:szCs w:val="20"/>
        <w:lang w:val="lv-LV"/>
      </w:rPr>
      <w:t>”</w:t>
    </w:r>
  </w:p>
  <w:p w:rsidR="008326D1" w:rsidRPr="003E3EF5" w:rsidRDefault="008326D1" w:rsidP="003E3EF5">
    <w:pPr>
      <w:pStyle w:val="Footer"/>
      <w:rPr>
        <w:rFonts w:ascii="Times New Roman" w:hAnsi="Times New Roman"/>
        <w:sz w:val="20"/>
        <w:szCs w:val="20"/>
        <w:lang w:val="lv-LV"/>
      </w:rPr>
    </w:pPr>
  </w:p>
  <w:p w:rsidR="008326D1" w:rsidRDefault="008326D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26D1" w:rsidRPr="003E3EF5" w:rsidRDefault="00314126">
    <w:pPr>
      <w:pStyle w:val="Footer"/>
      <w:rPr>
        <w:rFonts w:ascii="Times New Roman" w:hAnsi="Times New Roman"/>
        <w:sz w:val="20"/>
        <w:szCs w:val="20"/>
        <w:lang w:val="lv-LV"/>
      </w:rPr>
    </w:pPr>
    <w:r>
      <w:rPr>
        <w:rFonts w:ascii="Times New Roman" w:hAnsi="Times New Roman"/>
        <w:sz w:val="20"/>
        <w:szCs w:val="20"/>
        <w:lang w:val="lv-LV"/>
      </w:rPr>
      <w:t>EMZino_0</w:t>
    </w:r>
    <w:r w:rsidR="00D321DD">
      <w:rPr>
        <w:rFonts w:ascii="Times New Roman" w:hAnsi="Times New Roman"/>
        <w:sz w:val="20"/>
        <w:szCs w:val="20"/>
        <w:lang w:val="lv-LV"/>
      </w:rPr>
      <w:t>8</w:t>
    </w:r>
    <w:r>
      <w:rPr>
        <w:rFonts w:ascii="Times New Roman" w:hAnsi="Times New Roman"/>
        <w:sz w:val="20"/>
        <w:szCs w:val="20"/>
        <w:lang w:val="lv-LV"/>
      </w:rPr>
      <w:t>11</w:t>
    </w:r>
    <w:r w:rsidR="008326D1" w:rsidRPr="003E3EF5">
      <w:rPr>
        <w:rFonts w:ascii="Times New Roman" w:hAnsi="Times New Roman"/>
        <w:sz w:val="20"/>
        <w:szCs w:val="20"/>
        <w:lang w:val="lv-LV"/>
      </w:rPr>
      <w:t>12_</w:t>
    </w:r>
    <w:r>
      <w:rPr>
        <w:rFonts w:ascii="Times New Roman" w:hAnsi="Times New Roman"/>
        <w:sz w:val="20"/>
        <w:szCs w:val="20"/>
        <w:lang w:val="lv-LV"/>
      </w:rPr>
      <w:t xml:space="preserve">el_tirg; Informatīvā ziņojuma projekts </w:t>
    </w:r>
    <w:r w:rsidR="008326D1">
      <w:rPr>
        <w:rFonts w:ascii="Times New Roman" w:hAnsi="Times New Roman"/>
        <w:sz w:val="20"/>
        <w:szCs w:val="20"/>
        <w:lang w:val="lv-LV"/>
      </w:rPr>
      <w:t>„P</w:t>
    </w:r>
    <w:r w:rsidR="008326D1" w:rsidRPr="003E3EF5">
      <w:rPr>
        <w:rFonts w:ascii="Times New Roman" w:hAnsi="Times New Roman"/>
        <w:sz w:val="20"/>
        <w:szCs w:val="20"/>
        <w:lang w:val="lv-LV"/>
      </w:rPr>
      <w:t>ar Latvijas elektroenerģijas tirgus pilnīgu atvēršanu</w:t>
    </w:r>
    <w:r w:rsidR="008326D1">
      <w:rPr>
        <w:rFonts w:ascii="Times New Roman" w:hAnsi="Times New Roman"/>
        <w:sz w:val="20"/>
        <w:szCs w:val="20"/>
        <w:lang w:val="lv-LV"/>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29F7" w:rsidRDefault="009B29F7" w:rsidP="000A4DD4">
      <w:pPr>
        <w:spacing w:after="0" w:line="240" w:lineRule="auto"/>
      </w:pPr>
      <w:r>
        <w:separator/>
      </w:r>
    </w:p>
  </w:footnote>
  <w:footnote w:type="continuationSeparator" w:id="0">
    <w:p w:rsidR="009B29F7" w:rsidRDefault="009B29F7" w:rsidP="000A4DD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767441"/>
      <w:docPartObj>
        <w:docPartGallery w:val="Page Numbers (Top of Page)"/>
        <w:docPartUnique/>
      </w:docPartObj>
    </w:sdtPr>
    <w:sdtContent>
      <w:p w:rsidR="008326D1" w:rsidRDefault="009F4C91">
        <w:pPr>
          <w:pStyle w:val="Header"/>
          <w:jc w:val="center"/>
        </w:pPr>
        <w:r w:rsidRPr="003E3EF5">
          <w:rPr>
            <w:rFonts w:ascii="Times New Roman" w:hAnsi="Times New Roman"/>
            <w:sz w:val="28"/>
            <w:szCs w:val="28"/>
          </w:rPr>
          <w:fldChar w:fldCharType="begin"/>
        </w:r>
        <w:r w:rsidR="008326D1" w:rsidRPr="003E3EF5">
          <w:rPr>
            <w:rFonts w:ascii="Times New Roman" w:hAnsi="Times New Roman"/>
            <w:sz w:val="28"/>
            <w:szCs w:val="28"/>
          </w:rPr>
          <w:instrText xml:space="preserve"> PAGE   \* MERGEFORMAT </w:instrText>
        </w:r>
        <w:r w:rsidRPr="003E3EF5">
          <w:rPr>
            <w:rFonts w:ascii="Times New Roman" w:hAnsi="Times New Roman"/>
            <w:sz w:val="28"/>
            <w:szCs w:val="28"/>
          </w:rPr>
          <w:fldChar w:fldCharType="separate"/>
        </w:r>
        <w:r w:rsidR="005E49F1">
          <w:rPr>
            <w:rFonts w:ascii="Times New Roman" w:hAnsi="Times New Roman"/>
            <w:noProof/>
            <w:sz w:val="28"/>
            <w:szCs w:val="28"/>
          </w:rPr>
          <w:t>14</w:t>
        </w:r>
        <w:r w:rsidRPr="003E3EF5">
          <w:rPr>
            <w:rFonts w:ascii="Times New Roman" w:hAnsi="Times New Roman"/>
            <w:sz w:val="28"/>
            <w:szCs w:val="28"/>
          </w:rPr>
          <w:fldChar w:fldCharType="end"/>
        </w:r>
      </w:p>
    </w:sdtContent>
  </w:sdt>
  <w:p w:rsidR="008326D1" w:rsidRDefault="008326D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37CBA"/>
    <w:multiLevelType w:val="hybridMultilevel"/>
    <w:tmpl w:val="B168820E"/>
    <w:lvl w:ilvl="0" w:tplc="40B85FF4">
      <w:numFmt w:val="bullet"/>
      <w:lvlText w:val=""/>
      <w:lvlJc w:val="left"/>
      <w:pPr>
        <w:ind w:left="720" w:hanging="360"/>
      </w:pPr>
      <w:rPr>
        <w:rFonts w:ascii="Symbol" w:eastAsia="Calibri"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00777FB9"/>
    <w:multiLevelType w:val="hybridMultilevel"/>
    <w:tmpl w:val="E5FA5EDE"/>
    <w:lvl w:ilvl="0" w:tplc="75944D18">
      <w:numFmt w:val="bullet"/>
      <w:lvlText w:val=""/>
      <w:lvlJc w:val="left"/>
      <w:pPr>
        <w:ind w:left="720" w:hanging="360"/>
      </w:pPr>
      <w:rPr>
        <w:rFonts w:ascii="Symbol" w:eastAsia="Calibri"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07405CAF"/>
    <w:multiLevelType w:val="hybridMultilevel"/>
    <w:tmpl w:val="CAE8DD9A"/>
    <w:lvl w:ilvl="0" w:tplc="04260013">
      <w:start w:val="1"/>
      <w:numFmt w:val="upperRoman"/>
      <w:lvlText w:val="%1."/>
      <w:lvlJc w:val="righ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
    <w:nsid w:val="0B5D1872"/>
    <w:multiLevelType w:val="hybridMultilevel"/>
    <w:tmpl w:val="75CC90CA"/>
    <w:lvl w:ilvl="0" w:tplc="82A446B8">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31BD4AB3"/>
    <w:multiLevelType w:val="hybridMultilevel"/>
    <w:tmpl w:val="DF6A9D5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349B4C5B"/>
    <w:multiLevelType w:val="hybridMultilevel"/>
    <w:tmpl w:val="FAE83670"/>
    <w:lvl w:ilvl="0" w:tplc="BD1EB448">
      <w:start w:val="1"/>
      <w:numFmt w:val="bullet"/>
      <w:lvlText w:val="•"/>
      <w:lvlJc w:val="left"/>
      <w:pPr>
        <w:tabs>
          <w:tab w:val="num" w:pos="720"/>
        </w:tabs>
        <w:ind w:left="720" w:hanging="360"/>
      </w:pPr>
      <w:rPr>
        <w:rFonts w:ascii="Times New Roman" w:hAnsi="Times New Roman" w:hint="default"/>
      </w:rPr>
    </w:lvl>
    <w:lvl w:ilvl="1" w:tplc="B1383CEC" w:tentative="1">
      <w:start w:val="1"/>
      <w:numFmt w:val="bullet"/>
      <w:lvlText w:val="•"/>
      <w:lvlJc w:val="left"/>
      <w:pPr>
        <w:tabs>
          <w:tab w:val="num" w:pos="1440"/>
        </w:tabs>
        <w:ind w:left="1440" w:hanging="360"/>
      </w:pPr>
      <w:rPr>
        <w:rFonts w:ascii="Times New Roman" w:hAnsi="Times New Roman" w:hint="default"/>
      </w:rPr>
    </w:lvl>
    <w:lvl w:ilvl="2" w:tplc="B8D43C4E" w:tentative="1">
      <w:start w:val="1"/>
      <w:numFmt w:val="bullet"/>
      <w:lvlText w:val="•"/>
      <w:lvlJc w:val="left"/>
      <w:pPr>
        <w:tabs>
          <w:tab w:val="num" w:pos="2160"/>
        </w:tabs>
        <w:ind w:left="2160" w:hanging="360"/>
      </w:pPr>
      <w:rPr>
        <w:rFonts w:ascii="Times New Roman" w:hAnsi="Times New Roman" w:hint="default"/>
      </w:rPr>
    </w:lvl>
    <w:lvl w:ilvl="3" w:tplc="D3B8F172" w:tentative="1">
      <w:start w:val="1"/>
      <w:numFmt w:val="bullet"/>
      <w:lvlText w:val="•"/>
      <w:lvlJc w:val="left"/>
      <w:pPr>
        <w:tabs>
          <w:tab w:val="num" w:pos="2880"/>
        </w:tabs>
        <w:ind w:left="2880" w:hanging="360"/>
      </w:pPr>
      <w:rPr>
        <w:rFonts w:ascii="Times New Roman" w:hAnsi="Times New Roman" w:hint="default"/>
      </w:rPr>
    </w:lvl>
    <w:lvl w:ilvl="4" w:tplc="5BAA06EA" w:tentative="1">
      <w:start w:val="1"/>
      <w:numFmt w:val="bullet"/>
      <w:lvlText w:val="•"/>
      <w:lvlJc w:val="left"/>
      <w:pPr>
        <w:tabs>
          <w:tab w:val="num" w:pos="3600"/>
        </w:tabs>
        <w:ind w:left="3600" w:hanging="360"/>
      </w:pPr>
      <w:rPr>
        <w:rFonts w:ascii="Times New Roman" w:hAnsi="Times New Roman" w:hint="default"/>
      </w:rPr>
    </w:lvl>
    <w:lvl w:ilvl="5" w:tplc="8520BDF2" w:tentative="1">
      <w:start w:val="1"/>
      <w:numFmt w:val="bullet"/>
      <w:lvlText w:val="•"/>
      <w:lvlJc w:val="left"/>
      <w:pPr>
        <w:tabs>
          <w:tab w:val="num" w:pos="4320"/>
        </w:tabs>
        <w:ind w:left="4320" w:hanging="360"/>
      </w:pPr>
      <w:rPr>
        <w:rFonts w:ascii="Times New Roman" w:hAnsi="Times New Roman" w:hint="default"/>
      </w:rPr>
    </w:lvl>
    <w:lvl w:ilvl="6" w:tplc="98CEA56A" w:tentative="1">
      <w:start w:val="1"/>
      <w:numFmt w:val="bullet"/>
      <w:lvlText w:val="•"/>
      <w:lvlJc w:val="left"/>
      <w:pPr>
        <w:tabs>
          <w:tab w:val="num" w:pos="5040"/>
        </w:tabs>
        <w:ind w:left="5040" w:hanging="360"/>
      </w:pPr>
      <w:rPr>
        <w:rFonts w:ascii="Times New Roman" w:hAnsi="Times New Roman" w:hint="default"/>
      </w:rPr>
    </w:lvl>
    <w:lvl w:ilvl="7" w:tplc="6310EF3E" w:tentative="1">
      <w:start w:val="1"/>
      <w:numFmt w:val="bullet"/>
      <w:lvlText w:val="•"/>
      <w:lvlJc w:val="left"/>
      <w:pPr>
        <w:tabs>
          <w:tab w:val="num" w:pos="5760"/>
        </w:tabs>
        <w:ind w:left="5760" w:hanging="360"/>
      </w:pPr>
      <w:rPr>
        <w:rFonts w:ascii="Times New Roman" w:hAnsi="Times New Roman" w:hint="default"/>
      </w:rPr>
    </w:lvl>
    <w:lvl w:ilvl="8" w:tplc="A1722C36" w:tentative="1">
      <w:start w:val="1"/>
      <w:numFmt w:val="bullet"/>
      <w:lvlText w:val="•"/>
      <w:lvlJc w:val="left"/>
      <w:pPr>
        <w:tabs>
          <w:tab w:val="num" w:pos="6480"/>
        </w:tabs>
        <w:ind w:left="6480" w:hanging="360"/>
      </w:pPr>
      <w:rPr>
        <w:rFonts w:ascii="Times New Roman" w:hAnsi="Times New Roman" w:hint="default"/>
      </w:rPr>
    </w:lvl>
  </w:abstractNum>
  <w:abstractNum w:abstractNumId="6">
    <w:nsid w:val="43D51218"/>
    <w:multiLevelType w:val="hybridMultilevel"/>
    <w:tmpl w:val="103C308C"/>
    <w:lvl w:ilvl="0" w:tplc="B0A41F16">
      <w:start w:val="1"/>
      <w:numFmt w:val="upperRoman"/>
      <w:lvlText w:val="%1."/>
      <w:lvlJc w:val="left"/>
      <w:pPr>
        <w:ind w:left="1080" w:hanging="720"/>
      </w:pPr>
      <w:rPr>
        <w:rFonts w:ascii="Times New Roman" w:hAnsi="Times New Roman" w:cs="Times New Roman" w:hint="default"/>
        <w:b/>
        <w:sz w:val="28"/>
        <w:szCs w:val="28"/>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4A85049A"/>
    <w:multiLevelType w:val="hybridMultilevel"/>
    <w:tmpl w:val="DF3EEFA4"/>
    <w:lvl w:ilvl="0" w:tplc="0426000B">
      <w:start w:val="1"/>
      <w:numFmt w:val="bullet"/>
      <w:lvlText w:val=""/>
      <w:lvlJc w:val="left"/>
      <w:pPr>
        <w:ind w:left="720" w:hanging="360"/>
      </w:pPr>
      <w:rPr>
        <w:rFonts w:ascii="Wingdings" w:hAnsi="Wingdings" w:hint="default"/>
        <w:sz w:val="28"/>
        <w:szCs w:val="28"/>
      </w:r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8">
    <w:nsid w:val="70525029"/>
    <w:multiLevelType w:val="hybridMultilevel"/>
    <w:tmpl w:val="0242DA5E"/>
    <w:lvl w:ilvl="0" w:tplc="4C1ADD78">
      <w:numFmt w:val="bullet"/>
      <w:lvlText w:val=""/>
      <w:lvlJc w:val="left"/>
      <w:pPr>
        <w:ind w:left="720" w:hanging="360"/>
      </w:pPr>
      <w:rPr>
        <w:rFonts w:ascii="Symbol" w:eastAsia="Calibri"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5"/>
  </w:num>
  <w:num w:numId="4">
    <w:abstractNumId w:val="4"/>
  </w:num>
  <w:num w:numId="5">
    <w:abstractNumId w:val="2"/>
  </w:num>
  <w:num w:numId="6">
    <w:abstractNumId w:val="6"/>
  </w:num>
  <w:num w:numId="7">
    <w:abstractNumId w:val="7"/>
  </w:num>
  <w:num w:numId="8">
    <w:abstractNumId w:val="1"/>
  </w:num>
  <w:num w:numId="9">
    <w:abstractNumId w:val="0"/>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542D08"/>
    <w:rsid w:val="000009B3"/>
    <w:rsid w:val="000105EC"/>
    <w:rsid w:val="0003064B"/>
    <w:rsid w:val="00036D15"/>
    <w:rsid w:val="00041556"/>
    <w:rsid w:val="00045EBE"/>
    <w:rsid w:val="00052F6A"/>
    <w:rsid w:val="00063EB2"/>
    <w:rsid w:val="00065C85"/>
    <w:rsid w:val="00065F77"/>
    <w:rsid w:val="000700A4"/>
    <w:rsid w:val="000708D5"/>
    <w:rsid w:val="00074A33"/>
    <w:rsid w:val="00075AE3"/>
    <w:rsid w:val="000774FF"/>
    <w:rsid w:val="00083A32"/>
    <w:rsid w:val="00091AF4"/>
    <w:rsid w:val="00096922"/>
    <w:rsid w:val="000A1347"/>
    <w:rsid w:val="000A4DD4"/>
    <w:rsid w:val="000A760B"/>
    <w:rsid w:val="000B0F6F"/>
    <w:rsid w:val="000B4526"/>
    <w:rsid w:val="000C5D92"/>
    <w:rsid w:val="000E08A9"/>
    <w:rsid w:val="000E281E"/>
    <w:rsid w:val="000F48F3"/>
    <w:rsid w:val="000F50D5"/>
    <w:rsid w:val="00105277"/>
    <w:rsid w:val="00107892"/>
    <w:rsid w:val="0011584D"/>
    <w:rsid w:val="00117B79"/>
    <w:rsid w:val="00124591"/>
    <w:rsid w:val="0012632A"/>
    <w:rsid w:val="00134116"/>
    <w:rsid w:val="0015372B"/>
    <w:rsid w:val="00191342"/>
    <w:rsid w:val="0019387E"/>
    <w:rsid w:val="00196372"/>
    <w:rsid w:val="001A309C"/>
    <w:rsid w:val="001A541C"/>
    <w:rsid w:val="001C096C"/>
    <w:rsid w:val="001C4151"/>
    <w:rsid w:val="001C6F85"/>
    <w:rsid w:val="001C7E39"/>
    <w:rsid w:val="001D2B39"/>
    <w:rsid w:val="001D2EE6"/>
    <w:rsid w:val="001F1278"/>
    <w:rsid w:val="001F424B"/>
    <w:rsid w:val="002172E4"/>
    <w:rsid w:val="00217D5F"/>
    <w:rsid w:val="002201E5"/>
    <w:rsid w:val="00234BAE"/>
    <w:rsid w:val="00241C8A"/>
    <w:rsid w:val="0024244F"/>
    <w:rsid w:val="00243422"/>
    <w:rsid w:val="002460EE"/>
    <w:rsid w:val="0025056E"/>
    <w:rsid w:val="002629E9"/>
    <w:rsid w:val="00264B39"/>
    <w:rsid w:val="00264B78"/>
    <w:rsid w:val="00265B6C"/>
    <w:rsid w:val="002849E3"/>
    <w:rsid w:val="002B1C61"/>
    <w:rsid w:val="002C1974"/>
    <w:rsid w:val="002C413D"/>
    <w:rsid w:val="002D0B0D"/>
    <w:rsid w:val="002D16B3"/>
    <w:rsid w:val="002D2733"/>
    <w:rsid w:val="002E0C88"/>
    <w:rsid w:val="002E22D4"/>
    <w:rsid w:val="002F5A52"/>
    <w:rsid w:val="002F5E7C"/>
    <w:rsid w:val="00314126"/>
    <w:rsid w:val="00314A5F"/>
    <w:rsid w:val="00325B88"/>
    <w:rsid w:val="00331747"/>
    <w:rsid w:val="003402D0"/>
    <w:rsid w:val="00350589"/>
    <w:rsid w:val="00363441"/>
    <w:rsid w:val="003674FD"/>
    <w:rsid w:val="0037044C"/>
    <w:rsid w:val="0037127B"/>
    <w:rsid w:val="00384DBB"/>
    <w:rsid w:val="0039262B"/>
    <w:rsid w:val="00394EE1"/>
    <w:rsid w:val="00397867"/>
    <w:rsid w:val="003A46FE"/>
    <w:rsid w:val="003A6BB8"/>
    <w:rsid w:val="003A7414"/>
    <w:rsid w:val="003B29FF"/>
    <w:rsid w:val="003B5FFA"/>
    <w:rsid w:val="003C256A"/>
    <w:rsid w:val="003C31C3"/>
    <w:rsid w:val="003C6565"/>
    <w:rsid w:val="003E2A22"/>
    <w:rsid w:val="003E3EF5"/>
    <w:rsid w:val="003E605C"/>
    <w:rsid w:val="003F0BDF"/>
    <w:rsid w:val="003F7088"/>
    <w:rsid w:val="00415DA0"/>
    <w:rsid w:val="00417257"/>
    <w:rsid w:val="0044209D"/>
    <w:rsid w:val="004505AB"/>
    <w:rsid w:val="00456E53"/>
    <w:rsid w:val="00457689"/>
    <w:rsid w:val="00466948"/>
    <w:rsid w:val="0047145B"/>
    <w:rsid w:val="00485EA9"/>
    <w:rsid w:val="004A225C"/>
    <w:rsid w:val="004A2C40"/>
    <w:rsid w:val="004A5C78"/>
    <w:rsid w:val="004B06B4"/>
    <w:rsid w:val="004C55DF"/>
    <w:rsid w:val="004D017C"/>
    <w:rsid w:val="004D0439"/>
    <w:rsid w:val="004D5DA1"/>
    <w:rsid w:val="004D7B9E"/>
    <w:rsid w:val="005058AC"/>
    <w:rsid w:val="00512029"/>
    <w:rsid w:val="0051238A"/>
    <w:rsid w:val="00512B62"/>
    <w:rsid w:val="005145A6"/>
    <w:rsid w:val="00515C60"/>
    <w:rsid w:val="00532D2C"/>
    <w:rsid w:val="00542C72"/>
    <w:rsid w:val="00542D08"/>
    <w:rsid w:val="00551355"/>
    <w:rsid w:val="00563707"/>
    <w:rsid w:val="00563CC1"/>
    <w:rsid w:val="0056568D"/>
    <w:rsid w:val="0057798C"/>
    <w:rsid w:val="0058168A"/>
    <w:rsid w:val="005829B5"/>
    <w:rsid w:val="00586EC9"/>
    <w:rsid w:val="0059014E"/>
    <w:rsid w:val="00593AC9"/>
    <w:rsid w:val="005A4A98"/>
    <w:rsid w:val="005B43F0"/>
    <w:rsid w:val="005C0290"/>
    <w:rsid w:val="005C232D"/>
    <w:rsid w:val="005D3E7F"/>
    <w:rsid w:val="005E49F1"/>
    <w:rsid w:val="005E6E5D"/>
    <w:rsid w:val="005F4BED"/>
    <w:rsid w:val="005F52CC"/>
    <w:rsid w:val="005F70FA"/>
    <w:rsid w:val="00605B5A"/>
    <w:rsid w:val="00610350"/>
    <w:rsid w:val="00614AB4"/>
    <w:rsid w:val="0061710F"/>
    <w:rsid w:val="00620BA1"/>
    <w:rsid w:val="00621E6A"/>
    <w:rsid w:val="00625B40"/>
    <w:rsid w:val="00626E5D"/>
    <w:rsid w:val="00657A49"/>
    <w:rsid w:val="00670AA9"/>
    <w:rsid w:val="00686115"/>
    <w:rsid w:val="00686B27"/>
    <w:rsid w:val="00690631"/>
    <w:rsid w:val="006948C2"/>
    <w:rsid w:val="00694BA7"/>
    <w:rsid w:val="006B2558"/>
    <w:rsid w:val="006C66F7"/>
    <w:rsid w:val="006D3EA0"/>
    <w:rsid w:val="006D5856"/>
    <w:rsid w:val="006E6E38"/>
    <w:rsid w:val="006E706D"/>
    <w:rsid w:val="006F02AC"/>
    <w:rsid w:val="006F524F"/>
    <w:rsid w:val="0070016C"/>
    <w:rsid w:val="00703A65"/>
    <w:rsid w:val="00703CB7"/>
    <w:rsid w:val="0072170D"/>
    <w:rsid w:val="00721AA4"/>
    <w:rsid w:val="00723CA0"/>
    <w:rsid w:val="00733A18"/>
    <w:rsid w:val="00744B08"/>
    <w:rsid w:val="00747E5F"/>
    <w:rsid w:val="00752AD7"/>
    <w:rsid w:val="00754FFA"/>
    <w:rsid w:val="007565ED"/>
    <w:rsid w:val="007602C5"/>
    <w:rsid w:val="007714FA"/>
    <w:rsid w:val="00772D08"/>
    <w:rsid w:val="00791194"/>
    <w:rsid w:val="007B16AE"/>
    <w:rsid w:val="007B7057"/>
    <w:rsid w:val="007F1C9D"/>
    <w:rsid w:val="0081013D"/>
    <w:rsid w:val="008160F8"/>
    <w:rsid w:val="00821948"/>
    <w:rsid w:val="008259F7"/>
    <w:rsid w:val="008264F3"/>
    <w:rsid w:val="008326D1"/>
    <w:rsid w:val="00832827"/>
    <w:rsid w:val="008430D1"/>
    <w:rsid w:val="00844D0E"/>
    <w:rsid w:val="008462C5"/>
    <w:rsid w:val="008475F6"/>
    <w:rsid w:val="00852062"/>
    <w:rsid w:val="00853AFB"/>
    <w:rsid w:val="008610C9"/>
    <w:rsid w:val="00867742"/>
    <w:rsid w:val="00876B56"/>
    <w:rsid w:val="00882F41"/>
    <w:rsid w:val="00884A8F"/>
    <w:rsid w:val="00894936"/>
    <w:rsid w:val="008A6C04"/>
    <w:rsid w:val="008C0493"/>
    <w:rsid w:val="008C2A7D"/>
    <w:rsid w:val="008D0FCC"/>
    <w:rsid w:val="008E3F8C"/>
    <w:rsid w:val="008E4466"/>
    <w:rsid w:val="008E4E3C"/>
    <w:rsid w:val="008E54AB"/>
    <w:rsid w:val="009008D1"/>
    <w:rsid w:val="00916B48"/>
    <w:rsid w:val="00924971"/>
    <w:rsid w:val="009343A3"/>
    <w:rsid w:val="0094663A"/>
    <w:rsid w:val="00957C4E"/>
    <w:rsid w:val="00963093"/>
    <w:rsid w:val="00967B49"/>
    <w:rsid w:val="00976900"/>
    <w:rsid w:val="009A6828"/>
    <w:rsid w:val="009B29F7"/>
    <w:rsid w:val="009B482B"/>
    <w:rsid w:val="009C4D25"/>
    <w:rsid w:val="009F4C91"/>
    <w:rsid w:val="009F5403"/>
    <w:rsid w:val="00A0229A"/>
    <w:rsid w:val="00A05BBA"/>
    <w:rsid w:val="00A37294"/>
    <w:rsid w:val="00A422B0"/>
    <w:rsid w:val="00A514D3"/>
    <w:rsid w:val="00A5419C"/>
    <w:rsid w:val="00A54AA1"/>
    <w:rsid w:val="00A80817"/>
    <w:rsid w:val="00A83114"/>
    <w:rsid w:val="00A845FF"/>
    <w:rsid w:val="00A87852"/>
    <w:rsid w:val="00AA2061"/>
    <w:rsid w:val="00AB5A88"/>
    <w:rsid w:val="00AC5E26"/>
    <w:rsid w:val="00AC7B6D"/>
    <w:rsid w:val="00AD1BD3"/>
    <w:rsid w:val="00AD6AA5"/>
    <w:rsid w:val="00B11A57"/>
    <w:rsid w:val="00B22794"/>
    <w:rsid w:val="00B27BE7"/>
    <w:rsid w:val="00B32BE0"/>
    <w:rsid w:val="00B35954"/>
    <w:rsid w:val="00B40B93"/>
    <w:rsid w:val="00B45F90"/>
    <w:rsid w:val="00B56759"/>
    <w:rsid w:val="00B60379"/>
    <w:rsid w:val="00B64EE2"/>
    <w:rsid w:val="00B818C2"/>
    <w:rsid w:val="00B8208A"/>
    <w:rsid w:val="00B97A2F"/>
    <w:rsid w:val="00BA16BC"/>
    <w:rsid w:val="00BA586F"/>
    <w:rsid w:val="00BA6605"/>
    <w:rsid w:val="00BA7B51"/>
    <w:rsid w:val="00BB19EC"/>
    <w:rsid w:val="00BB48EB"/>
    <w:rsid w:val="00BC5CE3"/>
    <w:rsid w:val="00BD0C49"/>
    <w:rsid w:val="00BD7FD6"/>
    <w:rsid w:val="00BE125F"/>
    <w:rsid w:val="00BE60D8"/>
    <w:rsid w:val="00BF157E"/>
    <w:rsid w:val="00BF6F06"/>
    <w:rsid w:val="00C168E2"/>
    <w:rsid w:val="00C16B5A"/>
    <w:rsid w:val="00C24269"/>
    <w:rsid w:val="00C32F6C"/>
    <w:rsid w:val="00C418BF"/>
    <w:rsid w:val="00C4653A"/>
    <w:rsid w:val="00C46FEA"/>
    <w:rsid w:val="00C47A61"/>
    <w:rsid w:val="00C67B92"/>
    <w:rsid w:val="00C7211C"/>
    <w:rsid w:val="00C77193"/>
    <w:rsid w:val="00C819F5"/>
    <w:rsid w:val="00C90302"/>
    <w:rsid w:val="00C964DD"/>
    <w:rsid w:val="00C96998"/>
    <w:rsid w:val="00CB0A3C"/>
    <w:rsid w:val="00CB0BC4"/>
    <w:rsid w:val="00CC2E61"/>
    <w:rsid w:val="00CC7905"/>
    <w:rsid w:val="00CD2C73"/>
    <w:rsid w:val="00CD6E2F"/>
    <w:rsid w:val="00D1397A"/>
    <w:rsid w:val="00D321DD"/>
    <w:rsid w:val="00D47F02"/>
    <w:rsid w:val="00D55E30"/>
    <w:rsid w:val="00D60F9B"/>
    <w:rsid w:val="00D75C99"/>
    <w:rsid w:val="00D769F5"/>
    <w:rsid w:val="00D80B2F"/>
    <w:rsid w:val="00D91CE1"/>
    <w:rsid w:val="00DA77A5"/>
    <w:rsid w:val="00DB0C31"/>
    <w:rsid w:val="00DC1DC1"/>
    <w:rsid w:val="00DD0A77"/>
    <w:rsid w:val="00DD629A"/>
    <w:rsid w:val="00DF0626"/>
    <w:rsid w:val="00DF4EBE"/>
    <w:rsid w:val="00DF596E"/>
    <w:rsid w:val="00E05721"/>
    <w:rsid w:val="00E203F8"/>
    <w:rsid w:val="00E214DA"/>
    <w:rsid w:val="00E239CB"/>
    <w:rsid w:val="00E23F5A"/>
    <w:rsid w:val="00E26407"/>
    <w:rsid w:val="00E33FFC"/>
    <w:rsid w:val="00E818CC"/>
    <w:rsid w:val="00E822AF"/>
    <w:rsid w:val="00E92263"/>
    <w:rsid w:val="00E92940"/>
    <w:rsid w:val="00E961DC"/>
    <w:rsid w:val="00EA5C3E"/>
    <w:rsid w:val="00EB58B0"/>
    <w:rsid w:val="00EB6548"/>
    <w:rsid w:val="00ED14AC"/>
    <w:rsid w:val="00ED49E7"/>
    <w:rsid w:val="00EE3766"/>
    <w:rsid w:val="00EF5AC5"/>
    <w:rsid w:val="00F167AE"/>
    <w:rsid w:val="00F232C1"/>
    <w:rsid w:val="00F27E92"/>
    <w:rsid w:val="00F44DE3"/>
    <w:rsid w:val="00F53A26"/>
    <w:rsid w:val="00F54A05"/>
    <w:rsid w:val="00F6003B"/>
    <w:rsid w:val="00F64373"/>
    <w:rsid w:val="00F65354"/>
    <w:rsid w:val="00F81D3A"/>
    <w:rsid w:val="00F84306"/>
    <w:rsid w:val="00F96C13"/>
    <w:rsid w:val="00FA315B"/>
    <w:rsid w:val="00FB14F8"/>
    <w:rsid w:val="00FB17C5"/>
    <w:rsid w:val="00FD6277"/>
    <w:rsid w:val="00FF1513"/>
    <w:rsid w:val="00FF16DA"/>
    <w:rsid w:val="00FF2947"/>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0AA9"/>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t4">
    <w:name w:val="a__t4"/>
    <w:basedOn w:val="DefaultParagraphFont"/>
    <w:rsid w:val="00065F77"/>
  </w:style>
  <w:style w:type="paragraph" w:customStyle="1" w:styleId="Default">
    <w:name w:val="Default"/>
    <w:rsid w:val="00C819F5"/>
    <w:pPr>
      <w:autoSpaceDE w:val="0"/>
      <w:autoSpaceDN w:val="0"/>
      <w:adjustRightInd w:val="0"/>
    </w:pPr>
    <w:rPr>
      <w:rFonts w:ascii="EUAlbertina" w:hAnsi="EUAlbertina" w:cs="EUAlbertina"/>
      <w:color w:val="000000"/>
      <w:sz w:val="24"/>
      <w:szCs w:val="24"/>
      <w:lang w:eastAsia="en-US"/>
    </w:rPr>
  </w:style>
  <w:style w:type="character" w:customStyle="1" w:styleId="hps">
    <w:name w:val="hps"/>
    <w:basedOn w:val="DefaultParagraphFont"/>
    <w:rsid w:val="00F167AE"/>
  </w:style>
  <w:style w:type="paragraph" w:customStyle="1" w:styleId="naislab">
    <w:name w:val="naislab"/>
    <w:basedOn w:val="Normal"/>
    <w:rsid w:val="005F70FA"/>
    <w:pPr>
      <w:spacing w:before="75" w:after="75" w:line="240" w:lineRule="auto"/>
      <w:jc w:val="right"/>
    </w:pPr>
    <w:rPr>
      <w:rFonts w:ascii="Times New Roman" w:eastAsia="Times New Roman" w:hAnsi="Times New Roman"/>
      <w:sz w:val="24"/>
      <w:szCs w:val="24"/>
      <w:lang w:val="lv-LV" w:eastAsia="lv-LV"/>
    </w:rPr>
  </w:style>
  <w:style w:type="character" w:customStyle="1" w:styleId="st1">
    <w:name w:val="st1"/>
    <w:basedOn w:val="DefaultParagraphFont"/>
    <w:rsid w:val="007714FA"/>
  </w:style>
  <w:style w:type="paragraph" w:styleId="BalloonText">
    <w:name w:val="Balloon Text"/>
    <w:basedOn w:val="Normal"/>
    <w:link w:val="BalloonTextChar"/>
    <w:uiPriority w:val="99"/>
    <w:semiHidden/>
    <w:unhideWhenUsed/>
    <w:rsid w:val="007714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14FA"/>
    <w:rPr>
      <w:rFonts w:ascii="Tahoma" w:hAnsi="Tahoma" w:cs="Tahoma"/>
      <w:sz w:val="16"/>
      <w:szCs w:val="16"/>
      <w:lang w:val="en-US" w:eastAsia="en-US"/>
    </w:rPr>
  </w:style>
  <w:style w:type="character" w:styleId="CommentReference">
    <w:name w:val="annotation reference"/>
    <w:basedOn w:val="DefaultParagraphFont"/>
    <w:uiPriority w:val="99"/>
    <w:semiHidden/>
    <w:unhideWhenUsed/>
    <w:rsid w:val="00AD1BD3"/>
    <w:rPr>
      <w:sz w:val="16"/>
      <w:szCs w:val="16"/>
    </w:rPr>
  </w:style>
  <w:style w:type="paragraph" w:styleId="CommentText">
    <w:name w:val="annotation text"/>
    <w:basedOn w:val="Normal"/>
    <w:link w:val="CommentTextChar"/>
    <w:uiPriority w:val="99"/>
    <w:semiHidden/>
    <w:unhideWhenUsed/>
    <w:rsid w:val="00AD1BD3"/>
    <w:pPr>
      <w:spacing w:line="240" w:lineRule="auto"/>
    </w:pPr>
    <w:rPr>
      <w:sz w:val="20"/>
      <w:szCs w:val="20"/>
    </w:rPr>
  </w:style>
  <w:style w:type="character" w:customStyle="1" w:styleId="CommentTextChar">
    <w:name w:val="Comment Text Char"/>
    <w:basedOn w:val="DefaultParagraphFont"/>
    <w:link w:val="CommentText"/>
    <w:uiPriority w:val="99"/>
    <w:semiHidden/>
    <w:rsid w:val="00AD1BD3"/>
    <w:rPr>
      <w:lang w:val="en-US" w:eastAsia="en-US"/>
    </w:rPr>
  </w:style>
  <w:style w:type="paragraph" w:styleId="CommentSubject">
    <w:name w:val="annotation subject"/>
    <w:basedOn w:val="CommentText"/>
    <w:next w:val="CommentText"/>
    <w:link w:val="CommentSubjectChar"/>
    <w:uiPriority w:val="99"/>
    <w:semiHidden/>
    <w:unhideWhenUsed/>
    <w:rsid w:val="00AD1BD3"/>
    <w:rPr>
      <w:b/>
      <w:bCs/>
    </w:rPr>
  </w:style>
  <w:style w:type="character" w:customStyle="1" w:styleId="CommentSubjectChar">
    <w:name w:val="Comment Subject Char"/>
    <w:basedOn w:val="CommentTextChar"/>
    <w:link w:val="CommentSubject"/>
    <w:uiPriority w:val="99"/>
    <w:semiHidden/>
    <w:rsid w:val="00AD1BD3"/>
    <w:rPr>
      <w:b/>
      <w:bCs/>
    </w:rPr>
  </w:style>
  <w:style w:type="paragraph" w:styleId="ListParagraph">
    <w:name w:val="List Paragraph"/>
    <w:basedOn w:val="Normal"/>
    <w:uiPriority w:val="34"/>
    <w:qFormat/>
    <w:rsid w:val="00ED49E7"/>
    <w:pPr>
      <w:ind w:left="720"/>
    </w:pPr>
    <w:rPr>
      <w:rFonts w:eastAsiaTheme="minorHAnsi"/>
    </w:rPr>
  </w:style>
  <w:style w:type="paragraph" w:styleId="NormalWeb">
    <w:name w:val="Normal (Web)"/>
    <w:basedOn w:val="Normal"/>
    <w:uiPriority w:val="99"/>
    <w:semiHidden/>
    <w:unhideWhenUsed/>
    <w:rsid w:val="008430D1"/>
    <w:pPr>
      <w:spacing w:after="0" w:line="240" w:lineRule="auto"/>
    </w:pPr>
    <w:rPr>
      <w:rFonts w:ascii="Times New Roman" w:eastAsia="Times New Roman" w:hAnsi="Times New Roman"/>
      <w:sz w:val="24"/>
      <w:szCs w:val="24"/>
      <w:lang w:val="lv-LV" w:eastAsia="lv-LV"/>
    </w:rPr>
  </w:style>
  <w:style w:type="paragraph" w:styleId="Header">
    <w:name w:val="header"/>
    <w:basedOn w:val="Normal"/>
    <w:link w:val="HeaderChar"/>
    <w:uiPriority w:val="99"/>
    <w:unhideWhenUsed/>
    <w:rsid w:val="000A4DD4"/>
    <w:pPr>
      <w:tabs>
        <w:tab w:val="center" w:pos="4153"/>
        <w:tab w:val="right" w:pos="8306"/>
      </w:tabs>
      <w:spacing w:after="0" w:line="240" w:lineRule="auto"/>
    </w:pPr>
  </w:style>
  <w:style w:type="character" w:customStyle="1" w:styleId="HeaderChar">
    <w:name w:val="Header Char"/>
    <w:basedOn w:val="DefaultParagraphFont"/>
    <w:link w:val="Header"/>
    <w:uiPriority w:val="99"/>
    <w:rsid w:val="000A4DD4"/>
    <w:rPr>
      <w:sz w:val="22"/>
      <w:szCs w:val="22"/>
      <w:lang w:val="en-US" w:eastAsia="en-US"/>
    </w:rPr>
  </w:style>
  <w:style w:type="paragraph" w:styleId="Footer">
    <w:name w:val="footer"/>
    <w:basedOn w:val="Normal"/>
    <w:link w:val="FooterChar"/>
    <w:uiPriority w:val="99"/>
    <w:semiHidden/>
    <w:unhideWhenUsed/>
    <w:rsid w:val="000A4DD4"/>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0A4DD4"/>
    <w:rPr>
      <w:sz w:val="22"/>
      <w:szCs w:val="22"/>
      <w:lang w:val="en-US" w:eastAsia="en-US"/>
    </w:rPr>
  </w:style>
  <w:style w:type="character" w:styleId="Strong">
    <w:name w:val="Strong"/>
    <w:basedOn w:val="DefaultParagraphFont"/>
    <w:qFormat/>
    <w:rsid w:val="003A7414"/>
    <w:rPr>
      <w:b/>
      <w:bCs/>
    </w:rPr>
  </w:style>
  <w:style w:type="paragraph" w:styleId="FootnoteText">
    <w:name w:val="footnote text"/>
    <w:basedOn w:val="Normal"/>
    <w:link w:val="FootnoteTextChar"/>
    <w:uiPriority w:val="99"/>
    <w:semiHidden/>
    <w:unhideWhenUsed/>
    <w:rsid w:val="00063EB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63EB2"/>
    <w:rPr>
      <w:lang w:val="en-US" w:eastAsia="en-US"/>
    </w:rPr>
  </w:style>
  <w:style w:type="character" w:styleId="FootnoteReference">
    <w:name w:val="footnote reference"/>
    <w:basedOn w:val="DefaultParagraphFont"/>
    <w:uiPriority w:val="99"/>
    <w:semiHidden/>
    <w:unhideWhenUsed/>
    <w:rsid w:val="00063EB2"/>
    <w:rPr>
      <w:vertAlign w:val="superscript"/>
    </w:rPr>
  </w:style>
</w:styles>
</file>

<file path=word/webSettings.xml><?xml version="1.0" encoding="utf-8"?>
<w:webSettings xmlns:r="http://schemas.openxmlformats.org/officeDocument/2006/relationships" xmlns:w="http://schemas.openxmlformats.org/wordprocessingml/2006/main">
  <w:divs>
    <w:div w:id="11808404">
      <w:bodyDiv w:val="1"/>
      <w:marLeft w:val="0"/>
      <w:marRight w:val="0"/>
      <w:marTop w:val="0"/>
      <w:marBottom w:val="0"/>
      <w:divBdr>
        <w:top w:val="none" w:sz="0" w:space="0" w:color="auto"/>
        <w:left w:val="none" w:sz="0" w:space="0" w:color="auto"/>
        <w:bottom w:val="none" w:sz="0" w:space="0" w:color="auto"/>
        <w:right w:val="none" w:sz="0" w:space="0" w:color="auto"/>
      </w:divBdr>
    </w:div>
    <w:div w:id="290282388">
      <w:bodyDiv w:val="1"/>
      <w:marLeft w:val="0"/>
      <w:marRight w:val="0"/>
      <w:marTop w:val="0"/>
      <w:marBottom w:val="0"/>
      <w:divBdr>
        <w:top w:val="none" w:sz="0" w:space="0" w:color="auto"/>
        <w:left w:val="none" w:sz="0" w:space="0" w:color="auto"/>
        <w:bottom w:val="none" w:sz="0" w:space="0" w:color="auto"/>
        <w:right w:val="none" w:sz="0" w:space="0" w:color="auto"/>
      </w:divBdr>
      <w:divsChild>
        <w:div w:id="1470048226">
          <w:marLeft w:val="0"/>
          <w:marRight w:val="0"/>
          <w:marTop w:val="0"/>
          <w:marBottom w:val="0"/>
          <w:divBdr>
            <w:top w:val="none" w:sz="0" w:space="0" w:color="auto"/>
            <w:left w:val="none" w:sz="0" w:space="0" w:color="auto"/>
            <w:bottom w:val="none" w:sz="0" w:space="0" w:color="auto"/>
            <w:right w:val="none" w:sz="0" w:space="0" w:color="auto"/>
          </w:divBdr>
          <w:divsChild>
            <w:div w:id="580481414">
              <w:marLeft w:val="0"/>
              <w:marRight w:val="0"/>
              <w:marTop w:val="0"/>
              <w:marBottom w:val="0"/>
              <w:divBdr>
                <w:top w:val="none" w:sz="0" w:space="0" w:color="auto"/>
                <w:left w:val="none" w:sz="0" w:space="0" w:color="auto"/>
                <w:bottom w:val="none" w:sz="0" w:space="0" w:color="auto"/>
                <w:right w:val="none" w:sz="0" w:space="0" w:color="auto"/>
              </w:divBdr>
              <w:divsChild>
                <w:div w:id="991298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4450573">
      <w:bodyDiv w:val="1"/>
      <w:marLeft w:val="0"/>
      <w:marRight w:val="0"/>
      <w:marTop w:val="0"/>
      <w:marBottom w:val="0"/>
      <w:divBdr>
        <w:top w:val="none" w:sz="0" w:space="0" w:color="auto"/>
        <w:left w:val="none" w:sz="0" w:space="0" w:color="auto"/>
        <w:bottom w:val="none" w:sz="0" w:space="0" w:color="auto"/>
        <w:right w:val="none" w:sz="0" w:space="0" w:color="auto"/>
      </w:divBdr>
      <w:divsChild>
        <w:div w:id="1838569132">
          <w:marLeft w:val="0"/>
          <w:marRight w:val="0"/>
          <w:marTop w:val="0"/>
          <w:marBottom w:val="0"/>
          <w:divBdr>
            <w:top w:val="none" w:sz="0" w:space="0" w:color="auto"/>
            <w:left w:val="none" w:sz="0" w:space="0" w:color="auto"/>
            <w:bottom w:val="none" w:sz="0" w:space="0" w:color="auto"/>
            <w:right w:val="none" w:sz="0" w:space="0" w:color="auto"/>
          </w:divBdr>
          <w:divsChild>
            <w:div w:id="1665890896">
              <w:marLeft w:val="0"/>
              <w:marRight w:val="0"/>
              <w:marTop w:val="0"/>
              <w:marBottom w:val="0"/>
              <w:divBdr>
                <w:top w:val="none" w:sz="0" w:space="0" w:color="auto"/>
                <w:left w:val="none" w:sz="0" w:space="0" w:color="auto"/>
                <w:bottom w:val="none" w:sz="0" w:space="0" w:color="auto"/>
                <w:right w:val="none" w:sz="0" w:space="0" w:color="auto"/>
              </w:divBdr>
              <w:divsChild>
                <w:div w:id="1331982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6192406">
      <w:bodyDiv w:val="1"/>
      <w:marLeft w:val="0"/>
      <w:marRight w:val="0"/>
      <w:marTop w:val="0"/>
      <w:marBottom w:val="0"/>
      <w:divBdr>
        <w:top w:val="none" w:sz="0" w:space="0" w:color="auto"/>
        <w:left w:val="none" w:sz="0" w:space="0" w:color="auto"/>
        <w:bottom w:val="none" w:sz="0" w:space="0" w:color="auto"/>
        <w:right w:val="none" w:sz="0" w:space="0" w:color="auto"/>
      </w:divBdr>
    </w:div>
    <w:div w:id="918637940">
      <w:bodyDiv w:val="1"/>
      <w:marLeft w:val="0"/>
      <w:marRight w:val="0"/>
      <w:marTop w:val="0"/>
      <w:marBottom w:val="0"/>
      <w:divBdr>
        <w:top w:val="none" w:sz="0" w:space="0" w:color="auto"/>
        <w:left w:val="none" w:sz="0" w:space="0" w:color="auto"/>
        <w:bottom w:val="none" w:sz="0" w:space="0" w:color="auto"/>
        <w:right w:val="none" w:sz="0" w:space="0" w:color="auto"/>
      </w:divBdr>
      <w:divsChild>
        <w:div w:id="1008216972">
          <w:marLeft w:val="547"/>
          <w:marRight w:val="0"/>
          <w:marTop w:val="0"/>
          <w:marBottom w:val="0"/>
          <w:divBdr>
            <w:top w:val="none" w:sz="0" w:space="0" w:color="auto"/>
            <w:left w:val="none" w:sz="0" w:space="0" w:color="auto"/>
            <w:bottom w:val="none" w:sz="0" w:space="0" w:color="auto"/>
            <w:right w:val="none" w:sz="0" w:space="0" w:color="auto"/>
          </w:divBdr>
        </w:div>
      </w:divsChild>
    </w:div>
    <w:div w:id="1017081102">
      <w:bodyDiv w:val="1"/>
      <w:marLeft w:val="0"/>
      <w:marRight w:val="0"/>
      <w:marTop w:val="0"/>
      <w:marBottom w:val="0"/>
      <w:divBdr>
        <w:top w:val="none" w:sz="0" w:space="0" w:color="auto"/>
        <w:left w:val="none" w:sz="0" w:space="0" w:color="auto"/>
        <w:bottom w:val="none" w:sz="0" w:space="0" w:color="auto"/>
        <w:right w:val="none" w:sz="0" w:space="0" w:color="auto"/>
      </w:divBdr>
    </w:div>
    <w:div w:id="1793019280">
      <w:bodyDiv w:val="1"/>
      <w:marLeft w:val="0"/>
      <w:marRight w:val="0"/>
      <w:marTop w:val="0"/>
      <w:marBottom w:val="0"/>
      <w:divBdr>
        <w:top w:val="none" w:sz="0" w:space="0" w:color="auto"/>
        <w:left w:val="none" w:sz="0" w:space="0" w:color="auto"/>
        <w:bottom w:val="none" w:sz="0" w:space="0" w:color="auto"/>
        <w:right w:val="none" w:sz="0" w:space="0" w:color="auto"/>
      </w:divBdr>
      <w:divsChild>
        <w:div w:id="1757090196">
          <w:marLeft w:val="-7290"/>
          <w:marRight w:val="0"/>
          <w:marTop w:val="0"/>
          <w:marBottom w:val="0"/>
          <w:divBdr>
            <w:top w:val="none" w:sz="0" w:space="0" w:color="auto"/>
            <w:left w:val="none" w:sz="0" w:space="0" w:color="auto"/>
            <w:bottom w:val="none" w:sz="0" w:space="0" w:color="auto"/>
            <w:right w:val="none" w:sz="0" w:space="0" w:color="auto"/>
          </w:divBdr>
          <w:divsChild>
            <w:div w:id="218130188">
              <w:marLeft w:val="0"/>
              <w:marRight w:val="0"/>
              <w:marTop w:val="0"/>
              <w:marBottom w:val="0"/>
              <w:divBdr>
                <w:top w:val="none" w:sz="0" w:space="0" w:color="auto"/>
                <w:left w:val="none" w:sz="0" w:space="0" w:color="auto"/>
                <w:bottom w:val="none" w:sz="0" w:space="0" w:color="auto"/>
                <w:right w:val="none" w:sz="0" w:space="0" w:color="auto"/>
              </w:divBdr>
              <w:divsChild>
                <w:div w:id="1247150731">
                  <w:marLeft w:val="420"/>
                  <w:marRight w:val="420"/>
                  <w:marTop w:val="0"/>
                  <w:marBottom w:val="0"/>
                  <w:divBdr>
                    <w:top w:val="none" w:sz="0" w:space="0" w:color="auto"/>
                    <w:left w:val="none" w:sz="0" w:space="0" w:color="auto"/>
                    <w:bottom w:val="none" w:sz="0" w:space="0" w:color="auto"/>
                    <w:right w:val="none" w:sz="0" w:space="0" w:color="auto"/>
                  </w:divBdr>
                  <w:divsChild>
                    <w:div w:id="1789860210">
                      <w:marLeft w:val="0"/>
                      <w:marRight w:val="0"/>
                      <w:marTop w:val="0"/>
                      <w:marBottom w:val="0"/>
                      <w:divBdr>
                        <w:top w:val="none" w:sz="0" w:space="0" w:color="auto"/>
                        <w:left w:val="none" w:sz="0" w:space="0" w:color="auto"/>
                        <w:bottom w:val="none" w:sz="0" w:space="0" w:color="auto"/>
                        <w:right w:val="none" w:sz="0" w:space="0" w:color="auto"/>
                      </w:divBdr>
                      <w:divsChild>
                        <w:div w:id="1075275049">
                          <w:marLeft w:val="0"/>
                          <w:marRight w:val="180"/>
                          <w:marTop w:val="0"/>
                          <w:marBottom w:val="0"/>
                          <w:divBdr>
                            <w:top w:val="none" w:sz="0" w:space="0" w:color="auto"/>
                            <w:left w:val="none" w:sz="0" w:space="0" w:color="auto"/>
                            <w:bottom w:val="none" w:sz="0" w:space="0" w:color="auto"/>
                            <w:right w:val="none" w:sz="0" w:space="0" w:color="auto"/>
                          </w:divBdr>
                          <w:divsChild>
                            <w:div w:id="2091802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diagramColors" Target="diagrams/colors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diagramData" Target="diagrams/data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hart" Target="charts/chart2.xml"/><Relationship Id="rId14" Type="http://schemas.microsoft.com/office/2007/relationships/diagramDrawing" Target="diagrams/drawing1.xml"/></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Documents%20and%20Settings\BunkovskisJ\Desktop\excel_formas.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lv-LV"/>
  <c:style val="31"/>
  <c:chart>
    <c:title>
      <c:tx>
        <c:rich>
          <a:bodyPr/>
          <a:lstStyle/>
          <a:p>
            <a:pPr algn="ctr">
              <a:defRPr/>
            </a:pPr>
            <a:r>
              <a:rPr lang="lv-LV"/>
              <a:t>Elektroenerģijas</a:t>
            </a:r>
            <a:r>
              <a:rPr lang="lv-LV" baseline="0"/>
              <a:t> tirgus sadalījums</a:t>
            </a:r>
            <a:endParaRPr lang="lv-LV"/>
          </a:p>
        </c:rich>
      </c:tx>
      <c:spPr>
        <a:effectLst>
          <a:outerShdw blurRad="50800" dist="50800" dir="5400000" sx="1000" sy="1000" algn="ctr" rotWithShape="0">
            <a:srgbClr val="000000"/>
          </a:outerShdw>
        </a:effectLst>
      </c:spPr>
    </c:title>
    <c:plotArea>
      <c:layout/>
      <c:barChart>
        <c:barDir val="bar"/>
        <c:grouping val="percentStacked"/>
        <c:ser>
          <c:idx val="0"/>
          <c:order val="0"/>
          <c:tx>
            <c:strRef>
              <c:f>Sheet1!$C$3:$D$3</c:f>
              <c:strCache>
                <c:ptCount val="1"/>
                <c:pt idx="0">
                  <c:v>Brīvais tirgus</c:v>
                </c:pt>
              </c:strCache>
            </c:strRef>
          </c:tx>
          <c:spPr>
            <a:solidFill>
              <a:srgbClr val="00B0F0">
                <a:alpha val="70000"/>
              </a:srgbClr>
            </a:solidFill>
          </c:spPr>
          <c:dLbls>
            <c:dLblPos val="ctr"/>
            <c:showLegendKey val="1"/>
            <c:showVal val="1"/>
          </c:dLbls>
          <c:cat>
            <c:strRef>
              <c:f>Sheet1!$E$2:$G$2</c:f>
              <c:strCache>
                <c:ptCount val="3"/>
                <c:pt idx="0">
                  <c:v>2008</c:v>
                </c:pt>
                <c:pt idx="1">
                  <c:v>2012. Apr</c:v>
                </c:pt>
                <c:pt idx="2">
                  <c:v>2012.Nov</c:v>
                </c:pt>
              </c:strCache>
            </c:strRef>
          </c:cat>
          <c:val>
            <c:numRef>
              <c:f>Sheet1!$E$3:$G$3</c:f>
              <c:numCache>
                <c:formatCode>General</c:formatCode>
                <c:ptCount val="3"/>
                <c:pt idx="0">
                  <c:v>35</c:v>
                </c:pt>
                <c:pt idx="1">
                  <c:v>66</c:v>
                </c:pt>
                <c:pt idx="2">
                  <c:v>75</c:v>
                </c:pt>
              </c:numCache>
            </c:numRef>
          </c:val>
        </c:ser>
        <c:ser>
          <c:idx val="1"/>
          <c:order val="1"/>
          <c:tx>
            <c:strRef>
              <c:f>Sheet1!$C$4:$D$4</c:f>
              <c:strCache>
                <c:ptCount val="1"/>
                <c:pt idx="0">
                  <c:v>Regulētais tirgus</c:v>
                </c:pt>
              </c:strCache>
            </c:strRef>
          </c:tx>
          <c:spPr>
            <a:solidFill>
              <a:srgbClr val="EEECE1">
                <a:lumMod val="50000"/>
                <a:alpha val="75000"/>
              </a:srgbClr>
            </a:solidFill>
          </c:spPr>
          <c:dLbls>
            <c:showLegendKey val="1"/>
            <c:showVal val="1"/>
          </c:dLbls>
          <c:cat>
            <c:strRef>
              <c:f>Sheet1!$E$2:$G$2</c:f>
              <c:strCache>
                <c:ptCount val="3"/>
                <c:pt idx="0">
                  <c:v>2008</c:v>
                </c:pt>
                <c:pt idx="1">
                  <c:v>2012. Apr</c:v>
                </c:pt>
                <c:pt idx="2">
                  <c:v>2012.Nov</c:v>
                </c:pt>
              </c:strCache>
            </c:strRef>
          </c:cat>
          <c:val>
            <c:numRef>
              <c:f>Sheet1!$E$4:$G$4</c:f>
              <c:numCache>
                <c:formatCode>General</c:formatCode>
                <c:ptCount val="3"/>
                <c:pt idx="0">
                  <c:v>65</c:v>
                </c:pt>
                <c:pt idx="1">
                  <c:v>34</c:v>
                </c:pt>
                <c:pt idx="2">
                  <c:v>25</c:v>
                </c:pt>
              </c:numCache>
            </c:numRef>
          </c:val>
        </c:ser>
        <c:overlap val="100"/>
        <c:axId val="88911232"/>
        <c:axId val="88913024"/>
      </c:barChart>
      <c:catAx>
        <c:axId val="88911232"/>
        <c:scaling>
          <c:orientation val="minMax"/>
        </c:scaling>
        <c:axPos val="l"/>
        <c:tickLblPos val="nextTo"/>
        <c:crossAx val="88913024"/>
        <c:crosses val="autoZero"/>
        <c:auto val="1"/>
        <c:lblAlgn val="ctr"/>
        <c:lblOffset val="100"/>
      </c:catAx>
      <c:valAx>
        <c:axId val="88913024"/>
        <c:scaling>
          <c:orientation val="minMax"/>
        </c:scaling>
        <c:axPos val="b"/>
        <c:majorGridlines/>
        <c:title>
          <c:tx>
            <c:rich>
              <a:bodyPr/>
              <a:lstStyle/>
              <a:p>
                <a:pPr>
                  <a:defRPr/>
                </a:pPr>
                <a:r>
                  <a:rPr lang="lv-LV"/>
                  <a:t>Procentuāla</a:t>
                </a:r>
                <a:r>
                  <a:rPr lang="lv-LV" baseline="0"/>
                  <a:t> tirgus daļa no kopējā patēriņa</a:t>
                </a:r>
                <a:endParaRPr lang="lv-LV"/>
              </a:p>
            </c:rich>
          </c:tx>
        </c:title>
        <c:numFmt formatCode="0%" sourceLinked="1"/>
        <c:tickLblPos val="nextTo"/>
        <c:crossAx val="88911232"/>
        <c:crosses val="autoZero"/>
        <c:crossBetween val="between"/>
      </c:valAx>
    </c:plotArea>
    <c:legend>
      <c:legendPos val="r"/>
    </c:legend>
    <c:plotVisOnly val="1"/>
  </c:chart>
  <c:spPr>
    <a:ln w="12700">
      <a:noFill/>
    </a:ln>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lv-LV"/>
  <c:chart>
    <c:title>
      <c:tx>
        <c:rich>
          <a:bodyPr/>
          <a:lstStyle/>
          <a:p>
            <a:pPr>
              <a:defRPr sz="1100" b="1" i="0" u="none" strike="noStrike" baseline="0">
                <a:solidFill>
                  <a:srgbClr val="000000"/>
                </a:solidFill>
                <a:latin typeface="Gill Sans MT"/>
                <a:ea typeface="Gill Sans MT"/>
                <a:cs typeface="Gill Sans MT"/>
              </a:defRPr>
            </a:pPr>
            <a:r>
              <a:rPr lang="lv-LV"/>
              <a:t>Elektroenerģijas</a:t>
            </a:r>
            <a:r>
              <a:rPr lang="lv-LV" baseline="0"/>
              <a:t>  vairumtirdzniecības cenu prognoze</a:t>
            </a:r>
            <a:endParaRPr lang="lv-LV"/>
          </a:p>
        </c:rich>
      </c:tx>
      <c:layout>
        <c:manualLayout>
          <c:xMode val="edge"/>
          <c:yMode val="edge"/>
          <c:x val="0.25196272340957382"/>
          <c:y val="2.0476217451236088E-2"/>
        </c:manualLayout>
      </c:layout>
      <c:spPr>
        <a:noFill/>
        <a:ln w="25400">
          <a:noFill/>
        </a:ln>
      </c:spPr>
    </c:title>
    <c:plotArea>
      <c:layout>
        <c:manualLayout>
          <c:layoutTarget val="inner"/>
          <c:xMode val="edge"/>
          <c:yMode val="edge"/>
          <c:x val="8.1695842678472935E-2"/>
          <c:y val="0.14860459203338297"/>
          <c:w val="0.89391288698667037"/>
          <c:h val="0.74454125875257993"/>
        </c:manualLayout>
      </c:layout>
      <c:lineChart>
        <c:grouping val="standard"/>
        <c:ser>
          <c:idx val="2"/>
          <c:order val="0"/>
          <c:tx>
            <c:v>c</c:v>
          </c:tx>
          <c:spPr>
            <a:ln w="25400">
              <a:solidFill>
                <a:srgbClr val="00B0F0">
                  <a:alpha val="75000"/>
                </a:srgbClr>
              </a:solidFill>
              <a:prstDash val="solid"/>
            </a:ln>
          </c:spPr>
          <c:marker>
            <c:symbol val="circle"/>
            <c:size val="6"/>
            <c:spPr>
              <a:solidFill>
                <a:srgbClr val="00B0F0">
                  <a:alpha val="75000"/>
                </a:srgbClr>
              </a:solidFill>
              <a:ln>
                <a:solidFill>
                  <a:srgbClr val="FF6600"/>
                </a:solidFill>
                <a:prstDash val="solid"/>
              </a:ln>
            </c:spPr>
          </c:marker>
          <c:dLbls>
            <c:dLblPos val="b"/>
            <c:showVal val="1"/>
          </c:dLbls>
          <c:cat>
            <c:strLit>
              <c:ptCount val="4"/>
              <c:pt idx="0">
                <c:v>Spot cena</c:v>
              </c:pt>
              <c:pt idx="1">
                <c:v>Q3 Y13</c:v>
              </c:pt>
              <c:pt idx="2">
                <c:v>Y 14</c:v>
              </c:pt>
              <c:pt idx="3">
                <c:v>Y 15</c:v>
              </c:pt>
            </c:strLit>
          </c:cat>
          <c:val>
            <c:numLit>
              <c:formatCode>General</c:formatCode>
              <c:ptCount val="4"/>
              <c:pt idx="0">
                <c:v>40.6</c:v>
              </c:pt>
              <c:pt idx="1">
                <c:v>41.5</c:v>
              </c:pt>
              <c:pt idx="2">
                <c:v>44.1</c:v>
              </c:pt>
              <c:pt idx="3">
                <c:v>43.2</c:v>
              </c:pt>
            </c:numLit>
          </c:val>
        </c:ser>
        <c:dLbls>
          <c:showVal val="1"/>
        </c:dLbls>
        <c:marker val="1"/>
        <c:axId val="88923136"/>
        <c:axId val="88793856"/>
      </c:lineChart>
      <c:catAx>
        <c:axId val="88923136"/>
        <c:scaling>
          <c:orientation val="minMax"/>
        </c:scaling>
        <c:axPos val="b"/>
        <c:numFmt formatCode="General" sourceLinked="1"/>
        <c:tickLblPos val="nextTo"/>
        <c:spPr>
          <a:ln w="3175">
            <a:solidFill>
              <a:srgbClr val="000000"/>
            </a:solidFill>
            <a:prstDash val="solid"/>
          </a:ln>
        </c:spPr>
        <c:txPr>
          <a:bodyPr rot="0" vert="horz"/>
          <a:lstStyle/>
          <a:p>
            <a:pPr>
              <a:defRPr sz="1000" b="0" i="0" u="none" strike="noStrike" baseline="0">
                <a:solidFill>
                  <a:srgbClr val="000000"/>
                </a:solidFill>
                <a:latin typeface="Gill Sans MT"/>
                <a:ea typeface="Gill Sans MT"/>
                <a:cs typeface="Gill Sans MT"/>
              </a:defRPr>
            </a:pPr>
            <a:endParaRPr lang="lv-LV"/>
          </a:p>
        </c:txPr>
        <c:crossAx val="88793856"/>
        <c:crosses val="autoZero"/>
        <c:auto val="1"/>
        <c:lblAlgn val="ctr"/>
        <c:lblOffset val="100"/>
        <c:tickLblSkip val="1"/>
        <c:tickMarkSkip val="1"/>
      </c:catAx>
      <c:valAx>
        <c:axId val="88793856"/>
        <c:scaling>
          <c:orientation val="minMax"/>
          <c:max val="55"/>
          <c:min val="30"/>
        </c:scaling>
        <c:axPos val="l"/>
        <c:majorGridlines>
          <c:spPr>
            <a:ln w="3175">
              <a:solidFill>
                <a:srgbClr val="C0C0C0"/>
              </a:solidFill>
              <a:prstDash val="solid"/>
            </a:ln>
          </c:spPr>
        </c:majorGridlines>
        <c:title>
          <c:tx>
            <c:rich>
              <a:bodyPr rot="0" vert="horz"/>
              <a:lstStyle/>
              <a:p>
                <a:pPr>
                  <a:defRPr sz="1000" b="0" i="0" u="none" strike="noStrike" baseline="0">
                    <a:solidFill>
                      <a:srgbClr val="000000"/>
                    </a:solidFill>
                    <a:latin typeface="Gill Sans MT"/>
                    <a:ea typeface="Gill Sans MT"/>
                    <a:cs typeface="Gill Sans MT"/>
                  </a:defRPr>
                </a:pPr>
                <a:r>
                  <a:rPr lang="lv-LV" sz="800"/>
                  <a:t>EUR/MW</a:t>
                </a:r>
                <a:r>
                  <a:rPr lang="lv-LV"/>
                  <a:t>h</a:t>
                </a:r>
              </a:p>
            </c:rich>
          </c:tx>
          <c:layout>
            <c:manualLayout>
              <c:xMode val="edge"/>
              <c:yMode val="edge"/>
              <c:x val="1.6516529183852133E-2"/>
              <c:y val="3.1872203024981692E-2"/>
            </c:manualLayout>
          </c:layout>
          <c:spPr>
            <a:noFill/>
            <a:ln w="25400">
              <a:noFill/>
            </a:ln>
          </c:spPr>
        </c:title>
        <c:numFmt formatCode="_(* #,##0.0_);_(* \(#,##0.0\);_(* &quot;-&quot;??_);_(@_)" sourceLinked="0"/>
        <c:tickLblPos val="nextTo"/>
        <c:spPr>
          <a:ln w="9525">
            <a:noFill/>
          </a:ln>
        </c:spPr>
        <c:txPr>
          <a:bodyPr rot="0" vert="horz"/>
          <a:lstStyle/>
          <a:p>
            <a:pPr>
              <a:defRPr sz="1000" b="0" i="0" u="none" strike="noStrike" baseline="0">
                <a:solidFill>
                  <a:srgbClr val="000000"/>
                </a:solidFill>
                <a:latin typeface="Gill Sans MT"/>
                <a:ea typeface="Gill Sans MT"/>
                <a:cs typeface="Gill Sans MT"/>
              </a:defRPr>
            </a:pPr>
            <a:endParaRPr lang="lv-LV"/>
          </a:p>
        </c:txPr>
        <c:crossAx val="88923136"/>
        <c:crosses val="autoZero"/>
        <c:crossBetween val="between"/>
        <c:majorUnit val="5"/>
        <c:minorUnit val="0.5"/>
      </c:valAx>
    </c:plotArea>
    <c:plotVisOnly val="1"/>
    <c:dispBlanksAs val="gap"/>
  </c:chart>
  <c:spPr>
    <a:solidFill>
      <a:srgbClr val="FFFFFF"/>
    </a:solidFill>
    <a:ln w="3175">
      <a:noFill/>
      <a:prstDash val="solid"/>
    </a:ln>
  </c:spPr>
  <c:txPr>
    <a:bodyPr/>
    <a:lstStyle/>
    <a:p>
      <a:pPr>
        <a:defRPr sz="1000" b="0" i="0" u="none" strike="noStrike" baseline="0">
          <a:solidFill>
            <a:srgbClr val="000000"/>
          </a:solidFill>
          <a:latin typeface="Gill Sans MT"/>
          <a:ea typeface="Gill Sans MT"/>
          <a:cs typeface="Gill Sans MT"/>
        </a:defRPr>
      </a:pPr>
      <a:endParaRPr lang="lv-LV"/>
    </a:p>
  </c:txPr>
  <c:externalData r:id="rId1"/>
  <c:userShapes r:id="rId2"/>
</c:chartSpac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B2FE3FB-0A9A-4B5D-88C2-C22F9E324ABE}" type="doc">
      <dgm:prSet loTypeId="urn:microsoft.com/office/officeart/2005/8/layout/hProcess11" loCatId="process" qsTypeId="urn:microsoft.com/office/officeart/2005/8/quickstyle/simple1" qsCatId="simple" csTypeId="urn:microsoft.com/office/officeart/2005/8/colors/accent1_2" csCatId="accent1" phldr="1"/>
      <dgm:spPr/>
      <dgm:t>
        <a:bodyPr/>
        <a:lstStyle/>
        <a:p>
          <a:endParaRPr lang="lv-LV"/>
        </a:p>
      </dgm:t>
    </dgm:pt>
    <dgm:pt modelId="{941241D9-A6C0-48EA-AA71-32CF0D1266E8}">
      <dgm:prSet phldrT="[Text]" custT="1"/>
      <dgm:spPr/>
      <dgm:t>
        <a:bodyPr/>
        <a:lstStyle/>
        <a:p>
          <a:r>
            <a:rPr lang="lv-LV" sz="800" b="1">
              <a:latin typeface="Arial Narrow" pitchFamily="34" charset="0"/>
            </a:rPr>
            <a:t>2012.gada novembris</a:t>
          </a:r>
        </a:p>
      </dgm:t>
    </dgm:pt>
    <dgm:pt modelId="{C9D6B045-DBDB-4C6F-A5AF-12A37EC22611}" type="parTrans" cxnId="{A03F87BA-2ACD-43C6-8AA2-22AE9E2DB876}">
      <dgm:prSet/>
      <dgm:spPr/>
      <dgm:t>
        <a:bodyPr/>
        <a:lstStyle/>
        <a:p>
          <a:endParaRPr lang="lv-LV"/>
        </a:p>
      </dgm:t>
    </dgm:pt>
    <dgm:pt modelId="{4DCB261D-D158-487B-B949-20D4AE04E2C7}" type="sibTrans" cxnId="{A03F87BA-2ACD-43C6-8AA2-22AE9E2DB876}">
      <dgm:prSet/>
      <dgm:spPr/>
      <dgm:t>
        <a:bodyPr/>
        <a:lstStyle/>
        <a:p>
          <a:endParaRPr lang="lv-LV"/>
        </a:p>
      </dgm:t>
    </dgm:pt>
    <dgm:pt modelId="{DC1DC407-765B-4488-9DBA-724DEE73B185}">
      <dgm:prSet phldrT="[Text]" custT="1"/>
      <dgm:spPr/>
      <dgm:t>
        <a:bodyPr/>
        <a:lstStyle/>
        <a:p>
          <a:pPr algn="ctr"/>
          <a:r>
            <a:rPr lang="lv-LV" sz="800" b="1">
              <a:latin typeface="Arial Narrow" pitchFamily="34" charset="0"/>
            </a:rPr>
            <a:t>Elektroenerģijas tirgus konsultatīvās padomes priekšlikumi tirgus atvēršanai</a:t>
          </a:r>
        </a:p>
      </dgm:t>
    </dgm:pt>
    <dgm:pt modelId="{08188160-01B6-42A1-9714-0511CBA8500E}" type="parTrans" cxnId="{A7605896-FA22-4057-A647-54B58B3CD12D}">
      <dgm:prSet/>
      <dgm:spPr/>
      <dgm:t>
        <a:bodyPr/>
        <a:lstStyle/>
        <a:p>
          <a:endParaRPr lang="lv-LV"/>
        </a:p>
      </dgm:t>
    </dgm:pt>
    <dgm:pt modelId="{AA82BF69-DBAE-4E4D-8B49-16B28341C65F}" type="sibTrans" cxnId="{A7605896-FA22-4057-A647-54B58B3CD12D}">
      <dgm:prSet/>
      <dgm:spPr/>
      <dgm:t>
        <a:bodyPr/>
        <a:lstStyle/>
        <a:p>
          <a:endParaRPr lang="lv-LV"/>
        </a:p>
      </dgm:t>
    </dgm:pt>
    <dgm:pt modelId="{A959571E-B12A-4FE4-9948-BD39CAEA198E}">
      <dgm:prSet custT="1"/>
      <dgm:spPr/>
      <dgm:t>
        <a:bodyPr/>
        <a:lstStyle/>
        <a:p>
          <a:pPr algn="ctr"/>
          <a:r>
            <a:rPr lang="lv-LV" sz="800" b="1">
              <a:latin typeface="Arial Narrow" pitchFamily="34" charset="0"/>
            </a:rPr>
            <a:t>Deregulācijas tiesību aktu projekti</a:t>
          </a:r>
        </a:p>
      </dgm:t>
    </dgm:pt>
    <dgm:pt modelId="{184B8409-BFA8-47AF-A7DC-41C193873609}" type="parTrans" cxnId="{A22196B8-63D3-424D-9966-3A154688E7BC}">
      <dgm:prSet/>
      <dgm:spPr/>
      <dgm:t>
        <a:bodyPr/>
        <a:lstStyle/>
        <a:p>
          <a:endParaRPr lang="lv-LV"/>
        </a:p>
      </dgm:t>
    </dgm:pt>
    <dgm:pt modelId="{871369B5-65A4-4E37-932D-268825F198F0}" type="sibTrans" cxnId="{A22196B8-63D3-424D-9966-3A154688E7BC}">
      <dgm:prSet/>
      <dgm:spPr/>
      <dgm:t>
        <a:bodyPr/>
        <a:lstStyle/>
        <a:p>
          <a:endParaRPr lang="lv-LV"/>
        </a:p>
      </dgm:t>
    </dgm:pt>
    <dgm:pt modelId="{FFC09C17-C3A4-4B59-A9A5-566998580579}">
      <dgm:prSet/>
      <dgm:spPr/>
      <dgm:t>
        <a:bodyPr/>
        <a:lstStyle/>
        <a:p>
          <a:endParaRPr lang="lv-LV"/>
        </a:p>
      </dgm:t>
    </dgm:pt>
    <dgm:pt modelId="{0B7F1F9A-086F-420D-8A79-DDDD3CB51F35}" type="parTrans" cxnId="{6136B5C9-72B1-4D86-8F18-83FAE9B22DFC}">
      <dgm:prSet/>
      <dgm:spPr/>
      <dgm:t>
        <a:bodyPr/>
        <a:lstStyle/>
        <a:p>
          <a:endParaRPr lang="lv-LV"/>
        </a:p>
      </dgm:t>
    </dgm:pt>
    <dgm:pt modelId="{54AD59FC-A9FD-4BB2-B961-37F99EB0DAC9}" type="sibTrans" cxnId="{6136B5C9-72B1-4D86-8F18-83FAE9B22DFC}">
      <dgm:prSet/>
      <dgm:spPr/>
      <dgm:t>
        <a:bodyPr/>
        <a:lstStyle/>
        <a:p>
          <a:endParaRPr lang="lv-LV"/>
        </a:p>
      </dgm:t>
    </dgm:pt>
    <dgm:pt modelId="{BB4FB0D7-0255-458E-94BA-58AB8E30886E}">
      <dgm:prSet/>
      <dgm:spPr/>
      <dgm:t>
        <a:bodyPr/>
        <a:lstStyle/>
        <a:p>
          <a:endParaRPr lang="lv-LV"/>
        </a:p>
      </dgm:t>
    </dgm:pt>
    <dgm:pt modelId="{1371210A-67EB-45E0-AA4D-9D37350CBDF5}" type="parTrans" cxnId="{92550941-1065-4369-AAEC-EE9B132C9D2F}">
      <dgm:prSet/>
      <dgm:spPr/>
      <dgm:t>
        <a:bodyPr/>
        <a:lstStyle/>
        <a:p>
          <a:endParaRPr lang="lv-LV"/>
        </a:p>
      </dgm:t>
    </dgm:pt>
    <dgm:pt modelId="{7F0B4FBD-06B5-4F3C-9408-08C1F0294888}" type="sibTrans" cxnId="{92550941-1065-4369-AAEC-EE9B132C9D2F}">
      <dgm:prSet/>
      <dgm:spPr/>
      <dgm:t>
        <a:bodyPr/>
        <a:lstStyle/>
        <a:p>
          <a:endParaRPr lang="lv-LV"/>
        </a:p>
      </dgm:t>
    </dgm:pt>
    <dgm:pt modelId="{02EB427E-9CB3-4C46-93E9-00117F9FE39D}">
      <dgm:prSet/>
      <dgm:spPr/>
      <dgm:t>
        <a:bodyPr/>
        <a:lstStyle/>
        <a:p>
          <a:endParaRPr lang="lv-LV"/>
        </a:p>
      </dgm:t>
    </dgm:pt>
    <dgm:pt modelId="{23C64AA0-899A-41D3-8C1D-413F195A8FF6}" type="parTrans" cxnId="{A26BA5B1-5A1D-4992-AEB4-55EEA7EB061C}">
      <dgm:prSet/>
      <dgm:spPr/>
      <dgm:t>
        <a:bodyPr/>
        <a:lstStyle/>
        <a:p>
          <a:endParaRPr lang="lv-LV"/>
        </a:p>
      </dgm:t>
    </dgm:pt>
    <dgm:pt modelId="{EBBA26DF-C284-4A2C-9709-1B926D915BF6}" type="sibTrans" cxnId="{A26BA5B1-5A1D-4992-AEB4-55EEA7EB061C}">
      <dgm:prSet/>
      <dgm:spPr/>
      <dgm:t>
        <a:bodyPr/>
        <a:lstStyle/>
        <a:p>
          <a:endParaRPr lang="lv-LV"/>
        </a:p>
      </dgm:t>
    </dgm:pt>
    <dgm:pt modelId="{92FE162E-018E-4918-A025-8BF27C534C90}" type="pres">
      <dgm:prSet presAssocID="{2B2FE3FB-0A9A-4B5D-88C2-C22F9E324ABE}" presName="Name0" presStyleCnt="0">
        <dgm:presLayoutVars>
          <dgm:dir/>
          <dgm:resizeHandles val="exact"/>
        </dgm:presLayoutVars>
      </dgm:prSet>
      <dgm:spPr/>
      <dgm:t>
        <a:bodyPr/>
        <a:lstStyle/>
        <a:p>
          <a:endParaRPr lang="lv-LV"/>
        </a:p>
      </dgm:t>
    </dgm:pt>
    <dgm:pt modelId="{C3F6519C-1608-4811-BCE8-9FBA09BBBAF7}" type="pres">
      <dgm:prSet presAssocID="{2B2FE3FB-0A9A-4B5D-88C2-C22F9E324ABE}" presName="arrow" presStyleLbl="bgShp" presStyleIdx="0" presStyleCnt="1"/>
      <dgm:spPr>
        <a:solidFill>
          <a:srgbClr val="00B0F0">
            <a:alpha val="70000"/>
          </a:srgbClr>
        </a:solidFill>
      </dgm:spPr>
      <dgm:t>
        <a:bodyPr/>
        <a:lstStyle/>
        <a:p>
          <a:endParaRPr lang="lv-LV"/>
        </a:p>
      </dgm:t>
    </dgm:pt>
    <dgm:pt modelId="{4D1A2C06-D4DD-4CA4-9353-0760A5A94425}" type="pres">
      <dgm:prSet presAssocID="{2B2FE3FB-0A9A-4B5D-88C2-C22F9E324ABE}" presName="points" presStyleCnt="0"/>
      <dgm:spPr/>
    </dgm:pt>
    <dgm:pt modelId="{A0D4B471-DD19-42FB-95FE-80C6552048E9}" type="pres">
      <dgm:prSet presAssocID="{941241D9-A6C0-48EA-AA71-32CF0D1266E8}" presName="compositeA" presStyleCnt="0"/>
      <dgm:spPr/>
    </dgm:pt>
    <dgm:pt modelId="{F219307B-AA2E-4F41-AF3E-95776AA6D290}" type="pres">
      <dgm:prSet presAssocID="{941241D9-A6C0-48EA-AA71-32CF0D1266E8}" presName="textA" presStyleLbl="revTx" presStyleIdx="0" presStyleCnt="6" custScaleY="43925" custLinFactNeighborX="47883" custLinFactNeighborY="33878">
        <dgm:presLayoutVars>
          <dgm:bulletEnabled val="1"/>
        </dgm:presLayoutVars>
      </dgm:prSet>
      <dgm:spPr/>
      <dgm:t>
        <a:bodyPr/>
        <a:lstStyle/>
        <a:p>
          <a:endParaRPr lang="lv-LV"/>
        </a:p>
      </dgm:t>
    </dgm:pt>
    <dgm:pt modelId="{683C610F-FFF6-4EA1-887D-1A3D7C6DD05C}" type="pres">
      <dgm:prSet presAssocID="{941241D9-A6C0-48EA-AA71-32CF0D1266E8}" presName="circleA" presStyleLbl="node1" presStyleIdx="0" presStyleCnt="6" custLinFactX="284489" custLinFactNeighborX="300000" custLinFactNeighborY="60748"/>
      <dgm:spPr>
        <a:solidFill>
          <a:schemeClr val="bg2">
            <a:lumMod val="50000"/>
            <a:alpha val="75000"/>
          </a:schemeClr>
        </a:solidFill>
      </dgm:spPr>
      <dgm:t>
        <a:bodyPr/>
        <a:lstStyle/>
        <a:p>
          <a:endParaRPr lang="lv-LV"/>
        </a:p>
      </dgm:t>
    </dgm:pt>
    <dgm:pt modelId="{8BBCA61C-E514-4E0B-882A-A6420AFC842A}" type="pres">
      <dgm:prSet presAssocID="{941241D9-A6C0-48EA-AA71-32CF0D1266E8}" presName="spaceA" presStyleCnt="0"/>
      <dgm:spPr/>
    </dgm:pt>
    <dgm:pt modelId="{A79CDAB3-F56B-4C04-846F-82F4B076A016}" type="pres">
      <dgm:prSet presAssocID="{4DCB261D-D158-487B-B949-20D4AE04E2C7}" presName="space" presStyleCnt="0"/>
      <dgm:spPr/>
    </dgm:pt>
    <dgm:pt modelId="{84492604-1EC9-46A7-9FDE-290B1B61CCDA}" type="pres">
      <dgm:prSet presAssocID="{DC1DC407-765B-4488-9DBA-724DEE73B185}" presName="compositeB" presStyleCnt="0"/>
      <dgm:spPr/>
    </dgm:pt>
    <dgm:pt modelId="{00A248E4-9B11-434A-91B4-479B4C1ACB38}" type="pres">
      <dgm:prSet presAssocID="{DC1DC407-765B-4488-9DBA-724DEE73B185}" presName="textB" presStyleLbl="revTx" presStyleIdx="1" presStyleCnt="6" custScaleX="154229" custScaleY="42722" custLinFactX="-5188" custLinFactNeighborX="-100000" custLinFactNeighborY="-43362">
        <dgm:presLayoutVars>
          <dgm:bulletEnabled val="1"/>
        </dgm:presLayoutVars>
      </dgm:prSet>
      <dgm:spPr/>
      <dgm:t>
        <a:bodyPr/>
        <a:lstStyle/>
        <a:p>
          <a:endParaRPr lang="lv-LV"/>
        </a:p>
      </dgm:t>
    </dgm:pt>
    <dgm:pt modelId="{3D195136-6788-418D-872E-177015290377}" type="pres">
      <dgm:prSet presAssocID="{DC1DC407-765B-4488-9DBA-724DEE73B185}" presName="circleB" presStyleLbl="node1" presStyleIdx="1" presStyleCnt="6" custLinFactX="-125125" custLinFactNeighborX="-200000" custLinFactNeighborY="-56075"/>
      <dgm:spPr>
        <a:solidFill>
          <a:schemeClr val="bg2">
            <a:lumMod val="50000"/>
            <a:alpha val="75000"/>
          </a:schemeClr>
        </a:solidFill>
      </dgm:spPr>
      <dgm:t>
        <a:bodyPr/>
        <a:lstStyle/>
        <a:p>
          <a:endParaRPr lang="lv-LV"/>
        </a:p>
      </dgm:t>
    </dgm:pt>
    <dgm:pt modelId="{E41E2436-B893-4F53-8C48-7F6896C53DAC}" type="pres">
      <dgm:prSet presAssocID="{DC1DC407-765B-4488-9DBA-724DEE73B185}" presName="spaceB" presStyleCnt="0"/>
      <dgm:spPr/>
    </dgm:pt>
    <dgm:pt modelId="{6CE06F0A-15B1-4E95-8B75-2292887779F4}" type="pres">
      <dgm:prSet presAssocID="{AA82BF69-DBAE-4E4D-8B49-16B28341C65F}" presName="space" presStyleCnt="0"/>
      <dgm:spPr/>
    </dgm:pt>
    <dgm:pt modelId="{FF4B2C4F-51D1-406B-BE84-F1CE7732C74B}" type="pres">
      <dgm:prSet presAssocID="{A959571E-B12A-4FE4-9948-BD39CAEA198E}" presName="compositeA" presStyleCnt="0"/>
      <dgm:spPr/>
    </dgm:pt>
    <dgm:pt modelId="{DCE1E4E5-6703-4DB1-A463-2AA0674B2988}" type="pres">
      <dgm:prSet presAssocID="{A959571E-B12A-4FE4-9948-BD39CAEA198E}" presName="textA" presStyleLbl="revTx" presStyleIdx="2" presStyleCnt="6" custScaleX="138991" custScaleY="44105" custLinFactX="-24735" custLinFactY="31433" custLinFactNeighborX="-100000" custLinFactNeighborY="100000">
        <dgm:presLayoutVars>
          <dgm:bulletEnabled val="1"/>
        </dgm:presLayoutVars>
      </dgm:prSet>
      <dgm:spPr/>
      <dgm:t>
        <a:bodyPr/>
        <a:lstStyle/>
        <a:p>
          <a:endParaRPr lang="lv-LV"/>
        </a:p>
      </dgm:t>
    </dgm:pt>
    <dgm:pt modelId="{DE1B5337-FA73-4092-9546-595D89B3E16C}" type="pres">
      <dgm:prSet presAssocID="{A959571E-B12A-4FE4-9948-BD39CAEA198E}" presName="circleA" presStyleLbl="node1" presStyleIdx="2" presStyleCnt="6" custLinFactNeighborX="-32710" custLinFactNeighborY="56075"/>
      <dgm:spPr>
        <a:solidFill>
          <a:schemeClr val="bg2">
            <a:lumMod val="50000"/>
            <a:alpha val="75000"/>
          </a:schemeClr>
        </a:solidFill>
      </dgm:spPr>
      <dgm:t>
        <a:bodyPr/>
        <a:lstStyle/>
        <a:p>
          <a:endParaRPr lang="lv-LV"/>
        </a:p>
      </dgm:t>
    </dgm:pt>
    <dgm:pt modelId="{8C876A2C-297D-44A9-9DF1-906192DF5E56}" type="pres">
      <dgm:prSet presAssocID="{A959571E-B12A-4FE4-9948-BD39CAEA198E}" presName="spaceA" presStyleCnt="0"/>
      <dgm:spPr/>
    </dgm:pt>
    <dgm:pt modelId="{B261D529-D190-4540-87B4-46BEDC96E145}" type="pres">
      <dgm:prSet presAssocID="{871369B5-65A4-4E37-932D-268825F198F0}" presName="space" presStyleCnt="0"/>
      <dgm:spPr/>
    </dgm:pt>
    <dgm:pt modelId="{B23567AD-2737-4287-B84F-893858E20264}" type="pres">
      <dgm:prSet presAssocID="{FFC09C17-C3A4-4B59-A9A5-566998580579}" presName="compositeB" presStyleCnt="0"/>
      <dgm:spPr/>
    </dgm:pt>
    <dgm:pt modelId="{3D556D0C-53CD-47D4-852C-A540D0E3A29D}" type="pres">
      <dgm:prSet presAssocID="{FFC09C17-C3A4-4B59-A9A5-566998580579}" presName="textB" presStyleLbl="revTx" presStyleIdx="3" presStyleCnt="6" custLinFactNeighborX="37316" custLinFactNeighborY="0">
        <dgm:presLayoutVars>
          <dgm:bulletEnabled val="1"/>
        </dgm:presLayoutVars>
      </dgm:prSet>
      <dgm:spPr/>
      <dgm:t>
        <a:bodyPr/>
        <a:lstStyle/>
        <a:p>
          <a:endParaRPr lang="lv-LV"/>
        </a:p>
      </dgm:t>
    </dgm:pt>
    <dgm:pt modelId="{9A789BFB-19A9-414D-8597-5E49DF946E02}" type="pres">
      <dgm:prSet presAssocID="{FFC09C17-C3A4-4B59-A9A5-566998580579}" presName="circleB" presStyleLbl="node1" presStyleIdx="3" presStyleCnt="6" custLinFactNeighborX="-65420" custLinFactNeighborY="4672"/>
      <dgm:spPr>
        <a:solidFill>
          <a:schemeClr val="bg2">
            <a:lumMod val="50000"/>
            <a:alpha val="75000"/>
          </a:schemeClr>
        </a:solidFill>
      </dgm:spPr>
      <dgm:t>
        <a:bodyPr/>
        <a:lstStyle/>
        <a:p>
          <a:endParaRPr lang="lv-LV"/>
        </a:p>
      </dgm:t>
    </dgm:pt>
    <dgm:pt modelId="{60B353C6-2E0F-4045-8A5E-B22E1AAF2AEA}" type="pres">
      <dgm:prSet presAssocID="{FFC09C17-C3A4-4B59-A9A5-566998580579}" presName="spaceB" presStyleCnt="0"/>
      <dgm:spPr/>
    </dgm:pt>
    <dgm:pt modelId="{35A757AE-2201-4C0F-9BF3-9A80F370CD10}" type="pres">
      <dgm:prSet presAssocID="{54AD59FC-A9FD-4BB2-B961-37F99EB0DAC9}" presName="space" presStyleCnt="0"/>
      <dgm:spPr/>
    </dgm:pt>
    <dgm:pt modelId="{AEAD22F1-A2FB-4338-9066-6DFF87B4EB2C}" type="pres">
      <dgm:prSet presAssocID="{BB4FB0D7-0255-458E-94BA-58AB8E30886E}" presName="compositeA" presStyleCnt="0"/>
      <dgm:spPr/>
    </dgm:pt>
    <dgm:pt modelId="{E9F631ED-0833-429C-AD5D-4A8278420722}" type="pres">
      <dgm:prSet presAssocID="{BB4FB0D7-0255-458E-94BA-58AB8E30886E}" presName="textA" presStyleLbl="revTx" presStyleIdx="4" presStyleCnt="6">
        <dgm:presLayoutVars>
          <dgm:bulletEnabled val="1"/>
        </dgm:presLayoutVars>
      </dgm:prSet>
      <dgm:spPr/>
      <dgm:t>
        <a:bodyPr/>
        <a:lstStyle/>
        <a:p>
          <a:endParaRPr lang="lv-LV"/>
        </a:p>
      </dgm:t>
    </dgm:pt>
    <dgm:pt modelId="{C334BA77-431B-42A1-A055-74883F8E1229}" type="pres">
      <dgm:prSet presAssocID="{BB4FB0D7-0255-458E-94BA-58AB8E30886E}" presName="circleA" presStyleLbl="node1" presStyleIdx="4" presStyleCnt="6" custLinFactNeighborX="-51402" custLinFactNeighborY="0"/>
      <dgm:spPr>
        <a:solidFill>
          <a:schemeClr val="bg2">
            <a:lumMod val="50000"/>
            <a:alpha val="75000"/>
          </a:schemeClr>
        </a:solidFill>
      </dgm:spPr>
      <dgm:t>
        <a:bodyPr/>
        <a:lstStyle/>
        <a:p>
          <a:endParaRPr lang="lv-LV"/>
        </a:p>
      </dgm:t>
    </dgm:pt>
    <dgm:pt modelId="{9B349FBA-DA62-4CB1-807B-B650BD3AE506}" type="pres">
      <dgm:prSet presAssocID="{BB4FB0D7-0255-458E-94BA-58AB8E30886E}" presName="spaceA" presStyleCnt="0"/>
      <dgm:spPr/>
    </dgm:pt>
    <dgm:pt modelId="{F6060919-593A-4389-9E46-DDE4B52201AE}" type="pres">
      <dgm:prSet presAssocID="{7F0B4FBD-06B5-4F3C-9408-08C1F0294888}" presName="space" presStyleCnt="0"/>
      <dgm:spPr/>
    </dgm:pt>
    <dgm:pt modelId="{7A4C0F8C-5A05-496C-8DD5-85D60AE4B66C}" type="pres">
      <dgm:prSet presAssocID="{02EB427E-9CB3-4C46-93E9-00117F9FE39D}" presName="compositeB" presStyleCnt="0"/>
      <dgm:spPr/>
    </dgm:pt>
    <dgm:pt modelId="{C6860DC6-90C5-430E-994E-87A4D48EAB71}" type="pres">
      <dgm:prSet presAssocID="{02EB427E-9CB3-4C46-93E9-00117F9FE39D}" presName="textB" presStyleLbl="revTx" presStyleIdx="5" presStyleCnt="6">
        <dgm:presLayoutVars>
          <dgm:bulletEnabled val="1"/>
        </dgm:presLayoutVars>
      </dgm:prSet>
      <dgm:spPr/>
      <dgm:t>
        <a:bodyPr/>
        <a:lstStyle/>
        <a:p>
          <a:endParaRPr lang="lv-LV"/>
        </a:p>
      </dgm:t>
    </dgm:pt>
    <dgm:pt modelId="{9304E732-47AD-44A0-AE49-08CF5F95D292}" type="pres">
      <dgm:prSet presAssocID="{02EB427E-9CB3-4C46-93E9-00117F9FE39D}" presName="circleB" presStyleLbl="node1" presStyleIdx="5" presStyleCnt="6"/>
      <dgm:spPr>
        <a:solidFill>
          <a:schemeClr val="bg2">
            <a:lumMod val="50000"/>
            <a:alpha val="75000"/>
          </a:schemeClr>
        </a:solidFill>
      </dgm:spPr>
      <dgm:t>
        <a:bodyPr/>
        <a:lstStyle/>
        <a:p>
          <a:endParaRPr lang="lv-LV"/>
        </a:p>
      </dgm:t>
    </dgm:pt>
    <dgm:pt modelId="{4B8002F2-1F2E-4D01-BD4A-4409610615C3}" type="pres">
      <dgm:prSet presAssocID="{02EB427E-9CB3-4C46-93E9-00117F9FE39D}" presName="spaceB" presStyleCnt="0"/>
      <dgm:spPr/>
    </dgm:pt>
  </dgm:ptLst>
  <dgm:cxnLst>
    <dgm:cxn modelId="{92550941-1065-4369-AAEC-EE9B132C9D2F}" srcId="{2B2FE3FB-0A9A-4B5D-88C2-C22F9E324ABE}" destId="{BB4FB0D7-0255-458E-94BA-58AB8E30886E}" srcOrd="4" destOrd="0" parTransId="{1371210A-67EB-45E0-AA4D-9D37350CBDF5}" sibTransId="{7F0B4FBD-06B5-4F3C-9408-08C1F0294888}"/>
    <dgm:cxn modelId="{43E5096B-F417-4DD3-BB51-0925050A344B}" type="presOf" srcId="{02EB427E-9CB3-4C46-93E9-00117F9FE39D}" destId="{C6860DC6-90C5-430E-994E-87A4D48EAB71}" srcOrd="0" destOrd="0" presId="urn:microsoft.com/office/officeart/2005/8/layout/hProcess11"/>
    <dgm:cxn modelId="{6602F205-8AAF-4024-964E-4B662BD73DC5}" type="presOf" srcId="{2B2FE3FB-0A9A-4B5D-88C2-C22F9E324ABE}" destId="{92FE162E-018E-4918-A025-8BF27C534C90}" srcOrd="0" destOrd="0" presId="urn:microsoft.com/office/officeart/2005/8/layout/hProcess11"/>
    <dgm:cxn modelId="{29F5C490-00F3-4C09-B02C-90360F3D6D28}" type="presOf" srcId="{A959571E-B12A-4FE4-9948-BD39CAEA198E}" destId="{DCE1E4E5-6703-4DB1-A463-2AA0674B2988}" srcOrd="0" destOrd="0" presId="urn:microsoft.com/office/officeart/2005/8/layout/hProcess11"/>
    <dgm:cxn modelId="{A7605896-FA22-4057-A647-54B58B3CD12D}" srcId="{2B2FE3FB-0A9A-4B5D-88C2-C22F9E324ABE}" destId="{DC1DC407-765B-4488-9DBA-724DEE73B185}" srcOrd="1" destOrd="0" parTransId="{08188160-01B6-42A1-9714-0511CBA8500E}" sibTransId="{AA82BF69-DBAE-4E4D-8B49-16B28341C65F}"/>
    <dgm:cxn modelId="{6136B5C9-72B1-4D86-8F18-83FAE9B22DFC}" srcId="{2B2FE3FB-0A9A-4B5D-88C2-C22F9E324ABE}" destId="{FFC09C17-C3A4-4B59-A9A5-566998580579}" srcOrd="3" destOrd="0" parTransId="{0B7F1F9A-086F-420D-8A79-DDDD3CB51F35}" sibTransId="{54AD59FC-A9FD-4BB2-B961-37F99EB0DAC9}"/>
    <dgm:cxn modelId="{A26BA5B1-5A1D-4992-AEB4-55EEA7EB061C}" srcId="{2B2FE3FB-0A9A-4B5D-88C2-C22F9E324ABE}" destId="{02EB427E-9CB3-4C46-93E9-00117F9FE39D}" srcOrd="5" destOrd="0" parTransId="{23C64AA0-899A-41D3-8C1D-413F195A8FF6}" sibTransId="{EBBA26DF-C284-4A2C-9709-1B926D915BF6}"/>
    <dgm:cxn modelId="{7CC77D19-A929-42C6-B643-A7A4EFAA6A87}" type="presOf" srcId="{BB4FB0D7-0255-458E-94BA-58AB8E30886E}" destId="{E9F631ED-0833-429C-AD5D-4A8278420722}" srcOrd="0" destOrd="0" presId="urn:microsoft.com/office/officeart/2005/8/layout/hProcess11"/>
    <dgm:cxn modelId="{A03439A2-C6FF-4AA6-90F1-81DAEEC79EEF}" type="presOf" srcId="{941241D9-A6C0-48EA-AA71-32CF0D1266E8}" destId="{F219307B-AA2E-4F41-AF3E-95776AA6D290}" srcOrd="0" destOrd="0" presId="urn:microsoft.com/office/officeart/2005/8/layout/hProcess11"/>
    <dgm:cxn modelId="{D0064EF3-3444-4BE5-8CA1-94E7A89EDF86}" type="presOf" srcId="{FFC09C17-C3A4-4B59-A9A5-566998580579}" destId="{3D556D0C-53CD-47D4-852C-A540D0E3A29D}" srcOrd="0" destOrd="0" presId="urn:microsoft.com/office/officeart/2005/8/layout/hProcess11"/>
    <dgm:cxn modelId="{7132E457-A48F-4F95-A2B2-FB7605F3C87F}" type="presOf" srcId="{DC1DC407-765B-4488-9DBA-724DEE73B185}" destId="{00A248E4-9B11-434A-91B4-479B4C1ACB38}" srcOrd="0" destOrd="0" presId="urn:microsoft.com/office/officeart/2005/8/layout/hProcess11"/>
    <dgm:cxn modelId="{A22196B8-63D3-424D-9966-3A154688E7BC}" srcId="{2B2FE3FB-0A9A-4B5D-88C2-C22F9E324ABE}" destId="{A959571E-B12A-4FE4-9948-BD39CAEA198E}" srcOrd="2" destOrd="0" parTransId="{184B8409-BFA8-47AF-A7DC-41C193873609}" sibTransId="{871369B5-65A4-4E37-932D-268825F198F0}"/>
    <dgm:cxn modelId="{A03F87BA-2ACD-43C6-8AA2-22AE9E2DB876}" srcId="{2B2FE3FB-0A9A-4B5D-88C2-C22F9E324ABE}" destId="{941241D9-A6C0-48EA-AA71-32CF0D1266E8}" srcOrd="0" destOrd="0" parTransId="{C9D6B045-DBDB-4C6F-A5AF-12A37EC22611}" sibTransId="{4DCB261D-D158-487B-B949-20D4AE04E2C7}"/>
    <dgm:cxn modelId="{F9EA681F-6C18-484E-99D8-0178CC1D7F30}" type="presParOf" srcId="{92FE162E-018E-4918-A025-8BF27C534C90}" destId="{C3F6519C-1608-4811-BCE8-9FBA09BBBAF7}" srcOrd="0" destOrd="0" presId="urn:microsoft.com/office/officeart/2005/8/layout/hProcess11"/>
    <dgm:cxn modelId="{A161519C-D4F4-4021-8638-3B42955AC43A}" type="presParOf" srcId="{92FE162E-018E-4918-A025-8BF27C534C90}" destId="{4D1A2C06-D4DD-4CA4-9353-0760A5A94425}" srcOrd="1" destOrd="0" presId="urn:microsoft.com/office/officeart/2005/8/layout/hProcess11"/>
    <dgm:cxn modelId="{D06B664D-BC8D-4D3B-A84C-32805D836B46}" type="presParOf" srcId="{4D1A2C06-D4DD-4CA4-9353-0760A5A94425}" destId="{A0D4B471-DD19-42FB-95FE-80C6552048E9}" srcOrd="0" destOrd="0" presId="urn:microsoft.com/office/officeart/2005/8/layout/hProcess11"/>
    <dgm:cxn modelId="{CFC104EA-1761-46A4-978E-2BA5AB717BB7}" type="presParOf" srcId="{A0D4B471-DD19-42FB-95FE-80C6552048E9}" destId="{F219307B-AA2E-4F41-AF3E-95776AA6D290}" srcOrd="0" destOrd="0" presId="urn:microsoft.com/office/officeart/2005/8/layout/hProcess11"/>
    <dgm:cxn modelId="{BC94B9DF-86BF-45C5-A1DE-7CA15F8A564E}" type="presParOf" srcId="{A0D4B471-DD19-42FB-95FE-80C6552048E9}" destId="{683C610F-FFF6-4EA1-887D-1A3D7C6DD05C}" srcOrd="1" destOrd="0" presId="urn:microsoft.com/office/officeart/2005/8/layout/hProcess11"/>
    <dgm:cxn modelId="{CABFAC28-8088-484B-9F43-67977A39FDA7}" type="presParOf" srcId="{A0D4B471-DD19-42FB-95FE-80C6552048E9}" destId="{8BBCA61C-E514-4E0B-882A-A6420AFC842A}" srcOrd="2" destOrd="0" presId="urn:microsoft.com/office/officeart/2005/8/layout/hProcess11"/>
    <dgm:cxn modelId="{1ED8DCE6-7964-48AB-BA5A-2B3F2BAB25C0}" type="presParOf" srcId="{4D1A2C06-D4DD-4CA4-9353-0760A5A94425}" destId="{A79CDAB3-F56B-4C04-846F-82F4B076A016}" srcOrd="1" destOrd="0" presId="urn:microsoft.com/office/officeart/2005/8/layout/hProcess11"/>
    <dgm:cxn modelId="{E2014803-8CEF-4BF4-9B73-0539311EE83F}" type="presParOf" srcId="{4D1A2C06-D4DD-4CA4-9353-0760A5A94425}" destId="{84492604-1EC9-46A7-9FDE-290B1B61CCDA}" srcOrd="2" destOrd="0" presId="urn:microsoft.com/office/officeart/2005/8/layout/hProcess11"/>
    <dgm:cxn modelId="{1D8FCC18-6FF7-4FBD-B846-75D08355BBCD}" type="presParOf" srcId="{84492604-1EC9-46A7-9FDE-290B1B61CCDA}" destId="{00A248E4-9B11-434A-91B4-479B4C1ACB38}" srcOrd="0" destOrd="0" presId="urn:microsoft.com/office/officeart/2005/8/layout/hProcess11"/>
    <dgm:cxn modelId="{0F229D35-A26E-4837-8810-371050C46920}" type="presParOf" srcId="{84492604-1EC9-46A7-9FDE-290B1B61CCDA}" destId="{3D195136-6788-418D-872E-177015290377}" srcOrd="1" destOrd="0" presId="urn:microsoft.com/office/officeart/2005/8/layout/hProcess11"/>
    <dgm:cxn modelId="{403B87A3-8EA6-4A60-81C6-F2988DC33B1B}" type="presParOf" srcId="{84492604-1EC9-46A7-9FDE-290B1B61CCDA}" destId="{E41E2436-B893-4F53-8C48-7F6896C53DAC}" srcOrd="2" destOrd="0" presId="urn:microsoft.com/office/officeart/2005/8/layout/hProcess11"/>
    <dgm:cxn modelId="{59D5EDDF-D023-4D20-8351-10ACF61E8F11}" type="presParOf" srcId="{4D1A2C06-D4DD-4CA4-9353-0760A5A94425}" destId="{6CE06F0A-15B1-4E95-8B75-2292887779F4}" srcOrd="3" destOrd="0" presId="urn:microsoft.com/office/officeart/2005/8/layout/hProcess11"/>
    <dgm:cxn modelId="{EDA05F0C-9427-4F91-9157-F8CF9D9892E1}" type="presParOf" srcId="{4D1A2C06-D4DD-4CA4-9353-0760A5A94425}" destId="{FF4B2C4F-51D1-406B-BE84-F1CE7732C74B}" srcOrd="4" destOrd="0" presId="urn:microsoft.com/office/officeart/2005/8/layout/hProcess11"/>
    <dgm:cxn modelId="{A264EB13-E171-433E-8E41-C99F7C3D8920}" type="presParOf" srcId="{FF4B2C4F-51D1-406B-BE84-F1CE7732C74B}" destId="{DCE1E4E5-6703-4DB1-A463-2AA0674B2988}" srcOrd="0" destOrd="0" presId="urn:microsoft.com/office/officeart/2005/8/layout/hProcess11"/>
    <dgm:cxn modelId="{447D51BE-06FC-418C-B996-13AA4F7A46C0}" type="presParOf" srcId="{FF4B2C4F-51D1-406B-BE84-F1CE7732C74B}" destId="{DE1B5337-FA73-4092-9546-595D89B3E16C}" srcOrd="1" destOrd="0" presId="urn:microsoft.com/office/officeart/2005/8/layout/hProcess11"/>
    <dgm:cxn modelId="{8EB4C026-7833-4CA6-AF2F-EBEA3CB6FB5D}" type="presParOf" srcId="{FF4B2C4F-51D1-406B-BE84-F1CE7732C74B}" destId="{8C876A2C-297D-44A9-9DF1-906192DF5E56}" srcOrd="2" destOrd="0" presId="urn:microsoft.com/office/officeart/2005/8/layout/hProcess11"/>
    <dgm:cxn modelId="{2870674F-85BE-4479-AD78-3269653E91C2}" type="presParOf" srcId="{4D1A2C06-D4DD-4CA4-9353-0760A5A94425}" destId="{B261D529-D190-4540-87B4-46BEDC96E145}" srcOrd="5" destOrd="0" presId="urn:microsoft.com/office/officeart/2005/8/layout/hProcess11"/>
    <dgm:cxn modelId="{2ECACE81-F810-4F0D-9D12-B70D8CE52FB5}" type="presParOf" srcId="{4D1A2C06-D4DD-4CA4-9353-0760A5A94425}" destId="{B23567AD-2737-4287-B84F-893858E20264}" srcOrd="6" destOrd="0" presId="urn:microsoft.com/office/officeart/2005/8/layout/hProcess11"/>
    <dgm:cxn modelId="{265C2E06-88A6-4740-8162-4EE658DDC80C}" type="presParOf" srcId="{B23567AD-2737-4287-B84F-893858E20264}" destId="{3D556D0C-53CD-47D4-852C-A540D0E3A29D}" srcOrd="0" destOrd="0" presId="urn:microsoft.com/office/officeart/2005/8/layout/hProcess11"/>
    <dgm:cxn modelId="{CBD56A7B-E415-4669-98C3-8A961DF5D22E}" type="presParOf" srcId="{B23567AD-2737-4287-B84F-893858E20264}" destId="{9A789BFB-19A9-414D-8597-5E49DF946E02}" srcOrd="1" destOrd="0" presId="urn:microsoft.com/office/officeart/2005/8/layout/hProcess11"/>
    <dgm:cxn modelId="{C810D7C9-EDA6-41D2-94D4-24883317293A}" type="presParOf" srcId="{B23567AD-2737-4287-B84F-893858E20264}" destId="{60B353C6-2E0F-4045-8A5E-B22E1AAF2AEA}" srcOrd="2" destOrd="0" presId="urn:microsoft.com/office/officeart/2005/8/layout/hProcess11"/>
    <dgm:cxn modelId="{BDB56C43-D921-49A1-A50E-444AC9C30179}" type="presParOf" srcId="{4D1A2C06-D4DD-4CA4-9353-0760A5A94425}" destId="{35A757AE-2201-4C0F-9BF3-9A80F370CD10}" srcOrd="7" destOrd="0" presId="urn:microsoft.com/office/officeart/2005/8/layout/hProcess11"/>
    <dgm:cxn modelId="{BB302AC1-E2D9-47C7-B513-1B274A57D0DE}" type="presParOf" srcId="{4D1A2C06-D4DD-4CA4-9353-0760A5A94425}" destId="{AEAD22F1-A2FB-4338-9066-6DFF87B4EB2C}" srcOrd="8" destOrd="0" presId="urn:microsoft.com/office/officeart/2005/8/layout/hProcess11"/>
    <dgm:cxn modelId="{9230621D-00FA-44B3-80C7-E0F3C278CE8C}" type="presParOf" srcId="{AEAD22F1-A2FB-4338-9066-6DFF87B4EB2C}" destId="{E9F631ED-0833-429C-AD5D-4A8278420722}" srcOrd="0" destOrd="0" presId="urn:microsoft.com/office/officeart/2005/8/layout/hProcess11"/>
    <dgm:cxn modelId="{3F981087-AC0E-4BE1-B75B-9B18A17FB84F}" type="presParOf" srcId="{AEAD22F1-A2FB-4338-9066-6DFF87B4EB2C}" destId="{C334BA77-431B-42A1-A055-74883F8E1229}" srcOrd="1" destOrd="0" presId="urn:microsoft.com/office/officeart/2005/8/layout/hProcess11"/>
    <dgm:cxn modelId="{AD211C72-A529-43AF-807D-C3D70BCDBB84}" type="presParOf" srcId="{AEAD22F1-A2FB-4338-9066-6DFF87B4EB2C}" destId="{9B349FBA-DA62-4CB1-807B-B650BD3AE506}" srcOrd="2" destOrd="0" presId="urn:microsoft.com/office/officeart/2005/8/layout/hProcess11"/>
    <dgm:cxn modelId="{5D4E2D67-F156-44D2-9E47-5705654C7E08}" type="presParOf" srcId="{4D1A2C06-D4DD-4CA4-9353-0760A5A94425}" destId="{F6060919-593A-4389-9E46-DDE4B52201AE}" srcOrd="9" destOrd="0" presId="urn:microsoft.com/office/officeart/2005/8/layout/hProcess11"/>
    <dgm:cxn modelId="{996997A3-E966-4ABE-81CB-24CB11D5AB39}" type="presParOf" srcId="{4D1A2C06-D4DD-4CA4-9353-0760A5A94425}" destId="{7A4C0F8C-5A05-496C-8DD5-85D60AE4B66C}" srcOrd="10" destOrd="0" presId="urn:microsoft.com/office/officeart/2005/8/layout/hProcess11"/>
    <dgm:cxn modelId="{D2F7619A-B75F-437C-8BEA-FD21B7E64EE3}" type="presParOf" srcId="{7A4C0F8C-5A05-496C-8DD5-85D60AE4B66C}" destId="{C6860DC6-90C5-430E-994E-87A4D48EAB71}" srcOrd="0" destOrd="0" presId="urn:microsoft.com/office/officeart/2005/8/layout/hProcess11"/>
    <dgm:cxn modelId="{3EEAE893-0D05-480B-9488-736E15CAE0E4}" type="presParOf" srcId="{7A4C0F8C-5A05-496C-8DD5-85D60AE4B66C}" destId="{9304E732-47AD-44A0-AE49-08CF5F95D292}" srcOrd="1" destOrd="0" presId="urn:microsoft.com/office/officeart/2005/8/layout/hProcess11"/>
    <dgm:cxn modelId="{6C26C060-E1F8-47F4-B970-B362790FF43B}" type="presParOf" srcId="{7A4C0F8C-5A05-496C-8DD5-85D60AE4B66C}" destId="{4B8002F2-1F2E-4D01-BD4A-4409610615C3}" srcOrd="2" destOrd="0" presId="urn:microsoft.com/office/officeart/2005/8/layout/hProcess11"/>
  </dgm:cxnLst>
  <dgm:bg/>
  <dgm:whole/>
  <dgm:extLst>
    <a:ext uri="http://schemas.microsoft.com/office/drawing/2008/diagram">
      <dsp:dataModelExt xmlns:dsp="http://schemas.microsoft.com/office/drawing/2008/diagram" xmlns="" relId="rId14"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C3F6519C-1608-4811-BCE8-9FBA09BBBAF7}">
      <dsp:nvSpPr>
        <dsp:cNvPr id="0" name=""/>
        <dsp:cNvSpPr/>
      </dsp:nvSpPr>
      <dsp:spPr>
        <a:xfrm>
          <a:off x="0" y="611504"/>
          <a:ext cx="5753100" cy="815340"/>
        </a:xfrm>
        <a:prstGeom prst="notchedRightArrow">
          <a:avLst/>
        </a:prstGeom>
        <a:solidFill>
          <a:srgbClr val="00B0F0">
            <a:alpha val="70000"/>
          </a:srgbClr>
        </a:solidFill>
        <a:ln>
          <a:noFill/>
        </a:ln>
        <a:effectLst/>
      </dsp:spPr>
      <dsp:style>
        <a:lnRef idx="0">
          <a:scrgbClr r="0" g="0" b="0"/>
        </a:lnRef>
        <a:fillRef idx="1">
          <a:scrgbClr r="0" g="0" b="0"/>
        </a:fillRef>
        <a:effectRef idx="0">
          <a:scrgbClr r="0" g="0" b="0"/>
        </a:effectRef>
        <a:fontRef idx="minor"/>
      </dsp:style>
    </dsp:sp>
    <dsp:sp modelId="{F219307B-AA2E-4F41-AF3E-95776AA6D290}">
      <dsp:nvSpPr>
        <dsp:cNvPr id="0" name=""/>
        <dsp:cNvSpPr/>
      </dsp:nvSpPr>
      <dsp:spPr>
        <a:xfrm>
          <a:off x="346373" y="390521"/>
          <a:ext cx="720542" cy="35813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6896" tIns="56896" rIns="56896" bIns="56896" numCol="1" spcCol="1270" anchor="b" anchorCtr="0">
          <a:noAutofit/>
        </a:bodyPr>
        <a:lstStyle/>
        <a:p>
          <a:pPr lvl="0" algn="ctr" defTabSz="355600">
            <a:lnSpc>
              <a:spcPct val="90000"/>
            </a:lnSpc>
            <a:spcBef>
              <a:spcPct val="0"/>
            </a:spcBef>
            <a:spcAft>
              <a:spcPct val="35000"/>
            </a:spcAft>
          </a:pPr>
          <a:r>
            <a:rPr lang="lv-LV" sz="800" b="1" kern="1200">
              <a:latin typeface="Arial Narrow" pitchFamily="34" charset="0"/>
            </a:rPr>
            <a:t>2012.gada novembris</a:t>
          </a:r>
        </a:p>
      </dsp:txBody>
      <dsp:txXfrm>
        <a:off x="346373" y="390521"/>
        <a:ext cx="720542" cy="358138"/>
      </dsp:txXfrm>
    </dsp:sp>
    <dsp:sp modelId="{683C610F-FFF6-4EA1-887D-1A3D7C6DD05C}">
      <dsp:nvSpPr>
        <dsp:cNvPr id="0" name=""/>
        <dsp:cNvSpPr/>
      </dsp:nvSpPr>
      <dsp:spPr>
        <a:xfrm>
          <a:off x="1451103" y="926782"/>
          <a:ext cx="203835" cy="203835"/>
        </a:xfrm>
        <a:prstGeom prst="ellipse">
          <a:avLst/>
        </a:prstGeom>
        <a:solidFill>
          <a:schemeClr val="bg2">
            <a:lumMod val="50000"/>
            <a:alpha val="7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00A248E4-9B11-434A-91B4-479B4C1ACB38}">
      <dsp:nvSpPr>
        <dsp:cNvPr id="0" name=""/>
        <dsp:cNvSpPr/>
      </dsp:nvSpPr>
      <dsp:spPr>
        <a:xfrm>
          <a:off x="1" y="1219720"/>
          <a:ext cx="1111284" cy="34832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6896" tIns="56896" rIns="56896" bIns="56896" numCol="1" spcCol="1270" anchor="t" anchorCtr="0">
          <a:noAutofit/>
        </a:bodyPr>
        <a:lstStyle/>
        <a:p>
          <a:pPr lvl="0" algn="ctr" defTabSz="355600">
            <a:lnSpc>
              <a:spcPct val="90000"/>
            </a:lnSpc>
            <a:spcBef>
              <a:spcPct val="0"/>
            </a:spcBef>
            <a:spcAft>
              <a:spcPct val="35000"/>
            </a:spcAft>
          </a:pPr>
          <a:r>
            <a:rPr lang="lv-LV" sz="800" b="1" kern="1200">
              <a:latin typeface="Arial Narrow" pitchFamily="34" charset="0"/>
            </a:rPr>
            <a:t>Elektroenerģijas tirgus konsultatīvās padomes priekšlikumi tirgus atvēršanai</a:t>
          </a:r>
        </a:p>
      </dsp:txBody>
      <dsp:txXfrm>
        <a:off x="1" y="1219720"/>
        <a:ext cx="1111284" cy="348329"/>
      </dsp:txXfrm>
    </dsp:sp>
    <dsp:sp modelId="{3D195136-6788-418D-872E-177015290377}">
      <dsp:nvSpPr>
        <dsp:cNvPr id="0" name=""/>
        <dsp:cNvSpPr/>
      </dsp:nvSpPr>
      <dsp:spPr>
        <a:xfrm>
          <a:off x="548931" y="919709"/>
          <a:ext cx="203835" cy="203835"/>
        </a:xfrm>
        <a:prstGeom prst="ellipse">
          <a:avLst/>
        </a:prstGeom>
        <a:solidFill>
          <a:schemeClr val="bg2">
            <a:lumMod val="50000"/>
            <a:alpha val="7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DCE1E4E5-6703-4DB1-A463-2AA0674B2988}">
      <dsp:nvSpPr>
        <dsp:cNvPr id="0" name=""/>
        <dsp:cNvSpPr/>
      </dsp:nvSpPr>
      <dsp:spPr>
        <a:xfrm>
          <a:off x="1006469" y="1185559"/>
          <a:ext cx="1001488" cy="35960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6896" tIns="56896" rIns="56896" bIns="56896" numCol="1" spcCol="1270" anchor="b" anchorCtr="0">
          <a:noAutofit/>
        </a:bodyPr>
        <a:lstStyle/>
        <a:p>
          <a:pPr lvl="0" algn="ctr" defTabSz="355600">
            <a:lnSpc>
              <a:spcPct val="90000"/>
            </a:lnSpc>
            <a:spcBef>
              <a:spcPct val="0"/>
            </a:spcBef>
            <a:spcAft>
              <a:spcPct val="35000"/>
            </a:spcAft>
          </a:pPr>
          <a:r>
            <a:rPr lang="lv-LV" sz="800" b="1" kern="1200">
              <a:latin typeface="Arial Narrow" pitchFamily="34" charset="0"/>
            </a:rPr>
            <a:t>Deregulācijas tiesību aktu projekti</a:t>
          </a:r>
        </a:p>
      </dsp:txBody>
      <dsp:txXfrm>
        <a:off x="1006469" y="1185559"/>
        <a:ext cx="1001488" cy="359605"/>
      </dsp:txXfrm>
    </dsp:sp>
    <dsp:sp modelId="{DE1B5337-FA73-4092-9546-595D89B3E16C}">
      <dsp:nvSpPr>
        <dsp:cNvPr id="0" name=""/>
        <dsp:cNvSpPr/>
      </dsp:nvSpPr>
      <dsp:spPr>
        <a:xfrm>
          <a:off x="2237389" y="917624"/>
          <a:ext cx="203835" cy="203835"/>
        </a:xfrm>
        <a:prstGeom prst="ellipse">
          <a:avLst/>
        </a:prstGeom>
        <a:solidFill>
          <a:schemeClr val="bg2">
            <a:lumMod val="50000"/>
            <a:alpha val="7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3D556D0C-53CD-47D4-852C-A540D0E3A29D}">
      <dsp:nvSpPr>
        <dsp:cNvPr id="0" name=""/>
        <dsp:cNvSpPr/>
      </dsp:nvSpPr>
      <dsp:spPr>
        <a:xfrm>
          <a:off x="3211630" y="1223009"/>
          <a:ext cx="720542" cy="81534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99136" tIns="199136" rIns="199136" bIns="199136" numCol="1" spcCol="1270" anchor="t" anchorCtr="0">
          <a:noAutofit/>
        </a:bodyPr>
        <a:lstStyle/>
        <a:p>
          <a:pPr lvl="0" algn="ctr" defTabSz="1244600">
            <a:lnSpc>
              <a:spcPct val="90000"/>
            </a:lnSpc>
            <a:spcBef>
              <a:spcPct val="0"/>
            </a:spcBef>
            <a:spcAft>
              <a:spcPct val="35000"/>
            </a:spcAft>
          </a:pPr>
          <a:endParaRPr lang="lv-LV" sz="2800" kern="1200"/>
        </a:p>
      </dsp:txBody>
      <dsp:txXfrm>
        <a:off x="3211630" y="1223009"/>
        <a:ext cx="720542" cy="815340"/>
      </dsp:txXfrm>
    </dsp:sp>
    <dsp:sp modelId="{9A789BFB-19A9-414D-8597-5E49DF946E02}">
      <dsp:nvSpPr>
        <dsp:cNvPr id="0" name=""/>
        <dsp:cNvSpPr/>
      </dsp:nvSpPr>
      <dsp:spPr>
        <a:xfrm>
          <a:off x="3067757" y="926780"/>
          <a:ext cx="203835" cy="203835"/>
        </a:xfrm>
        <a:prstGeom prst="ellipse">
          <a:avLst/>
        </a:prstGeom>
        <a:solidFill>
          <a:schemeClr val="bg2">
            <a:lumMod val="50000"/>
            <a:alpha val="7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E9F631ED-0833-429C-AD5D-4A8278420722}">
      <dsp:nvSpPr>
        <dsp:cNvPr id="0" name=""/>
        <dsp:cNvSpPr/>
      </dsp:nvSpPr>
      <dsp:spPr>
        <a:xfrm>
          <a:off x="3699322" y="0"/>
          <a:ext cx="720542" cy="81534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99136" tIns="199136" rIns="199136" bIns="199136" numCol="1" spcCol="1270" anchor="b" anchorCtr="0">
          <a:noAutofit/>
        </a:bodyPr>
        <a:lstStyle/>
        <a:p>
          <a:pPr lvl="0" algn="ctr" defTabSz="1244600">
            <a:lnSpc>
              <a:spcPct val="90000"/>
            </a:lnSpc>
            <a:spcBef>
              <a:spcPct val="0"/>
            </a:spcBef>
            <a:spcAft>
              <a:spcPct val="35000"/>
            </a:spcAft>
          </a:pPr>
          <a:endParaRPr lang="lv-LV" sz="2800" kern="1200"/>
        </a:p>
      </dsp:txBody>
      <dsp:txXfrm>
        <a:off x="3699322" y="0"/>
        <a:ext cx="720542" cy="815340"/>
      </dsp:txXfrm>
    </dsp:sp>
    <dsp:sp modelId="{C334BA77-431B-42A1-A055-74883F8E1229}">
      <dsp:nvSpPr>
        <dsp:cNvPr id="0" name=""/>
        <dsp:cNvSpPr/>
      </dsp:nvSpPr>
      <dsp:spPr>
        <a:xfrm>
          <a:off x="3852900" y="917257"/>
          <a:ext cx="203835" cy="203835"/>
        </a:xfrm>
        <a:prstGeom prst="ellipse">
          <a:avLst/>
        </a:prstGeom>
        <a:solidFill>
          <a:schemeClr val="bg2">
            <a:lumMod val="50000"/>
            <a:alpha val="7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C6860DC6-90C5-430E-994E-87A4D48EAB71}">
      <dsp:nvSpPr>
        <dsp:cNvPr id="0" name=""/>
        <dsp:cNvSpPr/>
      </dsp:nvSpPr>
      <dsp:spPr>
        <a:xfrm>
          <a:off x="4455891" y="1223009"/>
          <a:ext cx="720542" cy="81534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99136" tIns="199136" rIns="199136" bIns="199136" numCol="1" spcCol="1270" anchor="t" anchorCtr="0">
          <a:noAutofit/>
        </a:bodyPr>
        <a:lstStyle/>
        <a:p>
          <a:pPr lvl="0" algn="ctr" defTabSz="1244600">
            <a:lnSpc>
              <a:spcPct val="90000"/>
            </a:lnSpc>
            <a:spcBef>
              <a:spcPct val="0"/>
            </a:spcBef>
            <a:spcAft>
              <a:spcPct val="35000"/>
            </a:spcAft>
          </a:pPr>
          <a:endParaRPr lang="lv-LV" sz="2800" kern="1200"/>
        </a:p>
      </dsp:txBody>
      <dsp:txXfrm>
        <a:off x="4455891" y="1223009"/>
        <a:ext cx="720542" cy="815340"/>
      </dsp:txXfrm>
    </dsp:sp>
    <dsp:sp modelId="{9304E732-47AD-44A0-AE49-08CF5F95D292}">
      <dsp:nvSpPr>
        <dsp:cNvPr id="0" name=""/>
        <dsp:cNvSpPr/>
      </dsp:nvSpPr>
      <dsp:spPr>
        <a:xfrm>
          <a:off x="4714245" y="917257"/>
          <a:ext cx="203835" cy="203835"/>
        </a:xfrm>
        <a:prstGeom prst="ellipse">
          <a:avLst/>
        </a:prstGeom>
        <a:solidFill>
          <a:schemeClr val="bg2">
            <a:lumMod val="50000"/>
            <a:alpha val="7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hProcess11">
  <dgm:title val=""/>
  <dgm:desc val=""/>
  <dgm:catLst>
    <dgm:cat type="process" pri="8000"/>
    <dgm:cat type="convert" pri="14000"/>
  </dgm:catLst>
  <dgm:sampData useDef="1">
    <dgm:dataModel>
      <dgm:pt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alg type="composite"/>
    <dgm:shape xmlns:r="http://schemas.openxmlformats.org/officeDocument/2006/relationships" r:blip="">
      <dgm:adjLst/>
    </dgm:shape>
    <dgm:presOf/>
    <dgm:choose name="Name1">
      <dgm:if name="Name2" func="var" arg="dir" op="equ" val="norm">
        <dgm:constrLst>
          <dgm:constr type="w" for="ch" forName="arrow" refType="w"/>
          <dgm:constr type="h" for="ch" forName="arrow" refType="h" fact="0.4"/>
          <dgm:constr type="ctrY" for="ch" forName="arrow" refType="h" fact="0.5"/>
          <dgm:constr type="l" for="ch" forName="arrow"/>
          <dgm:constr type="w" for="ch" forName="points" refType="w" fact="0.9"/>
          <dgm:constr type="h" for="ch" forName="points" refType="h"/>
          <dgm:constr type="t" for="ch" forName="points"/>
          <dgm:constr type="l" for="ch" forName="points"/>
        </dgm:constrLst>
      </dgm:if>
      <dgm:else name="Name3">
        <dgm:constrLst>
          <dgm:constr type="w" for="ch" forName="arrow" refType="w"/>
          <dgm:constr type="h" for="ch" forName="arrow" refType="h" fact="0.4"/>
          <dgm:constr type="ctrY" for="ch" forName="arrow" refType="h" fact="0.5"/>
          <dgm:constr type="r" for="ch" forName="arrow" refType="w"/>
          <dgm:constr type="w" for="ch" forName="points" refType="w" fact="0.9"/>
          <dgm:constr type="h" for="ch" forName="points" refType="h"/>
          <dgm:constr type="t" for="ch" forName="points"/>
          <dgm:constr type="r" for="ch" forName="points" refType="w"/>
        </dgm:constrLst>
      </dgm:else>
    </dgm:choose>
    <dgm:ruleLst/>
    <dgm:layoutNode name="arrow" styleLbl="bgShp">
      <dgm:alg type="sp"/>
      <dgm:choose name="Name4">
        <dgm:if name="Name5" func="var" arg="dir" op="equ" val="norm">
          <dgm:shape xmlns:r="http://schemas.openxmlformats.org/officeDocument/2006/relationships" type="notchedRightArrow" r:blip="">
            <dgm:adjLst/>
          </dgm:shape>
        </dgm:if>
        <dgm:else name="Name6">
          <dgm:shape xmlns:r="http://schemas.openxmlformats.org/officeDocument/2006/relationships" rot="180" type="notchedRightArrow" r:blip="">
            <dgm:adjLst/>
          </dgm:shape>
        </dgm:else>
      </dgm:choose>
      <dgm:presOf/>
      <dgm:constrLst/>
      <dgm:ruleLst/>
    </dgm:layoutNode>
    <dgm:layoutNode name="points">
      <dgm:choose name="Name7">
        <dgm:if name="Name8" func="var" arg="dir" op="equ" val="norm">
          <dgm:alg type="lin">
            <dgm:param type="linDir" val="fromL"/>
          </dgm:alg>
        </dgm:if>
        <dgm:else name="Name9">
          <dgm:alg type="lin">
            <dgm:param type="linDir" val="fromR"/>
          </dgm:alg>
        </dgm:else>
      </dgm:choose>
      <dgm:shape xmlns:r="http://schemas.openxmlformats.org/officeDocument/2006/relationships" r:blip="">
        <dgm:adjLst/>
      </dgm:shape>
      <dgm:presOf/>
      <dgm:constrLst>
        <dgm:constr type="w" for="ch" forName="compositeA" refType="w"/>
        <dgm:constr type="h" for="ch" forName="compositeA" refType="h"/>
        <dgm:constr type="w" for="ch" forName="compositeB" refType="w" refFor="ch" refForName="compositeA" op="equ"/>
        <dgm:constr type="h" for="ch" forName="compositeB" refType="h" refFor="ch" refForName="compositeA" op="equ"/>
        <dgm:constr type="primFontSz" for="des" ptType="node" op="equ" val="65"/>
        <dgm:constr type="w" for="ch" forName="space" refType="w" refFor="ch" refForName="compositeA" op="equ" fact="0.05"/>
      </dgm:constrLst>
      <dgm:ruleLst/>
      <dgm:forEach name="Name10" axis="ch" ptType="node">
        <dgm:choose name="Name11">
          <dgm:if name="Name12" axis="self" ptType="node" func="posOdd" op="equ" val="1">
            <dgm:layoutNode name="compositeA">
              <dgm:alg type="composite"/>
              <dgm:shape xmlns:r="http://schemas.openxmlformats.org/officeDocument/2006/relationships" r:blip="">
                <dgm:adjLst/>
              </dgm:shape>
              <dgm:presOf/>
              <dgm:constrLst>
                <dgm:constr type="w" for="ch" forName="textA" refType="w"/>
                <dgm:constr type="h" for="ch" forName="textA" refType="h" fact="0.4"/>
                <dgm:constr type="t" for="ch" forName="textA"/>
                <dgm:constr type="l" for="ch" forName="textA"/>
                <dgm:constr type="h" for="ch" forName="circleA" refType="h" fact="0.1"/>
                <dgm:constr type="h" for="ch" forName="circleA" refType="w" op="lte"/>
                <dgm:constr type="w" for="ch" forName="circleA" refType="h" refFor="ch" refForName="circleA" op="equ"/>
                <dgm:constr type="ctrY" for="ch" forName="circleA" refType="h" fact="0.5"/>
                <dgm:constr type="ctrX" for="ch" forName="circleA" refType="w" refFor="ch" refForName="textA" fact="0.5"/>
                <dgm:constr type="w" for="ch" forName="spaceA" refType="w"/>
                <dgm:constr type="h" for="ch" forName="spaceA" refType="h" fact="0.4"/>
                <dgm:constr type="b" for="ch" forName="spaceA" refType="h"/>
                <dgm:constr type="l" for="ch" forName="spaceA"/>
              </dgm:constrLst>
              <dgm:ruleLst/>
              <dgm:layoutNode name="textA" styleLbl="revTx">
                <dgm:varLst>
                  <dgm:bulletEnabled val="1"/>
                </dgm:varLst>
                <dgm:alg type="tx">
                  <dgm:param type="txAnchorVert" val="b"/>
                  <dgm:param type="txAnchorVertCh" val="b"/>
                  <dgm:param type="txAnchorHorzCh" val="ctr"/>
                </dgm:alg>
                <dgm:shape xmlns:r="http://schemas.openxmlformats.org/officeDocument/2006/relationships" type="rect" r:blip="">
                  <dgm:adjLst/>
                </dgm:shape>
                <dgm:presOf axis="desOrSelf" ptType="node"/>
                <dgm:constrLst/>
                <dgm:ruleLst>
                  <dgm:rule type="primFontSz" val="5" fact="NaN" max="NaN"/>
                </dgm:ruleLst>
              </dgm:layoutNode>
              <dgm:layoutNode name="circleA">
                <dgm:alg type="sp"/>
                <dgm:shape xmlns:r="http://schemas.openxmlformats.org/officeDocument/2006/relationships" type="ellipse" r:blip="">
                  <dgm:adjLst/>
                </dgm:shape>
                <dgm:presOf/>
                <dgm:constrLst/>
                <dgm:ruleLst/>
              </dgm:layoutNode>
              <dgm:layoutNode name="spaceA">
                <dgm:alg type="sp"/>
                <dgm:shape xmlns:r="http://schemas.openxmlformats.org/officeDocument/2006/relationships" r:blip="">
                  <dgm:adjLst/>
                </dgm:shape>
                <dgm:presOf/>
                <dgm:constrLst/>
                <dgm:ruleLst/>
              </dgm:layoutNode>
            </dgm:layoutNode>
          </dgm:if>
          <dgm:else name="Name13">
            <dgm:layoutNode name="compositeB">
              <dgm:alg type="composite"/>
              <dgm:shape xmlns:r="http://schemas.openxmlformats.org/officeDocument/2006/relationships" r:blip="">
                <dgm:adjLst/>
              </dgm:shape>
              <dgm:presOf/>
              <dgm:constrLst>
                <dgm:constr type="w" for="ch" forName="textB" refType="w"/>
                <dgm:constr type="h" for="ch" forName="textB" refType="h" fact="0.4"/>
                <dgm:constr type="b" for="ch" forName="textB" refType="h"/>
                <dgm:constr type="l" for="ch" forName="textB"/>
                <dgm:constr type="h" for="ch" forName="circleB" refType="h" fact="0.1"/>
                <dgm:constr type="w" for="ch" forName="circleB" refType="h" refFor="ch" refForName="circleB" op="equ"/>
                <dgm:constr type="h" for="ch" forName="circleB" refType="w" op="lte"/>
                <dgm:constr type="ctrY" for="ch" forName="circleB" refType="h" fact="0.5"/>
                <dgm:constr type="ctrX" for="ch" forName="circleB" refType="w" refFor="ch" refForName="textB" fact="0.5"/>
                <dgm:constr type="w" for="ch" forName="spaceB" refType="w"/>
                <dgm:constr type="h" for="ch" forName="spaceB" refType="h" fact="0.4"/>
                <dgm:constr type="t" for="ch" forName="spaceB"/>
                <dgm:constr type="l" for="ch" forName="spaceB"/>
              </dgm:constrLst>
              <dgm:ruleLst/>
              <dgm:layoutNode name="textB" styleLbl="revTx">
                <dgm:varLst>
                  <dgm:bulletEnabled val="1"/>
                </dgm:varLst>
                <dgm:alg type="tx">
                  <dgm:param type="txAnchorVert" val="t"/>
                  <dgm:param type="txAnchorVertCh" val="t"/>
                  <dgm:param type="txAnchorHorzCh" val="ctr"/>
                </dgm:alg>
                <dgm:shape xmlns:r="http://schemas.openxmlformats.org/officeDocument/2006/relationships" type="rect" r:blip="">
                  <dgm:adjLst/>
                </dgm:shape>
                <dgm:presOf axis="desOrSelf" ptType="node"/>
                <dgm:constrLst/>
                <dgm:ruleLst>
                  <dgm:rule type="primFontSz" val="5" fact="NaN" max="NaN"/>
                </dgm:ruleLst>
              </dgm:layoutNode>
              <dgm:layoutNode name="circleB">
                <dgm:alg type="sp"/>
                <dgm:shape xmlns:r="http://schemas.openxmlformats.org/officeDocument/2006/relationships" type="ellipse" r:blip="">
                  <dgm:adjLst/>
                </dgm:shape>
                <dgm:presOf/>
                <dgm:constrLst/>
                <dgm:ruleLst/>
              </dgm:layoutNode>
              <dgm:layoutNode name="spaceB">
                <dgm:alg type="sp"/>
                <dgm:shape xmlns:r="http://schemas.openxmlformats.org/officeDocument/2006/relationships" r:blip="">
                  <dgm:adjLst/>
                </dgm:shape>
                <dgm:presOf/>
                <dgm:constrLst/>
                <dgm:ruleLst/>
              </dgm:layoutNode>
            </dgm:layoutNode>
          </dgm:else>
        </dgm:choose>
        <dgm:forEach name="Name14" axis="followSib" ptType="sibTrans" cnt="1">
          <dgm:layoutNode name="space">
            <dgm:alg type="sp"/>
            <dgm:shape xmlns:r="http://schemas.openxmlformats.org/officeDocument/2006/relationships" r:blip="">
              <dgm:adjLst/>
            </dgm:shape>
            <dgm:presOf/>
            <dgm:constrLst/>
            <dgm:ruleLst/>
          </dgm:layoutNode>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rawings/drawing1.xml><?xml version="1.0" encoding="utf-8"?>
<c:userShapes xmlns:c="http://schemas.openxmlformats.org/drawingml/2006/chart">
  <cdr:relSizeAnchor xmlns:cdr="http://schemas.openxmlformats.org/drawingml/2006/chartDrawing">
    <cdr:from>
      <cdr:x>0.7661</cdr:x>
      <cdr:y>0.06918</cdr:y>
    </cdr:from>
    <cdr:to>
      <cdr:x>0.91186</cdr:x>
      <cdr:y>0.15723</cdr:y>
    </cdr:to>
    <cdr:sp macro="" textlink="">
      <cdr:nvSpPr>
        <cdr:cNvPr id="2" name="TextBox 1"/>
        <cdr:cNvSpPr txBox="1"/>
      </cdr:nvSpPr>
      <cdr:spPr>
        <a:xfrm xmlns:a="http://schemas.openxmlformats.org/drawingml/2006/main">
          <a:off x="5006162" y="162442"/>
          <a:ext cx="952500" cy="206744"/>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lv-LV"/>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7215C6-113E-4E8B-9E2D-2FFF71AC72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252</TotalTime>
  <Pages>14</Pages>
  <Words>21527</Words>
  <Characters>12271</Characters>
  <Application>Microsoft Office Word</Application>
  <DocSecurity>0</DocSecurity>
  <Lines>102</Lines>
  <Paragraphs>67</Paragraphs>
  <ScaleCrop>false</ScaleCrop>
  <HeadingPairs>
    <vt:vector size="2" baseType="variant">
      <vt:variant>
        <vt:lpstr>Title</vt:lpstr>
      </vt:variant>
      <vt:variant>
        <vt:i4>1</vt:i4>
      </vt:variant>
    </vt:vector>
  </HeadingPairs>
  <TitlesOfParts>
    <vt:vector size="1" baseType="lpstr">
      <vt:lpstr>Par Latvijas elektroenerģijas tirgus pilnīgu atvēršanu</vt:lpstr>
    </vt:vector>
  </TitlesOfParts>
  <Company>LR Ekonomikas ministrija</Company>
  <LinksUpToDate>false</LinksUpToDate>
  <CharactersWithSpaces>33731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Latvijas elektroenerģijas tirgus pilnīgu atvēršanu</dc:title>
  <dc:subject>Informatīvais ziņojums</dc:subject>
  <dc:creator>Jānis Bunkovskis</dc:creator>
  <cp:keywords/>
  <dc:description>janis.bunkovskis@em.gov.lv
67013170</dc:description>
  <cp:lastModifiedBy>BunkovskisJ</cp:lastModifiedBy>
  <cp:revision>18</cp:revision>
  <cp:lastPrinted>2012-11-08T09:23:00Z</cp:lastPrinted>
  <dcterms:created xsi:type="dcterms:W3CDTF">2012-10-31T07:36:00Z</dcterms:created>
  <dcterms:modified xsi:type="dcterms:W3CDTF">2012-11-08T09:53:00Z</dcterms:modified>
</cp:coreProperties>
</file>