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E7" w:rsidRPr="00025B33" w:rsidRDefault="00E668E7" w:rsidP="006031F7">
      <w:pPr>
        <w:pStyle w:val="Header"/>
        <w:tabs>
          <w:tab w:val="left" w:pos="720"/>
        </w:tabs>
        <w:jc w:val="center"/>
        <w:rPr>
          <w:b/>
          <w:smallCaps/>
          <w:sz w:val="28"/>
          <w:szCs w:val="28"/>
        </w:rPr>
      </w:pPr>
      <w:r w:rsidRPr="00025B33">
        <w:rPr>
          <w:b/>
          <w:smallCaps/>
          <w:sz w:val="28"/>
          <w:szCs w:val="28"/>
        </w:rPr>
        <w:t xml:space="preserve">Informatīvais </w:t>
      </w:r>
      <w:smartTag w:uri="schemas-tilde-lv/tildestengine" w:element="veidnes">
        <w:smartTagPr>
          <w:attr w:name="baseform" w:val="ziņojum|s"/>
          <w:attr w:name="id" w:val="-1"/>
          <w:attr w:name="text" w:val="ziņojums"/>
        </w:smartTagPr>
        <w:r w:rsidRPr="00025B33">
          <w:rPr>
            <w:b/>
            <w:smallCaps/>
            <w:sz w:val="28"/>
            <w:szCs w:val="28"/>
          </w:rPr>
          <w:t>ziņojums</w:t>
        </w:r>
      </w:smartTag>
    </w:p>
    <w:p w:rsidR="00E668E7" w:rsidRPr="00025B33" w:rsidRDefault="00E668E7" w:rsidP="006031F7">
      <w:pPr>
        <w:pStyle w:val="Header"/>
        <w:tabs>
          <w:tab w:val="left" w:pos="720"/>
        </w:tabs>
        <w:jc w:val="center"/>
        <w:rPr>
          <w:b/>
          <w:sz w:val="28"/>
          <w:szCs w:val="28"/>
        </w:rPr>
      </w:pPr>
    </w:p>
    <w:p w:rsidR="00E668E7" w:rsidRPr="00025B33" w:rsidRDefault="00E668E7" w:rsidP="006031F7">
      <w:pPr>
        <w:jc w:val="center"/>
        <w:rPr>
          <w:b/>
          <w:sz w:val="28"/>
          <w:szCs w:val="28"/>
        </w:rPr>
      </w:pPr>
      <w:bookmarkStart w:id="0" w:name="OLE_LINK3"/>
      <w:bookmarkStart w:id="1" w:name="OLE_LINK4"/>
      <w:r w:rsidRPr="00025B33">
        <w:rPr>
          <w:b/>
          <w:sz w:val="28"/>
          <w:szCs w:val="28"/>
        </w:rPr>
        <w:t>par Latvijas</w:t>
      </w:r>
      <w:r w:rsidR="003B32E1">
        <w:rPr>
          <w:b/>
          <w:sz w:val="28"/>
          <w:szCs w:val="28"/>
        </w:rPr>
        <w:t xml:space="preserve"> Republikas</w:t>
      </w:r>
      <w:r w:rsidRPr="00025B33">
        <w:rPr>
          <w:b/>
          <w:sz w:val="28"/>
          <w:szCs w:val="28"/>
        </w:rPr>
        <w:t xml:space="preserve"> </w:t>
      </w:r>
      <w:r w:rsidR="002357E6">
        <w:rPr>
          <w:b/>
          <w:sz w:val="28"/>
          <w:szCs w:val="28"/>
        </w:rPr>
        <w:t>nostāju</w:t>
      </w:r>
      <w:r w:rsidRPr="00025B33">
        <w:rPr>
          <w:b/>
          <w:sz w:val="28"/>
          <w:szCs w:val="28"/>
        </w:rPr>
        <w:t xml:space="preserve"> Eiropas Savienības Konkurētspējas ministru padomes 201</w:t>
      </w:r>
      <w:r w:rsidR="007A66B5" w:rsidRPr="00025B33">
        <w:rPr>
          <w:b/>
          <w:sz w:val="28"/>
          <w:szCs w:val="28"/>
        </w:rPr>
        <w:t>2</w:t>
      </w:r>
      <w:r w:rsidRPr="00025B33">
        <w:rPr>
          <w:b/>
          <w:sz w:val="28"/>
          <w:szCs w:val="28"/>
        </w:rPr>
        <w:t xml:space="preserve">.gada </w:t>
      </w:r>
      <w:r w:rsidR="00C6391A">
        <w:rPr>
          <w:b/>
          <w:sz w:val="28"/>
          <w:szCs w:val="28"/>
        </w:rPr>
        <w:t>11</w:t>
      </w:r>
      <w:r w:rsidRPr="00025B33">
        <w:rPr>
          <w:b/>
          <w:sz w:val="28"/>
          <w:szCs w:val="28"/>
        </w:rPr>
        <w:t>.</w:t>
      </w:r>
      <w:r w:rsidR="00C6391A">
        <w:rPr>
          <w:b/>
          <w:sz w:val="28"/>
          <w:szCs w:val="28"/>
        </w:rPr>
        <w:t>oktobra</w:t>
      </w:r>
      <w:r w:rsidRPr="00025B33">
        <w:rPr>
          <w:b/>
          <w:sz w:val="28"/>
          <w:szCs w:val="28"/>
        </w:rPr>
        <w:t xml:space="preserve"> sanāksmē izskat</w:t>
      </w:r>
      <w:r w:rsidR="00505AE3">
        <w:rPr>
          <w:b/>
          <w:sz w:val="28"/>
          <w:szCs w:val="28"/>
        </w:rPr>
        <w:t>āmajos Ekonomikas ministrijas,</w:t>
      </w:r>
      <w:r w:rsidRPr="00025B33">
        <w:rPr>
          <w:b/>
          <w:sz w:val="28"/>
          <w:szCs w:val="28"/>
        </w:rPr>
        <w:t xml:space="preserve"> </w:t>
      </w:r>
      <w:r w:rsidR="00C6391A">
        <w:rPr>
          <w:b/>
          <w:sz w:val="28"/>
          <w:szCs w:val="28"/>
        </w:rPr>
        <w:t>Kultūras</w:t>
      </w:r>
      <w:r w:rsidR="00505AE3">
        <w:rPr>
          <w:b/>
          <w:sz w:val="28"/>
          <w:szCs w:val="28"/>
        </w:rPr>
        <w:t xml:space="preserve"> ministrijas un Izglītības un zinātnes ministrijas </w:t>
      </w:r>
      <w:r w:rsidRPr="00025B33">
        <w:rPr>
          <w:b/>
          <w:sz w:val="28"/>
          <w:szCs w:val="28"/>
        </w:rPr>
        <w:t>kompetences jautājumos</w:t>
      </w:r>
    </w:p>
    <w:bookmarkEnd w:id="0"/>
    <w:bookmarkEnd w:id="1"/>
    <w:p w:rsidR="00E668E7" w:rsidRPr="00025B33" w:rsidRDefault="00E668E7" w:rsidP="006031F7">
      <w:pPr>
        <w:spacing w:after="120"/>
        <w:jc w:val="both"/>
        <w:rPr>
          <w:sz w:val="28"/>
          <w:szCs w:val="28"/>
        </w:rPr>
      </w:pPr>
    </w:p>
    <w:p w:rsidR="00E668E7" w:rsidRPr="00025B33" w:rsidRDefault="00E668E7" w:rsidP="006031F7">
      <w:pPr>
        <w:spacing w:before="120" w:after="120"/>
        <w:rPr>
          <w:b/>
          <w:sz w:val="28"/>
          <w:szCs w:val="28"/>
        </w:rPr>
      </w:pPr>
      <w:r w:rsidRPr="00025B33">
        <w:rPr>
          <w:b/>
          <w:sz w:val="28"/>
          <w:szCs w:val="28"/>
        </w:rPr>
        <w:t>1. Konkurētspējas ministru padomes sanāksmes darba kārtība</w:t>
      </w:r>
    </w:p>
    <w:p w:rsidR="00897AEF" w:rsidRPr="00025B33" w:rsidRDefault="00897AEF" w:rsidP="004F0096">
      <w:pPr>
        <w:tabs>
          <w:tab w:val="left" w:pos="9288"/>
        </w:tabs>
        <w:ind w:firstLine="851"/>
        <w:jc w:val="both"/>
        <w:rPr>
          <w:sz w:val="28"/>
          <w:szCs w:val="28"/>
        </w:rPr>
      </w:pPr>
      <w:r w:rsidRPr="00025B33">
        <w:rPr>
          <w:sz w:val="28"/>
          <w:szCs w:val="28"/>
        </w:rPr>
        <w:t>201</w:t>
      </w:r>
      <w:r w:rsidR="00E730E6" w:rsidRPr="00025B33">
        <w:rPr>
          <w:sz w:val="28"/>
          <w:szCs w:val="28"/>
        </w:rPr>
        <w:t>2</w:t>
      </w:r>
      <w:r w:rsidR="00505AE3">
        <w:rPr>
          <w:sz w:val="28"/>
          <w:szCs w:val="28"/>
        </w:rPr>
        <w:t>.</w:t>
      </w:r>
      <w:r w:rsidRPr="00025B33">
        <w:rPr>
          <w:sz w:val="28"/>
          <w:szCs w:val="28"/>
        </w:rPr>
        <w:t xml:space="preserve">gada </w:t>
      </w:r>
      <w:r w:rsidR="00505AE3">
        <w:rPr>
          <w:sz w:val="28"/>
          <w:szCs w:val="28"/>
        </w:rPr>
        <w:t>11</w:t>
      </w:r>
      <w:r w:rsidRPr="00025B33">
        <w:rPr>
          <w:sz w:val="28"/>
          <w:szCs w:val="28"/>
        </w:rPr>
        <w:t>.</w:t>
      </w:r>
      <w:r w:rsidR="00505AE3">
        <w:rPr>
          <w:sz w:val="28"/>
          <w:szCs w:val="28"/>
        </w:rPr>
        <w:t>oktobrī</w:t>
      </w:r>
      <w:r w:rsidRPr="00025B33">
        <w:rPr>
          <w:sz w:val="28"/>
          <w:szCs w:val="28"/>
        </w:rPr>
        <w:t xml:space="preserve"> </w:t>
      </w:r>
      <w:r w:rsidR="00505AE3">
        <w:rPr>
          <w:sz w:val="28"/>
          <w:szCs w:val="28"/>
        </w:rPr>
        <w:t>Luksemburgā</w:t>
      </w:r>
      <w:r w:rsidRPr="00025B33">
        <w:rPr>
          <w:sz w:val="28"/>
          <w:szCs w:val="28"/>
        </w:rPr>
        <w:t xml:space="preserve"> notiks Eiropas Savienības (turpmāk – ES) Konkurētspējas ministru padomes sanāksme (turpmāk – </w:t>
      </w:r>
      <w:r w:rsidR="0013164E">
        <w:rPr>
          <w:sz w:val="28"/>
          <w:szCs w:val="28"/>
        </w:rPr>
        <w:t>s</w:t>
      </w:r>
      <w:r w:rsidRPr="00025B33">
        <w:rPr>
          <w:sz w:val="28"/>
          <w:szCs w:val="28"/>
        </w:rPr>
        <w:t>anāksme). Paredzams, ka sanāksmes gaitā tiks izskatīti šādi Ekonomikas ministrijas (</w:t>
      </w:r>
      <w:r w:rsidR="00E730E6" w:rsidRPr="00025B33">
        <w:rPr>
          <w:sz w:val="28"/>
          <w:szCs w:val="28"/>
        </w:rPr>
        <w:t xml:space="preserve">turpmāk - </w:t>
      </w:r>
      <w:r w:rsidR="00505AE3">
        <w:rPr>
          <w:sz w:val="28"/>
          <w:szCs w:val="28"/>
        </w:rPr>
        <w:t>EM),</w:t>
      </w:r>
      <w:r w:rsidRPr="00025B33">
        <w:rPr>
          <w:sz w:val="28"/>
          <w:szCs w:val="28"/>
        </w:rPr>
        <w:t xml:space="preserve"> </w:t>
      </w:r>
      <w:r w:rsidR="00505AE3">
        <w:rPr>
          <w:sz w:val="28"/>
          <w:szCs w:val="28"/>
        </w:rPr>
        <w:t>Kultūras ministrijas</w:t>
      </w:r>
      <w:r w:rsidRPr="00025B33">
        <w:rPr>
          <w:sz w:val="28"/>
          <w:szCs w:val="28"/>
        </w:rPr>
        <w:t xml:space="preserve"> (</w:t>
      </w:r>
      <w:r w:rsidR="00E730E6" w:rsidRPr="00025B33">
        <w:rPr>
          <w:sz w:val="28"/>
          <w:szCs w:val="28"/>
        </w:rPr>
        <w:t xml:space="preserve">turpmāk - </w:t>
      </w:r>
      <w:r w:rsidR="00505AE3">
        <w:rPr>
          <w:sz w:val="28"/>
          <w:szCs w:val="28"/>
        </w:rPr>
        <w:t>KM</w:t>
      </w:r>
      <w:r w:rsidRPr="00025B33">
        <w:rPr>
          <w:sz w:val="28"/>
          <w:szCs w:val="28"/>
        </w:rPr>
        <w:t>)</w:t>
      </w:r>
      <w:r w:rsidR="00505AE3">
        <w:rPr>
          <w:sz w:val="28"/>
          <w:szCs w:val="28"/>
        </w:rPr>
        <w:t xml:space="preserve"> un Izglītības un zinātnes ministrijas </w:t>
      </w:r>
      <w:r w:rsidR="00505AE3" w:rsidRPr="00025B33">
        <w:rPr>
          <w:sz w:val="28"/>
          <w:szCs w:val="28"/>
        </w:rPr>
        <w:t xml:space="preserve">(turpmāk - </w:t>
      </w:r>
      <w:r w:rsidR="00505AE3">
        <w:rPr>
          <w:sz w:val="28"/>
          <w:szCs w:val="28"/>
        </w:rPr>
        <w:t>IZM)</w:t>
      </w:r>
      <w:r w:rsidRPr="00025B33">
        <w:rPr>
          <w:sz w:val="28"/>
          <w:szCs w:val="28"/>
        </w:rPr>
        <w:t xml:space="preserve"> kompetencē esoši jautājumi:</w:t>
      </w:r>
    </w:p>
    <w:p w:rsidR="007A1C1C" w:rsidRPr="00025B33" w:rsidRDefault="007A1C1C" w:rsidP="004F0096">
      <w:pPr>
        <w:tabs>
          <w:tab w:val="left" w:pos="9288"/>
        </w:tabs>
        <w:ind w:firstLine="851"/>
        <w:jc w:val="both"/>
        <w:rPr>
          <w:sz w:val="28"/>
          <w:szCs w:val="28"/>
        </w:rPr>
      </w:pPr>
    </w:p>
    <w:p w:rsidR="00897AEF" w:rsidRPr="00487328" w:rsidRDefault="00897AEF" w:rsidP="006031F7">
      <w:pPr>
        <w:pBdr>
          <w:bottom w:val="single" w:sz="4" w:space="1" w:color="auto"/>
        </w:pBdr>
        <w:tabs>
          <w:tab w:val="left" w:pos="1290"/>
        </w:tabs>
        <w:autoSpaceDE w:val="0"/>
        <w:autoSpaceDN w:val="0"/>
        <w:adjustRightInd w:val="0"/>
        <w:jc w:val="both"/>
        <w:rPr>
          <w:sz w:val="28"/>
          <w:szCs w:val="28"/>
          <w:highlight w:val="yellow"/>
        </w:rPr>
      </w:pPr>
      <w:r w:rsidRPr="00227FFB">
        <w:rPr>
          <w:b/>
          <w:sz w:val="28"/>
          <w:szCs w:val="28"/>
        </w:rPr>
        <w:t>1.</w:t>
      </w:r>
      <w:r w:rsidR="00B03397" w:rsidRPr="00227FFB">
        <w:rPr>
          <w:b/>
          <w:sz w:val="28"/>
          <w:szCs w:val="28"/>
        </w:rPr>
        <w:t>1.</w:t>
      </w:r>
      <w:r w:rsidRPr="00227FFB">
        <w:rPr>
          <w:b/>
          <w:sz w:val="28"/>
          <w:szCs w:val="28"/>
        </w:rPr>
        <w:t xml:space="preserve"> </w:t>
      </w:r>
      <w:r w:rsidR="00227FFB" w:rsidRPr="00227FFB">
        <w:rPr>
          <w:b/>
          <w:sz w:val="28"/>
          <w:szCs w:val="28"/>
        </w:rPr>
        <w:t>Komisijas paziņojums: Eiropas Patērētāju tiesību aizsardzības programma paļāvības un izaugsmes veicināšanai</w:t>
      </w:r>
      <w:r w:rsidR="004F0096">
        <w:rPr>
          <w:b/>
          <w:sz w:val="28"/>
          <w:szCs w:val="28"/>
        </w:rPr>
        <w:t xml:space="preserve"> </w:t>
      </w:r>
      <w:r w:rsidR="004F0096" w:rsidRPr="004F0096">
        <w:rPr>
          <w:i/>
          <w:sz w:val="28"/>
          <w:szCs w:val="28"/>
        </w:rPr>
        <w:t>(EM kompetence)</w:t>
      </w:r>
    </w:p>
    <w:p w:rsidR="00E730E6" w:rsidRPr="00227FFB" w:rsidRDefault="00897AEF" w:rsidP="006031F7">
      <w:pPr>
        <w:tabs>
          <w:tab w:val="left" w:pos="284"/>
        </w:tabs>
        <w:jc w:val="both"/>
        <w:rPr>
          <w:i/>
          <w:sz w:val="28"/>
          <w:szCs w:val="28"/>
        </w:rPr>
      </w:pPr>
      <w:r w:rsidRPr="00227FFB">
        <w:rPr>
          <w:i/>
          <w:sz w:val="28"/>
          <w:szCs w:val="28"/>
        </w:rPr>
        <w:t xml:space="preserve">- </w:t>
      </w:r>
      <w:r w:rsidR="00227FFB" w:rsidRPr="00227FFB">
        <w:rPr>
          <w:i/>
          <w:sz w:val="28"/>
          <w:szCs w:val="28"/>
        </w:rPr>
        <w:t>Padomes rezolūcijas pieņemšana</w:t>
      </w:r>
    </w:p>
    <w:p w:rsidR="00897AEF" w:rsidRPr="00487328" w:rsidRDefault="00897AEF" w:rsidP="006031F7">
      <w:pPr>
        <w:tabs>
          <w:tab w:val="left" w:pos="284"/>
        </w:tabs>
        <w:ind w:firstLine="851"/>
        <w:jc w:val="both"/>
        <w:rPr>
          <w:sz w:val="28"/>
          <w:szCs w:val="28"/>
          <w:highlight w:val="yellow"/>
        </w:rPr>
      </w:pPr>
    </w:p>
    <w:p w:rsidR="004C1552" w:rsidRDefault="00227FFB" w:rsidP="002902E4">
      <w:pPr>
        <w:jc w:val="both"/>
        <w:rPr>
          <w:sz w:val="28"/>
          <w:szCs w:val="28"/>
        </w:rPr>
      </w:pPr>
      <w:r>
        <w:rPr>
          <w:sz w:val="28"/>
          <w:szCs w:val="28"/>
        </w:rPr>
        <w:tab/>
      </w:r>
      <w:proofErr w:type="spellStart"/>
      <w:r w:rsidRPr="00227FFB">
        <w:rPr>
          <w:sz w:val="28"/>
          <w:szCs w:val="28"/>
        </w:rPr>
        <w:t>Š.g</w:t>
      </w:r>
      <w:proofErr w:type="spellEnd"/>
      <w:r w:rsidRPr="00227FFB">
        <w:rPr>
          <w:sz w:val="28"/>
          <w:szCs w:val="28"/>
        </w:rPr>
        <w:t>. 22.maijā Eiropas Komisija</w:t>
      </w:r>
      <w:r w:rsidR="003B0E9A">
        <w:rPr>
          <w:sz w:val="28"/>
          <w:szCs w:val="28"/>
        </w:rPr>
        <w:t xml:space="preserve"> (turpmāk - Komisija)</w:t>
      </w:r>
      <w:r w:rsidRPr="00227FFB">
        <w:rPr>
          <w:sz w:val="28"/>
          <w:szCs w:val="28"/>
        </w:rPr>
        <w:t xml:space="preserve"> publicēja Komisijas paziņojumu Eiropas Parlamentam, Padomei, Ekonomikas un sociālo lietu komitejai un Reģionu komitejai </w:t>
      </w:r>
      <w:r w:rsidRPr="00EA682D">
        <w:rPr>
          <w:i/>
          <w:sz w:val="28"/>
          <w:szCs w:val="28"/>
        </w:rPr>
        <w:t>„Eiropas Patērētāju tiesību aizsardzības programma paļāvības un izaugsmes veicināšanai”</w:t>
      </w:r>
      <w:r w:rsidRPr="00227FFB">
        <w:rPr>
          <w:sz w:val="28"/>
          <w:szCs w:val="28"/>
        </w:rPr>
        <w:t>, kuras mērķis ir noteikt būtiskākos pasākumus, kas nepieciešami, lai nodrošinātu patērētāju tiesības un vairotu viņu paļāvību, ņemot vērā, ka patēriņa izdevumi veido 56 % no ES IKP, un tie ir būtiski stratēģijas “Eiropa 2020” mērķa –gudras, ilgtspējīgas un iekļaujošas izaugsmes – sasniegšanai.</w:t>
      </w:r>
    </w:p>
    <w:p w:rsidR="002902E4" w:rsidRDefault="002902E4" w:rsidP="002902E4">
      <w:pPr>
        <w:jc w:val="both"/>
        <w:rPr>
          <w:sz w:val="28"/>
          <w:szCs w:val="28"/>
        </w:rPr>
      </w:pPr>
      <w:r>
        <w:rPr>
          <w:sz w:val="28"/>
          <w:szCs w:val="28"/>
        </w:rPr>
        <w:tab/>
        <w:t>N</w:t>
      </w:r>
      <w:r w:rsidRPr="002902E4">
        <w:rPr>
          <w:sz w:val="28"/>
          <w:szCs w:val="28"/>
        </w:rPr>
        <w:t xml:space="preserve">eraugoties uz ES jau sasniegto patērētāju tiesību aizsardzības augsto līmeni, realitātē situāciju ES patērētājiem vēl ir iespējams uzlabot. Programma min vairākas jaunas problēmas, jo īpaši tādas, kas izriet no jaunu tehnoloģiju attīstības, </w:t>
      </w:r>
      <w:proofErr w:type="spellStart"/>
      <w:r w:rsidRPr="002902E4">
        <w:rPr>
          <w:sz w:val="28"/>
          <w:szCs w:val="28"/>
        </w:rPr>
        <w:t>ilgtnespējīgiem</w:t>
      </w:r>
      <w:proofErr w:type="spellEnd"/>
      <w:r w:rsidRPr="002902E4">
        <w:rPr>
          <w:sz w:val="28"/>
          <w:szCs w:val="28"/>
        </w:rPr>
        <w:t xml:space="preserve"> patēriņa modeļiem vai sociālās atstumtības</w:t>
      </w:r>
      <w:r>
        <w:rPr>
          <w:sz w:val="28"/>
          <w:szCs w:val="28"/>
        </w:rPr>
        <w:t>:</w:t>
      </w:r>
    </w:p>
    <w:p w:rsidR="002902E4" w:rsidRPr="002902E4" w:rsidRDefault="002902E4" w:rsidP="002902E4">
      <w:pPr>
        <w:pStyle w:val="ListParagraph"/>
        <w:numPr>
          <w:ilvl w:val="0"/>
          <w:numId w:val="8"/>
        </w:numPr>
        <w:jc w:val="both"/>
        <w:rPr>
          <w:sz w:val="28"/>
          <w:szCs w:val="28"/>
        </w:rPr>
      </w:pPr>
      <w:r w:rsidRPr="002902E4">
        <w:rPr>
          <w:sz w:val="28"/>
          <w:szCs w:val="28"/>
        </w:rPr>
        <w:t xml:space="preserve">Problēmas saistībā ar ražojumu, </w:t>
      </w:r>
      <w:r w:rsidR="00645A81">
        <w:rPr>
          <w:sz w:val="28"/>
          <w:szCs w:val="28"/>
        </w:rPr>
        <w:t>pakalpojumu un pārtikas drošumu.</w:t>
      </w:r>
    </w:p>
    <w:p w:rsidR="002902E4" w:rsidRPr="002902E4" w:rsidRDefault="002902E4" w:rsidP="002902E4">
      <w:pPr>
        <w:pStyle w:val="ListParagraph"/>
        <w:numPr>
          <w:ilvl w:val="0"/>
          <w:numId w:val="8"/>
        </w:numPr>
        <w:jc w:val="both"/>
        <w:rPr>
          <w:sz w:val="28"/>
          <w:szCs w:val="28"/>
        </w:rPr>
      </w:pPr>
      <w:r w:rsidRPr="002902E4">
        <w:rPr>
          <w:sz w:val="28"/>
          <w:szCs w:val="28"/>
        </w:rPr>
        <w:t>Ekonomiskās un sabiedriskās pārmaiņas – digitālā revolūcija, ilgtspējīgs patēriņš,   sociālā atstumtība, mazāk aizs</w:t>
      </w:r>
      <w:r w:rsidR="00645A81">
        <w:rPr>
          <w:sz w:val="28"/>
          <w:szCs w:val="28"/>
        </w:rPr>
        <w:t>argāti patērētāji un pieejamība.</w:t>
      </w:r>
    </w:p>
    <w:p w:rsidR="002902E4" w:rsidRPr="002902E4" w:rsidRDefault="002902E4" w:rsidP="002902E4">
      <w:pPr>
        <w:pStyle w:val="ListParagraph"/>
        <w:numPr>
          <w:ilvl w:val="0"/>
          <w:numId w:val="8"/>
        </w:numPr>
        <w:jc w:val="both"/>
        <w:rPr>
          <w:sz w:val="28"/>
          <w:szCs w:val="28"/>
        </w:rPr>
      </w:pPr>
      <w:r w:rsidRPr="002902E4">
        <w:rPr>
          <w:sz w:val="28"/>
          <w:szCs w:val="28"/>
        </w:rPr>
        <w:t>Informācija</w:t>
      </w:r>
      <w:r w:rsidR="00645A81">
        <w:rPr>
          <w:sz w:val="28"/>
          <w:szCs w:val="28"/>
        </w:rPr>
        <w:t>s pārslodze un zināšanu trūkums.</w:t>
      </w:r>
    </w:p>
    <w:p w:rsidR="002902E4" w:rsidRPr="002902E4" w:rsidRDefault="002902E4" w:rsidP="002902E4">
      <w:pPr>
        <w:pStyle w:val="ListParagraph"/>
        <w:numPr>
          <w:ilvl w:val="0"/>
          <w:numId w:val="8"/>
        </w:numPr>
        <w:jc w:val="both"/>
        <w:rPr>
          <w:sz w:val="28"/>
          <w:szCs w:val="28"/>
        </w:rPr>
      </w:pPr>
      <w:r w:rsidRPr="002902E4">
        <w:rPr>
          <w:sz w:val="28"/>
          <w:szCs w:val="28"/>
        </w:rPr>
        <w:t>Tiesības rea</w:t>
      </w:r>
      <w:r w:rsidR="00645A81">
        <w:rPr>
          <w:sz w:val="28"/>
          <w:szCs w:val="28"/>
        </w:rPr>
        <w:t>litātē netiek pilnībā ievērotas.</w:t>
      </w:r>
    </w:p>
    <w:p w:rsidR="002902E4" w:rsidRPr="002902E4" w:rsidRDefault="002902E4" w:rsidP="002902E4">
      <w:pPr>
        <w:pStyle w:val="ListParagraph"/>
        <w:numPr>
          <w:ilvl w:val="0"/>
          <w:numId w:val="8"/>
        </w:numPr>
        <w:jc w:val="both"/>
        <w:rPr>
          <w:sz w:val="28"/>
          <w:szCs w:val="28"/>
        </w:rPr>
      </w:pPr>
      <w:r w:rsidRPr="002902E4">
        <w:rPr>
          <w:sz w:val="28"/>
          <w:szCs w:val="28"/>
        </w:rPr>
        <w:t>Specifiskas problēmas galvenajās nozarēs.</w:t>
      </w:r>
    </w:p>
    <w:p w:rsidR="00227FFB" w:rsidRDefault="002902E4" w:rsidP="002902E4">
      <w:pPr>
        <w:spacing w:after="120"/>
        <w:jc w:val="both"/>
        <w:rPr>
          <w:rFonts w:eastAsia="Calibri"/>
          <w:sz w:val="28"/>
          <w:szCs w:val="28"/>
          <w:lang w:eastAsia="en-US"/>
        </w:rPr>
      </w:pPr>
      <w:r>
        <w:rPr>
          <w:rFonts w:eastAsia="Calibri"/>
          <w:sz w:val="28"/>
          <w:szCs w:val="28"/>
          <w:lang w:eastAsia="en-US"/>
        </w:rPr>
        <w:tab/>
      </w:r>
      <w:r w:rsidRPr="002902E4">
        <w:rPr>
          <w:rFonts w:eastAsia="Calibri"/>
          <w:sz w:val="28"/>
          <w:szCs w:val="28"/>
          <w:lang w:eastAsia="en-US"/>
        </w:rPr>
        <w:t>L</w:t>
      </w:r>
      <w:r w:rsidR="0013164E">
        <w:rPr>
          <w:rFonts w:eastAsia="Calibri"/>
          <w:sz w:val="28"/>
          <w:szCs w:val="28"/>
          <w:lang w:eastAsia="en-US"/>
        </w:rPr>
        <w:t>ai novērstu minētās problēmas, p</w:t>
      </w:r>
      <w:r w:rsidRPr="002902E4">
        <w:rPr>
          <w:rFonts w:eastAsia="Calibri"/>
          <w:sz w:val="28"/>
          <w:szCs w:val="28"/>
          <w:lang w:eastAsia="en-US"/>
        </w:rPr>
        <w:t>rogramma piedāvā četrus galvenos mērķus 2020.gad</w:t>
      </w:r>
      <w:r>
        <w:rPr>
          <w:rFonts w:eastAsia="Calibri"/>
          <w:sz w:val="28"/>
          <w:szCs w:val="28"/>
          <w:lang w:eastAsia="en-US"/>
        </w:rPr>
        <w:t>am u</w:t>
      </w:r>
      <w:r w:rsidR="0013164E">
        <w:rPr>
          <w:rFonts w:eastAsia="Calibri"/>
          <w:sz w:val="28"/>
          <w:szCs w:val="28"/>
          <w:lang w:eastAsia="en-US"/>
        </w:rPr>
        <w:t>n darbības to sasniegšanai: 1) p</w:t>
      </w:r>
      <w:r>
        <w:rPr>
          <w:rFonts w:eastAsia="Calibri"/>
          <w:sz w:val="28"/>
          <w:szCs w:val="28"/>
          <w:lang w:eastAsia="en-US"/>
        </w:rPr>
        <w:t>atē</w:t>
      </w:r>
      <w:r w:rsidR="0013164E">
        <w:rPr>
          <w:rFonts w:eastAsia="Calibri"/>
          <w:sz w:val="28"/>
          <w:szCs w:val="28"/>
          <w:lang w:eastAsia="en-US"/>
        </w:rPr>
        <w:t>rētāju drošības uzlabošana; 2) z</w:t>
      </w:r>
      <w:r>
        <w:rPr>
          <w:rFonts w:eastAsia="Calibri"/>
          <w:sz w:val="28"/>
          <w:szCs w:val="28"/>
          <w:lang w:eastAsia="en-US"/>
        </w:rPr>
        <w:t xml:space="preserve">ināšanu paplašināšana; </w:t>
      </w:r>
      <w:r w:rsidRPr="002902E4">
        <w:rPr>
          <w:rFonts w:eastAsia="Calibri"/>
          <w:sz w:val="28"/>
          <w:szCs w:val="28"/>
          <w:lang w:eastAsia="en-US"/>
        </w:rPr>
        <w:t>3</w:t>
      </w:r>
      <w:r w:rsidR="0013164E">
        <w:rPr>
          <w:rFonts w:eastAsia="Calibri"/>
          <w:sz w:val="28"/>
          <w:szCs w:val="28"/>
          <w:lang w:eastAsia="en-US"/>
        </w:rPr>
        <w:t>)</w:t>
      </w:r>
      <w:r w:rsidR="0013164E">
        <w:rPr>
          <w:rFonts w:eastAsia="Calibri"/>
          <w:sz w:val="28"/>
          <w:szCs w:val="28"/>
          <w:lang w:eastAsia="en-US"/>
        </w:rPr>
        <w:tab/>
        <w:t>i</w:t>
      </w:r>
      <w:r>
        <w:rPr>
          <w:rFonts w:eastAsia="Calibri"/>
          <w:sz w:val="28"/>
          <w:szCs w:val="28"/>
          <w:lang w:eastAsia="en-US"/>
        </w:rPr>
        <w:t xml:space="preserve">eviešanas </w:t>
      </w:r>
      <w:r w:rsidRPr="002902E4">
        <w:rPr>
          <w:rFonts w:eastAsia="Calibri"/>
          <w:sz w:val="28"/>
          <w:szCs w:val="28"/>
          <w:lang w:eastAsia="en-US"/>
        </w:rPr>
        <w:t>uzlabošana, īstenošanas nostiprināšana un ties</w:t>
      </w:r>
      <w:r>
        <w:rPr>
          <w:rFonts w:eastAsia="Calibri"/>
          <w:sz w:val="28"/>
          <w:szCs w:val="28"/>
          <w:lang w:eastAsia="en-US"/>
        </w:rPr>
        <w:t xml:space="preserve">ību aizsardzības nodrošināšana; </w:t>
      </w:r>
      <w:r w:rsidRPr="002902E4">
        <w:rPr>
          <w:rFonts w:eastAsia="Calibri"/>
          <w:sz w:val="28"/>
          <w:szCs w:val="28"/>
          <w:lang w:eastAsia="en-US"/>
        </w:rPr>
        <w:t>4</w:t>
      </w:r>
      <w:r>
        <w:rPr>
          <w:rFonts w:eastAsia="Calibri"/>
          <w:sz w:val="28"/>
          <w:szCs w:val="28"/>
          <w:lang w:eastAsia="en-US"/>
        </w:rPr>
        <w:t xml:space="preserve">) </w:t>
      </w:r>
      <w:r w:rsidRPr="002902E4">
        <w:rPr>
          <w:rFonts w:eastAsia="Calibri"/>
          <w:sz w:val="28"/>
          <w:szCs w:val="28"/>
          <w:lang w:eastAsia="en-US"/>
        </w:rPr>
        <w:tab/>
      </w:r>
      <w:r w:rsidR="0013164E">
        <w:rPr>
          <w:rFonts w:eastAsia="Calibri"/>
          <w:sz w:val="28"/>
          <w:szCs w:val="28"/>
          <w:lang w:eastAsia="en-US"/>
        </w:rPr>
        <w:t>t</w:t>
      </w:r>
      <w:r w:rsidRPr="002902E4">
        <w:rPr>
          <w:rFonts w:eastAsia="Calibri"/>
          <w:sz w:val="28"/>
          <w:szCs w:val="28"/>
          <w:lang w:eastAsia="en-US"/>
        </w:rPr>
        <w:t xml:space="preserve">iesību un galveno </w:t>
      </w:r>
      <w:proofErr w:type="spellStart"/>
      <w:r w:rsidRPr="002902E4">
        <w:rPr>
          <w:rFonts w:eastAsia="Calibri"/>
          <w:sz w:val="28"/>
          <w:szCs w:val="28"/>
          <w:lang w:eastAsia="en-US"/>
        </w:rPr>
        <w:t>rīcībpolitiku</w:t>
      </w:r>
      <w:proofErr w:type="spellEnd"/>
      <w:r w:rsidRPr="002902E4">
        <w:rPr>
          <w:rFonts w:eastAsia="Calibri"/>
          <w:sz w:val="28"/>
          <w:szCs w:val="28"/>
          <w:lang w:eastAsia="en-US"/>
        </w:rPr>
        <w:t xml:space="preserve"> saskaņošana ar ekonom</w:t>
      </w:r>
      <w:r>
        <w:rPr>
          <w:rFonts w:eastAsia="Calibri"/>
          <w:sz w:val="28"/>
          <w:szCs w:val="28"/>
          <w:lang w:eastAsia="en-US"/>
        </w:rPr>
        <w:t>iskām un sabiedriskām pārmaiņām.</w:t>
      </w:r>
    </w:p>
    <w:p w:rsidR="002902E4" w:rsidRPr="002902E4" w:rsidRDefault="002902E4" w:rsidP="00E369AA">
      <w:pPr>
        <w:jc w:val="both"/>
        <w:rPr>
          <w:rFonts w:eastAsia="Calibri"/>
          <w:sz w:val="28"/>
          <w:szCs w:val="28"/>
          <w:highlight w:val="yellow"/>
          <w:lang w:eastAsia="en-US"/>
        </w:rPr>
      </w:pPr>
      <w:r>
        <w:rPr>
          <w:rFonts w:eastAsia="Calibri"/>
          <w:sz w:val="28"/>
          <w:szCs w:val="28"/>
          <w:lang w:eastAsia="en-US"/>
        </w:rPr>
        <w:lastRenderedPageBreak/>
        <w:tab/>
        <w:t>Sanāksmē paredzēts pieņemt</w:t>
      </w:r>
      <w:r w:rsidRPr="002902E4">
        <w:rPr>
          <w:rFonts w:eastAsia="Calibri"/>
          <w:sz w:val="28"/>
          <w:szCs w:val="28"/>
          <w:lang w:eastAsia="en-US"/>
        </w:rPr>
        <w:t xml:space="preserve"> </w:t>
      </w:r>
      <w:r>
        <w:rPr>
          <w:rFonts w:eastAsia="Calibri"/>
          <w:sz w:val="28"/>
          <w:szCs w:val="28"/>
          <w:lang w:eastAsia="en-US"/>
        </w:rPr>
        <w:t xml:space="preserve">Padomes sagatavoto </w:t>
      </w:r>
      <w:r w:rsidRPr="002902E4">
        <w:rPr>
          <w:rFonts w:eastAsia="Calibri"/>
          <w:sz w:val="28"/>
          <w:szCs w:val="28"/>
          <w:lang w:eastAsia="en-US"/>
        </w:rPr>
        <w:t>rezolūciju par Eiropas Patērētāj</w:t>
      </w:r>
      <w:r>
        <w:rPr>
          <w:rFonts w:eastAsia="Calibri"/>
          <w:sz w:val="28"/>
          <w:szCs w:val="28"/>
          <w:lang w:eastAsia="en-US"/>
        </w:rPr>
        <w:t>u tiesību aizsardzības programmu</w:t>
      </w:r>
      <w:r w:rsidRPr="002902E4">
        <w:rPr>
          <w:rFonts w:eastAsia="Calibri"/>
          <w:sz w:val="28"/>
          <w:szCs w:val="28"/>
          <w:lang w:eastAsia="en-US"/>
        </w:rPr>
        <w:t xml:space="preserve"> paļāvības</w:t>
      </w:r>
      <w:r>
        <w:rPr>
          <w:rFonts w:eastAsia="Calibri"/>
          <w:sz w:val="28"/>
          <w:szCs w:val="28"/>
          <w:lang w:eastAsia="en-US"/>
        </w:rPr>
        <w:t xml:space="preserve"> un izaugsmes veicināšanai. </w:t>
      </w:r>
      <w:r w:rsidRPr="002902E4">
        <w:rPr>
          <w:rFonts w:eastAsia="Calibri"/>
          <w:sz w:val="28"/>
          <w:szCs w:val="28"/>
          <w:lang w:eastAsia="en-US"/>
        </w:rPr>
        <w:t xml:space="preserve">Apzinoties vienotā tirgus fragmentāciju, sarežģītību, globalizācijas sekas un pieaugošo </w:t>
      </w:r>
      <w:proofErr w:type="spellStart"/>
      <w:r w:rsidRPr="002902E4">
        <w:rPr>
          <w:rFonts w:eastAsia="Calibri"/>
          <w:sz w:val="28"/>
          <w:szCs w:val="28"/>
          <w:lang w:eastAsia="en-US"/>
        </w:rPr>
        <w:t>digitalizāciju</w:t>
      </w:r>
      <w:proofErr w:type="spellEnd"/>
      <w:r w:rsidRPr="002902E4">
        <w:rPr>
          <w:rFonts w:eastAsia="Calibri"/>
          <w:sz w:val="28"/>
          <w:szCs w:val="28"/>
          <w:lang w:eastAsia="en-US"/>
        </w:rPr>
        <w:t>, Padomes rezolūcijā tiek konstatēts, ka strauji mainoties tirgum, mainās arī patērētāju vēlmes un prasības, tāpēc, lai nodrošinātu augstu patērētāju tiesību aizsardzības līmeni, nepieciešams pievērst uzmanību patērētāju izglītoša</w:t>
      </w:r>
      <w:r w:rsidR="0013164E">
        <w:rPr>
          <w:rFonts w:eastAsia="Calibri"/>
          <w:sz w:val="28"/>
          <w:szCs w:val="28"/>
          <w:lang w:eastAsia="en-US"/>
        </w:rPr>
        <w:t>nai, sniedzot tiem zināšanas un</w:t>
      </w:r>
      <w:r w:rsidRPr="002902E4">
        <w:rPr>
          <w:rFonts w:eastAsia="Calibri"/>
          <w:sz w:val="28"/>
          <w:szCs w:val="28"/>
          <w:lang w:eastAsia="en-US"/>
        </w:rPr>
        <w:t xml:space="preserve"> prasmes, kas veicinātu apzinātu un pamatotu izvēli, kā arī veicinātu ilgtspējīgu patēriņu. Svarīgi arī pievērst īpašu uzmanību mazāk aizsargāto patērētāju grupām. Rezolūcijā pausts atbalsts Komisijas redzējumam par patērētāju politiku nākamos gados, kas atspoguļots Patērētāju programmā, kuras pamatā ir četri galvenie mērķi, bet paturot prātā </w:t>
      </w:r>
      <w:proofErr w:type="spellStart"/>
      <w:r w:rsidRPr="002902E4">
        <w:rPr>
          <w:rFonts w:eastAsia="Calibri"/>
          <w:sz w:val="28"/>
          <w:szCs w:val="28"/>
          <w:lang w:eastAsia="en-US"/>
        </w:rPr>
        <w:t>virsmērķi</w:t>
      </w:r>
      <w:proofErr w:type="spellEnd"/>
      <w:r w:rsidRPr="002902E4">
        <w:rPr>
          <w:rFonts w:eastAsia="Calibri"/>
          <w:sz w:val="28"/>
          <w:szCs w:val="28"/>
          <w:lang w:eastAsia="en-US"/>
        </w:rPr>
        <w:t xml:space="preserve"> – vienota, bezrobežu tirgus izveide patērētājiem un uzņēmumiem. Rezolūcijā ietverts aicinājums Komisijai un dalībvalstīm efektīvi strādāt kopā, lai nodrošinātu Patērētāju programmas īstenošanu.</w:t>
      </w:r>
    </w:p>
    <w:p w:rsidR="002902E4" w:rsidRPr="00487328" w:rsidRDefault="002902E4" w:rsidP="00E369AA">
      <w:pPr>
        <w:jc w:val="both"/>
        <w:rPr>
          <w:rFonts w:eastAsia="Calibri"/>
          <w:b/>
          <w:sz w:val="28"/>
          <w:szCs w:val="28"/>
          <w:highlight w:val="yellow"/>
          <w:u w:val="single"/>
          <w:lang w:eastAsia="en-US"/>
        </w:rPr>
      </w:pPr>
    </w:p>
    <w:p w:rsidR="006031F7" w:rsidRPr="002902E4" w:rsidRDefault="006031F7" w:rsidP="004C1552">
      <w:pPr>
        <w:spacing w:after="120"/>
        <w:jc w:val="both"/>
        <w:rPr>
          <w:rFonts w:eastAsia="Calibri"/>
          <w:b/>
          <w:sz w:val="28"/>
          <w:szCs w:val="28"/>
          <w:u w:val="single"/>
          <w:lang w:eastAsia="en-US"/>
        </w:rPr>
      </w:pPr>
      <w:r w:rsidRPr="002902E4">
        <w:rPr>
          <w:rFonts w:eastAsia="Calibri"/>
          <w:b/>
          <w:sz w:val="28"/>
          <w:szCs w:val="28"/>
          <w:u w:val="single"/>
          <w:lang w:eastAsia="en-US"/>
        </w:rPr>
        <w:t>Latvijas pozīcija:</w:t>
      </w:r>
    </w:p>
    <w:p w:rsidR="00C25DFD" w:rsidRDefault="003221A2" w:rsidP="003221A2">
      <w:pPr>
        <w:tabs>
          <w:tab w:val="left" w:pos="9288"/>
        </w:tabs>
        <w:ind w:firstLine="851"/>
        <w:jc w:val="both"/>
        <w:rPr>
          <w:sz w:val="28"/>
          <w:szCs w:val="28"/>
        </w:rPr>
      </w:pPr>
      <w:r w:rsidRPr="003221A2">
        <w:rPr>
          <w:b/>
          <w:sz w:val="28"/>
          <w:szCs w:val="28"/>
        </w:rPr>
        <w:t>Latvija atbalsta</w:t>
      </w:r>
      <w:r w:rsidRPr="003221A2">
        <w:rPr>
          <w:sz w:val="28"/>
          <w:szCs w:val="28"/>
        </w:rPr>
        <w:t xml:space="preserve"> Eiropas Patērētāju tiesību aizsardzības programmu paļāvības un izaugsmes veicināšanai, tajā paredzētās aktivitātes un izvirzītos mērķus</w:t>
      </w:r>
      <w:r>
        <w:rPr>
          <w:sz w:val="28"/>
          <w:szCs w:val="28"/>
        </w:rPr>
        <w:t>, kā arī</w:t>
      </w:r>
      <w:r w:rsidR="002902E4" w:rsidRPr="002902E4">
        <w:rPr>
          <w:b/>
          <w:sz w:val="28"/>
          <w:szCs w:val="28"/>
        </w:rPr>
        <w:t xml:space="preserve"> kopumā atbalsta</w:t>
      </w:r>
      <w:r w:rsidR="002902E4" w:rsidRPr="002902E4">
        <w:rPr>
          <w:sz w:val="28"/>
          <w:szCs w:val="28"/>
        </w:rPr>
        <w:t xml:space="preserve"> Padomes rezolūciju par Eiropas Patērētāju tiesību aizsardzības programmu paļāvības un izaugsmes veicināšanai, tajā izteikto viedokli, secinājumus un aicinājumu dalībvalstīm un Komisijai līdzdarboties Patērētāju tiesību aizsardzības programmas īstenošanai, lai veicinātu augstāka līmeņa patērētāju tiesību aizsardzības nodrošināšanu Eiropas Savienībā un iekšējā tirgus labāku funkcionēšanu.</w:t>
      </w:r>
      <w:r w:rsidR="00C25DFD">
        <w:rPr>
          <w:sz w:val="28"/>
          <w:szCs w:val="28"/>
        </w:rPr>
        <w:t xml:space="preserve"> </w:t>
      </w:r>
    </w:p>
    <w:p w:rsidR="00C25DFD" w:rsidRDefault="003221A2" w:rsidP="003221A2">
      <w:pPr>
        <w:tabs>
          <w:tab w:val="left" w:pos="9288"/>
        </w:tabs>
        <w:ind w:firstLine="851"/>
        <w:jc w:val="both"/>
        <w:rPr>
          <w:sz w:val="28"/>
          <w:szCs w:val="28"/>
        </w:rPr>
      </w:pPr>
      <w:r>
        <w:rPr>
          <w:sz w:val="28"/>
          <w:szCs w:val="28"/>
        </w:rPr>
        <w:t>Rezolūcijas</w:t>
      </w:r>
      <w:r w:rsidR="00C25DFD" w:rsidRPr="00C25DFD">
        <w:rPr>
          <w:sz w:val="28"/>
          <w:szCs w:val="28"/>
        </w:rPr>
        <w:t xml:space="preserve"> tālākai virzībai </w:t>
      </w:r>
      <w:r w:rsidR="00C25DFD" w:rsidRPr="00C25DFD">
        <w:rPr>
          <w:b/>
          <w:sz w:val="28"/>
          <w:szCs w:val="28"/>
        </w:rPr>
        <w:t xml:space="preserve">Latvija </w:t>
      </w:r>
      <w:r>
        <w:rPr>
          <w:b/>
          <w:sz w:val="28"/>
          <w:szCs w:val="28"/>
        </w:rPr>
        <w:t>piekrīt atbalstīt</w:t>
      </w:r>
      <w:r w:rsidR="00C25DFD" w:rsidRPr="00C25DFD">
        <w:rPr>
          <w:sz w:val="28"/>
          <w:szCs w:val="28"/>
        </w:rPr>
        <w:t xml:space="preserve"> tā</w:t>
      </w:r>
      <w:r>
        <w:rPr>
          <w:sz w:val="28"/>
          <w:szCs w:val="28"/>
        </w:rPr>
        <w:t>s</w:t>
      </w:r>
      <w:r w:rsidR="00C25DFD" w:rsidRPr="00C25DFD">
        <w:rPr>
          <w:sz w:val="28"/>
          <w:szCs w:val="28"/>
        </w:rPr>
        <w:t xml:space="preserve"> tekstu esošajā redakcijā, vienlaikus uzsverot, ka būtu nepieciešams lielāku uzmanību veltīt vienotā tirgus darbības efektivitātes pamatprin</w:t>
      </w:r>
      <w:r w:rsidR="0013164E">
        <w:rPr>
          <w:sz w:val="28"/>
          <w:szCs w:val="28"/>
        </w:rPr>
        <w:t>cipam – likumdošanas saskaņošanai</w:t>
      </w:r>
      <w:r w:rsidR="00C25DFD" w:rsidRPr="00C25DFD">
        <w:rPr>
          <w:sz w:val="28"/>
          <w:szCs w:val="28"/>
        </w:rPr>
        <w:t xml:space="preserve"> un harmonizāc</w:t>
      </w:r>
      <w:r w:rsidR="0013164E">
        <w:rPr>
          <w:sz w:val="28"/>
          <w:szCs w:val="28"/>
        </w:rPr>
        <w:t>ijai</w:t>
      </w:r>
      <w:r w:rsidR="00C25DFD" w:rsidRPr="00C25DFD">
        <w:rPr>
          <w:sz w:val="28"/>
          <w:szCs w:val="28"/>
        </w:rPr>
        <w:t xml:space="preserve"> patērētājiem un uzņēmējiem.</w:t>
      </w:r>
    </w:p>
    <w:p w:rsidR="003221A2" w:rsidRDefault="003221A2" w:rsidP="003221A2">
      <w:pPr>
        <w:tabs>
          <w:tab w:val="left" w:pos="9288"/>
        </w:tabs>
        <w:ind w:firstLine="851"/>
        <w:jc w:val="both"/>
        <w:rPr>
          <w:sz w:val="28"/>
          <w:szCs w:val="28"/>
        </w:rPr>
      </w:pPr>
      <w:r w:rsidRPr="003221A2">
        <w:rPr>
          <w:b/>
          <w:sz w:val="28"/>
          <w:szCs w:val="28"/>
        </w:rPr>
        <w:t>Latvija kā svarīgu</w:t>
      </w:r>
      <w:r>
        <w:rPr>
          <w:sz w:val="28"/>
          <w:szCs w:val="28"/>
        </w:rPr>
        <w:t xml:space="preserve"> </w:t>
      </w:r>
      <w:r w:rsidRPr="003221A2">
        <w:rPr>
          <w:sz w:val="28"/>
          <w:szCs w:val="28"/>
        </w:rPr>
        <w:t>pasākumu Vienotā tirgu</w:t>
      </w:r>
      <w:r w:rsidR="0013164E">
        <w:rPr>
          <w:sz w:val="28"/>
          <w:szCs w:val="28"/>
        </w:rPr>
        <w:t>s stiprināšanai uzskata efektīvas</w:t>
      </w:r>
      <w:r w:rsidRPr="003221A2">
        <w:rPr>
          <w:sz w:val="28"/>
          <w:szCs w:val="28"/>
        </w:rPr>
        <w:t xml:space="preserve"> tirgus uzraudzības nodrošināšanu. Apzinoties patērētāju tiesību nevalstisko organizāciju būtisko lomu patērētāju tiesību aizsardzībā, nepieciešams atbalstīt to darbību, kā arī aktīvi iesaistīt Programmas īstenošanā.</w:t>
      </w:r>
    </w:p>
    <w:p w:rsidR="002902E4" w:rsidRDefault="002902E4" w:rsidP="006031F7">
      <w:pPr>
        <w:tabs>
          <w:tab w:val="left" w:pos="9288"/>
        </w:tabs>
        <w:spacing w:after="120"/>
        <w:ind w:firstLine="851"/>
        <w:jc w:val="both"/>
        <w:rPr>
          <w:b/>
          <w:sz w:val="28"/>
          <w:szCs w:val="28"/>
        </w:rPr>
      </w:pPr>
    </w:p>
    <w:p w:rsidR="00897AEF" w:rsidRPr="00487328" w:rsidRDefault="00B03397" w:rsidP="006031F7">
      <w:pPr>
        <w:pBdr>
          <w:bottom w:val="single" w:sz="4" w:space="1" w:color="auto"/>
        </w:pBdr>
        <w:autoSpaceDE w:val="0"/>
        <w:autoSpaceDN w:val="0"/>
        <w:adjustRightInd w:val="0"/>
        <w:jc w:val="both"/>
        <w:rPr>
          <w:i/>
          <w:sz w:val="28"/>
          <w:szCs w:val="28"/>
          <w:highlight w:val="yellow"/>
          <w:u w:val="single"/>
        </w:rPr>
      </w:pPr>
      <w:r w:rsidRPr="007549E1">
        <w:rPr>
          <w:b/>
          <w:sz w:val="28"/>
          <w:szCs w:val="28"/>
        </w:rPr>
        <w:t>1.</w:t>
      </w:r>
      <w:r w:rsidR="00897AEF" w:rsidRPr="007549E1">
        <w:rPr>
          <w:b/>
          <w:sz w:val="28"/>
          <w:szCs w:val="28"/>
        </w:rPr>
        <w:t xml:space="preserve">2. </w:t>
      </w:r>
      <w:r w:rsidR="002077AF">
        <w:rPr>
          <w:b/>
          <w:sz w:val="28"/>
          <w:szCs w:val="28"/>
        </w:rPr>
        <w:t>Eiropas rūpniecības</w:t>
      </w:r>
      <w:r w:rsidR="007549E1" w:rsidRPr="007549E1">
        <w:rPr>
          <w:b/>
          <w:sz w:val="28"/>
          <w:szCs w:val="28"/>
        </w:rPr>
        <w:t xml:space="preserve"> politika</w:t>
      </w:r>
    </w:p>
    <w:p w:rsidR="00BC652F" w:rsidRDefault="00BC652F" w:rsidP="00014E4E">
      <w:pPr>
        <w:jc w:val="both"/>
        <w:rPr>
          <w:b/>
          <w:sz w:val="28"/>
          <w:szCs w:val="28"/>
        </w:rPr>
      </w:pPr>
    </w:p>
    <w:p w:rsidR="00BC652F" w:rsidRDefault="00BC652F" w:rsidP="00014E4E">
      <w:pPr>
        <w:jc w:val="both"/>
        <w:rPr>
          <w:b/>
          <w:sz w:val="28"/>
          <w:szCs w:val="28"/>
        </w:rPr>
      </w:pPr>
      <w:r>
        <w:rPr>
          <w:sz w:val="28"/>
          <w:szCs w:val="28"/>
        </w:rPr>
        <w:tab/>
        <w:t>S</w:t>
      </w:r>
      <w:r w:rsidRPr="00CD7727">
        <w:rPr>
          <w:sz w:val="28"/>
          <w:szCs w:val="28"/>
        </w:rPr>
        <w:t>anāksmes laikā ministri tiks aicināti diskutēt</w:t>
      </w:r>
      <w:r>
        <w:rPr>
          <w:sz w:val="28"/>
          <w:szCs w:val="28"/>
        </w:rPr>
        <w:t xml:space="preserve"> par</w:t>
      </w:r>
      <w:r w:rsidRPr="00CD7727">
        <w:rPr>
          <w:sz w:val="28"/>
          <w:szCs w:val="28"/>
        </w:rPr>
        <w:t xml:space="preserve"> Eiropas rūp</w:t>
      </w:r>
      <w:r>
        <w:rPr>
          <w:sz w:val="28"/>
          <w:szCs w:val="28"/>
        </w:rPr>
        <w:t xml:space="preserve">niecībai svarīgiem jautājumiem, </w:t>
      </w:r>
      <w:r w:rsidR="00977FEC">
        <w:rPr>
          <w:sz w:val="28"/>
          <w:szCs w:val="28"/>
        </w:rPr>
        <w:t xml:space="preserve">tostarp, </w:t>
      </w:r>
      <w:r>
        <w:rPr>
          <w:sz w:val="28"/>
          <w:szCs w:val="28"/>
        </w:rPr>
        <w:t>ņemot vērā prezidentvalsts</w:t>
      </w:r>
      <w:r w:rsidRPr="00CD7727">
        <w:rPr>
          <w:sz w:val="28"/>
          <w:szCs w:val="28"/>
        </w:rPr>
        <w:t xml:space="preserve"> izplatī</w:t>
      </w:r>
      <w:r>
        <w:rPr>
          <w:sz w:val="28"/>
          <w:szCs w:val="28"/>
        </w:rPr>
        <w:t>to</w:t>
      </w:r>
      <w:r w:rsidRPr="00CD7727">
        <w:rPr>
          <w:sz w:val="28"/>
          <w:szCs w:val="28"/>
        </w:rPr>
        <w:t xml:space="preserve"> darba dokumentu, </w:t>
      </w:r>
      <w:r>
        <w:rPr>
          <w:sz w:val="28"/>
          <w:szCs w:val="28"/>
        </w:rPr>
        <w:t xml:space="preserve">kurā </w:t>
      </w:r>
      <w:r w:rsidRPr="00CD7727">
        <w:rPr>
          <w:sz w:val="28"/>
          <w:szCs w:val="28"/>
        </w:rPr>
        <w:t>ietvert</w:t>
      </w:r>
      <w:r>
        <w:rPr>
          <w:sz w:val="28"/>
          <w:szCs w:val="28"/>
        </w:rPr>
        <w:t>i</w:t>
      </w:r>
      <w:r w:rsidRPr="00CD7727">
        <w:rPr>
          <w:sz w:val="28"/>
          <w:szCs w:val="28"/>
        </w:rPr>
        <w:t xml:space="preserve"> </w:t>
      </w:r>
      <w:r>
        <w:rPr>
          <w:sz w:val="28"/>
          <w:szCs w:val="28"/>
        </w:rPr>
        <w:t>diskusiju jautājumi</w:t>
      </w:r>
      <w:r w:rsidR="00A50CE7">
        <w:rPr>
          <w:sz w:val="28"/>
          <w:szCs w:val="28"/>
        </w:rPr>
        <w:t xml:space="preserve"> par trim Komisijas paziņojumiem: 1) </w:t>
      </w:r>
      <w:r w:rsidR="00A50CE7" w:rsidRPr="00A50CE7">
        <w:rPr>
          <w:i/>
          <w:sz w:val="28"/>
          <w:szCs w:val="28"/>
        </w:rPr>
        <w:t>„Komisijas paziņojums par atjauninātu Paziņojumu par rūpniecības politiku: Ieguldījums izaugsmē un ekonomikas atveseļošanā”</w:t>
      </w:r>
      <w:r w:rsidR="00A50CE7">
        <w:rPr>
          <w:sz w:val="28"/>
          <w:szCs w:val="28"/>
        </w:rPr>
        <w:t xml:space="preserve">; 2) </w:t>
      </w:r>
      <w:r w:rsidR="00A50CE7" w:rsidRPr="00B30030">
        <w:rPr>
          <w:i/>
          <w:sz w:val="28"/>
          <w:szCs w:val="28"/>
        </w:rPr>
        <w:t xml:space="preserve">„Komisijas paziņojums: Būvniecības nozares un tās uzņēmumu ilgtspējīgas </w:t>
      </w:r>
      <w:r w:rsidR="00A50CE7" w:rsidRPr="00B30030">
        <w:rPr>
          <w:i/>
          <w:sz w:val="28"/>
          <w:szCs w:val="28"/>
        </w:rPr>
        <w:lastRenderedPageBreak/>
        <w:t>konkurētspējas stratēģija”</w:t>
      </w:r>
      <w:r w:rsidR="00A50CE7">
        <w:rPr>
          <w:sz w:val="28"/>
          <w:szCs w:val="28"/>
        </w:rPr>
        <w:t xml:space="preserve">; 3)  </w:t>
      </w:r>
      <w:r w:rsidR="00A50CE7" w:rsidRPr="00A50CE7">
        <w:rPr>
          <w:i/>
          <w:sz w:val="28"/>
          <w:szCs w:val="28"/>
        </w:rPr>
        <w:t>„Komisijas</w:t>
      </w:r>
      <w:r w:rsidR="00077875">
        <w:rPr>
          <w:i/>
          <w:sz w:val="28"/>
          <w:szCs w:val="28"/>
        </w:rPr>
        <w:t xml:space="preserve"> paziņojums – Kultūras un radošo</w:t>
      </w:r>
      <w:r w:rsidR="00A50CE7" w:rsidRPr="00A50CE7">
        <w:rPr>
          <w:i/>
          <w:sz w:val="28"/>
          <w:szCs w:val="28"/>
        </w:rPr>
        <w:t xml:space="preserve"> nozar</w:t>
      </w:r>
      <w:r w:rsidR="00077875">
        <w:rPr>
          <w:i/>
          <w:sz w:val="28"/>
          <w:szCs w:val="28"/>
        </w:rPr>
        <w:t>u</w:t>
      </w:r>
      <w:r w:rsidR="00A50CE7" w:rsidRPr="00A50CE7">
        <w:rPr>
          <w:i/>
          <w:sz w:val="28"/>
          <w:szCs w:val="28"/>
        </w:rPr>
        <w:t xml:space="preserve"> </w:t>
      </w:r>
      <w:r w:rsidR="00077875">
        <w:rPr>
          <w:i/>
          <w:sz w:val="28"/>
          <w:szCs w:val="28"/>
        </w:rPr>
        <w:t>veicināšana ES</w:t>
      </w:r>
      <w:r w:rsidR="00A50CE7" w:rsidRPr="00A50CE7">
        <w:rPr>
          <w:i/>
          <w:sz w:val="28"/>
          <w:szCs w:val="28"/>
        </w:rPr>
        <w:t xml:space="preserve"> izaugsmei”</w:t>
      </w:r>
      <w:r w:rsidR="00A50CE7">
        <w:rPr>
          <w:sz w:val="28"/>
          <w:szCs w:val="28"/>
        </w:rPr>
        <w:t xml:space="preserve">. </w:t>
      </w:r>
    </w:p>
    <w:p w:rsidR="00BC652F" w:rsidRDefault="00BC652F" w:rsidP="00014E4E">
      <w:pPr>
        <w:jc w:val="both"/>
        <w:rPr>
          <w:b/>
          <w:sz w:val="28"/>
          <w:szCs w:val="28"/>
        </w:rPr>
      </w:pPr>
    </w:p>
    <w:p w:rsidR="007549E1" w:rsidRDefault="007549E1" w:rsidP="00014E4E">
      <w:pPr>
        <w:jc w:val="both"/>
        <w:rPr>
          <w:i/>
          <w:sz w:val="28"/>
          <w:szCs w:val="28"/>
        </w:rPr>
      </w:pPr>
      <w:r w:rsidRPr="00014E4E">
        <w:rPr>
          <w:b/>
          <w:sz w:val="28"/>
          <w:szCs w:val="28"/>
        </w:rPr>
        <w:t>a) Komisijas paziņojums par atjauninātu Paziņojumu par rūpniecības politiku: Ieguldījums izaugsmē un ekonomikas atveseļošanā</w:t>
      </w:r>
      <w:r w:rsidR="00014E4E">
        <w:rPr>
          <w:b/>
          <w:sz w:val="28"/>
          <w:szCs w:val="28"/>
        </w:rPr>
        <w:t xml:space="preserve"> </w:t>
      </w:r>
      <w:r w:rsidR="00014E4E" w:rsidRPr="00014E4E">
        <w:rPr>
          <w:i/>
          <w:sz w:val="28"/>
          <w:szCs w:val="28"/>
        </w:rPr>
        <w:t>(</w:t>
      </w:r>
      <w:r w:rsidRPr="007549E1">
        <w:rPr>
          <w:i/>
          <w:sz w:val="28"/>
          <w:szCs w:val="28"/>
        </w:rPr>
        <w:t>EM kompetence</w:t>
      </w:r>
      <w:r w:rsidR="00014E4E">
        <w:rPr>
          <w:i/>
          <w:sz w:val="28"/>
          <w:szCs w:val="28"/>
        </w:rPr>
        <w:t>)</w:t>
      </w:r>
    </w:p>
    <w:p w:rsidR="00C71685" w:rsidRDefault="00C71685" w:rsidP="00C71685">
      <w:pPr>
        <w:rPr>
          <w:i/>
          <w:sz w:val="28"/>
          <w:szCs w:val="28"/>
        </w:rPr>
      </w:pPr>
      <w:r>
        <w:rPr>
          <w:i/>
          <w:sz w:val="28"/>
          <w:szCs w:val="28"/>
        </w:rPr>
        <w:t xml:space="preserve">- </w:t>
      </w:r>
      <w:r w:rsidRPr="007549E1">
        <w:rPr>
          <w:i/>
          <w:sz w:val="28"/>
          <w:szCs w:val="28"/>
        </w:rPr>
        <w:t>Komisijas sniegta informācija</w:t>
      </w:r>
    </w:p>
    <w:p w:rsidR="00C71685" w:rsidRDefault="00C71685" w:rsidP="00C71685">
      <w:pPr>
        <w:rPr>
          <w:i/>
          <w:sz w:val="28"/>
          <w:szCs w:val="28"/>
          <w:highlight w:val="yellow"/>
        </w:rPr>
      </w:pPr>
      <w:r>
        <w:rPr>
          <w:i/>
          <w:sz w:val="28"/>
          <w:szCs w:val="28"/>
        </w:rPr>
        <w:t xml:space="preserve">- </w:t>
      </w:r>
      <w:r w:rsidRPr="007549E1">
        <w:rPr>
          <w:i/>
          <w:sz w:val="28"/>
          <w:szCs w:val="28"/>
        </w:rPr>
        <w:t>viedokļu apmaiņa</w:t>
      </w:r>
    </w:p>
    <w:p w:rsidR="00C71685" w:rsidRPr="00CD7727" w:rsidRDefault="00C71685" w:rsidP="00CD7727">
      <w:pPr>
        <w:jc w:val="both"/>
        <w:rPr>
          <w:sz w:val="28"/>
          <w:szCs w:val="28"/>
        </w:rPr>
      </w:pPr>
    </w:p>
    <w:p w:rsidR="00CD7727" w:rsidRPr="00CD7727" w:rsidRDefault="00CD7727" w:rsidP="00CD7727">
      <w:pPr>
        <w:jc w:val="both"/>
        <w:rPr>
          <w:sz w:val="28"/>
          <w:szCs w:val="28"/>
        </w:rPr>
      </w:pPr>
      <w:r>
        <w:rPr>
          <w:sz w:val="28"/>
          <w:szCs w:val="28"/>
        </w:rPr>
        <w:tab/>
      </w:r>
      <w:r w:rsidRPr="00CD7727">
        <w:rPr>
          <w:sz w:val="28"/>
          <w:szCs w:val="28"/>
        </w:rPr>
        <w:t xml:space="preserve">Viens no diskusiju dokumenta galvenajiem blokiem ir attiecināts uz </w:t>
      </w:r>
      <w:r>
        <w:rPr>
          <w:sz w:val="28"/>
          <w:szCs w:val="28"/>
        </w:rPr>
        <w:t>Komisijas</w:t>
      </w:r>
      <w:r w:rsidRPr="00CD7727">
        <w:rPr>
          <w:sz w:val="28"/>
          <w:szCs w:val="28"/>
        </w:rPr>
        <w:t xml:space="preserve"> piedāvājumu atjaunotai Eiropas rūpniecības politikai. </w:t>
      </w:r>
      <w:r>
        <w:rPr>
          <w:sz w:val="28"/>
          <w:szCs w:val="28"/>
        </w:rPr>
        <w:t>Komisija</w:t>
      </w:r>
      <w:r w:rsidRPr="00CD7727">
        <w:rPr>
          <w:sz w:val="28"/>
          <w:szCs w:val="28"/>
        </w:rPr>
        <w:t xml:space="preserve"> jauno pieeju atspoguļos savā paziņojumā „Atjaunots rūpniecības politikas paziņojums: ieguldījums izaug</w:t>
      </w:r>
      <w:r>
        <w:rPr>
          <w:sz w:val="28"/>
          <w:szCs w:val="28"/>
        </w:rPr>
        <w:t>smē un ekonomikas atveseļošanā”</w:t>
      </w:r>
      <w:r w:rsidR="005E628E">
        <w:rPr>
          <w:sz w:val="28"/>
          <w:szCs w:val="28"/>
        </w:rPr>
        <w:t xml:space="preserve">, kas tiks prezentēts </w:t>
      </w:r>
      <w:proofErr w:type="spellStart"/>
      <w:r w:rsidR="005E628E">
        <w:rPr>
          <w:sz w:val="28"/>
          <w:szCs w:val="28"/>
        </w:rPr>
        <w:t>š.g</w:t>
      </w:r>
      <w:proofErr w:type="spellEnd"/>
      <w:r w:rsidR="005E628E">
        <w:rPr>
          <w:sz w:val="28"/>
          <w:szCs w:val="28"/>
        </w:rPr>
        <w:t>. 10.oktobrī</w:t>
      </w:r>
      <w:r w:rsidRPr="00CD7727">
        <w:rPr>
          <w:sz w:val="28"/>
          <w:szCs w:val="28"/>
        </w:rPr>
        <w:t>.</w:t>
      </w:r>
    </w:p>
    <w:p w:rsidR="00CD7727" w:rsidRDefault="00CD7727" w:rsidP="00CD7727">
      <w:pPr>
        <w:jc w:val="both"/>
        <w:rPr>
          <w:sz w:val="28"/>
          <w:szCs w:val="28"/>
        </w:rPr>
      </w:pPr>
      <w:r>
        <w:rPr>
          <w:sz w:val="28"/>
          <w:szCs w:val="28"/>
        </w:rPr>
        <w:tab/>
      </w:r>
      <w:r w:rsidRPr="00CD7727">
        <w:rPr>
          <w:sz w:val="28"/>
          <w:szCs w:val="28"/>
        </w:rPr>
        <w:t xml:space="preserve">Saskaņā ar Prezidentūras darba dokumentā sniegto informāciju </w:t>
      </w:r>
      <w:r w:rsidR="005E628E">
        <w:rPr>
          <w:sz w:val="28"/>
          <w:szCs w:val="28"/>
        </w:rPr>
        <w:t>Komisijas</w:t>
      </w:r>
      <w:r w:rsidRPr="00CD7727">
        <w:rPr>
          <w:sz w:val="28"/>
          <w:szCs w:val="28"/>
        </w:rPr>
        <w:t xml:space="preserve"> paziņojums „Atjaunots rūpniecības politikas paziņojums: ieguldījums izaugsmē un ekonomikas atveseļošanā”</w:t>
      </w:r>
      <w:r w:rsidR="005E628E">
        <w:rPr>
          <w:sz w:val="28"/>
          <w:szCs w:val="28"/>
        </w:rPr>
        <w:t xml:space="preserve"> </w:t>
      </w:r>
      <w:r w:rsidRPr="00CD7727">
        <w:rPr>
          <w:sz w:val="28"/>
          <w:szCs w:val="28"/>
        </w:rPr>
        <w:t>izvirzīs atjaunotu pieeju Eiropas rūpniecības politikai, lai sasniegtu stratēģijas „Eiropa 2020” vadošajā iniciatīvā „Integrēta rūpniecības politika globalizācijas laikmetam”  noteiktos mērķus.</w:t>
      </w:r>
    </w:p>
    <w:p w:rsidR="005E628E" w:rsidRPr="00CD7727" w:rsidRDefault="005E628E" w:rsidP="00CD7727">
      <w:pPr>
        <w:jc w:val="both"/>
        <w:rPr>
          <w:sz w:val="28"/>
          <w:szCs w:val="28"/>
        </w:rPr>
      </w:pPr>
      <w:r>
        <w:rPr>
          <w:sz w:val="28"/>
          <w:szCs w:val="28"/>
        </w:rPr>
        <w:tab/>
      </w:r>
      <w:r w:rsidR="00077875">
        <w:rPr>
          <w:sz w:val="28"/>
          <w:szCs w:val="28"/>
        </w:rPr>
        <w:t>Kopumā Komisijas</w:t>
      </w:r>
      <w:r w:rsidRPr="005E628E">
        <w:rPr>
          <w:sz w:val="28"/>
          <w:szCs w:val="28"/>
        </w:rPr>
        <w:t xml:space="preserve"> Paziņojums iezīmēs jaunu pieeju rūpniecības politikai, kurā tiek sagaidīta </w:t>
      </w:r>
      <w:proofErr w:type="spellStart"/>
      <w:r w:rsidRPr="005E628E">
        <w:rPr>
          <w:sz w:val="28"/>
          <w:szCs w:val="28"/>
        </w:rPr>
        <w:t>proaktīvāka</w:t>
      </w:r>
      <w:proofErr w:type="spellEnd"/>
      <w:r w:rsidRPr="005E628E">
        <w:rPr>
          <w:sz w:val="28"/>
          <w:szCs w:val="28"/>
        </w:rPr>
        <w:t xml:space="preserve"> valsts institūciju nostāja, tostarp veidojot integrētāku pieeju ES rūpniecības politikai, kura iezīmēs ciešāku sasaisti starp kohēzijas, pētniecības, inovācijas, enerģētikas, vides, </w:t>
      </w:r>
      <w:proofErr w:type="spellStart"/>
      <w:r w:rsidRPr="005E628E">
        <w:rPr>
          <w:sz w:val="28"/>
          <w:szCs w:val="28"/>
        </w:rPr>
        <w:t>cilvēkkapitāla</w:t>
      </w:r>
      <w:proofErr w:type="spellEnd"/>
      <w:r w:rsidRPr="005E628E">
        <w:rPr>
          <w:sz w:val="28"/>
          <w:szCs w:val="28"/>
        </w:rPr>
        <w:t xml:space="preserve"> politikām</w:t>
      </w:r>
      <w:r>
        <w:rPr>
          <w:sz w:val="28"/>
          <w:szCs w:val="28"/>
        </w:rPr>
        <w:t>.</w:t>
      </w:r>
    </w:p>
    <w:p w:rsidR="00E369AA" w:rsidRPr="00CD7727" w:rsidRDefault="005E628E" w:rsidP="00CD7727">
      <w:pPr>
        <w:jc w:val="both"/>
        <w:rPr>
          <w:sz w:val="28"/>
          <w:szCs w:val="28"/>
        </w:rPr>
      </w:pPr>
      <w:r>
        <w:rPr>
          <w:sz w:val="28"/>
          <w:szCs w:val="28"/>
        </w:rPr>
        <w:tab/>
        <w:t xml:space="preserve">Zināms, ka Komisija </w:t>
      </w:r>
      <w:r w:rsidRPr="005E628E">
        <w:rPr>
          <w:sz w:val="28"/>
          <w:szCs w:val="28"/>
        </w:rPr>
        <w:t>savā Paziņojumā koncentrēsies uz četriem ES rūpniecībai svarīgiem pīlāriem</w:t>
      </w:r>
      <w:r w:rsidR="00645A81">
        <w:rPr>
          <w:sz w:val="28"/>
          <w:szCs w:val="28"/>
        </w:rPr>
        <w:t>:</w:t>
      </w:r>
    </w:p>
    <w:p w:rsidR="00E369AA" w:rsidRPr="005E628E" w:rsidRDefault="005E628E" w:rsidP="005E628E">
      <w:pPr>
        <w:pStyle w:val="ListParagraph"/>
        <w:numPr>
          <w:ilvl w:val="0"/>
          <w:numId w:val="10"/>
        </w:numPr>
        <w:jc w:val="both"/>
        <w:rPr>
          <w:sz w:val="28"/>
          <w:szCs w:val="28"/>
        </w:rPr>
      </w:pPr>
      <w:r w:rsidRPr="005E628E">
        <w:rPr>
          <w:sz w:val="28"/>
          <w:szCs w:val="28"/>
        </w:rPr>
        <w:t>Investīciju sekmēšana inovatīvās un jaunās tehnoloģijās</w:t>
      </w:r>
      <w:r w:rsidR="00645A81">
        <w:rPr>
          <w:sz w:val="28"/>
          <w:szCs w:val="28"/>
        </w:rPr>
        <w:t>.</w:t>
      </w:r>
    </w:p>
    <w:p w:rsidR="005E628E" w:rsidRPr="005E628E" w:rsidRDefault="005E628E" w:rsidP="005E628E">
      <w:pPr>
        <w:pStyle w:val="ListParagraph"/>
        <w:numPr>
          <w:ilvl w:val="0"/>
          <w:numId w:val="10"/>
        </w:numPr>
        <w:rPr>
          <w:sz w:val="28"/>
          <w:szCs w:val="28"/>
        </w:rPr>
      </w:pPr>
      <w:r w:rsidRPr="005E628E">
        <w:rPr>
          <w:sz w:val="28"/>
          <w:szCs w:val="28"/>
        </w:rPr>
        <w:t>Maksimālu ieguvumu ES uzņēmumiem nodrošināšana no Iekšējā tirgus un starptautiskajiem tirgiem</w:t>
      </w:r>
    </w:p>
    <w:p w:rsidR="005E628E" w:rsidRPr="005E628E" w:rsidRDefault="005E628E" w:rsidP="005E628E">
      <w:pPr>
        <w:pStyle w:val="ListParagraph"/>
        <w:numPr>
          <w:ilvl w:val="0"/>
          <w:numId w:val="10"/>
        </w:numPr>
        <w:rPr>
          <w:sz w:val="28"/>
          <w:szCs w:val="28"/>
        </w:rPr>
      </w:pPr>
      <w:r w:rsidRPr="005E628E">
        <w:rPr>
          <w:sz w:val="28"/>
          <w:szCs w:val="28"/>
        </w:rPr>
        <w:t>Piekļuves finansējumam uzlabošana</w:t>
      </w:r>
      <w:r w:rsidR="00645A81">
        <w:rPr>
          <w:sz w:val="28"/>
          <w:szCs w:val="28"/>
        </w:rPr>
        <w:t>.</w:t>
      </w:r>
    </w:p>
    <w:p w:rsidR="005E628E" w:rsidRPr="005E628E" w:rsidRDefault="005E628E" w:rsidP="005E628E">
      <w:pPr>
        <w:pStyle w:val="ListParagraph"/>
        <w:numPr>
          <w:ilvl w:val="0"/>
          <w:numId w:val="10"/>
        </w:numPr>
        <w:rPr>
          <w:sz w:val="28"/>
          <w:szCs w:val="28"/>
        </w:rPr>
      </w:pPr>
      <w:r w:rsidRPr="005E628E">
        <w:rPr>
          <w:sz w:val="28"/>
          <w:szCs w:val="28"/>
        </w:rPr>
        <w:t>Investīciju palielināšana cilvēkos un prasmēs</w:t>
      </w:r>
      <w:r>
        <w:rPr>
          <w:sz w:val="28"/>
          <w:szCs w:val="28"/>
        </w:rPr>
        <w:t>.</w:t>
      </w:r>
    </w:p>
    <w:p w:rsidR="005E628E" w:rsidRDefault="005E628E" w:rsidP="005E628E">
      <w:pPr>
        <w:jc w:val="both"/>
        <w:rPr>
          <w:b/>
          <w:sz w:val="28"/>
          <w:szCs w:val="28"/>
        </w:rPr>
      </w:pPr>
    </w:p>
    <w:p w:rsidR="00422C77" w:rsidRPr="00422C77" w:rsidRDefault="00422C77" w:rsidP="00422C77">
      <w:pPr>
        <w:jc w:val="both"/>
        <w:rPr>
          <w:sz w:val="28"/>
          <w:szCs w:val="28"/>
        </w:rPr>
      </w:pPr>
      <w:r>
        <w:rPr>
          <w:sz w:val="28"/>
          <w:szCs w:val="28"/>
        </w:rPr>
        <w:tab/>
      </w:r>
      <w:r w:rsidRPr="00422C77">
        <w:rPr>
          <w:sz w:val="28"/>
          <w:szCs w:val="28"/>
        </w:rPr>
        <w:t>Savukārt</w:t>
      </w:r>
      <w:r>
        <w:rPr>
          <w:sz w:val="28"/>
          <w:szCs w:val="28"/>
        </w:rPr>
        <w:t>, l</w:t>
      </w:r>
      <w:r w:rsidRPr="00422C77">
        <w:rPr>
          <w:sz w:val="28"/>
          <w:szCs w:val="28"/>
        </w:rPr>
        <w:t>ai sekmētu jaunas investīcijas, paātrinātu jaunu tehnoloģiju pārņemšanu un sekmētu resursu efektivitāti</w:t>
      </w:r>
      <w:r w:rsidR="008172F3">
        <w:rPr>
          <w:sz w:val="28"/>
          <w:szCs w:val="28"/>
        </w:rPr>
        <w:t xml:space="preserve"> (1.pīlārs)</w:t>
      </w:r>
      <w:r w:rsidRPr="00422C77">
        <w:rPr>
          <w:sz w:val="28"/>
          <w:szCs w:val="28"/>
        </w:rPr>
        <w:t>, tiek izvirzīti 6 prioritārie rīcības virzieni, kuros specializētas darba grupas izstrādās „ceļa kartes”, lai v</w:t>
      </w:r>
      <w:r>
        <w:rPr>
          <w:sz w:val="28"/>
          <w:szCs w:val="28"/>
        </w:rPr>
        <w:t>eicinātu jaunu tirgu veidošanos</w:t>
      </w:r>
      <w:r w:rsidRPr="00422C77">
        <w:rPr>
          <w:sz w:val="28"/>
          <w:szCs w:val="28"/>
        </w:rPr>
        <w:t>:</w:t>
      </w:r>
    </w:p>
    <w:p w:rsidR="00422C77" w:rsidRPr="00422C77" w:rsidRDefault="00422C77" w:rsidP="00422C77">
      <w:pPr>
        <w:jc w:val="both"/>
        <w:rPr>
          <w:sz w:val="28"/>
          <w:szCs w:val="28"/>
        </w:rPr>
      </w:pPr>
      <w:r w:rsidRPr="00422C77">
        <w:rPr>
          <w:sz w:val="28"/>
          <w:szCs w:val="28"/>
        </w:rPr>
        <w:t>i.</w:t>
      </w:r>
      <w:r w:rsidRPr="00422C77">
        <w:rPr>
          <w:sz w:val="28"/>
          <w:szCs w:val="28"/>
        </w:rPr>
        <w:tab/>
        <w:t>Modernas ražošanas tehnoloģijas tīrākai ražošanai;</w:t>
      </w:r>
    </w:p>
    <w:p w:rsidR="00422C77" w:rsidRPr="00422C77" w:rsidRDefault="00422C77" w:rsidP="00422C77">
      <w:pPr>
        <w:jc w:val="both"/>
        <w:rPr>
          <w:sz w:val="28"/>
          <w:szCs w:val="28"/>
        </w:rPr>
      </w:pPr>
      <w:proofErr w:type="spellStart"/>
      <w:r w:rsidRPr="00422C77">
        <w:rPr>
          <w:sz w:val="28"/>
          <w:szCs w:val="28"/>
        </w:rPr>
        <w:t>ii</w:t>
      </w:r>
      <w:proofErr w:type="spellEnd"/>
      <w:r w:rsidRPr="00422C77">
        <w:rPr>
          <w:sz w:val="28"/>
          <w:szCs w:val="28"/>
        </w:rPr>
        <w:t>.</w:t>
      </w:r>
      <w:r w:rsidRPr="00422C77">
        <w:rPr>
          <w:sz w:val="28"/>
          <w:szCs w:val="28"/>
        </w:rPr>
        <w:tab/>
        <w:t>Ilgtspējīga rūpniecības un būvniecības politika un izejvielas;</w:t>
      </w:r>
    </w:p>
    <w:p w:rsidR="00422C77" w:rsidRPr="00422C77" w:rsidRDefault="00422C77" w:rsidP="00422C77">
      <w:pPr>
        <w:jc w:val="both"/>
        <w:rPr>
          <w:sz w:val="28"/>
          <w:szCs w:val="28"/>
        </w:rPr>
      </w:pPr>
      <w:proofErr w:type="spellStart"/>
      <w:r w:rsidRPr="00422C77">
        <w:rPr>
          <w:sz w:val="28"/>
          <w:szCs w:val="28"/>
        </w:rPr>
        <w:t>iii</w:t>
      </w:r>
      <w:proofErr w:type="spellEnd"/>
      <w:r w:rsidRPr="00422C77">
        <w:rPr>
          <w:sz w:val="28"/>
          <w:szCs w:val="28"/>
        </w:rPr>
        <w:t>.</w:t>
      </w:r>
      <w:r w:rsidRPr="00422C77">
        <w:rPr>
          <w:sz w:val="28"/>
          <w:szCs w:val="28"/>
        </w:rPr>
        <w:tab/>
        <w:t>Tīrs autotransports (</w:t>
      </w:r>
      <w:proofErr w:type="spellStart"/>
      <w:r w:rsidRPr="00D773D0">
        <w:rPr>
          <w:i/>
          <w:sz w:val="28"/>
          <w:szCs w:val="28"/>
        </w:rPr>
        <w:t>clean</w:t>
      </w:r>
      <w:proofErr w:type="spellEnd"/>
      <w:r w:rsidRPr="00D773D0">
        <w:rPr>
          <w:i/>
          <w:sz w:val="28"/>
          <w:szCs w:val="28"/>
        </w:rPr>
        <w:t xml:space="preserve"> </w:t>
      </w:r>
      <w:proofErr w:type="spellStart"/>
      <w:r w:rsidRPr="00D773D0">
        <w:rPr>
          <w:i/>
          <w:sz w:val="28"/>
          <w:szCs w:val="28"/>
        </w:rPr>
        <w:t>vehicles</w:t>
      </w:r>
      <w:proofErr w:type="spellEnd"/>
      <w:r w:rsidRPr="00422C77">
        <w:rPr>
          <w:sz w:val="28"/>
          <w:szCs w:val="28"/>
        </w:rPr>
        <w:t>);</w:t>
      </w:r>
    </w:p>
    <w:p w:rsidR="00422C77" w:rsidRPr="00422C77" w:rsidRDefault="00422C77" w:rsidP="00422C77">
      <w:pPr>
        <w:jc w:val="both"/>
        <w:rPr>
          <w:sz w:val="28"/>
          <w:szCs w:val="28"/>
        </w:rPr>
      </w:pPr>
      <w:proofErr w:type="spellStart"/>
      <w:r w:rsidRPr="00422C77">
        <w:rPr>
          <w:sz w:val="28"/>
          <w:szCs w:val="28"/>
        </w:rPr>
        <w:t>iv</w:t>
      </w:r>
      <w:proofErr w:type="spellEnd"/>
      <w:r w:rsidRPr="00422C77">
        <w:rPr>
          <w:sz w:val="28"/>
          <w:szCs w:val="28"/>
        </w:rPr>
        <w:t>.</w:t>
      </w:r>
      <w:r w:rsidRPr="00422C77">
        <w:rPr>
          <w:sz w:val="28"/>
          <w:szCs w:val="28"/>
        </w:rPr>
        <w:tab/>
      </w:r>
      <w:proofErr w:type="spellStart"/>
      <w:r w:rsidRPr="00422C77">
        <w:rPr>
          <w:sz w:val="28"/>
          <w:szCs w:val="28"/>
        </w:rPr>
        <w:t>Bio-produkti</w:t>
      </w:r>
      <w:proofErr w:type="spellEnd"/>
      <w:r w:rsidRPr="00422C77">
        <w:rPr>
          <w:sz w:val="28"/>
          <w:szCs w:val="28"/>
        </w:rPr>
        <w:t xml:space="preserve"> (</w:t>
      </w:r>
      <w:proofErr w:type="spellStart"/>
      <w:r w:rsidRPr="00D773D0">
        <w:rPr>
          <w:i/>
          <w:sz w:val="28"/>
          <w:szCs w:val="28"/>
        </w:rPr>
        <w:t>bio-based</w:t>
      </w:r>
      <w:proofErr w:type="spellEnd"/>
      <w:r w:rsidRPr="00D773D0">
        <w:rPr>
          <w:i/>
          <w:sz w:val="28"/>
          <w:szCs w:val="28"/>
        </w:rPr>
        <w:t xml:space="preserve"> </w:t>
      </w:r>
      <w:proofErr w:type="spellStart"/>
      <w:r w:rsidRPr="00D773D0">
        <w:rPr>
          <w:i/>
          <w:sz w:val="28"/>
          <w:szCs w:val="28"/>
        </w:rPr>
        <w:t>product</w:t>
      </w:r>
      <w:proofErr w:type="spellEnd"/>
      <w:r w:rsidRPr="00422C77">
        <w:rPr>
          <w:sz w:val="28"/>
          <w:szCs w:val="28"/>
        </w:rPr>
        <w:t>);</w:t>
      </w:r>
    </w:p>
    <w:p w:rsidR="00422C77" w:rsidRPr="00422C77" w:rsidRDefault="00422C77" w:rsidP="00422C77">
      <w:pPr>
        <w:jc w:val="both"/>
        <w:rPr>
          <w:sz w:val="28"/>
          <w:szCs w:val="28"/>
        </w:rPr>
      </w:pPr>
      <w:proofErr w:type="spellStart"/>
      <w:r w:rsidRPr="00422C77">
        <w:rPr>
          <w:sz w:val="28"/>
          <w:szCs w:val="28"/>
        </w:rPr>
        <w:t>v</w:t>
      </w:r>
      <w:proofErr w:type="spellEnd"/>
      <w:r w:rsidRPr="00422C77">
        <w:rPr>
          <w:sz w:val="28"/>
          <w:szCs w:val="28"/>
        </w:rPr>
        <w:t>.</w:t>
      </w:r>
      <w:r w:rsidRPr="00422C77">
        <w:rPr>
          <w:sz w:val="28"/>
          <w:szCs w:val="28"/>
        </w:rPr>
        <w:tab/>
        <w:t>Svarīgās pamattehnoloģijas (</w:t>
      </w:r>
      <w:proofErr w:type="spellStart"/>
      <w:r w:rsidRPr="00D773D0">
        <w:rPr>
          <w:i/>
          <w:sz w:val="28"/>
          <w:szCs w:val="28"/>
        </w:rPr>
        <w:t>key</w:t>
      </w:r>
      <w:proofErr w:type="spellEnd"/>
      <w:r w:rsidRPr="00D773D0">
        <w:rPr>
          <w:i/>
          <w:sz w:val="28"/>
          <w:szCs w:val="28"/>
        </w:rPr>
        <w:t xml:space="preserve"> </w:t>
      </w:r>
      <w:proofErr w:type="spellStart"/>
      <w:r w:rsidRPr="00D773D0">
        <w:rPr>
          <w:i/>
          <w:sz w:val="28"/>
          <w:szCs w:val="28"/>
        </w:rPr>
        <w:t>enabling</w:t>
      </w:r>
      <w:proofErr w:type="spellEnd"/>
      <w:r w:rsidRPr="00D773D0">
        <w:rPr>
          <w:i/>
          <w:sz w:val="28"/>
          <w:szCs w:val="28"/>
        </w:rPr>
        <w:t xml:space="preserve"> </w:t>
      </w:r>
      <w:proofErr w:type="spellStart"/>
      <w:r w:rsidRPr="00D773D0">
        <w:rPr>
          <w:i/>
          <w:sz w:val="28"/>
          <w:szCs w:val="28"/>
        </w:rPr>
        <w:t>technologies</w:t>
      </w:r>
      <w:proofErr w:type="spellEnd"/>
      <w:r w:rsidRPr="00422C77">
        <w:rPr>
          <w:sz w:val="28"/>
          <w:szCs w:val="28"/>
        </w:rPr>
        <w:t>) ;</w:t>
      </w:r>
    </w:p>
    <w:p w:rsidR="00422C77" w:rsidRPr="00422C77" w:rsidRDefault="00422C77" w:rsidP="00422C77">
      <w:pPr>
        <w:jc w:val="both"/>
        <w:rPr>
          <w:sz w:val="28"/>
          <w:szCs w:val="28"/>
        </w:rPr>
      </w:pPr>
      <w:proofErr w:type="spellStart"/>
      <w:r w:rsidRPr="00422C77">
        <w:rPr>
          <w:sz w:val="28"/>
          <w:szCs w:val="28"/>
        </w:rPr>
        <w:t>vi</w:t>
      </w:r>
      <w:proofErr w:type="spellEnd"/>
      <w:r w:rsidRPr="00422C77">
        <w:rPr>
          <w:sz w:val="28"/>
          <w:szCs w:val="28"/>
        </w:rPr>
        <w:t>.</w:t>
      </w:r>
      <w:r w:rsidRPr="00422C77">
        <w:rPr>
          <w:sz w:val="28"/>
          <w:szCs w:val="28"/>
        </w:rPr>
        <w:tab/>
        <w:t>Gudrie tīkli (</w:t>
      </w:r>
      <w:proofErr w:type="spellStart"/>
      <w:r w:rsidRPr="00D773D0">
        <w:rPr>
          <w:i/>
          <w:sz w:val="28"/>
          <w:szCs w:val="28"/>
        </w:rPr>
        <w:t>smart</w:t>
      </w:r>
      <w:proofErr w:type="spellEnd"/>
      <w:r w:rsidRPr="00D773D0">
        <w:rPr>
          <w:i/>
          <w:sz w:val="28"/>
          <w:szCs w:val="28"/>
        </w:rPr>
        <w:t xml:space="preserve"> </w:t>
      </w:r>
      <w:proofErr w:type="spellStart"/>
      <w:r w:rsidRPr="00D773D0">
        <w:rPr>
          <w:i/>
          <w:sz w:val="28"/>
          <w:szCs w:val="28"/>
        </w:rPr>
        <w:t>grids</w:t>
      </w:r>
      <w:proofErr w:type="spellEnd"/>
      <w:r w:rsidRPr="00422C77">
        <w:rPr>
          <w:sz w:val="28"/>
          <w:szCs w:val="28"/>
        </w:rPr>
        <w:t>).</w:t>
      </w:r>
    </w:p>
    <w:p w:rsidR="00422C77" w:rsidRDefault="00422C77" w:rsidP="005E628E">
      <w:pPr>
        <w:jc w:val="both"/>
        <w:rPr>
          <w:b/>
          <w:sz w:val="28"/>
          <w:szCs w:val="28"/>
        </w:rPr>
      </w:pPr>
    </w:p>
    <w:p w:rsidR="005E628E" w:rsidRDefault="005E628E" w:rsidP="005E628E">
      <w:pPr>
        <w:jc w:val="both"/>
        <w:rPr>
          <w:b/>
          <w:sz w:val="28"/>
          <w:szCs w:val="28"/>
        </w:rPr>
      </w:pPr>
      <w:r>
        <w:rPr>
          <w:b/>
          <w:sz w:val="28"/>
          <w:szCs w:val="28"/>
        </w:rPr>
        <w:t>Prezidentvalsts sagatavotais diskusiju jautājums</w:t>
      </w:r>
      <w:r w:rsidR="00422C77">
        <w:rPr>
          <w:b/>
          <w:sz w:val="28"/>
          <w:szCs w:val="28"/>
        </w:rPr>
        <w:t>:</w:t>
      </w:r>
      <w:r>
        <w:rPr>
          <w:b/>
          <w:sz w:val="28"/>
          <w:szCs w:val="28"/>
        </w:rPr>
        <w:t xml:space="preserve"> </w:t>
      </w:r>
      <w:r w:rsidRPr="005E628E">
        <w:rPr>
          <w:b/>
          <w:i/>
          <w:sz w:val="28"/>
          <w:szCs w:val="28"/>
        </w:rPr>
        <w:t>„Vai Jūs piekrītat četriem pīlāriem un sešiem prioritārajiem rīcības virzieniem, kas izvirzīti atjaunotajā rūpniecības politikas komunikācijā?”</w:t>
      </w:r>
    </w:p>
    <w:p w:rsidR="005E628E" w:rsidRDefault="005E628E" w:rsidP="00014E4E">
      <w:pPr>
        <w:jc w:val="both"/>
        <w:rPr>
          <w:b/>
          <w:sz w:val="28"/>
          <w:szCs w:val="28"/>
          <w:u w:val="single"/>
        </w:rPr>
      </w:pPr>
    </w:p>
    <w:p w:rsidR="005E628E" w:rsidRPr="005E628E" w:rsidRDefault="005E628E" w:rsidP="00014E4E">
      <w:pPr>
        <w:jc w:val="both"/>
        <w:rPr>
          <w:b/>
          <w:sz w:val="28"/>
          <w:szCs w:val="28"/>
          <w:u w:val="single"/>
        </w:rPr>
      </w:pPr>
      <w:r w:rsidRPr="005E628E">
        <w:rPr>
          <w:b/>
          <w:sz w:val="28"/>
          <w:szCs w:val="28"/>
          <w:u w:val="single"/>
        </w:rPr>
        <w:t>Latvijas poz</w:t>
      </w:r>
      <w:r>
        <w:rPr>
          <w:b/>
          <w:sz w:val="28"/>
          <w:szCs w:val="28"/>
          <w:u w:val="single"/>
        </w:rPr>
        <w:t>īcija:</w:t>
      </w:r>
    </w:p>
    <w:p w:rsidR="005E628E" w:rsidRDefault="00422C77" w:rsidP="00014E4E">
      <w:pPr>
        <w:jc w:val="both"/>
        <w:rPr>
          <w:sz w:val="28"/>
          <w:szCs w:val="28"/>
        </w:rPr>
      </w:pPr>
      <w:r>
        <w:rPr>
          <w:b/>
          <w:sz w:val="28"/>
          <w:szCs w:val="28"/>
        </w:rPr>
        <w:tab/>
      </w:r>
      <w:r w:rsidRPr="00422C77">
        <w:rPr>
          <w:b/>
          <w:sz w:val="28"/>
          <w:szCs w:val="28"/>
        </w:rPr>
        <w:t>Latvija kopumā atbalsta</w:t>
      </w:r>
      <w:r w:rsidRPr="00422C77">
        <w:rPr>
          <w:sz w:val="28"/>
          <w:szCs w:val="28"/>
        </w:rPr>
        <w:t xml:space="preserve"> EK piedāvāto atjaunoto pieeju Eiropas rūpniecības politikai, koncentrējoties uz četriem ES rūpniecības konkurētspējai būtiskiem pīlāriem</w:t>
      </w:r>
      <w:r>
        <w:rPr>
          <w:sz w:val="28"/>
          <w:szCs w:val="28"/>
        </w:rPr>
        <w:t xml:space="preserve">. </w:t>
      </w:r>
      <w:r w:rsidRPr="00422C77">
        <w:rPr>
          <w:sz w:val="28"/>
          <w:szCs w:val="28"/>
        </w:rPr>
        <w:t>Visi šie virzieni ir identificēti kā būtiski arī Latvijas rūpniecības konkurētspējas paaugstināšanas aspektā, bet jo īpaši izceļot tādus</w:t>
      </w:r>
      <w:r w:rsidR="0013164E">
        <w:rPr>
          <w:sz w:val="28"/>
          <w:szCs w:val="28"/>
        </w:rPr>
        <w:t xml:space="preserve"> nacionālā līmeņa izaicinājumus</w:t>
      </w:r>
      <w:r w:rsidRPr="00422C77">
        <w:rPr>
          <w:sz w:val="28"/>
          <w:szCs w:val="28"/>
        </w:rPr>
        <w:t xml:space="preserve"> kā inovācijas un jauno tehnoloģiju sekmēšana, piekļuve finansējumam un nepieciešamo cilvēkresursu un prasmju attīstīšana rūpniecības konkurētspējas palielināšanai.</w:t>
      </w:r>
    </w:p>
    <w:p w:rsidR="005E628E" w:rsidRDefault="00422C77" w:rsidP="00014E4E">
      <w:pPr>
        <w:jc w:val="both"/>
        <w:rPr>
          <w:sz w:val="28"/>
          <w:szCs w:val="28"/>
        </w:rPr>
      </w:pPr>
      <w:r>
        <w:rPr>
          <w:sz w:val="28"/>
          <w:szCs w:val="28"/>
        </w:rPr>
        <w:tab/>
      </w:r>
      <w:r w:rsidRPr="00422C77">
        <w:rPr>
          <w:b/>
          <w:sz w:val="28"/>
          <w:szCs w:val="28"/>
        </w:rPr>
        <w:t>Latvija var atbalstīt</w:t>
      </w:r>
      <w:r w:rsidRPr="00422C77">
        <w:rPr>
          <w:sz w:val="28"/>
          <w:szCs w:val="28"/>
        </w:rPr>
        <w:t xml:space="preserve"> arī EK</w:t>
      </w:r>
      <w:r>
        <w:rPr>
          <w:sz w:val="28"/>
          <w:szCs w:val="28"/>
        </w:rPr>
        <w:t xml:space="preserve"> piedāvātos 6 rīcības virzienus</w:t>
      </w:r>
      <w:r w:rsidRPr="00422C77">
        <w:rPr>
          <w:sz w:val="28"/>
          <w:szCs w:val="28"/>
        </w:rPr>
        <w:t>, kuros EK saredz nepieciešamību neatliekamai rīcībai, lai palielinātu investīciju apjomu un sekmētu jaunu tehnoloģiju un inovatīvu risinājumu rašanos tajos.</w:t>
      </w:r>
      <w:r>
        <w:rPr>
          <w:sz w:val="28"/>
          <w:szCs w:val="28"/>
        </w:rPr>
        <w:t xml:space="preserve"> </w:t>
      </w:r>
      <w:r w:rsidRPr="00422C77">
        <w:rPr>
          <w:sz w:val="28"/>
          <w:szCs w:val="28"/>
        </w:rPr>
        <w:t xml:space="preserve">Vienlaikus vēlamies uzsvērt, ka </w:t>
      </w:r>
      <w:r w:rsidRPr="00422C77">
        <w:rPr>
          <w:b/>
          <w:sz w:val="28"/>
          <w:szCs w:val="28"/>
        </w:rPr>
        <w:t>Latvija ir ieinteresēta</w:t>
      </w:r>
      <w:r w:rsidRPr="00422C77">
        <w:rPr>
          <w:sz w:val="28"/>
          <w:szCs w:val="28"/>
        </w:rPr>
        <w:t xml:space="preserve">, lai paustais atbalsts visiem sešiem rīcības virzieniem šajā pīlārā, tajā skaitā tiem virzieniem, kuros Latvijai nav salīdzinošo priekšrocību un attīstītas ražošanas tradīcijas (piemēram, videi draudzīgu un tīru autotransporta līdzekļu ražošana ) sniegtu ieguldījumu arī Latvijas </w:t>
      </w:r>
      <w:r w:rsidR="008172F3">
        <w:rPr>
          <w:sz w:val="28"/>
          <w:szCs w:val="28"/>
        </w:rPr>
        <w:t>tautsaimniecībai</w:t>
      </w:r>
      <w:r w:rsidRPr="00422C77">
        <w:rPr>
          <w:sz w:val="28"/>
          <w:szCs w:val="28"/>
        </w:rPr>
        <w:t>.</w:t>
      </w:r>
    </w:p>
    <w:p w:rsidR="00422C77" w:rsidRDefault="00422C77" w:rsidP="00014E4E">
      <w:pPr>
        <w:jc w:val="both"/>
        <w:rPr>
          <w:sz w:val="28"/>
          <w:szCs w:val="28"/>
        </w:rPr>
      </w:pPr>
      <w:r>
        <w:rPr>
          <w:sz w:val="28"/>
          <w:szCs w:val="28"/>
        </w:rPr>
        <w:tab/>
        <w:t xml:space="preserve">Tāpat </w:t>
      </w:r>
      <w:r w:rsidRPr="00422C77">
        <w:rPr>
          <w:b/>
          <w:sz w:val="28"/>
          <w:szCs w:val="28"/>
        </w:rPr>
        <w:t>Latvijai svarīgi</w:t>
      </w:r>
      <w:r w:rsidRPr="00422C77">
        <w:rPr>
          <w:sz w:val="28"/>
          <w:szCs w:val="28"/>
        </w:rPr>
        <w:t>, lai resursu koncentrēšana tieši šiem 6 prioritārajiem rīcības virzieniem neierobežo inovācijas (jaunu produktu, tehnoloģiju, pakalpojumu vai citu izstrādņu) attīstību jomās vai nozarēs, kas nav saistītas ar šiem identificētajiem prioritārajiem investīciju un inovācijas attīstības rīcības virzieniem. Tas attiecināms arī uz finansējuma piekļuves nosacījumiem ES lī</w:t>
      </w:r>
      <w:r w:rsidR="008172F3">
        <w:rPr>
          <w:sz w:val="28"/>
          <w:szCs w:val="28"/>
        </w:rPr>
        <w:t xml:space="preserve">meņa programmās, </w:t>
      </w:r>
      <w:r w:rsidRPr="00422C77">
        <w:rPr>
          <w:sz w:val="28"/>
          <w:szCs w:val="28"/>
        </w:rPr>
        <w:t xml:space="preserve">piemēram, </w:t>
      </w:r>
      <w:r w:rsidR="008172F3" w:rsidRPr="008172F3">
        <w:rPr>
          <w:sz w:val="28"/>
          <w:szCs w:val="28"/>
        </w:rPr>
        <w:t xml:space="preserve">pētniecības un inovācijas </w:t>
      </w:r>
      <w:proofErr w:type="spellStart"/>
      <w:r w:rsidR="008172F3" w:rsidRPr="008172F3">
        <w:rPr>
          <w:sz w:val="28"/>
          <w:szCs w:val="28"/>
        </w:rPr>
        <w:t>ietvarpr</w:t>
      </w:r>
      <w:r w:rsidR="008172F3">
        <w:rPr>
          <w:sz w:val="28"/>
          <w:szCs w:val="28"/>
        </w:rPr>
        <w:t>o</w:t>
      </w:r>
      <w:r w:rsidR="008172F3" w:rsidRPr="008172F3">
        <w:rPr>
          <w:sz w:val="28"/>
          <w:szCs w:val="28"/>
        </w:rPr>
        <w:t>grammā</w:t>
      </w:r>
      <w:proofErr w:type="spellEnd"/>
      <w:r w:rsidR="008172F3" w:rsidRPr="008172F3">
        <w:rPr>
          <w:sz w:val="28"/>
          <w:szCs w:val="28"/>
        </w:rPr>
        <w:t xml:space="preserve"> </w:t>
      </w:r>
      <w:r w:rsidR="008172F3">
        <w:rPr>
          <w:sz w:val="28"/>
          <w:szCs w:val="28"/>
        </w:rPr>
        <w:t xml:space="preserve">„Horizonts 2020”  un </w:t>
      </w:r>
      <w:r w:rsidR="008172F3" w:rsidRPr="008172F3">
        <w:rPr>
          <w:sz w:val="28"/>
          <w:szCs w:val="28"/>
        </w:rPr>
        <w:t>Uzņēmumu konkurētspējas un mazo un vidējo uzņēmumu programmā</w:t>
      </w:r>
      <w:r w:rsidRPr="00422C77">
        <w:rPr>
          <w:sz w:val="28"/>
          <w:szCs w:val="28"/>
        </w:rPr>
        <w:t xml:space="preserve"> </w:t>
      </w:r>
      <w:r w:rsidR="008172F3">
        <w:rPr>
          <w:sz w:val="28"/>
          <w:szCs w:val="28"/>
        </w:rPr>
        <w:t>(</w:t>
      </w:r>
      <w:r w:rsidRPr="00422C77">
        <w:rPr>
          <w:sz w:val="28"/>
          <w:szCs w:val="28"/>
        </w:rPr>
        <w:t>COSME</w:t>
      </w:r>
      <w:r w:rsidR="008172F3">
        <w:rPr>
          <w:sz w:val="28"/>
          <w:szCs w:val="28"/>
        </w:rPr>
        <w:t>), K</w:t>
      </w:r>
      <w:r w:rsidRPr="00422C77">
        <w:rPr>
          <w:sz w:val="28"/>
          <w:szCs w:val="28"/>
        </w:rPr>
        <w:t>ohēzijas</w:t>
      </w:r>
      <w:r w:rsidR="008172F3">
        <w:rPr>
          <w:sz w:val="28"/>
          <w:szCs w:val="28"/>
        </w:rPr>
        <w:t xml:space="preserve"> fonda</w:t>
      </w:r>
      <w:r w:rsidRPr="00422C77">
        <w:rPr>
          <w:sz w:val="28"/>
          <w:szCs w:val="28"/>
        </w:rPr>
        <w:t xml:space="preserve"> </w:t>
      </w:r>
      <w:r w:rsidR="008172F3">
        <w:rPr>
          <w:sz w:val="28"/>
          <w:szCs w:val="28"/>
        </w:rPr>
        <w:t>un E</w:t>
      </w:r>
      <w:r w:rsidR="008172F3" w:rsidRPr="008172F3">
        <w:rPr>
          <w:sz w:val="28"/>
          <w:szCs w:val="28"/>
        </w:rPr>
        <w:t xml:space="preserve">iropas Reģionālās attīstības fonda līdzekļu izmantošanu </w:t>
      </w:r>
      <w:r w:rsidRPr="00422C77">
        <w:rPr>
          <w:sz w:val="28"/>
          <w:szCs w:val="28"/>
        </w:rPr>
        <w:t>un citām programmām un instrumentiem, kas sekmē inovācijas pieaugumu rūpniecībā.</w:t>
      </w:r>
    </w:p>
    <w:p w:rsidR="005E628E" w:rsidRPr="005E628E" w:rsidRDefault="005E628E" w:rsidP="00014E4E">
      <w:pPr>
        <w:jc w:val="both"/>
        <w:rPr>
          <w:sz w:val="28"/>
          <w:szCs w:val="28"/>
        </w:rPr>
      </w:pPr>
    </w:p>
    <w:p w:rsidR="007549E1" w:rsidRDefault="007549E1" w:rsidP="00014E4E">
      <w:pPr>
        <w:jc w:val="both"/>
        <w:rPr>
          <w:i/>
          <w:sz w:val="28"/>
          <w:szCs w:val="28"/>
        </w:rPr>
      </w:pPr>
      <w:r w:rsidRPr="00014E4E">
        <w:rPr>
          <w:b/>
          <w:sz w:val="28"/>
          <w:szCs w:val="28"/>
        </w:rPr>
        <w:t>b) Komisijas paziņojums: Būvniecības nozares un tās uzņēmumu ilgtspējīgas konkurētspējas stratēģija</w:t>
      </w:r>
      <w:r w:rsidR="00014E4E">
        <w:rPr>
          <w:b/>
          <w:sz w:val="28"/>
          <w:szCs w:val="28"/>
        </w:rPr>
        <w:t xml:space="preserve"> </w:t>
      </w:r>
      <w:r w:rsidR="00014E4E" w:rsidRPr="00014E4E">
        <w:rPr>
          <w:i/>
          <w:sz w:val="28"/>
          <w:szCs w:val="28"/>
        </w:rPr>
        <w:t>(</w:t>
      </w:r>
      <w:r w:rsidRPr="007549E1">
        <w:rPr>
          <w:i/>
          <w:sz w:val="28"/>
          <w:szCs w:val="28"/>
        </w:rPr>
        <w:t>EM kompetence</w:t>
      </w:r>
      <w:r w:rsidR="00014E4E">
        <w:rPr>
          <w:i/>
          <w:sz w:val="28"/>
          <w:szCs w:val="28"/>
        </w:rPr>
        <w:t>)</w:t>
      </w:r>
    </w:p>
    <w:p w:rsidR="00C71685" w:rsidRDefault="00C71685" w:rsidP="00C71685">
      <w:pPr>
        <w:rPr>
          <w:i/>
          <w:sz w:val="28"/>
          <w:szCs w:val="28"/>
        </w:rPr>
      </w:pPr>
      <w:r>
        <w:rPr>
          <w:i/>
          <w:sz w:val="28"/>
          <w:szCs w:val="28"/>
        </w:rPr>
        <w:t xml:space="preserve">- </w:t>
      </w:r>
      <w:r w:rsidRPr="007549E1">
        <w:rPr>
          <w:i/>
          <w:sz w:val="28"/>
          <w:szCs w:val="28"/>
        </w:rPr>
        <w:t>Komisijas sniegta informācija</w:t>
      </w:r>
    </w:p>
    <w:p w:rsidR="00C71685" w:rsidRDefault="00C71685" w:rsidP="00BC652F">
      <w:pPr>
        <w:rPr>
          <w:i/>
          <w:sz w:val="28"/>
          <w:szCs w:val="28"/>
          <w:highlight w:val="yellow"/>
        </w:rPr>
      </w:pPr>
      <w:r>
        <w:rPr>
          <w:i/>
          <w:sz w:val="28"/>
          <w:szCs w:val="28"/>
        </w:rPr>
        <w:t xml:space="preserve">- </w:t>
      </w:r>
      <w:r w:rsidRPr="007549E1">
        <w:rPr>
          <w:i/>
          <w:sz w:val="28"/>
          <w:szCs w:val="28"/>
        </w:rPr>
        <w:t>viedokļu apmaiņa</w:t>
      </w:r>
    </w:p>
    <w:p w:rsidR="00BC652F" w:rsidRPr="00B04358" w:rsidRDefault="00BC652F" w:rsidP="00B04358">
      <w:pPr>
        <w:jc w:val="both"/>
        <w:rPr>
          <w:sz w:val="28"/>
          <w:szCs w:val="28"/>
          <w:highlight w:val="yellow"/>
        </w:rPr>
      </w:pPr>
    </w:p>
    <w:p w:rsidR="00B04358" w:rsidRDefault="00B04358" w:rsidP="00B04358">
      <w:pPr>
        <w:jc w:val="both"/>
        <w:rPr>
          <w:sz w:val="28"/>
          <w:szCs w:val="28"/>
        </w:rPr>
      </w:pPr>
      <w:r>
        <w:rPr>
          <w:sz w:val="28"/>
          <w:szCs w:val="28"/>
        </w:rPr>
        <w:tab/>
      </w:r>
      <w:r w:rsidRPr="00B04358">
        <w:rPr>
          <w:sz w:val="28"/>
          <w:szCs w:val="28"/>
        </w:rPr>
        <w:t xml:space="preserve">2012.gada 31.jūlijā Komisija publicēja paziņojumu </w:t>
      </w:r>
      <w:r w:rsidRPr="00B04358">
        <w:rPr>
          <w:i/>
          <w:sz w:val="28"/>
          <w:szCs w:val="28"/>
        </w:rPr>
        <w:t>„Būvniecības nozares un tās uzņēmumu ilgtspējīgas konkurētspējas stratēģija”</w:t>
      </w:r>
      <w:r w:rsidRPr="00B04358">
        <w:rPr>
          <w:sz w:val="28"/>
          <w:szCs w:val="28"/>
        </w:rPr>
        <w:t xml:space="preserve">. Paziņojumā ir uzskaitītas galvenās problēmas, ar kurām būvniecības nozare saskaras šobrīd un saskarsies līdz 2020. gadam saistībā ar ieguldījumiem, </w:t>
      </w:r>
      <w:proofErr w:type="spellStart"/>
      <w:r w:rsidRPr="00B04358">
        <w:rPr>
          <w:sz w:val="28"/>
          <w:szCs w:val="28"/>
        </w:rPr>
        <w:t>cilvēkkapitālu</w:t>
      </w:r>
      <w:proofErr w:type="spellEnd"/>
      <w:r w:rsidRPr="00B04358">
        <w:rPr>
          <w:sz w:val="28"/>
          <w:szCs w:val="28"/>
        </w:rPr>
        <w:t xml:space="preserve">, prasībām vides jomā, tirgu reglamentēšanu un pieeju tiem, kā arī piedāvātas iniciatīvas nozares atbalstam. </w:t>
      </w:r>
    </w:p>
    <w:p w:rsidR="00BC652F" w:rsidRDefault="00B04358" w:rsidP="00B04358">
      <w:pPr>
        <w:jc w:val="both"/>
        <w:rPr>
          <w:sz w:val="28"/>
          <w:szCs w:val="28"/>
        </w:rPr>
      </w:pPr>
      <w:r>
        <w:rPr>
          <w:sz w:val="28"/>
          <w:szCs w:val="28"/>
        </w:rPr>
        <w:lastRenderedPageBreak/>
        <w:tab/>
        <w:t>K</w:t>
      </w:r>
      <w:r w:rsidRPr="00B04358">
        <w:rPr>
          <w:sz w:val="28"/>
          <w:szCs w:val="28"/>
        </w:rPr>
        <w:t xml:space="preserve">ā reakcija uz krīzi </w:t>
      </w:r>
      <w:r>
        <w:rPr>
          <w:sz w:val="28"/>
          <w:szCs w:val="28"/>
        </w:rPr>
        <w:t xml:space="preserve">īstermiņa Paziņojumā </w:t>
      </w:r>
      <w:r w:rsidRPr="00B04358">
        <w:rPr>
          <w:sz w:val="28"/>
          <w:szCs w:val="28"/>
        </w:rPr>
        <w:t>tiek uzsvērta nepieciešamība atbalstīt izaugsmi un nodarbinātību būvniecības nozarē. Ilgtermiņā problēmas, ar kurām nozare saskaras, būs risināmas, izmantojot saskaņotu un koordinētu pieeju Eiropas līmenī, lai uzlabotu vērtību ķēdes darbību, konkrētāk, slēdzot privātā un publiskā sektora brīvprātīgas partnerības un vajadzības gadījumā pieņemot atbilstošu tiesisko regulējumu.</w:t>
      </w:r>
    </w:p>
    <w:p w:rsidR="00B04358" w:rsidRDefault="00B04358" w:rsidP="00B04358">
      <w:pPr>
        <w:jc w:val="both"/>
        <w:rPr>
          <w:sz w:val="28"/>
          <w:szCs w:val="28"/>
        </w:rPr>
      </w:pPr>
      <w:r>
        <w:rPr>
          <w:sz w:val="28"/>
          <w:szCs w:val="28"/>
        </w:rPr>
        <w:tab/>
      </w:r>
      <w:r w:rsidRPr="00B04358">
        <w:rPr>
          <w:sz w:val="28"/>
          <w:szCs w:val="28"/>
        </w:rPr>
        <w:t xml:space="preserve">Komisijas publicētā </w:t>
      </w:r>
      <w:r w:rsidRPr="0013164E">
        <w:rPr>
          <w:i/>
          <w:sz w:val="28"/>
          <w:szCs w:val="28"/>
        </w:rPr>
        <w:t>Būvniecības nozares un tās uzņēmumu ilgtspējīgas konkurētspējas stratēģija</w:t>
      </w:r>
      <w:r w:rsidRPr="00B04358">
        <w:rPr>
          <w:sz w:val="28"/>
          <w:szCs w:val="28"/>
        </w:rPr>
        <w:t xml:space="preserve"> ir nozīmīgs solis nozares attīstības veicināšanā visā Eiropas Savienībā. Vairāki </w:t>
      </w:r>
      <w:r>
        <w:rPr>
          <w:sz w:val="28"/>
          <w:szCs w:val="28"/>
        </w:rPr>
        <w:t xml:space="preserve">Paziņojumā ietvertie jautājumi - </w:t>
      </w:r>
      <w:r w:rsidRPr="00B04358">
        <w:rPr>
          <w:sz w:val="28"/>
          <w:szCs w:val="28"/>
        </w:rPr>
        <w:t>būvniecības nozarē labvēlīgas uzņē</w:t>
      </w:r>
      <w:r>
        <w:rPr>
          <w:sz w:val="28"/>
          <w:szCs w:val="28"/>
        </w:rPr>
        <w:t>mējdarbības vides nodrošināšana,</w:t>
      </w:r>
      <w:r w:rsidRPr="00B04358">
        <w:rPr>
          <w:sz w:val="28"/>
          <w:szCs w:val="28"/>
        </w:rPr>
        <w:t xml:space="preserve"> ēku </w:t>
      </w:r>
      <w:proofErr w:type="spellStart"/>
      <w:r w:rsidRPr="00B04358">
        <w:rPr>
          <w:sz w:val="28"/>
          <w:szCs w:val="28"/>
        </w:rPr>
        <w:t>energoefektīva</w:t>
      </w:r>
      <w:proofErr w:type="spellEnd"/>
      <w:r w:rsidRPr="00B04358">
        <w:rPr>
          <w:sz w:val="28"/>
          <w:szCs w:val="28"/>
        </w:rPr>
        <w:t xml:space="preserve"> renovācij</w:t>
      </w:r>
      <w:r>
        <w:rPr>
          <w:sz w:val="28"/>
          <w:szCs w:val="28"/>
        </w:rPr>
        <w:t>a un infrastruktūras uzturēšana,</w:t>
      </w:r>
      <w:r w:rsidRPr="00B04358">
        <w:rPr>
          <w:sz w:val="28"/>
          <w:szCs w:val="28"/>
        </w:rPr>
        <w:t xml:space="preserve"> pētniecība</w:t>
      </w:r>
      <w:r>
        <w:rPr>
          <w:sz w:val="28"/>
          <w:szCs w:val="28"/>
        </w:rPr>
        <w:t>s un inovāciju ieviešana nozarē,</w:t>
      </w:r>
      <w:r w:rsidRPr="00B04358">
        <w:rPr>
          <w:sz w:val="28"/>
          <w:szCs w:val="28"/>
        </w:rPr>
        <w:t xml:space="preserve"> </w:t>
      </w:r>
      <w:proofErr w:type="spellStart"/>
      <w:r w:rsidRPr="00B04358">
        <w:rPr>
          <w:sz w:val="28"/>
          <w:szCs w:val="28"/>
        </w:rPr>
        <w:t>cilvēkkapitāla</w:t>
      </w:r>
      <w:proofErr w:type="spellEnd"/>
      <w:r w:rsidRPr="00B04358">
        <w:rPr>
          <w:sz w:val="28"/>
          <w:szCs w:val="28"/>
        </w:rPr>
        <w:t xml:space="preserve"> bāzes uzlab</w:t>
      </w:r>
      <w:r>
        <w:rPr>
          <w:sz w:val="28"/>
          <w:szCs w:val="28"/>
        </w:rPr>
        <w:t>ošana,</w:t>
      </w:r>
      <w:r w:rsidRPr="00B04358">
        <w:rPr>
          <w:sz w:val="28"/>
          <w:szCs w:val="28"/>
        </w:rPr>
        <w:t xml:space="preserve"> ilg</w:t>
      </w:r>
      <w:r>
        <w:rPr>
          <w:sz w:val="28"/>
          <w:szCs w:val="28"/>
        </w:rPr>
        <w:t>tspējīgas būvniecības attīstība,</w:t>
      </w:r>
      <w:r w:rsidRPr="00B04358">
        <w:rPr>
          <w:sz w:val="28"/>
          <w:szCs w:val="28"/>
        </w:rPr>
        <w:t xml:space="preserve"> būvizs</w:t>
      </w:r>
      <w:r>
        <w:rPr>
          <w:sz w:val="28"/>
          <w:szCs w:val="28"/>
        </w:rPr>
        <w:t>trādājumu tirgus nostiprināšana,</w:t>
      </w:r>
      <w:r w:rsidRPr="00B04358">
        <w:rPr>
          <w:sz w:val="28"/>
          <w:szCs w:val="28"/>
        </w:rPr>
        <w:t xml:space="preserve"> </w:t>
      </w:r>
      <w:proofErr w:type="spellStart"/>
      <w:r w:rsidRPr="00B04358">
        <w:rPr>
          <w:sz w:val="28"/>
          <w:szCs w:val="28"/>
        </w:rPr>
        <w:t>Eirokodeksa</w:t>
      </w:r>
      <w:proofErr w:type="spellEnd"/>
      <w:r w:rsidRPr="00B04358">
        <w:rPr>
          <w:sz w:val="28"/>
          <w:szCs w:val="28"/>
        </w:rPr>
        <w:t xml:space="preserve"> proj</w:t>
      </w:r>
      <w:r>
        <w:rPr>
          <w:sz w:val="28"/>
          <w:szCs w:val="28"/>
        </w:rPr>
        <w:t>ektēšanas standartu piemērošana -</w:t>
      </w:r>
      <w:r w:rsidRPr="00B04358">
        <w:rPr>
          <w:sz w:val="28"/>
          <w:szCs w:val="28"/>
        </w:rPr>
        <w:t xml:space="preserve"> kā nozīmīgi formulēti arī izstrādājot Latvijas būvniecības nozares attīstības dokumentus, tai skaitā Ekonomikas ministrijas izstrādājamās </w:t>
      </w:r>
      <w:r w:rsidRPr="0013164E">
        <w:rPr>
          <w:i/>
          <w:sz w:val="28"/>
          <w:szCs w:val="28"/>
        </w:rPr>
        <w:t>Būvniecības nozares attīstības pamatnostādnes</w:t>
      </w:r>
      <w:r w:rsidRPr="00B04358">
        <w:rPr>
          <w:sz w:val="28"/>
          <w:szCs w:val="28"/>
        </w:rPr>
        <w:t xml:space="preserve"> </w:t>
      </w:r>
      <w:r w:rsidRPr="0013164E">
        <w:rPr>
          <w:i/>
          <w:sz w:val="28"/>
          <w:szCs w:val="28"/>
        </w:rPr>
        <w:t>2012.-2016.gadam</w:t>
      </w:r>
      <w:r w:rsidRPr="00B04358">
        <w:rPr>
          <w:sz w:val="28"/>
          <w:szCs w:val="28"/>
        </w:rPr>
        <w:t>, kurās noteikti politikas pamatprincipi, mērķi un prioritātes būvniecības nozares līdzsvarotai attīstībai turpmākajiem pieciem gadiem.</w:t>
      </w:r>
    </w:p>
    <w:p w:rsidR="00B04358" w:rsidRDefault="00B04358" w:rsidP="00B04358">
      <w:pPr>
        <w:jc w:val="both"/>
        <w:rPr>
          <w:sz w:val="28"/>
          <w:szCs w:val="28"/>
        </w:rPr>
      </w:pPr>
    </w:p>
    <w:p w:rsidR="005125D9" w:rsidRPr="005125D9" w:rsidRDefault="005125D9" w:rsidP="00B04358">
      <w:pPr>
        <w:jc w:val="both"/>
        <w:rPr>
          <w:b/>
          <w:sz w:val="28"/>
          <w:szCs w:val="28"/>
          <w:u w:val="single"/>
        </w:rPr>
      </w:pPr>
      <w:r w:rsidRPr="005125D9">
        <w:rPr>
          <w:b/>
          <w:sz w:val="28"/>
          <w:szCs w:val="28"/>
          <w:u w:val="single"/>
        </w:rPr>
        <w:t>Latvijas pozīcija:</w:t>
      </w:r>
    </w:p>
    <w:p w:rsidR="005125D9" w:rsidRDefault="005125D9" w:rsidP="00B04358">
      <w:pPr>
        <w:jc w:val="both"/>
        <w:rPr>
          <w:sz w:val="28"/>
          <w:szCs w:val="28"/>
        </w:rPr>
      </w:pPr>
    </w:p>
    <w:p w:rsidR="005125D9" w:rsidRDefault="001A59C1" w:rsidP="00B04358">
      <w:pPr>
        <w:jc w:val="both"/>
        <w:rPr>
          <w:sz w:val="28"/>
          <w:szCs w:val="28"/>
        </w:rPr>
      </w:pPr>
      <w:r>
        <w:rPr>
          <w:b/>
          <w:sz w:val="28"/>
          <w:szCs w:val="28"/>
        </w:rPr>
        <w:tab/>
      </w:r>
      <w:r w:rsidR="005125D9" w:rsidRPr="005125D9">
        <w:rPr>
          <w:b/>
          <w:sz w:val="28"/>
          <w:szCs w:val="28"/>
        </w:rPr>
        <w:t>Latvijas uzskata</w:t>
      </w:r>
      <w:r w:rsidR="005125D9">
        <w:rPr>
          <w:sz w:val="28"/>
          <w:szCs w:val="28"/>
        </w:rPr>
        <w:t>, ka</w:t>
      </w:r>
      <w:r w:rsidR="005125D9" w:rsidRPr="005125D9">
        <w:rPr>
          <w:sz w:val="28"/>
          <w:szCs w:val="28"/>
        </w:rPr>
        <w:t xml:space="preserve"> </w:t>
      </w:r>
      <w:r w:rsidR="005125D9" w:rsidRPr="0013164E">
        <w:rPr>
          <w:i/>
          <w:sz w:val="28"/>
          <w:szCs w:val="28"/>
        </w:rPr>
        <w:t>Būvniecības nozares un tās uzņēmumu ilgtspējīgas konkurētspējas stratēģija</w:t>
      </w:r>
      <w:r w:rsidR="005125D9" w:rsidRPr="005125D9">
        <w:rPr>
          <w:sz w:val="28"/>
          <w:szCs w:val="28"/>
        </w:rPr>
        <w:t xml:space="preserve"> vērtējama kā nepieciešama iniciatīva nozares attīstības veicināšanā.</w:t>
      </w:r>
      <w:r w:rsidR="005125D9">
        <w:rPr>
          <w:sz w:val="28"/>
          <w:szCs w:val="28"/>
        </w:rPr>
        <w:t xml:space="preserve"> </w:t>
      </w:r>
      <w:r w:rsidR="005125D9" w:rsidRPr="005125D9">
        <w:rPr>
          <w:sz w:val="28"/>
          <w:szCs w:val="28"/>
        </w:rPr>
        <w:t xml:space="preserve">Latvijas ieskatā Stratēģija veicinās administratīvo resursu efektīvu īstenošanu tādām jau uzsāktām iniciatīvām kā BUILD UP </w:t>
      </w:r>
      <w:proofErr w:type="spellStart"/>
      <w:r w:rsidR="005125D9" w:rsidRPr="005125D9">
        <w:rPr>
          <w:sz w:val="28"/>
          <w:szCs w:val="28"/>
        </w:rPr>
        <w:t>Skills</w:t>
      </w:r>
      <w:proofErr w:type="spellEnd"/>
      <w:r w:rsidR="005125D9" w:rsidRPr="005125D9">
        <w:rPr>
          <w:sz w:val="28"/>
          <w:szCs w:val="28"/>
        </w:rPr>
        <w:t>, profesionālās izglītības programmu aktualizēšana būvniecības nozares pašreizējām un paredzamajām vajadzībām, kā arī profesionālās prakses kvalitātes veicināšana un tirgus uzraudzības sistēmas aktualizēšana atbilstoši Regulas (ES) Nr.305/2011 nepieciešamībai.</w:t>
      </w:r>
    </w:p>
    <w:p w:rsidR="005125D9" w:rsidRDefault="005125D9" w:rsidP="00B04358">
      <w:pPr>
        <w:jc w:val="both"/>
        <w:rPr>
          <w:sz w:val="28"/>
          <w:szCs w:val="28"/>
        </w:rPr>
      </w:pPr>
    </w:p>
    <w:p w:rsidR="00B04358" w:rsidRDefault="00B04358" w:rsidP="00B04358">
      <w:pPr>
        <w:jc w:val="both"/>
        <w:rPr>
          <w:b/>
          <w:sz w:val="28"/>
          <w:szCs w:val="28"/>
        </w:rPr>
      </w:pPr>
      <w:r>
        <w:rPr>
          <w:b/>
          <w:sz w:val="28"/>
          <w:szCs w:val="28"/>
        </w:rPr>
        <w:t xml:space="preserve">Prezidentvalsts sagatavotais diskusiju jautājums: </w:t>
      </w:r>
      <w:r w:rsidRPr="005E628E">
        <w:rPr>
          <w:b/>
          <w:i/>
          <w:sz w:val="28"/>
          <w:szCs w:val="28"/>
        </w:rPr>
        <w:t>„</w:t>
      </w:r>
      <w:r w:rsidRPr="00B04358">
        <w:rPr>
          <w:b/>
          <w:i/>
          <w:sz w:val="28"/>
          <w:szCs w:val="28"/>
        </w:rPr>
        <w:t xml:space="preserve">Ar kādām problēmām saskaras būvniecības nozare jūsu valstī un kādas darbības ir veiktas vai paredzētas, lai risinātu radušos situāciju, tostarp, ar mērķi palīdzēt kompānijām izplest savu </w:t>
      </w:r>
      <w:r>
        <w:rPr>
          <w:b/>
          <w:i/>
          <w:sz w:val="28"/>
          <w:szCs w:val="28"/>
        </w:rPr>
        <w:t>darbību starptautiskajā tirgū?”</w:t>
      </w:r>
    </w:p>
    <w:p w:rsidR="00B04358" w:rsidRDefault="00B04358" w:rsidP="00B04358">
      <w:pPr>
        <w:jc w:val="both"/>
        <w:rPr>
          <w:b/>
          <w:sz w:val="28"/>
          <w:szCs w:val="28"/>
          <w:u w:val="single"/>
        </w:rPr>
      </w:pPr>
    </w:p>
    <w:p w:rsidR="00B04358" w:rsidRPr="005E628E" w:rsidRDefault="00B04358" w:rsidP="00B04358">
      <w:pPr>
        <w:jc w:val="both"/>
        <w:rPr>
          <w:b/>
          <w:sz w:val="28"/>
          <w:szCs w:val="28"/>
          <w:u w:val="single"/>
        </w:rPr>
      </w:pPr>
      <w:r w:rsidRPr="005E628E">
        <w:rPr>
          <w:b/>
          <w:sz w:val="28"/>
          <w:szCs w:val="28"/>
          <w:u w:val="single"/>
        </w:rPr>
        <w:t xml:space="preserve">Latvijas </w:t>
      </w:r>
      <w:r w:rsidR="005125D9">
        <w:rPr>
          <w:b/>
          <w:sz w:val="28"/>
          <w:szCs w:val="28"/>
          <w:u w:val="single"/>
        </w:rPr>
        <w:t>pozīcija</w:t>
      </w:r>
      <w:r>
        <w:rPr>
          <w:b/>
          <w:sz w:val="28"/>
          <w:szCs w:val="28"/>
          <w:u w:val="single"/>
        </w:rPr>
        <w:t>:</w:t>
      </w:r>
    </w:p>
    <w:p w:rsidR="00B04358" w:rsidRDefault="00B04358" w:rsidP="00B04358">
      <w:pPr>
        <w:jc w:val="both"/>
        <w:rPr>
          <w:sz w:val="28"/>
          <w:szCs w:val="28"/>
          <w:highlight w:val="yellow"/>
        </w:rPr>
      </w:pPr>
    </w:p>
    <w:p w:rsidR="001A59C1" w:rsidRDefault="005125D9" w:rsidP="005125D9">
      <w:pPr>
        <w:jc w:val="both"/>
        <w:rPr>
          <w:sz w:val="28"/>
          <w:szCs w:val="28"/>
        </w:rPr>
      </w:pPr>
      <w:r>
        <w:rPr>
          <w:sz w:val="28"/>
          <w:szCs w:val="28"/>
        </w:rPr>
        <w:tab/>
      </w:r>
      <w:r w:rsidR="001A59C1" w:rsidRPr="001A59C1">
        <w:rPr>
          <w:sz w:val="28"/>
          <w:szCs w:val="28"/>
        </w:rPr>
        <w:t xml:space="preserve">Finanšu krīze ir nopietni skārusi visas tautsaimniecības nozares un Latvijā nopietni ietekmējusi būvniecības nozari. Tās ietekmē ir apjaustas problēmas, kas kavējušas nozares ilgtspējīgu attīstību un kuras nepieciešams risināt. Būvniecības nozares politikas plānošanas procesā konsultējoties ar nozares ekspertiem, par </w:t>
      </w:r>
      <w:r w:rsidR="001A59C1" w:rsidRPr="001A59C1">
        <w:rPr>
          <w:sz w:val="28"/>
          <w:szCs w:val="28"/>
          <w:u w:val="single"/>
        </w:rPr>
        <w:t>galvenajiem ilgtspējīgas attīstības kavēkļiem</w:t>
      </w:r>
      <w:r w:rsidR="001A59C1" w:rsidRPr="001A59C1">
        <w:rPr>
          <w:sz w:val="28"/>
          <w:szCs w:val="28"/>
        </w:rPr>
        <w:t xml:space="preserve"> Latvijā tika atzīts būvniecības procesa administratīvais slogs, zema </w:t>
      </w:r>
      <w:proofErr w:type="spellStart"/>
      <w:r w:rsidR="001A59C1" w:rsidRPr="001A59C1">
        <w:rPr>
          <w:sz w:val="28"/>
          <w:szCs w:val="28"/>
        </w:rPr>
        <w:t>būvspeciālistu</w:t>
      </w:r>
      <w:proofErr w:type="spellEnd"/>
      <w:r w:rsidR="001A59C1" w:rsidRPr="001A59C1">
        <w:rPr>
          <w:sz w:val="28"/>
          <w:szCs w:val="28"/>
        </w:rPr>
        <w:t xml:space="preserve"> </w:t>
      </w:r>
      <w:r w:rsidR="001A59C1" w:rsidRPr="001A59C1">
        <w:rPr>
          <w:sz w:val="28"/>
          <w:szCs w:val="28"/>
        </w:rPr>
        <w:lastRenderedPageBreak/>
        <w:t xml:space="preserve">atbilstības novērtēšanas sistēmas efektivitāte un atsevišķu būvniecības profesionālās izglītības programmu neatbilstība mūsdienu nozares darba tirgus apstākļiem. </w:t>
      </w:r>
    </w:p>
    <w:p w:rsidR="00AF61D5" w:rsidRDefault="001A59C1" w:rsidP="001A59C1">
      <w:pPr>
        <w:jc w:val="both"/>
        <w:rPr>
          <w:sz w:val="28"/>
          <w:szCs w:val="28"/>
        </w:rPr>
      </w:pPr>
      <w:r>
        <w:rPr>
          <w:sz w:val="28"/>
          <w:szCs w:val="28"/>
        </w:rPr>
        <w:tab/>
      </w:r>
      <w:r w:rsidRPr="001A59C1">
        <w:rPr>
          <w:sz w:val="28"/>
          <w:szCs w:val="28"/>
        </w:rPr>
        <w:t>Tāpat, veicot būvniecības nozares uzraudzību, Latvijā tika konstatētas grūtības ar standartu piemērošanu būvizstrādājumu atbilstības novērtēšanā. Latvijas ražotāji ir saskārušies ar nepieciešamām papildus pārbaudēm,  piedāvājot Latvijā testētus iz</w:t>
      </w:r>
      <w:r w:rsidR="00AF61D5">
        <w:rPr>
          <w:sz w:val="28"/>
          <w:szCs w:val="28"/>
        </w:rPr>
        <w:t>strādājumus citās dalībvalstīs.</w:t>
      </w:r>
    </w:p>
    <w:p w:rsidR="001A59C1" w:rsidRDefault="00AF61D5" w:rsidP="001A59C1">
      <w:pPr>
        <w:jc w:val="both"/>
        <w:rPr>
          <w:sz w:val="28"/>
          <w:szCs w:val="28"/>
        </w:rPr>
      </w:pPr>
      <w:r>
        <w:rPr>
          <w:sz w:val="28"/>
          <w:szCs w:val="28"/>
        </w:rPr>
        <w:tab/>
        <w:t>Savukārt n</w:t>
      </w:r>
      <w:r w:rsidR="001A59C1" w:rsidRPr="001A59C1">
        <w:rPr>
          <w:sz w:val="28"/>
          <w:szCs w:val="28"/>
        </w:rPr>
        <w:t>evalstiskās organizācijas norāda uz nepieciešamību pēc publiski pieejamiem tehniskos noteikumus skaidrojošiem dokumentiem, tai skaitā skaidrojot ilgtspējīgas būvniecības tehniskos noteikumus, kad tie tiks izstrādāti.</w:t>
      </w:r>
    </w:p>
    <w:p w:rsidR="001A59C1" w:rsidRPr="001A59C1" w:rsidRDefault="001A59C1" w:rsidP="001A59C1">
      <w:pPr>
        <w:ind w:firstLine="720"/>
        <w:jc w:val="both"/>
        <w:rPr>
          <w:sz w:val="28"/>
          <w:szCs w:val="28"/>
        </w:rPr>
      </w:pPr>
      <w:r w:rsidRPr="001A59C1">
        <w:rPr>
          <w:sz w:val="28"/>
          <w:szCs w:val="28"/>
        </w:rPr>
        <w:t xml:space="preserve">Minētās problēmas </w:t>
      </w:r>
      <w:r w:rsidRPr="001A59C1">
        <w:rPr>
          <w:sz w:val="28"/>
          <w:szCs w:val="28"/>
          <w:u w:val="single"/>
        </w:rPr>
        <w:t>Latvijā tiek risinātas</w:t>
      </w:r>
      <w:r w:rsidRPr="001A59C1">
        <w:rPr>
          <w:sz w:val="28"/>
          <w:szCs w:val="28"/>
        </w:rPr>
        <w:t>, pilnveidojot normatīvo bāzi (Saeimā tiek skatīts jauns Būvniecības likuma projekts), kā arī uzsākts darbs nozares profesionālās izglītības sistēmas pārzināšanā un atjauninātu profesionālo izglītības programmu standartu  izstrādē. Vienlaicīgi  jaunajā  būvniecības  normatīvajā regulējumā  ir  paredzēta  būvniecības speciālistu profesionālo atbildību  precizēšana  starp  visiem  būvniecības  procesa  dalībniekiem  un  šo  atbildību  apdrošināšana .</w:t>
      </w:r>
    </w:p>
    <w:p w:rsidR="001A59C1" w:rsidRDefault="001A59C1" w:rsidP="001A59C1">
      <w:pPr>
        <w:ind w:firstLine="720"/>
        <w:jc w:val="both"/>
        <w:rPr>
          <w:sz w:val="28"/>
          <w:szCs w:val="28"/>
        </w:rPr>
      </w:pPr>
      <w:r w:rsidRPr="001A59C1">
        <w:rPr>
          <w:sz w:val="28"/>
          <w:szCs w:val="28"/>
        </w:rPr>
        <w:t>Tāpat, Latvija, plānojot turpmāko būvniecības nozares attīstību, jau ir paredzējusi nepieciešamību attīstīt iniciatīvas, kas atbalsta pētniecības un tehnoloģiju attīstību, kā arī ieteikumos būvniecības iepirkumu īstenošanai kā saimnieciski izdevīgākā piedāvājuma izvērtēšanas kritēriju noteikusi videi draudzīgu būvizstrādājumu izmantošanu un energoefektīvu iekārtu piedāvājumu.</w:t>
      </w:r>
    </w:p>
    <w:p w:rsidR="001A59C1" w:rsidRDefault="001A59C1" w:rsidP="005125D9">
      <w:pPr>
        <w:jc w:val="both"/>
        <w:rPr>
          <w:sz w:val="28"/>
          <w:szCs w:val="28"/>
        </w:rPr>
      </w:pPr>
    </w:p>
    <w:p w:rsidR="007549E1" w:rsidRDefault="007549E1" w:rsidP="00014E4E">
      <w:pPr>
        <w:jc w:val="both"/>
        <w:rPr>
          <w:i/>
          <w:sz w:val="28"/>
          <w:szCs w:val="28"/>
        </w:rPr>
      </w:pPr>
      <w:r w:rsidRPr="00014E4E">
        <w:rPr>
          <w:b/>
          <w:sz w:val="28"/>
          <w:szCs w:val="28"/>
        </w:rPr>
        <w:t>c) Komisijas paziņojums – Kultūras un radošās nozares radošai izaugsmei ES</w:t>
      </w:r>
      <w:r w:rsidR="00014E4E">
        <w:rPr>
          <w:b/>
          <w:sz w:val="28"/>
          <w:szCs w:val="28"/>
        </w:rPr>
        <w:t xml:space="preserve"> </w:t>
      </w:r>
      <w:r w:rsidR="00014E4E" w:rsidRPr="00014E4E">
        <w:rPr>
          <w:i/>
          <w:sz w:val="28"/>
          <w:szCs w:val="28"/>
        </w:rPr>
        <w:t>(</w:t>
      </w:r>
      <w:r w:rsidRPr="007549E1">
        <w:rPr>
          <w:i/>
          <w:sz w:val="28"/>
          <w:szCs w:val="28"/>
        </w:rPr>
        <w:t>KM kompetence</w:t>
      </w:r>
      <w:r w:rsidR="00014E4E">
        <w:rPr>
          <w:i/>
          <w:sz w:val="28"/>
          <w:szCs w:val="28"/>
        </w:rPr>
        <w:t>)</w:t>
      </w:r>
    </w:p>
    <w:p w:rsidR="00C71685" w:rsidRDefault="00C71685" w:rsidP="00C71685">
      <w:pPr>
        <w:rPr>
          <w:i/>
          <w:sz w:val="28"/>
          <w:szCs w:val="28"/>
        </w:rPr>
      </w:pPr>
      <w:r>
        <w:rPr>
          <w:i/>
          <w:sz w:val="28"/>
          <w:szCs w:val="28"/>
        </w:rPr>
        <w:t xml:space="preserve">- </w:t>
      </w:r>
      <w:r w:rsidRPr="007549E1">
        <w:rPr>
          <w:i/>
          <w:sz w:val="28"/>
          <w:szCs w:val="28"/>
        </w:rPr>
        <w:t>Komisijas sniegta informācija</w:t>
      </w:r>
    </w:p>
    <w:p w:rsidR="00C71685" w:rsidRDefault="00C71685" w:rsidP="00C71685">
      <w:pPr>
        <w:rPr>
          <w:i/>
          <w:sz w:val="28"/>
          <w:szCs w:val="28"/>
          <w:highlight w:val="yellow"/>
        </w:rPr>
      </w:pPr>
      <w:r>
        <w:rPr>
          <w:i/>
          <w:sz w:val="28"/>
          <w:szCs w:val="28"/>
        </w:rPr>
        <w:t xml:space="preserve">- </w:t>
      </w:r>
      <w:r w:rsidRPr="007549E1">
        <w:rPr>
          <w:i/>
          <w:sz w:val="28"/>
          <w:szCs w:val="28"/>
        </w:rPr>
        <w:t>viedokļu apmaiņa</w:t>
      </w:r>
    </w:p>
    <w:p w:rsidR="00E730E6" w:rsidRPr="00487328" w:rsidRDefault="00E730E6" w:rsidP="006031F7">
      <w:pPr>
        <w:tabs>
          <w:tab w:val="left" w:pos="284"/>
        </w:tabs>
        <w:ind w:firstLine="851"/>
        <w:jc w:val="both"/>
        <w:rPr>
          <w:i/>
          <w:sz w:val="28"/>
          <w:szCs w:val="28"/>
          <w:highlight w:val="yellow"/>
        </w:rPr>
      </w:pPr>
    </w:p>
    <w:p w:rsidR="00850B6B" w:rsidRPr="00850B6B" w:rsidRDefault="00C71685" w:rsidP="00C71685">
      <w:pPr>
        <w:jc w:val="both"/>
        <w:rPr>
          <w:sz w:val="28"/>
          <w:szCs w:val="28"/>
        </w:rPr>
      </w:pPr>
      <w:r>
        <w:rPr>
          <w:sz w:val="28"/>
          <w:szCs w:val="28"/>
        </w:rPr>
        <w:tab/>
      </w:r>
      <w:r w:rsidR="00850B6B" w:rsidRPr="00850B6B">
        <w:rPr>
          <w:sz w:val="28"/>
          <w:szCs w:val="28"/>
        </w:rPr>
        <w:t xml:space="preserve">Komisija publicējusi ziņojumu ar galveno mērķi norādīt uz kultūras un radošo industriju potenciālu izaugsmes un jaunu darba vietu radīšanā, kā arī pārejas uz inovāciju sabiedrību paātrināšanā. Lai īstenotu šo potenciālu, ir jāveic virkne darbību nacionālā, reģionālā un ES līmenī.  Tomēr jau šobrīd kultūras un radošās industrijas Eiropas Savienībā  veido 3,3% no IKP un nodarbina 6,7 </w:t>
      </w:r>
      <w:proofErr w:type="spellStart"/>
      <w:r w:rsidR="00850B6B" w:rsidRPr="00850B6B">
        <w:rPr>
          <w:sz w:val="28"/>
          <w:szCs w:val="28"/>
        </w:rPr>
        <w:t>milj.cilvēku</w:t>
      </w:r>
      <w:proofErr w:type="spellEnd"/>
      <w:r w:rsidR="00850B6B" w:rsidRPr="00850B6B">
        <w:rPr>
          <w:sz w:val="28"/>
          <w:szCs w:val="28"/>
        </w:rPr>
        <w:t xml:space="preserve"> (3% no kopējā nodarbināto skaita).</w:t>
      </w:r>
    </w:p>
    <w:p w:rsidR="00850B6B" w:rsidRPr="00850B6B" w:rsidRDefault="00C71685" w:rsidP="00C71685">
      <w:pPr>
        <w:jc w:val="both"/>
        <w:rPr>
          <w:sz w:val="28"/>
          <w:szCs w:val="28"/>
        </w:rPr>
      </w:pPr>
      <w:r>
        <w:rPr>
          <w:sz w:val="28"/>
          <w:szCs w:val="28"/>
        </w:rPr>
        <w:tab/>
      </w:r>
      <w:r w:rsidR="00850B6B" w:rsidRPr="00850B6B">
        <w:rPr>
          <w:sz w:val="28"/>
          <w:szCs w:val="28"/>
        </w:rPr>
        <w:t xml:space="preserve">Komisijas ieteiktās darbības dalībvalstīm un to pamatojums ir iekļauts ziņojumā. Pirmkārt, Komisija aicina novērtēt kultūras un radošo industriju potenciālu gudrai, iekļaujošai un ilgtspējīgai izaugsmei un tālāk integrēt tās visa līmeņa attīstības stratēģijās, kā arī stiprināt sadarbību starp šīm </w:t>
      </w:r>
      <w:proofErr w:type="spellStart"/>
      <w:r w:rsidR="00850B6B" w:rsidRPr="00850B6B">
        <w:rPr>
          <w:sz w:val="28"/>
          <w:szCs w:val="28"/>
        </w:rPr>
        <w:t>industrijām</w:t>
      </w:r>
      <w:proofErr w:type="spellEnd"/>
      <w:r w:rsidR="00850B6B" w:rsidRPr="00850B6B">
        <w:rPr>
          <w:sz w:val="28"/>
          <w:szCs w:val="28"/>
        </w:rPr>
        <w:t xml:space="preserve"> un citām nozarēm – </w:t>
      </w:r>
      <w:r w:rsidR="0013164E">
        <w:rPr>
          <w:sz w:val="28"/>
          <w:szCs w:val="28"/>
        </w:rPr>
        <w:t>informācijas un komunikāciju tehnoloģijas (</w:t>
      </w:r>
      <w:r w:rsidR="00850B6B" w:rsidRPr="00850B6B">
        <w:rPr>
          <w:sz w:val="28"/>
          <w:szCs w:val="28"/>
        </w:rPr>
        <w:t>IKT</w:t>
      </w:r>
      <w:r w:rsidR="0013164E">
        <w:rPr>
          <w:sz w:val="28"/>
          <w:szCs w:val="28"/>
        </w:rPr>
        <w:t>)</w:t>
      </w:r>
      <w:r w:rsidR="00850B6B" w:rsidRPr="00850B6B">
        <w:rPr>
          <w:sz w:val="28"/>
          <w:szCs w:val="28"/>
        </w:rPr>
        <w:t xml:space="preserve">, tūrismu </w:t>
      </w:r>
      <w:proofErr w:type="spellStart"/>
      <w:r w:rsidR="00850B6B" w:rsidRPr="00850B6B">
        <w:rPr>
          <w:sz w:val="28"/>
          <w:szCs w:val="28"/>
        </w:rPr>
        <w:t>u.c</w:t>
      </w:r>
      <w:proofErr w:type="spellEnd"/>
      <w:r w:rsidR="00850B6B" w:rsidRPr="00850B6B">
        <w:rPr>
          <w:sz w:val="28"/>
          <w:szCs w:val="28"/>
        </w:rPr>
        <w:t xml:space="preserve">. Otrkārt, aicina sekmēt platformu, tīklojumu un puduru veidošanos valsts un privāto sadarbības partneru starpā. </w:t>
      </w:r>
    </w:p>
    <w:p w:rsidR="00850B6B" w:rsidRDefault="00C71685" w:rsidP="00C71685">
      <w:pPr>
        <w:jc w:val="both"/>
        <w:rPr>
          <w:sz w:val="28"/>
          <w:szCs w:val="28"/>
        </w:rPr>
      </w:pPr>
      <w:r>
        <w:rPr>
          <w:sz w:val="28"/>
          <w:szCs w:val="28"/>
        </w:rPr>
        <w:lastRenderedPageBreak/>
        <w:tab/>
      </w:r>
      <w:r w:rsidR="00850B6B" w:rsidRPr="00850B6B">
        <w:rPr>
          <w:sz w:val="28"/>
          <w:szCs w:val="28"/>
        </w:rPr>
        <w:t xml:space="preserve">Treškārt, būtu jāveicina tādu nozaru neformālās izglītības kvalifikācijas atzīšana un apmācības, kas svarīgas kultūras un radošām </w:t>
      </w:r>
      <w:proofErr w:type="spellStart"/>
      <w:r w:rsidR="00850B6B" w:rsidRPr="00850B6B">
        <w:rPr>
          <w:sz w:val="28"/>
          <w:szCs w:val="28"/>
        </w:rPr>
        <w:t>industrijām</w:t>
      </w:r>
      <w:proofErr w:type="spellEnd"/>
      <w:r w:rsidR="00850B6B" w:rsidRPr="00850B6B">
        <w:rPr>
          <w:sz w:val="28"/>
          <w:szCs w:val="28"/>
        </w:rPr>
        <w:t xml:space="preserve">. Tāpat Komisija aicina veidot īpašus atbalsta mehānismus kultūras un radošo industriju atbalstam, tostarp uzlabot šo industriju spēju piesaistīt investīcijas un finanses, kā arī sekmēt finanšu institūciju gatavību investēt kultūras un radošajās </w:t>
      </w:r>
      <w:proofErr w:type="spellStart"/>
      <w:r w:rsidR="00850B6B" w:rsidRPr="00850B6B">
        <w:rPr>
          <w:sz w:val="28"/>
          <w:szCs w:val="28"/>
        </w:rPr>
        <w:t>industrijās</w:t>
      </w:r>
      <w:proofErr w:type="spellEnd"/>
      <w:r w:rsidR="00850B6B" w:rsidRPr="00850B6B">
        <w:rPr>
          <w:sz w:val="28"/>
          <w:szCs w:val="28"/>
        </w:rPr>
        <w:t xml:space="preserve">. Komisija arī uzsver nepieciešamību veicināt kultūras un radošo industriju dalību starptautiskos tirgos. Visbeidzot, būtu jāatbalsta šo industriju jaunu attīstības stratēģiju un biznesa modeļu ieviešana saistībā ar digitālā tirgus iespējām un jāatbalsta kultūras satura </w:t>
      </w:r>
      <w:proofErr w:type="spellStart"/>
      <w:r w:rsidR="00850B6B" w:rsidRPr="00850B6B">
        <w:rPr>
          <w:sz w:val="28"/>
          <w:szCs w:val="28"/>
        </w:rPr>
        <w:t>digitalizācija</w:t>
      </w:r>
      <w:proofErr w:type="spellEnd"/>
      <w:r w:rsidR="00850B6B" w:rsidRPr="00850B6B">
        <w:rPr>
          <w:sz w:val="28"/>
          <w:szCs w:val="28"/>
        </w:rPr>
        <w:t>.</w:t>
      </w:r>
    </w:p>
    <w:p w:rsidR="00C71685" w:rsidRPr="00850B6B" w:rsidRDefault="00C71685" w:rsidP="00C71685">
      <w:pPr>
        <w:jc w:val="both"/>
        <w:rPr>
          <w:sz w:val="28"/>
          <w:szCs w:val="28"/>
        </w:rPr>
      </w:pPr>
    </w:p>
    <w:p w:rsidR="00C71685" w:rsidRDefault="00C71685" w:rsidP="00C71685">
      <w:pPr>
        <w:jc w:val="both"/>
        <w:rPr>
          <w:rFonts w:eastAsia="Calibri"/>
          <w:b/>
          <w:sz w:val="28"/>
          <w:szCs w:val="28"/>
          <w:u w:val="single"/>
          <w:lang w:eastAsia="en-US"/>
        </w:rPr>
      </w:pPr>
      <w:r w:rsidRPr="00C71685">
        <w:rPr>
          <w:rFonts w:eastAsia="Calibri"/>
          <w:b/>
          <w:sz w:val="28"/>
          <w:szCs w:val="28"/>
          <w:u w:val="single"/>
          <w:lang w:eastAsia="en-US"/>
        </w:rPr>
        <w:t>Latvijas pozīcija</w:t>
      </w:r>
      <w:r w:rsidR="004F0096">
        <w:rPr>
          <w:rFonts w:eastAsia="Calibri"/>
          <w:b/>
          <w:sz w:val="28"/>
          <w:szCs w:val="28"/>
          <w:u w:val="single"/>
          <w:lang w:eastAsia="en-US"/>
        </w:rPr>
        <w:t>:</w:t>
      </w:r>
    </w:p>
    <w:p w:rsidR="00C71685" w:rsidRPr="00C71685" w:rsidRDefault="00C71685" w:rsidP="0009145C">
      <w:pPr>
        <w:jc w:val="both"/>
        <w:rPr>
          <w:rFonts w:eastAsia="Calibri"/>
          <w:b/>
          <w:sz w:val="28"/>
          <w:szCs w:val="28"/>
          <w:u w:val="single"/>
          <w:lang w:eastAsia="en-US"/>
        </w:rPr>
      </w:pPr>
    </w:p>
    <w:p w:rsidR="00850B6B" w:rsidRDefault="00C71685" w:rsidP="00BC652F">
      <w:pPr>
        <w:jc w:val="both"/>
        <w:rPr>
          <w:sz w:val="28"/>
          <w:szCs w:val="28"/>
        </w:rPr>
      </w:pPr>
      <w:r>
        <w:rPr>
          <w:sz w:val="28"/>
          <w:szCs w:val="28"/>
        </w:rPr>
        <w:tab/>
      </w:r>
      <w:r w:rsidR="00850B6B" w:rsidRPr="00C71685">
        <w:rPr>
          <w:b/>
          <w:sz w:val="28"/>
          <w:szCs w:val="28"/>
        </w:rPr>
        <w:t>Latvija pieņem zināšanai</w:t>
      </w:r>
      <w:r w:rsidR="00850B6B" w:rsidRPr="00850B6B">
        <w:rPr>
          <w:sz w:val="28"/>
          <w:szCs w:val="28"/>
        </w:rPr>
        <w:t xml:space="preserve"> Komisijas ziņojumu, kas detalizēti apskata kultūras un radošo industriju ekonomisko un sociālo potenciālu un sniedz konkrētus priekšlikumus šī potenciāla veiksmīgākai pielietošanai. Ziņojums ir noderīgs īpaši šobrīd, kad top Latvijas Nacionālais attīstības plāns 2014.-2020.gadam un kultūrpolitikas vadlīnijas „Radošā Latvija 2014-2020” jaunam plānošanas periodam, kurās liela nozīme paredzēta tieši kultūras un radošo industriju attīstībai Latvijā.</w:t>
      </w:r>
    </w:p>
    <w:p w:rsidR="00850B6B" w:rsidRDefault="00850B6B" w:rsidP="00BC652F">
      <w:pPr>
        <w:jc w:val="both"/>
        <w:rPr>
          <w:sz w:val="28"/>
          <w:szCs w:val="28"/>
        </w:rPr>
      </w:pPr>
    </w:p>
    <w:p w:rsidR="00BC652F" w:rsidRPr="00BC652F" w:rsidRDefault="00BC652F" w:rsidP="004F0096">
      <w:pPr>
        <w:jc w:val="both"/>
        <w:rPr>
          <w:b/>
          <w:i/>
          <w:sz w:val="28"/>
          <w:szCs w:val="28"/>
        </w:rPr>
      </w:pPr>
      <w:r>
        <w:rPr>
          <w:b/>
          <w:sz w:val="28"/>
          <w:szCs w:val="28"/>
        </w:rPr>
        <w:tab/>
      </w:r>
      <w:r w:rsidRPr="00BC652F">
        <w:rPr>
          <w:b/>
          <w:sz w:val="28"/>
          <w:szCs w:val="28"/>
        </w:rPr>
        <w:t xml:space="preserve">Prezidentvalsts sagatavotais diskusiju jautājums: </w:t>
      </w:r>
      <w:r w:rsidRPr="00BC652F">
        <w:rPr>
          <w:b/>
          <w:i/>
          <w:sz w:val="28"/>
          <w:szCs w:val="28"/>
        </w:rPr>
        <w:t>„Mums turpmāk ir jāapzinās kultūras un radošo nozaru ekonomiskais nozīmīgums un jāstiprina šo nozaru loma nodarbinātības un izaugsmes radīšanai, kā arī veicinot labvēlīgu vidi inovācijai. Kādas prioritāras iniciatīvas ES līmenī būtu jāveicina, lai sasniegtu šos mērķus?</w:t>
      </w:r>
      <w:r>
        <w:rPr>
          <w:b/>
          <w:i/>
          <w:sz w:val="28"/>
          <w:szCs w:val="28"/>
        </w:rPr>
        <w:t>”</w:t>
      </w:r>
    </w:p>
    <w:p w:rsidR="0023512B" w:rsidRDefault="0023512B" w:rsidP="004F0096">
      <w:pPr>
        <w:jc w:val="both"/>
        <w:rPr>
          <w:b/>
          <w:sz w:val="28"/>
          <w:szCs w:val="28"/>
          <w:highlight w:val="yellow"/>
          <w:u w:val="single"/>
        </w:rPr>
      </w:pPr>
    </w:p>
    <w:p w:rsidR="00BC652F" w:rsidRPr="00BC652F" w:rsidRDefault="00BC652F" w:rsidP="0023512B">
      <w:pPr>
        <w:jc w:val="both"/>
        <w:rPr>
          <w:b/>
          <w:sz w:val="28"/>
          <w:szCs w:val="28"/>
          <w:u w:val="single"/>
        </w:rPr>
      </w:pPr>
      <w:r w:rsidRPr="006B1326">
        <w:rPr>
          <w:b/>
          <w:sz w:val="28"/>
          <w:szCs w:val="28"/>
          <w:u w:val="single"/>
        </w:rPr>
        <w:t>Latvijas pozīcija:</w:t>
      </w:r>
    </w:p>
    <w:p w:rsidR="0023512B" w:rsidRDefault="0023512B" w:rsidP="0023512B">
      <w:pPr>
        <w:jc w:val="both"/>
        <w:rPr>
          <w:sz w:val="28"/>
          <w:szCs w:val="28"/>
        </w:rPr>
      </w:pPr>
    </w:p>
    <w:p w:rsidR="0023512B" w:rsidRPr="0023512B" w:rsidRDefault="0023512B" w:rsidP="0023512B">
      <w:pPr>
        <w:jc w:val="both"/>
        <w:rPr>
          <w:sz w:val="28"/>
          <w:szCs w:val="28"/>
        </w:rPr>
      </w:pPr>
      <w:r>
        <w:rPr>
          <w:sz w:val="28"/>
          <w:szCs w:val="28"/>
        </w:rPr>
        <w:tab/>
      </w:r>
      <w:r w:rsidR="00E145F1" w:rsidRPr="00E145F1">
        <w:rPr>
          <w:b/>
          <w:sz w:val="28"/>
          <w:szCs w:val="28"/>
        </w:rPr>
        <w:t>Latvija uzskata</w:t>
      </w:r>
      <w:r w:rsidR="00E145F1">
        <w:rPr>
          <w:sz w:val="28"/>
          <w:szCs w:val="28"/>
        </w:rPr>
        <w:t>, ka d</w:t>
      </w:r>
      <w:r w:rsidRPr="0023512B">
        <w:rPr>
          <w:sz w:val="28"/>
          <w:szCs w:val="28"/>
        </w:rPr>
        <w:t xml:space="preserve">arbības, kas noteiktas Komisijas Paziņojumā par kultūras un radošo industriju veicināšanu, ir pietiekami izsmeļošas un daudzpusīgas, lai tās turpinātu atbalstīt šo industriju attīstību. Vienlīdz svarīgi ES līmenī ir gan apkopot un skaidrot dažādās finanšu iespējas kultūras un radošām </w:t>
      </w:r>
      <w:proofErr w:type="spellStart"/>
      <w:r w:rsidRPr="0023512B">
        <w:rPr>
          <w:sz w:val="28"/>
          <w:szCs w:val="28"/>
        </w:rPr>
        <w:t>industrijām</w:t>
      </w:r>
      <w:proofErr w:type="spellEnd"/>
      <w:r w:rsidRPr="0023512B">
        <w:rPr>
          <w:sz w:val="28"/>
          <w:szCs w:val="28"/>
        </w:rPr>
        <w:t xml:space="preserve">, gan veicināt atbalstošas juridiskās bāzes veidošanu, gan arī turpināt iesāktās labas prakses un pieredzes apmaiņas platformas. Tas palīdzētu nostiprināties esošiem radošajiem uzņēmumiem, dot jaunas darba vietas, kā arī veicinātu jaunas iniciatīvas šajā nozarē. </w:t>
      </w:r>
    </w:p>
    <w:p w:rsidR="0023512B" w:rsidRPr="0023512B" w:rsidRDefault="0023512B" w:rsidP="0023512B">
      <w:pPr>
        <w:jc w:val="both"/>
        <w:rPr>
          <w:sz w:val="28"/>
          <w:szCs w:val="28"/>
        </w:rPr>
      </w:pPr>
      <w:r>
        <w:rPr>
          <w:sz w:val="28"/>
          <w:szCs w:val="28"/>
        </w:rPr>
        <w:tab/>
      </w:r>
      <w:r w:rsidR="00E145F1" w:rsidRPr="00E145F1">
        <w:rPr>
          <w:b/>
          <w:sz w:val="28"/>
          <w:szCs w:val="28"/>
        </w:rPr>
        <w:t>Latvija norāda</w:t>
      </w:r>
      <w:r w:rsidR="00E145F1">
        <w:rPr>
          <w:sz w:val="28"/>
          <w:szCs w:val="28"/>
        </w:rPr>
        <w:t xml:space="preserve">, ka </w:t>
      </w:r>
      <w:r w:rsidRPr="0023512B">
        <w:rPr>
          <w:sz w:val="28"/>
          <w:szCs w:val="28"/>
        </w:rPr>
        <w:t xml:space="preserve">Eiropas Savienības līmenī būtiski nodrošināt pilnvērtīgu statistikas datu apkopošanu par kultūras un radošo industriju sektoru, veikt ietekmes izvērtēšanu, veicināt labās prakses piemēru popularizēšanu. Uz pierādījumiem balstītas pieejas izmantošana ir viens no svarīgākajiem priekšnoteikumiem kultūras un radošo industriju sektora attīstībā, kā arī izpratnes veicināšanā par tā mijiedarbību ar citām nozarēm, pozitīvo ietekmi un ieguldījumu ES 2020 mērķu sasniegšanā. </w:t>
      </w:r>
    </w:p>
    <w:p w:rsidR="0023512B" w:rsidRPr="0023512B" w:rsidRDefault="0023512B" w:rsidP="0023512B">
      <w:pPr>
        <w:jc w:val="both"/>
        <w:rPr>
          <w:sz w:val="28"/>
          <w:szCs w:val="28"/>
        </w:rPr>
      </w:pPr>
      <w:r>
        <w:rPr>
          <w:sz w:val="28"/>
          <w:szCs w:val="28"/>
        </w:rPr>
        <w:lastRenderedPageBreak/>
        <w:tab/>
      </w:r>
      <w:r w:rsidR="00E145F1" w:rsidRPr="00E145F1">
        <w:rPr>
          <w:b/>
          <w:sz w:val="28"/>
          <w:szCs w:val="28"/>
        </w:rPr>
        <w:t>Latvija uzskata</w:t>
      </w:r>
      <w:r w:rsidR="00E145F1">
        <w:rPr>
          <w:sz w:val="28"/>
          <w:szCs w:val="28"/>
        </w:rPr>
        <w:t>, ka š</w:t>
      </w:r>
      <w:r w:rsidRPr="0023512B">
        <w:rPr>
          <w:sz w:val="28"/>
          <w:szCs w:val="28"/>
        </w:rPr>
        <w:t>obrīd īpaši svarīgi iekļaut kultūras un radošās industrijas pie galvenajām atbalstāmajām jomām Vienotajā Stratēģiskajā ietvarā (</w:t>
      </w:r>
      <w:proofErr w:type="spellStart"/>
      <w:r w:rsidRPr="0023512B">
        <w:rPr>
          <w:i/>
          <w:sz w:val="28"/>
          <w:szCs w:val="28"/>
        </w:rPr>
        <w:t>Common</w:t>
      </w:r>
      <w:proofErr w:type="spellEnd"/>
      <w:r w:rsidRPr="0023512B">
        <w:rPr>
          <w:i/>
          <w:sz w:val="28"/>
          <w:szCs w:val="28"/>
        </w:rPr>
        <w:t xml:space="preserve"> </w:t>
      </w:r>
      <w:proofErr w:type="spellStart"/>
      <w:r w:rsidRPr="0023512B">
        <w:rPr>
          <w:i/>
          <w:sz w:val="28"/>
          <w:szCs w:val="28"/>
        </w:rPr>
        <w:t>Strategic</w:t>
      </w:r>
      <w:proofErr w:type="spellEnd"/>
      <w:r w:rsidRPr="0023512B">
        <w:rPr>
          <w:i/>
          <w:sz w:val="28"/>
          <w:szCs w:val="28"/>
        </w:rPr>
        <w:t xml:space="preserve"> </w:t>
      </w:r>
      <w:proofErr w:type="spellStart"/>
      <w:r w:rsidRPr="0023512B">
        <w:rPr>
          <w:i/>
          <w:sz w:val="28"/>
          <w:szCs w:val="28"/>
        </w:rPr>
        <w:t>Framework</w:t>
      </w:r>
      <w:proofErr w:type="spellEnd"/>
      <w:r w:rsidRPr="0023512B">
        <w:rPr>
          <w:sz w:val="28"/>
          <w:szCs w:val="28"/>
        </w:rPr>
        <w:t xml:space="preserve">) un nacionālās un reģionālās attīstības stratēģijās, nosakot pamatuzdevumus un galvenās darbības šajā sektorā. Kā norādīts arī ziņojumā, atsauču trūkums uz šīm </w:t>
      </w:r>
      <w:proofErr w:type="spellStart"/>
      <w:r w:rsidRPr="0023512B">
        <w:rPr>
          <w:sz w:val="28"/>
          <w:szCs w:val="28"/>
        </w:rPr>
        <w:t>industrijām</w:t>
      </w:r>
      <w:proofErr w:type="spellEnd"/>
      <w:r w:rsidRPr="0023512B">
        <w:rPr>
          <w:sz w:val="28"/>
          <w:szCs w:val="28"/>
        </w:rPr>
        <w:t xml:space="preserve"> ES finanšu instrumentu plānošanas dokumentos ir šķērslis investīciju veicināšanai šajā sektorā. Atbalsts būtiski sekmētu gan jaunu uzņēmumu veidošanos, gan esošo radošo uzņēmumu izaugsmi un inovāciju spēju, kā arī palīdzētu tiem nostiprināties vietējā tirgū un veicināt </w:t>
      </w:r>
      <w:proofErr w:type="spellStart"/>
      <w:r w:rsidRPr="0023512B">
        <w:rPr>
          <w:sz w:val="28"/>
          <w:szCs w:val="28"/>
        </w:rPr>
        <w:t>eksportspēju</w:t>
      </w:r>
      <w:proofErr w:type="spellEnd"/>
      <w:r w:rsidRPr="0023512B">
        <w:rPr>
          <w:sz w:val="28"/>
          <w:szCs w:val="28"/>
        </w:rPr>
        <w:t xml:space="preserve"> Eiropā un tirgos ārpus tās.</w:t>
      </w:r>
    </w:p>
    <w:p w:rsidR="00BC652F" w:rsidRDefault="0023512B" w:rsidP="0023512B">
      <w:pPr>
        <w:jc w:val="both"/>
        <w:rPr>
          <w:sz w:val="28"/>
          <w:szCs w:val="28"/>
        </w:rPr>
      </w:pPr>
      <w:r w:rsidRPr="00E145F1">
        <w:rPr>
          <w:b/>
          <w:sz w:val="28"/>
          <w:szCs w:val="28"/>
        </w:rPr>
        <w:tab/>
      </w:r>
      <w:r w:rsidR="00E145F1" w:rsidRPr="00E145F1">
        <w:rPr>
          <w:b/>
          <w:sz w:val="28"/>
          <w:szCs w:val="28"/>
        </w:rPr>
        <w:t>Latvija norāda</w:t>
      </w:r>
      <w:r w:rsidR="00E145F1">
        <w:rPr>
          <w:sz w:val="28"/>
          <w:szCs w:val="28"/>
        </w:rPr>
        <w:t>, ka v</w:t>
      </w:r>
      <w:r w:rsidRPr="0023512B">
        <w:rPr>
          <w:sz w:val="28"/>
          <w:szCs w:val="28"/>
        </w:rPr>
        <w:t>ienlaikus līdzās tehnoloģisko inovāciju atbalstam būtiski ir atzīt un atbalstīt netehnoloģisko inovāciju potenciālu gan Vienotajā Stratēģiskajā ietvarā, gan nacionālās un reģionālās attīstības plānošanā. Netehnoloģisko inovāciju potenciāls ir nepietiekami novērtēts, lai gan tas ir viens no nozīmīgākajiem resursiem Eiropas konkurētspējas palielināšanā.</w:t>
      </w:r>
    </w:p>
    <w:p w:rsidR="0023512B" w:rsidRDefault="0023512B" w:rsidP="004F0096">
      <w:pPr>
        <w:jc w:val="both"/>
        <w:rPr>
          <w:sz w:val="28"/>
          <w:szCs w:val="28"/>
        </w:rPr>
      </w:pPr>
    </w:p>
    <w:p w:rsidR="00014E4E" w:rsidRPr="00014E4E" w:rsidRDefault="00014E4E" w:rsidP="004F0096">
      <w:pPr>
        <w:jc w:val="both"/>
        <w:rPr>
          <w:b/>
          <w:sz w:val="28"/>
          <w:szCs w:val="28"/>
        </w:rPr>
      </w:pPr>
      <w:r w:rsidRPr="00014E4E">
        <w:rPr>
          <w:b/>
          <w:sz w:val="28"/>
          <w:szCs w:val="28"/>
        </w:rPr>
        <w:t>d) Svarīgas pamattehnoloģijas un Eiropas inovāciju partnerība izejvielu jomā</w:t>
      </w:r>
      <w:r w:rsidR="003C7819">
        <w:rPr>
          <w:b/>
          <w:sz w:val="28"/>
          <w:szCs w:val="28"/>
        </w:rPr>
        <w:t xml:space="preserve"> </w:t>
      </w:r>
      <w:r w:rsidR="003C7819" w:rsidRPr="003C7819">
        <w:rPr>
          <w:i/>
          <w:sz w:val="28"/>
          <w:szCs w:val="28"/>
        </w:rPr>
        <w:t>(</w:t>
      </w:r>
      <w:r w:rsidR="003C7819">
        <w:rPr>
          <w:i/>
          <w:sz w:val="28"/>
          <w:szCs w:val="28"/>
        </w:rPr>
        <w:t>EM kompetence</w:t>
      </w:r>
      <w:r w:rsidR="003C7819" w:rsidRPr="003C7819">
        <w:rPr>
          <w:i/>
          <w:sz w:val="28"/>
          <w:szCs w:val="28"/>
        </w:rPr>
        <w:t>)</w:t>
      </w:r>
    </w:p>
    <w:p w:rsidR="00014E4E" w:rsidRPr="00EE47E2" w:rsidRDefault="00014E4E" w:rsidP="00EE47E2">
      <w:pPr>
        <w:jc w:val="both"/>
        <w:rPr>
          <w:i/>
          <w:sz w:val="28"/>
          <w:szCs w:val="28"/>
        </w:rPr>
      </w:pPr>
      <w:r w:rsidRPr="00EE47E2">
        <w:rPr>
          <w:i/>
          <w:sz w:val="28"/>
          <w:szCs w:val="28"/>
        </w:rPr>
        <w:t>- Padomes secinājumu pieņemšana</w:t>
      </w:r>
    </w:p>
    <w:p w:rsidR="00EE47E2" w:rsidRDefault="00EE47E2" w:rsidP="00EE47E2">
      <w:pPr>
        <w:jc w:val="both"/>
        <w:rPr>
          <w:sz w:val="28"/>
          <w:szCs w:val="28"/>
        </w:rPr>
      </w:pPr>
    </w:p>
    <w:p w:rsidR="00EE47E2" w:rsidRDefault="00EE47E2" w:rsidP="00EE66F8">
      <w:pPr>
        <w:jc w:val="both"/>
        <w:rPr>
          <w:sz w:val="28"/>
          <w:szCs w:val="28"/>
        </w:rPr>
      </w:pPr>
      <w:r>
        <w:rPr>
          <w:sz w:val="28"/>
          <w:szCs w:val="28"/>
        </w:rPr>
        <w:tab/>
      </w:r>
      <w:r w:rsidRPr="00EE47E2">
        <w:rPr>
          <w:sz w:val="28"/>
          <w:szCs w:val="28"/>
        </w:rPr>
        <w:t>2012.gada jūnija Eiropadomē Eiropas valstu un valdību vadītāji vienojās, ka Eiropas rūpniecības inovācijas potenciālu var veicināt, stipri</w:t>
      </w:r>
      <w:r>
        <w:rPr>
          <w:sz w:val="28"/>
          <w:szCs w:val="28"/>
        </w:rPr>
        <w:t xml:space="preserve">not svarīgās pamattehnoloģijas </w:t>
      </w:r>
      <w:r w:rsidRPr="00EE47E2">
        <w:rPr>
          <w:sz w:val="28"/>
          <w:szCs w:val="28"/>
        </w:rPr>
        <w:t>(</w:t>
      </w:r>
      <w:proofErr w:type="spellStart"/>
      <w:r w:rsidRPr="00EE47E2">
        <w:rPr>
          <w:i/>
          <w:sz w:val="28"/>
          <w:szCs w:val="28"/>
        </w:rPr>
        <w:t>Key</w:t>
      </w:r>
      <w:proofErr w:type="spellEnd"/>
      <w:r w:rsidRPr="00EE47E2">
        <w:rPr>
          <w:i/>
          <w:sz w:val="28"/>
          <w:szCs w:val="28"/>
        </w:rPr>
        <w:t xml:space="preserve"> </w:t>
      </w:r>
      <w:proofErr w:type="spellStart"/>
      <w:r w:rsidRPr="00EE47E2">
        <w:rPr>
          <w:i/>
          <w:sz w:val="28"/>
          <w:szCs w:val="28"/>
        </w:rPr>
        <w:t>Enabling</w:t>
      </w:r>
      <w:proofErr w:type="spellEnd"/>
      <w:r w:rsidRPr="00EE47E2">
        <w:rPr>
          <w:i/>
          <w:sz w:val="28"/>
          <w:szCs w:val="28"/>
        </w:rPr>
        <w:t xml:space="preserve"> Technologies</w:t>
      </w:r>
      <w:r>
        <w:rPr>
          <w:sz w:val="28"/>
          <w:szCs w:val="28"/>
        </w:rPr>
        <w:t xml:space="preserve"> – KET). Eiropas Komisija</w:t>
      </w:r>
      <w:r w:rsidRPr="00EE47E2">
        <w:rPr>
          <w:sz w:val="28"/>
          <w:szCs w:val="28"/>
        </w:rPr>
        <w:t xml:space="preserve"> jau ir noteikusi KET par prioritāti savā stratēģijā „Eiropa 2020” un tās vadošajās iniciatīvās: „Inovācijas savienība”, „Integrēta rūpniecības politika globalizācijas laikmetam” un „Digitālā programma Eiropai”, bet tagad </w:t>
      </w:r>
      <w:r w:rsidR="00EE66F8">
        <w:rPr>
          <w:sz w:val="28"/>
          <w:szCs w:val="28"/>
        </w:rPr>
        <w:t>Komisija</w:t>
      </w:r>
      <w:r w:rsidRPr="00EE47E2">
        <w:rPr>
          <w:sz w:val="28"/>
          <w:szCs w:val="28"/>
        </w:rPr>
        <w:t xml:space="preserve"> ir nākusi klajā ar paziņojumu „Eiropas stratēģija par svarīgām pamattehnoloģijām – tilts uz izaugsmi un nodarbinātību” (Paziņojums). Paziņojuma galvenais mērķis ir veidot sinerģiju starp Eiropas Savienības (ES) politiskajiem virzieniem un instrumentiem un nodrošināt ES un nacionāla līmeņa rīcību koordināciju. Šī stratēģija attiecas uz visām KET, un tās mērķis galvenokārt ir saskaņot centienus, lai mērķtiecīgi un pēc iespējas labāk izmantotu publiskos resursus, tostarp veidojot politisko ietvaru saistītajām iniciatīvām, kuras skar KET.</w:t>
      </w:r>
    </w:p>
    <w:p w:rsidR="00EE47E2" w:rsidRDefault="00EE47E2" w:rsidP="00EE66F8">
      <w:pPr>
        <w:jc w:val="both"/>
        <w:rPr>
          <w:sz w:val="28"/>
          <w:szCs w:val="28"/>
        </w:rPr>
      </w:pPr>
      <w:r>
        <w:rPr>
          <w:sz w:val="28"/>
          <w:szCs w:val="28"/>
        </w:rPr>
        <w:tab/>
        <w:t>S</w:t>
      </w:r>
      <w:r w:rsidRPr="00EE47E2">
        <w:rPr>
          <w:sz w:val="28"/>
          <w:szCs w:val="28"/>
        </w:rPr>
        <w:t>anāksmē plānots apstiprināt „</w:t>
      </w:r>
      <w:r w:rsidRPr="00EE47E2">
        <w:rPr>
          <w:i/>
          <w:sz w:val="28"/>
          <w:szCs w:val="28"/>
        </w:rPr>
        <w:t>Padomes secinājumus par svarīgām pamattehnoloģijām un Eiropas inovācijas partnerību izejvielu jomā</w:t>
      </w:r>
      <w:r>
        <w:rPr>
          <w:sz w:val="28"/>
          <w:szCs w:val="28"/>
        </w:rPr>
        <w:t>”</w:t>
      </w:r>
      <w:r w:rsidRPr="00EE47E2">
        <w:rPr>
          <w:sz w:val="28"/>
          <w:szCs w:val="28"/>
        </w:rPr>
        <w:t>. Padome secinājumos uzsver nepieciešamību pielāgot un racionalizēt ES politikas instrumentus KET jo</w:t>
      </w:r>
      <w:r w:rsidR="0013164E">
        <w:rPr>
          <w:sz w:val="28"/>
          <w:szCs w:val="28"/>
        </w:rPr>
        <w:t>mā, atzīmējot arī demonstrāciju</w:t>
      </w:r>
      <w:r w:rsidRPr="00EE47E2">
        <w:rPr>
          <w:sz w:val="28"/>
          <w:szCs w:val="28"/>
        </w:rPr>
        <w:t xml:space="preserve"> un </w:t>
      </w:r>
      <w:proofErr w:type="spellStart"/>
      <w:r w:rsidRPr="00EE47E2">
        <w:rPr>
          <w:sz w:val="28"/>
          <w:szCs w:val="28"/>
        </w:rPr>
        <w:t>pārnozaru</w:t>
      </w:r>
      <w:proofErr w:type="spellEnd"/>
      <w:r w:rsidRPr="00EE47E2">
        <w:rPr>
          <w:sz w:val="28"/>
          <w:szCs w:val="28"/>
        </w:rPr>
        <w:t xml:space="preserve"> projektu nozīmīgumu, tostarp piekrītot nepieciešamībai, kur iespējams, koordinēt ES, nacionāla un reģionāla līmeņa aktivitātes, kā arī nodrošinot līdzvērtīgus nosacījumus atvērtā un konkurētspējīgā globālajā tirgū, apliecinot arī klasteru politikas lomu.</w:t>
      </w:r>
    </w:p>
    <w:p w:rsidR="00EE66F8" w:rsidRDefault="00EE66F8" w:rsidP="00EE66F8">
      <w:pPr>
        <w:jc w:val="both"/>
        <w:rPr>
          <w:sz w:val="28"/>
          <w:szCs w:val="28"/>
        </w:rPr>
      </w:pPr>
      <w:r>
        <w:rPr>
          <w:sz w:val="28"/>
          <w:szCs w:val="28"/>
        </w:rPr>
        <w:tab/>
      </w:r>
      <w:r w:rsidRPr="00EE66F8">
        <w:rPr>
          <w:sz w:val="28"/>
          <w:szCs w:val="28"/>
        </w:rPr>
        <w:t xml:space="preserve">Padome aicina </w:t>
      </w:r>
      <w:r>
        <w:rPr>
          <w:sz w:val="28"/>
          <w:szCs w:val="28"/>
        </w:rPr>
        <w:t>Komisiju</w:t>
      </w:r>
      <w:r w:rsidRPr="00EE66F8">
        <w:rPr>
          <w:sz w:val="28"/>
          <w:szCs w:val="28"/>
        </w:rPr>
        <w:t xml:space="preserve"> uzsākt</w:t>
      </w:r>
      <w:r>
        <w:rPr>
          <w:sz w:val="28"/>
          <w:szCs w:val="28"/>
        </w:rPr>
        <w:t xml:space="preserve"> </w:t>
      </w:r>
      <w:r w:rsidRPr="00EE66F8">
        <w:rPr>
          <w:i/>
          <w:sz w:val="28"/>
          <w:szCs w:val="28"/>
        </w:rPr>
        <w:t>Eiropas inovācijas partnerību</w:t>
      </w:r>
      <w:r>
        <w:rPr>
          <w:sz w:val="28"/>
          <w:szCs w:val="28"/>
        </w:rPr>
        <w:t xml:space="preserve"> (turpmāk -</w:t>
      </w:r>
      <w:r w:rsidRPr="00EE66F8">
        <w:rPr>
          <w:sz w:val="28"/>
          <w:szCs w:val="28"/>
        </w:rPr>
        <w:t xml:space="preserve"> EIP</w:t>
      </w:r>
      <w:r>
        <w:rPr>
          <w:sz w:val="28"/>
          <w:szCs w:val="28"/>
        </w:rPr>
        <w:t>)</w:t>
      </w:r>
      <w:r w:rsidRPr="00EE66F8">
        <w:rPr>
          <w:sz w:val="28"/>
          <w:szCs w:val="28"/>
        </w:rPr>
        <w:t xml:space="preserve"> </w:t>
      </w:r>
      <w:r w:rsidRPr="00EE66F8">
        <w:rPr>
          <w:i/>
          <w:sz w:val="28"/>
          <w:szCs w:val="28"/>
        </w:rPr>
        <w:t>izejvielu jomā</w:t>
      </w:r>
      <w:r w:rsidRPr="00EE66F8">
        <w:rPr>
          <w:sz w:val="28"/>
          <w:szCs w:val="28"/>
        </w:rPr>
        <w:t xml:space="preserve">, vienlaikus, sadarbībā ar Augsta līmeņa vadības grupu, </w:t>
      </w:r>
      <w:r w:rsidRPr="00EE66F8">
        <w:rPr>
          <w:sz w:val="28"/>
          <w:szCs w:val="28"/>
        </w:rPr>
        <w:lastRenderedPageBreak/>
        <w:t xml:space="preserve">pabeigt Stratēģiskās ieviešanas plāna izstrādi līdz 2013.gadam. EIP izejvielu jomā pārvaldīšanai Padome aicina </w:t>
      </w:r>
      <w:r>
        <w:rPr>
          <w:sz w:val="28"/>
          <w:szCs w:val="28"/>
        </w:rPr>
        <w:t>Komisijas</w:t>
      </w:r>
      <w:r w:rsidRPr="00EE66F8">
        <w:rPr>
          <w:sz w:val="28"/>
          <w:szCs w:val="28"/>
        </w:rPr>
        <w:t xml:space="preserve"> Augsta līmeņa vadības grupā norīkot augsta līmeņa pārstāvjus no dalībvalstīm un citas iesaistītās puses, lai tiktu nodrošināts labs balanss starp visām pusēm, kas var nodrošināt ekspertīz</w:t>
      </w:r>
      <w:r>
        <w:rPr>
          <w:sz w:val="28"/>
          <w:szCs w:val="28"/>
        </w:rPr>
        <w:t xml:space="preserve">i visā izejvielu vērtības ķēdē. Tāpat </w:t>
      </w:r>
      <w:r w:rsidRPr="00EE66F8">
        <w:rPr>
          <w:sz w:val="28"/>
          <w:szCs w:val="28"/>
        </w:rPr>
        <w:t xml:space="preserve">Padome aicina </w:t>
      </w:r>
      <w:r>
        <w:rPr>
          <w:sz w:val="28"/>
          <w:szCs w:val="28"/>
        </w:rPr>
        <w:t>Komisiju</w:t>
      </w:r>
      <w:r w:rsidRPr="00EE66F8">
        <w:rPr>
          <w:sz w:val="28"/>
          <w:szCs w:val="28"/>
        </w:rPr>
        <w:t xml:space="preserve"> 2013.gada jūnija beigās ziņot par sasniegto progresu EIP izejvielu jomā, jo īpaši attiecībā uz Stratēģiskā ieviešanas plāna īstenošanas gaitu.</w:t>
      </w:r>
    </w:p>
    <w:p w:rsidR="00711538" w:rsidRDefault="00711538" w:rsidP="00895A74">
      <w:pPr>
        <w:jc w:val="both"/>
        <w:rPr>
          <w:sz w:val="28"/>
          <w:szCs w:val="28"/>
        </w:rPr>
      </w:pPr>
    </w:p>
    <w:p w:rsidR="00EE66F8" w:rsidRPr="00EE66F8" w:rsidRDefault="00EE66F8" w:rsidP="004F0096">
      <w:pPr>
        <w:jc w:val="both"/>
        <w:rPr>
          <w:b/>
          <w:sz w:val="28"/>
          <w:szCs w:val="28"/>
          <w:u w:val="single"/>
        </w:rPr>
      </w:pPr>
      <w:r w:rsidRPr="00EE66F8">
        <w:rPr>
          <w:b/>
          <w:sz w:val="28"/>
          <w:szCs w:val="28"/>
          <w:u w:val="single"/>
        </w:rPr>
        <w:t>Latvijas pozīcija:</w:t>
      </w:r>
    </w:p>
    <w:p w:rsidR="004F0096" w:rsidRDefault="004F0096" w:rsidP="004F0096">
      <w:pPr>
        <w:ind w:firstLine="720"/>
        <w:jc w:val="both"/>
        <w:rPr>
          <w:b/>
          <w:sz w:val="28"/>
          <w:szCs w:val="28"/>
        </w:rPr>
      </w:pPr>
    </w:p>
    <w:p w:rsidR="00FC1C37" w:rsidRDefault="00FC1C37" w:rsidP="004F0096">
      <w:pPr>
        <w:ind w:firstLine="720"/>
        <w:jc w:val="both"/>
        <w:rPr>
          <w:sz w:val="28"/>
          <w:szCs w:val="28"/>
        </w:rPr>
      </w:pPr>
      <w:r w:rsidRPr="0024322A">
        <w:rPr>
          <w:b/>
          <w:sz w:val="28"/>
          <w:szCs w:val="28"/>
        </w:rPr>
        <w:t>Latvija kopumā atbalsta</w:t>
      </w:r>
      <w:r w:rsidRPr="0024322A">
        <w:rPr>
          <w:sz w:val="28"/>
          <w:szCs w:val="28"/>
        </w:rPr>
        <w:t xml:space="preserve"> Padomes secinājumu apstiprināšanu, jo tie skaidri iezīmē ietvaru un attiecīgi veicamās rīcības EK un dalībvalstīm KET stratēģijas īstenošanai, kā arī EIP izejvielu jomā uzsākšanai.</w:t>
      </w:r>
    </w:p>
    <w:p w:rsidR="00850B6B" w:rsidRDefault="00FC1C37" w:rsidP="004F0096">
      <w:pPr>
        <w:jc w:val="both"/>
        <w:rPr>
          <w:sz w:val="28"/>
          <w:szCs w:val="28"/>
        </w:rPr>
      </w:pPr>
      <w:r>
        <w:rPr>
          <w:b/>
          <w:sz w:val="28"/>
          <w:szCs w:val="28"/>
        </w:rPr>
        <w:tab/>
      </w:r>
      <w:r w:rsidR="004973D5" w:rsidRPr="004973D5">
        <w:rPr>
          <w:b/>
          <w:sz w:val="28"/>
          <w:szCs w:val="28"/>
        </w:rPr>
        <w:t>Latvija pozitīvi vērtē</w:t>
      </w:r>
      <w:r w:rsidR="004973D5" w:rsidRPr="00FC1C37">
        <w:rPr>
          <w:sz w:val="28"/>
          <w:szCs w:val="28"/>
        </w:rPr>
        <w:t xml:space="preserve"> </w:t>
      </w:r>
      <w:r w:rsidRPr="00FC1C37">
        <w:rPr>
          <w:sz w:val="28"/>
          <w:szCs w:val="28"/>
        </w:rPr>
        <w:t xml:space="preserve">Komisijas </w:t>
      </w:r>
      <w:r w:rsidR="004973D5" w:rsidRPr="004973D5">
        <w:rPr>
          <w:sz w:val="28"/>
          <w:szCs w:val="28"/>
        </w:rPr>
        <w:t>paziņojumā izvirzītās rīcības KET stratēģijas īstenošanai Eiropā. Piekrītam, ka KET var būt nozīmīgs inovācijas avots, jo īpaši ņemot vērā KET sniegto efektu uz produktu, tehnoloģiju vai pakalpojumu attīstību citās nozarēs.</w:t>
      </w:r>
    </w:p>
    <w:p w:rsidR="00EE66F8" w:rsidRDefault="0024322A" w:rsidP="004F0096">
      <w:pPr>
        <w:ind w:firstLine="720"/>
        <w:jc w:val="both"/>
        <w:rPr>
          <w:sz w:val="28"/>
          <w:szCs w:val="28"/>
        </w:rPr>
      </w:pPr>
      <w:r w:rsidRPr="0024322A">
        <w:rPr>
          <w:b/>
          <w:sz w:val="28"/>
          <w:szCs w:val="28"/>
        </w:rPr>
        <w:t>Latvijai svarīgi</w:t>
      </w:r>
      <w:r w:rsidRPr="0024322A">
        <w:rPr>
          <w:sz w:val="28"/>
          <w:szCs w:val="28"/>
        </w:rPr>
        <w:t xml:space="preserve">, lai ES līmenī KET stratēģija un attiecīgi atbalsts KET netiktu </w:t>
      </w:r>
      <w:proofErr w:type="spellStart"/>
      <w:r w:rsidRPr="0024322A">
        <w:rPr>
          <w:sz w:val="28"/>
          <w:szCs w:val="28"/>
        </w:rPr>
        <w:t>prioritizēts</w:t>
      </w:r>
      <w:proofErr w:type="spellEnd"/>
      <w:r w:rsidRPr="0024322A">
        <w:rPr>
          <w:sz w:val="28"/>
          <w:szCs w:val="28"/>
        </w:rPr>
        <w:t xml:space="preserve"> tādā mērā, ka tas ierobežotu inovācijas (jaunu produktu, tehnoloģiju, pakalpojumu vai citu izstrādņu) attīstību jomās vai nozarēs, kas nav saistītas ar KET vai uz KET balstītiem produktiem, pakalpojumiem un pielietojumiem. Jo īpaši tas attiecināms uz pētniecības un inovācijas </w:t>
      </w:r>
      <w:proofErr w:type="spellStart"/>
      <w:r w:rsidRPr="0024322A">
        <w:rPr>
          <w:sz w:val="28"/>
          <w:szCs w:val="28"/>
        </w:rPr>
        <w:t>i</w:t>
      </w:r>
      <w:r w:rsidR="0013164E">
        <w:rPr>
          <w:sz w:val="28"/>
          <w:szCs w:val="28"/>
        </w:rPr>
        <w:t>etvarprogrammā</w:t>
      </w:r>
      <w:proofErr w:type="spellEnd"/>
      <w:r w:rsidR="0013164E">
        <w:rPr>
          <w:sz w:val="28"/>
          <w:szCs w:val="28"/>
        </w:rPr>
        <w:t xml:space="preserve"> „Horizonts 2020”</w:t>
      </w:r>
      <w:r w:rsidRPr="0024322A">
        <w:rPr>
          <w:sz w:val="28"/>
          <w:szCs w:val="28"/>
        </w:rPr>
        <w:t xml:space="preserve"> vai ES struktūrfondu (piemēram, ERAF) līdzekļu apgūšanas nosacījumiem.</w:t>
      </w:r>
    </w:p>
    <w:p w:rsidR="00EE66F8" w:rsidRDefault="0024322A" w:rsidP="00342A27">
      <w:pPr>
        <w:jc w:val="both"/>
        <w:rPr>
          <w:sz w:val="28"/>
          <w:szCs w:val="28"/>
        </w:rPr>
      </w:pPr>
      <w:r>
        <w:rPr>
          <w:sz w:val="28"/>
          <w:szCs w:val="28"/>
        </w:rPr>
        <w:tab/>
      </w:r>
      <w:r w:rsidRPr="0024322A">
        <w:rPr>
          <w:b/>
          <w:sz w:val="28"/>
          <w:szCs w:val="28"/>
        </w:rPr>
        <w:t xml:space="preserve">Latvija atbalsta </w:t>
      </w:r>
      <w:r w:rsidRPr="0024322A">
        <w:rPr>
          <w:sz w:val="28"/>
          <w:szCs w:val="28"/>
        </w:rPr>
        <w:t>nepieciešamību ES nodrošināt labāku ES uzņēmēju piekļuvi trešo valstu publiskā iepirkuma tirgiem (tostarp attiecībā uz KET). Latvijas skatījumā atvērts trešo valstu publisko iepirkumu tirgus un vienlīdzīga attieksme un godīgas konkurences nodrošināšana ES un trešo valstu publisko iepirkumu tirgos, nodrošinās Latvijas uzņēmumiem iespējas palielināt uzņēmējdarbības iespēja</w:t>
      </w:r>
      <w:r w:rsidR="0013164E">
        <w:rPr>
          <w:sz w:val="28"/>
          <w:szCs w:val="28"/>
        </w:rPr>
        <w:t>s tirgos ārpus ES. Taču Latvija</w:t>
      </w:r>
      <w:r w:rsidRPr="0024322A">
        <w:rPr>
          <w:sz w:val="28"/>
          <w:szCs w:val="28"/>
        </w:rPr>
        <w:t xml:space="preserve"> skeptiski raugās uz to, ka ES tirgū būtu jāpiemēro prakse, kas ļauj ES iekšienē izslēgt trešo valstu tirdzniecības partnerus no dalības publiskajos iepirkumos, gadījumā, ja tās nepiemēro vienlīdzīgus tirgus pieejamības nosacījumus. Sekas var būt saistītas gan ar iespējamu izmaksu pieaugumu attiecīgajiem iepirkumiem, gan radīt pamatu iespējamai tirdzniecības partneru negatīvai pretdarbībai. Tas, savukārt, rada bažas, vai šāds solis sasniegs savstarpīguma principa (</w:t>
      </w:r>
      <w:proofErr w:type="spellStart"/>
      <w:r w:rsidRPr="0024322A">
        <w:rPr>
          <w:i/>
          <w:sz w:val="28"/>
          <w:szCs w:val="28"/>
        </w:rPr>
        <w:t>reciprocity</w:t>
      </w:r>
      <w:proofErr w:type="spellEnd"/>
      <w:r w:rsidRPr="0024322A">
        <w:rPr>
          <w:sz w:val="28"/>
          <w:szCs w:val="28"/>
        </w:rPr>
        <w:t>) ievērošanu.</w:t>
      </w:r>
    </w:p>
    <w:p w:rsidR="004F0096" w:rsidRPr="00025B33" w:rsidRDefault="004F0096" w:rsidP="007C418C">
      <w:pPr>
        <w:ind w:firstLine="851"/>
        <w:jc w:val="both"/>
        <w:rPr>
          <w:b/>
          <w:sz w:val="28"/>
          <w:szCs w:val="28"/>
        </w:rPr>
      </w:pPr>
    </w:p>
    <w:p w:rsidR="00F25B38" w:rsidRPr="00025B33" w:rsidRDefault="003840A0" w:rsidP="006031F7">
      <w:pPr>
        <w:pBdr>
          <w:bottom w:val="single" w:sz="4" w:space="1" w:color="auto"/>
        </w:pBdr>
        <w:tabs>
          <w:tab w:val="left" w:pos="284"/>
        </w:tabs>
        <w:jc w:val="both"/>
        <w:rPr>
          <w:b/>
          <w:sz w:val="28"/>
          <w:szCs w:val="28"/>
        </w:rPr>
      </w:pPr>
      <w:r w:rsidRPr="00025B33">
        <w:rPr>
          <w:b/>
          <w:sz w:val="28"/>
          <w:szCs w:val="28"/>
        </w:rPr>
        <w:t>1.</w:t>
      </w:r>
      <w:r w:rsidR="000A4384">
        <w:rPr>
          <w:b/>
          <w:sz w:val="28"/>
          <w:szCs w:val="28"/>
        </w:rPr>
        <w:t>3</w:t>
      </w:r>
      <w:r w:rsidRPr="00025B33">
        <w:rPr>
          <w:b/>
          <w:sz w:val="28"/>
          <w:szCs w:val="28"/>
        </w:rPr>
        <w:t xml:space="preserve">. </w:t>
      </w:r>
      <w:r w:rsidR="00487328">
        <w:rPr>
          <w:b/>
          <w:sz w:val="28"/>
          <w:szCs w:val="28"/>
        </w:rPr>
        <w:t>Vienotā</w:t>
      </w:r>
      <w:r w:rsidRPr="00025B33">
        <w:rPr>
          <w:b/>
          <w:sz w:val="28"/>
          <w:szCs w:val="28"/>
        </w:rPr>
        <w:t xml:space="preserve"> tirgus a</w:t>
      </w:r>
      <w:r w:rsidR="00487328">
        <w:rPr>
          <w:b/>
          <w:sz w:val="28"/>
          <w:szCs w:val="28"/>
        </w:rPr>
        <w:t>kts I</w:t>
      </w:r>
      <w:r w:rsidR="004F0096">
        <w:rPr>
          <w:b/>
          <w:sz w:val="28"/>
          <w:szCs w:val="28"/>
        </w:rPr>
        <w:t xml:space="preserve"> </w:t>
      </w:r>
      <w:r w:rsidR="004F0096" w:rsidRPr="004F0096">
        <w:rPr>
          <w:i/>
          <w:sz w:val="28"/>
          <w:szCs w:val="28"/>
        </w:rPr>
        <w:t>(EM kompetence)</w:t>
      </w:r>
    </w:p>
    <w:p w:rsidR="003840A0" w:rsidRPr="00025B33" w:rsidRDefault="00510883" w:rsidP="006031F7">
      <w:pPr>
        <w:tabs>
          <w:tab w:val="left" w:pos="9288"/>
        </w:tabs>
        <w:jc w:val="both"/>
        <w:rPr>
          <w:i/>
          <w:sz w:val="28"/>
          <w:szCs w:val="28"/>
        </w:rPr>
      </w:pPr>
      <w:r w:rsidRPr="00025B33">
        <w:rPr>
          <w:i/>
          <w:sz w:val="28"/>
          <w:szCs w:val="28"/>
        </w:rPr>
        <w:t xml:space="preserve">- </w:t>
      </w:r>
      <w:r w:rsidR="004F0096">
        <w:rPr>
          <w:i/>
          <w:sz w:val="28"/>
          <w:szCs w:val="28"/>
        </w:rPr>
        <w:t>Debates par pašreizējo stāvokli</w:t>
      </w:r>
    </w:p>
    <w:p w:rsidR="003840A0" w:rsidRDefault="003840A0" w:rsidP="00CC0AAE">
      <w:pPr>
        <w:jc w:val="both"/>
        <w:rPr>
          <w:sz w:val="28"/>
          <w:szCs w:val="28"/>
        </w:rPr>
      </w:pPr>
    </w:p>
    <w:p w:rsidR="00A12727" w:rsidRPr="00A12727" w:rsidRDefault="00CC0AAE" w:rsidP="00A12727">
      <w:pPr>
        <w:jc w:val="both"/>
        <w:rPr>
          <w:sz w:val="28"/>
          <w:szCs w:val="28"/>
        </w:rPr>
      </w:pPr>
      <w:r>
        <w:rPr>
          <w:sz w:val="28"/>
          <w:szCs w:val="28"/>
        </w:rPr>
        <w:tab/>
      </w:r>
      <w:r w:rsidR="00A12727" w:rsidRPr="00A12727">
        <w:rPr>
          <w:sz w:val="28"/>
          <w:szCs w:val="28"/>
        </w:rPr>
        <w:t xml:space="preserve">2010.gada 27.oktobrī Komisija pieņēma paziņojumu Ceļā uz Vienotā tirgus aktu, nosaucot 50 prioritārus pasākumus, kam sekoja Eiropas līmeņa </w:t>
      </w:r>
      <w:r w:rsidR="00A12727" w:rsidRPr="00A12727">
        <w:rPr>
          <w:sz w:val="28"/>
          <w:szCs w:val="28"/>
        </w:rPr>
        <w:lastRenderedPageBreak/>
        <w:t>sabiedriskā apspriešana. Pēc tās, 2011.gada 13.prīlī Komisija pieņēma galējo Vienotā tirgus aktu, nosaucot 12 prioritāros rīcības virzienus un 12 pamatdarbības ES Vienotā tirgus stiprināšanā. Komisijas apņemšanās bija šīs 12 pamatdarbības realizēt, pieņemt Komisijā līdz 2011.g. beigām un panākt pieņemšanu Padomē un Eiropas Parlamentā līdz 2012.g. beigām.</w:t>
      </w:r>
    </w:p>
    <w:p w:rsidR="00A12727" w:rsidRPr="00A12727" w:rsidRDefault="00A12727" w:rsidP="00A12727">
      <w:pPr>
        <w:jc w:val="both"/>
        <w:rPr>
          <w:sz w:val="28"/>
          <w:szCs w:val="28"/>
        </w:rPr>
      </w:pPr>
      <w:r>
        <w:rPr>
          <w:sz w:val="28"/>
          <w:szCs w:val="28"/>
        </w:rPr>
        <w:tab/>
      </w:r>
      <w:r w:rsidRPr="00A12727">
        <w:rPr>
          <w:sz w:val="28"/>
          <w:szCs w:val="28"/>
        </w:rPr>
        <w:t xml:space="preserve">Eiropas Parlamenta, ES Padomes, Ekonomiskās un Sociālās komitejas, Reģionu komitejas un daudzu ieinteresēto pušu kopējā iesaistīšanās un sadarbošanās veda pie saskaņota politiskā redzējuma Vienotā tirgus attīstībā un ļāva koncentrēt politisko uzmanību, kā rezultātā tika izstrādāti priekšlikumi visiem 12 rīcības virzieniem. </w:t>
      </w:r>
    </w:p>
    <w:p w:rsidR="00A12727" w:rsidRPr="00A12727" w:rsidRDefault="00A12727" w:rsidP="00A12727">
      <w:pPr>
        <w:jc w:val="both"/>
        <w:rPr>
          <w:sz w:val="28"/>
          <w:szCs w:val="28"/>
        </w:rPr>
      </w:pPr>
      <w:r>
        <w:rPr>
          <w:sz w:val="28"/>
          <w:szCs w:val="28"/>
        </w:rPr>
        <w:tab/>
      </w:r>
      <w:r w:rsidRPr="00A12727">
        <w:rPr>
          <w:sz w:val="28"/>
          <w:szCs w:val="28"/>
        </w:rPr>
        <w:t>Tomēr, pašlaik situācija Vienotā tirgus akta leģislatīvajos priekšlikumos ir sekojoša:</w:t>
      </w:r>
    </w:p>
    <w:p w:rsidR="00A12727" w:rsidRPr="00340539" w:rsidRDefault="00A12727" w:rsidP="00340539">
      <w:pPr>
        <w:pStyle w:val="ListParagraph"/>
        <w:numPr>
          <w:ilvl w:val="0"/>
          <w:numId w:val="14"/>
        </w:numPr>
        <w:jc w:val="both"/>
        <w:rPr>
          <w:sz w:val="28"/>
          <w:szCs w:val="28"/>
        </w:rPr>
      </w:pPr>
      <w:r w:rsidRPr="00340539">
        <w:rPr>
          <w:sz w:val="28"/>
          <w:szCs w:val="28"/>
        </w:rPr>
        <w:t>Tikai viens leģislatīvais akts ir pieņemts</w:t>
      </w:r>
      <w:r w:rsidR="00155A62">
        <w:rPr>
          <w:sz w:val="28"/>
          <w:szCs w:val="28"/>
        </w:rPr>
        <w:t xml:space="preserve"> (Standartizācija)</w:t>
      </w:r>
      <w:r w:rsidRPr="00340539">
        <w:rPr>
          <w:sz w:val="28"/>
          <w:szCs w:val="28"/>
        </w:rPr>
        <w:t>;</w:t>
      </w:r>
    </w:p>
    <w:p w:rsidR="00A12727" w:rsidRPr="00340539" w:rsidRDefault="00A12727" w:rsidP="00F363BE">
      <w:pPr>
        <w:pStyle w:val="ListParagraph"/>
        <w:numPr>
          <w:ilvl w:val="0"/>
          <w:numId w:val="14"/>
        </w:numPr>
        <w:jc w:val="both"/>
        <w:rPr>
          <w:sz w:val="28"/>
          <w:szCs w:val="28"/>
        </w:rPr>
      </w:pPr>
      <w:r w:rsidRPr="00340539">
        <w:rPr>
          <w:sz w:val="28"/>
          <w:szCs w:val="28"/>
        </w:rPr>
        <w:t>Seši no priekšlikumiem ir ceļā uz galēju vienošanos/pieņemšanu līdz 2012.gada decembrim, pieņemot, ka tiks saglabāta tikpat dinamiska jautājumu risināšana</w:t>
      </w:r>
      <w:r w:rsidR="00155A62">
        <w:rPr>
          <w:sz w:val="28"/>
          <w:szCs w:val="28"/>
        </w:rPr>
        <w:t xml:space="preserve"> (</w:t>
      </w:r>
      <w:r w:rsidR="00155A62" w:rsidRPr="00F363BE">
        <w:rPr>
          <w:i/>
          <w:sz w:val="28"/>
          <w:szCs w:val="28"/>
        </w:rPr>
        <w:t>ADR/ODR</w:t>
      </w:r>
      <w:r w:rsidR="00155A62" w:rsidRPr="00155A62">
        <w:rPr>
          <w:sz w:val="28"/>
          <w:szCs w:val="28"/>
        </w:rPr>
        <w:t xml:space="preserve">, </w:t>
      </w:r>
      <w:r w:rsidR="00155A62" w:rsidRPr="00F363BE">
        <w:rPr>
          <w:i/>
          <w:sz w:val="28"/>
          <w:szCs w:val="28"/>
        </w:rPr>
        <w:t>EUVECA</w:t>
      </w:r>
      <w:r w:rsidR="00F363BE">
        <w:rPr>
          <w:i/>
          <w:sz w:val="28"/>
          <w:szCs w:val="28"/>
        </w:rPr>
        <w:t xml:space="preserve"> (Eiropas riska kapitāla fonds)</w:t>
      </w:r>
      <w:r w:rsidR="00155A62" w:rsidRPr="00155A62">
        <w:rPr>
          <w:sz w:val="28"/>
          <w:szCs w:val="28"/>
        </w:rPr>
        <w:t xml:space="preserve">, </w:t>
      </w:r>
      <w:r w:rsidR="00155A62" w:rsidRPr="00F363BE">
        <w:rPr>
          <w:i/>
          <w:sz w:val="28"/>
          <w:szCs w:val="28"/>
        </w:rPr>
        <w:t>EUSEF</w:t>
      </w:r>
      <w:r w:rsidR="00F363BE">
        <w:rPr>
          <w:i/>
          <w:sz w:val="28"/>
          <w:szCs w:val="28"/>
        </w:rPr>
        <w:t xml:space="preserve"> (Eiropas sociālās uzņēmējdarbības fonds)</w:t>
      </w:r>
      <w:r w:rsidR="00155A62" w:rsidRPr="00155A62">
        <w:rPr>
          <w:sz w:val="28"/>
          <w:szCs w:val="28"/>
        </w:rPr>
        <w:t>, patentu sistēma, Eiropas Enerģētikas tīkls (</w:t>
      </w:r>
      <w:r w:rsidR="00155A62" w:rsidRPr="00F363BE">
        <w:rPr>
          <w:i/>
          <w:sz w:val="28"/>
          <w:szCs w:val="28"/>
        </w:rPr>
        <w:t>TEN-</w:t>
      </w:r>
      <w:proofErr w:type="spellStart"/>
      <w:r w:rsidR="00155A62" w:rsidRPr="00F363BE">
        <w:rPr>
          <w:i/>
          <w:sz w:val="28"/>
          <w:szCs w:val="28"/>
        </w:rPr>
        <w:t>Energy</w:t>
      </w:r>
      <w:proofErr w:type="spellEnd"/>
      <w:r w:rsidR="00155A62" w:rsidRPr="00155A62">
        <w:rPr>
          <w:sz w:val="28"/>
          <w:szCs w:val="28"/>
        </w:rPr>
        <w:t>), Grāmatvedības direktīva</w:t>
      </w:r>
      <w:r w:rsidR="00155A62">
        <w:rPr>
          <w:sz w:val="28"/>
          <w:szCs w:val="28"/>
        </w:rPr>
        <w:t>)</w:t>
      </w:r>
      <w:r w:rsidRPr="00340539">
        <w:rPr>
          <w:sz w:val="28"/>
          <w:szCs w:val="28"/>
        </w:rPr>
        <w:t>;</w:t>
      </w:r>
    </w:p>
    <w:p w:rsidR="00A12727" w:rsidRPr="00340539" w:rsidRDefault="00A12727" w:rsidP="00155A62">
      <w:pPr>
        <w:pStyle w:val="ListParagraph"/>
        <w:numPr>
          <w:ilvl w:val="0"/>
          <w:numId w:val="14"/>
        </w:numPr>
        <w:jc w:val="both"/>
        <w:rPr>
          <w:sz w:val="28"/>
          <w:szCs w:val="28"/>
        </w:rPr>
      </w:pPr>
      <w:r w:rsidRPr="00340539">
        <w:rPr>
          <w:sz w:val="28"/>
          <w:szCs w:val="28"/>
        </w:rPr>
        <w:t>Četriem visticamāk termiņš tiks nokavēts</w:t>
      </w:r>
      <w:r w:rsidR="00155A62">
        <w:rPr>
          <w:sz w:val="28"/>
          <w:szCs w:val="28"/>
        </w:rPr>
        <w:t xml:space="preserve"> (</w:t>
      </w:r>
      <w:r w:rsidR="00155A62" w:rsidRPr="00155A62">
        <w:rPr>
          <w:sz w:val="28"/>
          <w:szCs w:val="28"/>
        </w:rPr>
        <w:t>profesionālās kvalifikācijas, publiskais iepirkums, e-paraksts un darba ņēmēju norīkošana</w:t>
      </w:r>
      <w:r w:rsidR="00155A62">
        <w:rPr>
          <w:sz w:val="28"/>
          <w:szCs w:val="28"/>
        </w:rPr>
        <w:t>)</w:t>
      </w:r>
      <w:r w:rsidRPr="00340539">
        <w:rPr>
          <w:sz w:val="28"/>
          <w:szCs w:val="28"/>
        </w:rPr>
        <w:t>;</w:t>
      </w:r>
    </w:p>
    <w:p w:rsidR="00A12727" w:rsidRPr="00340539" w:rsidRDefault="00A12727" w:rsidP="00155A62">
      <w:pPr>
        <w:pStyle w:val="ListParagraph"/>
        <w:numPr>
          <w:ilvl w:val="0"/>
          <w:numId w:val="14"/>
        </w:numPr>
        <w:jc w:val="both"/>
        <w:rPr>
          <w:sz w:val="28"/>
          <w:szCs w:val="28"/>
        </w:rPr>
      </w:pPr>
      <w:r w:rsidRPr="00340539">
        <w:rPr>
          <w:sz w:val="28"/>
          <w:szCs w:val="28"/>
        </w:rPr>
        <w:t xml:space="preserve">Viens ir saistīts ar daudzgadu finanšu shēmu </w:t>
      </w:r>
      <w:r w:rsidRPr="00785D93">
        <w:rPr>
          <w:i/>
          <w:sz w:val="28"/>
          <w:szCs w:val="28"/>
        </w:rPr>
        <w:t>(MFF)</w:t>
      </w:r>
      <w:r w:rsidRPr="00340539">
        <w:rPr>
          <w:sz w:val="28"/>
          <w:szCs w:val="28"/>
        </w:rPr>
        <w:t xml:space="preserve"> 2014-2020</w:t>
      </w:r>
      <w:r w:rsidR="00155A62">
        <w:rPr>
          <w:sz w:val="28"/>
          <w:szCs w:val="28"/>
        </w:rPr>
        <w:t xml:space="preserve"> (</w:t>
      </w:r>
      <w:r w:rsidR="00155A62" w:rsidRPr="00F363BE">
        <w:rPr>
          <w:i/>
          <w:sz w:val="28"/>
          <w:szCs w:val="28"/>
        </w:rPr>
        <w:t>TEN-</w:t>
      </w:r>
      <w:proofErr w:type="spellStart"/>
      <w:r w:rsidR="00155A62" w:rsidRPr="00F363BE">
        <w:rPr>
          <w:i/>
          <w:sz w:val="28"/>
          <w:szCs w:val="28"/>
        </w:rPr>
        <w:t>Energy</w:t>
      </w:r>
      <w:proofErr w:type="spellEnd"/>
      <w:r w:rsidR="00155A62" w:rsidRPr="00155A62">
        <w:rPr>
          <w:sz w:val="28"/>
          <w:szCs w:val="28"/>
        </w:rPr>
        <w:t xml:space="preserve">, </w:t>
      </w:r>
      <w:r w:rsidR="00155A62" w:rsidRPr="00F363BE">
        <w:rPr>
          <w:i/>
          <w:sz w:val="28"/>
          <w:szCs w:val="28"/>
        </w:rPr>
        <w:t>TEN-</w:t>
      </w:r>
      <w:proofErr w:type="spellStart"/>
      <w:r w:rsidR="00155A62" w:rsidRPr="00F363BE">
        <w:rPr>
          <w:i/>
          <w:sz w:val="28"/>
          <w:szCs w:val="28"/>
        </w:rPr>
        <w:t>Transport</w:t>
      </w:r>
      <w:proofErr w:type="spellEnd"/>
      <w:r w:rsidR="00155A62" w:rsidRPr="00155A62">
        <w:rPr>
          <w:sz w:val="28"/>
          <w:szCs w:val="28"/>
        </w:rPr>
        <w:t xml:space="preserve">, </w:t>
      </w:r>
      <w:r w:rsidR="00155A62" w:rsidRPr="00F363BE">
        <w:rPr>
          <w:i/>
          <w:sz w:val="28"/>
          <w:szCs w:val="28"/>
        </w:rPr>
        <w:t>TEN-</w:t>
      </w:r>
      <w:proofErr w:type="spellStart"/>
      <w:r w:rsidR="00155A62" w:rsidRPr="00F363BE">
        <w:rPr>
          <w:i/>
          <w:sz w:val="28"/>
          <w:szCs w:val="28"/>
        </w:rPr>
        <w:t>Telecommunications</w:t>
      </w:r>
      <w:proofErr w:type="spellEnd"/>
      <w:r w:rsidR="00155A62" w:rsidRPr="00155A62">
        <w:rPr>
          <w:sz w:val="28"/>
          <w:szCs w:val="28"/>
        </w:rPr>
        <w:t xml:space="preserve"> un Eiropas infrastruktūras savienošanas instruments</w:t>
      </w:r>
      <w:r w:rsidR="00155A62">
        <w:rPr>
          <w:sz w:val="28"/>
          <w:szCs w:val="28"/>
        </w:rPr>
        <w:t>)</w:t>
      </w:r>
      <w:r w:rsidRPr="00340539">
        <w:rPr>
          <w:sz w:val="28"/>
          <w:szCs w:val="28"/>
        </w:rPr>
        <w:t>.</w:t>
      </w:r>
    </w:p>
    <w:p w:rsidR="00A12727" w:rsidRPr="00A12727" w:rsidRDefault="00A12727" w:rsidP="00A12727">
      <w:pPr>
        <w:jc w:val="both"/>
        <w:rPr>
          <w:sz w:val="28"/>
          <w:szCs w:val="28"/>
        </w:rPr>
      </w:pPr>
    </w:p>
    <w:p w:rsidR="00CC0AAE" w:rsidRDefault="00A12727" w:rsidP="00A12727">
      <w:pPr>
        <w:jc w:val="both"/>
        <w:rPr>
          <w:sz w:val="28"/>
          <w:szCs w:val="28"/>
        </w:rPr>
      </w:pPr>
      <w:r>
        <w:rPr>
          <w:sz w:val="28"/>
          <w:szCs w:val="28"/>
        </w:rPr>
        <w:tab/>
      </w:r>
      <w:r w:rsidRPr="00A12727">
        <w:rPr>
          <w:sz w:val="28"/>
          <w:szCs w:val="28"/>
        </w:rPr>
        <w:t>Tādējādi, par 11 no 12 pamatdarbību priekšlikumiem nav panākta vienošanās starp Eiropas Parlamentu un Padomi. Ir steidzami nepieciešams progress, lai par 11 atlikušajiem pamatdarbību priekšlikumiem tiktu panākta pēc iespējas ātrāka vienošanās.</w:t>
      </w:r>
    </w:p>
    <w:p w:rsidR="00A12727" w:rsidRPr="00025B33" w:rsidRDefault="00A12727" w:rsidP="00A12727">
      <w:pPr>
        <w:jc w:val="both"/>
        <w:rPr>
          <w:sz w:val="28"/>
          <w:szCs w:val="28"/>
        </w:rPr>
      </w:pPr>
    </w:p>
    <w:p w:rsidR="006031F7" w:rsidRPr="00CC0AAE" w:rsidRDefault="006031F7" w:rsidP="004C1552">
      <w:pPr>
        <w:spacing w:after="120"/>
        <w:jc w:val="both"/>
        <w:rPr>
          <w:rFonts w:eastAsia="Calibri"/>
          <w:b/>
          <w:sz w:val="28"/>
          <w:szCs w:val="28"/>
          <w:u w:val="single"/>
          <w:lang w:eastAsia="en-US"/>
        </w:rPr>
      </w:pPr>
      <w:r w:rsidRPr="00CC0AAE">
        <w:rPr>
          <w:rFonts w:eastAsia="Calibri"/>
          <w:b/>
          <w:sz w:val="28"/>
          <w:szCs w:val="28"/>
          <w:u w:val="single"/>
          <w:lang w:eastAsia="en-US"/>
        </w:rPr>
        <w:t>Latvijas pozīcija:</w:t>
      </w:r>
      <w:r w:rsidR="005140D4">
        <w:rPr>
          <w:rStyle w:val="FootnoteReference"/>
          <w:i/>
          <w:sz w:val="28"/>
          <w:szCs w:val="28"/>
        </w:rPr>
        <w:footnoteReference w:id="1"/>
      </w:r>
    </w:p>
    <w:p w:rsidR="00924C1F" w:rsidRPr="00924C1F" w:rsidRDefault="00CC0AAE" w:rsidP="00903C50">
      <w:pPr>
        <w:jc w:val="both"/>
        <w:rPr>
          <w:sz w:val="28"/>
          <w:szCs w:val="28"/>
        </w:rPr>
      </w:pPr>
      <w:r w:rsidRPr="00924C1F">
        <w:rPr>
          <w:sz w:val="28"/>
          <w:szCs w:val="28"/>
        </w:rPr>
        <w:tab/>
      </w:r>
      <w:r w:rsidR="00924C1F" w:rsidRPr="00924C1F">
        <w:rPr>
          <w:b/>
          <w:sz w:val="28"/>
          <w:szCs w:val="28"/>
        </w:rPr>
        <w:t>Latvija pilnībā atbalsta</w:t>
      </w:r>
      <w:r w:rsidR="00924C1F" w:rsidRPr="00924C1F">
        <w:rPr>
          <w:sz w:val="28"/>
          <w:szCs w:val="28"/>
        </w:rPr>
        <w:t xml:space="preserve"> Vienotā tirgus stiprināšanu un Vienotā tirgus akta iniciatīvas. Latvijai ir svarīgi dalībvalstu normatīvā regulējuma tālākas harmonizācijas pieeja jomās un jautājumos, kur tas iespējams un kur tas visvairāk nepieciešams ES vienotā tirgus dziļākai integrācijai. Latvijas interesēs ir nodrošināt pēc iespējas ātrāku 12 pamatdarbību realizēšanu, jo turpmāka Vienotā tirgus integrācija nodrošinātu iedzīvotājus un uzņēmējus ar vieglāku un ērtāku piekļuvi ES vienotā tirgus sniegtajām priekšrocībām un iespējām.</w:t>
      </w:r>
    </w:p>
    <w:p w:rsidR="00924C1F" w:rsidRDefault="00924C1F" w:rsidP="00903C50">
      <w:pPr>
        <w:jc w:val="both"/>
        <w:rPr>
          <w:sz w:val="28"/>
          <w:szCs w:val="28"/>
        </w:rPr>
      </w:pPr>
      <w:r>
        <w:rPr>
          <w:sz w:val="28"/>
          <w:szCs w:val="28"/>
        </w:rPr>
        <w:lastRenderedPageBreak/>
        <w:tab/>
      </w:r>
      <w:r w:rsidRPr="00924C1F">
        <w:rPr>
          <w:b/>
          <w:sz w:val="28"/>
          <w:szCs w:val="28"/>
        </w:rPr>
        <w:t>Latvijai ir svarīgi</w:t>
      </w:r>
      <w:r w:rsidRPr="00924C1F">
        <w:rPr>
          <w:sz w:val="28"/>
          <w:szCs w:val="28"/>
        </w:rPr>
        <w:t xml:space="preserve"> saglabāt augsto politisko prioritāti, kas šobrīd piešķirta ES vienotā tirgus jautājumiem, kā arī tam, lai tiktu darīts viss izvirzīto mērķu sasniegšanai. Latvija uzskata, ka ir jāsaglabā dinamiska jautājumu risināšana, un ir nepieciešams realizēt tādu politiku, kas nodrošinātu pēc iespējas efektīvāku visu nosprausto mērķu sasniegšanu.</w:t>
      </w:r>
    </w:p>
    <w:p w:rsidR="00924C1F" w:rsidRDefault="00924C1F" w:rsidP="00903C50">
      <w:pPr>
        <w:jc w:val="both"/>
        <w:rPr>
          <w:sz w:val="28"/>
          <w:szCs w:val="28"/>
        </w:rPr>
      </w:pPr>
    </w:p>
    <w:p w:rsidR="00DA05BD" w:rsidRDefault="00903C50" w:rsidP="00903C50">
      <w:pPr>
        <w:jc w:val="both"/>
        <w:rPr>
          <w:b/>
          <w:i/>
          <w:sz w:val="28"/>
          <w:szCs w:val="28"/>
        </w:rPr>
      </w:pPr>
      <w:r>
        <w:rPr>
          <w:b/>
          <w:sz w:val="28"/>
          <w:szCs w:val="28"/>
        </w:rPr>
        <w:tab/>
      </w:r>
      <w:r w:rsidR="00924C1F" w:rsidRPr="00BC652F">
        <w:rPr>
          <w:b/>
          <w:sz w:val="28"/>
          <w:szCs w:val="28"/>
        </w:rPr>
        <w:t>Prezidentvalsts sagatavot</w:t>
      </w:r>
      <w:r w:rsidR="0062313A">
        <w:rPr>
          <w:b/>
          <w:sz w:val="28"/>
          <w:szCs w:val="28"/>
        </w:rPr>
        <w:t>ie diskusiju jautājumi</w:t>
      </w:r>
      <w:r w:rsidR="00924C1F" w:rsidRPr="00BC652F">
        <w:rPr>
          <w:b/>
          <w:sz w:val="28"/>
          <w:szCs w:val="28"/>
        </w:rPr>
        <w:t xml:space="preserve">: </w:t>
      </w:r>
      <w:r w:rsidR="00924C1F" w:rsidRPr="00BC652F">
        <w:rPr>
          <w:b/>
          <w:i/>
          <w:sz w:val="28"/>
          <w:szCs w:val="28"/>
        </w:rPr>
        <w:t>„</w:t>
      </w:r>
      <w:r w:rsidR="0062313A">
        <w:rPr>
          <w:b/>
          <w:i/>
          <w:sz w:val="28"/>
          <w:szCs w:val="28"/>
        </w:rPr>
        <w:t>1)</w:t>
      </w:r>
      <w:r w:rsidR="00DA05BD">
        <w:rPr>
          <w:b/>
          <w:i/>
          <w:sz w:val="28"/>
          <w:szCs w:val="28"/>
        </w:rPr>
        <w:t xml:space="preserve">Pašreizējie ekonomiskie un sociālie izaicinājumi apstiprina to, ka Vienotais tirgus ir mūsu vērtīgākais instruments izaugsmes un darbavietu radīšanai, tādēļ atjaunota inerce palīdzētu sekmēt tā pilnīgu izmantošanu. Ņemot vērā, ka vēl arvien nepieciešamas tālākas pūles vairāku Vienotā tirgus akta I </w:t>
      </w:r>
      <w:r w:rsidR="0085787A">
        <w:rPr>
          <w:b/>
          <w:i/>
          <w:sz w:val="28"/>
          <w:szCs w:val="28"/>
        </w:rPr>
        <w:t>iniciatīvu</w:t>
      </w:r>
      <w:r w:rsidR="00DA05BD">
        <w:rPr>
          <w:b/>
          <w:i/>
          <w:sz w:val="28"/>
          <w:szCs w:val="28"/>
        </w:rPr>
        <w:t xml:space="preserve"> </w:t>
      </w:r>
      <w:r w:rsidR="0085787A">
        <w:rPr>
          <w:b/>
          <w:i/>
          <w:sz w:val="28"/>
          <w:szCs w:val="28"/>
        </w:rPr>
        <w:t>īstenošanā, lai sasniegtu izvirzīto mērķi pieņemt visas 12 pamatdarbības līdz 2012.gada beigām, ko jūsu skatījumā var darīt Konkurētspējas ministru padome, lai paātrinātu Vienotā tirgus akta I iniciatīvu pieņemšanas procesu?</w:t>
      </w:r>
    </w:p>
    <w:p w:rsidR="00924C1F" w:rsidRPr="0085787A" w:rsidRDefault="00903C50" w:rsidP="00903C50">
      <w:pPr>
        <w:jc w:val="both"/>
        <w:rPr>
          <w:b/>
          <w:i/>
          <w:sz w:val="28"/>
          <w:szCs w:val="28"/>
        </w:rPr>
      </w:pPr>
      <w:r>
        <w:rPr>
          <w:b/>
          <w:i/>
          <w:sz w:val="28"/>
          <w:szCs w:val="28"/>
        </w:rPr>
        <w:tab/>
      </w:r>
      <w:r w:rsidR="0062313A">
        <w:rPr>
          <w:b/>
          <w:i/>
          <w:sz w:val="28"/>
          <w:szCs w:val="28"/>
        </w:rPr>
        <w:t xml:space="preserve">2) </w:t>
      </w:r>
      <w:r w:rsidR="0085787A">
        <w:rPr>
          <w:b/>
          <w:i/>
          <w:sz w:val="28"/>
          <w:szCs w:val="28"/>
        </w:rPr>
        <w:t>Tāpat, kā mēs varētu nodrošināties, ka pieņemtās Vienotā tirgus akta I iniciatīvas tiek laicīgi un pareizi transponētas un īstenotas visās dalībvalstīs, tā, lai ieguvumi no tām  strauji sasniedz iedzīvotājus un uzņēmumus?</w:t>
      </w:r>
      <w:r w:rsidR="00924C1F">
        <w:rPr>
          <w:b/>
          <w:i/>
          <w:sz w:val="28"/>
          <w:szCs w:val="28"/>
        </w:rPr>
        <w:t>”</w:t>
      </w:r>
    </w:p>
    <w:p w:rsidR="00924C1F" w:rsidRDefault="00924C1F" w:rsidP="00903C50">
      <w:pPr>
        <w:jc w:val="both"/>
        <w:rPr>
          <w:sz w:val="28"/>
          <w:szCs w:val="28"/>
        </w:rPr>
      </w:pPr>
    </w:p>
    <w:p w:rsidR="00903C50" w:rsidRPr="00903C50" w:rsidRDefault="00903C50" w:rsidP="00903C50">
      <w:pPr>
        <w:jc w:val="both"/>
        <w:rPr>
          <w:sz w:val="28"/>
          <w:szCs w:val="28"/>
        </w:rPr>
      </w:pPr>
      <w:r>
        <w:rPr>
          <w:sz w:val="28"/>
          <w:szCs w:val="28"/>
        </w:rPr>
        <w:tab/>
      </w:r>
      <w:r w:rsidRPr="00903C50">
        <w:rPr>
          <w:sz w:val="28"/>
          <w:szCs w:val="28"/>
        </w:rPr>
        <w:t>Attiecībā uz prezidentūras pirmo izvirzīto jautājumu par to, kas būtu jādara, lai paātrinātu procesu Vienotā tirgus akta mērķu sasniegšanā, uzskatām, ka Padomei ir jāturpina intensīvi strādāt pie šo jautājumu risināšanas ar lielāko iespējamo apņemšanos un koncentrēšanos, kā arī pilnīgu nodošanos mērķu sasniegšanai. Ir nepieciešama integrēta pieeja un koordinācija visās darbībās un lī</w:t>
      </w:r>
      <w:r w:rsidR="00DD5D86">
        <w:rPr>
          <w:sz w:val="28"/>
          <w:szCs w:val="28"/>
        </w:rPr>
        <w:t>meņos no dalībvalstu puses.</w:t>
      </w:r>
      <w:r w:rsidRPr="00903C50">
        <w:rPr>
          <w:sz w:val="28"/>
          <w:szCs w:val="28"/>
        </w:rPr>
        <w:t xml:space="preserve"> </w:t>
      </w:r>
      <w:r w:rsidR="00DD5D86">
        <w:rPr>
          <w:sz w:val="28"/>
          <w:szCs w:val="28"/>
        </w:rPr>
        <w:t>Tāpat nepieciešama</w:t>
      </w:r>
      <w:r w:rsidRPr="00903C50">
        <w:rPr>
          <w:sz w:val="28"/>
          <w:szCs w:val="28"/>
        </w:rPr>
        <w:t xml:space="preserve"> ir</w:t>
      </w:r>
      <w:r w:rsidR="00DD5D86">
        <w:rPr>
          <w:sz w:val="28"/>
          <w:szCs w:val="28"/>
        </w:rPr>
        <w:t xml:space="preserve"> arī</w:t>
      </w:r>
      <w:r w:rsidRPr="00903C50">
        <w:rPr>
          <w:sz w:val="28"/>
          <w:szCs w:val="28"/>
        </w:rPr>
        <w:t xml:space="preserve"> koordinēta darbība dažādās Padomes formācijās, lai šos jautājumos risinātu pēc iespējas efektīvāk un dinamiskāk.</w:t>
      </w:r>
    </w:p>
    <w:p w:rsidR="00903C50" w:rsidRDefault="00903C50" w:rsidP="00903C50">
      <w:pPr>
        <w:jc w:val="both"/>
        <w:rPr>
          <w:sz w:val="28"/>
          <w:szCs w:val="28"/>
        </w:rPr>
      </w:pPr>
      <w:r>
        <w:rPr>
          <w:sz w:val="28"/>
          <w:szCs w:val="28"/>
        </w:rPr>
        <w:tab/>
      </w:r>
      <w:r w:rsidRPr="00903C50">
        <w:rPr>
          <w:sz w:val="28"/>
          <w:szCs w:val="28"/>
        </w:rPr>
        <w:t xml:space="preserve">Attiecībā uz prezidentūras otro izvirzīto jautājumu uzskatām, ka, lai nodrošinātu laicīgu un precīzu leģislatīvo aktu transponēšanu nacionālajos tiesību aktos, </w:t>
      </w:r>
      <w:r w:rsidR="00ED6E57" w:rsidRPr="00903C50">
        <w:rPr>
          <w:sz w:val="28"/>
          <w:szCs w:val="28"/>
        </w:rPr>
        <w:t xml:space="preserve">Eiropas Komisijai </w:t>
      </w:r>
      <w:r w:rsidRPr="00903C50">
        <w:rPr>
          <w:sz w:val="28"/>
          <w:szCs w:val="28"/>
        </w:rPr>
        <w:t xml:space="preserve">ir nepieciešams uzņemties ne tikai nopietnu sargsuņa lomu un veikt pastāvīgu un stingru monitoringu, bet, kā tas notika Pakalpojumu direktīvas transponēšanas perioda laikā, Komisijai vajadzētu aktīvi iesaistīties un konsultēt dalībvalstis. Svarīgi ir iesaistīt Iekšējā tirgus padomnieku komitejas (IMAC) un citus ekspertus, kuri apmeklētu dalībvalstis un konsultētu par Vienotā tirgus akta jautājumiem. Visbeidzot, ir svarīgi Konkurētspējas padomei pēc iespējas intensīvāk un aktīvāk iesaistīties, kā arī </w:t>
      </w:r>
      <w:proofErr w:type="spellStart"/>
      <w:r w:rsidRPr="00903C50">
        <w:rPr>
          <w:sz w:val="28"/>
          <w:szCs w:val="28"/>
        </w:rPr>
        <w:t>monitorēt</w:t>
      </w:r>
      <w:proofErr w:type="spellEnd"/>
      <w:r w:rsidRPr="00903C50">
        <w:rPr>
          <w:sz w:val="28"/>
          <w:szCs w:val="28"/>
        </w:rPr>
        <w:t xml:space="preserve"> un konsultēt dalībvalstis šajos jautājumos, lai sasniegtu visapmierinošāko un atbilstošāko risinājumu pēc iespējas ātrākā laika posmā.</w:t>
      </w:r>
    </w:p>
    <w:p w:rsidR="00924C1F" w:rsidRDefault="00924C1F" w:rsidP="00924C1F">
      <w:pPr>
        <w:pBdr>
          <w:bottom w:val="single" w:sz="4" w:space="1" w:color="auto"/>
        </w:pBdr>
        <w:spacing w:after="120"/>
        <w:jc w:val="both"/>
        <w:rPr>
          <w:b/>
          <w:sz w:val="28"/>
          <w:szCs w:val="28"/>
        </w:rPr>
      </w:pPr>
    </w:p>
    <w:p w:rsidR="00895A74" w:rsidRDefault="00895A74" w:rsidP="00924C1F">
      <w:pPr>
        <w:pBdr>
          <w:bottom w:val="single" w:sz="4" w:space="1" w:color="auto"/>
        </w:pBdr>
        <w:spacing w:after="120"/>
        <w:jc w:val="both"/>
        <w:rPr>
          <w:b/>
          <w:sz w:val="28"/>
          <w:szCs w:val="28"/>
        </w:rPr>
      </w:pPr>
    </w:p>
    <w:p w:rsidR="00895A74" w:rsidRDefault="00895A74" w:rsidP="00924C1F">
      <w:pPr>
        <w:pBdr>
          <w:bottom w:val="single" w:sz="4" w:space="1" w:color="auto"/>
        </w:pBdr>
        <w:spacing w:after="120"/>
        <w:jc w:val="both"/>
        <w:rPr>
          <w:b/>
          <w:sz w:val="28"/>
          <w:szCs w:val="28"/>
        </w:rPr>
      </w:pPr>
    </w:p>
    <w:p w:rsidR="00B03397" w:rsidRPr="00025B33" w:rsidRDefault="00B03397" w:rsidP="004C1552">
      <w:pPr>
        <w:pBdr>
          <w:bottom w:val="single" w:sz="4" w:space="1" w:color="auto"/>
        </w:pBdr>
        <w:tabs>
          <w:tab w:val="left" w:pos="9288"/>
        </w:tabs>
        <w:spacing w:after="120"/>
        <w:jc w:val="both"/>
        <w:rPr>
          <w:b/>
          <w:sz w:val="28"/>
          <w:szCs w:val="28"/>
        </w:rPr>
      </w:pPr>
      <w:r w:rsidRPr="00025B33">
        <w:rPr>
          <w:b/>
          <w:sz w:val="28"/>
          <w:szCs w:val="28"/>
        </w:rPr>
        <w:lastRenderedPageBreak/>
        <w:t xml:space="preserve">1.6. Citi jautājumi </w:t>
      </w:r>
    </w:p>
    <w:p w:rsidR="00B03397" w:rsidRDefault="00B03397" w:rsidP="004C1552">
      <w:pPr>
        <w:jc w:val="both"/>
        <w:rPr>
          <w:sz w:val="28"/>
          <w:szCs w:val="28"/>
        </w:rPr>
      </w:pPr>
    </w:p>
    <w:p w:rsidR="00C90A02" w:rsidRPr="000B5EF5" w:rsidRDefault="00835194" w:rsidP="00835194">
      <w:pPr>
        <w:pStyle w:val="ListParagraph"/>
        <w:numPr>
          <w:ilvl w:val="0"/>
          <w:numId w:val="3"/>
        </w:numPr>
        <w:tabs>
          <w:tab w:val="left" w:pos="284"/>
          <w:tab w:val="left" w:pos="798"/>
          <w:tab w:val="left" w:pos="2127"/>
        </w:tabs>
        <w:jc w:val="both"/>
        <w:rPr>
          <w:b/>
          <w:sz w:val="28"/>
          <w:szCs w:val="28"/>
        </w:rPr>
      </w:pPr>
      <w:r w:rsidRPr="000B5EF5">
        <w:rPr>
          <w:b/>
          <w:sz w:val="28"/>
          <w:szCs w:val="28"/>
        </w:rPr>
        <w:t xml:space="preserve">Komisijas paziņojums: Uzlabot un koncentrēt ES starptautisko sadarbību pētniecībā un inovācijā </w:t>
      </w:r>
      <w:r w:rsidR="00C90A02" w:rsidRPr="000B5EF5">
        <w:rPr>
          <w:i/>
          <w:sz w:val="28"/>
          <w:szCs w:val="28"/>
        </w:rPr>
        <w:t>(IZM</w:t>
      </w:r>
      <w:r w:rsidR="0046554A" w:rsidRPr="000B5EF5">
        <w:rPr>
          <w:i/>
          <w:sz w:val="28"/>
          <w:szCs w:val="28"/>
        </w:rPr>
        <w:t xml:space="preserve"> kompetence</w:t>
      </w:r>
      <w:r w:rsidR="00C90A02" w:rsidRPr="000B5EF5">
        <w:rPr>
          <w:i/>
          <w:sz w:val="28"/>
          <w:szCs w:val="28"/>
        </w:rPr>
        <w:t>)</w:t>
      </w:r>
    </w:p>
    <w:p w:rsidR="00C90A02" w:rsidRPr="000B5EF5" w:rsidRDefault="00C90A02" w:rsidP="002902E4">
      <w:pPr>
        <w:pStyle w:val="ListParagraph"/>
        <w:numPr>
          <w:ilvl w:val="0"/>
          <w:numId w:val="6"/>
        </w:numPr>
        <w:tabs>
          <w:tab w:val="left" w:pos="284"/>
          <w:tab w:val="left" w:pos="798"/>
          <w:tab w:val="left" w:pos="2127"/>
        </w:tabs>
        <w:jc w:val="both"/>
        <w:rPr>
          <w:i/>
          <w:sz w:val="28"/>
          <w:szCs w:val="28"/>
        </w:rPr>
      </w:pPr>
      <w:r w:rsidRPr="000B5EF5">
        <w:rPr>
          <w:i/>
          <w:sz w:val="28"/>
          <w:szCs w:val="28"/>
        </w:rPr>
        <w:t>Komisijas sniegta informācija</w:t>
      </w:r>
    </w:p>
    <w:p w:rsidR="00C90A02" w:rsidRDefault="00C90A02" w:rsidP="004C1552">
      <w:pPr>
        <w:jc w:val="both"/>
        <w:rPr>
          <w:sz w:val="28"/>
          <w:szCs w:val="28"/>
        </w:rPr>
      </w:pPr>
    </w:p>
    <w:p w:rsidR="000B5EF5" w:rsidRDefault="000B5EF5" w:rsidP="000B5EF5">
      <w:pPr>
        <w:jc w:val="both"/>
        <w:rPr>
          <w:sz w:val="28"/>
          <w:szCs w:val="28"/>
        </w:rPr>
      </w:pPr>
      <w:r>
        <w:rPr>
          <w:sz w:val="28"/>
          <w:szCs w:val="28"/>
        </w:rPr>
        <w:tab/>
        <w:t xml:space="preserve">Sanāksmē paredzēts prezentēt </w:t>
      </w:r>
      <w:proofErr w:type="spellStart"/>
      <w:r>
        <w:rPr>
          <w:sz w:val="28"/>
          <w:szCs w:val="28"/>
        </w:rPr>
        <w:t>š.g</w:t>
      </w:r>
      <w:proofErr w:type="spellEnd"/>
      <w:r>
        <w:rPr>
          <w:sz w:val="28"/>
          <w:szCs w:val="28"/>
        </w:rPr>
        <w:t>. 14.septembrī publicēto Komisijas paziņojumu „</w:t>
      </w:r>
      <w:r w:rsidRPr="009831FF">
        <w:rPr>
          <w:i/>
          <w:sz w:val="28"/>
          <w:szCs w:val="28"/>
        </w:rPr>
        <w:t>Uzlabot un koncentrēt ES starptautisko sadarbību pētniecībā un inovācijā. Stratēģiska pieeja</w:t>
      </w:r>
      <w:r>
        <w:rPr>
          <w:sz w:val="28"/>
          <w:szCs w:val="28"/>
        </w:rPr>
        <w:t>”. Paziņojumā, p</w:t>
      </w:r>
      <w:r w:rsidRPr="000B5EF5">
        <w:rPr>
          <w:sz w:val="28"/>
          <w:szCs w:val="28"/>
        </w:rPr>
        <w:t xml:space="preserve">amatojoties uz </w:t>
      </w:r>
      <w:r w:rsidR="008A7414">
        <w:rPr>
          <w:sz w:val="28"/>
          <w:szCs w:val="28"/>
        </w:rPr>
        <w:t>pētniecības un inovācijas</w:t>
      </w:r>
      <w:r>
        <w:rPr>
          <w:sz w:val="28"/>
          <w:szCs w:val="28"/>
        </w:rPr>
        <w:t xml:space="preserve"> </w:t>
      </w:r>
      <w:r w:rsidR="008A7414">
        <w:rPr>
          <w:sz w:val="28"/>
          <w:szCs w:val="28"/>
        </w:rPr>
        <w:t>pieaugošos</w:t>
      </w:r>
      <w:r>
        <w:rPr>
          <w:sz w:val="28"/>
          <w:szCs w:val="28"/>
        </w:rPr>
        <w:t xml:space="preserve"> starptautisko</w:t>
      </w:r>
      <w:r w:rsidR="008A7414">
        <w:rPr>
          <w:sz w:val="28"/>
          <w:szCs w:val="28"/>
        </w:rPr>
        <w:t xml:space="preserve"> dimensiju, Eiropas </w:t>
      </w:r>
      <w:r w:rsidR="008A7414" w:rsidRPr="008A7414">
        <w:rPr>
          <w:sz w:val="28"/>
          <w:szCs w:val="28"/>
        </w:rPr>
        <w:t>starptautiskās darbības instituc</w:t>
      </w:r>
      <w:r w:rsidR="008A7414">
        <w:rPr>
          <w:sz w:val="28"/>
          <w:szCs w:val="28"/>
        </w:rPr>
        <w:t>ionālās struktūras izmaiņām</w:t>
      </w:r>
      <w:r>
        <w:rPr>
          <w:sz w:val="28"/>
          <w:szCs w:val="28"/>
        </w:rPr>
        <w:t xml:space="preserve"> </w:t>
      </w:r>
      <w:r w:rsidR="008A7414">
        <w:rPr>
          <w:sz w:val="28"/>
          <w:szCs w:val="28"/>
        </w:rPr>
        <w:t xml:space="preserve">un </w:t>
      </w:r>
      <w:r w:rsidRPr="000B5EF5">
        <w:rPr>
          <w:sz w:val="28"/>
          <w:szCs w:val="28"/>
        </w:rPr>
        <w:t xml:space="preserve">saistībām, kas </w:t>
      </w:r>
      <w:r>
        <w:rPr>
          <w:sz w:val="28"/>
          <w:szCs w:val="28"/>
        </w:rPr>
        <w:t>izriet no Inovācijas Savienības</w:t>
      </w:r>
      <w:r w:rsidRPr="000B5EF5">
        <w:rPr>
          <w:sz w:val="28"/>
          <w:szCs w:val="28"/>
        </w:rPr>
        <w:t>, Eiropas</w:t>
      </w:r>
      <w:r>
        <w:rPr>
          <w:sz w:val="28"/>
          <w:szCs w:val="28"/>
        </w:rPr>
        <w:t xml:space="preserve"> </w:t>
      </w:r>
      <w:r w:rsidRPr="000B5EF5">
        <w:rPr>
          <w:sz w:val="28"/>
          <w:szCs w:val="28"/>
        </w:rPr>
        <w:t>pētniecības telpas (</w:t>
      </w:r>
      <w:r w:rsidR="008A7414">
        <w:rPr>
          <w:sz w:val="28"/>
          <w:szCs w:val="28"/>
        </w:rPr>
        <w:t>ERA) pamatprogrammas</w:t>
      </w:r>
      <w:r w:rsidRPr="000B5EF5">
        <w:rPr>
          <w:sz w:val="28"/>
          <w:szCs w:val="28"/>
        </w:rPr>
        <w:t xml:space="preserve"> un Septītās pamatprogrammas (FP7) starpposma</w:t>
      </w:r>
      <w:r>
        <w:rPr>
          <w:sz w:val="28"/>
          <w:szCs w:val="28"/>
        </w:rPr>
        <w:t xml:space="preserve"> novērtējuma ieteikumiem</w:t>
      </w:r>
      <w:r w:rsidRPr="000B5EF5">
        <w:rPr>
          <w:sz w:val="28"/>
          <w:szCs w:val="28"/>
        </w:rPr>
        <w:t>, Komisija ierosina stratēģisku pieeju, lai veicinātu un pievērstu</w:t>
      </w:r>
      <w:r>
        <w:rPr>
          <w:sz w:val="28"/>
          <w:szCs w:val="28"/>
        </w:rPr>
        <w:t xml:space="preserve"> </w:t>
      </w:r>
      <w:r w:rsidRPr="000B5EF5">
        <w:rPr>
          <w:sz w:val="28"/>
          <w:szCs w:val="28"/>
        </w:rPr>
        <w:t>uzmanību Savienības starptautiskās sadarbības pasākumiem pētniecības un inovāciju jomā, jo</w:t>
      </w:r>
      <w:r>
        <w:rPr>
          <w:sz w:val="28"/>
          <w:szCs w:val="28"/>
        </w:rPr>
        <w:t xml:space="preserve"> </w:t>
      </w:r>
      <w:r w:rsidRPr="000B5EF5">
        <w:rPr>
          <w:sz w:val="28"/>
          <w:szCs w:val="28"/>
        </w:rPr>
        <w:t>īpaši ar nolūku sagatavot</w:t>
      </w:r>
      <w:r>
        <w:rPr>
          <w:sz w:val="28"/>
          <w:szCs w:val="28"/>
        </w:rPr>
        <w:t>ies programmas "Apvārsnis 2020"</w:t>
      </w:r>
      <w:r w:rsidRPr="000B5EF5">
        <w:rPr>
          <w:sz w:val="28"/>
          <w:szCs w:val="28"/>
        </w:rPr>
        <w:t xml:space="preserve"> īstenošanai</w:t>
      </w:r>
      <w:r>
        <w:rPr>
          <w:sz w:val="28"/>
          <w:szCs w:val="28"/>
        </w:rPr>
        <w:t>.</w:t>
      </w:r>
    </w:p>
    <w:p w:rsidR="00C90A02" w:rsidRPr="00025B33" w:rsidRDefault="00C90A02" w:rsidP="004C1552">
      <w:pPr>
        <w:jc w:val="both"/>
        <w:rPr>
          <w:sz w:val="28"/>
          <w:szCs w:val="28"/>
        </w:rPr>
      </w:pPr>
    </w:p>
    <w:p w:rsidR="00B03397" w:rsidRPr="00025B33" w:rsidRDefault="00C90A02" w:rsidP="002902E4">
      <w:pPr>
        <w:pStyle w:val="ListParagraph"/>
        <w:numPr>
          <w:ilvl w:val="0"/>
          <w:numId w:val="3"/>
        </w:numPr>
        <w:tabs>
          <w:tab w:val="left" w:pos="284"/>
        </w:tabs>
        <w:jc w:val="both"/>
        <w:rPr>
          <w:b/>
          <w:sz w:val="28"/>
          <w:szCs w:val="28"/>
        </w:rPr>
      </w:pPr>
      <w:r w:rsidRPr="00C90A02">
        <w:rPr>
          <w:b/>
          <w:sz w:val="28"/>
          <w:szCs w:val="28"/>
        </w:rPr>
        <w:t>Ziņojums par augsta līmeņa apaļā galda sarunām par Eiropas tērauda rūpniecības nākotni, kas notika 2012.gada 19.septembrī</w:t>
      </w:r>
      <w:r w:rsidR="00013A67">
        <w:rPr>
          <w:b/>
          <w:sz w:val="28"/>
          <w:szCs w:val="28"/>
        </w:rPr>
        <w:t xml:space="preserve"> </w:t>
      </w:r>
      <w:r w:rsidR="00013A67">
        <w:rPr>
          <w:i/>
          <w:sz w:val="28"/>
          <w:szCs w:val="28"/>
        </w:rPr>
        <w:t>(E</w:t>
      </w:r>
      <w:r w:rsidR="00013A67" w:rsidRPr="0046554A">
        <w:rPr>
          <w:i/>
          <w:sz w:val="28"/>
          <w:szCs w:val="28"/>
        </w:rPr>
        <w:t>M kompetence)</w:t>
      </w:r>
    </w:p>
    <w:p w:rsidR="00B03397" w:rsidRPr="00D603C1" w:rsidRDefault="00B03397" w:rsidP="002902E4">
      <w:pPr>
        <w:pStyle w:val="ListParagraph"/>
        <w:numPr>
          <w:ilvl w:val="0"/>
          <w:numId w:val="5"/>
        </w:numPr>
        <w:tabs>
          <w:tab w:val="left" w:pos="284"/>
        </w:tabs>
        <w:jc w:val="both"/>
        <w:rPr>
          <w:i/>
          <w:sz w:val="28"/>
          <w:szCs w:val="28"/>
        </w:rPr>
      </w:pPr>
      <w:r w:rsidRPr="00D603C1">
        <w:rPr>
          <w:i/>
          <w:sz w:val="28"/>
          <w:szCs w:val="28"/>
        </w:rPr>
        <w:t xml:space="preserve">Komisijas </w:t>
      </w:r>
      <w:r w:rsidR="00C90A02" w:rsidRPr="00D603C1">
        <w:rPr>
          <w:i/>
          <w:sz w:val="28"/>
          <w:szCs w:val="28"/>
        </w:rPr>
        <w:t>sniegta informācija</w:t>
      </w:r>
    </w:p>
    <w:p w:rsidR="00F87D49" w:rsidRPr="00025B33" w:rsidRDefault="00F87D49" w:rsidP="00C90A02">
      <w:pPr>
        <w:jc w:val="both"/>
        <w:rPr>
          <w:sz w:val="28"/>
          <w:szCs w:val="28"/>
        </w:rPr>
      </w:pPr>
    </w:p>
    <w:p w:rsidR="001E7413" w:rsidRPr="00025B33" w:rsidRDefault="001E7413" w:rsidP="00C90A02">
      <w:pPr>
        <w:ind w:firstLine="851"/>
        <w:jc w:val="both"/>
        <w:rPr>
          <w:sz w:val="28"/>
          <w:szCs w:val="28"/>
        </w:rPr>
      </w:pPr>
      <w:r w:rsidRPr="00025B33">
        <w:rPr>
          <w:sz w:val="28"/>
          <w:szCs w:val="28"/>
        </w:rPr>
        <w:t>Sanāksmes laikā plānots, ka Komisija sniegs informāciju par plānoto valsts atbalsta reformas izstrādes tālāko procesu. Pēc tam kad Komisija nāks klajā ar priekšlikumu valsts atbalsta reformai, tas tiks vērtēts.</w:t>
      </w:r>
    </w:p>
    <w:p w:rsidR="00C90A02" w:rsidRPr="00C90A02" w:rsidRDefault="00C90A02" w:rsidP="00C90A02">
      <w:pPr>
        <w:jc w:val="both"/>
        <w:rPr>
          <w:sz w:val="28"/>
          <w:szCs w:val="28"/>
        </w:rPr>
      </w:pPr>
      <w:r>
        <w:rPr>
          <w:sz w:val="28"/>
          <w:szCs w:val="28"/>
        </w:rPr>
        <w:tab/>
      </w:r>
      <w:r w:rsidRPr="00C90A02">
        <w:rPr>
          <w:sz w:val="28"/>
          <w:szCs w:val="28"/>
        </w:rPr>
        <w:t>Augsta līmeņa apaļais galds par Eiropas tērauda rūpniecības nākotni ir izveidots ar mērķi iesaistīt industrijas un asociāciju pārstāvjus diskusijās par ES tērauda industrijas nākotni. 2012.gada 19.septembrī notika pirmā šī formāta sanāksme, kurā piedalījās visu lielāko ES tērauda rūpniecības uzņēmumu pārstāvji CEO līmenī. Latvija šajā augsta līmeņa darba grupā nav pārstāvēta.</w:t>
      </w:r>
      <w:r w:rsidR="004F0096">
        <w:rPr>
          <w:sz w:val="28"/>
          <w:szCs w:val="28"/>
        </w:rPr>
        <w:t xml:space="preserve"> </w:t>
      </w:r>
      <w:r w:rsidRPr="00C90A02">
        <w:rPr>
          <w:sz w:val="28"/>
          <w:szCs w:val="28"/>
        </w:rPr>
        <w:t>Darba grupas dalībnieki sanāksmē vienojās par 11 jomām, kas svarīgas Eiropas tērauda industrijai: (i) starptautiskā konkurence (ieskaitot protekcionisma un negodīgas tirdzniecības prakses jautājumus); (</w:t>
      </w:r>
      <w:proofErr w:type="spellStart"/>
      <w:r w:rsidRPr="00C90A02">
        <w:rPr>
          <w:sz w:val="28"/>
          <w:szCs w:val="28"/>
        </w:rPr>
        <w:t>ii</w:t>
      </w:r>
      <w:proofErr w:type="spellEnd"/>
      <w:r w:rsidRPr="00C90A02">
        <w:rPr>
          <w:sz w:val="28"/>
          <w:szCs w:val="28"/>
        </w:rPr>
        <w:t>) piekļuve izejvielām; (</w:t>
      </w:r>
      <w:proofErr w:type="spellStart"/>
      <w:r w:rsidRPr="00C90A02">
        <w:rPr>
          <w:sz w:val="28"/>
          <w:szCs w:val="28"/>
        </w:rPr>
        <w:t>iii</w:t>
      </w:r>
      <w:proofErr w:type="spellEnd"/>
      <w:r w:rsidRPr="00C90A02">
        <w:rPr>
          <w:sz w:val="28"/>
          <w:szCs w:val="28"/>
        </w:rPr>
        <w:t>) papildus izmaksas, kas rodas pastāvošās likumdošanas dēļ; (</w:t>
      </w:r>
      <w:proofErr w:type="spellStart"/>
      <w:r w:rsidRPr="00C90A02">
        <w:rPr>
          <w:sz w:val="28"/>
          <w:szCs w:val="28"/>
        </w:rPr>
        <w:t>iv</w:t>
      </w:r>
      <w:proofErr w:type="spellEnd"/>
      <w:r w:rsidRPr="00C90A02">
        <w:rPr>
          <w:sz w:val="28"/>
          <w:szCs w:val="28"/>
        </w:rPr>
        <w:t>) ES klimata politikas (ETS) ieviešana; (v) ES klimata politikas mērķi pēc 2020.gada; (</w:t>
      </w:r>
      <w:proofErr w:type="spellStart"/>
      <w:r w:rsidRPr="00C90A02">
        <w:rPr>
          <w:sz w:val="28"/>
          <w:szCs w:val="28"/>
        </w:rPr>
        <w:t>vi</w:t>
      </w:r>
      <w:proofErr w:type="spellEnd"/>
      <w:r w:rsidRPr="00C90A02">
        <w:rPr>
          <w:sz w:val="28"/>
          <w:szCs w:val="28"/>
        </w:rPr>
        <w:t>) enerģijas izmaksas; (</w:t>
      </w:r>
      <w:proofErr w:type="spellStart"/>
      <w:r w:rsidRPr="00C90A02">
        <w:rPr>
          <w:sz w:val="28"/>
          <w:szCs w:val="28"/>
        </w:rPr>
        <w:t>vii</w:t>
      </w:r>
      <w:proofErr w:type="spellEnd"/>
      <w:r w:rsidRPr="00C90A02">
        <w:rPr>
          <w:sz w:val="28"/>
          <w:szCs w:val="28"/>
        </w:rPr>
        <w:t>) ES resursu efektivitātes politika; (</w:t>
      </w:r>
      <w:proofErr w:type="spellStart"/>
      <w:r w:rsidRPr="00C90A02">
        <w:rPr>
          <w:sz w:val="28"/>
          <w:szCs w:val="28"/>
        </w:rPr>
        <w:t>viii</w:t>
      </w:r>
      <w:proofErr w:type="spellEnd"/>
      <w:r w:rsidRPr="00C90A02">
        <w:rPr>
          <w:sz w:val="28"/>
          <w:szCs w:val="28"/>
        </w:rPr>
        <w:t>) prasmju trūkums; (</w:t>
      </w:r>
      <w:proofErr w:type="spellStart"/>
      <w:r w:rsidRPr="00C90A02">
        <w:rPr>
          <w:sz w:val="28"/>
          <w:szCs w:val="28"/>
        </w:rPr>
        <w:t>ix</w:t>
      </w:r>
      <w:proofErr w:type="spellEnd"/>
      <w:r w:rsidRPr="00C90A02">
        <w:rPr>
          <w:sz w:val="28"/>
          <w:szCs w:val="28"/>
        </w:rPr>
        <w:t>) iespējamā kapacitāšu pārņemšana; (x) pētniecība, attīstība un inovācija; (</w:t>
      </w:r>
      <w:proofErr w:type="spellStart"/>
      <w:r w:rsidRPr="00C90A02">
        <w:rPr>
          <w:sz w:val="28"/>
          <w:szCs w:val="28"/>
        </w:rPr>
        <w:t>xi</w:t>
      </w:r>
      <w:proofErr w:type="spellEnd"/>
      <w:r w:rsidRPr="00C90A02">
        <w:rPr>
          <w:sz w:val="28"/>
          <w:szCs w:val="28"/>
        </w:rPr>
        <w:t>) pieprasījuma puses pasākumi, kas veicina galveno sektoru atveseļošanos. Kopumā nozares rūpniecību un tirdzniecību pārstāvošās puses vienojās, ka nozare saskaras ar specifiskām problēmām, kurām jāpievērš uzmanība ES mērogā.</w:t>
      </w:r>
    </w:p>
    <w:p w:rsidR="00C90A02" w:rsidRPr="00C90A02" w:rsidRDefault="00C90A02" w:rsidP="00C90A02">
      <w:pPr>
        <w:jc w:val="both"/>
        <w:rPr>
          <w:sz w:val="28"/>
          <w:szCs w:val="28"/>
        </w:rPr>
      </w:pPr>
      <w:r>
        <w:rPr>
          <w:sz w:val="28"/>
          <w:szCs w:val="28"/>
        </w:rPr>
        <w:tab/>
      </w:r>
      <w:r w:rsidRPr="00C90A02">
        <w:rPr>
          <w:sz w:val="28"/>
          <w:szCs w:val="28"/>
        </w:rPr>
        <w:t xml:space="preserve">Rūpniecības pārstāvji norādīja, ka ES tērauda ražotāji izmaksu jautājumā atrodas neizdevīgākās pozīcijās </w:t>
      </w:r>
      <w:r w:rsidR="0013164E">
        <w:rPr>
          <w:sz w:val="28"/>
          <w:szCs w:val="28"/>
        </w:rPr>
        <w:t>salīdzinājumā ar</w:t>
      </w:r>
      <w:r w:rsidRPr="00C90A02">
        <w:rPr>
          <w:sz w:val="28"/>
          <w:szCs w:val="28"/>
        </w:rPr>
        <w:t xml:space="preserve"> saviem </w:t>
      </w:r>
      <w:r w:rsidRPr="00C90A02">
        <w:rPr>
          <w:sz w:val="28"/>
          <w:szCs w:val="28"/>
        </w:rPr>
        <w:lastRenderedPageBreak/>
        <w:t>starptautiskajiem konkurentiem. Viņi uzsvēra, ka jāturpina īstenot centieni ES līmenī, lai atjaunotu līdzvērtīgus konkurences apstākļus. Rūpniecības pārstāvji uzsvēra nepieciešamīb</w:t>
      </w:r>
      <w:r w:rsidR="0013164E">
        <w:rPr>
          <w:sz w:val="28"/>
          <w:szCs w:val="28"/>
        </w:rPr>
        <w:t>u pēc stabilas normatīvās vides</w:t>
      </w:r>
      <w:r w:rsidRPr="00C90A02">
        <w:rPr>
          <w:sz w:val="28"/>
          <w:szCs w:val="28"/>
        </w:rPr>
        <w:t xml:space="preserve"> kā nosacījumu lēmumu pieņemšanai attiecībā uz ilgtermiņa investīcijām, kā arī uzsvēra, ka nepieciešams labs līdzsvars starp dažādu ES politikas jomu mērķiem un instrumentiem – īpaši mērķiem vides un klimata politikas jomā</w:t>
      </w:r>
      <w:r w:rsidR="0013164E">
        <w:rPr>
          <w:sz w:val="28"/>
          <w:szCs w:val="28"/>
        </w:rPr>
        <w:t>,</w:t>
      </w:r>
      <w:r w:rsidRPr="00C90A02">
        <w:rPr>
          <w:sz w:val="28"/>
          <w:szCs w:val="28"/>
        </w:rPr>
        <w:t xml:space="preserve"> no vienas puses</w:t>
      </w:r>
      <w:r w:rsidR="0013164E">
        <w:rPr>
          <w:sz w:val="28"/>
          <w:szCs w:val="28"/>
        </w:rPr>
        <w:t>,</w:t>
      </w:r>
      <w:r w:rsidRPr="00C90A02">
        <w:rPr>
          <w:sz w:val="28"/>
          <w:szCs w:val="28"/>
        </w:rPr>
        <w:t xml:space="preserve"> un darba vietu saglabāšanas mērķiem</w:t>
      </w:r>
      <w:r w:rsidR="0013164E">
        <w:rPr>
          <w:sz w:val="28"/>
          <w:szCs w:val="28"/>
        </w:rPr>
        <w:t>,</w:t>
      </w:r>
      <w:r w:rsidRPr="00C90A02">
        <w:rPr>
          <w:sz w:val="28"/>
          <w:szCs w:val="28"/>
        </w:rPr>
        <w:t xml:space="preserve"> no otras puses.</w:t>
      </w:r>
    </w:p>
    <w:p w:rsidR="00C90A02" w:rsidRDefault="00C90A02" w:rsidP="00C90A02">
      <w:pPr>
        <w:jc w:val="both"/>
        <w:rPr>
          <w:sz w:val="28"/>
          <w:szCs w:val="28"/>
        </w:rPr>
      </w:pPr>
      <w:r>
        <w:rPr>
          <w:sz w:val="28"/>
          <w:szCs w:val="28"/>
        </w:rPr>
        <w:tab/>
      </w:r>
      <w:r w:rsidRPr="00C90A02">
        <w:rPr>
          <w:sz w:val="28"/>
          <w:szCs w:val="28"/>
        </w:rPr>
        <w:t>Tirdzniecības apvienības uzsvēra, ka investīciju trūkums var radīt risku nozares ilgtermiņa izaugsmei. Tirdzniecības apvienības un ražotāji pauda vienādu pozīciju, ka nepieciešama līdzvērtīgu nosacījumu radīšana starptautiskā līmenī. Īpaši tirdzniecības apvienības uzsvēra, ka būtisks izaicinājums ir piekļuve izejvielām. Attiecībā uz CO2 emisijām tirdzniecības apvienības norādīja, ka jaunākās tehnoloģijas, kas nākotnē varētu būtiski samazināt siltumnīcefekta gāzu emisijas, šobrīd ir tikai to izmēģinājuma posmā un cerībām šajā jomā (CO2 emisijas) jābūt reālistiskām.</w:t>
      </w:r>
    </w:p>
    <w:p w:rsidR="00C90A02" w:rsidRPr="00C90A02" w:rsidRDefault="00C90A02" w:rsidP="00C90A02">
      <w:pPr>
        <w:tabs>
          <w:tab w:val="left" w:pos="798"/>
          <w:tab w:val="left" w:pos="2127"/>
        </w:tabs>
        <w:jc w:val="both"/>
        <w:rPr>
          <w:sz w:val="28"/>
          <w:szCs w:val="28"/>
        </w:rPr>
      </w:pPr>
      <w:r>
        <w:rPr>
          <w:sz w:val="28"/>
          <w:szCs w:val="28"/>
        </w:rPr>
        <w:tab/>
      </w:r>
      <w:r w:rsidRPr="00C90A02">
        <w:rPr>
          <w:sz w:val="28"/>
          <w:szCs w:val="28"/>
        </w:rPr>
        <w:t>2012.gada 13. novembrī plānota nākamā sanāksme, kurā tiks izvērtēti pastāvošo problēmu iespējamie risinājumi. Trešā sanāksme iecerēta nākamā gada sākumā, pēc kuras – februārī vai martā – tiks sagatavotas rekomendācijas.</w:t>
      </w:r>
    </w:p>
    <w:p w:rsidR="00C90A02" w:rsidRPr="00025B33" w:rsidRDefault="00C90A02" w:rsidP="00C90A02">
      <w:pPr>
        <w:jc w:val="both"/>
        <w:rPr>
          <w:sz w:val="28"/>
          <w:szCs w:val="28"/>
        </w:rPr>
      </w:pPr>
    </w:p>
    <w:p w:rsidR="00F87D49" w:rsidRPr="00025B33" w:rsidRDefault="00C90A02" w:rsidP="002902E4">
      <w:pPr>
        <w:pStyle w:val="ListParagraph"/>
        <w:numPr>
          <w:ilvl w:val="0"/>
          <w:numId w:val="3"/>
        </w:numPr>
        <w:jc w:val="both"/>
        <w:rPr>
          <w:b/>
          <w:sz w:val="28"/>
          <w:szCs w:val="28"/>
        </w:rPr>
      </w:pPr>
      <w:r w:rsidRPr="00C90A02">
        <w:rPr>
          <w:b/>
          <w:sz w:val="28"/>
          <w:szCs w:val="28"/>
        </w:rPr>
        <w:t>Divpadsmitais Eiropas Tūrisma forums</w:t>
      </w:r>
      <w:r w:rsidR="0046554A">
        <w:rPr>
          <w:b/>
          <w:sz w:val="28"/>
          <w:szCs w:val="28"/>
        </w:rPr>
        <w:t xml:space="preserve"> </w:t>
      </w:r>
      <w:r w:rsidR="0046554A">
        <w:rPr>
          <w:i/>
          <w:sz w:val="28"/>
          <w:szCs w:val="28"/>
        </w:rPr>
        <w:t>(E</w:t>
      </w:r>
      <w:r w:rsidR="0046554A" w:rsidRPr="0046554A">
        <w:rPr>
          <w:i/>
          <w:sz w:val="28"/>
          <w:szCs w:val="28"/>
        </w:rPr>
        <w:t>M kompetence)</w:t>
      </w:r>
    </w:p>
    <w:p w:rsidR="00F87D49" w:rsidRPr="00D603C1" w:rsidRDefault="00C90A02" w:rsidP="002902E4">
      <w:pPr>
        <w:pStyle w:val="ListParagraph"/>
        <w:numPr>
          <w:ilvl w:val="0"/>
          <w:numId w:val="4"/>
        </w:numPr>
        <w:jc w:val="both"/>
        <w:rPr>
          <w:i/>
          <w:sz w:val="28"/>
          <w:szCs w:val="28"/>
        </w:rPr>
      </w:pPr>
      <w:r w:rsidRPr="00D603C1">
        <w:rPr>
          <w:i/>
          <w:sz w:val="28"/>
          <w:szCs w:val="28"/>
        </w:rPr>
        <w:t>Prezidentvalsts</w:t>
      </w:r>
      <w:r w:rsidR="00F87D49" w:rsidRPr="00D603C1">
        <w:rPr>
          <w:i/>
          <w:sz w:val="28"/>
          <w:szCs w:val="28"/>
        </w:rPr>
        <w:t xml:space="preserve"> sniegta informācija </w:t>
      </w:r>
    </w:p>
    <w:p w:rsidR="00F87D49" w:rsidRPr="00025B33" w:rsidRDefault="00F87D49" w:rsidP="00C90A02">
      <w:pPr>
        <w:jc w:val="both"/>
        <w:rPr>
          <w:sz w:val="28"/>
          <w:szCs w:val="28"/>
        </w:rPr>
      </w:pPr>
    </w:p>
    <w:p w:rsidR="00C90A02" w:rsidRPr="00C90A02" w:rsidRDefault="00C90A02" w:rsidP="00C90A02">
      <w:pPr>
        <w:jc w:val="both"/>
        <w:rPr>
          <w:sz w:val="28"/>
          <w:szCs w:val="28"/>
        </w:rPr>
      </w:pPr>
      <w:r>
        <w:rPr>
          <w:sz w:val="28"/>
          <w:szCs w:val="28"/>
        </w:rPr>
        <w:tab/>
      </w:r>
      <w:r w:rsidRPr="00C90A02">
        <w:rPr>
          <w:sz w:val="28"/>
          <w:szCs w:val="28"/>
        </w:rPr>
        <w:t>Eiropas Tūrisma forums ir lielākais Eiropas tūrisma ikgadējais pasākums, kas norisināsies jau 11.reizi. Forums ir tikšanās vieta Eiropas tūrisma nozares vadītājiem, privātā un publiskā sektora pārstāvjiem, kā arī akadēmiskajiem spēkiem, kur notiek Eiropas tūrisma attīstības aktuālo jautājumu apspriešana, apmaiņa ar viedokļiem un labāko praksi.</w:t>
      </w:r>
    </w:p>
    <w:p w:rsidR="00C90A02" w:rsidRPr="00C90A02" w:rsidRDefault="00C90A02" w:rsidP="00C90A02">
      <w:pPr>
        <w:jc w:val="both"/>
        <w:rPr>
          <w:sz w:val="28"/>
          <w:szCs w:val="28"/>
        </w:rPr>
      </w:pPr>
      <w:r>
        <w:rPr>
          <w:sz w:val="28"/>
          <w:szCs w:val="28"/>
        </w:rPr>
        <w:tab/>
      </w:r>
      <w:r w:rsidRPr="00C90A02">
        <w:rPr>
          <w:sz w:val="28"/>
          <w:szCs w:val="28"/>
        </w:rPr>
        <w:t xml:space="preserve">Šogad forums norisināsies Kiprā, </w:t>
      </w:r>
      <w:proofErr w:type="spellStart"/>
      <w:r w:rsidRPr="00C90A02">
        <w:rPr>
          <w:sz w:val="28"/>
          <w:szCs w:val="28"/>
        </w:rPr>
        <w:t>Lefkosijā</w:t>
      </w:r>
      <w:proofErr w:type="spellEnd"/>
      <w:r w:rsidRPr="00C90A02">
        <w:rPr>
          <w:sz w:val="28"/>
          <w:szCs w:val="28"/>
        </w:rPr>
        <w:t xml:space="preserve"> un tajā tiks apspriesti sekojoši jautājumi:</w:t>
      </w:r>
    </w:p>
    <w:p w:rsidR="00C90A02" w:rsidRPr="00C90A02" w:rsidRDefault="00C90A02" w:rsidP="002902E4">
      <w:pPr>
        <w:pStyle w:val="ListParagraph"/>
        <w:numPr>
          <w:ilvl w:val="0"/>
          <w:numId w:val="2"/>
        </w:numPr>
        <w:jc w:val="both"/>
        <w:rPr>
          <w:sz w:val="28"/>
          <w:szCs w:val="28"/>
        </w:rPr>
      </w:pPr>
      <w:r w:rsidRPr="00C90A02">
        <w:rPr>
          <w:sz w:val="28"/>
          <w:szCs w:val="28"/>
        </w:rPr>
        <w:t>Eiropas kā tūrisma galamērķa mārketings;</w:t>
      </w:r>
    </w:p>
    <w:p w:rsidR="00C90A02" w:rsidRPr="00C90A02" w:rsidRDefault="00C90A02" w:rsidP="002902E4">
      <w:pPr>
        <w:pStyle w:val="ListParagraph"/>
        <w:numPr>
          <w:ilvl w:val="0"/>
          <w:numId w:val="2"/>
        </w:numPr>
        <w:jc w:val="both"/>
        <w:rPr>
          <w:sz w:val="28"/>
          <w:szCs w:val="28"/>
        </w:rPr>
      </w:pPr>
      <w:r w:rsidRPr="00C90A02">
        <w:rPr>
          <w:sz w:val="28"/>
          <w:szCs w:val="28"/>
        </w:rPr>
        <w:t>tūristu plūsmas veicināšana uz Eiropu.</w:t>
      </w:r>
    </w:p>
    <w:p w:rsidR="004C1552" w:rsidRDefault="00C90A02" w:rsidP="00C90A02">
      <w:pPr>
        <w:jc w:val="both"/>
        <w:rPr>
          <w:sz w:val="28"/>
          <w:szCs w:val="28"/>
        </w:rPr>
      </w:pPr>
      <w:r w:rsidRPr="00C90A02">
        <w:rPr>
          <w:sz w:val="28"/>
          <w:szCs w:val="28"/>
        </w:rPr>
        <w:t>Šogad Ekonomikas ministrija neplāno piedalīties Eiropas Tūrisma forumā.</w:t>
      </w:r>
    </w:p>
    <w:p w:rsidR="00C90A02" w:rsidRDefault="00C90A02" w:rsidP="00C90A02">
      <w:pPr>
        <w:jc w:val="both"/>
        <w:rPr>
          <w:sz w:val="28"/>
          <w:szCs w:val="28"/>
        </w:rPr>
      </w:pPr>
    </w:p>
    <w:p w:rsidR="00F87D49" w:rsidRPr="00025B33" w:rsidRDefault="00C90A02" w:rsidP="002902E4">
      <w:pPr>
        <w:pStyle w:val="ListParagraph"/>
        <w:numPr>
          <w:ilvl w:val="0"/>
          <w:numId w:val="3"/>
        </w:numPr>
        <w:jc w:val="both"/>
        <w:rPr>
          <w:b/>
          <w:sz w:val="28"/>
          <w:szCs w:val="28"/>
        </w:rPr>
      </w:pPr>
      <w:r w:rsidRPr="00C90A02">
        <w:rPr>
          <w:b/>
          <w:sz w:val="28"/>
          <w:szCs w:val="28"/>
        </w:rPr>
        <w:t>Komisijas Paziņojums par valsts atbalstu filmām un citiem audiovizuāliem darbiem</w:t>
      </w:r>
      <w:r w:rsidR="0046554A">
        <w:rPr>
          <w:b/>
          <w:sz w:val="28"/>
          <w:szCs w:val="28"/>
        </w:rPr>
        <w:t xml:space="preserve"> </w:t>
      </w:r>
      <w:r w:rsidR="0046554A">
        <w:rPr>
          <w:i/>
          <w:sz w:val="28"/>
          <w:szCs w:val="28"/>
        </w:rPr>
        <w:t>(</w:t>
      </w:r>
      <w:r w:rsidR="0013164E">
        <w:rPr>
          <w:i/>
          <w:sz w:val="28"/>
          <w:szCs w:val="28"/>
        </w:rPr>
        <w:t>K</w:t>
      </w:r>
      <w:r w:rsidR="0046554A" w:rsidRPr="0046554A">
        <w:rPr>
          <w:i/>
          <w:sz w:val="28"/>
          <w:szCs w:val="28"/>
        </w:rPr>
        <w:t>M kompetence)</w:t>
      </w:r>
    </w:p>
    <w:p w:rsidR="00F87D49" w:rsidRPr="00D603C1" w:rsidRDefault="00C90A02" w:rsidP="002902E4">
      <w:pPr>
        <w:pStyle w:val="ListParagraph"/>
        <w:numPr>
          <w:ilvl w:val="0"/>
          <w:numId w:val="2"/>
        </w:numPr>
        <w:jc w:val="both"/>
        <w:rPr>
          <w:i/>
          <w:sz w:val="28"/>
          <w:szCs w:val="28"/>
        </w:rPr>
      </w:pPr>
      <w:r w:rsidRPr="00D603C1">
        <w:rPr>
          <w:i/>
          <w:sz w:val="28"/>
          <w:szCs w:val="28"/>
        </w:rPr>
        <w:t>Vācijas</w:t>
      </w:r>
      <w:r w:rsidR="00F87D49" w:rsidRPr="00D603C1">
        <w:rPr>
          <w:i/>
          <w:sz w:val="28"/>
          <w:szCs w:val="28"/>
        </w:rPr>
        <w:t xml:space="preserve"> delegācijas sniegta informācija</w:t>
      </w:r>
    </w:p>
    <w:p w:rsidR="00F87D49" w:rsidRPr="00025B33" w:rsidRDefault="00F87D49" w:rsidP="00C90A02">
      <w:pPr>
        <w:jc w:val="both"/>
        <w:rPr>
          <w:sz w:val="28"/>
          <w:szCs w:val="28"/>
        </w:rPr>
      </w:pPr>
    </w:p>
    <w:p w:rsidR="00C90A02" w:rsidRPr="00C90A02" w:rsidRDefault="00C90A02" w:rsidP="00C90A02">
      <w:pPr>
        <w:jc w:val="both"/>
        <w:rPr>
          <w:sz w:val="28"/>
          <w:szCs w:val="28"/>
        </w:rPr>
      </w:pPr>
      <w:r>
        <w:rPr>
          <w:sz w:val="28"/>
          <w:szCs w:val="28"/>
        </w:rPr>
        <w:tab/>
      </w:r>
      <w:r w:rsidRPr="00C90A02">
        <w:rPr>
          <w:sz w:val="28"/>
          <w:szCs w:val="28"/>
        </w:rPr>
        <w:t xml:space="preserve">Š.g.10.maija ES Izglītības, jaunatnes, kultūras un sporta padomes sanāksmes noslēgumā Vācijas delegācija kopā ar Francijas un Lielbritānijas delegācijām pauda savu neapmierinātību par atsevišķiem šī Komisijas paziņojuma projekta punktiem, kas sašaurinātu valsts atbalsta iespējas filmu nozarei, īpaši attiecībā uz izdevumu </w:t>
      </w:r>
      <w:proofErr w:type="spellStart"/>
      <w:r w:rsidRPr="00C90A02">
        <w:rPr>
          <w:sz w:val="28"/>
          <w:szCs w:val="28"/>
        </w:rPr>
        <w:t>teritorializācijas</w:t>
      </w:r>
      <w:proofErr w:type="spellEnd"/>
      <w:r w:rsidRPr="00C90A02">
        <w:rPr>
          <w:sz w:val="28"/>
          <w:szCs w:val="28"/>
        </w:rPr>
        <w:t xml:space="preserve"> pienākumiem, kas </w:t>
      </w:r>
      <w:r w:rsidRPr="00C90A02">
        <w:rPr>
          <w:sz w:val="28"/>
          <w:szCs w:val="28"/>
        </w:rPr>
        <w:lastRenderedPageBreak/>
        <w:t xml:space="preserve">nosaka, ka konkrētā teritorijā ir jāizlieto noteikta filmas ražošanas budžeta daļa (līdz šim - līdz 80 % no filmas budžeta ir jāizlieto attiecīgās valsts teritorijā), tomēr jaunajā ziņojumā paredzēts šo skaitli mazināt, attiecīgi ļaujot valsts atbalsta ietvaros saņemto naudu īstenot citā valstī. Vāciju šajā jautājumā atbalsta arī Austrija, Lielbritānija, Francija un Somija. Komisija ziņojuma projektu plāno apstiprināt </w:t>
      </w:r>
      <w:proofErr w:type="spellStart"/>
      <w:r w:rsidRPr="00C90A02">
        <w:rPr>
          <w:sz w:val="28"/>
          <w:szCs w:val="28"/>
        </w:rPr>
        <w:t>š.g</w:t>
      </w:r>
      <w:proofErr w:type="spellEnd"/>
      <w:r w:rsidRPr="00C90A02">
        <w:rPr>
          <w:sz w:val="28"/>
          <w:szCs w:val="28"/>
        </w:rPr>
        <w:t>. pēdējā ceturksnī.</w:t>
      </w:r>
    </w:p>
    <w:p w:rsidR="001E7413" w:rsidRPr="00025B33" w:rsidRDefault="00C90A02" w:rsidP="00C90A02">
      <w:pPr>
        <w:jc w:val="both"/>
        <w:rPr>
          <w:sz w:val="28"/>
          <w:szCs w:val="28"/>
        </w:rPr>
      </w:pPr>
      <w:r>
        <w:rPr>
          <w:sz w:val="28"/>
          <w:szCs w:val="28"/>
        </w:rPr>
        <w:tab/>
      </w:r>
      <w:r w:rsidRPr="00C90A02">
        <w:rPr>
          <w:sz w:val="28"/>
          <w:szCs w:val="28"/>
        </w:rPr>
        <w:t>Latvija ziņojuma projektu kopumā vērtē pozitīvi, tomēr atsevišķus tā punktus vērtē kā tādus, kas ierobežotu audiovizuālu darbu ražošanas iespējas, piemēram, neiekļaut valsts atbalsta shēmā arī tādu audiovizuālu darbu kā inovatīvu, kultūras un izglītojošu spēļu un interaktīva satura veidošanu.</w:t>
      </w:r>
    </w:p>
    <w:p w:rsidR="00F87D49" w:rsidRDefault="00F87D49" w:rsidP="00C90A02">
      <w:pPr>
        <w:jc w:val="both"/>
        <w:rPr>
          <w:sz w:val="28"/>
          <w:szCs w:val="28"/>
        </w:rPr>
      </w:pPr>
    </w:p>
    <w:p w:rsidR="00C90A02" w:rsidRPr="00B222DB" w:rsidRDefault="00C90A02" w:rsidP="002902E4">
      <w:pPr>
        <w:pStyle w:val="ListParagraph"/>
        <w:numPr>
          <w:ilvl w:val="0"/>
          <w:numId w:val="3"/>
        </w:numPr>
        <w:jc w:val="both"/>
        <w:rPr>
          <w:b/>
          <w:sz w:val="28"/>
          <w:szCs w:val="28"/>
        </w:rPr>
      </w:pPr>
      <w:r w:rsidRPr="00B222DB">
        <w:rPr>
          <w:b/>
          <w:sz w:val="28"/>
          <w:szCs w:val="28"/>
        </w:rPr>
        <w:t>Vienotā tirgus akts II</w:t>
      </w:r>
      <w:r w:rsidR="0046554A">
        <w:rPr>
          <w:b/>
          <w:sz w:val="28"/>
          <w:szCs w:val="28"/>
        </w:rPr>
        <w:t xml:space="preserve"> </w:t>
      </w:r>
      <w:r w:rsidR="0046554A">
        <w:rPr>
          <w:i/>
          <w:sz w:val="28"/>
          <w:szCs w:val="28"/>
        </w:rPr>
        <w:t>(E</w:t>
      </w:r>
      <w:r w:rsidR="0046554A" w:rsidRPr="0046554A">
        <w:rPr>
          <w:i/>
          <w:sz w:val="28"/>
          <w:szCs w:val="28"/>
        </w:rPr>
        <w:t>M kompetence)</w:t>
      </w:r>
    </w:p>
    <w:p w:rsidR="00C90A02" w:rsidRPr="00B222DB" w:rsidRDefault="00C90A02" w:rsidP="002902E4">
      <w:pPr>
        <w:pStyle w:val="ListParagraph"/>
        <w:numPr>
          <w:ilvl w:val="0"/>
          <w:numId w:val="2"/>
        </w:numPr>
        <w:jc w:val="both"/>
        <w:rPr>
          <w:i/>
          <w:sz w:val="28"/>
          <w:szCs w:val="28"/>
        </w:rPr>
      </w:pPr>
      <w:r w:rsidRPr="00B222DB">
        <w:rPr>
          <w:i/>
          <w:sz w:val="28"/>
          <w:szCs w:val="28"/>
        </w:rPr>
        <w:t>Komisijas sniegta informācija</w:t>
      </w:r>
    </w:p>
    <w:p w:rsidR="00C90A02" w:rsidRPr="00025B33" w:rsidRDefault="00C90A02" w:rsidP="00C90A02">
      <w:pPr>
        <w:jc w:val="both"/>
        <w:rPr>
          <w:sz w:val="28"/>
          <w:szCs w:val="28"/>
        </w:rPr>
      </w:pPr>
    </w:p>
    <w:p w:rsidR="00B222DB" w:rsidRPr="00B222DB" w:rsidRDefault="00B222DB" w:rsidP="00B222DB">
      <w:pPr>
        <w:jc w:val="both"/>
        <w:rPr>
          <w:sz w:val="28"/>
        </w:rPr>
      </w:pPr>
      <w:r>
        <w:rPr>
          <w:sz w:val="28"/>
        </w:rPr>
        <w:tab/>
      </w:r>
      <w:r w:rsidRPr="00B222DB">
        <w:rPr>
          <w:sz w:val="28"/>
        </w:rPr>
        <w:t xml:space="preserve">2011.g. aprīlī Komisija pieņēma galējo Vienotā tirgus aktu, kas noteica 12 pamatdarbības, kā arī 50 papildus darbības ES Vienotā tirgus izaugsmes stiprināšanai. Šīs 12 pamatdarbības ietvēra tādus virzienus, kā MVU piekļuvi finansējumam, iedzīvotāju mobilitāti, intelektuālā īpašuma tiesības </w:t>
      </w:r>
      <w:proofErr w:type="spellStart"/>
      <w:r w:rsidRPr="00B222DB">
        <w:rPr>
          <w:sz w:val="28"/>
        </w:rPr>
        <w:t>u.c</w:t>
      </w:r>
      <w:proofErr w:type="spellEnd"/>
      <w:r w:rsidRPr="00B222DB">
        <w:rPr>
          <w:sz w:val="28"/>
        </w:rPr>
        <w:t>. Kopš Vienotā tirgus akta pieņemšanas, Komisija ir izstrādājusi priekšlikumus visām 12 pamatdarbībām un 35 no 50 papildus darbībām.</w:t>
      </w:r>
    </w:p>
    <w:p w:rsidR="00B222DB" w:rsidRPr="00B222DB" w:rsidRDefault="00B222DB" w:rsidP="00B222DB">
      <w:pPr>
        <w:jc w:val="both"/>
        <w:rPr>
          <w:sz w:val="28"/>
        </w:rPr>
      </w:pPr>
      <w:r>
        <w:rPr>
          <w:sz w:val="28"/>
        </w:rPr>
        <w:tab/>
      </w:r>
      <w:r w:rsidRPr="00B222DB">
        <w:rPr>
          <w:sz w:val="28"/>
        </w:rPr>
        <w:t xml:space="preserve">Ņemot vērā iespējamo ekonomisko un finanšu krīzi, kas Eiropai rada jaunus izaicinājumus, 2012.gada beigās Komisija ir izstrādājusi „Vienotā tirgus aktu II”, kas ietver nākamās 12 prioritārās darbības, kas ir specifiski izstrādātas, lai uzsāktu un īstenotu konkrētus pasākumus turpmākai ES Vienotā tirgus izaugsmei, kā arī ļautu pilsoņiem un uzņēmējiem sajusties drošiem izmantot Vienoto tirgu un tā priekšrocības. </w:t>
      </w:r>
    </w:p>
    <w:p w:rsidR="00B222DB" w:rsidRPr="00B222DB" w:rsidRDefault="00B222DB" w:rsidP="00B222DB">
      <w:pPr>
        <w:jc w:val="both"/>
        <w:rPr>
          <w:sz w:val="28"/>
        </w:rPr>
      </w:pPr>
      <w:r>
        <w:rPr>
          <w:sz w:val="28"/>
        </w:rPr>
        <w:tab/>
      </w:r>
      <w:r w:rsidRPr="00B222DB">
        <w:rPr>
          <w:sz w:val="28"/>
        </w:rPr>
        <w:t>Komisija ir identificējusi četrus galvenos uzdevumus, kas ir galvenie faktori turpmākai izaugsmei:</w:t>
      </w:r>
    </w:p>
    <w:p w:rsidR="00B222DB" w:rsidRPr="00B222DB" w:rsidRDefault="00B222DB" w:rsidP="002902E4">
      <w:pPr>
        <w:pStyle w:val="ListParagraph"/>
        <w:numPr>
          <w:ilvl w:val="0"/>
          <w:numId w:val="7"/>
        </w:numPr>
        <w:spacing w:after="200" w:line="276" w:lineRule="auto"/>
        <w:jc w:val="both"/>
        <w:rPr>
          <w:sz w:val="28"/>
        </w:rPr>
      </w:pPr>
      <w:r w:rsidRPr="00B222DB">
        <w:rPr>
          <w:sz w:val="28"/>
        </w:rPr>
        <w:t>attīstīt pilnībā integrētu Vienoto tirgu transportam un enerģijai;</w:t>
      </w:r>
    </w:p>
    <w:p w:rsidR="00B222DB" w:rsidRPr="00B222DB" w:rsidRDefault="00B222DB" w:rsidP="002902E4">
      <w:pPr>
        <w:pStyle w:val="ListParagraph"/>
        <w:numPr>
          <w:ilvl w:val="0"/>
          <w:numId w:val="7"/>
        </w:numPr>
        <w:spacing w:after="200" w:line="276" w:lineRule="auto"/>
        <w:jc w:val="both"/>
        <w:rPr>
          <w:sz w:val="28"/>
        </w:rPr>
      </w:pPr>
      <w:r w:rsidRPr="00B222DB">
        <w:rPr>
          <w:sz w:val="28"/>
        </w:rPr>
        <w:t>veicināt pārrobežu pilsoņu un uzņēmumu mobilitāti;</w:t>
      </w:r>
    </w:p>
    <w:p w:rsidR="00B222DB" w:rsidRPr="00B222DB" w:rsidRDefault="00B222DB" w:rsidP="002902E4">
      <w:pPr>
        <w:pStyle w:val="ListParagraph"/>
        <w:numPr>
          <w:ilvl w:val="0"/>
          <w:numId w:val="7"/>
        </w:numPr>
        <w:spacing w:after="200" w:line="276" w:lineRule="auto"/>
        <w:jc w:val="both"/>
        <w:rPr>
          <w:sz w:val="28"/>
        </w:rPr>
      </w:pPr>
      <w:r w:rsidRPr="00B222DB">
        <w:rPr>
          <w:sz w:val="28"/>
        </w:rPr>
        <w:t>atbalstīt digitālas ekonomikas attīstību viscaur Eiropā;</w:t>
      </w:r>
    </w:p>
    <w:p w:rsidR="00B222DB" w:rsidRPr="00B222DB" w:rsidRDefault="00B222DB" w:rsidP="002902E4">
      <w:pPr>
        <w:pStyle w:val="ListParagraph"/>
        <w:numPr>
          <w:ilvl w:val="0"/>
          <w:numId w:val="7"/>
        </w:numPr>
        <w:spacing w:after="200" w:line="276" w:lineRule="auto"/>
        <w:jc w:val="both"/>
        <w:rPr>
          <w:sz w:val="28"/>
        </w:rPr>
      </w:pPr>
      <w:r w:rsidRPr="00B222DB">
        <w:rPr>
          <w:sz w:val="28"/>
        </w:rPr>
        <w:t>stiprināt sociālo uzņēmējdarbību, patērētāju saliedētību un nediskriminēšanu.</w:t>
      </w:r>
    </w:p>
    <w:p w:rsidR="00B222DB" w:rsidRPr="00B222DB" w:rsidRDefault="00B222DB" w:rsidP="00B222DB">
      <w:pPr>
        <w:jc w:val="both"/>
        <w:rPr>
          <w:sz w:val="28"/>
        </w:rPr>
      </w:pPr>
      <w:r>
        <w:rPr>
          <w:sz w:val="28"/>
        </w:rPr>
        <w:tab/>
      </w:r>
      <w:r w:rsidRPr="00B222DB">
        <w:rPr>
          <w:sz w:val="28"/>
        </w:rPr>
        <w:t>Pirmais uzdevums ietver valstu dzel</w:t>
      </w:r>
      <w:r w:rsidR="0056075A">
        <w:rPr>
          <w:sz w:val="28"/>
        </w:rPr>
        <w:t>z</w:t>
      </w:r>
      <w:r w:rsidRPr="00B222DB">
        <w:rPr>
          <w:sz w:val="28"/>
        </w:rPr>
        <w:t>ceļu pakalpojumu tirgus atvēršanu uzņēmējiem no citām valstīm, saskaņotas administratīvās un muitas formalitātes starp ES dalībvalstīm jūras transporta sektorā, vienotu Eiropas gaisa telpu un vienota enerģijas tirgus izveidošanu.</w:t>
      </w:r>
    </w:p>
    <w:p w:rsidR="00B222DB" w:rsidRPr="00B222DB" w:rsidRDefault="00B222DB" w:rsidP="00B222DB">
      <w:pPr>
        <w:jc w:val="both"/>
        <w:rPr>
          <w:sz w:val="28"/>
        </w:rPr>
      </w:pPr>
      <w:r>
        <w:rPr>
          <w:sz w:val="28"/>
        </w:rPr>
        <w:tab/>
      </w:r>
      <w:r w:rsidRPr="00B222DB">
        <w:rPr>
          <w:sz w:val="28"/>
        </w:rPr>
        <w:t>Otrais uzdevums ietver vienota instrumenta izveidi, kas savienotu darba meklētājus ar darba ņēmējiem viscaur Eiropā, mazo un vidējo uzņēmumu piekļuves finansējumam un investīcijām attīšanu un vienkāršošanu, ES maksātnespējas noteikumu modernizēšanu.</w:t>
      </w:r>
    </w:p>
    <w:p w:rsidR="00B222DB" w:rsidRPr="00B222DB" w:rsidRDefault="00B222DB" w:rsidP="00B222DB">
      <w:pPr>
        <w:jc w:val="both"/>
        <w:rPr>
          <w:sz w:val="28"/>
        </w:rPr>
      </w:pPr>
      <w:r>
        <w:rPr>
          <w:sz w:val="28"/>
        </w:rPr>
        <w:lastRenderedPageBreak/>
        <w:tab/>
      </w:r>
      <w:r w:rsidRPr="00B222DB">
        <w:rPr>
          <w:sz w:val="28"/>
        </w:rPr>
        <w:t xml:space="preserve">Trešais uzdevums ietver tiešsaistes pakalpojumu stiprināšanu, izmaksu mazināšanu un efektivitātes celšanu augsta ātruma komunikācijas tīklu izvēršanā, digitālas valsts pārvaldes un elektronisko pavadzīmju attīstīšanu. </w:t>
      </w:r>
    </w:p>
    <w:p w:rsidR="00B222DB" w:rsidRPr="00B222DB" w:rsidRDefault="00B222DB" w:rsidP="00B222DB">
      <w:pPr>
        <w:jc w:val="both"/>
        <w:rPr>
          <w:sz w:val="28"/>
        </w:rPr>
      </w:pPr>
      <w:r>
        <w:rPr>
          <w:sz w:val="28"/>
        </w:rPr>
        <w:tab/>
      </w:r>
      <w:r w:rsidRPr="00B222DB">
        <w:rPr>
          <w:sz w:val="28"/>
        </w:rPr>
        <w:t>Ceturtais uzdevums ietver produktu drošības noteikumu pastiprināšanu un visu ES iedzīvotāju nodrošināšanu ar caurspīdīgiem un salīdzināmiem noteikumiem bankas konta atvēršanā.</w:t>
      </w:r>
    </w:p>
    <w:p w:rsidR="00B222DB" w:rsidRPr="00B222DB" w:rsidRDefault="00B222DB" w:rsidP="00B222DB">
      <w:pPr>
        <w:jc w:val="both"/>
        <w:rPr>
          <w:iCs/>
          <w:sz w:val="28"/>
        </w:rPr>
      </w:pPr>
      <w:r>
        <w:rPr>
          <w:iCs/>
          <w:sz w:val="28"/>
        </w:rPr>
        <w:tab/>
      </w:r>
      <w:r w:rsidRPr="002F4A07">
        <w:rPr>
          <w:b/>
          <w:iCs/>
          <w:sz w:val="28"/>
        </w:rPr>
        <w:t>Latvija viennozīmīgi atbalsta</w:t>
      </w:r>
      <w:r w:rsidRPr="00B222DB">
        <w:rPr>
          <w:iCs/>
          <w:sz w:val="28"/>
        </w:rPr>
        <w:t xml:space="preserve"> Vienotā tirgus II nepieciešamību – definēt un īstenot konkrētus pasākumus, veicināt tālāku ekonomisko izaugsmi, kas attiecīgi radītu jaunas darba vietas, kā arī stiprināt uzticēšanos Vienotajam tirgum.</w:t>
      </w:r>
    </w:p>
    <w:p w:rsidR="00B222DB" w:rsidRPr="00B222DB" w:rsidRDefault="00B222DB" w:rsidP="00B222DB">
      <w:pPr>
        <w:jc w:val="both"/>
        <w:rPr>
          <w:iCs/>
          <w:sz w:val="28"/>
        </w:rPr>
      </w:pPr>
      <w:r>
        <w:rPr>
          <w:iCs/>
          <w:sz w:val="28"/>
        </w:rPr>
        <w:tab/>
      </w:r>
      <w:r w:rsidRPr="002F4A07">
        <w:rPr>
          <w:b/>
          <w:iCs/>
          <w:sz w:val="28"/>
        </w:rPr>
        <w:t>Latvija uzskata</w:t>
      </w:r>
      <w:r w:rsidRPr="00B222DB">
        <w:rPr>
          <w:iCs/>
          <w:sz w:val="28"/>
        </w:rPr>
        <w:t>, ka Vienotā tirgus politikas kontekstā galvenais uzsvars jāliek uz aktivitātēm, kas nodrošinātu lielāku izaugsmi un konkurētspēju, radītu darba vietas un sniegtu reālu labumu iedzīvotājiem un uzņēmējiem gan šobrīd, gan arī ilgtermiņā. Latvijai ir svarīgi saglabāt augsto politisko prioritāti, kas šobrīd piešķirta ES vienotā tirgus, tai skaitā, digitālā vienotā tirgus jautājumiem, kā arī tam, lai tiktu darīts viss izvirzīto mērķu sasniegšanai.</w:t>
      </w:r>
    </w:p>
    <w:p w:rsidR="00B222DB" w:rsidRPr="00B222DB" w:rsidRDefault="00B222DB" w:rsidP="00B222DB">
      <w:pPr>
        <w:jc w:val="both"/>
        <w:rPr>
          <w:sz w:val="28"/>
        </w:rPr>
      </w:pPr>
      <w:r>
        <w:rPr>
          <w:iCs/>
          <w:sz w:val="28"/>
        </w:rPr>
        <w:tab/>
      </w:r>
      <w:r w:rsidRPr="00B222DB">
        <w:rPr>
          <w:iCs/>
          <w:sz w:val="28"/>
        </w:rPr>
        <w:t>Pēc</w:t>
      </w:r>
      <w:r w:rsidR="0013164E">
        <w:rPr>
          <w:iCs/>
          <w:sz w:val="28"/>
        </w:rPr>
        <w:t xml:space="preserve"> pašlaik pieejamās informācijas</w:t>
      </w:r>
      <w:r w:rsidRPr="00B222DB">
        <w:rPr>
          <w:iCs/>
          <w:sz w:val="28"/>
        </w:rPr>
        <w:t xml:space="preserve"> uz decembrī plānoto konkurētspējas padomes sanāksmi tiks sagatavoti padomes secinājumi par Vienotā tirgus aktu II, sniedzot politisku atbalstu ministru līmenī un izvirzot konkrētus priekšlikumus Vienotā tirgus akta II mērķu sasniegšanā.</w:t>
      </w:r>
    </w:p>
    <w:p w:rsidR="00F87D49" w:rsidRPr="00025B33" w:rsidRDefault="00F87D49" w:rsidP="00C90A02">
      <w:pPr>
        <w:ind w:firstLine="851"/>
        <w:jc w:val="both"/>
        <w:rPr>
          <w:sz w:val="28"/>
          <w:szCs w:val="28"/>
        </w:rPr>
      </w:pPr>
    </w:p>
    <w:p w:rsidR="00EA0064" w:rsidRPr="00025B33" w:rsidRDefault="00EA0064" w:rsidP="00C90A02">
      <w:pPr>
        <w:ind w:firstLine="851"/>
        <w:jc w:val="both"/>
        <w:rPr>
          <w:sz w:val="28"/>
          <w:szCs w:val="28"/>
        </w:rPr>
      </w:pPr>
      <w:r w:rsidRPr="00025B33">
        <w:rPr>
          <w:sz w:val="28"/>
          <w:szCs w:val="28"/>
        </w:rPr>
        <w:br w:type="page"/>
      </w:r>
    </w:p>
    <w:p w:rsidR="0049471A" w:rsidRPr="00025B33" w:rsidRDefault="0049471A" w:rsidP="006031F7">
      <w:pPr>
        <w:spacing w:after="200"/>
        <w:ind w:firstLine="851"/>
        <w:jc w:val="both"/>
        <w:rPr>
          <w:b/>
          <w:sz w:val="28"/>
          <w:szCs w:val="28"/>
        </w:rPr>
      </w:pPr>
      <w:r w:rsidRPr="00025B33">
        <w:rPr>
          <w:b/>
          <w:sz w:val="28"/>
          <w:szCs w:val="28"/>
        </w:rPr>
        <w:lastRenderedPageBreak/>
        <w:t>2.  Latvijas delegācija</w:t>
      </w:r>
    </w:p>
    <w:p w:rsidR="0066585F" w:rsidRDefault="0066585F" w:rsidP="0066585F">
      <w:pPr>
        <w:ind w:left="2977" w:hanging="2977"/>
        <w:jc w:val="both"/>
        <w:rPr>
          <w:sz w:val="28"/>
          <w:szCs w:val="28"/>
        </w:rPr>
      </w:pPr>
      <w:r w:rsidRPr="001F33E5">
        <w:rPr>
          <w:sz w:val="28"/>
          <w:szCs w:val="28"/>
        </w:rPr>
        <w:t xml:space="preserve">Delegācijas vadītājs: </w:t>
      </w:r>
      <w:r w:rsidRPr="001F33E5">
        <w:rPr>
          <w:sz w:val="28"/>
          <w:szCs w:val="28"/>
        </w:rPr>
        <w:tab/>
      </w:r>
      <w:r w:rsidRPr="00025B33">
        <w:rPr>
          <w:b/>
          <w:sz w:val="28"/>
          <w:szCs w:val="28"/>
        </w:rPr>
        <w:t>Juris Pūce</w:t>
      </w:r>
      <w:r w:rsidRPr="001F33E5">
        <w:rPr>
          <w:sz w:val="28"/>
          <w:szCs w:val="28"/>
        </w:rPr>
        <w:t xml:space="preserve">, </w:t>
      </w:r>
      <w:r w:rsidRPr="00025B33">
        <w:rPr>
          <w:sz w:val="28"/>
          <w:szCs w:val="28"/>
        </w:rPr>
        <w:t>Ekonomikas ministrijas valsts sekretārs</w:t>
      </w:r>
      <w:r w:rsidRPr="001F33E5">
        <w:rPr>
          <w:sz w:val="28"/>
          <w:szCs w:val="28"/>
        </w:rPr>
        <w:t>.</w:t>
      </w:r>
    </w:p>
    <w:p w:rsidR="0066585F" w:rsidRPr="001F33E5" w:rsidRDefault="0066585F" w:rsidP="0066585F">
      <w:pPr>
        <w:ind w:left="2977" w:hanging="2977"/>
        <w:jc w:val="both"/>
        <w:rPr>
          <w:sz w:val="28"/>
          <w:szCs w:val="28"/>
        </w:rPr>
      </w:pPr>
    </w:p>
    <w:p w:rsidR="00601F9C" w:rsidRPr="00601F9C" w:rsidRDefault="0066585F" w:rsidP="00601F9C">
      <w:pPr>
        <w:ind w:left="2977" w:hanging="2977"/>
        <w:jc w:val="both"/>
        <w:rPr>
          <w:sz w:val="28"/>
          <w:szCs w:val="28"/>
        </w:rPr>
      </w:pPr>
      <w:r w:rsidRPr="001F33E5">
        <w:rPr>
          <w:sz w:val="28"/>
          <w:szCs w:val="28"/>
        </w:rPr>
        <w:t xml:space="preserve">Delegācijas dalībnieki: </w:t>
      </w:r>
      <w:r w:rsidRPr="001F33E5">
        <w:rPr>
          <w:sz w:val="28"/>
          <w:szCs w:val="28"/>
        </w:rPr>
        <w:tab/>
      </w:r>
      <w:proofErr w:type="spellStart"/>
      <w:r w:rsidR="00601F9C" w:rsidRPr="00601F9C">
        <w:rPr>
          <w:b/>
          <w:sz w:val="28"/>
          <w:szCs w:val="28"/>
        </w:rPr>
        <w:t>J.Štālmeistars</w:t>
      </w:r>
      <w:proofErr w:type="spellEnd"/>
      <w:r w:rsidR="00601F9C" w:rsidRPr="00601F9C">
        <w:rPr>
          <w:sz w:val="28"/>
          <w:szCs w:val="28"/>
        </w:rPr>
        <w:t>, Latvijas Republikas pastāvīgā pārstāvja Eiropas Savienībā vietnieks;</w:t>
      </w:r>
    </w:p>
    <w:p w:rsidR="00601F9C" w:rsidRDefault="0066585F" w:rsidP="00601F9C">
      <w:pPr>
        <w:ind w:left="2977"/>
        <w:jc w:val="both"/>
        <w:rPr>
          <w:sz w:val="28"/>
          <w:szCs w:val="28"/>
        </w:rPr>
      </w:pPr>
      <w:r w:rsidRPr="006754F2">
        <w:rPr>
          <w:b/>
          <w:sz w:val="28"/>
          <w:szCs w:val="28"/>
        </w:rPr>
        <w:t>Z.Liepiņa</w:t>
      </w:r>
      <w:r w:rsidRPr="001F33E5">
        <w:rPr>
          <w:sz w:val="28"/>
          <w:szCs w:val="28"/>
        </w:rPr>
        <w:t>, Ekonomikas minist</w:t>
      </w:r>
      <w:r>
        <w:rPr>
          <w:sz w:val="28"/>
          <w:szCs w:val="28"/>
        </w:rPr>
        <w:t>rijas valsts sekretāra vietniece</w:t>
      </w:r>
      <w:r w:rsidRPr="001F33E5">
        <w:rPr>
          <w:sz w:val="28"/>
          <w:szCs w:val="28"/>
        </w:rPr>
        <w:t>;</w:t>
      </w:r>
    </w:p>
    <w:p w:rsidR="0066585F" w:rsidRDefault="0066585F" w:rsidP="0066585F">
      <w:pPr>
        <w:ind w:left="2977"/>
        <w:jc w:val="both"/>
        <w:rPr>
          <w:sz w:val="28"/>
          <w:szCs w:val="28"/>
        </w:rPr>
      </w:pPr>
      <w:r w:rsidRPr="006754F2">
        <w:rPr>
          <w:b/>
          <w:sz w:val="28"/>
          <w:szCs w:val="28"/>
        </w:rPr>
        <w:t>A.Neimanis</w:t>
      </w:r>
      <w:r w:rsidRPr="001F33E5">
        <w:rPr>
          <w:sz w:val="28"/>
          <w:szCs w:val="28"/>
        </w:rPr>
        <w:t>, Ekonomikas ministrijas nozares padomnieks Latvijas Republikas</w:t>
      </w:r>
      <w:r>
        <w:rPr>
          <w:sz w:val="28"/>
          <w:szCs w:val="28"/>
        </w:rPr>
        <w:t xml:space="preserve"> Pastāvīgajā</w:t>
      </w:r>
      <w:r w:rsidRPr="001F33E5">
        <w:rPr>
          <w:sz w:val="28"/>
          <w:szCs w:val="28"/>
        </w:rPr>
        <w:t xml:space="preserve"> pārstāvniecībā Eiropas Savienībā</w:t>
      </w:r>
      <w:r>
        <w:rPr>
          <w:sz w:val="28"/>
          <w:szCs w:val="28"/>
        </w:rPr>
        <w:t>;</w:t>
      </w:r>
    </w:p>
    <w:p w:rsidR="0066585F" w:rsidRDefault="0066585F" w:rsidP="0066585F">
      <w:pPr>
        <w:ind w:left="2977"/>
        <w:jc w:val="both"/>
        <w:rPr>
          <w:bCs/>
          <w:sz w:val="28"/>
          <w:szCs w:val="28"/>
        </w:rPr>
      </w:pPr>
      <w:r w:rsidRPr="0066585F">
        <w:rPr>
          <w:b/>
          <w:bCs/>
          <w:sz w:val="28"/>
          <w:szCs w:val="28"/>
        </w:rPr>
        <w:t>Anna Upena</w:t>
      </w:r>
      <w:r w:rsidRPr="0066585F">
        <w:rPr>
          <w:bCs/>
          <w:sz w:val="28"/>
          <w:szCs w:val="28"/>
        </w:rPr>
        <w:t>,</w:t>
      </w:r>
      <w:r w:rsidRPr="0066585F">
        <w:rPr>
          <w:b/>
          <w:bCs/>
          <w:sz w:val="28"/>
          <w:szCs w:val="28"/>
        </w:rPr>
        <w:t xml:space="preserve"> </w:t>
      </w:r>
      <w:r w:rsidRPr="0066585F">
        <w:rPr>
          <w:bCs/>
          <w:sz w:val="28"/>
          <w:szCs w:val="28"/>
        </w:rPr>
        <w:t xml:space="preserve">Ekonomikas ministrijas nozares padomniece Latvijas Republikas </w:t>
      </w:r>
      <w:r w:rsidRPr="0066585F">
        <w:rPr>
          <w:sz w:val="28"/>
          <w:szCs w:val="28"/>
        </w:rPr>
        <w:t xml:space="preserve">Pastāvīgajā pārstāvniecībā </w:t>
      </w:r>
      <w:r w:rsidR="0046554A">
        <w:rPr>
          <w:bCs/>
          <w:sz w:val="28"/>
          <w:szCs w:val="28"/>
        </w:rPr>
        <w:t>Eiropas Savienībā</w:t>
      </w:r>
      <w:r w:rsidR="004A40D6">
        <w:rPr>
          <w:bCs/>
          <w:sz w:val="28"/>
          <w:szCs w:val="28"/>
        </w:rPr>
        <w:t>;</w:t>
      </w:r>
    </w:p>
    <w:p w:rsidR="004A40D6" w:rsidRPr="0066585F" w:rsidRDefault="004A40D6" w:rsidP="0066585F">
      <w:pPr>
        <w:ind w:left="2977"/>
        <w:jc w:val="both"/>
        <w:rPr>
          <w:bCs/>
          <w:sz w:val="28"/>
          <w:szCs w:val="28"/>
        </w:rPr>
      </w:pPr>
      <w:r w:rsidRPr="004A40D6">
        <w:rPr>
          <w:b/>
          <w:bCs/>
          <w:sz w:val="28"/>
          <w:szCs w:val="28"/>
        </w:rPr>
        <w:t>Zane Vāgnere</w:t>
      </w:r>
      <w:r>
        <w:rPr>
          <w:bCs/>
          <w:sz w:val="28"/>
          <w:szCs w:val="28"/>
        </w:rPr>
        <w:t>,</w:t>
      </w:r>
      <w:r w:rsidRPr="004A40D6">
        <w:rPr>
          <w:bCs/>
          <w:sz w:val="28"/>
          <w:szCs w:val="28"/>
        </w:rPr>
        <w:t xml:space="preserve"> Kultūras ministrijas </w:t>
      </w:r>
      <w:r w:rsidR="00340539">
        <w:rPr>
          <w:bCs/>
          <w:sz w:val="28"/>
          <w:szCs w:val="28"/>
        </w:rPr>
        <w:t xml:space="preserve">nozares </w:t>
      </w:r>
      <w:r w:rsidRPr="004A40D6">
        <w:rPr>
          <w:bCs/>
          <w:sz w:val="28"/>
          <w:szCs w:val="28"/>
        </w:rPr>
        <w:t>padomniece L</w:t>
      </w:r>
      <w:r w:rsidR="00977FEC">
        <w:rPr>
          <w:bCs/>
          <w:sz w:val="28"/>
          <w:szCs w:val="28"/>
        </w:rPr>
        <w:t xml:space="preserve">atvijas </w:t>
      </w:r>
      <w:r>
        <w:rPr>
          <w:bCs/>
          <w:sz w:val="28"/>
          <w:szCs w:val="28"/>
        </w:rPr>
        <w:t>R</w:t>
      </w:r>
      <w:r w:rsidR="00977FEC">
        <w:rPr>
          <w:bCs/>
          <w:sz w:val="28"/>
          <w:szCs w:val="28"/>
        </w:rPr>
        <w:t>epublikas</w:t>
      </w:r>
      <w:r>
        <w:rPr>
          <w:bCs/>
          <w:sz w:val="28"/>
          <w:szCs w:val="28"/>
        </w:rPr>
        <w:t xml:space="preserve"> Pastāvīgajā pārstāvniecībā E</w:t>
      </w:r>
      <w:r w:rsidR="00977FEC">
        <w:rPr>
          <w:bCs/>
          <w:sz w:val="28"/>
          <w:szCs w:val="28"/>
        </w:rPr>
        <w:t xml:space="preserve">iropas </w:t>
      </w:r>
      <w:r>
        <w:rPr>
          <w:bCs/>
          <w:sz w:val="28"/>
          <w:szCs w:val="28"/>
        </w:rPr>
        <w:t>S</w:t>
      </w:r>
      <w:r w:rsidR="00977FEC">
        <w:rPr>
          <w:bCs/>
          <w:sz w:val="28"/>
          <w:szCs w:val="28"/>
        </w:rPr>
        <w:t>avienībā</w:t>
      </w:r>
      <w:r>
        <w:rPr>
          <w:bCs/>
          <w:sz w:val="28"/>
          <w:szCs w:val="28"/>
        </w:rPr>
        <w:t>.</w:t>
      </w:r>
    </w:p>
    <w:p w:rsidR="0049471A" w:rsidRPr="00025B33" w:rsidRDefault="0049471A" w:rsidP="006031F7">
      <w:pPr>
        <w:tabs>
          <w:tab w:val="right" w:pos="9071"/>
        </w:tabs>
        <w:spacing w:after="120"/>
        <w:ind w:firstLine="851"/>
        <w:jc w:val="both"/>
        <w:rPr>
          <w:sz w:val="28"/>
          <w:szCs w:val="28"/>
        </w:rPr>
      </w:pPr>
    </w:p>
    <w:p w:rsidR="002D40CD" w:rsidRPr="00025B33" w:rsidRDefault="002D40CD" w:rsidP="006031F7">
      <w:pPr>
        <w:tabs>
          <w:tab w:val="right" w:pos="9071"/>
        </w:tabs>
        <w:spacing w:after="120"/>
        <w:ind w:firstLine="851"/>
        <w:jc w:val="both"/>
        <w:rPr>
          <w:sz w:val="28"/>
          <w:szCs w:val="28"/>
        </w:rPr>
      </w:pPr>
    </w:p>
    <w:p w:rsidR="00546424" w:rsidRPr="00025B33" w:rsidRDefault="00546424" w:rsidP="006031F7">
      <w:pPr>
        <w:ind w:firstLine="851"/>
        <w:jc w:val="both"/>
        <w:rPr>
          <w:sz w:val="28"/>
          <w:szCs w:val="28"/>
        </w:rPr>
      </w:pPr>
    </w:p>
    <w:p w:rsidR="00977FEC" w:rsidRDefault="003840A0" w:rsidP="00025B33">
      <w:pPr>
        <w:tabs>
          <w:tab w:val="right" w:pos="8931"/>
        </w:tabs>
        <w:spacing w:after="120"/>
        <w:rPr>
          <w:sz w:val="28"/>
          <w:szCs w:val="28"/>
        </w:rPr>
      </w:pPr>
      <w:r w:rsidRPr="00025B33">
        <w:rPr>
          <w:sz w:val="28"/>
          <w:szCs w:val="28"/>
        </w:rPr>
        <w:t xml:space="preserve">Iesniedzējs: </w:t>
      </w:r>
      <w:r w:rsidR="00025B33">
        <w:rPr>
          <w:sz w:val="28"/>
          <w:szCs w:val="28"/>
        </w:rPr>
        <w:tab/>
      </w:r>
      <w:r w:rsidRPr="00025B33">
        <w:rPr>
          <w:sz w:val="28"/>
          <w:szCs w:val="28"/>
        </w:rPr>
        <w:t>Ekonomikas ministrs</w:t>
      </w:r>
      <w:r w:rsidRPr="00025B33">
        <w:rPr>
          <w:sz w:val="28"/>
          <w:szCs w:val="28"/>
        </w:rPr>
        <w:tab/>
        <w:t xml:space="preserve">         </w:t>
      </w:r>
    </w:p>
    <w:p w:rsidR="003840A0" w:rsidRPr="00025B33" w:rsidRDefault="00977FEC" w:rsidP="00977FEC">
      <w:pPr>
        <w:tabs>
          <w:tab w:val="right" w:pos="8931"/>
        </w:tabs>
        <w:spacing w:after="120"/>
        <w:jc w:val="right"/>
        <w:rPr>
          <w:sz w:val="28"/>
          <w:szCs w:val="28"/>
        </w:rPr>
      </w:pPr>
      <w:r>
        <w:rPr>
          <w:sz w:val="28"/>
          <w:szCs w:val="28"/>
        </w:rPr>
        <w:t xml:space="preserve"> </w:t>
      </w:r>
      <w:r w:rsidR="003840A0" w:rsidRPr="00025B33">
        <w:rPr>
          <w:sz w:val="28"/>
          <w:szCs w:val="28"/>
        </w:rPr>
        <w:t>D.Pavļuts</w:t>
      </w:r>
    </w:p>
    <w:p w:rsidR="003840A0" w:rsidRPr="00025B33" w:rsidRDefault="003840A0" w:rsidP="00977FEC">
      <w:pPr>
        <w:spacing w:after="120"/>
        <w:jc w:val="both"/>
        <w:rPr>
          <w:sz w:val="28"/>
          <w:szCs w:val="28"/>
        </w:rPr>
      </w:pPr>
    </w:p>
    <w:p w:rsidR="003840A0" w:rsidRPr="00025B33" w:rsidRDefault="003840A0" w:rsidP="00977FEC">
      <w:pPr>
        <w:spacing w:after="120"/>
        <w:jc w:val="both"/>
        <w:rPr>
          <w:sz w:val="28"/>
          <w:szCs w:val="28"/>
        </w:rPr>
      </w:pPr>
    </w:p>
    <w:p w:rsidR="0066585F" w:rsidRDefault="003840A0" w:rsidP="00025B33">
      <w:pPr>
        <w:tabs>
          <w:tab w:val="right" w:pos="8931"/>
        </w:tabs>
        <w:spacing w:after="120"/>
        <w:rPr>
          <w:sz w:val="28"/>
          <w:szCs w:val="28"/>
        </w:rPr>
      </w:pPr>
      <w:r w:rsidRPr="00025B33">
        <w:rPr>
          <w:sz w:val="28"/>
          <w:szCs w:val="28"/>
        </w:rPr>
        <w:t xml:space="preserve">Vizē: </w:t>
      </w:r>
      <w:r w:rsidR="00025B33">
        <w:rPr>
          <w:sz w:val="28"/>
          <w:szCs w:val="28"/>
        </w:rPr>
        <w:tab/>
      </w:r>
      <w:r w:rsidRPr="00025B33">
        <w:rPr>
          <w:sz w:val="28"/>
          <w:szCs w:val="28"/>
        </w:rPr>
        <w:t>Valsts sekretārs</w:t>
      </w:r>
    </w:p>
    <w:p w:rsidR="003840A0" w:rsidRPr="00025B33" w:rsidRDefault="003840A0" w:rsidP="00025B33">
      <w:pPr>
        <w:tabs>
          <w:tab w:val="right" w:pos="8931"/>
        </w:tabs>
        <w:spacing w:after="120"/>
        <w:rPr>
          <w:sz w:val="28"/>
          <w:szCs w:val="28"/>
        </w:rPr>
      </w:pPr>
      <w:r w:rsidRPr="00025B33">
        <w:rPr>
          <w:sz w:val="28"/>
          <w:szCs w:val="28"/>
        </w:rPr>
        <w:tab/>
        <w:t xml:space="preserve">   J. Pūce</w:t>
      </w:r>
    </w:p>
    <w:p w:rsidR="003840A0" w:rsidRDefault="003840A0" w:rsidP="006031F7">
      <w:pPr>
        <w:ind w:firstLine="851"/>
        <w:jc w:val="both"/>
        <w:rPr>
          <w:sz w:val="28"/>
          <w:szCs w:val="28"/>
        </w:rPr>
      </w:pPr>
    </w:p>
    <w:p w:rsidR="0066585F" w:rsidRPr="00025B33" w:rsidRDefault="0066585F" w:rsidP="006031F7">
      <w:pPr>
        <w:ind w:firstLine="851"/>
        <w:jc w:val="both"/>
        <w:rPr>
          <w:sz w:val="28"/>
          <w:szCs w:val="28"/>
        </w:rPr>
      </w:pPr>
    </w:p>
    <w:p w:rsidR="00422C05" w:rsidRPr="00025B33" w:rsidRDefault="00422C05" w:rsidP="00025B33">
      <w:pPr>
        <w:jc w:val="both"/>
        <w:rPr>
          <w:sz w:val="18"/>
          <w:szCs w:val="18"/>
        </w:rPr>
      </w:pPr>
      <w:r w:rsidRPr="00025B33">
        <w:rPr>
          <w:sz w:val="18"/>
          <w:szCs w:val="18"/>
        </w:rPr>
        <w:t xml:space="preserve">Atbildīgā amatpersona: </w:t>
      </w:r>
    </w:p>
    <w:p w:rsidR="00447246" w:rsidRPr="00025B33" w:rsidRDefault="003840A0" w:rsidP="00025B33">
      <w:pPr>
        <w:jc w:val="both"/>
        <w:rPr>
          <w:sz w:val="18"/>
          <w:szCs w:val="18"/>
        </w:rPr>
      </w:pPr>
      <w:r w:rsidRPr="00025B33">
        <w:rPr>
          <w:sz w:val="18"/>
          <w:szCs w:val="18"/>
        </w:rPr>
        <w:t>Inese Balode</w:t>
      </w:r>
    </w:p>
    <w:p w:rsidR="00447246" w:rsidRPr="00025B33" w:rsidRDefault="00447246" w:rsidP="00025B33">
      <w:pPr>
        <w:jc w:val="both"/>
        <w:rPr>
          <w:sz w:val="18"/>
          <w:szCs w:val="18"/>
        </w:rPr>
      </w:pPr>
      <w:r w:rsidRPr="00025B33">
        <w:rPr>
          <w:sz w:val="18"/>
          <w:szCs w:val="18"/>
        </w:rPr>
        <w:t>Ekonomikas ministrijas</w:t>
      </w:r>
    </w:p>
    <w:p w:rsidR="00447246" w:rsidRPr="00025B33" w:rsidRDefault="00447246" w:rsidP="00025B33">
      <w:pPr>
        <w:tabs>
          <w:tab w:val="left" w:pos="6882"/>
        </w:tabs>
        <w:jc w:val="both"/>
        <w:rPr>
          <w:sz w:val="18"/>
          <w:szCs w:val="18"/>
        </w:rPr>
      </w:pPr>
      <w:r w:rsidRPr="00025B33">
        <w:rPr>
          <w:sz w:val="18"/>
          <w:szCs w:val="18"/>
        </w:rPr>
        <w:t>Ārējo ekonomisko at</w:t>
      </w:r>
      <w:r w:rsidR="003840A0" w:rsidRPr="00025B33">
        <w:rPr>
          <w:sz w:val="18"/>
          <w:szCs w:val="18"/>
        </w:rPr>
        <w:t>tiecību departamenta direktore</w:t>
      </w:r>
      <w:r w:rsidR="00850787" w:rsidRPr="00025B33">
        <w:rPr>
          <w:sz w:val="18"/>
          <w:szCs w:val="18"/>
        </w:rPr>
        <w:tab/>
      </w:r>
    </w:p>
    <w:p w:rsidR="00447246" w:rsidRPr="00025B33" w:rsidRDefault="00447246" w:rsidP="00025B33">
      <w:pPr>
        <w:jc w:val="both"/>
        <w:rPr>
          <w:sz w:val="18"/>
          <w:szCs w:val="18"/>
        </w:rPr>
      </w:pPr>
      <w:r w:rsidRPr="00025B33">
        <w:rPr>
          <w:sz w:val="18"/>
          <w:szCs w:val="18"/>
        </w:rPr>
        <w:t>tālr.:67013</w:t>
      </w:r>
      <w:r w:rsidR="003840A0" w:rsidRPr="00025B33">
        <w:rPr>
          <w:sz w:val="18"/>
          <w:szCs w:val="18"/>
        </w:rPr>
        <w:t>064</w:t>
      </w:r>
    </w:p>
    <w:p w:rsidR="00447246" w:rsidRPr="00025B33" w:rsidRDefault="00447246" w:rsidP="00025B33">
      <w:pPr>
        <w:jc w:val="both"/>
        <w:rPr>
          <w:sz w:val="18"/>
          <w:szCs w:val="18"/>
        </w:rPr>
      </w:pPr>
      <w:r w:rsidRPr="00025B33">
        <w:rPr>
          <w:sz w:val="18"/>
          <w:szCs w:val="18"/>
        </w:rPr>
        <w:t xml:space="preserve">faksa numurs 67280882 </w:t>
      </w:r>
    </w:p>
    <w:p w:rsidR="00447246" w:rsidRPr="00025B33" w:rsidRDefault="00447246" w:rsidP="00025B33">
      <w:pPr>
        <w:jc w:val="both"/>
        <w:rPr>
          <w:sz w:val="18"/>
          <w:szCs w:val="18"/>
        </w:rPr>
      </w:pPr>
      <w:r w:rsidRPr="00025B33">
        <w:rPr>
          <w:sz w:val="18"/>
          <w:szCs w:val="18"/>
        </w:rPr>
        <w:t xml:space="preserve">e-pasts: </w:t>
      </w:r>
      <w:r w:rsidR="003840A0" w:rsidRPr="00025B33">
        <w:rPr>
          <w:sz w:val="18"/>
          <w:szCs w:val="18"/>
        </w:rPr>
        <w:t>Inese.Balode@em.gov.lv</w:t>
      </w:r>
    </w:p>
    <w:p w:rsidR="00422C05" w:rsidRPr="00025B33" w:rsidRDefault="00422C05" w:rsidP="00025B33">
      <w:pPr>
        <w:jc w:val="both"/>
        <w:rPr>
          <w:sz w:val="18"/>
          <w:szCs w:val="18"/>
          <w:u w:val="single"/>
        </w:rPr>
      </w:pPr>
    </w:p>
    <w:p w:rsidR="00722983" w:rsidRPr="00722983" w:rsidRDefault="00722983" w:rsidP="00025B33">
      <w:pPr>
        <w:jc w:val="both"/>
      </w:pPr>
      <w:fldSimple w:instr=" DOCPROPERTY  LastSavedTime  \* MERGEFORMAT ">
        <w:r w:rsidR="00644203">
          <w:t>08.10.2012 14:44</w:t>
        </w:r>
      </w:fldSimple>
      <w:bookmarkStart w:id="2" w:name="_GoBack"/>
      <w:bookmarkEnd w:id="2"/>
    </w:p>
    <w:p w:rsidR="00447246" w:rsidRPr="00025B33" w:rsidRDefault="00C6391A" w:rsidP="00025B33">
      <w:pPr>
        <w:jc w:val="both"/>
        <w:rPr>
          <w:sz w:val="18"/>
          <w:szCs w:val="18"/>
        </w:rPr>
      </w:pPr>
      <w:fldSimple w:instr=" NUMWORDS   \* MERGEFORMAT ">
        <w:r w:rsidR="001D4277" w:rsidRPr="001D4277">
          <w:rPr>
            <w:noProof/>
            <w:sz w:val="18"/>
            <w:szCs w:val="18"/>
          </w:rPr>
          <w:t>4540</w:t>
        </w:r>
      </w:fldSimple>
    </w:p>
    <w:p w:rsidR="00447246" w:rsidRPr="00025B33" w:rsidRDefault="00DC4512" w:rsidP="00025B33">
      <w:pPr>
        <w:jc w:val="both"/>
        <w:rPr>
          <w:sz w:val="18"/>
          <w:szCs w:val="18"/>
        </w:rPr>
      </w:pPr>
      <w:r>
        <w:rPr>
          <w:sz w:val="18"/>
          <w:szCs w:val="18"/>
        </w:rPr>
        <w:t>K</w:t>
      </w:r>
      <w:r w:rsidR="00447246" w:rsidRPr="00025B33">
        <w:rPr>
          <w:sz w:val="18"/>
          <w:szCs w:val="18"/>
        </w:rPr>
        <w:t>.</w:t>
      </w:r>
      <w:r>
        <w:rPr>
          <w:sz w:val="18"/>
          <w:szCs w:val="18"/>
        </w:rPr>
        <w:t>Stabiņš</w:t>
      </w:r>
    </w:p>
    <w:p w:rsidR="00447246" w:rsidRPr="00025B33" w:rsidRDefault="00447246" w:rsidP="00025B33">
      <w:pPr>
        <w:jc w:val="both"/>
        <w:rPr>
          <w:sz w:val="18"/>
          <w:szCs w:val="18"/>
        </w:rPr>
      </w:pPr>
      <w:r w:rsidRPr="00025B33">
        <w:rPr>
          <w:sz w:val="18"/>
          <w:szCs w:val="18"/>
        </w:rPr>
        <w:t>Ekonomikas ministrijas</w:t>
      </w:r>
    </w:p>
    <w:p w:rsidR="00447246" w:rsidRPr="00025B33" w:rsidRDefault="00447246" w:rsidP="00025B33">
      <w:pPr>
        <w:jc w:val="both"/>
        <w:rPr>
          <w:sz w:val="18"/>
          <w:szCs w:val="18"/>
        </w:rPr>
      </w:pPr>
      <w:r w:rsidRPr="00025B33">
        <w:rPr>
          <w:sz w:val="18"/>
          <w:szCs w:val="18"/>
        </w:rPr>
        <w:t>Ārējo ekonomisko attiecību departaments</w:t>
      </w:r>
    </w:p>
    <w:p w:rsidR="00447246" w:rsidRPr="00025B33" w:rsidRDefault="00DC4512" w:rsidP="00025B33">
      <w:pPr>
        <w:jc w:val="both"/>
        <w:rPr>
          <w:sz w:val="28"/>
          <w:szCs w:val="28"/>
        </w:rPr>
      </w:pPr>
      <w:r>
        <w:rPr>
          <w:sz w:val="18"/>
          <w:szCs w:val="18"/>
        </w:rPr>
        <w:t>67013046</w:t>
      </w:r>
      <w:r w:rsidR="00447246" w:rsidRPr="00025B33">
        <w:rPr>
          <w:sz w:val="18"/>
          <w:szCs w:val="18"/>
        </w:rPr>
        <w:t xml:space="preserve">, </w:t>
      </w:r>
      <w:r>
        <w:rPr>
          <w:sz w:val="18"/>
          <w:szCs w:val="18"/>
        </w:rPr>
        <w:t>Kaspars</w:t>
      </w:r>
      <w:r w:rsidR="00447246" w:rsidRPr="00025B33">
        <w:rPr>
          <w:sz w:val="18"/>
          <w:szCs w:val="18"/>
        </w:rPr>
        <w:t>.</w:t>
      </w:r>
      <w:r>
        <w:rPr>
          <w:sz w:val="18"/>
          <w:szCs w:val="18"/>
        </w:rPr>
        <w:t>Stabins</w:t>
      </w:r>
      <w:r w:rsidR="00447246" w:rsidRPr="00025B33">
        <w:rPr>
          <w:sz w:val="18"/>
          <w:szCs w:val="18"/>
        </w:rPr>
        <w:t xml:space="preserve">@em.gov.lv </w:t>
      </w:r>
    </w:p>
    <w:sectPr w:rsidR="00447246" w:rsidRPr="00025B33" w:rsidSect="00FB544A">
      <w:headerReference w:type="default" r:id="rId9"/>
      <w:footerReference w:type="default" r:id="rId10"/>
      <w:footerReference w:type="first" r:id="rId11"/>
      <w:pgSz w:w="11906" w:h="16838"/>
      <w:pgMar w:top="993"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F5" w:rsidRDefault="000B5EF5" w:rsidP="0079342A">
      <w:r>
        <w:separator/>
      </w:r>
    </w:p>
  </w:endnote>
  <w:endnote w:type="continuationSeparator" w:id="0">
    <w:p w:rsidR="000B5EF5" w:rsidRDefault="000B5EF5" w:rsidP="0079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F5" w:rsidRPr="00D24C05" w:rsidRDefault="000B5EF5" w:rsidP="00A005C0">
    <w:pPr>
      <w:rPr>
        <w:sz w:val="20"/>
        <w:szCs w:val="20"/>
        <w:lang w:eastAsia="en-US"/>
      </w:rPr>
    </w:pPr>
    <w:r w:rsidRPr="00D24C05">
      <w:rPr>
        <w:sz w:val="20"/>
        <w:szCs w:val="20"/>
        <w:lang w:eastAsia="en-US"/>
      </w:rPr>
      <w:t>EMZino_</w:t>
    </w:r>
    <w:r>
      <w:rPr>
        <w:sz w:val="20"/>
        <w:szCs w:val="20"/>
        <w:lang w:eastAsia="en-US"/>
      </w:rPr>
      <w:t>0910</w:t>
    </w:r>
    <w:r w:rsidRPr="00D24C05">
      <w:rPr>
        <w:sz w:val="20"/>
        <w:szCs w:val="20"/>
        <w:lang w:eastAsia="en-US"/>
      </w:rPr>
      <w:t>1</w:t>
    </w:r>
    <w:r>
      <w:rPr>
        <w:sz w:val="20"/>
        <w:szCs w:val="20"/>
        <w:lang w:eastAsia="en-US"/>
      </w:rPr>
      <w:t>2</w:t>
    </w:r>
    <w:r w:rsidRPr="00D24C05">
      <w:rPr>
        <w:sz w:val="20"/>
        <w:szCs w:val="20"/>
        <w:lang w:eastAsia="en-US"/>
      </w:rPr>
      <w:t xml:space="preserve">_COMPET; Informatīvais ziņojums </w:t>
    </w:r>
    <w:r w:rsidRPr="00793C52">
      <w:rPr>
        <w:sz w:val="20"/>
        <w:szCs w:val="20"/>
        <w:lang w:eastAsia="en-US"/>
      </w:rPr>
      <w:t>par Latvijas</w:t>
    </w:r>
    <w:r>
      <w:rPr>
        <w:sz w:val="20"/>
        <w:szCs w:val="20"/>
        <w:lang w:eastAsia="en-US"/>
      </w:rPr>
      <w:t xml:space="preserve"> Republikas</w:t>
    </w:r>
    <w:r w:rsidRPr="00793C52">
      <w:rPr>
        <w:sz w:val="20"/>
        <w:szCs w:val="20"/>
        <w:lang w:eastAsia="en-US"/>
      </w:rPr>
      <w:t xml:space="preserve"> </w:t>
    </w:r>
    <w:r>
      <w:rPr>
        <w:sz w:val="20"/>
        <w:szCs w:val="20"/>
        <w:lang w:eastAsia="en-US"/>
      </w:rPr>
      <w:t>nostāju</w:t>
    </w:r>
    <w:r w:rsidRPr="00793C52">
      <w:rPr>
        <w:sz w:val="20"/>
        <w:szCs w:val="20"/>
        <w:lang w:eastAsia="en-US"/>
      </w:rPr>
      <w:t xml:space="preserve"> Eiropas Savienības Konkurētspējas ministru padomes 2012.gada 11.oktobra sanāksmē izskatāmajos Ekonomikas ministrijas, Kultūras ministrijas un Izglītības un zinātnes ministrijas kompetences jautājumos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EF5" w:rsidRPr="003840A0" w:rsidRDefault="000B5EF5" w:rsidP="003840A0">
    <w:pPr>
      <w:rPr>
        <w:szCs w:val="20"/>
      </w:rPr>
    </w:pPr>
    <w:r w:rsidRPr="00D24C05">
      <w:rPr>
        <w:sz w:val="20"/>
        <w:szCs w:val="20"/>
        <w:lang w:eastAsia="en-US"/>
      </w:rPr>
      <w:t>EMZino_</w:t>
    </w:r>
    <w:r>
      <w:rPr>
        <w:sz w:val="20"/>
        <w:szCs w:val="20"/>
        <w:lang w:eastAsia="en-US"/>
      </w:rPr>
      <w:t>0910</w:t>
    </w:r>
    <w:r w:rsidRPr="00D24C05">
      <w:rPr>
        <w:sz w:val="20"/>
        <w:szCs w:val="20"/>
        <w:lang w:eastAsia="en-US"/>
      </w:rPr>
      <w:t>1</w:t>
    </w:r>
    <w:r>
      <w:rPr>
        <w:sz w:val="20"/>
        <w:szCs w:val="20"/>
        <w:lang w:eastAsia="en-US"/>
      </w:rPr>
      <w:t>2</w:t>
    </w:r>
    <w:r w:rsidRPr="00D24C05">
      <w:rPr>
        <w:sz w:val="20"/>
        <w:szCs w:val="20"/>
        <w:lang w:eastAsia="en-US"/>
      </w:rPr>
      <w:t xml:space="preserve">_COMPET; Informatīvais ziņojums </w:t>
    </w:r>
    <w:r>
      <w:rPr>
        <w:sz w:val="20"/>
        <w:szCs w:val="20"/>
        <w:lang w:eastAsia="en-US"/>
      </w:rPr>
      <w:t xml:space="preserve">par Latvijas Republikas nostāju </w:t>
    </w:r>
    <w:r w:rsidRPr="00793C52">
      <w:rPr>
        <w:sz w:val="20"/>
        <w:szCs w:val="20"/>
        <w:lang w:eastAsia="en-US"/>
      </w:rPr>
      <w:t>Eiropas Savienības Konkurētspējas ministru padomes 2012.gada 11.oktobra sanāksmē izskatāmajos Ekonomikas ministrijas, Kultūras ministrijas un Izglītības un zinātnes ministrijas kompetences jautājumos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F5" w:rsidRDefault="000B5EF5" w:rsidP="0079342A">
      <w:r>
        <w:separator/>
      </w:r>
    </w:p>
  </w:footnote>
  <w:footnote w:type="continuationSeparator" w:id="0">
    <w:p w:rsidR="000B5EF5" w:rsidRDefault="000B5EF5" w:rsidP="0079342A">
      <w:r>
        <w:continuationSeparator/>
      </w:r>
    </w:p>
  </w:footnote>
  <w:footnote w:id="1">
    <w:p w:rsidR="000B5EF5" w:rsidRDefault="000B5EF5" w:rsidP="005140D4">
      <w:pPr>
        <w:pStyle w:val="FootnoteText"/>
        <w:jc w:val="both"/>
      </w:pPr>
      <w:r>
        <w:rPr>
          <w:rStyle w:val="FootnoteReference"/>
        </w:rPr>
        <w:footnoteRef/>
      </w:r>
      <w:r>
        <w:t xml:space="preserve"> </w:t>
      </w:r>
      <w:r w:rsidRPr="00683E64">
        <w:t>Spēkā ir nacionālā pozīcija Nr.1 „</w:t>
      </w:r>
      <w:r w:rsidRPr="00BC63CF">
        <w:rPr>
          <w:i/>
        </w:rPr>
        <w:t>Padomes secinājumi Par prioritātēm vienotā tirgus pārskatīšanai (aktivizēšanai) un Komisijas komunikāciju - Vienotā tirgus akts. Divpadsmit mehānismi kā veicināt izaugsmi un vairot uzticēšanos. Kopīgiem spēkiem jaunai izaugsmei</w:t>
      </w:r>
      <w:r w:rsidRPr="00683E64">
        <w:t>”, kas apstiprināta Ministru kabinetā 2011.gada 23.maijā un Saeimas Eiropas lietu komisijā 2011.gada 26.maijā, kā arī nacionālā pozīcija Nr.1</w:t>
      </w:r>
      <w:r>
        <w:t xml:space="preserve"> </w:t>
      </w:r>
      <w:r w:rsidRPr="00683E64">
        <w:t>„</w:t>
      </w:r>
      <w:r w:rsidRPr="00BC63CF">
        <w:rPr>
          <w:i/>
        </w:rPr>
        <w:t>Par Padomes secinājumiem par Vienotā tirgus foruma rezultātiem</w:t>
      </w:r>
      <w:r w:rsidRPr="00683E64">
        <w:t>”, kas apstiprināta Ministru kabinetā 2011.gada 28.novembrī un Saeimas Eiropas lietu komisijā 2011.gada 2.decembrī.</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0564"/>
      <w:docPartObj>
        <w:docPartGallery w:val="Page Numbers (Top of Page)"/>
        <w:docPartUnique/>
      </w:docPartObj>
    </w:sdtPr>
    <w:sdtContent>
      <w:p w:rsidR="000B5EF5" w:rsidRDefault="000B5EF5">
        <w:pPr>
          <w:pStyle w:val="Header"/>
          <w:jc w:val="center"/>
        </w:pPr>
        <w:r>
          <w:fldChar w:fldCharType="begin"/>
        </w:r>
        <w:r>
          <w:instrText xml:space="preserve"> PAGE   \* MERGEFORMAT </w:instrText>
        </w:r>
        <w:r>
          <w:fldChar w:fldCharType="separate"/>
        </w:r>
        <w:r w:rsidR="00644203">
          <w:rPr>
            <w:noProof/>
          </w:rPr>
          <w:t>16</w:t>
        </w:r>
        <w:r>
          <w:rPr>
            <w:noProof/>
          </w:rPr>
          <w:fldChar w:fldCharType="end"/>
        </w:r>
      </w:p>
    </w:sdtContent>
  </w:sdt>
  <w:p w:rsidR="000B5EF5" w:rsidRDefault="000B5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74E4"/>
    <w:multiLevelType w:val="hybridMultilevel"/>
    <w:tmpl w:val="7F30BD40"/>
    <w:lvl w:ilvl="0" w:tplc="83C21008">
      <w:numFmt w:val="bullet"/>
      <w:lvlText w:val="•"/>
      <w:lvlJc w:val="left"/>
      <w:pPr>
        <w:ind w:left="720" w:hanging="72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0E504798"/>
    <w:multiLevelType w:val="hybridMultilevel"/>
    <w:tmpl w:val="506E2326"/>
    <w:lvl w:ilvl="0" w:tplc="B26A2A7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2A3A8B"/>
    <w:multiLevelType w:val="hybridMultilevel"/>
    <w:tmpl w:val="4D3EB860"/>
    <w:lvl w:ilvl="0" w:tplc="2A36E7E6">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2A716C51"/>
    <w:multiLevelType w:val="hybridMultilevel"/>
    <w:tmpl w:val="8820BBEA"/>
    <w:lvl w:ilvl="0" w:tplc="5CEA0A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E1B74FB"/>
    <w:multiLevelType w:val="hybridMultilevel"/>
    <w:tmpl w:val="43DE12F2"/>
    <w:lvl w:ilvl="0" w:tplc="F58699E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FAD48F8"/>
    <w:multiLevelType w:val="hybridMultilevel"/>
    <w:tmpl w:val="E5AA5E98"/>
    <w:lvl w:ilvl="0" w:tplc="A9CC90B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E1A3708"/>
    <w:multiLevelType w:val="hybridMultilevel"/>
    <w:tmpl w:val="D9C044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8B622CD"/>
    <w:multiLevelType w:val="hybridMultilevel"/>
    <w:tmpl w:val="49BAC8F0"/>
    <w:lvl w:ilvl="0" w:tplc="04260017">
      <w:start w:val="1"/>
      <w:numFmt w:val="lowerLetter"/>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534B2A81"/>
    <w:multiLevelType w:val="hybridMultilevel"/>
    <w:tmpl w:val="9F727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550C795B"/>
    <w:multiLevelType w:val="hybridMultilevel"/>
    <w:tmpl w:val="CEAADF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B0E7EB9"/>
    <w:multiLevelType w:val="hybridMultilevel"/>
    <w:tmpl w:val="B42C9E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BD07D52"/>
    <w:multiLevelType w:val="hybridMultilevel"/>
    <w:tmpl w:val="A358DBE0"/>
    <w:lvl w:ilvl="0" w:tplc="C2AA8FE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D681665"/>
    <w:multiLevelType w:val="hybridMultilevel"/>
    <w:tmpl w:val="18328A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8581204"/>
    <w:multiLevelType w:val="hybridMultilevel"/>
    <w:tmpl w:val="A21EF22E"/>
    <w:lvl w:ilvl="0" w:tplc="B26A2A7C">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6"/>
  </w:num>
  <w:num w:numId="2">
    <w:abstractNumId w:val="4"/>
  </w:num>
  <w:num w:numId="3">
    <w:abstractNumId w:val="7"/>
  </w:num>
  <w:num w:numId="4">
    <w:abstractNumId w:val="11"/>
  </w:num>
  <w:num w:numId="5">
    <w:abstractNumId w:val="5"/>
  </w:num>
  <w:num w:numId="6">
    <w:abstractNumId w:val="3"/>
  </w:num>
  <w:num w:numId="7">
    <w:abstractNumId w:val="12"/>
  </w:num>
  <w:num w:numId="8">
    <w:abstractNumId w:val="9"/>
  </w:num>
  <w:num w:numId="9">
    <w:abstractNumId w:val="1"/>
  </w:num>
  <w:num w:numId="10">
    <w:abstractNumId w:val="13"/>
  </w:num>
  <w:num w:numId="11">
    <w:abstractNumId w:val="10"/>
  </w:num>
  <w:num w:numId="12">
    <w:abstractNumId w:val="0"/>
  </w:num>
  <w:num w:numId="13">
    <w:abstractNumId w:val="8"/>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1948"/>
    <w:rsid w:val="00013A67"/>
    <w:rsid w:val="00014E4E"/>
    <w:rsid w:val="000163A1"/>
    <w:rsid w:val="00017CA9"/>
    <w:rsid w:val="00022163"/>
    <w:rsid w:val="000230C6"/>
    <w:rsid w:val="00025B33"/>
    <w:rsid w:val="000304D8"/>
    <w:rsid w:val="00033500"/>
    <w:rsid w:val="00037E43"/>
    <w:rsid w:val="00045380"/>
    <w:rsid w:val="00053471"/>
    <w:rsid w:val="000538D0"/>
    <w:rsid w:val="00054145"/>
    <w:rsid w:val="00060563"/>
    <w:rsid w:val="00071F6B"/>
    <w:rsid w:val="00074A8E"/>
    <w:rsid w:val="00076994"/>
    <w:rsid w:val="00077875"/>
    <w:rsid w:val="0008031F"/>
    <w:rsid w:val="0009144F"/>
    <w:rsid w:val="0009145C"/>
    <w:rsid w:val="000A4383"/>
    <w:rsid w:val="000A4384"/>
    <w:rsid w:val="000A599E"/>
    <w:rsid w:val="000A61D6"/>
    <w:rsid w:val="000A7576"/>
    <w:rsid w:val="000B468F"/>
    <w:rsid w:val="000B5EF5"/>
    <w:rsid w:val="000C5C3C"/>
    <w:rsid w:val="000C66EB"/>
    <w:rsid w:val="00117654"/>
    <w:rsid w:val="00117904"/>
    <w:rsid w:val="00121DEA"/>
    <w:rsid w:val="00126A02"/>
    <w:rsid w:val="0013164E"/>
    <w:rsid w:val="00150BB3"/>
    <w:rsid w:val="00155A62"/>
    <w:rsid w:val="00156ECD"/>
    <w:rsid w:val="00157C4A"/>
    <w:rsid w:val="001620EA"/>
    <w:rsid w:val="00165624"/>
    <w:rsid w:val="0016779A"/>
    <w:rsid w:val="001754CA"/>
    <w:rsid w:val="001829A7"/>
    <w:rsid w:val="00184B27"/>
    <w:rsid w:val="00185F95"/>
    <w:rsid w:val="00191F45"/>
    <w:rsid w:val="001A59C1"/>
    <w:rsid w:val="001B0568"/>
    <w:rsid w:val="001B3F3D"/>
    <w:rsid w:val="001B697D"/>
    <w:rsid w:val="001C32B3"/>
    <w:rsid w:val="001C7C93"/>
    <w:rsid w:val="001D4277"/>
    <w:rsid w:val="001E5AD7"/>
    <w:rsid w:val="001E6160"/>
    <w:rsid w:val="001E7413"/>
    <w:rsid w:val="002025A8"/>
    <w:rsid w:val="002077AF"/>
    <w:rsid w:val="0021101E"/>
    <w:rsid w:val="002148A4"/>
    <w:rsid w:val="002173E3"/>
    <w:rsid w:val="00224DC4"/>
    <w:rsid w:val="00227FFB"/>
    <w:rsid w:val="0023457E"/>
    <w:rsid w:val="0023512B"/>
    <w:rsid w:val="002357E6"/>
    <w:rsid w:val="0024322A"/>
    <w:rsid w:val="00246F3B"/>
    <w:rsid w:val="002508A5"/>
    <w:rsid w:val="002609E5"/>
    <w:rsid w:val="00276553"/>
    <w:rsid w:val="002855EB"/>
    <w:rsid w:val="002902E4"/>
    <w:rsid w:val="002B0D2A"/>
    <w:rsid w:val="002B221A"/>
    <w:rsid w:val="002C06DC"/>
    <w:rsid w:val="002D40CD"/>
    <w:rsid w:val="002D63C1"/>
    <w:rsid w:val="002D6A46"/>
    <w:rsid w:val="002E3144"/>
    <w:rsid w:val="002F4A07"/>
    <w:rsid w:val="002F7E81"/>
    <w:rsid w:val="003148EC"/>
    <w:rsid w:val="003159AD"/>
    <w:rsid w:val="00316C2A"/>
    <w:rsid w:val="003221A2"/>
    <w:rsid w:val="00322A7A"/>
    <w:rsid w:val="00324917"/>
    <w:rsid w:val="00327E46"/>
    <w:rsid w:val="00340539"/>
    <w:rsid w:val="00342A27"/>
    <w:rsid w:val="00347129"/>
    <w:rsid w:val="00360015"/>
    <w:rsid w:val="00370A43"/>
    <w:rsid w:val="003840A0"/>
    <w:rsid w:val="0039412A"/>
    <w:rsid w:val="00397317"/>
    <w:rsid w:val="003A2C6E"/>
    <w:rsid w:val="003A2FBC"/>
    <w:rsid w:val="003A3A6A"/>
    <w:rsid w:val="003B0E9A"/>
    <w:rsid w:val="003B32E1"/>
    <w:rsid w:val="003C0B95"/>
    <w:rsid w:val="003C7819"/>
    <w:rsid w:val="003D478B"/>
    <w:rsid w:val="003E5D30"/>
    <w:rsid w:val="003E7BA4"/>
    <w:rsid w:val="003F3BE3"/>
    <w:rsid w:val="003F5E8D"/>
    <w:rsid w:val="003F69B8"/>
    <w:rsid w:val="00400142"/>
    <w:rsid w:val="00403309"/>
    <w:rsid w:val="0041089F"/>
    <w:rsid w:val="0041577A"/>
    <w:rsid w:val="00416C71"/>
    <w:rsid w:val="00422C05"/>
    <w:rsid w:val="00422C77"/>
    <w:rsid w:val="00425B59"/>
    <w:rsid w:val="00434636"/>
    <w:rsid w:val="00441C49"/>
    <w:rsid w:val="00447246"/>
    <w:rsid w:val="0046554A"/>
    <w:rsid w:val="00473B73"/>
    <w:rsid w:val="00485409"/>
    <w:rsid w:val="00485CF8"/>
    <w:rsid w:val="00487328"/>
    <w:rsid w:val="00487A4D"/>
    <w:rsid w:val="0049471A"/>
    <w:rsid w:val="004973D5"/>
    <w:rsid w:val="004A242B"/>
    <w:rsid w:val="004A40D6"/>
    <w:rsid w:val="004A5BAC"/>
    <w:rsid w:val="004A70CD"/>
    <w:rsid w:val="004B1495"/>
    <w:rsid w:val="004B1EFF"/>
    <w:rsid w:val="004B6217"/>
    <w:rsid w:val="004C1552"/>
    <w:rsid w:val="004C79B5"/>
    <w:rsid w:val="004C79CA"/>
    <w:rsid w:val="004D1284"/>
    <w:rsid w:val="004D3C1B"/>
    <w:rsid w:val="004E4F37"/>
    <w:rsid w:val="004F0096"/>
    <w:rsid w:val="004F6998"/>
    <w:rsid w:val="00505AE3"/>
    <w:rsid w:val="00510883"/>
    <w:rsid w:val="005125D9"/>
    <w:rsid w:val="00512B4C"/>
    <w:rsid w:val="00513109"/>
    <w:rsid w:val="00513E2C"/>
    <w:rsid w:val="005140D4"/>
    <w:rsid w:val="00546424"/>
    <w:rsid w:val="00546D6E"/>
    <w:rsid w:val="005506F5"/>
    <w:rsid w:val="005530C8"/>
    <w:rsid w:val="005605FC"/>
    <w:rsid w:val="00560716"/>
    <w:rsid w:val="0056075A"/>
    <w:rsid w:val="00562471"/>
    <w:rsid w:val="00567871"/>
    <w:rsid w:val="005854CF"/>
    <w:rsid w:val="005A0176"/>
    <w:rsid w:val="005A080A"/>
    <w:rsid w:val="005A18ED"/>
    <w:rsid w:val="005B3E55"/>
    <w:rsid w:val="005B51CA"/>
    <w:rsid w:val="005C626C"/>
    <w:rsid w:val="005D0EFD"/>
    <w:rsid w:val="005E12D5"/>
    <w:rsid w:val="005E3C2B"/>
    <w:rsid w:val="005E404D"/>
    <w:rsid w:val="005E628E"/>
    <w:rsid w:val="005E7680"/>
    <w:rsid w:val="005F1DED"/>
    <w:rsid w:val="005F63AD"/>
    <w:rsid w:val="00601F9C"/>
    <w:rsid w:val="006031F7"/>
    <w:rsid w:val="0062313A"/>
    <w:rsid w:val="006257E0"/>
    <w:rsid w:val="0062606F"/>
    <w:rsid w:val="00633000"/>
    <w:rsid w:val="00644203"/>
    <w:rsid w:val="00645A81"/>
    <w:rsid w:val="0066585F"/>
    <w:rsid w:val="00667663"/>
    <w:rsid w:val="00680623"/>
    <w:rsid w:val="00681AEA"/>
    <w:rsid w:val="006839D7"/>
    <w:rsid w:val="00683E64"/>
    <w:rsid w:val="006864E7"/>
    <w:rsid w:val="00695AE0"/>
    <w:rsid w:val="006A351C"/>
    <w:rsid w:val="006B1326"/>
    <w:rsid w:val="006C47A5"/>
    <w:rsid w:val="006C6B13"/>
    <w:rsid w:val="006F14FA"/>
    <w:rsid w:val="006F20B1"/>
    <w:rsid w:val="006F43E3"/>
    <w:rsid w:val="006F75AF"/>
    <w:rsid w:val="00701C77"/>
    <w:rsid w:val="00710606"/>
    <w:rsid w:val="00711538"/>
    <w:rsid w:val="00722983"/>
    <w:rsid w:val="00723271"/>
    <w:rsid w:val="00734C81"/>
    <w:rsid w:val="00746BF8"/>
    <w:rsid w:val="007549E1"/>
    <w:rsid w:val="00767D2C"/>
    <w:rsid w:val="00775AA0"/>
    <w:rsid w:val="00785D93"/>
    <w:rsid w:val="00786F42"/>
    <w:rsid w:val="0079342A"/>
    <w:rsid w:val="00793C52"/>
    <w:rsid w:val="007967D1"/>
    <w:rsid w:val="007A1C1C"/>
    <w:rsid w:val="007A66B5"/>
    <w:rsid w:val="007B7E2A"/>
    <w:rsid w:val="007C418C"/>
    <w:rsid w:val="007C77E8"/>
    <w:rsid w:val="007D1D18"/>
    <w:rsid w:val="007E262E"/>
    <w:rsid w:val="007F00EE"/>
    <w:rsid w:val="00802906"/>
    <w:rsid w:val="008172F3"/>
    <w:rsid w:val="00835194"/>
    <w:rsid w:val="008441C1"/>
    <w:rsid w:val="00846BE1"/>
    <w:rsid w:val="00850787"/>
    <w:rsid w:val="00850B6B"/>
    <w:rsid w:val="0085787A"/>
    <w:rsid w:val="008700B2"/>
    <w:rsid w:val="00870885"/>
    <w:rsid w:val="00870F11"/>
    <w:rsid w:val="008821AF"/>
    <w:rsid w:val="00895A74"/>
    <w:rsid w:val="00897AEF"/>
    <w:rsid w:val="008A2C1F"/>
    <w:rsid w:val="008A7414"/>
    <w:rsid w:val="008C25BB"/>
    <w:rsid w:val="008D4FE7"/>
    <w:rsid w:val="008E3674"/>
    <w:rsid w:val="00903C50"/>
    <w:rsid w:val="00904C0B"/>
    <w:rsid w:val="00924B70"/>
    <w:rsid w:val="00924C1F"/>
    <w:rsid w:val="00934B08"/>
    <w:rsid w:val="00951C74"/>
    <w:rsid w:val="00963DAB"/>
    <w:rsid w:val="0096439C"/>
    <w:rsid w:val="0097688B"/>
    <w:rsid w:val="00977A26"/>
    <w:rsid w:val="00977FEC"/>
    <w:rsid w:val="00980300"/>
    <w:rsid w:val="009831FF"/>
    <w:rsid w:val="0098644A"/>
    <w:rsid w:val="009A2C41"/>
    <w:rsid w:val="009B1561"/>
    <w:rsid w:val="009B22CA"/>
    <w:rsid w:val="009C3BAD"/>
    <w:rsid w:val="009D085B"/>
    <w:rsid w:val="009D2DE7"/>
    <w:rsid w:val="009E5CC0"/>
    <w:rsid w:val="00A005C0"/>
    <w:rsid w:val="00A0668A"/>
    <w:rsid w:val="00A1088E"/>
    <w:rsid w:val="00A10DC8"/>
    <w:rsid w:val="00A12727"/>
    <w:rsid w:val="00A1553F"/>
    <w:rsid w:val="00A17A32"/>
    <w:rsid w:val="00A210CC"/>
    <w:rsid w:val="00A30D3A"/>
    <w:rsid w:val="00A33C17"/>
    <w:rsid w:val="00A37CB5"/>
    <w:rsid w:val="00A50CE7"/>
    <w:rsid w:val="00A55C2C"/>
    <w:rsid w:val="00AA384A"/>
    <w:rsid w:val="00AA3CE0"/>
    <w:rsid w:val="00AA5E1C"/>
    <w:rsid w:val="00AC4C9E"/>
    <w:rsid w:val="00AD16CF"/>
    <w:rsid w:val="00AD3DE8"/>
    <w:rsid w:val="00AE0A6E"/>
    <w:rsid w:val="00AE6BB9"/>
    <w:rsid w:val="00AF0F88"/>
    <w:rsid w:val="00AF5DCC"/>
    <w:rsid w:val="00AF61D5"/>
    <w:rsid w:val="00B006D2"/>
    <w:rsid w:val="00B03397"/>
    <w:rsid w:val="00B04358"/>
    <w:rsid w:val="00B13B5D"/>
    <w:rsid w:val="00B17F0A"/>
    <w:rsid w:val="00B213AE"/>
    <w:rsid w:val="00B222DB"/>
    <w:rsid w:val="00B30030"/>
    <w:rsid w:val="00B3370D"/>
    <w:rsid w:val="00B35468"/>
    <w:rsid w:val="00B4215A"/>
    <w:rsid w:val="00B5276D"/>
    <w:rsid w:val="00B56BD0"/>
    <w:rsid w:val="00B81671"/>
    <w:rsid w:val="00B93D2C"/>
    <w:rsid w:val="00B97E85"/>
    <w:rsid w:val="00BC5C11"/>
    <w:rsid w:val="00BC6383"/>
    <w:rsid w:val="00BC63CF"/>
    <w:rsid w:val="00BC652F"/>
    <w:rsid w:val="00BD3934"/>
    <w:rsid w:val="00C02122"/>
    <w:rsid w:val="00C03FB0"/>
    <w:rsid w:val="00C23657"/>
    <w:rsid w:val="00C25DFD"/>
    <w:rsid w:val="00C333F6"/>
    <w:rsid w:val="00C34C3A"/>
    <w:rsid w:val="00C41C4F"/>
    <w:rsid w:val="00C4225A"/>
    <w:rsid w:val="00C6391A"/>
    <w:rsid w:val="00C71669"/>
    <w:rsid w:val="00C71685"/>
    <w:rsid w:val="00C7312E"/>
    <w:rsid w:val="00C749ED"/>
    <w:rsid w:val="00C90A02"/>
    <w:rsid w:val="00C93E8A"/>
    <w:rsid w:val="00C96037"/>
    <w:rsid w:val="00CA4B5F"/>
    <w:rsid w:val="00CB6938"/>
    <w:rsid w:val="00CC0AAE"/>
    <w:rsid w:val="00CD0C6C"/>
    <w:rsid w:val="00CD6990"/>
    <w:rsid w:val="00CD7727"/>
    <w:rsid w:val="00D114E1"/>
    <w:rsid w:val="00D24C05"/>
    <w:rsid w:val="00D2629B"/>
    <w:rsid w:val="00D40C4A"/>
    <w:rsid w:val="00D41260"/>
    <w:rsid w:val="00D51484"/>
    <w:rsid w:val="00D5482D"/>
    <w:rsid w:val="00D603C1"/>
    <w:rsid w:val="00D75B14"/>
    <w:rsid w:val="00D773D0"/>
    <w:rsid w:val="00D86467"/>
    <w:rsid w:val="00D96C7D"/>
    <w:rsid w:val="00DA05BD"/>
    <w:rsid w:val="00DB28C9"/>
    <w:rsid w:val="00DC4512"/>
    <w:rsid w:val="00DC570D"/>
    <w:rsid w:val="00DD2747"/>
    <w:rsid w:val="00DD59D6"/>
    <w:rsid w:val="00DD5D86"/>
    <w:rsid w:val="00DE740D"/>
    <w:rsid w:val="00E01CA3"/>
    <w:rsid w:val="00E07C92"/>
    <w:rsid w:val="00E14379"/>
    <w:rsid w:val="00E145F1"/>
    <w:rsid w:val="00E21948"/>
    <w:rsid w:val="00E24AB6"/>
    <w:rsid w:val="00E369AA"/>
    <w:rsid w:val="00E44D2E"/>
    <w:rsid w:val="00E618DC"/>
    <w:rsid w:val="00E63036"/>
    <w:rsid w:val="00E64D23"/>
    <w:rsid w:val="00E668E7"/>
    <w:rsid w:val="00E730E6"/>
    <w:rsid w:val="00E73BA7"/>
    <w:rsid w:val="00E80E96"/>
    <w:rsid w:val="00E91A3C"/>
    <w:rsid w:val="00EA0064"/>
    <w:rsid w:val="00EA2D67"/>
    <w:rsid w:val="00EA682D"/>
    <w:rsid w:val="00EB53B9"/>
    <w:rsid w:val="00EC7A4B"/>
    <w:rsid w:val="00ED2A26"/>
    <w:rsid w:val="00ED4F7F"/>
    <w:rsid w:val="00ED6E57"/>
    <w:rsid w:val="00EE47E2"/>
    <w:rsid w:val="00EE66F8"/>
    <w:rsid w:val="00EF384A"/>
    <w:rsid w:val="00F0485B"/>
    <w:rsid w:val="00F048D2"/>
    <w:rsid w:val="00F11439"/>
    <w:rsid w:val="00F13033"/>
    <w:rsid w:val="00F24451"/>
    <w:rsid w:val="00F25B38"/>
    <w:rsid w:val="00F354C7"/>
    <w:rsid w:val="00F363BE"/>
    <w:rsid w:val="00F36847"/>
    <w:rsid w:val="00F46112"/>
    <w:rsid w:val="00F476CA"/>
    <w:rsid w:val="00F618D1"/>
    <w:rsid w:val="00F62D75"/>
    <w:rsid w:val="00F66029"/>
    <w:rsid w:val="00F74CC4"/>
    <w:rsid w:val="00F772B8"/>
    <w:rsid w:val="00F80F85"/>
    <w:rsid w:val="00F87D49"/>
    <w:rsid w:val="00F930E0"/>
    <w:rsid w:val="00F93FFB"/>
    <w:rsid w:val="00FB544A"/>
    <w:rsid w:val="00FC09B8"/>
    <w:rsid w:val="00FC1C37"/>
    <w:rsid w:val="00FC2F31"/>
    <w:rsid w:val="00FD2BBE"/>
    <w:rsid w:val="00FD7764"/>
    <w:rsid w:val="00FE28C5"/>
    <w:rsid w:val="00FF5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48"/>
    <w:pPr>
      <w:spacing w:after="0" w:line="240" w:lineRule="auto"/>
    </w:pPr>
    <w:rPr>
      <w:rFonts w:ascii="Times New Roman" w:eastAsia="Times New Roman" w:hAnsi="Times New Roman" w:cs="Times New Roman"/>
      <w:sz w:val="24"/>
      <w:szCs w:val="24"/>
      <w:lang w:eastAsia="lv-LV"/>
    </w:rPr>
  </w:style>
  <w:style w:type="paragraph" w:styleId="Heading4">
    <w:name w:val="heading 4"/>
    <w:basedOn w:val="Normal"/>
    <w:next w:val="Normal"/>
    <w:link w:val="Heading4Char"/>
    <w:qFormat/>
    <w:rsid w:val="005E12D5"/>
    <w:pPr>
      <w:keepNext/>
      <w:jc w:val="center"/>
      <w:outlineLvl w:val="3"/>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1948"/>
    <w:pPr>
      <w:tabs>
        <w:tab w:val="center" w:pos="4153"/>
        <w:tab w:val="right" w:pos="8306"/>
      </w:tabs>
    </w:pPr>
  </w:style>
  <w:style w:type="character" w:customStyle="1" w:styleId="HeaderChar">
    <w:name w:val="Header Char"/>
    <w:basedOn w:val="DefaultParagraphFont"/>
    <w:link w:val="Header"/>
    <w:uiPriority w:val="99"/>
    <w:rsid w:val="00E21948"/>
    <w:rPr>
      <w:rFonts w:ascii="Times New Roman" w:eastAsia="Times New Roman" w:hAnsi="Times New Roman" w:cs="Times New Roman"/>
      <w:sz w:val="24"/>
      <w:szCs w:val="24"/>
      <w:lang w:eastAsia="lv-LV"/>
    </w:rPr>
  </w:style>
  <w:style w:type="paragraph" w:styleId="BodyText2">
    <w:name w:val="Body Text 2"/>
    <w:basedOn w:val="Normal"/>
    <w:link w:val="BodyText2Char"/>
    <w:rsid w:val="00E21948"/>
    <w:pPr>
      <w:jc w:val="center"/>
    </w:pPr>
    <w:rPr>
      <w:sz w:val="32"/>
      <w:lang w:eastAsia="en-US"/>
    </w:rPr>
  </w:style>
  <w:style w:type="character" w:customStyle="1" w:styleId="BodyText2Char">
    <w:name w:val="Body Text 2 Char"/>
    <w:basedOn w:val="DefaultParagraphFont"/>
    <w:link w:val="BodyText2"/>
    <w:rsid w:val="00E21948"/>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E21948"/>
    <w:rPr>
      <w:rFonts w:ascii="Tahoma" w:hAnsi="Tahoma" w:cs="Tahoma"/>
      <w:sz w:val="16"/>
      <w:szCs w:val="16"/>
    </w:rPr>
  </w:style>
  <w:style w:type="character" w:customStyle="1" w:styleId="BalloonTextChar">
    <w:name w:val="Balloon Text Char"/>
    <w:basedOn w:val="DefaultParagraphFont"/>
    <w:link w:val="BalloonText"/>
    <w:uiPriority w:val="99"/>
    <w:semiHidden/>
    <w:rsid w:val="00E21948"/>
    <w:rPr>
      <w:rFonts w:ascii="Tahoma" w:eastAsia="Times New Roman" w:hAnsi="Tahoma" w:cs="Tahoma"/>
      <w:sz w:val="16"/>
      <w:szCs w:val="16"/>
      <w:lang w:eastAsia="lv-LV"/>
    </w:rPr>
  </w:style>
  <w:style w:type="paragraph" w:styleId="ListParagraph">
    <w:name w:val="List Paragraph"/>
    <w:basedOn w:val="Normal"/>
    <w:uiPriority w:val="34"/>
    <w:qFormat/>
    <w:rsid w:val="0079342A"/>
    <w:pPr>
      <w:ind w:left="720"/>
      <w:contextualSpacing/>
    </w:pPr>
  </w:style>
  <w:style w:type="paragraph" w:styleId="Footer">
    <w:name w:val="footer"/>
    <w:basedOn w:val="Normal"/>
    <w:link w:val="FooterChar"/>
    <w:unhideWhenUsed/>
    <w:rsid w:val="0079342A"/>
    <w:pPr>
      <w:tabs>
        <w:tab w:val="center" w:pos="4153"/>
        <w:tab w:val="right" w:pos="8306"/>
      </w:tabs>
    </w:pPr>
  </w:style>
  <w:style w:type="character" w:customStyle="1" w:styleId="FooterChar">
    <w:name w:val="Footer Char"/>
    <w:basedOn w:val="DefaultParagraphFont"/>
    <w:link w:val="Footer"/>
    <w:rsid w:val="0079342A"/>
    <w:rPr>
      <w:rFonts w:ascii="Times New Roman" w:eastAsia="Times New Roman" w:hAnsi="Times New Roman" w:cs="Times New Roman"/>
      <w:sz w:val="24"/>
      <w:szCs w:val="24"/>
      <w:lang w:eastAsia="lv-LV"/>
    </w:rPr>
  </w:style>
  <w:style w:type="paragraph" w:styleId="Title">
    <w:name w:val="Title"/>
    <w:basedOn w:val="Normal"/>
    <w:link w:val="TitleChar"/>
    <w:qFormat/>
    <w:rsid w:val="0079342A"/>
    <w:pPr>
      <w:jc w:val="center"/>
    </w:pPr>
    <w:rPr>
      <w:sz w:val="28"/>
      <w:szCs w:val="28"/>
      <w:lang w:eastAsia="en-US"/>
    </w:rPr>
  </w:style>
  <w:style w:type="character" w:customStyle="1" w:styleId="TitleChar">
    <w:name w:val="Title Char"/>
    <w:basedOn w:val="DefaultParagraphFont"/>
    <w:link w:val="Title"/>
    <w:rsid w:val="0079342A"/>
    <w:rPr>
      <w:rFonts w:ascii="Times New Roman" w:eastAsia="Times New Roman" w:hAnsi="Times New Roman" w:cs="Times New Roman"/>
      <w:sz w:val="28"/>
      <w:szCs w:val="28"/>
    </w:rPr>
  </w:style>
  <w:style w:type="paragraph" w:styleId="BodyTextIndent2">
    <w:name w:val="Body Text Indent 2"/>
    <w:basedOn w:val="Normal"/>
    <w:link w:val="BodyTextIndent2Char"/>
    <w:uiPriority w:val="99"/>
    <w:semiHidden/>
    <w:unhideWhenUsed/>
    <w:rsid w:val="00546D6E"/>
    <w:pPr>
      <w:spacing w:after="120" w:line="480" w:lineRule="auto"/>
      <w:ind w:left="283"/>
    </w:pPr>
  </w:style>
  <w:style w:type="character" w:customStyle="1" w:styleId="BodyTextIndent2Char">
    <w:name w:val="Body Text Indent 2 Char"/>
    <w:basedOn w:val="DefaultParagraphFont"/>
    <w:link w:val="BodyTextIndent2"/>
    <w:uiPriority w:val="99"/>
    <w:semiHidden/>
    <w:rsid w:val="00546D6E"/>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126A02"/>
    <w:pPr>
      <w:spacing w:before="100" w:beforeAutospacing="1" w:after="100" w:afterAutospacing="1"/>
    </w:pPr>
    <w:rPr>
      <w:rFonts w:eastAsiaTheme="minorHAnsi"/>
    </w:rPr>
  </w:style>
  <w:style w:type="character" w:styleId="Emphasis">
    <w:name w:val="Emphasis"/>
    <w:basedOn w:val="DefaultParagraphFont"/>
    <w:uiPriority w:val="20"/>
    <w:qFormat/>
    <w:rsid w:val="00126A02"/>
    <w:rPr>
      <w:i/>
      <w:iCs/>
    </w:rPr>
  </w:style>
  <w:style w:type="character" w:customStyle="1" w:styleId="Heading4Char">
    <w:name w:val="Heading 4 Char"/>
    <w:basedOn w:val="DefaultParagraphFont"/>
    <w:link w:val="Heading4"/>
    <w:rsid w:val="005E12D5"/>
    <w:rPr>
      <w:rFonts w:ascii="Times New Roman" w:eastAsia="Times New Roman" w:hAnsi="Times New Roman" w:cs="Times New Roman"/>
      <w:b/>
      <w:bCs/>
      <w:sz w:val="28"/>
      <w:szCs w:val="24"/>
    </w:rPr>
  </w:style>
  <w:style w:type="character" w:styleId="PlaceholderText">
    <w:name w:val="Placeholder Text"/>
    <w:basedOn w:val="DefaultParagraphFont"/>
    <w:uiPriority w:val="99"/>
    <w:semiHidden/>
    <w:rsid w:val="00422C05"/>
    <w:rPr>
      <w:color w:val="808080"/>
    </w:rPr>
  </w:style>
  <w:style w:type="paragraph" w:customStyle="1" w:styleId="Point0">
    <w:name w:val="Point 0"/>
    <w:basedOn w:val="Normal"/>
    <w:rsid w:val="000538D0"/>
    <w:pPr>
      <w:spacing w:before="120" w:after="120"/>
      <w:ind w:left="850" w:hanging="850"/>
      <w:jc w:val="both"/>
    </w:pPr>
    <w:rPr>
      <w:lang w:eastAsia="de-DE"/>
    </w:rPr>
  </w:style>
  <w:style w:type="character" w:styleId="Hyperlink">
    <w:name w:val="Hyperlink"/>
    <w:basedOn w:val="DefaultParagraphFont"/>
    <w:uiPriority w:val="99"/>
    <w:unhideWhenUsed/>
    <w:rsid w:val="003F5E8D"/>
    <w:rPr>
      <w:color w:val="0000FF" w:themeColor="hyperlink"/>
      <w:u w:val="single"/>
    </w:rPr>
  </w:style>
  <w:style w:type="paragraph" w:customStyle="1" w:styleId="EntEmet">
    <w:name w:val="EntEmet"/>
    <w:basedOn w:val="Normal"/>
    <w:rsid w:val="002173E3"/>
    <w:pPr>
      <w:widowControl w:val="0"/>
      <w:tabs>
        <w:tab w:val="left" w:pos="284"/>
        <w:tab w:val="left" w:pos="567"/>
        <w:tab w:val="left" w:pos="851"/>
        <w:tab w:val="left" w:pos="1134"/>
        <w:tab w:val="left" w:pos="1418"/>
      </w:tabs>
      <w:spacing w:before="40"/>
    </w:pPr>
    <w:rPr>
      <w:szCs w:val="20"/>
      <w:lang w:val="en-GB" w:eastAsia="fr-BE"/>
    </w:rPr>
  </w:style>
  <w:style w:type="paragraph" w:styleId="FootnoteText">
    <w:name w:val="footnote text"/>
    <w:basedOn w:val="Normal"/>
    <w:link w:val="FootnoteTextChar"/>
    <w:uiPriority w:val="99"/>
    <w:semiHidden/>
    <w:unhideWhenUsed/>
    <w:rsid w:val="008821AF"/>
    <w:rPr>
      <w:sz w:val="20"/>
      <w:szCs w:val="20"/>
    </w:rPr>
  </w:style>
  <w:style w:type="character" w:customStyle="1" w:styleId="FootnoteTextChar">
    <w:name w:val="Footnote Text Char"/>
    <w:basedOn w:val="DefaultParagraphFont"/>
    <w:link w:val="FootnoteText"/>
    <w:uiPriority w:val="99"/>
    <w:semiHidden/>
    <w:rsid w:val="008821AF"/>
    <w:rPr>
      <w:rFonts w:ascii="Times New Roman" w:eastAsia="Times New Roman" w:hAnsi="Times New Roman" w:cs="Times New Roman"/>
      <w:sz w:val="20"/>
      <w:szCs w:val="20"/>
      <w:lang w:eastAsia="lv-LV"/>
    </w:rPr>
  </w:style>
  <w:style w:type="character" w:styleId="FootnoteReference">
    <w:name w:val="footnote reference"/>
    <w:basedOn w:val="DefaultParagraphFont"/>
    <w:semiHidden/>
    <w:unhideWhenUsed/>
    <w:rsid w:val="008821AF"/>
    <w:rPr>
      <w:rFonts w:ascii="Times New Roman" w:hAnsi="Times New Roman" w:cs="Times New Roman" w:hint="default"/>
      <w:vertAlign w:val="superscript"/>
    </w:rPr>
  </w:style>
  <w:style w:type="character" w:customStyle="1" w:styleId="at4">
    <w:name w:val="a__t4"/>
    <w:basedOn w:val="DefaultParagraphFont"/>
    <w:rsid w:val="005A18ED"/>
  </w:style>
  <w:style w:type="paragraph" w:customStyle="1" w:styleId="a3520normal">
    <w:name w:val="a___35__20_normal"/>
    <w:basedOn w:val="Normal"/>
    <w:rsid w:val="005A18ED"/>
    <w:pPr>
      <w:spacing w:before="100" w:beforeAutospacing="1" w:after="100" w:afterAutospacing="1"/>
    </w:pPr>
  </w:style>
  <w:style w:type="character" w:customStyle="1" w:styleId="at9">
    <w:name w:val="a__t9"/>
    <w:basedOn w:val="DefaultParagraphFont"/>
    <w:rsid w:val="005A18ED"/>
  </w:style>
  <w:style w:type="paragraph" w:styleId="CommentText">
    <w:name w:val="annotation text"/>
    <w:basedOn w:val="Normal"/>
    <w:link w:val="CommentTextChar"/>
    <w:semiHidden/>
    <w:rsid w:val="009D2DE7"/>
    <w:rPr>
      <w:sz w:val="20"/>
      <w:szCs w:val="20"/>
      <w:lang w:val="en-GB" w:eastAsia="en-US"/>
    </w:rPr>
  </w:style>
  <w:style w:type="character" w:customStyle="1" w:styleId="CommentTextChar">
    <w:name w:val="Comment Text Char"/>
    <w:basedOn w:val="DefaultParagraphFont"/>
    <w:link w:val="CommentText"/>
    <w:semiHidden/>
    <w:rsid w:val="009D2DE7"/>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827">
      <w:bodyDiv w:val="1"/>
      <w:marLeft w:val="0"/>
      <w:marRight w:val="0"/>
      <w:marTop w:val="0"/>
      <w:marBottom w:val="0"/>
      <w:divBdr>
        <w:top w:val="none" w:sz="0" w:space="0" w:color="auto"/>
        <w:left w:val="none" w:sz="0" w:space="0" w:color="auto"/>
        <w:bottom w:val="none" w:sz="0" w:space="0" w:color="auto"/>
        <w:right w:val="none" w:sz="0" w:space="0" w:color="auto"/>
      </w:divBdr>
    </w:div>
    <w:div w:id="80880028">
      <w:bodyDiv w:val="1"/>
      <w:marLeft w:val="0"/>
      <w:marRight w:val="0"/>
      <w:marTop w:val="0"/>
      <w:marBottom w:val="0"/>
      <w:divBdr>
        <w:top w:val="none" w:sz="0" w:space="0" w:color="auto"/>
        <w:left w:val="none" w:sz="0" w:space="0" w:color="auto"/>
        <w:bottom w:val="none" w:sz="0" w:space="0" w:color="auto"/>
        <w:right w:val="none" w:sz="0" w:space="0" w:color="auto"/>
      </w:divBdr>
    </w:div>
    <w:div w:id="83113023">
      <w:bodyDiv w:val="1"/>
      <w:marLeft w:val="0"/>
      <w:marRight w:val="0"/>
      <w:marTop w:val="0"/>
      <w:marBottom w:val="0"/>
      <w:divBdr>
        <w:top w:val="none" w:sz="0" w:space="0" w:color="auto"/>
        <w:left w:val="none" w:sz="0" w:space="0" w:color="auto"/>
        <w:bottom w:val="none" w:sz="0" w:space="0" w:color="auto"/>
        <w:right w:val="none" w:sz="0" w:space="0" w:color="auto"/>
      </w:divBdr>
    </w:div>
    <w:div w:id="184294766">
      <w:bodyDiv w:val="1"/>
      <w:marLeft w:val="0"/>
      <w:marRight w:val="0"/>
      <w:marTop w:val="0"/>
      <w:marBottom w:val="0"/>
      <w:divBdr>
        <w:top w:val="none" w:sz="0" w:space="0" w:color="auto"/>
        <w:left w:val="none" w:sz="0" w:space="0" w:color="auto"/>
        <w:bottom w:val="none" w:sz="0" w:space="0" w:color="auto"/>
        <w:right w:val="none" w:sz="0" w:space="0" w:color="auto"/>
      </w:divBdr>
    </w:div>
    <w:div w:id="255360369">
      <w:bodyDiv w:val="1"/>
      <w:marLeft w:val="0"/>
      <w:marRight w:val="0"/>
      <w:marTop w:val="0"/>
      <w:marBottom w:val="0"/>
      <w:divBdr>
        <w:top w:val="none" w:sz="0" w:space="0" w:color="auto"/>
        <w:left w:val="none" w:sz="0" w:space="0" w:color="auto"/>
        <w:bottom w:val="none" w:sz="0" w:space="0" w:color="auto"/>
        <w:right w:val="none" w:sz="0" w:space="0" w:color="auto"/>
      </w:divBdr>
    </w:div>
    <w:div w:id="301497381">
      <w:bodyDiv w:val="1"/>
      <w:marLeft w:val="0"/>
      <w:marRight w:val="0"/>
      <w:marTop w:val="0"/>
      <w:marBottom w:val="0"/>
      <w:divBdr>
        <w:top w:val="none" w:sz="0" w:space="0" w:color="auto"/>
        <w:left w:val="none" w:sz="0" w:space="0" w:color="auto"/>
        <w:bottom w:val="none" w:sz="0" w:space="0" w:color="auto"/>
        <w:right w:val="none" w:sz="0" w:space="0" w:color="auto"/>
      </w:divBdr>
    </w:div>
    <w:div w:id="350184115">
      <w:bodyDiv w:val="1"/>
      <w:marLeft w:val="0"/>
      <w:marRight w:val="0"/>
      <w:marTop w:val="0"/>
      <w:marBottom w:val="0"/>
      <w:divBdr>
        <w:top w:val="none" w:sz="0" w:space="0" w:color="auto"/>
        <w:left w:val="none" w:sz="0" w:space="0" w:color="auto"/>
        <w:bottom w:val="none" w:sz="0" w:space="0" w:color="auto"/>
        <w:right w:val="none" w:sz="0" w:space="0" w:color="auto"/>
      </w:divBdr>
    </w:div>
    <w:div w:id="374432434">
      <w:bodyDiv w:val="1"/>
      <w:marLeft w:val="0"/>
      <w:marRight w:val="0"/>
      <w:marTop w:val="0"/>
      <w:marBottom w:val="0"/>
      <w:divBdr>
        <w:top w:val="none" w:sz="0" w:space="0" w:color="auto"/>
        <w:left w:val="none" w:sz="0" w:space="0" w:color="auto"/>
        <w:bottom w:val="none" w:sz="0" w:space="0" w:color="auto"/>
        <w:right w:val="none" w:sz="0" w:space="0" w:color="auto"/>
      </w:divBdr>
    </w:div>
    <w:div w:id="422579833">
      <w:bodyDiv w:val="1"/>
      <w:marLeft w:val="0"/>
      <w:marRight w:val="0"/>
      <w:marTop w:val="0"/>
      <w:marBottom w:val="0"/>
      <w:divBdr>
        <w:top w:val="none" w:sz="0" w:space="0" w:color="auto"/>
        <w:left w:val="none" w:sz="0" w:space="0" w:color="auto"/>
        <w:bottom w:val="none" w:sz="0" w:space="0" w:color="auto"/>
        <w:right w:val="none" w:sz="0" w:space="0" w:color="auto"/>
      </w:divBdr>
    </w:div>
    <w:div w:id="465010091">
      <w:bodyDiv w:val="1"/>
      <w:marLeft w:val="0"/>
      <w:marRight w:val="0"/>
      <w:marTop w:val="0"/>
      <w:marBottom w:val="0"/>
      <w:divBdr>
        <w:top w:val="none" w:sz="0" w:space="0" w:color="auto"/>
        <w:left w:val="none" w:sz="0" w:space="0" w:color="auto"/>
        <w:bottom w:val="none" w:sz="0" w:space="0" w:color="auto"/>
        <w:right w:val="none" w:sz="0" w:space="0" w:color="auto"/>
      </w:divBdr>
    </w:div>
    <w:div w:id="478108874">
      <w:bodyDiv w:val="1"/>
      <w:marLeft w:val="0"/>
      <w:marRight w:val="0"/>
      <w:marTop w:val="0"/>
      <w:marBottom w:val="0"/>
      <w:divBdr>
        <w:top w:val="none" w:sz="0" w:space="0" w:color="auto"/>
        <w:left w:val="none" w:sz="0" w:space="0" w:color="auto"/>
        <w:bottom w:val="none" w:sz="0" w:space="0" w:color="auto"/>
        <w:right w:val="none" w:sz="0" w:space="0" w:color="auto"/>
      </w:divBdr>
    </w:div>
    <w:div w:id="775490075">
      <w:bodyDiv w:val="1"/>
      <w:marLeft w:val="0"/>
      <w:marRight w:val="0"/>
      <w:marTop w:val="0"/>
      <w:marBottom w:val="0"/>
      <w:divBdr>
        <w:top w:val="none" w:sz="0" w:space="0" w:color="auto"/>
        <w:left w:val="none" w:sz="0" w:space="0" w:color="auto"/>
        <w:bottom w:val="none" w:sz="0" w:space="0" w:color="auto"/>
        <w:right w:val="none" w:sz="0" w:space="0" w:color="auto"/>
      </w:divBdr>
    </w:div>
    <w:div w:id="926034701">
      <w:bodyDiv w:val="1"/>
      <w:marLeft w:val="0"/>
      <w:marRight w:val="0"/>
      <w:marTop w:val="0"/>
      <w:marBottom w:val="0"/>
      <w:divBdr>
        <w:top w:val="none" w:sz="0" w:space="0" w:color="auto"/>
        <w:left w:val="none" w:sz="0" w:space="0" w:color="auto"/>
        <w:bottom w:val="none" w:sz="0" w:space="0" w:color="auto"/>
        <w:right w:val="none" w:sz="0" w:space="0" w:color="auto"/>
      </w:divBdr>
    </w:div>
    <w:div w:id="1064838030">
      <w:bodyDiv w:val="1"/>
      <w:marLeft w:val="0"/>
      <w:marRight w:val="0"/>
      <w:marTop w:val="0"/>
      <w:marBottom w:val="0"/>
      <w:divBdr>
        <w:top w:val="none" w:sz="0" w:space="0" w:color="auto"/>
        <w:left w:val="none" w:sz="0" w:space="0" w:color="auto"/>
        <w:bottom w:val="none" w:sz="0" w:space="0" w:color="auto"/>
        <w:right w:val="none" w:sz="0" w:space="0" w:color="auto"/>
      </w:divBdr>
    </w:div>
    <w:div w:id="1408303710">
      <w:bodyDiv w:val="1"/>
      <w:marLeft w:val="0"/>
      <w:marRight w:val="0"/>
      <w:marTop w:val="0"/>
      <w:marBottom w:val="0"/>
      <w:divBdr>
        <w:top w:val="none" w:sz="0" w:space="0" w:color="auto"/>
        <w:left w:val="none" w:sz="0" w:space="0" w:color="auto"/>
        <w:bottom w:val="none" w:sz="0" w:space="0" w:color="auto"/>
        <w:right w:val="none" w:sz="0" w:space="0" w:color="auto"/>
      </w:divBdr>
    </w:div>
    <w:div w:id="1425493503">
      <w:bodyDiv w:val="1"/>
      <w:marLeft w:val="0"/>
      <w:marRight w:val="0"/>
      <w:marTop w:val="0"/>
      <w:marBottom w:val="0"/>
      <w:divBdr>
        <w:top w:val="none" w:sz="0" w:space="0" w:color="auto"/>
        <w:left w:val="none" w:sz="0" w:space="0" w:color="auto"/>
        <w:bottom w:val="none" w:sz="0" w:space="0" w:color="auto"/>
        <w:right w:val="none" w:sz="0" w:space="0" w:color="auto"/>
      </w:divBdr>
    </w:div>
    <w:div w:id="1536842844">
      <w:bodyDiv w:val="1"/>
      <w:marLeft w:val="0"/>
      <w:marRight w:val="0"/>
      <w:marTop w:val="0"/>
      <w:marBottom w:val="0"/>
      <w:divBdr>
        <w:top w:val="none" w:sz="0" w:space="0" w:color="auto"/>
        <w:left w:val="none" w:sz="0" w:space="0" w:color="auto"/>
        <w:bottom w:val="none" w:sz="0" w:space="0" w:color="auto"/>
        <w:right w:val="none" w:sz="0" w:space="0" w:color="auto"/>
      </w:divBdr>
    </w:div>
    <w:div w:id="1670132468">
      <w:bodyDiv w:val="1"/>
      <w:marLeft w:val="0"/>
      <w:marRight w:val="0"/>
      <w:marTop w:val="0"/>
      <w:marBottom w:val="0"/>
      <w:divBdr>
        <w:top w:val="none" w:sz="0" w:space="0" w:color="auto"/>
        <w:left w:val="none" w:sz="0" w:space="0" w:color="auto"/>
        <w:bottom w:val="none" w:sz="0" w:space="0" w:color="auto"/>
        <w:right w:val="none" w:sz="0" w:space="0" w:color="auto"/>
      </w:divBdr>
    </w:div>
    <w:div w:id="1829130082">
      <w:bodyDiv w:val="1"/>
      <w:marLeft w:val="0"/>
      <w:marRight w:val="0"/>
      <w:marTop w:val="0"/>
      <w:marBottom w:val="0"/>
      <w:divBdr>
        <w:top w:val="none" w:sz="0" w:space="0" w:color="auto"/>
        <w:left w:val="none" w:sz="0" w:space="0" w:color="auto"/>
        <w:bottom w:val="none" w:sz="0" w:space="0" w:color="auto"/>
        <w:right w:val="none" w:sz="0" w:space="0" w:color="auto"/>
      </w:divBdr>
    </w:div>
    <w:div w:id="1846240810">
      <w:bodyDiv w:val="1"/>
      <w:marLeft w:val="0"/>
      <w:marRight w:val="0"/>
      <w:marTop w:val="0"/>
      <w:marBottom w:val="0"/>
      <w:divBdr>
        <w:top w:val="none" w:sz="0" w:space="0" w:color="auto"/>
        <w:left w:val="none" w:sz="0" w:space="0" w:color="auto"/>
        <w:bottom w:val="none" w:sz="0" w:space="0" w:color="auto"/>
        <w:right w:val="none" w:sz="0" w:space="0" w:color="auto"/>
      </w:divBdr>
    </w:div>
    <w:div w:id="1848594988">
      <w:bodyDiv w:val="1"/>
      <w:marLeft w:val="0"/>
      <w:marRight w:val="0"/>
      <w:marTop w:val="0"/>
      <w:marBottom w:val="0"/>
      <w:divBdr>
        <w:top w:val="none" w:sz="0" w:space="0" w:color="auto"/>
        <w:left w:val="none" w:sz="0" w:space="0" w:color="auto"/>
        <w:bottom w:val="none" w:sz="0" w:space="0" w:color="auto"/>
        <w:right w:val="none" w:sz="0" w:space="0" w:color="auto"/>
      </w:divBdr>
    </w:div>
    <w:div w:id="1960261717">
      <w:bodyDiv w:val="1"/>
      <w:marLeft w:val="0"/>
      <w:marRight w:val="0"/>
      <w:marTop w:val="0"/>
      <w:marBottom w:val="0"/>
      <w:divBdr>
        <w:top w:val="none" w:sz="0" w:space="0" w:color="auto"/>
        <w:left w:val="none" w:sz="0" w:space="0" w:color="auto"/>
        <w:bottom w:val="none" w:sz="0" w:space="0" w:color="auto"/>
        <w:right w:val="none" w:sz="0" w:space="0" w:color="auto"/>
      </w:divBdr>
    </w:div>
    <w:div w:id="21472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5462-197E-4D89-9F5C-24BA039CF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16</Pages>
  <Words>4565</Words>
  <Characters>33420</Characters>
  <Application>Microsoft Office Word</Application>
  <DocSecurity>0</DocSecurity>
  <Lines>668</Lines>
  <Paragraphs>184</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37801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Zjurikova</dc:creator>
  <cp:keywords/>
  <dc:description/>
  <cp:lastModifiedBy>Kaspars Stabiņš</cp:lastModifiedBy>
  <cp:revision>112</cp:revision>
  <cp:lastPrinted>2012-10-08T06:15:00Z</cp:lastPrinted>
  <dcterms:created xsi:type="dcterms:W3CDTF">2012-05-23T12:01:00Z</dcterms:created>
  <dcterms:modified xsi:type="dcterms:W3CDTF">2012-10-08T11:44:00Z</dcterms:modified>
</cp:coreProperties>
</file>