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8E7" w:rsidRPr="00025B33" w:rsidRDefault="00E668E7" w:rsidP="006031F7">
      <w:pPr>
        <w:pStyle w:val="Header"/>
        <w:tabs>
          <w:tab w:val="left" w:pos="720"/>
        </w:tabs>
        <w:jc w:val="center"/>
        <w:rPr>
          <w:b/>
          <w:smallCaps/>
          <w:sz w:val="28"/>
          <w:szCs w:val="28"/>
        </w:rPr>
      </w:pPr>
      <w:r w:rsidRPr="00025B33">
        <w:rPr>
          <w:b/>
          <w:smallCaps/>
          <w:sz w:val="28"/>
          <w:szCs w:val="28"/>
        </w:rPr>
        <w:t xml:space="preserve">Informatīvais </w:t>
      </w:r>
      <w:smartTag w:uri="schemas-tilde-lv/tildestengine" w:element="veidnes">
        <w:smartTagPr>
          <w:attr w:name="text" w:val="ziņojums"/>
          <w:attr w:name="id" w:val="-1"/>
          <w:attr w:name="baseform" w:val="ziņojum|s"/>
        </w:smartTagPr>
        <w:r w:rsidRPr="00025B33">
          <w:rPr>
            <w:b/>
            <w:smallCaps/>
            <w:sz w:val="28"/>
            <w:szCs w:val="28"/>
          </w:rPr>
          <w:t>ziņojums</w:t>
        </w:r>
      </w:smartTag>
    </w:p>
    <w:p w:rsidR="00E668E7" w:rsidRPr="00025B33" w:rsidRDefault="00E668E7" w:rsidP="006031F7">
      <w:pPr>
        <w:pStyle w:val="Header"/>
        <w:tabs>
          <w:tab w:val="left" w:pos="720"/>
        </w:tabs>
        <w:jc w:val="center"/>
        <w:rPr>
          <w:b/>
          <w:sz w:val="28"/>
          <w:szCs w:val="28"/>
        </w:rPr>
      </w:pPr>
    </w:p>
    <w:p w:rsidR="00E668E7" w:rsidRPr="00025B33" w:rsidRDefault="00E668E7" w:rsidP="006031F7">
      <w:pPr>
        <w:jc w:val="center"/>
        <w:rPr>
          <w:b/>
          <w:sz w:val="28"/>
          <w:szCs w:val="28"/>
        </w:rPr>
      </w:pPr>
      <w:bookmarkStart w:id="0" w:name="OLE_LINK3"/>
      <w:bookmarkStart w:id="1" w:name="OLE_LINK4"/>
      <w:r w:rsidRPr="00025B33">
        <w:rPr>
          <w:b/>
          <w:sz w:val="28"/>
          <w:szCs w:val="28"/>
        </w:rPr>
        <w:t>par Latvijas</w:t>
      </w:r>
      <w:r w:rsidR="003B32E1">
        <w:rPr>
          <w:b/>
          <w:sz w:val="28"/>
          <w:szCs w:val="28"/>
        </w:rPr>
        <w:t xml:space="preserve"> Republikas</w:t>
      </w:r>
      <w:r w:rsidRPr="00025B33">
        <w:rPr>
          <w:b/>
          <w:sz w:val="28"/>
          <w:szCs w:val="28"/>
        </w:rPr>
        <w:t xml:space="preserve"> </w:t>
      </w:r>
      <w:r w:rsidR="002357E6">
        <w:rPr>
          <w:b/>
          <w:sz w:val="28"/>
          <w:szCs w:val="28"/>
        </w:rPr>
        <w:t>nostāju</w:t>
      </w:r>
      <w:r w:rsidRPr="00025B33">
        <w:rPr>
          <w:b/>
          <w:sz w:val="28"/>
          <w:szCs w:val="28"/>
        </w:rPr>
        <w:t xml:space="preserve"> Eiropas Savienības Konkurētspējas ministru padomes 201</w:t>
      </w:r>
      <w:r w:rsidR="004F1BA9">
        <w:rPr>
          <w:b/>
          <w:sz w:val="28"/>
          <w:szCs w:val="28"/>
        </w:rPr>
        <w:t>3</w:t>
      </w:r>
      <w:r w:rsidRPr="00025B33">
        <w:rPr>
          <w:b/>
          <w:sz w:val="28"/>
          <w:szCs w:val="28"/>
        </w:rPr>
        <w:t xml:space="preserve">.gada </w:t>
      </w:r>
      <w:r w:rsidR="004F1BA9">
        <w:rPr>
          <w:b/>
          <w:sz w:val="28"/>
          <w:szCs w:val="28"/>
        </w:rPr>
        <w:t>19</w:t>
      </w:r>
      <w:r w:rsidRPr="00025B33">
        <w:rPr>
          <w:b/>
          <w:sz w:val="28"/>
          <w:szCs w:val="28"/>
        </w:rPr>
        <w:t>.</w:t>
      </w:r>
      <w:r w:rsidR="004F1BA9">
        <w:rPr>
          <w:b/>
          <w:sz w:val="28"/>
          <w:szCs w:val="28"/>
        </w:rPr>
        <w:t>februāra</w:t>
      </w:r>
      <w:r w:rsidRPr="00025B33">
        <w:rPr>
          <w:b/>
          <w:sz w:val="28"/>
          <w:szCs w:val="28"/>
        </w:rPr>
        <w:t xml:space="preserve"> sanāksmē izskat</w:t>
      </w:r>
      <w:r w:rsidR="00505AE3">
        <w:rPr>
          <w:b/>
          <w:sz w:val="28"/>
          <w:szCs w:val="28"/>
        </w:rPr>
        <w:t xml:space="preserve">āmajos </w:t>
      </w:r>
      <w:r w:rsidRPr="00025B33">
        <w:rPr>
          <w:b/>
          <w:sz w:val="28"/>
          <w:szCs w:val="28"/>
        </w:rPr>
        <w:t>jautājumos</w:t>
      </w:r>
    </w:p>
    <w:bookmarkEnd w:id="0"/>
    <w:bookmarkEnd w:id="1"/>
    <w:p w:rsidR="00E668E7" w:rsidRPr="00025B33" w:rsidRDefault="00E668E7" w:rsidP="006031F7">
      <w:pPr>
        <w:spacing w:after="120"/>
        <w:jc w:val="both"/>
        <w:rPr>
          <w:sz w:val="28"/>
          <w:szCs w:val="28"/>
        </w:rPr>
      </w:pPr>
    </w:p>
    <w:p w:rsidR="00E668E7" w:rsidRPr="00025B33" w:rsidRDefault="00E668E7" w:rsidP="006031F7">
      <w:pPr>
        <w:spacing w:before="120" w:after="120"/>
        <w:rPr>
          <w:b/>
          <w:sz w:val="28"/>
          <w:szCs w:val="28"/>
        </w:rPr>
      </w:pPr>
      <w:r w:rsidRPr="00025B33">
        <w:rPr>
          <w:b/>
          <w:sz w:val="28"/>
          <w:szCs w:val="28"/>
        </w:rPr>
        <w:t>1. Konkurētspējas ministru padomes sanāksmes darba kārtība</w:t>
      </w:r>
    </w:p>
    <w:p w:rsidR="00897AEF" w:rsidRPr="00025B33" w:rsidRDefault="00897AEF" w:rsidP="004F0096">
      <w:pPr>
        <w:tabs>
          <w:tab w:val="left" w:pos="9288"/>
        </w:tabs>
        <w:ind w:firstLine="851"/>
        <w:jc w:val="both"/>
        <w:rPr>
          <w:sz w:val="28"/>
          <w:szCs w:val="28"/>
        </w:rPr>
      </w:pPr>
      <w:r w:rsidRPr="00025B33">
        <w:rPr>
          <w:sz w:val="28"/>
          <w:szCs w:val="28"/>
        </w:rPr>
        <w:t>201</w:t>
      </w:r>
      <w:r w:rsidR="004F1BA9">
        <w:rPr>
          <w:sz w:val="28"/>
          <w:szCs w:val="28"/>
        </w:rPr>
        <w:t>3</w:t>
      </w:r>
      <w:r w:rsidR="00505AE3">
        <w:rPr>
          <w:sz w:val="28"/>
          <w:szCs w:val="28"/>
        </w:rPr>
        <w:t>.</w:t>
      </w:r>
      <w:r w:rsidRPr="00025B33">
        <w:rPr>
          <w:sz w:val="28"/>
          <w:szCs w:val="28"/>
        </w:rPr>
        <w:t xml:space="preserve">gada </w:t>
      </w:r>
      <w:r w:rsidR="004F1BA9">
        <w:rPr>
          <w:sz w:val="28"/>
          <w:szCs w:val="28"/>
        </w:rPr>
        <w:t>19</w:t>
      </w:r>
      <w:r w:rsidRPr="00025B33">
        <w:rPr>
          <w:sz w:val="28"/>
          <w:szCs w:val="28"/>
        </w:rPr>
        <w:t>.</w:t>
      </w:r>
      <w:r w:rsidR="004F1BA9">
        <w:rPr>
          <w:sz w:val="28"/>
          <w:szCs w:val="28"/>
        </w:rPr>
        <w:t>februārī</w:t>
      </w:r>
      <w:r w:rsidRPr="00025B33">
        <w:rPr>
          <w:sz w:val="28"/>
          <w:szCs w:val="28"/>
        </w:rPr>
        <w:t xml:space="preserve"> </w:t>
      </w:r>
      <w:r w:rsidR="00271604">
        <w:rPr>
          <w:sz w:val="28"/>
          <w:szCs w:val="28"/>
        </w:rPr>
        <w:t>Briselē</w:t>
      </w:r>
      <w:r w:rsidRPr="00025B33">
        <w:rPr>
          <w:sz w:val="28"/>
          <w:szCs w:val="28"/>
        </w:rPr>
        <w:t xml:space="preserve"> notiks Eiropas Savienības (turpmāk – ES) Konkurētspējas ministru padomes sanāksme (turpmāk – </w:t>
      </w:r>
      <w:r w:rsidR="0013164E">
        <w:rPr>
          <w:sz w:val="28"/>
          <w:szCs w:val="28"/>
        </w:rPr>
        <w:t>s</w:t>
      </w:r>
      <w:r w:rsidRPr="00025B33">
        <w:rPr>
          <w:sz w:val="28"/>
          <w:szCs w:val="28"/>
        </w:rPr>
        <w:t>anāksme). Paredzams, ka sanāksmes gaitā tiks izskatīti šādi Ekonomikas ministrijas (</w:t>
      </w:r>
      <w:r w:rsidR="00E730E6" w:rsidRPr="00025B33">
        <w:rPr>
          <w:sz w:val="28"/>
          <w:szCs w:val="28"/>
        </w:rPr>
        <w:t xml:space="preserve">turpmāk - </w:t>
      </w:r>
      <w:r w:rsidR="00505AE3">
        <w:rPr>
          <w:sz w:val="28"/>
          <w:szCs w:val="28"/>
        </w:rPr>
        <w:t>EM),</w:t>
      </w:r>
      <w:r w:rsidR="004F1BA9">
        <w:rPr>
          <w:sz w:val="28"/>
          <w:szCs w:val="28"/>
        </w:rPr>
        <w:t xml:space="preserve"> </w:t>
      </w:r>
      <w:r w:rsidR="004F1BA9" w:rsidRPr="004F1BA9">
        <w:rPr>
          <w:sz w:val="28"/>
          <w:szCs w:val="28"/>
        </w:rPr>
        <w:t>Vides aizsardzības un reģionālās attīstības ministrijas</w:t>
      </w:r>
      <w:r w:rsidR="004F1BA9">
        <w:rPr>
          <w:sz w:val="28"/>
          <w:szCs w:val="28"/>
        </w:rPr>
        <w:t xml:space="preserve"> (turpmāk – VARAM),</w:t>
      </w:r>
      <w:r w:rsidRPr="00025B33">
        <w:rPr>
          <w:sz w:val="28"/>
          <w:szCs w:val="28"/>
        </w:rPr>
        <w:t xml:space="preserve"> </w:t>
      </w:r>
      <w:r w:rsidR="00505AE3">
        <w:rPr>
          <w:sz w:val="28"/>
          <w:szCs w:val="28"/>
        </w:rPr>
        <w:t xml:space="preserve">Izglītības un zinātnes ministrijas </w:t>
      </w:r>
      <w:r w:rsidR="00505AE3" w:rsidRPr="00025B33">
        <w:rPr>
          <w:sz w:val="28"/>
          <w:szCs w:val="28"/>
        </w:rPr>
        <w:t xml:space="preserve">(turpmāk - </w:t>
      </w:r>
      <w:r w:rsidR="00505AE3">
        <w:rPr>
          <w:sz w:val="28"/>
          <w:szCs w:val="28"/>
        </w:rPr>
        <w:t>IZM)</w:t>
      </w:r>
      <w:r w:rsidRPr="00025B33">
        <w:rPr>
          <w:sz w:val="28"/>
          <w:szCs w:val="28"/>
        </w:rPr>
        <w:t xml:space="preserve"> </w:t>
      </w:r>
      <w:r w:rsidR="00271604">
        <w:rPr>
          <w:sz w:val="28"/>
          <w:szCs w:val="28"/>
        </w:rPr>
        <w:t xml:space="preserve">un </w:t>
      </w:r>
      <w:r w:rsidR="004F1BA9">
        <w:rPr>
          <w:sz w:val="28"/>
          <w:szCs w:val="28"/>
        </w:rPr>
        <w:t>Finanšu</w:t>
      </w:r>
      <w:r w:rsidR="00271604">
        <w:rPr>
          <w:sz w:val="28"/>
          <w:szCs w:val="28"/>
        </w:rPr>
        <w:t xml:space="preserve"> ministrijas (turpmāk- </w:t>
      </w:r>
      <w:r w:rsidR="004F1BA9">
        <w:rPr>
          <w:sz w:val="28"/>
          <w:szCs w:val="28"/>
        </w:rPr>
        <w:t>F</w:t>
      </w:r>
      <w:r w:rsidR="00271604">
        <w:rPr>
          <w:sz w:val="28"/>
          <w:szCs w:val="28"/>
        </w:rPr>
        <w:t xml:space="preserve">M) </w:t>
      </w:r>
      <w:r w:rsidRPr="00025B33">
        <w:rPr>
          <w:sz w:val="28"/>
          <w:szCs w:val="28"/>
        </w:rPr>
        <w:t>kompetencē esoši jautājumi:</w:t>
      </w:r>
    </w:p>
    <w:p w:rsidR="00BD6689" w:rsidRPr="00025B33" w:rsidRDefault="00BD6689" w:rsidP="004F0096">
      <w:pPr>
        <w:tabs>
          <w:tab w:val="left" w:pos="9288"/>
        </w:tabs>
        <w:ind w:firstLine="851"/>
        <w:jc w:val="both"/>
        <w:rPr>
          <w:sz w:val="28"/>
          <w:szCs w:val="28"/>
        </w:rPr>
      </w:pPr>
    </w:p>
    <w:p w:rsidR="00897AEF" w:rsidRPr="00487328" w:rsidRDefault="00897AEF" w:rsidP="006031F7">
      <w:pPr>
        <w:pBdr>
          <w:bottom w:val="single" w:sz="4" w:space="1" w:color="auto"/>
        </w:pBdr>
        <w:tabs>
          <w:tab w:val="left" w:pos="1290"/>
        </w:tabs>
        <w:autoSpaceDE w:val="0"/>
        <w:autoSpaceDN w:val="0"/>
        <w:adjustRightInd w:val="0"/>
        <w:jc w:val="both"/>
        <w:rPr>
          <w:sz w:val="28"/>
          <w:szCs w:val="28"/>
          <w:highlight w:val="yellow"/>
        </w:rPr>
      </w:pPr>
      <w:r w:rsidRPr="00227FFB">
        <w:rPr>
          <w:b/>
          <w:sz w:val="28"/>
          <w:szCs w:val="28"/>
        </w:rPr>
        <w:t>1.</w:t>
      </w:r>
      <w:r w:rsidR="00B03397" w:rsidRPr="00227FFB">
        <w:rPr>
          <w:b/>
          <w:sz w:val="28"/>
          <w:szCs w:val="28"/>
        </w:rPr>
        <w:t>1.</w:t>
      </w:r>
      <w:r w:rsidRPr="00227FFB">
        <w:rPr>
          <w:b/>
          <w:sz w:val="28"/>
          <w:szCs w:val="28"/>
        </w:rPr>
        <w:t xml:space="preserve"> </w:t>
      </w:r>
      <w:r w:rsidR="000D0931" w:rsidRPr="000D0931">
        <w:rPr>
          <w:b/>
          <w:sz w:val="28"/>
          <w:szCs w:val="28"/>
        </w:rPr>
        <w:t xml:space="preserve">Eiropas </w:t>
      </w:r>
      <w:r w:rsidR="000E2988">
        <w:rPr>
          <w:b/>
          <w:sz w:val="28"/>
          <w:szCs w:val="28"/>
        </w:rPr>
        <w:t>semestris</w:t>
      </w:r>
      <w:r w:rsidR="003E1585" w:rsidRPr="003E1585">
        <w:rPr>
          <w:b/>
          <w:sz w:val="28"/>
          <w:szCs w:val="28"/>
        </w:rPr>
        <w:t xml:space="preserve"> </w:t>
      </w:r>
      <w:r w:rsidR="000D0931">
        <w:rPr>
          <w:i/>
          <w:sz w:val="28"/>
          <w:szCs w:val="28"/>
        </w:rPr>
        <w:t>(EM</w:t>
      </w:r>
      <w:r w:rsidR="004F0096" w:rsidRPr="004F0096">
        <w:rPr>
          <w:i/>
          <w:sz w:val="28"/>
          <w:szCs w:val="28"/>
        </w:rPr>
        <w:t xml:space="preserve"> kompetence)</w:t>
      </w:r>
    </w:p>
    <w:p w:rsidR="000D0931" w:rsidRDefault="000D0931" w:rsidP="006031F7">
      <w:pPr>
        <w:tabs>
          <w:tab w:val="left" w:pos="284"/>
        </w:tabs>
        <w:jc w:val="both"/>
        <w:rPr>
          <w:i/>
          <w:sz w:val="28"/>
          <w:szCs w:val="28"/>
        </w:rPr>
      </w:pPr>
      <w:r w:rsidRPr="000D0931">
        <w:rPr>
          <w:i/>
          <w:sz w:val="28"/>
          <w:szCs w:val="28"/>
        </w:rPr>
        <w:t>a)</w:t>
      </w:r>
      <w:r w:rsidRPr="000D0931">
        <w:rPr>
          <w:i/>
          <w:sz w:val="28"/>
          <w:szCs w:val="28"/>
        </w:rPr>
        <w:tab/>
        <w:t>Komisijas paziņojums "Gada izaugsmes pētījums (2013. gads)"</w:t>
      </w:r>
    </w:p>
    <w:p w:rsidR="000D0931" w:rsidRDefault="000D0931" w:rsidP="006031F7">
      <w:pPr>
        <w:tabs>
          <w:tab w:val="left" w:pos="284"/>
        </w:tabs>
        <w:jc w:val="both"/>
        <w:rPr>
          <w:i/>
          <w:sz w:val="28"/>
          <w:szCs w:val="28"/>
        </w:rPr>
      </w:pPr>
      <w:r w:rsidRPr="000D0931">
        <w:rPr>
          <w:i/>
          <w:sz w:val="28"/>
          <w:szCs w:val="28"/>
        </w:rPr>
        <w:t>b)</w:t>
      </w:r>
      <w:r w:rsidRPr="000D0931">
        <w:rPr>
          <w:i/>
          <w:sz w:val="28"/>
          <w:szCs w:val="28"/>
        </w:rPr>
        <w:tab/>
        <w:t>Komisijas paziņojums "Stāvoklis vienotā tirgus integrācijā 2013. gadā – materiāls Gada izaugsmes pētījumam 2013. g."</w:t>
      </w:r>
    </w:p>
    <w:p w:rsidR="000D0931" w:rsidRDefault="000D0931" w:rsidP="006031F7">
      <w:pPr>
        <w:tabs>
          <w:tab w:val="left" w:pos="284"/>
        </w:tabs>
        <w:jc w:val="both"/>
        <w:rPr>
          <w:i/>
          <w:sz w:val="28"/>
          <w:szCs w:val="28"/>
        </w:rPr>
      </w:pPr>
      <w:r w:rsidRPr="000D0931">
        <w:rPr>
          <w:i/>
          <w:sz w:val="28"/>
          <w:szCs w:val="28"/>
        </w:rPr>
        <w:t>c)</w:t>
      </w:r>
      <w:r w:rsidRPr="000D0931">
        <w:rPr>
          <w:i/>
          <w:sz w:val="28"/>
          <w:szCs w:val="28"/>
        </w:rPr>
        <w:tab/>
        <w:t>Vienotā tirgus akts I un II – pašreizējais stāvoklis</w:t>
      </w:r>
    </w:p>
    <w:p w:rsidR="00E730E6" w:rsidRPr="00227FFB" w:rsidRDefault="00897AEF" w:rsidP="006031F7">
      <w:pPr>
        <w:tabs>
          <w:tab w:val="left" w:pos="284"/>
        </w:tabs>
        <w:jc w:val="both"/>
        <w:rPr>
          <w:i/>
          <w:sz w:val="28"/>
          <w:szCs w:val="28"/>
        </w:rPr>
      </w:pPr>
      <w:r w:rsidRPr="00227FFB">
        <w:rPr>
          <w:i/>
          <w:sz w:val="28"/>
          <w:szCs w:val="28"/>
        </w:rPr>
        <w:t xml:space="preserve">- </w:t>
      </w:r>
      <w:r w:rsidR="000D0931" w:rsidRPr="000D0931">
        <w:rPr>
          <w:i/>
          <w:sz w:val="28"/>
          <w:szCs w:val="28"/>
        </w:rPr>
        <w:t>politikas debates</w:t>
      </w:r>
    </w:p>
    <w:p w:rsidR="00897AEF" w:rsidRPr="00487328" w:rsidRDefault="00897AEF" w:rsidP="006031F7">
      <w:pPr>
        <w:tabs>
          <w:tab w:val="left" w:pos="284"/>
        </w:tabs>
        <w:ind w:firstLine="851"/>
        <w:jc w:val="both"/>
        <w:rPr>
          <w:sz w:val="28"/>
          <w:szCs w:val="28"/>
          <w:highlight w:val="yellow"/>
        </w:rPr>
      </w:pPr>
    </w:p>
    <w:p w:rsidR="00AB472F" w:rsidRDefault="00A2191E" w:rsidP="009E0216">
      <w:pPr>
        <w:autoSpaceDE w:val="0"/>
        <w:autoSpaceDN w:val="0"/>
        <w:adjustRightInd w:val="0"/>
        <w:spacing w:after="120"/>
        <w:ind w:firstLine="720"/>
        <w:jc w:val="both"/>
        <w:rPr>
          <w:noProof/>
          <w:sz w:val="28"/>
        </w:rPr>
      </w:pPr>
      <w:r>
        <w:rPr>
          <w:sz w:val="28"/>
        </w:rPr>
        <w:t>S</w:t>
      </w:r>
      <w:r w:rsidR="000E2988">
        <w:rPr>
          <w:sz w:val="28"/>
        </w:rPr>
        <w:t>anāksmē tiks diskutēts par</w:t>
      </w:r>
      <w:r w:rsidR="001E7D11">
        <w:rPr>
          <w:sz w:val="28"/>
        </w:rPr>
        <w:t xml:space="preserve"> </w:t>
      </w:r>
      <w:r w:rsidR="00A27AF2">
        <w:rPr>
          <w:sz w:val="28"/>
        </w:rPr>
        <w:t>ES</w:t>
      </w:r>
      <w:r w:rsidR="001E7D11">
        <w:rPr>
          <w:sz w:val="28"/>
        </w:rPr>
        <w:t xml:space="preserve"> dalībvalstu</w:t>
      </w:r>
      <w:r w:rsidR="000E2988">
        <w:rPr>
          <w:sz w:val="28"/>
        </w:rPr>
        <w:t xml:space="preserve"> ekonomiskās politikas koordināciju Eiropas semestra kontekstā. </w:t>
      </w:r>
      <w:r w:rsidR="000E2988" w:rsidRPr="000E2988">
        <w:rPr>
          <w:noProof/>
          <w:sz w:val="28"/>
        </w:rPr>
        <w:t>2012.gada 28.novembrī Eiropas Komisija publicēja 2013.gada Ikgadējo izaugsmes ziņojumu</w:t>
      </w:r>
      <w:r w:rsidR="00723387">
        <w:rPr>
          <w:noProof/>
          <w:sz w:val="28"/>
        </w:rPr>
        <w:t xml:space="preserve"> (turpmāk – ziņojums)</w:t>
      </w:r>
      <w:r w:rsidR="000E2988" w:rsidRPr="000E2988">
        <w:rPr>
          <w:noProof/>
          <w:sz w:val="28"/>
        </w:rPr>
        <w:t>, uzsāk</w:t>
      </w:r>
      <w:r w:rsidR="000E2988">
        <w:rPr>
          <w:noProof/>
          <w:sz w:val="28"/>
        </w:rPr>
        <w:t xml:space="preserve">ot trešo Eiropas semestra ciklu no 2013.gada 1.janvāra līdz 2013.gada 30.jūnijam. Ziņojums publicēts vienlaicīgi ar vairākiem </w:t>
      </w:r>
      <w:r w:rsidR="000E2988" w:rsidRPr="000E2988">
        <w:rPr>
          <w:noProof/>
          <w:sz w:val="28"/>
        </w:rPr>
        <w:t>citiem dokumentiem, proti, ziņojumu „</w:t>
      </w:r>
      <w:r w:rsidR="00CA30F2">
        <w:rPr>
          <w:noProof/>
          <w:sz w:val="28"/>
        </w:rPr>
        <w:t>Stāvoklis Vienotā</w:t>
      </w:r>
      <w:r w:rsidR="000E2988">
        <w:rPr>
          <w:noProof/>
          <w:sz w:val="28"/>
        </w:rPr>
        <w:t xml:space="preserve"> tirgus integrācijā 2013. gadā</w:t>
      </w:r>
      <w:r w:rsidR="000E2988" w:rsidRPr="000E2988">
        <w:rPr>
          <w:noProof/>
          <w:sz w:val="28"/>
        </w:rPr>
        <w:t xml:space="preserve"> - Materiāls</w:t>
      </w:r>
      <w:r w:rsidR="009E0216">
        <w:rPr>
          <w:noProof/>
          <w:sz w:val="28"/>
        </w:rPr>
        <w:t xml:space="preserve"> Gada izaugsmes pētījumam 2013.</w:t>
      </w:r>
      <w:r w:rsidR="000E2988" w:rsidRPr="000E2988">
        <w:rPr>
          <w:noProof/>
          <w:sz w:val="28"/>
        </w:rPr>
        <w:t xml:space="preserve">g.” </w:t>
      </w:r>
      <w:r w:rsidR="000E2988" w:rsidRPr="009E0216">
        <w:rPr>
          <w:i/>
          <w:noProof/>
          <w:sz w:val="28"/>
        </w:rPr>
        <w:t>(State of the Single Market Integration 2013)</w:t>
      </w:r>
      <w:r w:rsidR="000E2988" w:rsidRPr="000E2988">
        <w:rPr>
          <w:noProof/>
          <w:sz w:val="28"/>
        </w:rPr>
        <w:t xml:space="preserve">, Agrās brīdināšanas mehānisma ziņojumu </w:t>
      </w:r>
      <w:r w:rsidR="000E2988" w:rsidRPr="009E0216">
        <w:rPr>
          <w:i/>
          <w:noProof/>
          <w:sz w:val="28"/>
        </w:rPr>
        <w:t>(Alert Mechanism Report)</w:t>
      </w:r>
      <w:r w:rsidR="000E2988" w:rsidRPr="001E7D11">
        <w:rPr>
          <w:noProof/>
          <w:sz w:val="28"/>
        </w:rPr>
        <w:t>, k</w:t>
      </w:r>
      <w:r w:rsidR="000E2988" w:rsidRPr="000E2988">
        <w:rPr>
          <w:noProof/>
          <w:sz w:val="28"/>
        </w:rPr>
        <w:t xml:space="preserve">ā arī Projektu par dziļāku un patiesu Ekonomisko un monetāro savienību </w:t>
      </w:r>
      <w:r w:rsidR="000E2988" w:rsidRPr="009E0216">
        <w:rPr>
          <w:i/>
          <w:noProof/>
          <w:sz w:val="28"/>
        </w:rPr>
        <w:t>(A Blueprint for a Deep and Genuine Economic and Monetary Union)</w:t>
      </w:r>
      <w:r w:rsidR="000E2988" w:rsidRPr="000E2988">
        <w:rPr>
          <w:noProof/>
          <w:sz w:val="28"/>
        </w:rPr>
        <w:t>, par kuriem turpmāk ir plānotas diskusijas dažādos ES Padomes formātos</w:t>
      </w:r>
      <w:r w:rsidR="009E0216">
        <w:rPr>
          <w:noProof/>
          <w:sz w:val="28"/>
        </w:rPr>
        <w:t xml:space="preserve">. </w:t>
      </w:r>
    </w:p>
    <w:p w:rsidR="00AB472F" w:rsidRPr="002902E4" w:rsidRDefault="00AB472F" w:rsidP="00AB472F">
      <w:pPr>
        <w:autoSpaceDE w:val="0"/>
        <w:autoSpaceDN w:val="0"/>
        <w:adjustRightInd w:val="0"/>
        <w:spacing w:after="120"/>
        <w:jc w:val="both"/>
        <w:rPr>
          <w:rFonts w:eastAsia="Calibri"/>
          <w:b/>
          <w:sz w:val="28"/>
          <w:szCs w:val="28"/>
          <w:u w:val="single"/>
          <w:lang w:eastAsia="en-US"/>
        </w:rPr>
      </w:pPr>
      <w:r w:rsidRPr="002902E4">
        <w:rPr>
          <w:rFonts w:eastAsia="Calibri"/>
          <w:b/>
          <w:sz w:val="28"/>
          <w:szCs w:val="28"/>
          <w:u w:val="single"/>
          <w:lang w:eastAsia="en-US"/>
        </w:rPr>
        <w:t>Latvijas pozīcija:</w:t>
      </w:r>
      <w:r w:rsidRPr="009C3C35">
        <w:rPr>
          <w:rStyle w:val="FootnoteReference"/>
          <w:i/>
          <w:sz w:val="28"/>
          <w:szCs w:val="28"/>
        </w:rPr>
        <w:t xml:space="preserve"> </w:t>
      </w:r>
      <w:r>
        <w:rPr>
          <w:rStyle w:val="FootnoteReference"/>
          <w:i/>
          <w:sz w:val="28"/>
          <w:szCs w:val="28"/>
        </w:rPr>
        <w:footnoteReference w:id="1"/>
      </w:r>
    </w:p>
    <w:p w:rsidR="00AB472F" w:rsidRDefault="00AB472F" w:rsidP="009E0216">
      <w:pPr>
        <w:autoSpaceDE w:val="0"/>
        <w:autoSpaceDN w:val="0"/>
        <w:adjustRightInd w:val="0"/>
        <w:spacing w:after="120"/>
        <w:ind w:firstLine="720"/>
        <w:jc w:val="both"/>
        <w:rPr>
          <w:noProof/>
          <w:sz w:val="28"/>
        </w:rPr>
      </w:pPr>
      <w:r w:rsidRPr="00AB472F">
        <w:rPr>
          <w:b/>
          <w:noProof/>
          <w:sz w:val="28"/>
        </w:rPr>
        <w:t>Latvija uzskata</w:t>
      </w:r>
      <w:r w:rsidRPr="00AB472F">
        <w:rPr>
          <w:noProof/>
          <w:sz w:val="28"/>
        </w:rPr>
        <w:t>, ka 2012.gada Ikgadējā izaugsmes ziņojuma prioritātes joprojām ir aktuālas arī 2013.gada Ikgadējā izaugsmes ziņojuma kontekstā, tāpēc esam gandarīti, ka Eiropas Komisija</w:t>
      </w:r>
      <w:r w:rsidR="00CA30F2">
        <w:rPr>
          <w:noProof/>
          <w:sz w:val="28"/>
        </w:rPr>
        <w:t xml:space="preserve"> (turpmāk</w:t>
      </w:r>
      <w:r w:rsidR="00E34604">
        <w:rPr>
          <w:noProof/>
          <w:sz w:val="28"/>
        </w:rPr>
        <w:t xml:space="preserve"> -</w:t>
      </w:r>
      <w:bookmarkStart w:id="2" w:name="_GoBack"/>
      <w:bookmarkEnd w:id="2"/>
      <w:r w:rsidR="00CA30F2">
        <w:rPr>
          <w:noProof/>
          <w:sz w:val="28"/>
        </w:rPr>
        <w:t xml:space="preserve"> Komisija)</w:t>
      </w:r>
      <w:r w:rsidRPr="00AB472F">
        <w:rPr>
          <w:noProof/>
          <w:sz w:val="28"/>
        </w:rPr>
        <w:t xml:space="preserve"> nav mainījusi iepriekšējā Ikgadējā izaugsmes ziņojumā noteiktās prioritātes. </w:t>
      </w:r>
      <w:r w:rsidRPr="00415CBE">
        <w:rPr>
          <w:b/>
          <w:noProof/>
          <w:sz w:val="28"/>
        </w:rPr>
        <w:t>Latvija uzskata</w:t>
      </w:r>
      <w:r w:rsidRPr="00AB472F">
        <w:rPr>
          <w:noProof/>
          <w:sz w:val="28"/>
        </w:rPr>
        <w:t xml:space="preserve">, ka ES dalībvalstīm un ES kopumā ir jāturpina jau iepriekšējā Eiropas semestra laikā iesāktais darbs fiskālās atbildības stiprināšanā, bezdarba un </w:t>
      </w:r>
      <w:r w:rsidRPr="00AB472F">
        <w:rPr>
          <w:noProof/>
          <w:sz w:val="28"/>
        </w:rPr>
        <w:lastRenderedPageBreak/>
        <w:t>sociālo problēmu risināšanā un konkurētspējas uzlabošanā, attiecīgajās politikas jomās īstenojot nepieciešamās strukturālās reformas.</w:t>
      </w:r>
    </w:p>
    <w:p w:rsidR="00415CBE" w:rsidRPr="00415CBE" w:rsidRDefault="00415CBE" w:rsidP="00415CBE">
      <w:pPr>
        <w:autoSpaceDE w:val="0"/>
        <w:autoSpaceDN w:val="0"/>
        <w:adjustRightInd w:val="0"/>
        <w:spacing w:after="120"/>
        <w:ind w:firstLine="720"/>
        <w:jc w:val="both"/>
        <w:rPr>
          <w:noProof/>
          <w:sz w:val="28"/>
        </w:rPr>
      </w:pPr>
      <w:r w:rsidRPr="00415CBE">
        <w:rPr>
          <w:b/>
          <w:noProof/>
          <w:sz w:val="28"/>
        </w:rPr>
        <w:t>Latvija vēlas</w:t>
      </w:r>
      <w:r w:rsidRPr="00415CBE">
        <w:rPr>
          <w:noProof/>
          <w:sz w:val="28"/>
        </w:rPr>
        <w:t xml:space="preserve"> ES Vienotā tirgus liberalizāciju un pilnvērtīgu četru brīvību nodrošināšanu, likvidējot jebkādus šķēršļus, kas var traucēt sekmīgai ES Vienotā tirgus darbībai un brīvai konkurencei. </w:t>
      </w:r>
      <w:r w:rsidRPr="00415CBE">
        <w:rPr>
          <w:b/>
          <w:noProof/>
          <w:sz w:val="28"/>
        </w:rPr>
        <w:t>Latvija uzskata</w:t>
      </w:r>
      <w:r w:rsidRPr="00415CBE">
        <w:rPr>
          <w:noProof/>
          <w:sz w:val="28"/>
        </w:rPr>
        <w:t>, ka sekmīga ES Vienotā tirgus darbība un brīva konkurence ir efektīvākais instruments ilgtspējīgas konkurētspējas veicināšanai.</w:t>
      </w:r>
    </w:p>
    <w:p w:rsidR="00415CBE" w:rsidRDefault="00415CBE" w:rsidP="00415CBE">
      <w:pPr>
        <w:autoSpaceDE w:val="0"/>
        <w:autoSpaceDN w:val="0"/>
        <w:adjustRightInd w:val="0"/>
        <w:spacing w:after="120"/>
        <w:ind w:firstLine="720"/>
        <w:jc w:val="both"/>
        <w:rPr>
          <w:noProof/>
          <w:sz w:val="28"/>
        </w:rPr>
      </w:pPr>
      <w:r w:rsidRPr="00415CBE">
        <w:rPr>
          <w:b/>
          <w:noProof/>
          <w:sz w:val="28"/>
        </w:rPr>
        <w:t>Latvija pilnībā atbalsta</w:t>
      </w:r>
      <w:r w:rsidRPr="00415CBE">
        <w:rPr>
          <w:noProof/>
          <w:sz w:val="28"/>
        </w:rPr>
        <w:t xml:space="preserve"> </w:t>
      </w:r>
      <w:r w:rsidR="008B10DC">
        <w:rPr>
          <w:noProof/>
          <w:sz w:val="28"/>
        </w:rPr>
        <w:t xml:space="preserve">ES </w:t>
      </w:r>
      <w:r w:rsidRPr="00415CBE">
        <w:rPr>
          <w:noProof/>
          <w:sz w:val="28"/>
        </w:rPr>
        <w:t xml:space="preserve">Vienotā tirgus integrācijas ziņojumā minēto Vienotā tirgus attīstības virzītājspēku turpmāku veicināšanu un šķēršļu likvidāciju. Tieši konkurētspējas uzlabošanas kontekstā </w:t>
      </w:r>
      <w:r w:rsidRPr="00415CBE">
        <w:rPr>
          <w:b/>
          <w:noProof/>
          <w:sz w:val="28"/>
        </w:rPr>
        <w:t>Latvijai ir svarīga</w:t>
      </w:r>
      <w:r w:rsidRPr="00415CBE">
        <w:rPr>
          <w:noProof/>
          <w:sz w:val="28"/>
        </w:rPr>
        <w:t xml:space="preserve"> turpmākā ES Vienotā tirgus stiprināšana, tādēļ Latvija atbalsta Vienotā tirgus integrācijas ziņojumā noteiktās politikas prioritātes.</w:t>
      </w:r>
    </w:p>
    <w:p w:rsidR="009E0216" w:rsidRDefault="009E0216" w:rsidP="009E0216">
      <w:pPr>
        <w:autoSpaceDE w:val="0"/>
        <w:autoSpaceDN w:val="0"/>
        <w:adjustRightInd w:val="0"/>
        <w:spacing w:after="120"/>
        <w:ind w:firstLine="720"/>
        <w:jc w:val="both"/>
        <w:rPr>
          <w:noProof/>
          <w:sz w:val="28"/>
        </w:rPr>
      </w:pPr>
      <w:r>
        <w:rPr>
          <w:noProof/>
          <w:sz w:val="28"/>
        </w:rPr>
        <w:t xml:space="preserve">Ministru diskusiju strukturēšanai sanāksmē prezidentvalsts ir sagatavojusi </w:t>
      </w:r>
      <w:r w:rsidRPr="00AA4E1F">
        <w:rPr>
          <w:noProof/>
          <w:sz w:val="28"/>
          <w:u w:val="single"/>
        </w:rPr>
        <w:t>nepapīru</w:t>
      </w:r>
      <w:r>
        <w:rPr>
          <w:noProof/>
          <w:sz w:val="28"/>
        </w:rPr>
        <w:t>, kurā iekļauti trīs ar Ikgadējo izaugsmes ziņojumu saistīti jautājumi:</w:t>
      </w:r>
    </w:p>
    <w:p w:rsidR="00C1024F" w:rsidRPr="00C04CB6" w:rsidRDefault="00C04CB6" w:rsidP="00C04CB6">
      <w:pPr>
        <w:pStyle w:val="ListParagraph"/>
        <w:numPr>
          <w:ilvl w:val="0"/>
          <w:numId w:val="23"/>
        </w:numPr>
        <w:autoSpaceDE w:val="0"/>
        <w:autoSpaceDN w:val="0"/>
        <w:adjustRightInd w:val="0"/>
        <w:ind w:left="357" w:hanging="357"/>
        <w:jc w:val="both"/>
        <w:rPr>
          <w:b/>
          <w:i/>
          <w:noProof/>
          <w:sz w:val="28"/>
        </w:rPr>
      </w:pPr>
      <w:r>
        <w:rPr>
          <w:b/>
          <w:i/>
          <w:noProof/>
          <w:sz w:val="28"/>
        </w:rPr>
        <w:t xml:space="preserve">Kā mēs varam nodrošināt, ka ES rūpniecības politika palīdz </w:t>
      </w:r>
      <w:r w:rsidR="003F0D2C">
        <w:rPr>
          <w:b/>
          <w:i/>
          <w:noProof/>
          <w:sz w:val="28"/>
        </w:rPr>
        <w:t>ražojošiem</w:t>
      </w:r>
      <w:r>
        <w:rPr>
          <w:b/>
          <w:i/>
          <w:noProof/>
          <w:sz w:val="28"/>
        </w:rPr>
        <w:t xml:space="preserve"> uzņēmumiem, tostarp </w:t>
      </w:r>
      <w:r w:rsidR="00CA30F2">
        <w:rPr>
          <w:b/>
          <w:i/>
          <w:noProof/>
          <w:sz w:val="28"/>
        </w:rPr>
        <w:t>maziem un vidējiem uzņēmumiem</w:t>
      </w:r>
      <w:r>
        <w:rPr>
          <w:b/>
          <w:i/>
          <w:noProof/>
          <w:sz w:val="28"/>
        </w:rPr>
        <w:t>, kļūt par daļu no globālajām vērtību ķēdēm un izmantot ātri augošo jauno tirgu un tehnoloģiju potenciālu?</w:t>
      </w:r>
    </w:p>
    <w:p w:rsidR="009E0216" w:rsidRPr="002902E4" w:rsidRDefault="009E0216" w:rsidP="004718E2">
      <w:pPr>
        <w:autoSpaceDE w:val="0"/>
        <w:autoSpaceDN w:val="0"/>
        <w:adjustRightInd w:val="0"/>
        <w:spacing w:before="120" w:after="120"/>
        <w:jc w:val="both"/>
        <w:rPr>
          <w:rFonts w:eastAsia="Calibri"/>
          <w:b/>
          <w:sz w:val="28"/>
          <w:szCs w:val="28"/>
          <w:u w:val="single"/>
          <w:lang w:eastAsia="en-US"/>
        </w:rPr>
      </w:pPr>
      <w:r w:rsidRPr="002902E4">
        <w:rPr>
          <w:rFonts w:eastAsia="Calibri"/>
          <w:b/>
          <w:sz w:val="28"/>
          <w:szCs w:val="28"/>
          <w:u w:val="single"/>
          <w:lang w:eastAsia="en-US"/>
        </w:rPr>
        <w:t>Latvijas pozīcija:</w:t>
      </w:r>
      <w:r w:rsidRPr="009C3C35">
        <w:rPr>
          <w:rStyle w:val="FootnoteReference"/>
          <w:i/>
          <w:sz w:val="28"/>
          <w:szCs w:val="28"/>
        </w:rPr>
        <w:t xml:space="preserve"> </w:t>
      </w:r>
      <w:r>
        <w:rPr>
          <w:rStyle w:val="FootnoteReference"/>
          <w:i/>
          <w:sz w:val="28"/>
          <w:szCs w:val="28"/>
        </w:rPr>
        <w:footnoteReference w:id="2"/>
      </w:r>
    </w:p>
    <w:p w:rsidR="00AF1DE3" w:rsidRPr="00AF1DE3" w:rsidRDefault="004C559D" w:rsidP="00AF1DE3">
      <w:pPr>
        <w:autoSpaceDE w:val="0"/>
        <w:autoSpaceDN w:val="0"/>
        <w:adjustRightInd w:val="0"/>
        <w:spacing w:after="120"/>
        <w:jc w:val="both"/>
        <w:rPr>
          <w:noProof/>
          <w:sz w:val="28"/>
        </w:rPr>
      </w:pPr>
      <w:r>
        <w:rPr>
          <w:noProof/>
          <w:sz w:val="28"/>
        </w:rPr>
        <w:tab/>
      </w:r>
      <w:r w:rsidR="00AF1DE3" w:rsidRPr="00DC0DC2">
        <w:rPr>
          <w:b/>
          <w:noProof/>
          <w:sz w:val="28"/>
        </w:rPr>
        <w:t>Latvija uzskata</w:t>
      </w:r>
      <w:r w:rsidR="00AF1DE3" w:rsidRPr="00AF1DE3">
        <w:rPr>
          <w:noProof/>
          <w:sz w:val="28"/>
        </w:rPr>
        <w:t xml:space="preserve">, ka viens no veidiem, kā ES rūpniecības politikas kontekstā uzlabot rūpniecības sektora uzņēmumu, jo īpaši </w:t>
      </w:r>
      <w:r w:rsidR="00CA30F2">
        <w:rPr>
          <w:noProof/>
          <w:sz w:val="28"/>
        </w:rPr>
        <w:t xml:space="preserve">mazo un vidējo uzņēmumu (turpmāk – </w:t>
      </w:r>
      <w:r w:rsidR="00AF1DE3" w:rsidRPr="00AF1DE3">
        <w:rPr>
          <w:noProof/>
          <w:sz w:val="28"/>
        </w:rPr>
        <w:t>MVU</w:t>
      </w:r>
      <w:r w:rsidR="00CA30F2">
        <w:rPr>
          <w:noProof/>
          <w:sz w:val="28"/>
        </w:rPr>
        <w:t>)</w:t>
      </w:r>
      <w:r w:rsidR="00AF1DE3" w:rsidRPr="00AF1DE3">
        <w:rPr>
          <w:noProof/>
          <w:sz w:val="28"/>
        </w:rPr>
        <w:t xml:space="preserve"> konkurētspēju un potenciālu iesaistīties globālajās piegāžu ķēdēs, kā arī uzlabot MVU potenciālu iekļūt jaunos tirgos un attīstīt tehnoloģijas, ir ES un dalībvalstu līmenī atbalstīt tās iniciatīvas, kas vērstas uz rūpniecības uzņēmumu sadarbības attīstīšanu, piemēram, atbalsto</w:t>
      </w:r>
      <w:r w:rsidR="003A5335">
        <w:rPr>
          <w:noProof/>
          <w:sz w:val="28"/>
        </w:rPr>
        <w:t>t</w:t>
      </w:r>
      <w:r w:rsidR="00AF1DE3" w:rsidRPr="00AF1DE3">
        <w:rPr>
          <w:noProof/>
          <w:sz w:val="28"/>
        </w:rPr>
        <w:t xml:space="preserve"> reģionālo klasteru un sadarbības tīklu veidošanos.</w:t>
      </w:r>
    </w:p>
    <w:p w:rsidR="00AF1DE3" w:rsidRDefault="00AF1DE3" w:rsidP="00AF1DE3">
      <w:pPr>
        <w:autoSpaceDE w:val="0"/>
        <w:autoSpaceDN w:val="0"/>
        <w:adjustRightInd w:val="0"/>
        <w:spacing w:after="120"/>
        <w:jc w:val="both"/>
        <w:rPr>
          <w:noProof/>
          <w:sz w:val="28"/>
        </w:rPr>
      </w:pPr>
      <w:r>
        <w:rPr>
          <w:noProof/>
          <w:sz w:val="28"/>
        </w:rPr>
        <w:tab/>
      </w:r>
      <w:r w:rsidR="00DC0DC2" w:rsidRPr="00DC0DC2">
        <w:rPr>
          <w:b/>
          <w:noProof/>
          <w:sz w:val="28"/>
        </w:rPr>
        <w:t>Latvija norāda</w:t>
      </w:r>
      <w:r w:rsidR="00DC0DC2">
        <w:rPr>
          <w:noProof/>
          <w:sz w:val="28"/>
        </w:rPr>
        <w:t xml:space="preserve">, ka </w:t>
      </w:r>
      <w:r w:rsidRPr="00AF1DE3">
        <w:rPr>
          <w:noProof/>
          <w:sz w:val="28"/>
        </w:rPr>
        <w:t xml:space="preserve">ES rūpniecībai, īpaši MVU, joprojām izšķirošs jautājums ir piekļuve finansējumam. Tas būtiski gan pētniecisko izstrādņu komercializēšanai un jaunu tehnoloģiju ieviešanai, gan ES rūpniecības bāzes modernizācijai un jaunu darba vietu radīšanai. Šajā aspektā nozīmīgas gan dalībvalstu līmenī īstenotās rīcības, gan nākotnes ES mēroga programmu, kā </w:t>
      </w:r>
      <w:r w:rsidR="00CA30F2" w:rsidRPr="00CA30F2">
        <w:rPr>
          <w:noProof/>
          <w:sz w:val="28"/>
        </w:rPr>
        <w:t>pētniecīb</w:t>
      </w:r>
      <w:r w:rsidR="00CA30F2">
        <w:rPr>
          <w:noProof/>
          <w:sz w:val="28"/>
        </w:rPr>
        <w:t>as un inovācijas ietvarprogramma</w:t>
      </w:r>
      <w:r w:rsidR="00CA30F2" w:rsidRPr="00CA30F2">
        <w:rPr>
          <w:noProof/>
          <w:sz w:val="28"/>
        </w:rPr>
        <w:t xml:space="preserve"> „Horizonts 2020”  un Uzņēmumu konkurētspējas un m</w:t>
      </w:r>
      <w:r w:rsidR="00CA30F2">
        <w:rPr>
          <w:noProof/>
          <w:sz w:val="28"/>
        </w:rPr>
        <w:t>azo un vidējo uzņēmumu programma</w:t>
      </w:r>
      <w:r w:rsidR="00CA30F2" w:rsidRPr="00CA30F2">
        <w:rPr>
          <w:noProof/>
          <w:sz w:val="28"/>
        </w:rPr>
        <w:t xml:space="preserve"> (COSME)</w:t>
      </w:r>
      <w:r w:rsidRPr="00AF1DE3">
        <w:rPr>
          <w:noProof/>
          <w:sz w:val="28"/>
        </w:rPr>
        <w:t>, piedāvātās iespējas ES rūpniecības uzņēmumiem, tajā skaitā Eiropas Investīciju bankas vai Eiropas Investīciju fonda atbalsta instrumenti un pasākumi (riska kapitāla fondi, riska kapitāla un garantiju instrumenti).</w:t>
      </w:r>
    </w:p>
    <w:p w:rsidR="004C559D" w:rsidRDefault="00AF1DE3" w:rsidP="009E0216">
      <w:pPr>
        <w:autoSpaceDE w:val="0"/>
        <w:autoSpaceDN w:val="0"/>
        <w:adjustRightInd w:val="0"/>
        <w:spacing w:after="120"/>
        <w:jc w:val="both"/>
        <w:rPr>
          <w:noProof/>
          <w:sz w:val="28"/>
        </w:rPr>
      </w:pPr>
      <w:r>
        <w:rPr>
          <w:noProof/>
          <w:sz w:val="28"/>
        </w:rPr>
        <w:lastRenderedPageBreak/>
        <w:tab/>
      </w:r>
      <w:r w:rsidRPr="00AF1DE3">
        <w:rPr>
          <w:noProof/>
          <w:sz w:val="28"/>
        </w:rPr>
        <w:t>Kopējās ES rūpniecības attīstībai un konkurētspējai svarīga globālo tirgu atvērtība</w:t>
      </w:r>
      <w:r>
        <w:rPr>
          <w:noProof/>
          <w:sz w:val="28"/>
        </w:rPr>
        <w:t xml:space="preserve">, tādēļ </w:t>
      </w:r>
      <w:r w:rsidRPr="00AF1DE3">
        <w:rPr>
          <w:b/>
          <w:noProof/>
          <w:sz w:val="28"/>
        </w:rPr>
        <w:t>Latvija uzskata</w:t>
      </w:r>
      <w:r>
        <w:rPr>
          <w:noProof/>
          <w:sz w:val="28"/>
        </w:rPr>
        <w:t xml:space="preserve">, ka </w:t>
      </w:r>
      <w:r w:rsidR="004C559D">
        <w:rPr>
          <w:noProof/>
          <w:sz w:val="28"/>
        </w:rPr>
        <w:t>ES jāīsteno gudra un mērķtiecīga tirdzniecības politika, kas nodrošinātu taisnīgus starptautiskās tirdzniecības nosacījumus ES precēm un pakapojumiem ek</w:t>
      </w:r>
      <w:r w:rsidR="00B05021">
        <w:rPr>
          <w:noProof/>
          <w:sz w:val="28"/>
        </w:rPr>
        <w:t>s</w:t>
      </w:r>
      <w:r w:rsidR="004C559D">
        <w:rPr>
          <w:noProof/>
          <w:sz w:val="28"/>
        </w:rPr>
        <w:t>porta tirgos, veicinātu piemērotus investīciju apstākļus, kā arī stiprinātu intelektuālā īpašuma tiesības un atvērtu trešo valstu publiskā iepirkuma tirgus.</w:t>
      </w:r>
      <w:r w:rsidR="00B05021">
        <w:rPr>
          <w:noProof/>
          <w:sz w:val="28"/>
        </w:rPr>
        <w:t xml:space="preserve"> Uzskatam, ka jāturpina darbs pie visu veidu tirdzniecības barjeru mazināšanas ārējos tirgus (piemēram, paaugstināti ievedmuitas tarifi, produktu sertifikācija un atbilstības procedūras, ierobežojumi izejvielu iegādej).</w:t>
      </w:r>
    </w:p>
    <w:p w:rsidR="00C04CB6" w:rsidRDefault="00C04CB6" w:rsidP="00C94ACC">
      <w:pPr>
        <w:pStyle w:val="ListParagraph"/>
        <w:numPr>
          <w:ilvl w:val="0"/>
          <w:numId w:val="23"/>
        </w:numPr>
        <w:autoSpaceDE w:val="0"/>
        <w:autoSpaceDN w:val="0"/>
        <w:adjustRightInd w:val="0"/>
        <w:ind w:left="357" w:hanging="357"/>
        <w:jc w:val="both"/>
        <w:rPr>
          <w:b/>
          <w:i/>
          <w:noProof/>
          <w:sz w:val="28"/>
        </w:rPr>
      </w:pPr>
      <w:r>
        <w:rPr>
          <w:b/>
          <w:i/>
          <w:noProof/>
          <w:sz w:val="28"/>
        </w:rPr>
        <w:t>Kādas būtu vissvarīgākās darbības, lai pārvarētu atlikušās barjeras pakalpojumu sektorā un, it īpaši, uzlabotu Pakalpojumu direktīvas ieviešanu?</w:t>
      </w:r>
    </w:p>
    <w:p w:rsidR="009E0216" w:rsidRPr="002902E4" w:rsidRDefault="009E0216" w:rsidP="004718E2">
      <w:pPr>
        <w:spacing w:before="120" w:after="120"/>
        <w:jc w:val="both"/>
        <w:rPr>
          <w:rFonts w:eastAsia="Calibri"/>
          <w:b/>
          <w:sz w:val="28"/>
          <w:szCs w:val="28"/>
          <w:u w:val="single"/>
          <w:lang w:eastAsia="en-US"/>
        </w:rPr>
      </w:pPr>
      <w:r w:rsidRPr="002902E4">
        <w:rPr>
          <w:rFonts w:eastAsia="Calibri"/>
          <w:b/>
          <w:sz w:val="28"/>
          <w:szCs w:val="28"/>
          <w:u w:val="single"/>
          <w:lang w:eastAsia="en-US"/>
        </w:rPr>
        <w:t>Latvijas pozīcija:</w:t>
      </w:r>
      <w:r w:rsidRPr="009C3C35">
        <w:rPr>
          <w:rStyle w:val="FootnoteReference"/>
          <w:i/>
          <w:sz w:val="28"/>
          <w:szCs w:val="28"/>
        </w:rPr>
        <w:t xml:space="preserve"> </w:t>
      </w:r>
      <w:r>
        <w:rPr>
          <w:rStyle w:val="FootnoteReference"/>
          <w:i/>
          <w:sz w:val="28"/>
          <w:szCs w:val="28"/>
        </w:rPr>
        <w:footnoteReference w:id="3"/>
      </w:r>
    </w:p>
    <w:p w:rsidR="009E0216" w:rsidRDefault="00861264" w:rsidP="009E0216">
      <w:pPr>
        <w:autoSpaceDE w:val="0"/>
        <w:autoSpaceDN w:val="0"/>
        <w:adjustRightInd w:val="0"/>
        <w:spacing w:after="120"/>
        <w:jc w:val="both"/>
        <w:rPr>
          <w:noProof/>
          <w:sz w:val="28"/>
        </w:rPr>
      </w:pPr>
      <w:r>
        <w:rPr>
          <w:noProof/>
          <w:sz w:val="28"/>
        </w:rPr>
        <w:tab/>
      </w:r>
      <w:r w:rsidR="004C559D" w:rsidRPr="00861264">
        <w:rPr>
          <w:b/>
          <w:noProof/>
          <w:sz w:val="28"/>
        </w:rPr>
        <w:t>Latvija uzskata</w:t>
      </w:r>
      <w:r w:rsidR="004C559D" w:rsidRPr="004C559D">
        <w:rPr>
          <w:noProof/>
          <w:sz w:val="28"/>
        </w:rPr>
        <w:t>, ka efektīvam un rezultatīvam darbam Pakalpojumu direktīvas</w:t>
      </w:r>
      <w:r w:rsidR="008B10DC">
        <w:rPr>
          <w:noProof/>
          <w:sz w:val="28"/>
        </w:rPr>
        <w:t xml:space="preserve"> ieviešanai</w:t>
      </w:r>
      <w:r w:rsidR="004C559D" w:rsidRPr="004C559D">
        <w:rPr>
          <w:noProof/>
          <w:sz w:val="28"/>
        </w:rPr>
        <w:t xml:space="preserve"> nepieciešams nodrošināt visu dalībvalstu un Komisijas atbilstošu, fokusētu, apņēmīgu un koordinētu rīcību visos līmeņos. Latvija atzinīgi vērtē Komisijas darbu pie Pakalpojumu direktīvas</w:t>
      </w:r>
      <w:r w:rsidR="008B10DC">
        <w:rPr>
          <w:noProof/>
          <w:sz w:val="28"/>
        </w:rPr>
        <w:t xml:space="preserve"> ieviešanas un regulāri organizētās sanāksmes</w:t>
      </w:r>
      <w:r w:rsidR="004C559D" w:rsidRPr="004C559D">
        <w:rPr>
          <w:noProof/>
          <w:sz w:val="28"/>
        </w:rPr>
        <w:t>, kurās dalībvalstis var dalīties ar labās prakses piemēriem un problēmām</w:t>
      </w:r>
      <w:r w:rsidR="008B10DC">
        <w:rPr>
          <w:noProof/>
          <w:sz w:val="28"/>
        </w:rPr>
        <w:t xml:space="preserve"> prasību ieviešanā</w:t>
      </w:r>
      <w:r w:rsidR="004C559D" w:rsidRPr="004C559D">
        <w:rPr>
          <w:noProof/>
          <w:sz w:val="28"/>
        </w:rPr>
        <w:t>. Turklāt būtu nepieciešams izskatīt iespēju</w:t>
      </w:r>
      <w:r w:rsidR="008B10DC">
        <w:rPr>
          <w:noProof/>
          <w:sz w:val="28"/>
        </w:rPr>
        <w:t xml:space="preserve"> par</w:t>
      </w:r>
      <w:r w:rsidR="004C559D" w:rsidRPr="004C559D">
        <w:rPr>
          <w:noProof/>
          <w:sz w:val="28"/>
        </w:rPr>
        <w:t xml:space="preserve"> Pakalpojumu direktīvā ietverto pasākumu piemērošanu citās jomās. Vienlaikus būtu jāveic detalizēta Pakalpojumu direktīvas mijiedarbības izvērtēšana ar patērētāju tiesību aizsardzības, e-komercijas, profesionālās kvalifikācijas, darbinieku nosūtīšanas u.tml. regulējumu.</w:t>
      </w:r>
    </w:p>
    <w:p w:rsidR="00C04CB6" w:rsidRDefault="00C04CB6" w:rsidP="00C94ACC">
      <w:pPr>
        <w:pStyle w:val="ListParagraph"/>
        <w:numPr>
          <w:ilvl w:val="0"/>
          <w:numId w:val="23"/>
        </w:numPr>
        <w:autoSpaceDE w:val="0"/>
        <w:autoSpaceDN w:val="0"/>
        <w:adjustRightInd w:val="0"/>
        <w:ind w:left="357" w:hanging="357"/>
        <w:jc w:val="both"/>
        <w:rPr>
          <w:b/>
          <w:i/>
          <w:noProof/>
          <w:sz w:val="28"/>
        </w:rPr>
      </w:pPr>
      <w:r>
        <w:rPr>
          <w:b/>
          <w:i/>
          <w:noProof/>
          <w:sz w:val="28"/>
        </w:rPr>
        <w:t xml:space="preserve">Kādas būtu visefektīvākās darbības ES līmenī, lai uzlabotu </w:t>
      </w:r>
      <w:r w:rsidR="008B10DC">
        <w:rPr>
          <w:b/>
          <w:i/>
          <w:noProof/>
          <w:sz w:val="28"/>
        </w:rPr>
        <w:t>‘V</w:t>
      </w:r>
      <w:r>
        <w:rPr>
          <w:b/>
          <w:i/>
          <w:noProof/>
          <w:sz w:val="28"/>
        </w:rPr>
        <w:t>ienotā tirgus pārvaldību?</w:t>
      </w:r>
    </w:p>
    <w:p w:rsidR="006031F7" w:rsidRPr="002902E4" w:rsidRDefault="006031F7" w:rsidP="004718E2">
      <w:pPr>
        <w:spacing w:before="120" w:after="120"/>
        <w:jc w:val="both"/>
        <w:rPr>
          <w:rFonts w:eastAsia="Calibri"/>
          <w:b/>
          <w:sz w:val="28"/>
          <w:szCs w:val="28"/>
          <w:u w:val="single"/>
          <w:lang w:eastAsia="en-US"/>
        </w:rPr>
      </w:pPr>
      <w:r w:rsidRPr="002902E4">
        <w:rPr>
          <w:rFonts w:eastAsia="Calibri"/>
          <w:b/>
          <w:sz w:val="28"/>
          <w:szCs w:val="28"/>
          <w:u w:val="single"/>
          <w:lang w:eastAsia="en-US"/>
        </w:rPr>
        <w:t>Latvijas pozīcija:</w:t>
      </w:r>
      <w:r w:rsidR="009C3C35" w:rsidRPr="009C3C35">
        <w:rPr>
          <w:rStyle w:val="FootnoteReference"/>
          <w:i/>
          <w:sz w:val="28"/>
          <w:szCs w:val="28"/>
        </w:rPr>
        <w:t xml:space="preserve"> </w:t>
      </w:r>
      <w:r w:rsidR="009C3C35">
        <w:rPr>
          <w:rStyle w:val="FootnoteReference"/>
          <w:i/>
          <w:sz w:val="28"/>
          <w:szCs w:val="28"/>
        </w:rPr>
        <w:footnoteReference w:id="4"/>
      </w:r>
    </w:p>
    <w:p w:rsidR="002B7AA4" w:rsidRDefault="00861264" w:rsidP="00C94ACC">
      <w:pPr>
        <w:autoSpaceDE w:val="0"/>
        <w:autoSpaceDN w:val="0"/>
        <w:adjustRightInd w:val="0"/>
        <w:spacing w:after="120"/>
        <w:jc w:val="both"/>
        <w:rPr>
          <w:noProof/>
          <w:sz w:val="28"/>
        </w:rPr>
      </w:pPr>
      <w:r>
        <w:rPr>
          <w:noProof/>
          <w:sz w:val="28"/>
        </w:rPr>
        <w:tab/>
      </w:r>
      <w:r w:rsidRPr="00861264">
        <w:rPr>
          <w:b/>
          <w:noProof/>
          <w:sz w:val="28"/>
        </w:rPr>
        <w:t>Latvija u</w:t>
      </w:r>
      <w:r>
        <w:rPr>
          <w:b/>
          <w:noProof/>
          <w:sz w:val="28"/>
        </w:rPr>
        <w:t>zskata</w:t>
      </w:r>
      <w:r w:rsidR="004C559D" w:rsidRPr="004C559D">
        <w:rPr>
          <w:noProof/>
          <w:sz w:val="28"/>
        </w:rPr>
        <w:t xml:space="preserve">, ka būtu biežāk nepieciešams izstrādāt horizontālas vadlīnijas, kā 2012.gada jūnija </w:t>
      </w:r>
      <w:r w:rsidR="008B10DC">
        <w:rPr>
          <w:noProof/>
          <w:sz w:val="28"/>
        </w:rPr>
        <w:t xml:space="preserve">Komisijas </w:t>
      </w:r>
      <w:r w:rsidR="004C559D" w:rsidRPr="004C559D">
        <w:rPr>
          <w:noProof/>
          <w:sz w:val="28"/>
        </w:rPr>
        <w:t xml:space="preserve">paziņojumu par Vienotā tirgus labāku pārvaldību, kas vienlaikus noteiktu konkrētus īstenošanas pasākumus ar stingriem ieviešanas termiņiem. Šādi īstenošanas pasākumi būtu, piemēram, e-pārvaldes uzlabošanas pasākumi, kas nodrošinātu biznesa dibināšanai draudzīgāku vidi, paaugstinātu administrācijas efektivitāti, gan arī attiecīgi uzlabotu ES tiesību aktu transponēšanas un ieviešanas kvalitāti, kā arī plašas konsultācijas, diskusijas un forumi ar visām ieinteresētajām pusēm pirms ES tiesību aktu izstrādes, lai nodrošinātu kvalitatīvu ES tiesību aktu izstrādi jau </w:t>
      </w:r>
      <w:r w:rsidR="004C559D" w:rsidRPr="004C559D">
        <w:rPr>
          <w:noProof/>
          <w:sz w:val="28"/>
        </w:rPr>
        <w:lastRenderedPageBreak/>
        <w:t>sākuma posmā. Papildus, Komisijai jāsniedz lielāku palīdzību direktīvu īstenošanā</w:t>
      </w:r>
      <w:r w:rsidR="008B10DC">
        <w:rPr>
          <w:noProof/>
          <w:sz w:val="28"/>
        </w:rPr>
        <w:t>,</w:t>
      </w:r>
      <w:r w:rsidR="004C559D" w:rsidRPr="004C559D">
        <w:rPr>
          <w:noProof/>
          <w:sz w:val="28"/>
        </w:rPr>
        <w:t xml:space="preserve"> ne</w:t>
      </w:r>
      <w:r w:rsidR="008B10DC">
        <w:rPr>
          <w:noProof/>
          <w:sz w:val="28"/>
        </w:rPr>
        <w:t>vis</w:t>
      </w:r>
      <w:r w:rsidR="004C559D" w:rsidRPr="004C559D">
        <w:rPr>
          <w:noProof/>
          <w:sz w:val="28"/>
        </w:rPr>
        <w:t xml:space="preserve"> tikai jāuzņemas sargsuņa loma, kā arī nenogurstoši jāstrādā p</w:t>
      </w:r>
      <w:r w:rsidR="008B10DC">
        <w:rPr>
          <w:noProof/>
          <w:sz w:val="28"/>
        </w:rPr>
        <w:t>ie neformālu problēmu risināšanas</w:t>
      </w:r>
      <w:r w:rsidR="004C559D" w:rsidRPr="004C559D">
        <w:rPr>
          <w:noProof/>
          <w:sz w:val="28"/>
        </w:rPr>
        <w:t xml:space="preserve"> instrumentu un administratīvās sadarbības tiešsaistes rīku (SOLVIT, IMI u.tml.)</w:t>
      </w:r>
      <w:r w:rsidR="008B10DC">
        <w:rPr>
          <w:noProof/>
          <w:sz w:val="28"/>
        </w:rPr>
        <w:t xml:space="preserve"> darbības uzlabošanu</w:t>
      </w:r>
      <w:r w:rsidR="004C559D" w:rsidRPr="004C559D">
        <w:rPr>
          <w:noProof/>
          <w:sz w:val="28"/>
        </w:rPr>
        <w:t>, kā arī ar ES Vienoto tir</w:t>
      </w:r>
      <w:r w:rsidR="008B10DC">
        <w:rPr>
          <w:noProof/>
          <w:sz w:val="28"/>
        </w:rPr>
        <w:t>gu saistītu jautājumu risināšanu</w:t>
      </w:r>
      <w:r w:rsidR="004C559D" w:rsidRPr="004C559D">
        <w:rPr>
          <w:noProof/>
          <w:sz w:val="28"/>
        </w:rPr>
        <w:t>, piemēram, savstarpējās</w:t>
      </w:r>
      <w:r w:rsidR="008B10DC">
        <w:rPr>
          <w:noProof/>
          <w:sz w:val="28"/>
        </w:rPr>
        <w:t xml:space="preserve"> atzīšanas principa efektīvu</w:t>
      </w:r>
      <w:r w:rsidR="004C559D" w:rsidRPr="004C559D">
        <w:rPr>
          <w:noProof/>
          <w:sz w:val="28"/>
        </w:rPr>
        <w:t xml:space="preserve"> piemēroš</w:t>
      </w:r>
      <w:r w:rsidR="008B10DC">
        <w:rPr>
          <w:noProof/>
          <w:sz w:val="28"/>
        </w:rPr>
        <w:t>anu</w:t>
      </w:r>
      <w:r w:rsidR="004C559D" w:rsidRPr="004C559D">
        <w:rPr>
          <w:noProof/>
          <w:sz w:val="28"/>
        </w:rPr>
        <w:t xml:space="preserve"> praksē.</w:t>
      </w:r>
    </w:p>
    <w:p w:rsidR="00943764" w:rsidRPr="002C657D" w:rsidRDefault="00943764" w:rsidP="00C94ACC">
      <w:pPr>
        <w:autoSpaceDE w:val="0"/>
        <w:autoSpaceDN w:val="0"/>
        <w:adjustRightInd w:val="0"/>
        <w:spacing w:after="120"/>
        <w:jc w:val="both"/>
        <w:rPr>
          <w:noProof/>
          <w:sz w:val="28"/>
        </w:rPr>
      </w:pPr>
    </w:p>
    <w:p w:rsidR="00897AEF" w:rsidRPr="00DE07DD" w:rsidRDefault="00B03397" w:rsidP="006031F7">
      <w:pPr>
        <w:pBdr>
          <w:bottom w:val="single" w:sz="4" w:space="1" w:color="auto"/>
        </w:pBdr>
        <w:autoSpaceDE w:val="0"/>
        <w:autoSpaceDN w:val="0"/>
        <w:adjustRightInd w:val="0"/>
        <w:jc w:val="both"/>
        <w:rPr>
          <w:i/>
          <w:sz w:val="28"/>
          <w:szCs w:val="28"/>
          <w:u w:val="single"/>
        </w:rPr>
      </w:pPr>
      <w:r w:rsidRPr="00DE07DD">
        <w:rPr>
          <w:b/>
          <w:sz w:val="28"/>
          <w:szCs w:val="28"/>
        </w:rPr>
        <w:t>1.</w:t>
      </w:r>
      <w:r w:rsidR="00897AEF" w:rsidRPr="00DE07DD">
        <w:rPr>
          <w:b/>
          <w:sz w:val="28"/>
          <w:szCs w:val="28"/>
        </w:rPr>
        <w:t xml:space="preserve">2. </w:t>
      </w:r>
      <w:r w:rsidR="00DE07DD" w:rsidRPr="00DE07DD">
        <w:rPr>
          <w:b/>
          <w:sz w:val="28"/>
          <w:szCs w:val="28"/>
        </w:rPr>
        <w:t>Komisijas paziņojums "Rīcības plāns uzņēmējdarbības jomā 2020. gadam – Uzņēmējdarbības gara atdzīvināšana Eiropā"</w:t>
      </w:r>
      <w:r w:rsidR="00920D5B" w:rsidRPr="00DE07DD">
        <w:rPr>
          <w:b/>
          <w:sz w:val="28"/>
          <w:szCs w:val="28"/>
        </w:rPr>
        <w:t xml:space="preserve"> </w:t>
      </w:r>
      <w:r w:rsidR="00920D5B" w:rsidRPr="00DE07DD">
        <w:rPr>
          <w:i/>
          <w:sz w:val="28"/>
          <w:szCs w:val="28"/>
        </w:rPr>
        <w:t>(</w:t>
      </w:r>
      <w:r w:rsidR="00DE07DD" w:rsidRPr="00DE07DD">
        <w:rPr>
          <w:i/>
          <w:sz w:val="28"/>
          <w:szCs w:val="28"/>
        </w:rPr>
        <w:t>E</w:t>
      </w:r>
      <w:r w:rsidR="00920D5B" w:rsidRPr="00DE07DD">
        <w:rPr>
          <w:i/>
          <w:sz w:val="28"/>
          <w:szCs w:val="28"/>
        </w:rPr>
        <w:t>M kompetence)</w:t>
      </w:r>
    </w:p>
    <w:p w:rsidR="00BC652F" w:rsidRPr="00DE07DD" w:rsidRDefault="00920D5B" w:rsidP="00014E4E">
      <w:pPr>
        <w:jc w:val="both"/>
        <w:rPr>
          <w:i/>
          <w:sz w:val="28"/>
          <w:szCs w:val="28"/>
        </w:rPr>
      </w:pPr>
      <w:r w:rsidRPr="00DE07DD">
        <w:rPr>
          <w:i/>
          <w:sz w:val="28"/>
          <w:szCs w:val="28"/>
        </w:rPr>
        <w:t xml:space="preserve">- </w:t>
      </w:r>
      <w:r w:rsidR="00DE07DD" w:rsidRPr="00DE07DD">
        <w:rPr>
          <w:i/>
          <w:sz w:val="28"/>
          <w:szCs w:val="28"/>
        </w:rPr>
        <w:t>politikas debates</w:t>
      </w:r>
    </w:p>
    <w:p w:rsidR="001D356E" w:rsidRDefault="001D356E" w:rsidP="001D356E">
      <w:pPr>
        <w:jc w:val="both"/>
        <w:rPr>
          <w:bCs/>
          <w:sz w:val="28"/>
          <w:highlight w:val="yellow"/>
        </w:rPr>
      </w:pPr>
    </w:p>
    <w:p w:rsidR="00A00574" w:rsidRPr="00A00574" w:rsidRDefault="00A00574" w:rsidP="00AA4E1F">
      <w:pPr>
        <w:ind w:firstLine="720"/>
        <w:jc w:val="both"/>
        <w:rPr>
          <w:sz w:val="28"/>
          <w:szCs w:val="28"/>
        </w:rPr>
      </w:pPr>
      <w:r w:rsidRPr="00A00574">
        <w:rPr>
          <w:bCs/>
          <w:sz w:val="28"/>
        </w:rPr>
        <w:t xml:space="preserve">2013.gada 9.janvārī Eiropas Komisija publicēja ziņojumu „Rīcības plāns uzņēmējdarbības jomā 2020.gadam. Uzņēmējdarbības gara atdzīvināšana Eiropā” (turpmāk – Ziņojums), kurā sniegta informācija par plānotajām uzņēmējdarbības aktivitātēm Eiropā, norādot, ka, lai Eiropā atsāktos izaugsme un nodarbinātības līmenis būtu augstāks, nepieciešams sniegt atbalstu mazajiem un vidējiem uzņēmumiem (turpmāk – MVU) un īpaši jaunizveidotiem uzņēmumiem. </w:t>
      </w:r>
      <w:r w:rsidR="00AA4E1F">
        <w:rPr>
          <w:bCs/>
          <w:sz w:val="28"/>
        </w:rPr>
        <w:t>Par šo jautājumu ir izstrādāta sākotnējā pozīcija, kas atrodas saskaņošanas procesā, kā arī sagatavots atsevišķs informatīvais ziņojums.</w:t>
      </w:r>
    </w:p>
    <w:p w:rsidR="00943764" w:rsidRDefault="00943764" w:rsidP="00BD6689">
      <w:pPr>
        <w:ind w:firstLine="720"/>
        <w:jc w:val="both"/>
        <w:rPr>
          <w:sz w:val="28"/>
          <w:highlight w:val="yellow"/>
        </w:rPr>
      </w:pPr>
    </w:p>
    <w:p w:rsidR="008227B5" w:rsidRPr="000D0931" w:rsidRDefault="008227B5" w:rsidP="00BD6689">
      <w:pPr>
        <w:ind w:firstLine="720"/>
        <w:jc w:val="both"/>
        <w:rPr>
          <w:sz w:val="28"/>
          <w:highlight w:val="yellow"/>
        </w:rPr>
      </w:pPr>
    </w:p>
    <w:p w:rsidR="00F25B38" w:rsidRPr="00DE07DD" w:rsidRDefault="003840A0" w:rsidP="006031F7">
      <w:pPr>
        <w:pBdr>
          <w:bottom w:val="single" w:sz="4" w:space="1" w:color="auto"/>
        </w:pBdr>
        <w:tabs>
          <w:tab w:val="left" w:pos="284"/>
        </w:tabs>
        <w:jc w:val="both"/>
        <w:rPr>
          <w:b/>
          <w:sz w:val="28"/>
          <w:szCs w:val="28"/>
        </w:rPr>
      </w:pPr>
      <w:r w:rsidRPr="00DE07DD">
        <w:rPr>
          <w:b/>
          <w:sz w:val="28"/>
          <w:szCs w:val="28"/>
        </w:rPr>
        <w:t>1.</w:t>
      </w:r>
      <w:r w:rsidR="000A4384" w:rsidRPr="00DE07DD">
        <w:rPr>
          <w:b/>
          <w:sz w:val="28"/>
          <w:szCs w:val="28"/>
        </w:rPr>
        <w:t>3</w:t>
      </w:r>
      <w:r w:rsidRPr="00DE07DD">
        <w:rPr>
          <w:b/>
          <w:sz w:val="28"/>
          <w:szCs w:val="28"/>
        </w:rPr>
        <w:t xml:space="preserve">. </w:t>
      </w:r>
      <w:r w:rsidR="00DE07DD" w:rsidRPr="00DE07DD">
        <w:rPr>
          <w:b/>
          <w:sz w:val="28"/>
          <w:szCs w:val="28"/>
        </w:rPr>
        <w:t xml:space="preserve">REACH </w:t>
      </w:r>
      <w:r w:rsidR="00CA30F2">
        <w:rPr>
          <w:i/>
          <w:sz w:val="28"/>
          <w:szCs w:val="28"/>
        </w:rPr>
        <w:t>(VARAM</w:t>
      </w:r>
      <w:r w:rsidR="003A5335">
        <w:rPr>
          <w:i/>
          <w:sz w:val="28"/>
          <w:szCs w:val="28"/>
        </w:rPr>
        <w:t xml:space="preserve"> kompetence</w:t>
      </w:r>
      <w:r w:rsidR="004F0096" w:rsidRPr="00DE07DD">
        <w:rPr>
          <w:i/>
          <w:sz w:val="28"/>
          <w:szCs w:val="28"/>
        </w:rPr>
        <w:t>)</w:t>
      </w:r>
    </w:p>
    <w:p w:rsidR="00DE07DD" w:rsidRPr="00DE07DD" w:rsidRDefault="00DE07DD" w:rsidP="00DE07DD">
      <w:pPr>
        <w:tabs>
          <w:tab w:val="left" w:pos="9288"/>
        </w:tabs>
        <w:jc w:val="both"/>
        <w:rPr>
          <w:i/>
          <w:sz w:val="28"/>
          <w:szCs w:val="28"/>
        </w:rPr>
      </w:pPr>
      <w:r w:rsidRPr="00DE07DD">
        <w:rPr>
          <w:i/>
          <w:sz w:val="28"/>
          <w:szCs w:val="28"/>
        </w:rPr>
        <w:t>a)Vispārējs ziņojums par REACH</w:t>
      </w:r>
    </w:p>
    <w:p w:rsidR="00DE07DD" w:rsidRPr="00DE07DD" w:rsidRDefault="00DE07DD" w:rsidP="00DE07DD">
      <w:pPr>
        <w:tabs>
          <w:tab w:val="left" w:pos="9288"/>
        </w:tabs>
        <w:jc w:val="both"/>
        <w:rPr>
          <w:i/>
          <w:sz w:val="28"/>
          <w:szCs w:val="28"/>
        </w:rPr>
      </w:pPr>
      <w:r w:rsidRPr="00DE07DD">
        <w:rPr>
          <w:i/>
          <w:sz w:val="28"/>
          <w:szCs w:val="28"/>
        </w:rPr>
        <w:t>b)Komisijas paziņojums "Otrais pārskats par regulējumu attiecībā uz nanomateriāliem"</w:t>
      </w:r>
    </w:p>
    <w:p w:rsidR="00DE07DD" w:rsidRDefault="00DE07DD" w:rsidP="00DE07DD">
      <w:pPr>
        <w:tabs>
          <w:tab w:val="left" w:pos="9288"/>
        </w:tabs>
        <w:jc w:val="both"/>
        <w:rPr>
          <w:i/>
          <w:sz w:val="28"/>
          <w:szCs w:val="28"/>
          <w:highlight w:val="yellow"/>
        </w:rPr>
      </w:pPr>
      <w:r w:rsidRPr="00DE07DD">
        <w:rPr>
          <w:i/>
          <w:sz w:val="28"/>
          <w:szCs w:val="28"/>
        </w:rPr>
        <w:t>c)Ceļvedis attiecībā uz īpaši bīstamām vielām</w:t>
      </w:r>
    </w:p>
    <w:p w:rsidR="00DE07DD" w:rsidRPr="00DE07DD" w:rsidRDefault="00DE07DD" w:rsidP="00DE07DD">
      <w:pPr>
        <w:tabs>
          <w:tab w:val="left" w:pos="9288"/>
        </w:tabs>
        <w:jc w:val="both"/>
        <w:rPr>
          <w:i/>
          <w:sz w:val="28"/>
          <w:szCs w:val="28"/>
        </w:rPr>
      </w:pPr>
      <w:r w:rsidRPr="00DE07DD">
        <w:rPr>
          <w:i/>
          <w:sz w:val="28"/>
          <w:szCs w:val="28"/>
        </w:rPr>
        <w:t>Komisijas sniegta informācija</w:t>
      </w:r>
    </w:p>
    <w:p w:rsidR="00DE07DD" w:rsidRPr="00DE07DD" w:rsidRDefault="00DE07DD" w:rsidP="00DE07DD">
      <w:pPr>
        <w:pStyle w:val="ListParagraph"/>
        <w:numPr>
          <w:ilvl w:val="0"/>
          <w:numId w:val="22"/>
        </w:numPr>
        <w:jc w:val="both"/>
        <w:rPr>
          <w:i/>
          <w:sz w:val="28"/>
          <w:szCs w:val="28"/>
        </w:rPr>
      </w:pPr>
      <w:r w:rsidRPr="00DE07DD">
        <w:rPr>
          <w:i/>
          <w:sz w:val="28"/>
          <w:szCs w:val="28"/>
        </w:rPr>
        <w:t>Komisijas sniegta informācija</w:t>
      </w:r>
    </w:p>
    <w:p w:rsidR="003840A0" w:rsidRPr="00DE07DD" w:rsidRDefault="00DE07DD" w:rsidP="00DE07DD">
      <w:pPr>
        <w:pStyle w:val="ListParagraph"/>
        <w:numPr>
          <w:ilvl w:val="0"/>
          <w:numId w:val="22"/>
        </w:numPr>
        <w:jc w:val="both"/>
        <w:rPr>
          <w:i/>
          <w:sz w:val="28"/>
          <w:szCs w:val="28"/>
        </w:rPr>
      </w:pPr>
      <w:r w:rsidRPr="00DE07DD">
        <w:rPr>
          <w:i/>
          <w:sz w:val="28"/>
          <w:szCs w:val="28"/>
        </w:rPr>
        <w:t>Viedokļu apmaiņa</w:t>
      </w:r>
    </w:p>
    <w:p w:rsidR="00DE07DD" w:rsidRDefault="00DE07DD" w:rsidP="00CC0AAE">
      <w:pPr>
        <w:jc w:val="both"/>
        <w:rPr>
          <w:sz w:val="28"/>
          <w:szCs w:val="28"/>
          <w:highlight w:val="yellow"/>
        </w:rPr>
      </w:pPr>
    </w:p>
    <w:p w:rsidR="00D469F2" w:rsidRPr="00FA073D" w:rsidRDefault="00D469F2" w:rsidP="00D469F2">
      <w:pPr>
        <w:autoSpaceDE w:val="0"/>
        <w:autoSpaceDN w:val="0"/>
        <w:adjustRightInd w:val="0"/>
        <w:ind w:firstLine="720"/>
        <w:jc w:val="both"/>
        <w:rPr>
          <w:sz w:val="28"/>
        </w:rPr>
      </w:pPr>
      <w:r w:rsidRPr="00FA073D">
        <w:rPr>
          <w:sz w:val="28"/>
        </w:rPr>
        <w:t>Sanāksmē Komisija sniegs pārskata ziņojumu par</w:t>
      </w:r>
      <w:r w:rsidR="009571CF">
        <w:rPr>
          <w:sz w:val="28"/>
        </w:rPr>
        <w:t xml:space="preserve"> Regulu Nr. 1907/2006, </w:t>
      </w:r>
      <w:r w:rsidR="009571CF" w:rsidRPr="009571CF">
        <w:rPr>
          <w:sz w:val="28"/>
        </w:rPr>
        <w:t>kas attiecas uz ķimikāliju reģistrēšanu, vērtēšanu, licencēšanu un ierobežošanu</w:t>
      </w:r>
      <w:r w:rsidR="009571CF">
        <w:rPr>
          <w:sz w:val="28"/>
        </w:rPr>
        <w:t xml:space="preserve"> (turpmāk -</w:t>
      </w:r>
      <w:r w:rsidRPr="00FA073D">
        <w:rPr>
          <w:sz w:val="28"/>
        </w:rPr>
        <w:t xml:space="preserve"> REACH regulu</w:t>
      </w:r>
      <w:r w:rsidR="009571CF">
        <w:rPr>
          <w:sz w:val="28"/>
        </w:rPr>
        <w:t>)</w:t>
      </w:r>
      <w:r w:rsidRPr="00FA073D">
        <w:rPr>
          <w:sz w:val="28"/>
        </w:rPr>
        <w:t>, kā arī iepazīstinās ar īpašas bažas izraisošo vielu identificēšanas ceļvedi.</w:t>
      </w:r>
      <w:r w:rsidRPr="00FA073D">
        <w:rPr>
          <w:color w:val="1F497D"/>
          <w:sz w:val="22"/>
          <w:szCs w:val="22"/>
          <w:lang w:eastAsia="en-US"/>
        </w:rPr>
        <w:t xml:space="preserve"> </w:t>
      </w:r>
      <w:r w:rsidRPr="00FA073D">
        <w:rPr>
          <w:sz w:val="28"/>
        </w:rPr>
        <w:t>Pie īpašas bažas izraisošām vielām (turpmāk – SVHC) tiek identificētas vielas, kas atbilst šādām bīstamības kategorijām:</w:t>
      </w:r>
    </w:p>
    <w:p w:rsidR="00D469F2" w:rsidRPr="009571CF" w:rsidRDefault="00D469F2" w:rsidP="009571CF">
      <w:pPr>
        <w:pStyle w:val="ListParagraph"/>
        <w:numPr>
          <w:ilvl w:val="1"/>
          <w:numId w:val="22"/>
        </w:numPr>
        <w:autoSpaceDE w:val="0"/>
        <w:autoSpaceDN w:val="0"/>
        <w:adjustRightInd w:val="0"/>
        <w:jc w:val="both"/>
        <w:rPr>
          <w:sz w:val="28"/>
        </w:rPr>
      </w:pPr>
      <w:r w:rsidRPr="009571CF">
        <w:rPr>
          <w:sz w:val="28"/>
        </w:rPr>
        <w:t>kancerogēnas, mutagēnas vai reproduktīvajai sistēmai toksiskas;</w:t>
      </w:r>
    </w:p>
    <w:p w:rsidR="00D469F2" w:rsidRPr="009571CF" w:rsidRDefault="00D469F2" w:rsidP="009571CF">
      <w:pPr>
        <w:pStyle w:val="ListParagraph"/>
        <w:numPr>
          <w:ilvl w:val="1"/>
          <w:numId w:val="22"/>
        </w:numPr>
        <w:autoSpaceDE w:val="0"/>
        <w:autoSpaceDN w:val="0"/>
        <w:adjustRightInd w:val="0"/>
        <w:jc w:val="both"/>
        <w:rPr>
          <w:sz w:val="28"/>
        </w:rPr>
      </w:pPr>
      <w:r w:rsidRPr="009571CF">
        <w:rPr>
          <w:sz w:val="28"/>
        </w:rPr>
        <w:t>noturīgas, bioakumulatīvas un toksiskas vielas;</w:t>
      </w:r>
    </w:p>
    <w:p w:rsidR="00D469F2" w:rsidRPr="009571CF" w:rsidRDefault="00D469F2" w:rsidP="009571CF">
      <w:pPr>
        <w:pStyle w:val="ListParagraph"/>
        <w:numPr>
          <w:ilvl w:val="1"/>
          <w:numId w:val="22"/>
        </w:numPr>
        <w:autoSpaceDE w:val="0"/>
        <w:autoSpaceDN w:val="0"/>
        <w:adjustRightInd w:val="0"/>
        <w:jc w:val="both"/>
        <w:rPr>
          <w:sz w:val="28"/>
        </w:rPr>
      </w:pPr>
      <w:r w:rsidRPr="009571CF">
        <w:rPr>
          <w:sz w:val="28"/>
        </w:rPr>
        <w:t xml:space="preserve">ļoti noturīgas un ļoti bioakumulatīvas; </w:t>
      </w:r>
    </w:p>
    <w:p w:rsidR="00D469F2" w:rsidRPr="009571CF" w:rsidRDefault="00D469F2" w:rsidP="009571CF">
      <w:pPr>
        <w:pStyle w:val="ListParagraph"/>
        <w:numPr>
          <w:ilvl w:val="1"/>
          <w:numId w:val="22"/>
        </w:numPr>
        <w:autoSpaceDE w:val="0"/>
        <w:autoSpaceDN w:val="0"/>
        <w:adjustRightInd w:val="0"/>
        <w:jc w:val="both"/>
        <w:rPr>
          <w:sz w:val="28"/>
        </w:rPr>
      </w:pPr>
      <w:r w:rsidRPr="009571CF">
        <w:rPr>
          <w:sz w:val="28"/>
        </w:rPr>
        <w:t>vielas, par kurām ir zinātniski pierādījumi par iespējamu nopietnu iedarbību, piemēram, endokrīnās sistēmas grāvējvielas.</w:t>
      </w:r>
    </w:p>
    <w:p w:rsidR="00D469F2" w:rsidRPr="00FA073D" w:rsidRDefault="00D469F2" w:rsidP="00D469F2">
      <w:pPr>
        <w:autoSpaceDE w:val="0"/>
        <w:autoSpaceDN w:val="0"/>
        <w:adjustRightInd w:val="0"/>
        <w:ind w:firstLine="720"/>
        <w:jc w:val="both"/>
        <w:rPr>
          <w:sz w:val="28"/>
        </w:rPr>
      </w:pPr>
      <w:r w:rsidRPr="00FA073D">
        <w:rPr>
          <w:sz w:val="28"/>
        </w:rPr>
        <w:lastRenderedPageBreak/>
        <w:t xml:space="preserve">Ceļvedī aprakstīts kā pārbaudīt vielas, kas pieder kādai no augstāk minētajām kategorijām, prioritāti nosakot vielām, kas ir reģistrētas un netiek lietotas kā starpprodukti. </w:t>
      </w:r>
    </w:p>
    <w:p w:rsidR="00D469F2" w:rsidRPr="00FA073D" w:rsidRDefault="00D469F2" w:rsidP="00D469F2">
      <w:pPr>
        <w:autoSpaceDE w:val="0"/>
        <w:autoSpaceDN w:val="0"/>
        <w:adjustRightInd w:val="0"/>
        <w:ind w:firstLine="720"/>
        <w:jc w:val="both"/>
        <w:rPr>
          <w:sz w:val="28"/>
        </w:rPr>
      </w:pPr>
      <w:r w:rsidRPr="00FA073D">
        <w:rPr>
          <w:sz w:val="28"/>
        </w:rPr>
        <w:t>Ceļvedis ir balstīts uz riska pārvaldības iespējām, tādējādi ievērojot labākos normatīvo aktu regulējums attiecībā uz riska pārvaldību gan REACH regulas tvērumā (licencēšana, ierobežošana un vielu novērtēšana), gan citos normatīvajos aktos noteiktās prasības ārpus REACH regulas tvēruma.</w:t>
      </w:r>
    </w:p>
    <w:p w:rsidR="00D469F2" w:rsidRPr="00FA073D" w:rsidRDefault="00D469F2" w:rsidP="00D469F2">
      <w:pPr>
        <w:autoSpaceDE w:val="0"/>
        <w:autoSpaceDN w:val="0"/>
        <w:adjustRightInd w:val="0"/>
        <w:ind w:firstLine="720"/>
        <w:jc w:val="both"/>
        <w:rPr>
          <w:sz w:val="28"/>
        </w:rPr>
      </w:pPr>
      <w:r w:rsidRPr="00FA073D">
        <w:rPr>
          <w:sz w:val="28"/>
        </w:rPr>
        <w:t xml:space="preserve">Ja viela ir novērtēta kā SVHC, to iekļauj </w:t>
      </w:r>
      <w:r>
        <w:rPr>
          <w:sz w:val="28"/>
        </w:rPr>
        <w:t xml:space="preserve">Eiropas Ķīmisko vielu aģentūras izveidotajā </w:t>
      </w:r>
      <w:r w:rsidRPr="00FA073D">
        <w:rPr>
          <w:sz w:val="28"/>
        </w:rPr>
        <w:t xml:space="preserve">kandidātvielu sarakstā, kurā esošās vielas pretendē uz iekļaušanu </w:t>
      </w:r>
      <w:r>
        <w:rPr>
          <w:sz w:val="28"/>
        </w:rPr>
        <w:t xml:space="preserve">REACH regulas 14.pielikuma </w:t>
      </w:r>
      <w:r w:rsidRPr="00FA073D">
        <w:rPr>
          <w:sz w:val="28"/>
        </w:rPr>
        <w:t>licencēšanas sarakstā. Ja viela ir iekļauta licencēšanas sarakstā, tās ražotāji, importētāji vai pakārtotie lietotāji var pieteikties Eiropas Ķīmisko vielu aģentūrā licences saņemšanai.</w:t>
      </w:r>
      <w:r>
        <w:rPr>
          <w:sz w:val="28"/>
        </w:rPr>
        <w:t xml:space="preserve"> Pašlaik REACH regulas 14.pielikumā ir iekļautas 14 vielas.</w:t>
      </w:r>
      <w:r w:rsidRPr="00FA073D">
        <w:rPr>
          <w:sz w:val="28"/>
        </w:rPr>
        <w:t xml:space="preserve"> SVHC ceļvedis paredz līdz 2020.gadam apzināt visas SVHC vielas. </w:t>
      </w:r>
    </w:p>
    <w:p w:rsidR="00D469F2" w:rsidRPr="00FA073D" w:rsidRDefault="00D469F2" w:rsidP="00D469F2">
      <w:pPr>
        <w:autoSpaceDE w:val="0"/>
        <w:autoSpaceDN w:val="0"/>
        <w:adjustRightInd w:val="0"/>
        <w:ind w:firstLine="720"/>
        <w:jc w:val="both"/>
        <w:rPr>
          <w:sz w:val="28"/>
        </w:rPr>
      </w:pPr>
      <w:r w:rsidRPr="00FA073D">
        <w:rPr>
          <w:sz w:val="28"/>
        </w:rPr>
        <w:t>Komisija uzskata, ka 2020.gada mērķi var sasniegt tikai tad, ja visi iesaistītie dalībnieki sadarbojas. Tāpēc Komisija aicina dalībvalstis strādāt pie SVHC vielu novērtēšanas kopā ar Komisiju un Eiropas Ķīmisko vielu aģentūru (ECHA).</w:t>
      </w:r>
    </w:p>
    <w:p w:rsidR="008227B5" w:rsidRDefault="008227B5" w:rsidP="00CC0AAE">
      <w:pPr>
        <w:jc w:val="both"/>
        <w:rPr>
          <w:sz w:val="28"/>
          <w:szCs w:val="28"/>
          <w:highlight w:val="yellow"/>
        </w:rPr>
      </w:pPr>
      <w:r>
        <w:rPr>
          <w:sz w:val="28"/>
          <w:szCs w:val="28"/>
        </w:rPr>
        <w:tab/>
      </w:r>
      <w:r w:rsidRPr="008227B5">
        <w:rPr>
          <w:sz w:val="28"/>
          <w:szCs w:val="28"/>
        </w:rPr>
        <w:t xml:space="preserve">Ministru diskusiju strukturēšanai sanāksmē prezidentvalsts ir sagatavojusi </w:t>
      </w:r>
      <w:r>
        <w:rPr>
          <w:sz w:val="28"/>
          <w:szCs w:val="28"/>
        </w:rPr>
        <w:t xml:space="preserve">šādus </w:t>
      </w:r>
      <w:r w:rsidRPr="008227B5">
        <w:rPr>
          <w:sz w:val="28"/>
          <w:szCs w:val="28"/>
          <w:u w:val="single"/>
        </w:rPr>
        <w:t>diskusiju jautājumus</w:t>
      </w:r>
      <w:r w:rsidRPr="008227B5">
        <w:rPr>
          <w:sz w:val="28"/>
          <w:szCs w:val="28"/>
        </w:rPr>
        <w:t>:</w:t>
      </w:r>
    </w:p>
    <w:p w:rsidR="008227B5" w:rsidRDefault="008227B5" w:rsidP="00CC0AAE">
      <w:pPr>
        <w:jc w:val="both"/>
        <w:rPr>
          <w:sz w:val="28"/>
          <w:szCs w:val="28"/>
          <w:highlight w:val="yellow"/>
        </w:rPr>
      </w:pPr>
    </w:p>
    <w:p w:rsidR="00A57BEB" w:rsidRDefault="00A57BEB" w:rsidP="00C608C5">
      <w:pPr>
        <w:pStyle w:val="ListParagraph"/>
        <w:numPr>
          <w:ilvl w:val="0"/>
          <w:numId w:val="30"/>
        </w:numPr>
        <w:jc w:val="both"/>
        <w:rPr>
          <w:b/>
          <w:i/>
          <w:sz w:val="28"/>
          <w:szCs w:val="28"/>
        </w:rPr>
      </w:pPr>
      <w:r>
        <w:rPr>
          <w:b/>
          <w:i/>
          <w:sz w:val="28"/>
          <w:szCs w:val="28"/>
        </w:rPr>
        <w:t xml:space="preserve">Pārskats: Cik lielā mērā Komisijas secinājumi attiecībā uz REACH mērķu sasniegšanu sakrīt ar dalībvalstu viedokli? </w:t>
      </w:r>
    </w:p>
    <w:p w:rsidR="00395770" w:rsidRPr="002837CA" w:rsidRDefault="00395770" w:rsidP="005832F8">
      <w:pPr>
        <w:spacing w:before="120" w:after="120"/>
        <w:jc w:val="both"/>
        <w:rPr>
          <w:rFonts w:eastAsia="Calibri"/>
          <w:b/>
          <w:sz w:val="28"/>
          <w:szCs w:val="28"/>
          <w:u w:val="single"/>
          <w:lang w:eastAsia="en-US"/>
        </w:rPr>
      </w:pPr>
      <w:r w:rsidRPr="002837CA">
        <w:rPr>
          <w:rFonts w:eastAsia="Calibri"/>
          <w:b/>
          <w:sz w:val="28"/>
          <w:szCs w:val="28"/>
          <w:u w:val="single"/>
          <w:lang w:eastAsia="en-US"/>
        </w:rPr>
        <w:t>Latvijas pozīcija:</w:t>
      </w:r>
    </w:p>
    <w:p w:rsidR="00395770" w:rsidRPr="001118E5" w:rsidRDefault="00395770" w:rsidP="00395770">
      <w:pPr>
        <w:spacing w:before="75" w:after="75"/>
        <w:jc w:val="both"/>
        <w:rPr>
          <w:noProof/>
          <w:sz w:val="28"/>
        </w:rPr>
      </w:pPr>
      <w:r>
        <w:rPr>
          <w:b/>
          <w:noProof/>
          <w:sz w:val="28"/>
        </w:rPr>
        <w:tab/>
      </w:r>
      <w:r w:rsidRPr="001118E5">
        <w:rPr>
          <w:b/>
          <w:noProof/>
          <w:sz w:val="28"/>
        </w:rPr>
        <w:t>Latvija piekrīt</w:t>
      </w:r>
      <w:r w:rsidRPr="001118E5">
        <w:rPr>
          <w:noProof/>
          <w:sz w:val="28"/>
        </w:rPr>
        <w:t xml:space="preserve"> Komisijas vērtējumam, ka REACH regula ir kopumā attaisnojusi sevi un izpilda izvirzītos mērķus – nodrošināt cilvēku veselības un vides augsta līmeņa aizsardzību, kā arī vielu brīvu apriti iekšējā tirgū, vienlaikus veicinot konkurētspēju un inovāciju.</w:t>
      </w:r>
    </w:p>
    <w:p w:rsidR="00395770" w:rsidRPr="00395770" w:rsidRDefault="00395770" w:rsidP="00395770">
      <w:pPr>
        <w:jc w:val="both"/>
        <w:rPr>
          <w:sz w:val="28"/>
          <w:szCs w:val="28"/>
        </w:rPr>
      </w:pPr>
    </w:p>
    <w:p w:rsidR="00C608C5" w:rsidRPr="00A57BEB" w:rsidRDefault="00A57BEB" w:rsidP="00A57BEB">
      <w:pPr>
        <w:pStyle w:val="ListParagraph"/>
        <w:numPr>
          <w:ilvl w:val="0"/>
          <w:numId w:val="30"/>
        </w:numPr>
        <w:jc w:val="both"/>
        <w:rPr>
          <w:b/>
          <w:i/>
          <w:sz w:val="28"/>
          <w:szCs w:val="28"/>
        </w:rPr>
      </w:pPr>
      <w:r>
        <w:rPr>
          <w:b/>
          <w:i/>
          <w:sz w:val="28"/>
          <w:szCs w:val="28"/>
        </w:rPr>
        <w:t xml:space="preserve">Ceļa karte: Vai delegācijas piekrīt Komisijas plānam izvērtēt potenciālās īpašas bažas izraisošās vielas? Kās ir paplašinātās sadarbības mērogs starp dalībvalstīm, Komisiju un ECHA </w:t>
      </w:r>
      <w:r>
        <w:rPr>
          <w:b/>
          <w:i/>
          <w:sz w:val="28"/>
          <w:szCs w:val="28"/>
        </w:rPr>
        <w:t>šīs ceļa kartes</w:t>
      </w:r>
      <w:r>
        <w:rPr>
          <w:b/>
          <w:i/>
          <w:sz w:val="28"/>
          <w:szCs w:val="28"/>
        </w:rPr>
        <w:t xml:space="preserve"> ietvaros?</w:t>
      </w:r>
    </w:p>
    <w:p w:rsidR="00395770" w:rsidRPr="002837CA" w:rsidRDefault="00395770" w:rsidP="005832F8">
      <w:pPr>
        <w:spacing w:before="120" w:after="120"/>
        <w:jc w:val="both"/>
        <w:rPr>
          <w:rFonts w:eastAsia="Calibri"/>
          <w:b/>
          <w:sz w:val="28"/>
          <w:szCs w:val="28"/>
          <w:u w:val="single"/>
          <w:lang w:eastAsia="en-US"/>
        </w:rPr>
      </w:pPr>
      <w:r w:rsidRPr="002837CA">
        <w:rPr>
          <w:rFonts w:eastAsia="Calibri"/>
          <w:b/>
          <w:sz w:val="28"/>
          <w:szCs w:val="28"/>
          <w:u w:val="single"/>
          <w:lang w:eastAsia="en-US"/>
        </w:rPr>
        <w:t>Latvijas pozīcija:</w:t>
      </w:r>
    </w:p>
    <w:p w:rsidR="001118E5" w:rsidRPr="001118E5" w:rsidRDefault="00861264" w:rsidP="001118E5">
      <w:pPr>
        <w:spacing w:before="75" w:after="75"/>
        <w:jc w:val="both"/>
        <w:rPr>
          <w:noProof/>
          <w:sz w:val="28"/>
        </w:rPr>
      </w:pPr>
      <w:r>
        <w:rPr>
          <w:b/>
          <w:noProof/>
          <w:sz w:val="28"/>
        </w:rPr>
        <w:tab/>
      </w:r>
      <w:r w:rsidR="001118E5" w:rsidRPr="001118E5">
        <w:rPr>
          <w:b/>
          <w:noProof/>
          <w:sz w:val="28"/>
        </w:rPr>
        <w:t>Latvija atbalsta</w:t>
      </w:r>
      <w:r w:rsidR="001118E5" w:rsidRPr="001118E5">
        <w:rPr>
          <w:noProof/>
          <w:sz w:val="28"/>
        </w:rPr>
        <w:t xml:space="preserve"> Eiropas Komisijas plānu īpašas bažas izraisošo (SVHC) vielu novērtēšanā, izmantojot kandidātvielu sarakstu un licencēšanas noteikumus, un ka tas sekmēs šo vielu aktīvāku aizstāšanu visā piegādes ķēdē.</w:t>
      </w:r>
    </w:p>
    <w:p w:rsidR="00943764" w:rsidRDefault="00943764" w:rsidP="00767B38">
      <w:pPr>
        <w:spacing w:before="75" w:after="75"/>
        <w:ind w:firstLine="709"/>
        <w:jc w:val="both"/>
        <w:rPr>
          <w:b/>
          <w:bCs/>
          <w:iCs/>
        </w:rPr>
      </w:pPr>
    </w:p>
    <w:p w:rsidR="00185F79" w:rsidRDefault="00185F79" w:rsidP="00767B38">
      <w:pPr>
        <w:spacing w:before="75" w:after="75"/>
        <w:ind w:firstLine="709"/>
        <w:jc w:val="both"/>
        <w:rPr>
          <w:b/>
          <w:bCs/>
          <w:iCs/>
        </w:rPr>
      </w:pPr>
    </w:p>
    <w:p w:rsidR="00185F79" w:rsidRDefault="00185F79" w:rsidP="00767B38">
      <w:pPr>
        <w:spacing w:before="75" w:after="75"/>
        <w:ind w:firstLine="709"/>
        <w:jc w:val="both"/>
        <w:rPr>
          <w:b/>
          <w:bCs/>
          <w:iCs/>
        </w:rPr>
      </w:pPr>
    </w:p>
    <w:p w:rsidR="00185F79" w:rsidRDefault="00185F79" w:rsidP="00767B38">
      <w:pPr>
        <w:spacing w:before="75" w:after="75"/>
        <w:ind w:firstLine="709"/>
        <w:jc w:val="both"/>
        <w:rPr>
          <w:b/>
          <w:bCs/>
          <w:iCs/>
        </w:rPr>
      </w:pPr>
    </w:p>
    <w:p w:rsidR="00185F79" w:rsidRPr="002837CA" w:rsidRDefault="00185F79" w:rsidP="00767B38">
      <w:pPr>
        <w:spacing w:before="75" w:after="75"/>
        <w:ind w:firstLine="709"/>
        <w:jc w:val="both"/>
        <w:rPr>
          <w:b/>
          <w:bCs/>
          <w:iCs/>
        </w:rPr>
      </w:pPr>
    </w:p>
    <w:p w:rsidR="00B03397" w:rsidRPr="002837CA" w:rsidRDefault="00B120E4" w:rsidP="009C3C35">
      <w:pPr>
        <w:pBdr>
          <w:bottom w:val="single" w:sz="4" w:space="1" w:color="auto"/>
        </w:pBdr>
        <w:tabs>
          <w:tab w:val="left" w:pos="9288"/>
        </w:tabs>
        <w:spacing w:after="120"/>
        <w:jc w:val="both"/>
        <w:rPr>
          <w:b/>
          <w:sz w:val="28"/>
          <w:szCs w:val="28"/>
        </w:rPr>
      </w:pPr>
      <w:r w:rsidRPr="002837CA">
        <w:rPr>
          <w:b/>
          <w:sz w:val="28"/>
          <w:szCs w:val="28"/>
        </w:rPr>
        <w:lastRenderedPageBreak/>
        <w:t>1.</w:t>
      </w:r>
      <w:r w:rsidR="00730AEA" w:rsidRPr="002837CA">
        <w:rPr>
          <w:b/>
          <w:sz w:val="28"/>
          <w:szCs w:val="28"/>
        </w:rPr>
        <w:t>4</w:t>
      </w:r>
      <w:r w:rsidR="00B03397" w:rsidRPr="002837CA">
        <w:rPr>
          <w:b/>
          <w:sz w:val="28"/>
          <w:szCs w:val="28"/>
        </w:rPr>
        <w:t xml:space="preserve">. Citi jautājumi </w:t>
      </w:r>
    </w:p>
    <w:p w:rsidR="00B03397" w:rsidRPr="000D0931" w:rsidRDefault="00B03397" w:rsidP="004C1552">
      <w:pPr>
        <w:jc w:val="both"/>
        <w:rPr>
          <w:sz w:val="28"/>
          <w:szCs w:val="28"/>
          <w:highlight w:val="yellow"/>
        </w:rPr>
      </w:pPr>
    </w:p>
    <w:p w:rsidR="00B03397" w:rsidRPr="00730AEA" w:rsidRDefault="00730AEA" w:rsidP="00730AEA">
      <w:pPr>
        <w:pStyle w:val="ListParagraph"/>
        <w:numPr>
          <w:ilvl w:val="0"/>
          <w:numId w:val="3"/>
        </w:numPr>
        <w:tabs>
          <w:tab w:val="left" w:pos="284"/>
        </w:tabs>
        <w:jc w:val="both"/>
        <w:rPr>
          <w:b/>
          <w:sz w:val="28"/>
          <w:szCs w:val="28"/>
        </w:rPr>
      </w:pPr>
      <w:r w:rsidRPr="00730AEA">
        <w:rPr>
          <w:b/>
          <w:sz w:val="28"/>
          <w:szCs w:val="28"/>
        </w:rPr>
        <w:t xml:space="preserve">Iekšējais tirgus </w:t>
      </w:r>
      <w:r w:rsidRPr="00730AEA">
        <w:rPr>
          <w:i/>
          <w:sz w:val="28"/>
          <w:szCs w:val="28"/>
        </w:rPr>
        <w:t>(EM kompetence</w:t>
      </w:r>
      <w:r w:rsidR="00013A67" w:rsidRPr="00730AEA">
        <w:rPr>
          <w:i/>
          <w:sz w:val="28"/>
          <w:szCs w:val="28"/>
        </w:rPr>
        <w:t>)</w:t>
      </w:r>
    </w:p>
    <w:p w:rsidR="00730AEA" w:rsidRPr="00730AEA" w:rsidRDefault="00730AEA" w:rsidP="00730AEA">
      <w:pPr>
        <w:tabs>
          <w:tab w:val="left" w:pos="284"/>
        </w:tabs>
        <w:ind w:left="360"/>
        <w:jc w:val="both"/>
        <w:rPr>
          <w:i/>
          <w:sz w:val="28"/>
          <w:szCs w:val="28"/>
        </w:rPr>
      </w:pPr>
      <w:r w:rsidRPr="00730AEA">
        <w:rPr>
          <w:i/>
          <w:sz w:val="28"/>
          <w:szCs w:val="28"/>
        </w:rPr>
        <w:t>i)</w:t>
      </w:r>
      <w:r w:rsidRPr="00730AEA">
        <w:rPr>
          <w:i/>
          <w:sz w:val="28"/>
          <w:szCs w:val="28"/>
        </w:rPr>
        <w:tab/>
        <w:t>Priekšlikums – Eiropas Parlamenta un Padomes Regula par tirgus uzraudzību produktiem un ar ko groza Padomes Direktīvas 89/686/EEK un 93/15/EEK un Eiropas Parlamenta un Padomes Direktīvas 94/9/EK, 94/25/EK, 95/16/EK, 97/23/EK, 1999/5/EK, 2000/9/EK, 2000/14/EK, 2001/95/EK, 2004/108/EK, 2006/42/EK, 2006/95/EK, 2007/23/EK, 2008/57/EK, 2009/48/EK, 2009/105/EK, 2009/142/EK, 2011/65/ES un Regulu (ES) Nr. 305/2011, Regulu (ES) Nr. 764/2008 un Regulu (EK) Nr. 765/2008 (pirmais lasījums)</w:t>
      </w:r>
    </w:p>
    <w:p w:rsidR="00730AEA" w:rsidRDefault="00730AEA" w:rsidP="00730AEA">
      <w:pPr>
        <w:tabs>
          <w:tab w:val="left" w:pos="284"/>
        </w:tabs>
        <w:ind w:left="360"/>
        <w:jc w:val="both"/>
        <w:rPr>
          <w:i/>
          <w:sz w:val="28"/>
          <w:szCs w:val="28"/>
          <w:highlight w:val="yellow"/>
        </w:rPr>
      </w:pPr>
      <w:r w:rsidRPr="00730AEA">
        <w:rPr>
          <w:i/>
          <w:sz w:val="28"/>
          <w:szCs w:val="28"/>
        </w:rPr>
        <w:t>ii)</w:t>
      </w:r>
      <w:r w:rsidRPr="00730AEA">
        <w:rPr>
          <w:i/>
          <w:sz w:val="28"/>
          <w:szCs w:val="28"/>
        </w:rPr>
        <w:tab/>
        <w:t>Priekšlikums – Eiropas Parlamenta un Padomes Regula par patēriņa preču drošību un ar ko atceļ Padomes Direktīvu 87/357/EEK un Padomes Direktīvu 2001/95/EK (pirmais lasījums)</w:t>
      </w:r>
    </w:p>
    <w:p w:rsidR="00B03397" w:rsidRPr="00730AEA" w:rsidRDefault="00730AEA" w:rsidP="00730AEA">
      <w:pPr>
        <w:tabs>
          <w:tab w:val="left" w:pos="284"/>
        </w:tabs>
        <w:ind w:left="360"/>
        <w:jc w:val="both"/>
        <w:rPr>
          <w:i/>
          <w:sz w:val="28"/>
          <w:szCs w:val="28"/>
        </w:rPr>
      </w:pPr>
      <w:r w:rsidRPr="00730AEA">
        <w:rPr>
          <w:i/>
          <w:sz w:val="28"/>
          <w:szCs w:val="28"/>
        </w:rPr>
        <w:t xml:space="preserve">- </w:t>
      </w:r>
      <w:r w:rsidR="00B03397" w:rsidRPr="00730AEA">
        <w:rPr>
          <w:i/>
          <w:sz w:val="28"/>
          <w:szCs w:val="28"/>
        </w:rPr>
        <w:t xml:space="preserve">Komisijas </w:t>
      </w:r>
      <w:r w:rsidR="00C90A02" w:rsidRPr="00730AEA">
        <w:rPr>
          <w:i/>
          <w:sz w:val="28"/>
          <w:szCs w:val="28"/>
        </w:rPr>
        <w:t>sniegta informācija</w:t>
      </w:r>
    </w:p>
    <w:p w:rsidR="00F87D49" w:rsidRDefault="00F87D49" w:rsidP="00C90A02">
      <w:pPr>
        <w:jc w:val="both"/>
        <w:rPr>
          <w:sz w:val="28"/>
          <w:szCs w:val="28"/>
          <w:highlight w:val="yellow"/>
        </w:rPr>
      </w:pPr>
    </w:p>
    <w:p w:rsidR="00CD417C" w:rsidRPr="00AD3FE2" w:rsidRDefault="00CD417C" w:rsidP="00CD417C">
      <w:pPr>
        <w:jc w:val="both"/>
        <w:rPr>
          <w:sz w:val="28"/>
          <w:szCs w:val="28"/>
        </w:rPr>
      </w:pPr>
      <w:r>
        <w:rPr>
          <w:sz w:val="28"/>
          <w:szCs w:val="28"/>
        </w:rPr>
        <w:tab/>
      </w:r>
      <w:r w:rsidRPr="00AD3FE2">
        <w:rPr>
          <w:sz w:val="28"/>
          <w:szCs w:val="28"/>
        </w:rPr>
        <w:t>Sanāksmes laikā Komisija informēs par jaunajiem tiesību aktu projektiem preču drošuma un tirgus uzraudzības jomā. Tiesību aktu projektus Komisija plāno publicēt 13.februārī, līdz ar to nav precīzas informācijas par to saturu.</w:t>
      </w:r>
    </w:p>
    <w:p w:rsidR="00CD417C" w:rsidRPr="00AD3FE2" w:rsidRDefault="00CD417C" w:rsidP="00CD417C">
      <w:pPr>
        <w:jc w:val="both"/>
        <w:rPr>
          <w:sz w:val="28"/>
          <w:szCs w:val="28"/>
        </w:rPr>
      </w:pPr>
      <w:r>
        <w:rPr>
          <w:sz w:val="28"/>
          <w:szCs w:val="28"/>
        </w:rPr>
        <w:tab/>
      </w:r>
      <w:r w:rsidRPr="00AD3FE2">
        <w:rPr>
          <w:sz w:val="28"/>
          <w:szCs w:val="28"/>
        </w:rPr>
        <w:t>Potenciāli abi minētie tiesību akti būs vērsti uz Iekšējā tirgus darbības veicināšanu, no vienas puses vienādojot tirgus uzraudzības prakses visās dalībvalstīs un, no otras puses, nodrošinot drošu produktu pieejamību gan patērētājiem, gan profesionāļiem.</w:t>
      </w:r>
    </w:p>
    <w:p w:rsidR="00CD417C" w:rsidRPr="00AD3FE2" w:rsidRDefault="00CD417C" w:rsidP="00CD417C">
      <w:pPr>
        <w:jc w:val="both"/>
        <w:rPr>
          <w:sz w:val="28"/>
          <w:szCs w:val="28"/>
        </w:rPr>
      </w:pPr>
      <w:r w:rsidRPr="00AD3FE2">
        <w:rPr>
          <w:sz w:val="28"/>
          <w:szCs w:val="28"/>
        </w:rPr>
        <w:tab/>
      </w:r>
      <w:r>
        <w:rPr>
          <w:sz w:val="28"/>
          <w:szCs w:val="28"/>
        </w:rPr>
        <w:t>T</w:t>
      </w:r>
      <w:r w:rsidRPr="00AD3FE2">
        <w:rPr>
          <w:sz w:val="28"/>
          <w:szCs w:val="28"/>
        </w:rPr>
        <w:t xml:space="preserve">irgus uzraudzība un preču drošuma garantēšana </w:t>
      </w:r>
      <w:r w:rsidRPr="000A2F01">
        <w:rPr>
          <w:b/>
          <w:sz w:val="28"/>
          <w:szCs w:val="28"/>
        </w:rPr>
        <w:t>Latvijai ir ļoti svarīgi</w:t>
      </w:r>
      <w:r w:rsidRPr="00AD3FE2">
        <w:rPr>
          <w:sz w:val="28"/>
          <w:szCs w:val="28"/>
        </w:rPr>
        <w:t xml:space="preserve"> jautājumi, līdz ar to Latvija kopumā atbalsta plānoto nozares regulējuma pārskatīšanu un uzlabošanu, lai nodrošinātu saskanīgu un harmonizētu iekšējo tirgu. Konkrētāka Latvijas pozīcija tiks sagatavota, kad bū</w:t>
      </w:r>
      <w:r w:rsidR="006E1708">
        <w:rPr>
          <w:sz w:val="28"/>
          <w:szCs w:val="28"/>
        </w:rPr>
        <w:t>s pieejami tiesību aktu projekti</w:t>
      </w:r>
      <w:r w:rsidRPr="00AD3FE2">
        <w:rPr>
          <w:sz w:val="28"/>
          <w:szCs w:val="28"/>
        </w:rPr>
        <w:t>.</w:t>
      </w:r>
    </w:p>
    <w:p w:rsidR="00CD417C" w:rsidRDefault="00CD417C" w:rsidP="00C90A02">
      <w:pPr>
        <w:jc w:val="both"/>
        <w:rPr>
          <w:sz w:val="28"/>
          <w:szCs w:val="28"/>
          <w:highlight w:val="yellow"/>
        </w:rPr>
      </w:pPr>
    </w:p>
    <w:p w:rsidR="00F87D49" w:rsidRPr="00730AEA" w:rsidRDefault="00730AEA" w:rsidP="00730AEA">
      <w:pPr>
        <w:pStyle w:val="ListParagraph"/>
        <w:numPr>
          <w:ilvl w:val="0"/>
          <w:numId w:val="3"/>
        </w:numPr>
        <w:jc w:val="both"/>
        <w:rPr>
          <w:b/>
          <w:sz w:val="28"/>
          <w:szCs w:val="28"/>
        </w:rPr>
      </w:pPr>
      <w:r w:rsidRPr="00730AEA">
        <w:rPr>
          <w:b/>
          <w:sz w:val="28"/>
          <w:szCs w:val="28"/>
        </w:rPr>
        <w:t xml:space="preserve">Priekšlikums – Eiropas Parlamenta un Padomes Regula, ar ko izveido Savienības Muitas kodeksu (pirmais lasījums) </w:t>
      </w:r>
      <w:r w:rsidR="0046554A" w:rsidRPr="00730AEA">
        <w:rPr>
          <w:i/>
          <w:sz w:val="28"/>
          <w:szCs w:val="28"/>
        </w:rPr>
        <w:t>(</w:t>
      </w:r>
      <w:r w:rsidRPr="00730AEA">
        <w:rPr>
          <w:i/>
          <w:sz w:val="28"/>
          <w:szCs w:val="28"/>
        </w:rPr>
        <w:t>FM</w:t>
      </w:r>
      <w:r w:rsidR="0046554A" w:rsidRPr="00730AEA">
        <w:rPr>
          <w:i/>
          <w:sz w:val="28"/>
          <w:szCs w:val="28"/>
        </w:rPr>
        <w:t xml:space="preserve"> kompetence)</w:t>
      </w:r>
    </w:p>
    <w:p w:rsidR="00F87D49" w:rsidRPr="00730AEA" w:rsidRDefault="00730AEA" w:rsidP="00730AEA">
      <w:pPr>
        <w:pStyle w:val="ListParagraph"/>
        <w:numPr>
          <w:ilvl w:val="0"/>
          <w:numId w:val="2"/>
        </w:numPr>
        <w:jc w:val="both"/>
        <w:rPr>
          <w:i/>
          <w:sz w:val="28"/>
          <w:szCs w:val="28"/>
        </w:rPr>
      </w:pPr>
      <w:r w:rsidRPr="00730AEA">
        <w:rPr>
          <w:i/>
          <w:sz w:val="28"/>
          <w:szCs w:val="28"/>
        </w:rPr>
        <w:t>Prezidentvalsts un Komisijas sniegta informācija par pašreizējo stāvokli</w:t>
      </w:r>
    </w:p>
    <w:p w:rsidR="001129BD" w:rsidRDefault="001129BD" w:rsidP="00C90A02">
      <w:pPr>
        <w:jc w:val="both"/>
        <w:rPr>
          <w:sz w:val="28"/>
          <w:szCs w:val="28"/>
          <w:highlight w:val="yellow"/>
        </w:rPr>
      </w:pPr>
    </w:p>
    <w:p w:rsidR="000017A5" w:rsidRPr="000017A5" w:rsidRDefault="00861264" w:rsidP="000017A5">
      <w:pPr>
        <w:jc w:val="both"/>
        <w:rPr>
          <w:sz w:val="28"/>
          <w:szCs w:val="28"/>
        </w:rPr>
      </w:pPr>
      <w:r>
        <w:rPr>
          <w:sz w:val="28"/>
          <w:szCs w:val="28"/>
        </w:rPr>
        <w:tab/>
      </w:r>
      <w:r w:rsidR="000017A5" w:rsidRPr="000017A5">
        <w:rPr>
          <w:sz w:val="28"/>
          <w:szCs w:val="28"/>
        </w:rPr>
        <w:t>Sanāksmes laikā Īrijas prezidentūra un Komisija informēs par esošo situāciju jautājumos par  Eiropas Parlamenta un Padomes Regulu, ar ko izveido Savienības Muitas kodeksu</w:t>
      </w:r>
      <w:r w:rsidR="009571CF">
        <w:rPr>
          <w:sz w:val="28"/>
          <w:szCs w:val="28"/>
        </w:rPr>
        <w:t xml:space="preserve"> (turpmāk - SMK)</w:t>
      </w:r>
      <w:r w:rsidR="000017A5" w:rsidRPr="000017A5">
        <w:rPr>
          <w:sz w:val="28"/>
          <w:szCs w:val="28"/>
        </w:rPr>
        <w:t xml:space="preserve">. </w:t>
      </w:r>
    </w:p>
    <w:p w:rsidR="000017A5" w:rsidRPr="000017A5" w:rsidRDefault="00861264" w:rsidP="000017A5">
      <w:pPr>
        <w:jc w:val="both"/>
        <w:rPr>
          <w:sz w:val="28"/>
          <w:szCs w:val="28"/>
        </w:rPr>
      </w:pPr>
      <w:r>
        <w:rPr>
          <w:sz w:val="28"/>
          <w:szCs w:val="28"/>
        </w:rPr>
        <w:tab/>
      </w:r>
      <w:r w:rsidR="000017A5" w:rsidRPr="000017A5">
        <w:rPr>
          <w:sz w:val="28"/>
          <w:szCs w:val="28"/>
        </w:rPr>
        <w:t xml:space="preserve">Eiropas Parlamenta un Padomes 2008.gada 23.aprīļa Regulas (EK) Nr.450/2008, ar ko izveido Kopienas Muitas kodeksu (Modernizētais muitas kodekss), mērķis ir pielāgot muitas tiesību aktus pārmaiņām starptautiskajā tirdzniecībā, it īpaši straujai un neatgriezeniskai informācijas tehnoloģiju izmantošanai un elektroniskas datu apmaiņas intensitātes pieaugumam. </w:t>
      </w:r>
      <w:r w:rsidR="000017A5" w:rsidRPr="000017A5">
        <w:rPr>
          <w:sz w:val="28"/>
          <w:szCs w:val="28"/>
        </w:rPr>
        <w:lastRenderedPageBreak/>
        <w:t xml:space="preserve">Priekšlikumā Eiropas Parlamenta un Padomes Regulai, ar ko izveido </w:t>
      </w:r>
      <w:r w:rsidR="009571CF">
        <w:rPr>
          <w:sz w:val="28"/>
          <w:szCs w:val="28"/>
        </w:rPr>
        <w:t>SMK</w:t>
      </w:r>
      <w:r w:rsidR="000017A5" w:rsidRPr="000017A5">
        <w:rPr>
          <w:sz w:val="28"/>
          <w:szCs w:val="28"/>
        </w:rPr>
        <w:t xml:space="preserve"> ir saglabāti Modernizētā muitas kodeksa mērķi, kas pilnībā atbilst esošajiem politikas virzieniem. </w:t>
      </w:r>
      <w:r w:rsidR="009571CF">
        <w:rPr>
          <w:sz w:val="28"/>
          <w:szCs w:val="28"/>
        </w:rPr>
        <w:t>SMK</w:t>
      </w:r>
      <w:r w:rsidR="000017A5" w:rsidRPr="000017A5">
        <w:rPr>
          <w:sz w:val="28"/>
          <w:szCs w:val="28"/>
        </w:rPr>
        <w:t xml:space="preserve"> projekta galvenais mērķis ir aizstāt Modernizēto muitas kodeksu, saskaņojot to ar kopš 2009.gada 1.decembra spēkā esošo Lisabonas līgumu, kas groza Līgumu par Eiropas Savienību un Eiropas Kopienas dibināšanas līgumu, pārdēvējot to par Līgumu par </w:t>
      </w:r>
      <w:r w:rsidR="00CA30F2">
        <w:rPr>
          <w:sz w:val="28"/>
          <w:szCs w:val="28"/>
        </w:rPr>
        <w:t>Eiropas Savienības</w:t>
      </w:r>
      <w:r w:rsidR="000017A5" w:rsidRPr="000017A5">
        <w:rPr>
          <w:sz w:val="28"/>
          <w:szCs w:val="28"/>
        </w:rPr>
        <w:t xml:space="preserve"> darbību.</w:t>
      </w:r>
    </w:p>
    <w:p w:rsidR="000017A5" w:rsidRDefault="00861264" w:rsidP="000017A5">
      <w:pPr>
        <w:jc w:val="both"/>
        <w:rPr>
          <w:sz w:val="28"/>
          <w:szCs w:val="28"/>
        </w:rPr>
      </w:pPr>
      <w:r>
        <w:rPr>
          <w:sz w:val="28"/>
          <w:szCs w:val="28"/>
        </w:rPr>
        <w:tab/>
      </w:r>
      <w:r w:rsidR="000017A5" w:rsidRPr="000017A5">
        <w:rPr>
          <w:sz w:val="28"/>
          <w:szCs w:val="28"/>
        </w:rPr>
        <w:t xml:space="preserve">2013.gada 25.janvāra Pastāvīgo pārstāvju komitejas (COREPER I) sanāksmē prezidentūras izstrādātā SMK projekta kompromisa versija (dokuments Nr.5558/13) tika apstiprināta kā mandāta pamats pirmajam </w:t>
      </w:r>
      <w:r w:rsidR="006E1708">
        <w:rPr>
          <w:sz w:val="28"/>
          <w:szCs w:val="28"/>
        </w:rPr>
        <w:t>neformālajam</w:t>
      </w:r>
      <w:r w:rsidR="000017A5" w:rsidRPr="000017A5">
        <w:rPr>
          <w:sz w:val="28"/>
          <w:szCs w:val="28"/>
        </w:rPr>
        <w:t xml:space="preserve"> trialogam  ar Eiropas Parlamentu un Komisiju.</w:t>
      </w:r>
    </w:p>
    <w:p w:rsidR="000017A5" w:rsidRDefault="000017A5" w:rsidP="000017A5">
      <w:pPr>
        <w:jc w:val="both"/>
        <w:rPr>
          <w:sz w:val="28"/>
          <w:szCs w:val="28"/>
        </w:rPr>
      </w:pPr>
    </w:p>
    <w:p w:rsidR="008B6386" w:rsidRPr="008B6386" w:rsidRDefault="008B6386" w:rsidP="000017A5">
      <w:pPr>
        <w:jc w:val="both"/>
        <w:rPr>
          <w:b/>
          <w:sz w:val="28"/>
          <w:szCs w:val="28"/>
          <w:u w:val="single"/>
        </w:rPr>
      </w:pPr>
      <w:r w:rsidRPr="008B6386">
        <w:rPr>
          <w:b/>
          <w:sz w:val="28"/>
          <w:szCs w:val="28"/>
          <w:u w:val="single"/>
        </w:rPr>
        <w:t>Latvijas pozīcija:</w:t>
      </w:r>
      <w:r>
        <w:rPr>
          <w:rStyle w:val="FootnoteReference"/>
          <w:b/>
          <w:sz w:val="28"/>
          <w:szCs w:val="28"/>
          <w:u w:val="single"/>
        </w:rPr>
        <w:footnoteReference w:id="5"/>
      </w:r>
    </w:p>
    <w:p w:rsidR="000017A5" w:rsidRDefault="00861264" w:rsidP="000017A5">
      <w:pPr>
        <w:jc w:val="both"/>
        <w:rPr>
          <w:sz w:val="28"/>
          <w:szCs w:val="28"/>
          <w:highlight w:val="yellow"/>
        </w:rPr>
      </w:pPr>
      <w:r>
        <w:rPr>
          <w:b/>
          <w:sz w:val="28"/>
          <w:szCs w:val="28"/>
        </w:rPr>
        <w:tab/>
      </w:r>
      <w:r w:rsidR="000017A5" w:rsidRPr="000017A5">
        <w:rPr>
          <w:b/>
          <w:sz w:val="28"/>
          <w:szCs w:val="28"/>
        </w:rPr>
        <w:t>Latvija kopumā atbalsta</w:t>
      </w:r>
      <w:r w:rsidR="000017A5" w:rsidRPr="000017A5">
        <w:rPr>
          <w:sz w:val="28"/>
          <w:szCs w:val="28"/>
        </w:rPr>
        <w:t xml:space="preserve"> regulas projektu, jo ar </w:t>
      </w:r>
      <w:r w:rsidR="009571CF">
        <w:rPr>
          <w:sz w:val="28"/>
          <w:szCs w:val="28"/>
        </w:rPr>
        <w:t>SMK</w:t>
      </w:r>
      <w:r w:rsidR="000017A5" w:rsidRPr="000017A5">
        <w:rPr>
          <w:sz w:val="28"/>
          <w:szCs w:val="28"/>
        </w:rPr>
        <w:t xml:space="preserve"> palīdzību tiks panākta muitas noteikumu vienkāršošana, kā arī </w:t>
      </w:r>
      <w:r w:rsidR="009571CF">
        <w:rPr>
          <w:sz w:val="28"/>
          <w:szCs w:val="28"/>
        </w:rPr>
        <w:t>SMK</w:t>
      </w:r>
      <w:r w:rsidR="000017A5" w:rsidRPr="000017A5">
        <w:rPr>
          <w:sz w:val="28"/>
          <w:szCs w:val="28"/>
        </w:rPr>
        <w:t xml:space="preserve"> būs juridisks pamats elektroniskai datu apmaiņai ne tikai starp uzņēmējiem un dalībvalstu muitas iestādēm, bet arī ar citām valsts iestādēm, kuras ir iesaistītas starptautiskajā preču piegādes ķēdē.</w:t>
      </w:r>
    </w:p>
    <w:p w:rsidR="000017A5" w:rsidRPr="000D0931" w:rsidRDefault="000017A5" w:rsidP="00C90A02">
      <w:pPr>
        <w:jc w:val="both"/>
        <w:rPr>
          <w:sz w:val="28"/>
          <w:szCs w:val="28"/>
          <w:highlight w:val="yellow"/>
        </w:rPr>
      </w:pPr>
    </w:p>
    <w:p w:rsidR="00C90A02" w:rsidRPr="00730AEA" w:rsidRDefault="00730AEA" w:rsidP="00730AEA">
      <w:pPr>
        <w:pStyle w:val="ListParagraph"/>
        <w:numPr>
          <w:ilvl w:val="0"/>
          <w:numId w:val="3"/>
        </w:numPr>
        <w:jc w:val="both"/>
        <w:rPr>
          <w:b/>
          <w:sz w:val="28"/>
          <w:szCs w:val="28"/>
        </w:rPr>
      </w:pPr>
      <w:r w:rsidRPr="00730AEA">
        <w:rPr>
          <w:b/>
          <w:sz w:val="28"/>
          <w:szCs w:val="28"/>
        </w:rPr>
        <w:t>Misijas izaugsmei</w:t>
      </w:r>
      <w:r w:rsidR="0046554A" w:rsidRPr="00730AEA">
        <w:rPr>
          <w:b/>
          <w:sz w:val="28"/>
          <w:szCs w:val="28"/>
        </w:rPr>
        <w:t xml:space="preserve"> </w:t>
      </w:r>
      <w:r w:rsidR="0046554A" w:rsidRPr="00730AEA">
        <w:rPr>
          <w:i/>
          <w:sz w:val="28"/>
          <w:szCs w:val="28"/>
        </w:rPr>
        <w:t>(EM kompetence)</w:t>
      </w:r>
    </w:p>
    <w:p w:rsidR="00C90A02" w:rsidRPr="00730AEA" w:rsidRDefault="00730AEA" w:rsidP="002902E4">
      <w:pPr>
        <w:pStyle w:val="ListParagraph"/>
        <w:numPr>
          <w:ilvl w:val="0"/>
          <w:numId w:val="2"/>
        </w:numPr>
        <w:jc w:val="both"/>
        <w:rPr>
          <w:i/>
          <w:sz w:val="28"/>
          <w:szCs w:val="28"/>
        </w:rPr>
      </w:pPr>
      <w:r w:rsidRPr="00730AEA">
        <w:rPr>
          <w:i/>
          <w:sz w:val="28"/>
          <w:szCs w:val="28"/>
        </w:rPr>
        <w:t>Komisijas</w:t>
      </w:r>
      <w:r w:rsidR="00C90A02" w:rsidRPr="00730AEA">
        <w:rPr>
          <w:i/>
          <w:sz w:val="28"/>
          <w:szCs w:val="28"/>
        </w:rPr>
        <w:t xml:space="preserve"> sniegta informācija</w:t>
      </w:r>
    </w:p>
    <w:p w:rsidR="00B222DB" w:rsidRDefault="00B222DB" w:rsidP="00492CE1">
      <w:pPr>
        <w:jc w:val="both"/>
        <w:rPr>
          <w:sz w:val="28"/>
          <w:highlight w:val="yellow"/>
        </w:rPr>
      </w:pPr>
    </w:p>
    <w:p w:rsidR="006E0C4F" w:rsidRPr="006E0C4F" w:rsidRDefault="008944A8" w:rsidP="008944A8">
      <w:pPr>
        <w:jc w:val="both"/>
        <w:rPr>
          <w:sz w:val="28"/>
        </w:rPr>
      </w:pPr>
      <w:r>
        <w:rPr>
          <w:sz w:val="28"/>
        </w:rPr>
        <w:tab/>
        <w:t xml:space="preserve">Sanāksmes laikā Komisija sniegs aktuālo informāciju par iniciatīvu „Izaugsmes misiju”. </w:t>
      </w:r>
      <w:r w:rsidR="006E0C4F" w:rsidRPr="006E0C4F">
        <w:rPr>
          <w:sz w:val="28"/>
        </w:rPr>
        <w:t xml:space="preserve">Mazā Uzņēmējdarbības akta Eiropai ES ārējo tirgus apgūšanas vadlīnijas ietvaros, 2011.gadā Komisija ir uzsākusi iniciatīvu „Izaugsmes misiju” organizēšanu, ar mērķi sniegt atbalstu MVU, </w:t>
      </w:r>
      <w:r w:rsidR="006E1708">
        <w:rPr>
          <w:sz w:val="28"/>
        </w:rPr>
        <w:t>palīdzēt pārvarēt</w:t>
      </w:r>
      <w:r w:rsidR="006E0C4F" w:rsidRPr="006E0C4F">
        <w:rPr>
          <w:sz w:val="28"/>
        </w:rPr>
        <w:t xml:space="preserve"> ekonom</w:t>
      </w:r>
      <w:r w:rsidR="006E1708">
        <w:rPr>
          <w:sz w:val="28"/>
        </w:rPr>
        <w:t>ikas krīzes apstākļus un veicinā</w:t>
      </w:r>
      <w:r w:rsidR="006E0C4F" w:rsidRPr="006E0C4F">
        <w:rPr>
          <w:sz w:val="28"/>
        </w:rPr>
        <w:t xml:space="preserve">t to konkurētspēju pasaules līmenī. Misiju ietvaros tiek organizētas augsta līmeņa amatpersonu tikšanās dažādos nozaru jautājumos un tajās piedalās pārstāvji no Komisijas, dalībvalstu uzņēmēju delegācijas un trešo valstu augsta līmeņa pārstāvības institūciju amatpersonas. Uzņēmumu delegāciju atlase notiek izmantojot dažādus informācijas kanālus, tostarp </w:t>
      </w:r>
      <w:r w:rsidR="006E1708">
        <w:rPr>
          <w:sz w:val="28"/>
        </w:rPr>
        <w:t>Eiropas uzņēmumu tīklu (EEN), dalībvalstu vēstniecības un pārstāvniecības, nozaru asociācijas</w:t>
      </w:r>
      <w:r w:rsidR="006E0C4F" w:rsidRPr="006E0C4F">
        <w:rPr>
          <w:sz w:val="28"/>
        </w:rPr>
        <w:t xml:space="preserve"> u.c.</w:t>
      </w:r>
    </w:p>
    <w:p w:rsidR="006E0C4F" w:rsidRPr="006E0C4F" w:rsidRDefault="006E0C4F" w:rsidP="006E0C4F">
      <w:pPr>
        <w:jc w:val="both"/>
        <w:rPr>
          <w:sz w:val="28"/>
        </w:rPr>
      </w:pPr>
      <w:r>
        <w:rPr>
          <w:sz w:val="28"/>
        </w:rPr>
        <w:tab/>
      </w:r>
      <w:r w:rsidRPr="006E0C4F">
        <w:rPr>
          <w:sz w:val="28"/>
        </w:rPr>
        <w:t>Laika posmā no 2011.gada decembra līdz 2013.gada janvārim ir notikušas misijas uz tādām valstīm kā ASV, Brazīlija, Argentīna, Meksika, Čīle, Peru, Kolumbija, Tunisija, Ēģipte, iesaistot 300 uzņēmējus no 18 ES dalībvalstīm, ir noslēgti 56 politiskās vienošanās/ sadarbības līgumi.</w:t>
      </w:r>
    </w:p>
    <w:p w:rsidR="006E0C4F" w:rsidRDefault="006E0C4F" w:rsidP="00492CE1">
      <w:pPr>
        <w:jc w:val="both"/>
        <w:rPr>
          <w:sz w:val="28"/>
          <w:highlight w:val="yellow"/>
        </w:rPr>
      </w:pPr>
      <w:r>
        <w:rPr>
          <w:sz w:val="28"/>
        </w:rPr>
        <w:tab/>
      </w:r>
      <w:r w:rsidRPr="006E0C4F">
        <w:rPr>
          <w:sz w:val="28"/>
        </w:rPr>
        <w:t>Lai pārņemtu labāko praksi un misijās iesaistītu arvien vairāk ES dalībvalstu uzņēmējus Komisija plāno izveidot ciešāku sadarbību ar ES dalībvalstīm, izmantojot dažādus informācijas kanālus.</w:t>
      </w:r>
    </w:p>
    <w:p w:rsidR="00CD417C" w:rsidRPr="000D0931" w:rsidRDefault="00CD417C" w:rsidP="00492CE1">
      <w:pPr>
        <w:jc w:val="both"/>
        <w:rPr>
          <w:sz w:val="28"/>
          <w:highlight w:val="yellow"/>
        </w:rPr>
      </w:pPr>
      <w:r>
        <w:rPr>
          <w:b/>
          <w:sz w:val="28"/>
        </w:rPr>
        <w:lastRenderedPageBreak/>
        <w:tab/>
      </w:r>
      <w:r w:rsidRPr="006E0C4F">
        <w:rPr>
          <w:b/>
          <w:sz w:val="28"/>
        </w:rPr>
        <w:t>Latvija kopumā vērtē pozitīvi</w:t>
      </w:r>
      <w:r w:rsidRPr="006E0C4F">
        <w:rPr>
          <w:sz w:val="28"/>
        </w:rPr>
        <w:t xml:space="preserve"> Komisijas iniciatīvu „Izaugsmes misijas”, jo tā sniedz iespēju ES dalībvalstu MVU gūt pieredzi ārpus ES tirgus, pārstāvot dažādas tautsaimniecības nozares vienlaikus un parādot Eiropu kā uzņēmējdarbībai labvēlīgu un iespējām atvērtu vietu. Vienlaikus </w:t>
      </w:r>
      <w:r w:rsidRPr="006E0C4F">
        <w:rPr>
          <w:b/>
          <w:sz w:val="28"/>
        </w:rPr>
        <w:t>Latvija pauž bažas</w:t>
      </w:r>
      <w:r w:rsidRPr="006E0C4F">
        <w:rPr>
          <w:sz w:val="28"/>
        </w:rPr>
        <w:t xml:space="preserve">, ka ES mazo ekonomiku uzņēmumiem dalība konkrētajā iniciatīvā var būt ierobežota. Piemēram, Latvijā ir salīdzinoši mazs skaits eksportējošo uzņēmumu, lai arī lielākā daļa no tiem ir tieši MVU, vienlaikus Latvijas uzņēmumu lielākais pluss ir tas, ka tie prot ātri pielāgoties tirgus vajadzībām vai spēj tajā noturēties arī </w:t>
      </w:r>
      <w:r w:rsidR="008B10DC">
        <w:rPr>
          <w:sz w:val="28"/>
        </w:rPr>
        <w:t>ilgtermiņā. Nolūkā attīstīt ES V</w:t>
      </w:r>
      <w:r w:rsidRPr="006E0C4F">
        <w:rPr>
          <w:sz w:val="28"/>
        </w:rPr>
        <w:t>ienoto tirgu un vienmērīgu tā reģionālo attīstību, vēlamies uzsvērt, ka ir nepieciešams veicināt visu ES dalībvalstu uzņēmumu pārstāvību misijās.</w:t>
      </w:r>
    </w:p>
    <w:p w:rsidR="006E0C4F" w:rsidRDefault="006E0C4F">
      <w:pPr>
        <w:spacing w:after="200" w:line="276" w:lineRule="auto"/>
        <w:rPr>
          <w:b/>
          <w:sz w:val="28"/>
          <w:szCs w:val="28"/>
        </w:rPr>
      </w:pPr>
      <w:r>
        <w:rPr>
          <w:b/>
          <w:sz w:val="28"/>
          <w:szCs w:val="28"/>
        </w:rPr>
        <w:br w:type="page"/>
      </w:r>
    </w:p>
    <w:p w:rsidR="0049471A" w:rsidRPr="00025B33" w:rsidRDefault="0049471A" w:rsidP="000017A5">
      <w:pPr>
        <w:jc w:val="both"/>
        <w:rPr>
          <w:b/>
          <w:sz w:val="28"/>
          <w:szCs w:val="28"/>
        </w:rPr>
      </w:pPr>
      <w:r w:rsidRPr="00025B33">
        <w:rPr>
          <w:b/>
          <w:sz w:val="28"/>
          <w:szCs w:val="28"/>
        </w:rPr>
        <w:lastRenderedPageBreak/>
        <w:t>2.  Latvijas delegācija</w:t>
      </w:r>
    </w:p>
    <w:p w:rsidR="0066585F" w:rsidRDefault="0066585F" w:rsidP="0066585F">
      <w:pPr>
        <w:ind w:left="2977" w:hanging="2977"/>
        <w:jc w:val="both"/>
        <w:rPr>
          <w:sz w:val="28"/>
          <w:szCs w:val="28"/>
        </w:rPr>
      </w:pPr>
      <w:r w:rsidRPr="001F33E5">
        <w:rPr>
          <w:sz w:val="28"/>
          <w:szCs w:val="28"/>
        </w:rPr>
        <w:t xml:space="preserve">Delegācijas vadītājs: </w:t>
      </w:r>
      <w:r w:rsidRPr="001F33E5">
        <w:rPr>
          <w:sz w:val="28"/>
          <w:szCs w:val="28"/>
        </w:rPr>
        <w:tab/>
      </w:r>
      <w:r w:rsidR="000D0931">
        <w:rPr>
          <w:b/>
          <w:sz w:val="28"/>
          <w:szCs w:val="28"/>
        </w:rPr>
        <w:t>Daniels Pavļuts</w:t>
      </w:r>
      <w:r w:rsidRPr="001F33E5">
        <w:rPr>
          <w:sz w:val="28"/>
          <w:szCs w:val="28"/>
        </w:rPr>
        <w:t xml:space="preserve">, </w:t>
      </w:r>
      <w:r w:rsidRPr="00025B33">
        <w:rPr>
          <w:sz w:val="28"/>
          <w:szCs w:val="28"/>
        </w:rPr>
        <w:t>Ekonomikas minist</w:t>
      </w:r>
      <w:r w:rsidR="000D0931">
        <w:rPr>
          <w:sz w:val="28"/>
          <w:szCs w:val="28"/>
        </w:rPr>
        <w:t>rs</w:t>
      </w:r>
      <w:r w:rsidRPr="001F33E5">
        <w:rPr>
          <w:sz w:val="28"/>
          <w:szCs w:val="28"/>
        </w:rPr>
        <w:t>.</w:t>
      </w:r>
    </w:p>
    <w:p w:rsidR="0066585F" w:rsidRPr="001F33E5" w:rsidRDefault="0066585F" w:rsidP="0066585F">
      <w:pPr>
        <w:ind w:left="2977" w:hanging="2977"/>
        <w:jc w:val="both"/>
        <w:rPr>
          <w:sz w:val="28"/>
          <w:szCs w:val="28"/>
        </w:rPr>
      </w:pPr>
    </w:p>
    <w:p w:rsidR="00601F9C" w:rsidRPr="00767288" w:rsidRDefault="0066585F" w:rsidP="00601F9C">
      <w:pPr>
        <w:ind w:left="2977" w:hanging="2977"/>
        <w:jc w:val="both"/>
        <w:rPr>
          <w:sz w:val="28"/>
          <w:szCs w:val="28"/>
        </w:rPr>
      </w:pPr>
      <w:r w:rsidRPr="001F33E5">
        <w:rPr>
          <w:sz w:val="28"/>
          <w:szCs w:val="28"/>
        </w:rPr>
        <w:t xml:space="preserve">Delegācijas dalībnieki: </w:t>
      </w:r>
      <w:r w:rsidRPr="001F33E5">
        <w:rPr>
          <w:sz w:val="28"/>
          <w:szCs w:val="28"/>
        </w:rPr>
        <w:tab/>
      </w:r>
      <w:r w:rsidR="00601F9C" w:rsidRPr="00767288">
        <w:rPr>
          <w:b/>
          <w:sz w:val="28"/>
          <w:szCs w:val="28"/>
        </w:rPr>
        <w:t>J</w:t>
      </w:r>
      <w:r w:rsidR="004D1754" w:rsidRPr="00767288">
        <w:rPr>
          <w:b/>
          <w:sz w:val="28"/>
          <w:szCs w:val="28"/>
        </w:rPr>
        <w:t xml:space="preserve">uris </w:t>
      </w:r>
      <w:r w:rsidR="00601F9C" w:rsidRPr="00767288">
        <w:rPr>
          <w:b/>
          <w:sz w:val="28"/>
          <w:szCs w:val="28"/>
        </w:rPr>
        <w:t>Štālmeistars</w:t>
      </w:r>
      <w:r w:rsidR="00601F9C" w:rsidRPr="00767288">
        <w:rPr>
          <w:sz w:val="28"/>
          <w:szCs w:val="28"/>
        </w:rPr>
        <w:t>, Latvijas Republikas pastāvīgā pārstāvja Eiropas Savienībā vietnieks;</w:t>
      </w:r>
    </w:p>
    <w:p w:rsidR="00601F9C" w:rsidRPr="00767288" w:rsidRDefault="004D1754" w:rsidP="00601F9C">
      <w:pPr>
        <w:ind w:left="2977"/>
        <w:jc w:val="both"/>
        <w:rPr>
          <w:sz w:val="28"/>
          <w:szCs w:val="28"/>
        </w:rPr>
      </w:pPr>
      <w:r w:rsidRPr="00767288">
        <w:rPr>
          <w:b/>
          <w:sz w:val="28"/>
          <w:szCs w:val="28"/>
        </w:rPr>
        <w:t xml:space="preserve">Zaiga </w:t>
      </w:r>
      <w:r w:rsidR="0066585F" w:rsidRPr="00767288">
        <w:rPr>
          <w:b/>
          <w:sz w:val="28"/>
          <w:szCs w:val="28"/>
        </w:rPr>
        <w:t>Liepiņa</w:t>
      </w:r>
      <w:r w:rsidR="0066585F" w:rsidRPr="00767288">
        <w:rPr>
          <w:sz w:val="28"/>
          <w:szCs w:val="28"/>
        </w:rPr>
        <w:t>, Ekonomikas ministrijas valsts sekretāra vietniece;</w:t>
      </w:r>
    </w:p>
    <w:p w:rsidR="0066585F" w:rsidRPr="00767288" w:rsidRDefault="004D1754" w:rsidP="0066585F">
      <w:pPr>
        <w:ind w:left="2977"/>
        <w:jc w:val="both"/>
        <w:rPr>
          <w:sz w:val="28"/>
          <w:szCs w:val="28"/>
        </w:rPr>
      </w:pPr>
      <w:r w:rsidRPr="00767288">
        <w:rPr>
          <w:b/>
          <w:sz w:val="28"/>
          <w:szCs w:val="28"/>
        </w:rPr>
        <w:t xml:space="preserve">Aivars </w:t>
      </w:r>
      <w:r w:rsidR="0066585F" w:rsidRPr="00767288">
        <w:rPr>
          <w:b/>
          <w:sz w:val="28"/>
          <w:szCs w:val="28"/>
        </w:rPr>
        <w:t>Neimanis</w:t>
      </w:r>
      <w:r w:rsidR="0066585F" w:rsidRPr="00767288">
        <w:rPr>
          <w:sz w:val="28"/>
          <w:szCs w:val="28"/>
        </w:rPr>
        <w:t>, Ekonomikas ministrijas nozares padomnieks Latvijas Republikas Pastāvīgajā pārstāvniecībā Eiropas Savienībā;</w:t>
      </w:r>
    </w:p>
    <w:p w:rsidR="0066585F" w:rsidRPr="00767288" w:rsidRDefault="0066585F" w:rsidP="0066585F">
      <w:pPr>
        <w:ind w:left="2977"/>
        <w:jc w:val="both"/>
        <w:rPr>
          <w:bCs/>
          <w:sz w:val="28"/>
          <w:szCs w:val="28"/>
        </w:rPr>
      </w:pPr>
      <w:r w:rsidRPr="00767288">
        <w:rPr>
          <w:b/>
          <w:bCs/>
          <w:sz w:val="28"/>
          <w:szCs w:val="28"/>
        </w:rPr>
        <w:t>Anna Upena</w:t>
      </w:r>
      <w:r w:rsidRPr="00767288">
        <w:rPr>
          <w:bCs/>
          <w:sz w:val="28"/>
          <w:szCs w:val="28"/>
        </w:rPr>
        <w:t>,</w:t>
      </w:r>
      <w:r w:rsidRPr="00767288">
        <w:rPr>
          <w:b/>
          <w:bCs/>
          <w:sz w:val="28"/>
          <w:szCs w:val="28"/>
        </w:rPr>
        <w:t xml:space="preserve"> </w:t>
      </w:r>
      <w:r w:rsidRPr="00767288">
        <w:rPr>
          <w:bCs/>
          <w:sz w:val="28"/>
          <w:szCs w:val="28"/>
        </w:rPr>
        <w:t xml:space="preserve">Ekonomikas ministrijas nozares padomniece Latvijas Republikas </w:t>
      </w:r>
      <w:r w:rsidRPr="00767288">
        <w:rPr>
          <w:sz w:val="28"/>
          <w:szCs w:val="28"/>
        </w:rPr>
        <w:t xml:space="preserve">Pastāvīgajā pārstāvniecībā </w:t>
      </w:r>
      <w:r w:rsidR="0046554A" w:rsidRPr="00767288">
        <w:rPr>
          <w:bCs/>
          <w:sz w:val="28"/>
          <w:szCs w:val="28"/>
        </w:rPr>
        <w:t>Eiropas Savienībā</w:t>
      </w:r>
      <w:r w:rsidR="0076578F">
        <w:rPr>
          <w:bCs/>
          <w:sz w:val="28"/>
          <w:szCs w:val="28"/>
        </w:rPr>
        <w:t>.</w:t>
      </w:r>
    </w:p>
    <w:p w:rsidR="0049471A" w:rsidRPr="00025B33" w:rsidRDefault="0049471A" w:rsidP="00CA30F2">
      <w:pPr>
        <w:tabs>
          <w:tab w:val="right" w:pos="9071"/>
        </w:tabs>
        <w:spacing w:after="120"/>
        <w:jc w:val="both"/>
        <w:rPr>
          <w:sz w:val="28"/>
          <w:szCs w:val="28"/>
        </w:rPr>
      </w:pPr>
    </w:p>
    <w:p w:rsidR="002D40CD" w:rsidRPr="00025B33" w:rsidRDefault="002D40CD" w:rsidP="006031F7">
      <w:pPr>
        <w:tabs>
          <w:tab w:val="right" w:pos="9071"/>
        </w:tabs>
        <w:spacing w:after="120"/>
        <w:ind w:firstLine="851"/>
        <w:jc w:val="both"/>
        <w:rPr>
          <w:sz w:val="28"/>
          <w:szCs w:val="28"/>
        </w:rPr>
      </w:pPr>
    </w:p>
    <w:p w:rsidR="00546424" w:rsidRPr="00025B33" w:rsidRDefault="00546424" w:rsidP="006031F7">
      <w:pPr>
        <w:ind w:firstLine="851"/>
        <w:jc w:val="both"/>
        <w:rPr>
          <w:sz w:val="28"/>
          <w:szCs w:val="28"/>
        </w:rPr>
      </w:pPr>
    </w:p>
    <w:p w:rsidR="00084744" w:rsidRDefault="003840A0" w:rsidP="00025B33">
      <w:pPr>
        <w:tabs>
          <w:tab w:val="right" w:pos="8931"/>
        </w:tabs>
        <w:spacing w:after="120"/>
        <w:rPr>
          <w:sz w:val="28"/>
          <w:szCs w:val="28"/>
        </w:rPr>
      </w:pPr>
      <w:r w:rsidRPr="00025B33">
        <w:rPr>
          <w:sz w:val="28"/>
          <w:szCs w:val="28"/>
        </w:rPr>
        <w:t xml:space="preserve">Iesniedzējs: </w:t>
      </w:r>
      <w:r w:rsidR="00025B33">
        <w:rPr>
          <w:sz w:val="28"/>
          <w:szCs w:val="28"/>
        </w:rPr>
        <w:tab/>
      </w:r>
    </w:p>
    <w:p w:rsidR="00484651" w:rsidRPr="00025B33" w:rsidRDefault="00D813CF" w:rsidP="00D813CF">
      <w:pPr>
        <w:tabs>
          <w:tab w:val="right" w:pos="8931"/>
        </w:tabs>
        <w:spacing w:after="120"/>
        <w:rPr>
          <w:sz w:val="28"/>
          <w:szCs w:val="28"/>
        </w:rPr>
      </w:pPr>
      <w:r>
        <w:rPr>
          <w:sz w:val="28"/>
          <w:szCs w:val="28"/>
        </w:rPr>
        <w:t xml:space="preserve">Ekonomikas </w:t>
      </w:r>
      <w:r w:rsidR="00084744" w:rsidRPr="00084744">
        <w:rPr>
          <w:sz w:val="28"/>
          <w:szCs w:val="28"/>
        </w:rPr>
        <w:t>ministrs</w:t>
      </w:r>
      <w:r>
        <w:rPr>
          <w:sz w:val="28"/>
          <w:szCs w:val="28"/>
        </w:rPr>
        <w:tab/>
        <w:t>D</w:t>
      </w:r>
      <w:r w:rsidR="00084744" w:rsidRPr="00084744">
        <w:rPr>
          <w:sz w:val="28"/>
          <w:szCs w:val="28"/>
        </w:rPr>
        <w:t>.</w:t>
      </w:r>
      <w:r>
        <w:rPr>
          <w:sz w:val="28"/>
          <w:szCs w:val="28"/>
        </w:rPr>
        <w:t>Pavļuts</w:t>
      </w:r>
    </w:p>
    <w:p w:rsidR="003840A0" w:rsidRDefault="003840A0" w:rsidP="00977FEC">
      <w:pPr>
        <w:spacing w:after="120"/>
        <w:jc w:val="both"/>
        <w:rPr>
          <w:sz w:val="28"/>
          <w:szCs w:val="28"/>
        </w:rPr>
      </w:pPr>
    </w:p>
    <w:p w:rsidR="00B77079" w:rsidRPr="00025B33" w:rsidRDefault="00B77079" w:rsidP="00977FEC">
      <w:pPr>
        <w:spacing w:after="120"/>
        <w:jc w:val="both"/>
        <w:rPr>
          <w:sz w:val="28"/>
          <w:szCs w:val="28"/>
        </w:rPr>
      </w:pPr>
    </w:p>
    <w:p w:rsidR="0066585F" w:rsidRDefault="003840A0" w:rsidP="00025B33">
      <w:pPr>
        <w:tabs>
          <w:tab w:val="right" w:pos="8931"/>
        </w:tabs>
        <w:spacing w:after="120"/>
        <w:rPr>
          <w:sz w:val="28"/>
          <w:szCs w:val="28"/>
        </w:rPr>
      </w:pPr>
      <w:r w:rsidRPr="00025B33">
        <w:rPr>
          <w:sz w:val="28"/>
          <w:szCs w:val="28"/>
        </w:rPr>
        <w:t xml:space="preserve">Vizē: </w:t>
      </w:r>
      <w:r w:rsidR="00025B33">
        <w:rPr>
          <w:sz w:val="28"/>
          <w:szCs w:val="28"/>
        </w:rPr>
        <w:tab/>
      </w:r>
      <w:r w:rsidRPr="00025B33">
        <w:rPr>
          <w:sz w:val="28"/>
          <w:szCs w:val="28"/>
        </w:rPr>
        <w:t>Valsts sekretārs</w:t>
      </w:r>
    </w:p>
    <w:p w:rsidR="003840A0" w:rsidRPr="00025B33" w:rsidRDefault="003840A0" w:rsidP="00025B33">
      <w:pPr>
        <w:tabs>
          <w:tab w:val="right" w:pos="8931"/>
        </w:tabs>
        <w:spacing w:after="120"/>
        <w:rPr>
          <w:sz w:val="28"/>
          <w:szCs w:val="28"/>
        </w:rPr>
      </w:pPr>
      <w:r w:rsidRPr="00025B33">
        <w:rPr>
          <w:sz w:val="28"/>
          <w:szCs w:val="28"/>
        </w:rPr>
        <w:tab/>
        <w:t xml:space="preserve">   J. Pūce</w:t>
      </w:r>
    </w:p>
    <w:p w:rsidR="0066585F" w:rsidRPr="00025B33" w:rsidRDefault="0066585F" w:rsidP="006031F7">
      <w:pPr>
        <w:ind w:firstLine="851"/>
        <w:jc w:val="both"/>
        <w:rPr>
          <w:sz w:val="28"/>
          <w:szCs w:val="28"/>
        </w:rPr>
      </w:pPr>
    </w:p>
    <w:p w:rsidR="00422C05" w:rsidRPr="00271604" w:rsidRDefault="00422C05" w:rsidP="00025B33">
      <w:pPr>
        <w:jc w:val="both"/>
        <w:rPr>
          <w:sz w:val="20"/>
          <w:szCs w:val="18"/>
        </w:rPr>
      </w:pPr>
      <w:r w:rsidRPr="00271604">
        <w:rPr>
          <w:sz w:val="20"/>
          <w:szCs w:val="18"/>
        </w:rPr>
        <w:t xml:space="preserve">Atbildīgā amatpersona: </w:t>
      </w:r>
    </w:p>
    <w:p w:rsidR="00447246" w:rsidRPr="00271604" w:rsidRDefault="003840A0" w:rsidP="00025B33">
      <w:pPr>
        <w:jc w:val="both"/>
        <w:rPr>
          <w:sz w:val="20"/>
          <w:szCs w:val="18"/>
        </w:rPr>
      </w:pPr>
      <w:r w:rsidRPr="00271604">
        <w:rPr>
          <w:sz w:val="20"/>
          <w:szCs w:val="18"/>
        </w:rPr>
        <w:t>Inese Balode</w:t>
      </w:r>
    </w:p>
    <w:p w:rsidR="00447246" w:rsidRPr="00271604" w:rsidRDefault="00447246" w:rsidP="00025B33">
      <w:pPr>
        <w:jc w:val="both"/>
        <w:rPr>
          <w:sz w:val="20"/>
          <w:szCs w:val="18"/>
        </w:rPr>
      </w:pPr>
      <w:r w:rsidRPr="00271604">
        <w:rPr>
          <w:sz w:val="20"/>
          <w:szCs w:val="18"/>
        </w:rPr>
        <w:t>Ekonomikas ministrijas</w:t>
      </w:r>
    </w:p>
    <w:p w:rsidR="00447246" w:rsidRPr="00271604" w:rsidRDefault="00447246" w:rsidP="00025B33">
      <w:pPr>
        <w:tabs>
          <w:tab w:val="left" w:pos="6882"/>
        </w:tabs>
        <w:jc w:val="both"/>
        <w:rPr>
          <w:sz w:val="20"/>
          <w:szCs w:val="18"/>
        </w:rPr>
      </w:pPr>
      <w:r w:rsidRPr="00271604">
        <w:rPr>
          <w:sz w:val="20"/>
          <w:szCs w:val="18"/>
        </w:rPr>
        <w:t>Ārējo ekonomisko at</w:t>
      </w:r>
      <w:r w:rsidR="003840A0" w:rsidRPr="00271604">
        <w:rPr>
          <w:sz w:val="20"/>
          <w:szCs w:val="18"/>
        </w:rPr>
        <w:t>tiecību departamenta direktore</w:t>
      </w:r>
      <w:r w:rsidR="00850787" w:rsidRPr="00271604">
        <w:rPr>
          <w:sz w:val="20"/>
          <w:szCs w:val="18"/>
        </w:rPr>
        <w:tab/>
      </w:r>
    </w:p>
    <w:p w:rsidR="00447246" w:rsidRPr="00271604" w:rsidRDefault="00447246" w:rsidP="00025B33">
      <w:pPr>
        <w:jc w:val="both"/>
        <w:rPr>
          <w:sz w:val="20"/>
          <w:szCs w:val="18"/>
        </w:rPr>
      </w:pPr>
      <w:r w:rsidRPr="00271604">
        <w:rPr>
          <w:sz w:val="20"/>
          <w:szCs w:val="18"/>
        </w:rPr>
        <w:t>tālr.:67013</w:t>
      </w:r>
      <w:r w:rsidR="003840A0" w:rsidRPr="00271604">
        <w:rPr>
          <w:sz w:val="20"/>
          <w:szCs w:val="18"/>
        </w:rPr>
        <w:t>064</w:t>
      </w:r>
    </w:p>
    <w:p w:rsidR="00447246" w:rsidRPr="00271604" w:rsidRDefault="00447246" w:rsidP="00025B33">
      <w:pPr>
        <w:jc w:val="both"/>
        <w:rPr>
          <w:sz w:val="20"/>
          <w:szCs w:val="18"/>
        </w:rPr>
      </w:pPr>
      <w:r w:rsidRPr="00271604">
        <w:rPr>
          <w:sz w:val="20"/>
          <w:szCs w:val="18"/>
        </w:rPr>
        <w:t xml:space="preserve">faksa numurs 67280882 </w:t>
      </w:r>
    </w:p>
    <w:p w:rsidR="00447246" w:rsidRPr="00271604" w:rsidRDefault="00447246" w:rsidP="00025B33">
      <w:pPr>
        <w:jc w:val="both"/>
        <w:rPr>
          <w:sz w:val="20"/>
          <w:szCs w:val="18"/>
        </w:rPr>
      </w:pPr>
      <w:r w:rsidRPr="00271604">
        <w:rPr>
          <w:sz w:val="20"/>
          <w:szCs w:val="18"/>
        </w:rPr>
        <w:t xml:space="preserve">e-pasts: </w:t>
      </w:r>
      <w:r w:rsidR="003840A0" w:rsidRPr="00271604">
        <w:rPr>
          <w:sz w:val="20"/>
          <w:szCs w:val="18"/>
        </w:rPr>
        <w:t>Inese.Balode@em.gov.lv</w:t>
      </w:r>
    </w:p>
    <w:p w:rsidR="00422C05" w:rsidRPr="00025B33" w:rsidRDefault="00422C05" w:rsidP="00025B33">
      <w:pPr>
        <w:jc w:val="both"/>
        <w:rPr>
          <w:sz w:val="18"/>
          <w:szCs w:val="18"/>
          <w:u w:val="single"/>
        </w:rPr>
      </w:pPr>
    </w:p>
    <w:p w:rsidR="00271604" w:rsidRPr="00B77079" w:rsidRDefault="00767288" w:rsidP="00025B33">
      <w:pPr>
        <w:jc w:val="both"/>
        <w:rPr>
          <w:sz w:val="20"/>
        </w:rPr>
      </w:pPr>
      <w:r w:rsidRPr="00B77079">
        <w:rPr>
          <w:sz w:val="20"/>
        </w:rPr>
        <w:t>11.02</w:t>
      </w:r>
      <w:r w:rsidR="00271604" w:rsidRPr="00B77079">
        <w:rPr>
          <w:sz w:val="20"/>
        </w:rPr>
        <w:t>.201</w:t>
      </w:r>
      <w:r w:rsidRPr="00B77079">
        <w:rPr>
          <w:sz w:val="20"/>
        </w:rPr>
        <w:t>3. 12</w:t>
      </w:r>
      <w:r w:rsidR="00271604" w:rsidRPr="00B77079">
        <w:rPr>
          <w:sz w:val="20"/>
        </w:rPr>
        <w:t>:</w:t>
      </w:r>
      <w:r w:rsidRPr="00B77079">
        <w:rPr>
          <w:sz w:val="20"/>
        </w:rPr>
        <w:t>00</w:t>
      </w:r>
    </w:p>
    <w:p w:rsidR="00447246" w:rsidRPr="00271604" w:rsidRDefault="004D1754" w:rsidP="00025B33">
      <w:pPr>
        <w:jc w:val="both"/>
        <w:rPr>
          <w:sz w:val="20"/>
          <w:szCs w:val="18"/>
        </w:rPr>
      </w:pPr>
      <w:r w:rsidRPr="00B77079">
        <w:rPr>
          <w:sz w:val="28"/>
        </w:rPr>
        <w:fldChar w:fldCharType="begin"/>
      </w:r>
      <w:r w:rsidRPr="00B77079">
        <w:rPr>
          <w:sz w:val="28"/>
        </w:rPr>
        <w:instrText xml:space="preserve"> NUMWORDS   \* MERGEFORMAT </w:instrText>
      </w:r>
      <w:r w:rsidRPr="00B77079">
        <w:rPr>
          <w:sz w:val="28"/>
        </w:rPr>
        <w:fldChar w:fldCharType="separate"/>
      </w:r>
      <w:r w:rsidR="00DD3197" w:rsidRPr="00DD3197">
        <w:rPr>
          <w:noProof/>
          <w:sz w:val="20"/>
          <w:szCs w:val="18"/>
        </w:rPr>
        <w:t>2149</w:t>
      </w:r>
      <w:r w:rsidRPr="00B77079">
        <w:rPr>
          <w:noProof/>
          <w:sz w:val="20"/>
          <w:szCs w:val="18"/>
        </w:rPr>
        <w:fldChar w:fldCharType="end"/>
      </w:r>
    </w:p>
    <w:p w:rsidR="00447246" w:rsidRPr="00271604" w:rsidRDefault="00DC4512" w:rsidP="00025B33">
      <w:pPr>
        <w:jc w:val="both"/>
        <w:rPr>
          <w:sz w:val="20"/>
          <w:szCs w:val="18"/>
        </w:rPr>
      </w:pPr>
      <w:r w:rsidRPr="00271604">
        <w:rPr>
          <w:sz w:val="20"/>
          <w:szCs w:val="18"/>
        </w:rPr>
        <w:t>K</w:t>
      </w:r>
      <w:r w:rsidR="00447246" w:rsidRPr="00271604">
        <w:rPr>
          <w:sz w:val="20"/>
          <w:szCs w:val="18"/>
        </w:rPr>
        <w:t>.</w:t>
      </w:r>
      <w:r w:rsidRPr="00271604">
        <w:rPr>
          <w:sz w:val="20"/>
          <w:szCs w:val="18"/>
        </w:rPr>
        <w:t>Stabiņš</w:t>
      </w:r>
    </w:p>
    <w:p w:rsidR="00447246" w:rsidRPr="00271604" w:rsidRDefault="00447246" w:rsidP="00025B33">
      <w:pPr>
        <w:jc w:val="both"/>
        <w:rPr>
          <w:sz w:val="20"/>
          <w:szCs w:val="18"/>
        </w:rPr>
      </w:pPr>
      <w:r w:rsidRPr="00271604">
        <w:rPr>
          <w:sz w:val="20"/>
          <w:szCs w:val="18"/>
        </w:rPr>
        <w:t>Ekonomikas ministrijas</w:t>
      </w:r>
    </w:p>
    <w:p w:rsidR="00447246" w:rsidRPr="00271604" w:rsidRDefault="00447246" w:rsidP="00025B33">
      <w:pPr>
        <w:jc w:val="both"/>
        <w:rPr>
          <w:sz w:val="20"/>
          <w:szCs w:val="18"/>
        </w:rPr>
      </w:pPr>
      <w:r w:rsidRPr="00271604">
        <w:rPr>
          <w:sz w:val="20"/>
          <w:szCs w:val="18"/>
        </w:rPr>
        <w:t>Ārējo ekonomisko attiecību departaments</w:t>
      </w:r>
    </w:p>
    <w:p w:rsidR="00447246" w:rsidRPr="00271604" w:rsidRDefault="00DC4512" w:rsidP="00025B33">
      <w:pPr>
        <w:jc w:val="both"/>
        <w:rPr>
          <w:sz w:val="32"/>
          <w:szCs w:val="28"/>
        </w:rPr>
      </w:pPr>
      <w:r w:rsidRPr="00271604">
        <w:rPr>
          <w:sz w:val="20"/>
          <w:szCs w:val="18"/>
        </w:rPr>
        <w:t>67013046</w:t>
      </w:r>
      <w:r w:rsidR="00447246" w:rsidRPr="00271604">
        <w:rPr>
          <w:sz w:val="20"/>
          <w:szCs w:val="18"/>
        </w:rPr>
        <w:t xml:space="preserve">, </w:t>
      </w:r>
      <w:r w:rsidRPr="00271604">
        <w:rPr>
          <w:sz w:val="20"/>
          <w:szCs w:val="18"/>
        </w:rPr>
        <w:t>Kaspars</w:t>
      </w:r>
      <w:r w:rsidR="00447246" w:rsidRPr="00271604">
        <w:rPr>
          <w:sz w:val="20"/>
          <w:szCs w:val="18"/>
        </w:rPr>
        <w:t>.</w:t>
      </w:r>
      <w:r w:rsidRPr="00271604">
        <w:rPr>
          <w:sz w:val="20"/>
          <w:szCs w:val="18"/>
        </w:rPr>
        <w:t>Stabins</w:t>
      </w:r>
      <w:r w:rsidR="00447246" w:rsidRPr="00271604">
        <w:rPr>
          <w:sz w:val="20"/>
          <w:szCs w:val="18"/>
        </w:rPr>
        <w:t xml:space="preserve">@em.gov.lv </w:t>
      </w:r>
    </w:p>
    <w:sectPr w:rsidR="00447246" w:rsidRPr="00271604" w:rsidSect="00FB544A">
      <w:headerReference w:type="default" r:id="rId9"/>
      <w:footerReference w:type="default" r:id="rId10"/>
      <w:footerReference w:type="first" r:id="rId11"/>
      <w:pgSz w:w="11906" w:h="16838"/>
      <w:pgMar w:top="993"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C72" w:rsidRDefault="006B7C72" w:rsidP="0079342A">
      <w:r>
        <w:separator/>
      </w:r>
    </w:p>
  </w:endnote>
  <w:endnote w:type="continuationSeparator" w:id="0">
    <w:p w:rsidR="006B7C72" w:rsidRDefault="006B7C72" w:rsidP="00793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769" w:rsidRPr="00A95769" w:rsidRDefault="00A95769">
    <w:pPr>
      <w:rPr>
        <w:szCs w:val="20"/>
      </w:rPr>
    </w:pPr>
    <w:r w:rsidRPr="00A95769">
      <w:rPr>
        <w:sz w:val="20"/>
        <w:szCs w:val="20"/>
        <w:lang w:eastAsia="en-US"/>
      </w:rPr>
      <w:t>EMZino_120213_COMPET; Informatīvais zi</w:t>
    </w:r>
    <w:r>
      <w:rPr>
        <w:sz w:val="20"/>
        <w:szCs w:val="20"/>
        <w:lang w:eastAsia="en-US"/>
      </w:rPr>
      <w:t>ņojums par</w:t>
    </w:r>
    <w:r w:rsidRPr="00A95769">
      <w:rPr>
        <w:sz w:val="20"/>
        <w:szCs w:val="20"/>
        <w:lang w:eastAsia="en-US"/>
      </w:rPr>
      <w:t xml:space="preserve"> Latvijas Republikas nostāju Eiropas Savienības Konkurētspējas ministru padomes 2013.gada 19.februāra sanāksmē izskatāmajos jautājumos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92" w:rsidRPr="003840A0" w:rsidRDefault="00713692" w:rsidP="00A95769">
    <w:pPr>
      <w:rPr>
        <w:szCs w:val="20"/>
      </w:rPr>
    </w:pPr>
    <w:r w:rsidRPr="00A95769">
      <w:rPr>
        <w:sz w:val="20"/>
        <w:szCs w:val="20"/>
        <w:lang w:eastAsia="en-US"/>
      </w:rPr>
      <w:t>EMZino_</w:t>
    </w:r>
    <w:r w:rsidR="001D3D90" w:rsidRPr="00A95769">
      <w:rPr>
        <w:sz w:val="20"/>
        <w:szCs w:val="20"/>
        <w:lang w:eastAsia="en-US"/>
      </w:rPr>
      <w:t>1202</w:t>
    </w:r>
    <w:r w:rsidRPr="00A95769">
      <w:rPr>
        <w:sz w:val="20"/>
        <w:szCs w:val="20"/>
        <w:lang w:eastAsia="en-US"/>
      </w:rPr>
      <w:t>1</w:t>
    </w:r>
    <w:r w:rsidR="001D3D90" w:rsidRPr="00A95769">
      <w:rPr>
        <w:sz w:val="20"/>
        <w:szCs w:val="20"/>
        <w:lang w:eastAsia="en-US"/>
      </w:rPr>
      <w:t xml:space="preserve">3_COMPET; </w:t>
    </w:r>
    <w:r w:rsidR="00A95769" w:rsidRPr="00A95769">
      <w:rPr>
        <w:sz w:val="20"/>
        <w:szCs w:val="20"/>
        <w:lang w:eastAsia="en-US"/>
      </w:rPr>
      <w:t>Informatīvais ziņojums par Latvijas Republikas nostāju Eiropas Savienības Konkurētspējas ministru padomes 2013.gada 19.februāra sanāksmē izskatāmajos jautājumos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C72" w:rsidRDefault="006B7C72" w:rsidP="0079342A">
      <w:r>
        <w:separator/>
      </w:r>
    </w:p>
  </w:footnote>
  <w:footnote w:type="continuationSeparator" w:id="0">
    <w:p w:rsidR="006B7C72" w:rsidRDefault="006B7C72" w:rsidP="0079342A">
      <w:r>
        <w:continuationSeparator/>
      </w:r>
    </w:p>
  </w:footnote>
  <w:footnote w:id="1">
    <w:p w:rsidR="00AB472F" w:rsidRDefault="00AB472F" w:rsidP="00AB472F">
      <w:pPr>
        <w:pStyle w:val="FootnoteText"/>
        <w:jc w:val="both"/>
      </w:pPr>
      <w:r w:rsidRPr="00AB472F">
        <w:rPr>
          <w:rStyle w:val="FootnoteReference"/>
        </w:rPr>
        <w:footnoteRef/>
      </w:r>
      <w:r w:rsidRPr="00AB472F">
        <w:t xml:space="preserve"> Spēkā ir</w:t>
      </w:r>
      <w:r w:rsidR="003313D6">
        <w:t xml:space="preserve"> </w:t>
      </w:r>
      <w:r w:rsidR="008C37EF">
        <w:t>nacionālā pozīcija Nr.</w:t>
      </w:r>
      <w:r w:rsidRPr="00AB472F">
        <w:t>1 „Par 2013.gada Ikgadējo izaugsmes ziņojumu”</w:t>
      </w:r>
      <w:r w:rsidR="003313D6">
        <w:t xml:space="preserve">, </w:t>
      </w:r>
      <w:r w:rsidR="003313D6" w:rsidRPr="003313D6">
        <w:t>kura apstiprināta Ekonomikas ministrijā</w:t>
      </w:r>
      <w:r w:rsidR="0065425C">
        <w:t xml:space="preserve"> 2012.gada 21</w:t>
      </w:r>
      <w:r w:rsidR="003313D6">
        <w:t>.decembrī</w:t>
      </w:r>
      <w:r w:rsidR="0065425C">
        <w:t>, Nr.</w:t>
      </w:r>
      <w:r w:rsidR="0065425C" w:rsidRPr="0065425C">
        <w:t>1-17-13347</w:t>
      </w:r>
      <w:r w:rsidRPr="00AB472F">
        <w:t>.</w:t>
      </w:r>
      <w:r>
        <w:t xml:space="preserve"> </w:t>
      </w:r>
    </w:p>
  </w:footnote>
  <w:footnote w:id="2">
    <w:p w:rsidR="009E0216" w:rsidRDefault="009E0216" w:rsidP="009E0216">
      <w:pPr>
        <w:pStyle w:val="FootnoteText"/>
        <w:jc w:val="both"/>
      </w:pPr>
      <w:r w:rsidRPr="008944A8">
        <w:rPr>
          <w:rStyle w:val="FootnoteReference"/>
        </w:rPr>
        <w:footnoteRef/>
      </w:r>
      <w:r w:rsidRPr="008944A8">
        <w:t xml:space="preserve"> </w:t>
      </w:r>
      <w:r w:rsidR="00A95769" w:rsidRPr="008944A8">
        <w:t>Spēkā ir nacionālā pozīcija Nr.1 „Padomes secinājumi par atjauninātu paziņojumu par rūpniecības politiku – Spēcīgāka Eiropas rūpniecība izaugsmei un ekonomikas atveseļošanai”</w:t>
      </w:r>
      <w:r w:rsidR="008944A8">
        <w:t xml:space="preserve">, </w:t>
      </w:r>
      <w:r w:rsidR="008944A8" w:rsidRPr="008944A8">
        <w:t>kas apstiprināta Ministru kabinetā 2012.gada 10.decembrī  un Saeimas Eiropas lietu komisijā 2012.gada 7.decembrī</w:t>
      </w:r>
      <w:r w:rsidR="00B54D3B">
        <w:t>.</w:t>
      </w:r>
    </w:p>
  </w:footnote>
  <w:footnote w:id="3">
    <w:p w:rsidR="009E0216" w:rsidRPr="003313D6" w:rsidRDefault="009E0216" w:rsidP="009E0216">
      <w:pPr>
        <w:pStyle w:val="FootnoteText"/>
        <w:jc w:val="both"/>
      </w:pPr>
      <w:r w:rsidRPr="003313D6">
        <w:rPr>
          <w:rStyle w:val="FootnoteReference"/>
        </w:rPr>
        <w:footnoteRef/>
      </w:r>
      <w:r w:rsidRPr="003313D6">
        <w:t xml:space="preserve"> Spēkā ir nacionā</w:t>
      </w:r>
      <w:r w:rsidR="003313D6" w:rsidRPr="003313D6">
        <w:t>lā pozīcija Nr.1 „Par Komisijas paziņojumu Eiropas Parlamentam, Padomei, Eiropas Ekonomikas un sociālo lietu komitejas un Reģionu komitejai par Pakalpojumu direktīvas īstenošanu. Partnerība jaunai pakalpojumu nozares izaugsmei 2012-2015”, kura apstiprināta Ekonomikas ministrijā 2012.gada 10.decembrī, Nr.1-17-12778</w:t>
      </w:r>
      <w:r w:rsidRPr="003313D6">
        <w:t xml:space="preserve">. </w:t>
      </w:r>
    </w:p>
  </w:footnote>
  <w:footnote w:id="4">
    <w:p w:rsidR="00713692" w:rsidRDefault="00713692" w:rsidP="009C3C35">
      <w:pPr>
        <w:pStyle w:val="FootnoteText"/>
        <w:jc w:val="both"/>
      </w:pPr>
      <w:r w:rsidRPr="003313D6">
        <w:rPr>
          <w:rStyle w:val="FootnoteReference"/>
        </w:rPr>
        <w:footnoteRef/>
      </w:r>
      <w:r w:rsidRPr="003313D6">
        <w:t xml:space="preserve"> Spēkā ir nacionālā pozīcija</w:t>
      </w:r>
      <w:r w:rsidR="003313D6" w:rsidRPr="003313D6">
        <w:t xml:space="preserve"> Nr.1 „Par Komisijas paziņojumu Eiropas Parlamentam, padomei, Eiropas Ekonomikas un sociālo lietu komitejai un reģionu komitejai par Vienotā tirgus labāku pārvaldību”, kura apstiprināta Ekonomikas ministrijā 2012.gada 10.decembrī, Nr.1-17-12780</w:t>
      </w:r>
      <w:r w:rsidRPr="003313D6">
        <w:t>.</w:t>
      </w:r>
      <w:r>
        <w:t xml:space="preserve"> </w:t>
      </w:r>
    </w:p>
  </w:footnote>
  <w:footnote w:id="5">
    <w:p w:rsidR="008B6386" w:rsidRDefault="008B6386">
      <w:pPr>
        <w:pStyle w:val="FootnoteText"/>
      </w:pPr>
      <w:r>
        <w:rPr>
          <w:rStyle w:val="FootnoteReference"/>
        </w:rPr>
        <w:footnoteRef/>
      </w:r>
      <w:r>
        <w:t xml:space="preserve"> Spēkā ir nacionālā pozīcija Nr. 2 </w:t>
      </w:r>
      <w:r w:rsidRPr="008B6386">
        <w:rPr>
          <w:i/>
        </w:rPr>
        <w:t>„Priekšlikums Eiropas Parlamenta un Padomes Regulai, ar ko izveido Savienības Muitas kodeksu”</w:t>
      </w:r>
      <w:r>
        <w:t xml:space="preserve">, kas apstiprināta Ministru kabinetā 2012.gada 10.decembrī  un </w:t>
      </w:r>
      <w:r w:rsidRPr="008B6386">
        <w:t>Saeimas Eiropas l</w:t>
      </w:r>
      <w:r>
        <w:t>ietu komisijā 2012.gada 7.decembrī.</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0564"/>
      <w:docPartObj>
        <w:docPartGallery w:val="Page Numbers (Top of Page)"/>
        <w:docPartUnique/>
      </w:docPartObj>
    </w:sdtPr>
    <w:sdtEndPr/>
    <w:sdtContent>
      <w:p w:rsidR="00713692" w:rsidRDefault="00713692">
        <w:pPr>
          <w:pStyle w:val="Header"/>
          <w:jc w:val="center"/>
        </w:pPr>
        <w:r>
          <w:fldChar w:fldCharType="begin"/>
        </w:r>
        <w:r>
          <w:instrText xml:space="preserve"> PAGE   \* MERGEFORMAT </w:instrText>
        </w:r>
        <w:r>
          <w:fldChar w:fldCharType="separate"/>
        </w:r>
        <w:r w:rsidR="00E34604">
          <w:rPr>
            <w:noProof/>
          </w:rPr>
          <w:t>2</w:t>
        </w:r>
        <w:r>
          <w:rPr>
            <w:noProof/>
          </w:rPr>
          <w:fldChar w:fldCharType="end"/>
        </w:r>
      </w:p>
    </w:sdtContent>
  </w:sdt>
  <w:p w:rsidR="00713692" w:rsidRDefault="007136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5E1"/>
    <w:multiLevelType w:val="hybridMultilevel"/>
    <w:tmpl w:val="407666B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1">
    <w:nsid w:val="031C74E4"/>
    <w:multiLevelType w:val="hybridMultilevel"/>
    <w:tmpl w:val="7F30BD40"/>
    <w:lvl w:ilvl="0" w:tplc="83C21008">
      <w:numFmt w:val="bullet"/>
      <w:lvlText w:val="•"/>
      <w:lvlJc w:val="left"/>
      <w:pPr>
        <w:ind w:left="720" w:hanging="72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07823B45"/>
    <w:multiLevelType w:val="hybridMultilevel"/>
    <w:tmpl w:val="A252CCD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07904939"/>
    <w:multiLevelType w:val="hybridMultilevel"/>
    <w:tmpl w:val="A0E89520"/>
    <w:lvl w:ilvl="0" w:tplc="04260011">
      <w:start w:val="1"/>
      <w:numFmt w:val="decimal"/>
      <w:lvlText w:val="%1)"/>
      <w:lvlJc w:val="left"/>
      <w:pPr>
        <w:ind w:left="3240" w:hanging="360"/>
      </w:pPr>
      <w:rPr>
        <w:rFonts w:hint="default"/>
      </w:rPr>
    </w:lvl>
    <w:lvl w:ilvl="1" w:tplc="04260019" w:tentative="1">
      <w:start w:val="1"/>
      <w:numFmt w:val="lowerLetter"/>
      <w:lvlText w:val="%2."/>
      <w:lvlJc w:val="left"/>
      <w:pPr>
        <w:ind w:left="3960" w:hanging="360"/>
      </w:pPr>
    </w:lvl>
    <w:lvl w:ilvl="2" w:tplc="0426001B" w:tentative="1">
      <w:start w:val="1"/>
      <w:numFmt w:val="lowerRoman"/>
      <w:lvlText w:val="%3."/>
      <w:lvlJc w:val="right"/>
      <w:pPr>
        <w:ind w:left="4680" w:hanging="180"/>
      </w:pPr>
    </w:lvl>
    <w:lvl w:ilvl="3" w:tplc="0426000F" w:tentative="1">
      <w:start w:val="1"/>
      <w:numFmt w:val="decimal"/>
      <w:lvlText w:val="%4."/>
      <w:lvlJc w:val="left"/>
      <w:pPr>
        <w:ind w:left="5400" w:hanging="360"/>
      </w:pPr>
    </w:lvl>
    <w:lvl w:ilvl="4" w:tplc="04260019" w:tentative="1">
      <w:start w:val="1"/>
      <w:numFmt w:val="lowerLetter"/>
      <w:lvlText w:val="%5."/>
      <w:lvlJc w:val="left"/>
      <w:pPr>
        <w:ind w:left="6120" w:hanging="360"/>
      </w:pPr>
    </w:lvl>
    <w:lvl w:ilvl="5" w:tplc="0426001B" w:tentative="1">
      <w:start w:val="1"/>
      <w:numFmt w:val="lowerRoman"/>
      <w:lvlText w:val="%6."/>
      <w:lvlJc w:val="right"/>
      <w:pPr>
        <w:ind w:left="6840" w:hanging="180"/>
      </w:pPr>
    </w:lvl>
    <w:lvl w:ilvl="6" w:tplc="0426000F" w:tentative="1">
      <w:start w:val="1"/>
      <w:numFmt w:val="decimal"/>
      <w:lvlText w:val="%7."/>
      <w:lvlJc w:val="left"/>
      <w:pPr>
        <w:ind w:left="7560" w:hanging="360"/>
      </w:pPr>
    </w:lvl>
    <w:lvl w:ilvl="7" w:tplc="04260019" w:tentative="1">
      <w:start w:val="1"/>
      <w:numFmt w:val="lowerLetter"/>
      <w:lvlText w:val="%8."/>
      <w:lvlJc w:val="left"/>
      <w:pPr>
        <w:ind w:left="8280" w:hanging="360"/>
      </w:pPr>
    </w:lvl>
    <w:lvl w:ilvl="8" w:tplc="0426001B" w:tentative="1">
      <w:start w:val="1"/>
      <w:numFmt w:val="lowerRoman"/>
      <w:lvlText w:val="%9."/>
      <w:lvlJc w:val="right"/>
      <w:pPr>
        <w:ind w:left="9000" w:hanging="180"/>
      </w:pPr>
    </w:lvl>
  </w:abstractNum>
  <w:abstractNum w:abstractNumId="4">
    <w:nsid w:val="0E504798"/>
    <w:multiLevelType w:val="hybridMultilevel"/>
    <w:tmpl w:val="506E2326"/>
    <w:lvl w:ilvl="0" w:tplc="B26A2A7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1E24C7F"/>
    <w:multiLevelType w:val="hybridMultilevel"/>
    <w:tmpl w:val="DF6A93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B7B7BBB"/>
    <w:multiLevelType w:val="hybridMultilevel"/>
    <w:tmpl w:val="119871D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1BFB2F7C"/>
    <w:multiLevelType w:val="hybridMultilevel"/>
    <w:tmpl w:val="E78CA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C2A3A8B"/>
    <w:multiLevelType w:val="hybridMultilevel"/>
    <w:tmpl w:val="4D3EB860"/>
    <w:lvl w:ilvl="0" w:tplc="2A36E7E6">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1F8E4949"/>
    <w:multiLevelType w:val="hybridMultilevel"/>
    <w:tmpl w:val="72967E16"/>
    <w:lvl w:ilvl="0" w:tplc="75E67668">
      <w:start w:val="3"/>
      <w:numFmt w:val="bullet"/>
      <w:lvlText w:val="–"/>
      <w:lvlJc w:val="left"/>
      <w:pPr>
        <w:ind w:left="360" w:hanging="360"/>
      </w:pPr>
      <w:rPr>
        <w:rFonts w:ascii="Times New Roman" w:eastAsia="Times New Roman" w:hAnsi="Times New Roman" w:cs="Times New Roman" w:hint="default"/>
      </w:rPr>
    </w:lvl>
    <w:lvl w:ilvl="1" w:tplc="AA5C32D4">
      <w:numFmt w:val="bullet"/>
      <w:lvlText w:val="-"/>
      <w:lvlJc w:val="left"/>
      <w:pPr>
        <w:ind w:left="1080" w:hanging="360"/>
      </w:pPr>
      <w:rPr>
        <w:rFonts w:ascii="Times New Roman" w:eastAsia="Times New Roman" w:hAnsi="Times New Roman" w:cs="Times New Roman"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25DE5E3E"/>
    <w:multiLevelType w:val="hybridMultilevel"/>
    <w:tmpl w:val="7B7CC3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A716C51"/>
    <w:multiLevelType w:val="hybridMultilevel"/>
    <w:tmpl w:val="8820BBEA"/>
    <w:lvl w:ilvl="0" w:tplc="5CEA0A3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E1B74FB"/>
    <w:multiLevelType w:val="hybridMultilevel"/>
    <w:tmpl w:val="43DE12F2"/>
    <w:lvl w:ilvl="0" w:tplc="F58699E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FAD48F8"/>
    <w:multiLevelType w:val="hybridMultilevel"/>
    <w:tmpl w:val="E5AA5E98"/>
    <w:lvl w:ilvl="0" w:tplc="A9CC90B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93D1EA4"/>
    <w:multiLevelType w:val="hybridMultilevel"/>
    <w:tmpl w:val="B7C47F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A75568E"/>
    <w:multiLevelType w:val="hybridMultilevel"/>
    <w:tmpl w:val="93D035CC"/>
    <w:lvl w:ilvl="0" w:tplc="B8B0B76A">
      <w:start w:val="1"/>
      <w:numFmt w:val="lowerLetter"/>
      <w:lvlText w:val="%1)"/>
      <w:lvlJc w:val="left"/>
      <w:pPr>
        <w:ind w:left="36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16">
    <w:nsid w:val="3D4968C2"/>
    <w:multiLevelType w:val="hybridMultilevel"/>
    <w:tmpl w:val="014278DE"/>
    <w:lvl w:ilvl="0" w:tplc="B8B0B76A">
      <w:start w:val="1"/>
      <w:numFmt w:val="lowerLetter"/>
      <w:lvlText w:val="%1)"/>
      <w:lvlJc w:val="left"/>
      <w:pPr>
        <w:ind w:left="1080" w:hanging="360"/>
      </w:pPr>
      <w:rPr>
        <w:rFonts w:hint="default"/>
      </w:rPr>
    </w:lvl>
    <w:lvl w:ilvl="1" w:tplc="819249D4">
      <w:start w:val="1"/>
      <w:numFmt w:val="decimal"/>
      <w:lvlText w:val="%2."/>
      <w:lvlJc w:val="left"/>
      <w:pPr>
        <w:ind w:left="2160" w:hanging="72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3E1A3708"/>
    <w:multiLevelType w:val="hybridMultilevel"/>
    <w:tmpl w:val="D9C044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2933E4F"/>
    <w:multiLevelType w:val="hybridMultilevel"/>
    <w:tmpl w:val="E78CA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2DF37F4"/>
    <w:multiLevelType w:val="hybridMultilevel"/>
    <w:tmpl w:val="1BD8780C"/>
    <w:lvl w:ilvl="0" w:tplc="C71C23FE">
      <w:start w:val="1"/>
      <w:numFmt w:val="lowerLetter"/>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47141CAA"/>
    <w:multiLevelType w:val="hybridMultilevel"/>
    <w:tmpl w:val="D3FC1DD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nsid w:val="48B622CD"/>
    <w:multiLevelType w:val="hybridMultilevel"/>
    <w:tmpl w:val="49BAC8F0"/>
    <w:lvl w:ilvl="0" w:tplc="04260017">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nsid w:val="534B2A81"/>
    <w:multiLevelType w:val="hybridMultilevel"/>
    <w:tmpl w:val="9F727A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50C795B"/>
    <w:multiLevelType w:val="hybridMultilevel"/>
    <w:tmpl w:val="CEAADF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62A4CCA"/>
    <w:multiLevelType w:val="hybridMultilevel"/>
    <w:tmpl w:val="65F614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B0E7EB9"/>
    <w:multiLevelType w:val="hybridMultilevel"/>
    <w:tmpl w:val="B42C9E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BD07D52"/>
    <w:multiLevelType w:val="hybridMultilevel"/>
    <w:tmpl w:val="A358DBE0"/>
    <w:lvl w:ilvl="0" w:tplc="C2AA8FE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D681665"/>
    <w:multiLevelType w:val="hybridMultilevel"/>
    <w:tmpl w:val="18328A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8581204"/>
    <w:multiLevelType w:val="hybridMultilevel"/>
    <w:tmpl w:val="A21EF22E"/>
    <w:lvl w:ilvl="0" w:tplc="B26A2A7C">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nsid w:val="7A7B19E4"/>
    <w:multiLevelType w:val="hybridMultilevel"/>
    <w:tmpl w:val="C914C1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7D242272"/>
    <w:multiLevelType w:val="hybridMultilevel"/>
    <w:tmpl w:val="08947A90"/>
    <w:lvl w:ilvl="0" w:tplc="0426000F">
      <w:start w:val="1"/>
      <w:numFmt w:val="decimal"/>
      <w:lvlText w:val="%1."/>
      <w:lvlJc w:val="left"/>
      <w:pPr>
        <w:ind w:left="360" w:hanging="360"/>
      </w:pPr>
      <w:rPr>
        <w:rFonts w:hint="default"/>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7"/>
  </w:num>
  <w:num w:numId="2">
    <w:abstractNumId w:val="12"/>
  </w:num>
  <w:num w:numId="3">
    <w:abstractNumId w:val="21"/>
  </w:num>
  <w:num w:numId="4">
    <w:abstractNumId w:val="26"/>
  </w:num>
  <w:num w:numId="5">
    <w:abstractNumId w:val="13"/>
  </w:num>
  <w:num w:numId="6">
    <w:abstractNumId w:val="11"/>
  </w:num>
  <w:num w:numId="7">
    <w:abstractNumId w:val="27"/>
  </w:num>
  <w:num w:numId="8">
    <w:abstractNumId w:val="23"/>
  </w:num>
  <w:num w:numId="9">
    <w:abstractNumId w:val="4"/>
  </w:num>
  <w:num w:numId="10">
    <w:abstractNumId w:val="28"/>
  </w:num>
  <w:num w:numId="11">
    <w:abstractNumId w:val="25"/>
  </w:num>
  <w:num w:numId="12">
    <w:abstractNumId w:val="1"/>
  </w:num>
  <w:num w:numId="13">
    <w:abstractNumId w:val="22"/>
  </w:num>
  <w:num w:numId="14">
    <w:abstractNumId w:val="8"/>
  </w:num>
  <w:num w:numId="15">
    <w:abstractNumId w:val="24"/>
  </w:num>
  <w:num w:numId="16">
    <w:abstractNumId w:val="16"/>
  </w:num>
  <w:num w:numId="17">
    <w:abstractNumId w:val="19"/>
  </w:num>
  <w:num w:numId="18">
    <w:abstractNumId w:val="29"/>
  </w:num>
  <w:num w:numId="19">
    <w:abstractNumId w:val="10"/>
  </w:num>
  <w:num w:numId="20">
    <w:abstractNumId w:val="15"/>
  </w:num>
  <w:num w:numId="21">
    <w:abstractNumId w:val="0"/>
  </w:num>
  <w:num w:numId="22">
    <w:abstractNumId w:val="9"/>
  </w:num>
  <w:num w:numId="23">
    <w:abstractNumId w:val="3"/>
  </w:num>
  <w:num w:numId="24">
    <w:abstractNumId w:val="5"/>
  </w:num>
  <w:num w:numId="25">
    <w:abstractNumId w:val="14"/>
  </w:num>
  <w:num w:numId="26">
    <w:abstractNumId w:val="7"/>
  </w:num>
  <w:num w:numId="27">
    <w:abstractNumId w:val="18"/>
  </w:num>
  <w:num w:numId="28">
    <w:abstractNumId w:val="30"/>
  </w:num>
  <w:num w:numId="29">
    <w:abstractNumId w:val="6"/>
  </w:num>
  <w:num w:numId="30">
    <w:abstractNumId w:val="2"/>
  </w:num>
  <w:num w:numId="3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948"/>
    <w:rsid w:val="000017A5"/>
    <w:rsid w:val="00010DE8"/>
    <w:rsid w:val="00013A67"/>
    <w:rsid w:val="00014E4E"/>
    <w:rsid w:val="000163A1"/>
    <w:rsid w:val="00017CA9"/>
    <w:rsid w:val="00022163"/>
    <w:rsid w:val="000230C6"/>
    <w:rsid w:val="00025B33"/>
    <w:rsid w:val="000304D8"/>
    <w:rsid w:val="00033500"/>
    <w:rsid w:val="00037E43"/>
    <w:rsid w:val="00045380"/>
    <w:rsid w:val="00053471"/>
    <w:rsid w:val="000538D0"/>
    <w:rsid w:val="00054145"/>
    <w:rsid w:val="00060563"/>
    <w:rsid w:val="00071F6B"/>
    <w:rsid w:val="00074A8E"/>
    <w:rsid w:val="00076994"/>
    <w:rsid w:val="00077875"/>
    <w:rsid w:val="0008031F"/>
    <w:rsid w:val="00084744"/>
    <w:rsid w:val="0009144F"/>
    <w:rsid w:val="0009145C"/>
    <w:rsid w:val="000A4383"/>
    <w:rsid w:val="000A4384"/>
    <w:rsid w:val="000A599E"/>
    <w:rsid w:val="000A61D6"/>
    <w:rsid w:val="000A7576"/>
    <w:rsid w:val="000A7F3E"/>
    <w:rsid w:val="000B468F"/>
    <w:rsid w:val="000B5EF5"/>
    <w:rsid w:val="000B652B"/>
    <w:rsid w:val="000C5C3C"/>
    <w:rsid w:val="000C66EB"/>
    <w:rsid w:val="000D0931"/>
    <w:rsid w:val="000E2988"/>
    <w:rsid w:val="001118E5"/>
    <w:rsid w:val="001129BD"/>
    <w:rsid w:val="00117654"/>
    <w:rsid w:val="00117904"/>
    <w:rsid w:val="00121DEA"/>
    <w:rsid w:val="00122F72"/>
    <w:rsid w:val="00126A02"/>
    <w:rsid w:val="0013164E"/>
    <w:rsid w:val="001445E2"/>
    <w:rsid w:val="00150BB3"/>
    <w:rsid w:val="00155A62"/>
    <w:rsid w:val="00156ECD"/>
    <w:rsid w:val="00157C4A"/>
    <w:rsid w:val="001620EA"/>
    <w:rsid w:val="0016420F"/>
    <w:rsid w:val="00165624"/>
    <w:rsid w:val="0016779A"/>
    <w:rsid w:val="001734C8"/>
    <w:rsid w:val="001754CA"/>
    <w:rsid w:val="001829A7"/>
    <w:rsid w:val="00184B27"/>
    <w:rsid w:val="00185F79"/>
    <w:rsid w:val="00185F95"/>
    <w:rsid w:val="0018606F"/>
    <w:rsid w:val="00190A30"/>
    <w:rsid w:val="00191F45"/>
    <w:rsid w:val="00191FBE"/>
    <w:rsid w:val="001A59C1"/>
    <w:rsid w:val="001B0568"/>
    <w:rsid w:val="001B3F3D"/>
    <w:rsid w:val="001B697D"/>
    <w:rsid w:val="001C32B3"/>
    <w:rsid w:val="001C7C93"/>
    <w:rsid w:val="001D356E"/>
    <w:rsid w:val="001D3D90"/>
    <w:rsid w:val="001D4277"/>
    <w:rsid w:val="001E5AD7"/>
    <w:rsid w:val="001E6160"/>
    <w:rsid w:val="001E7413"/>
    <w:rsid w:val="001E7D11"/>
    <w:rsid w:val="002025A8"/>
    <w:rsid w:val="002077AF"/>
    <w:rsid w:val="0021101E"/>
    <w:rsid w:val="002148A4"/>
    <w:rsid w:val="002173E3"/>
    <w:rsid w:val="00224DC4"/>
    <w:rsid w:val="00227FFB"/>
    <w:rsid w:val="0023457E"/>
    <w:rsid w:val="0023512B"/>
    <w:rsid w:val="002357E6"/>
    <w:rsid w:val="0024322A"/>
    <w:rsid w:val="00246F3B"/>
    <w:rsid w:val="002508A5"/>
    <w:rsid w:val="002609E5"/>
    <w:rsid w:val="00271604"/>
    <w:rsid w:val="00272170"/>
    <w:rsid w:val="00276553"/>
    <w:rsid w:val="0028329A"/>
    <w:rsid w:val="002837CA"/>
    <w:rsid w:val="002855EB"/>
    <w:rsid w:val="002902E4"/>
    <w:rsid w:val="002948F4"/>
    <w:rsid w:val="002B0D2A"/>
    <w:rsid w:val="002B221A"/>
    <w:rsid w:val="002B7AA4"/>
    <w:rsid w:val="002C06DC"/>
    <w:rsid w:val="002C657D"/>
    <w:rsid w:val="002D40CD"/>
    <w:rsid w:val="002D63C1"/>
    <w:rsid w:val="002D6A46"/>
    <w:rsid w:val="002E3144"/>
    <w:rsid w:val="002F4A07"/>
    <w:rsid w:val="002F7E81"/>
    <w:rsid w:val="003148EC"/>
    <w:rsid w:val="003159AD"/>
    <w:rsid w:val="00316C2A"/>
    <w:rsid w:val="003221A2"/>
    <w:rsid w:val="00322629"/>
    <w:rsid w:val="00322A7A"/>
    <w:rsid w:val="00324917"/>
    <w:rsid w:val="00327E46"/>
    <w:rsid w:val="003313D6"/>
    <w:rsid w:val="00340539"/>
    <w:rsid w:val="00340656"/>
    <w:rsid w:val="00340D8E"/>
    <w:rsid w:val="0034189E"/>
    <w:rsid w:val="00342A27"/>
    <w:rsid w:val="00347129"/>
    <w:rsid w:val="00360015"/>
    <w:rsid w:val="00370A43"/>
    <w:rsid w:val="003840A0"/>
    <w:rsid w:val="0039412A"/>
    <w:rsid w:val="00395770"/>
    <w:rsid w:val="00397317"/>
    <w:rsid w:val="003A2C6E"/>
    <w:rsid w:val="003A2FBC"/>
    <w:rsid w:val="003A3A6A"/>
    <w:rsid w:val="003A5335"/>
    <w:rsid w:val="003A7387"/>
    <w:rsid w:val="003B0E9A"/>
    <w:rsid w:val="003B32E1"/>
    <w:rsid w:val="003C0B95"/>
    <w:rsid w:val="003C7819"/>
    <w:rsid w:val="003D478B"/>
    <w:rsid w:val="003E1585"/>
    <w:rsid w:val="003E5D30"/>
    <w:rsid w:val="003E7BA4"/>
    <w:rsid w:val="003F0D2C"/>
    <w:rsid w:val="003F3BE3"/>
    <w:rsid w:val="003F5E8D"/>
    <w:rsid w:val="003F69B8"/>
    <w:rsid w:val="00400142"/>
    <w:rsid w:val="0040145B"/>
    <w:rsid w:val="00403309"/>
    <w:rsid w:val="0041089F"/>
    <w:rsid w:val="0041577A"/>
    <w:rsid w:val="00415CBE"/>
    <w:rsid w:val="00416C71"/>
    <w:rsid w:val="00422C05"/>
    <w:rsid w:val="00422C77"/>
    <w:rsid w:val="00425B59"/>
    <w:rsid w:val="00426FD3"/>
    <w:rsid w:val="00434636"/>
    <w:rsid w:val="00441C49"/>
    <w:rsid w:val="004459DC"/>
    <w:rsid w:val="00447246"/>
    <w:rsid w:val="0046554A"/>
    <w:rsid w:val="004718E2"/>
    <w:rsid w:val="00473B73"/>
    <w:rsid w:val="004806CF"/>
    <w:rsid w:val="00484651"/>
    <w:rsid w:val="00485409"/>
    <w:rsid w:val="00485CF8"/>
    <w:rsid w:val="00487328"/>
    <w:rsid w:val="00487A4D"/>
    <w:rsid w:val="00492CE1"/>
    <w:rsid w:val="0049471A"/>
    <w:rsid w:val="004973D5"/>
    <w:rsid w:val="004A242B"/>
    <w:rsid w:val="004A40D6"/>
    <w:rsid w:val="004A5BAC"/>
    <w:rsid w:val="004A70CD"/>
    <w:rsid w:val="004B1495"/>
    <w:rsid w:val="004B1EFF"/>
    <w:rsid w:val="004B6217"/>
    <w:rsid w:val="004C1552"/>
    <w:rsid w:val="004C559D"/>
    <w:rsid w:val="004C79B5"/>
    <w:rsid w:val="004C79CA"/>
    <w:rsid w:val="004D1284"/>
    <w:rsid w:val="004D1754"/>
    <w:rsid w:val="004D3C1B"/>
    <w:rsid w:val="004E4F37"/>
    <w:rsid w:val="004F0096"/>
    <w:rsid w:val="004F1BA9"/>
    <w:rsid w:val="004F6998"/>
    <w:rsid w:val="004F7D9E"/>
    <w:rsid w:val="00505AE3"/>
    <w:rsid w:val="00510883"/>
    <w:rsid w:val="005125D9"/>
    <w:rsid w:val="00512B4C"/>
    <w:rsid w:val="00513109"/>
    <w:rsid w:val="00513E2C"/>
    <w:rsid w:val="005140D4"/>
    <w:rsid w:val="00546424"/>
    <w:rsid w:val="00546D6E"/>
    <w:rsid w:val="005506F5"/>
    <w:rsid w:val="005530C8"/>
    <w:rsid w:val="005605FC"/>
    <w:rsid w:val="00560716"/>
    <w:rsid w:val="0056075A"/>
    <w:rsid w:val="00562471"/>
    <w:rsid w:val="00567871"/>
    <w:rsid w:val="005832F8"/>
    <w:rsid w:val="005854CF"/>
    <w:rsid w:val="00590FA5"/>
    <w:rsid w:val="005A0176"/>
    <w:rsid w:val="005A080A"/>
    <w:rsid w:val="005A18ED"/>
    <w:rsid w:val="005B3E55"/>
    <w:rsid w:val="005B51CA"/>
    <w:rsid w:val="005C4CFD"/>
    <w:rsid w:val="005C626C"/>
    <w:rsid w:val="005D0EFD"/>
    <w:rsid w:val="005E12D5"/>
    <w:rsid w:val="005E3C2B"/>
    <w:rsid w:val="005E404D"/>
    <w:rsid w:val="005E628E"/>
    <w:rsid w:val="005E7680"/>
    <w:rsid w:val="005F1DED"/>
    <w:rsid w:val="005F63AD"/>
    <w:rsid w:val="00601F9C"/>
    <w:rsid w:val="006031F7"/>
    <w:rsid w:val="0062313A"/>
    <w:rsid w:val="006257E0"/>
    <w:rsid w:val="0062606F"/>
    <w:rsid w:val="00633000"/>
    <w:rsid w:val="00644203"/>
    <w:rsid w:val="00645A81"/>
    <w:rsid w:val="00650183"/>
    <w:rsid w:val="0065425C"/>
    <w:rsid w:val="0066585F"/>
    <w:rsid w:val="00667663"/>
    <w:rsid w:val="00680623"/>
    <w:rsid w:val="00681AEA"/>
    <w:rsid w:val="006839D7"/>
    <w:rsid w:val="00683E64"/>
    <w:rsid w:val="006864E7"/>
    <w:rsid w:val="00695AE0"/>
    <w:rsid w:val="006A351C"/>
    <w:rsid w:val="006A6785"/>
    <w:rsid w:val="006B1326"/>
    <w:rsid w:val="006B4243"/>
    <w:rsid w:val="006B7C72"/>
    <w:rsid w:val="006C1461"/>
    <w:rsid w:val="006C47A5"/>
    <w:rsid w:val="006C6B13"/>
    <w:rsid w:val="006E0C4F"/>
    <w:rsid w:val="006E1708"/>
    <w:rsid w:val="006E6817"/>
    <w:rsid w:val="006F14FA"/>
    <w:rsid w:val="006F20B1"/>
    <w:rsid w:val="006F43E3"/>
    <w:rsid w:val="006F63B2"/>
    <w:rsid w:val="006F75AF"/>
    <w:rsid w:val="00701C77"/>
    <w:rsid w:val="00710606"/>
    <w:rsid w:val="00711538"/>
    <w:rsid w:val="00713692"/>
    <w:rsid w:val="00722983"/>
    <w:rsid w:val="00723271"/>
    <w:rsid w:val="00723387"/>
    <w:rsid w:val="00730AEA"/>
    <w:rsid w:val="00734C81"/>
    <w:rsid w:val="00746BF8"/>
    <w:rsid w:val="007549E1"/>
    <w:rsid w:val="0076578F"/>
    <w:rsid w:val="00767288"/>
    <w:rsid w:val="00767B38"/>
    <w:rsid w:val="00767D2C"/>
    <w:rsid w:val="007742B9"/>
    <w:rsid w:val="00775AA0"/>
    <w:rsid w:val="00785D93"/>
    <w:rsid w:val="00786F42"/>
    <w:rsid w:val="00792331"/>
    <w:rsid w:val="0079342A"/>
    <w:rsid w:val="00793C52"/>
    <w:rsid w:val="00793F22"/>
    <w:rsid w:val="007967D1"/>
    <w:rsid w:val="00796BEA"/>
    <w:rsid w:val="007A1C1C"/>
    <w:rsid w:val="007A66B5"/>
    <w:rsid w:val="007B7E2A"/>
    <w:rsid w:val="007C28E9"/>
    <w:rsid w:val="007C418C"/>
    <w:rsid w:val="007C77E8"/>
    <w:rsid w:val="007D1D18"/>
    <w:rsid w:val="007E262E"/>
    <w:rsid w:val="007F00EE"/>
    <w:rsid w:val="007F4FBC"/>
    <w:rsid w:val="00802906"/>
    <w:rsid w:val="00806061"/>
    <w:rsid w:val="008172F3"/>
    <w:rsid w:val="008227B5"/>
    <w:rsid w:val="00835194"/>
    <w:rsid w:val="008441C1"/>
    <w:rsid w:val="00846BE1"/>
    <w:rsid w:val="00850787"/>
    <w:rsid w:val="00850B6B"/>
    <w:rsid w:val="0085787A"/>
    <w:rsid w:val="00861264"/>
    <w:rsid w:val="0086412A"/>
    <w:rsid w:val="008700B2"/>
    <w:rsid w:val="00870885"/>
    <w:rsid w:val="00870F11"/>
    <w:rsid w:val="008821AF"/>
    <w:rsid w:val="00887393"/>
    <w:rsid w:val="008944A8"/>
    <w:rsid w:val="00895A74"/>
    <w:rsid w:val="00897AEF"/>
    <w:rsid w:val="008A2C1F"/>
    <w:rsid w:val="008A7414"/>
    <w:rsid w:val="008B10DC"/>
    <w:rsid w:val="008B6386"/>
    <w:rsid w:val="008C25BB"/>
    <w:rsid w:val="008C37EF"/>
    <w:rsid w:val="008D4FE7"/>
    <w:rsid w:val="008E3674"/>
    <w:rsid w:val="00903C50"/>
    <w:rsid w:val="00904C0B"/>
    <w:rsid w:val="00913690"/>
    <w:rsid w:val="00916B92"/>
    <w:rsid w:val="00920D5B"/>
    <w:rsid w:val="00924B70"/>
    <w:rsid w:val="00924C1F"/>
    <w:rsid w:val="00934B08"/>
    <w:rsid w:val="00943764"/>
    <w:rsid w:val="00951C74"/>
    <w:rsid w:val="009571CF"/>
    <w:rsid w:val="00963DAB"/>
    <w:rsid w:val="0096439C"/>
    <w:rsid w:val="009673C3"/>
    <w:rsid w:val="0097688B"/>
    <w:rsid w:val="00977A26"/>
    <w:rsid w:val="00977FEC"/>
    <w:rsid w:val="00980300"/>
    <w:rsid w:val="009831FF"/>
    <w:rsid w:val="0098644A"/>
    <w:rsid w:val="009A2C41"/>
    <w:rsid w:val="009B1561"/>
    <w:rsid w:val="009B22CA"/>
    <w:rsid w:val="009C3BAD"/>
    <w:rsid w:val="009C3C35"/>
    <w:rsid w:val="009D085B"/>
    <w:rsid w:val="009D2DE7"/>
    <w:rsid w:val="009D3FB4"/>
    <w:rsid w:val="009E0216"/>
    <w:rsid w:val="009E5CC0"/>
    <w:rsid w:val="009F0BE2"/>
    <w:rsid w:val="00A00574"/>
    <w:rsid w:val="00A005C0"/>
    <w:rsid w:val="00A02671"/>
    <w:rsid w:val="00A0668A"/>
    <w:rsid w:val="00A1088E"/>
    <w:rsid w:val="00A10DC8"/>
    <w:rsid w:val="00A12727"/>
    <w:rsid w:val="00A1553F"/>
    <w:rsid w:val="00A16DF9"/>
    <w:rsid w:val="00A17A32"/>
    <w:rsid w:val="00A210CC"/>
    <w:rsid w:val="00A2191E"/>
    <w:rsid w:val="00A27AF2"/>
    <w:rsid w:val="00A30479"/>
    <w:rsid w:val="00A30D3A"/>
    <w:rsid w:val="00A33C17"/>
    <w:rsid w:val="00A37CB5"/>
    <w:rsid w:val="00A50C8B"/>
    <w:rsid w:val="00A50CE7"/>
    <w:rsid w:val="00A55C2C"/>
    <w:rsid w:val="00A57BEB"/>
    <w:rsid w:val="00A86514"/>
    <w:rsid w:val="00A95769"/>
    <w:rsid w:val="00AA384A"/>
    <w:rsid w:val="00AA3CE0"/>
    <w:rsid w:val="00AA4E1F"/>
    <w:rsid w:val="00AA5E1C"/>
    <w:rsid w:val="00AB472F"/>
    <w:rsid w:val="00AC4C9E"/>
    <w:rsid w:val="00AC7D60"/>
    <w:rsid w:val="00AD16CF"/>
    <w:rsid w:val="00AD3DE8"/>
    <w:rsid w:val="00AE0A6E"/>
    <w:rsid w:val="00AE6BB9"/>
    <w:rsid w:val="00AF0F88"/>
    <w:rsid w:val="00AF1DE3"/>
    <w:rsid w:val="00AF5DCC"/>
    <w:rsid w:val="00AF61D5"/>
    <w:rsid w:val="00B006D2"/>
    <w:rsid w:val="00B03397"/>
    <w:rsid w:val="00B04358"/>
    <w:rsid w:val="00B05021"/>
    <w:rsid w:val="00B120E4"/>
    <w:rsid w:val="00B13B5D"/>
    <w:rsid w:val="00B17F0A"/>
    <w:rsid w:val="00B213AE"/>
    <w:rsid w:val="00B222DB"/>
    <w:rsid w:val="00B30030"/>
    <w:rsid w:val="00B3370D"/>
    <w:rsid w:val="00B35468"/>
    <w:rsid w:val="00B4215A"/>
    <w:rsid w:val="00B5276D"/>
    <w:rsid w:val="00B54D3B"/>
    <w:rsid w:val="00B56BD0"/>
    <w:rsid w:val="00B76071"/>
    <w:rsid w:val="00B77079"/>
    <w:rsid w:val="00B81671"/>
    <w:rsid w:val="00B93D2C"/>
    <w:rsid w:val="00B97E85"/>
    <w:rsid w:val="00BA4D1F"/>
    <w:rsid w:val="00BC2BEF"/>
    <w:rsid w:val="00BC5C11"/>
    <w:rsid w:val="00BC6383"/>
    <w:rsid w:val="00BC63CF"/>
    <w:rsid w:val="00BC652F"/>
    <w:rsid w:val="00BD3934"/>
    <w:rsid w:val="00BD6689"/>
    <w:rsid w:val="00C02122"/>
    <w:rsid w:val="00C03FB0"/>
    <w:rsid w:val="00C04CB6"/>
    <w:rsid w:val="00C053B2"/>
    <w:rsid w:val="00C1024F"/>
    <w:rsid w:val="00C23657"/>
    <w:rsid w:val="00C25DFD"/>
    <w:rsid w:val="00C333F6"/>
    <w:rsid w:val="00C34C3A"/>
    <w:rsid w:val="00C41C4F"/>
    <w:rsid w:val="00C4225A"/>
    <w:rsid w:val="00C608C5"/>
    <w:rsid w:val="00C6391A"/>
    <w:rsid w:val="00C70903"/>
    <w:rsid w:val="00C71669"/>
    <w:rsid w:val="00C71685"/>
    <w:rsid w:val="00C7312E"/>
    <w:rsid w:val="00C749ED"/>
    <w:rsid w:val="00C90A02"/>
    <w:rsid w:val="00C93E8A"/>
    <w:rsid w:val="00C94ACC"/>
    <w:rsid w:val="00C96037"/>
    <w:rsid w:val="00CA30F2"/>
    <w:rsid w:val="00CA35A0"/>
    <w:rsid w:val="00CA4B5F"/>
    <w:rsid w:val="00CB6938"/>
    <w:rsid w:val="00CC0AAE"/>
    <w:rsid w:val="00CD0C6C"/>
    <w:rsid w:val="00CD417C"/>
    <w:rsid w:val="00CD6990"/>
    <w:rsid w:val="00CD7727"/>
    <w:rsid w:val="00CF2763"/>
    <w:rsid w:val="00D00F9B"/>
    <w:rsid w:val="00D114E1"/>
    <w:rsid w:val="00D24C05"/>
    <w:rsid w:val="00D2629B"/>
    <w:rsid w:val="00D34A1A"/>
    <w:rsid w:val="00D35CDE"/>
    <w:rsid w:val="00D40A79"/>
    <w:rsid w:val="00D40C4A"/>
    <w:rsid w:val="00D41260"/>
    <w:rsid w:val="00D469F2"/>
    <w:rsid w:val="00D51484"/>
    <w:rsid w:val="00D5482D"/>
    <w:rsid w:val="00D603C1"/>
    <w:rsid w:val="00D739DF"/>
    <w:rsid w:val="00D75B14"/>
    <w:rsid w:val="00D773D0"/>
    <w:rsid w:val="00D813CF"/>
    <w:rsid w:val="00D86467"/>
    <w:rsid w:val="00D96C7D"/>
    <w:rsid w:val="00DA05BD"/>
    <w:rsid w:val="00DB28C9"/>
    <w:rsid w:val="00DC0DC2"/>
    <w:rsid w:val="00DC4512"/>
    <w:rsid w:val="00DC570D"/>
    <w:rsid w:val="00DC7C9D"/>
    <w:rsid w:val="00DD2747"/>
    <w:rsid w:val="00DD3197"/>
    <w:rsid w:val="00DD59D6"/>
    <w:rsid w:val="00DD5D86"/>
    <w:rsid w:val="00DE07DD"/>
    <w:rsid w:val="00DE740D"/>
    <w:rsid w:val="00DF2B1E"/>
    <w:rsid w:val="00E01CA3"/>
    <w:rsid w:val="00E07C92"/>
    <w:rsid w:val="00E14379"/>
    <w:rsid w:val="00E145F1"/>
    <w:rsid w:val="00E14B01"/>
    <w:rsid w:val="00E21948"/>
    <w:rsid w:val="00E24AB6"/>
    <w:rsid w:val="00E32C1F"/>
    <w:rsid w:val="00E34604"/>
    <w:rsid w:val="00E369AA"/>
    <w:rsid w:val="00E44D2E"/>
    <w:rsid w:val="00E618DC"/>
    <w:rsid w:val="00E63036"/>
    <w:rsid w:val="00E64D23"/>
    <w:rsid w:val="00E668E7"/>
    <w:rsid w:val="00E730E6"/>
    <w:rsid w:val="00E73BA7"/>
    <w:rsid w:val="00E80E96"/>
    <w:rsid w:val="00E85613"/>
    <w:rsid w:val="00E91A3C"/>
    <w:rsid w:val="00EA0064"/>
    <w:rsid w:val="00EA2D67"/>
    <w:rsid w:val="00EA682D"/>
    <w:rsid w:val="00EB53B9"/>
    <w:rsid w:val="00EC7A4B"/>
    <w:rsid w:val="00ED2A26"/>
    <w:rsid w:val="00ED4F7F"/>
    <w:rsid w:val="00ED6E57"/>
    <w:rsid w:val="00EE47E2"/>
    <w:rsid w:val="00EE66F8"/>
    <w:rsid w:val="00EF384A"/>
    <w:rsid w:val="00F0485B"/>
    <w:rsid w:val="00F048D2"/>
    <w:rsid w:val="00F11439"/>
    <w:rsid w:val="00F13033"/>
    <w:rsid w:val="00F24451"/>
    <w:rsid w:val="00F25B38"/>
    <w:rsid w:val="00F354C7"/>
    <w:rsid w:val="00F363BE"/>
    <w:rsid w:val="00F36847"/>
    <w:rsid w:val="00F40DA5"/>
    <w:rsid w:val="00F46112"/>
    <w:rsid w:val="00F476CA"/>
    <w:rsid w:val="00F56DFF"/>
    <w:rsid w:val="00F618D1"/>
    <w:rsid w:val="00F62D75"/>
    <w:rsid w:val="00F66029"/>
    <w:rsid w:val="00F71F1B"/>
    <w:rsid w:val="00F74CC4"/>
    <w:rsid w:val="00F772B8"/>
    <w:rsid w:val="00F80F85"/>
    <w:rsid w:val="00F87D49"/>
    <w:rsid w:val="00F930E0"/>
    <w:rsid w:val="00F93FFB"/>
    <w:rsid w:val="00FB168B"/>
    <w:rsid w:val="00FB544A"/>
    <w:rsid w:val="00FC09B8"/>
    <w:rsid w:val="00FC1C37"/>
    <w:rsid w:val="00FC2F31"/>
    <w:rsid w:val="00FD2BBE"/>
    <w:rsid w:val="00FD7764"/>
    <w:rsid w:val="00FE28C5"/>
    <w:rsid w:val="00FF5A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948"/>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qFormat/>
    <w:rsid w:val="005E12D5"/>
    <w:pPr>
      <w:keepNext/>
      <w:jc w:val="center"/>
      <w:outlineLvl w:val="3"/>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1948"/>
    <w:pPr>
      <w:tabs>
        <w:tab w:val="center" w:pos="4153"/>
        <w:tab w:val="right" w:pos="8306"/>
      </w:tabs>
    </w:pPr>
  </w:style>
  <w:style w:type="character" w:customStyle="1" w:styleId="HeaderChar">
    <w:name w:val="Header Char"/>
    <w:basedOn w:val="DefaultParagraphFont"/>
    <w:link w:val="Header"/>
    <w:uiPriority w:val="99"/>
    <w:rsid w:val="00E21948"/>
    <w:rPr>
      <w:rFonts w:ascii="Times New Roman" w:eastAsia="Times New Roman" w:hAnsi="Times New Roman" w:cs="Times New Roman"/>
      <w:sz w:val="24"/>
      <w:szCs w:val="24"/>
      <w:lang w:eastAsia="lv-LV"/>
    </w:rPr>
  </w:style>
  <w:style w:type="paragraph" w:styleId="BodyText2">
    <w:name w:val="Body Text 2"/>
    <w:basedOn w:val="Normal"/>
    <w:link w:val="BodyText2Char"/>
    <w:rsid w:val="00E21948"/>
    <w:pPr>
      <w:jc w:val="center"/>
    </w:pPr>
    <w:rPr>
      <w:sz w:val="32"/>
      <w:lang w:eastAsia="en-US"/>
    </w:rPr>
  </w:style>
  <w:style w:type="character" w:customStyle="1" w:styleId="BodyText2Char">
    <w:name w:val="Body Text 2 Char"/>
    <w:basedOn w:val="DefaultParagraphFont"/>
    <w:link w:val="BodyText2"/>
    <w:rsid w:val="00E21948"/>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E21948"/>
    <w:rPr>
      <w:rFonts w:ascii="Tahoma" w:hAnsi="Tahoma" w:cs="Tahoma"/>
      <w:sz w:val="16"/>
      <w:szCs w:val="16"/>
    </w:rPr>
  </w:style>
  <w:style w:type="character" w:customStyle="1" w:styleId="BalloonTextChar">
    <w:name w:val="Balloon Text Char"/>
    <w:basedOn w:val="DefaultParagraphFont"/>
    <w:link w:val="BalloonText"/>
    <w:uiPriority w:val="99"/>
    <w:semiHidden/>
    <w:rsid w:val="00E21948"/>
    <w:rPr>
      <w:rFonts w:ascii="Tahoma" w:eastAsia="Times New Roman" w:hAnsi="Tahoma" w:cs="Tahoma"/>
      <w:sz w:val="16"/>
      <w:szCs w:val="16"/>
      <w:lang w:eastAsia="lv-LV"/>
    </w:rPr>
  </w:style>
  <w:style w:type="paragraph" w:styleId="ListParagraph">
    <w:name w:val="List Paragraph"/>
    <w:basedOn w:val="Normal"/>
    <w:uiPriority w:val="34"/>
    <w:qFormat/>
    <w:rsid w:val="0079342A"/>
    <w:pPr>
      <w:ind w:left="720"/>
      <w:contextualSpacing/>
    </w:pPr>
  </w:style>
  <w:style w:type="paragraph" w:styleId="Footer">
    <w:name w:val="footer"/>
    <w:basedOn w:val="Normal"/>
    <w:link w:val="FooterChar"/>
    <w:unhideWhenUsed/>
    <w:rsid w:val="0079342A"/>
    <w:pPr>
      <w:tabs>
        <w:tab w:val="center" w:pos="4153"/>
        <w:tab w:val="right" w:pos="8306"/>
      </w:tabs>
    </w:pPr>
  </w:style>
  <w:style w:type="character" w:customStyle="1" w:styleId="FooterChar">
    <w:name w:val="Footer Char"/>
    <w:basedOn w:val="DefaultParagraphFont"/>
    <w:link w:val="Footer"/>
    <w:rsid w:val="0079342A"/>
    <w:rPr>
      <w:rFonts w:ascii="Times New Roman" w:eastAsia="Times New Roman" w:hAnsi="Times New Roman" w:cs="Times New Roman"/>
      <w:sz w:val="24"/>
      <w:szCs w:val="24"/>
      <w:lang w:eastAsia="lv-LV"/>
    </w:rPr>
  </w:style>
  <w:style w:type="paragraph" w:styleId="Title">
    <w:name w:val="Title"/>
    <w:basedOn w:val="Normal"/>
    <w:link w:val="TitleChar"/>
    <w:qFormat/>
    <w:rsid w:val="0079342A"/>
    <w:pPr>
      <w:jc w:val="center"/>
    </w:pPr>
    <w:rPr>
      <w:sz w:val="28"/>
      <w:szCs w:val="28"/>
      <w:lang w:eastAsia="en-US"/>
    </w:rPr>
  </w:style>
  <w:style w:type="character" w:customStyle="1" w:styleId="TitleChar">
    <w:name w:val="Title Char"/>
    <w:basedOn w:val="DefaultParagraphFont"/>
    <w:link w:val="Title"/>
    <w:rsid w:val="0079342A"/>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semiHidden/>
    <w:unhideWhenUsed/>
    <w:rsid w:val="00546D6E"/>
    <w:pPr>
      <w:spacing w:after="120" w:line="480" w:lineRule="auto"/>
      <w:ind w:left="283"/>
    </w:pPr>
  </w:style>
  <w:style w:type="character" w:customStyle="1" w:styleId="BodyTextIndent2Char">
    <w:name w:val="Body Text Indent 2 Char"/>
    <w:basedOn w:val="DefaultParagraphFont"/>
    <w:link w:val="BodyTextIndent2"/>
    <w:uiPriority w:val="99"/>
    <w:semiHidden/>
    <w:rsid w:val="00546D6E"/>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126A02"/>
    <w:pPr>
      <w:spacing w:before="100" w:beforeAutospacing="1" w:after="100" w:afterAutospacing="1"/>
    </w:pPr>
    <w:rPr>
      <w:rFonts w:eastAsiaTheme="minorHAnsi"/>
    </w:rPr>
  </w:style>
  <w:style w:type="character" w:styleId="Emphasis">
    <w:name w:val="Emphasis"/>
    <w:basedOn w:val="DefaultParagraphFont"/>
    <w:uiPriority w:val="20"/>
    <w:qFormat/>
    <w:rsid w:val="00126A02"/>
    <w:rPr>
      <w:i/>
      <w:iCs/>
    </w:rPr>
  </w:style>
  <w:style w:type="character" w:customStyle="1" w:styleId="Heading4Char">
    <w:name w:val="Heading 4 Char"/>
    <w:basedOn w:val="DefaultParagraphFont"/>
    <w:link w:val="Heading4"/>
    <w:rsid w:val="005E12D5"/>
    <w:rPr>
      <w:rFonts w:ascii="Times New Roman" w:eastAsia="Times New Roman" w:hAnsi="Times New Roman" w:cs="Times New Roman"/>
      <w:b/>
      <w:bCs/>
      <w:sz w:val="28"/>
      <w:szCs w:val="24"/>
    </w:rPr>
  </w:style>
  <w:style w:type="character" w:styleId="PlaceholderText">
    <w:name w:val="Placeholder Text"/>
    <w:basedOn w:val="DefaultParagraphFont"/>
    <w:uiPriority w:val="99"/>
    <w:semiHidden/>
    <w:rsid w:val="00422C05"/>
    <w:rPr>
      <w:color w:val="808080"/>
    </w:rPr>
  </w:style>
  <w:style w:type="paragraph" w:customStyle="1" w:styleId="Point0">
    <w:name w:val="Point 0"/>
    <w:basedOn w:val="Normal"/>
    <w:rsid w:val="000538D0"/>
    <w:pPr>
      <w:spacing w:before="120" w:after="120"/>
      <w:ind w:left="850" w:hanging="850"/>
      <w:jc w:val="both"/>
    </w:pPr>
    <w:rPr>
      <w:lang w:eastAsia="de-DE"/>
    </w:rPr>
  </w:style>
  <w:style w:type="character" w:styleId="Hyperlink">
    <w:name w:val="Hyperlink"/>
    <w:basedOn w:val="DefaultParagraphFont"/>
    <w:uiPriority w:val="99"/>
    <w:unhideWhenUsed/>
    <w:rsid w:val="003F5E8D"/>
    <w:rPr>
      <w:color w:val="0000FF" w:themeColor="hyperlink"/>
      <w:u w:val="single"/>
    </w:rPr>
  </w:style>
  <w:style w:type="paragraph" w:customStyle="1" w:styleId="EntEmet">
    <w:name w:val="EntEmet"/>
    <w:basedOn w:val="Normal"/>
    <w:rsid w:val="002173E3"/>
    <w:pPr>
      <w:widowControl w:val="0"/>
      <w:tabs>
        <w:tab w:val="left" w:pos="284"/>
        <w:tab w:val="left" w:pos="567"/>
        <w:tab w:val="left" w:pos="851"/>
        <w:tab w:val="left" w:pos="1134"/>
        <w:tab w:val="left" w:pos="1418"/>
      </w:tabs>
      <w:spacing w:before="40"/>
    </w:pPr>
    <w:rPr>
      <w:szCs w:val="20"/>
      <w:lang w:val="en-GB" w:eastAsia="fr-BE"/>
    </w:rPr>
  </w:style>
  <w:style w:type="paragraph" w:styleId="FootnoteText">
    <w:name w:val="footnote text"/>
    <w:basedOn w:val="Normal"/>
    <w:link w:val="FootnoteTextChar"/>
    <w:uiPriority w:val="99"/>
    <w:semiHidden/>
    <w:unhideWhenUsed/>
    <w:rsid w:val="008821AF"/>
    <w:rPr>
      <w:sz w:val="20"/>
      <w:szCs w:val="20"/>
    </w:rPr>
  </w:style>
  <w:style w:type="character" w:customStyle="1" w:styleId="FootnoteTextChar">
    <w:name w:val="Footnote Text Char"/>
    <w:basedOn w:val="DefaultParagraphFont"/>
    <w:link w:val="FootnoteText"/>
    <w:uiPriority w:val="99"/>
    <w:semiHidden/>
    <w:rsid w:val="008821AF"/>
    <w:rPr>
      <w:rFonts w:ascii="Times New Roman" w:eastAsia="Times New Roman" w:hAnsi="Times New Roman" w:cs="Times New Roman"/>
      <w:sz w:val="20"/>
      <w:szCs w:val="20"/>
      <w:lang w:eastAsia="lv-LV"/>
    </w:rPr>
  </w:style>
  <w:style w:type="character" w:styleId="FootnoteReference">
    <w:name w:val="footnote reference"/>
    <w:basedOn w:val="DefaultParagraphFont"/>
    <w:semiHidden/>
    <w:unhideWhenUsed/>
    <w:rsid w:val="008821AF"/>
    <w:rPr>
      <w:rFonts w:ascii="Times New Roman" w:hAnsi="Times New Roman" w:cs="Times New Roman" w:hint="default"/>
      <w:vertAlign w:val="superscript"/>
    </w:rPr>
  </w:style>
  <w:style w:type="character" w:customStyle="1" w:styleId="at4">
    <w:name w:val="a__t4"/>
    <w:basedOn w:val="DefaultParagraphFont"/>
    <w:rsid w:val="005A18ED"/>
  </w:style>
  <w:style w:type="paragraph" w:customStyle="1" w:styleId="a3520normal">
    <w:name w:val="a___35__20_normal"/>
    <w:basedOn w:val="Normal"/>
    <w:rsid w:val="005A18ED"/>
    <w:pPr>
      <w:spacing w:before="100" w:beforeAutospacing="1" w:after="100" w:afterAutospacing="1"/>
    </w:pPr>
  </w:style>
  <w:style w:type="character" w:customStyle="1" w:styleId="at9">
    <w:name w:val="a__t9"/>
    <w:basedOn w:val="DefaultParagraphFont"/>
    <w:rsid w:val="005A18ED"/>
  </w:style>
  <w:style w:type="paragraph" w:styleId="CommentText">
    <w:name w:val="annotation text"/>
    <w:basedOn w:val="Normal"/>
    <w:link w:val="CommentTextChar"/>
    <w:semiHidden/>
    <w:rsid w:val="009D2DE7"/>
    <w:rPr>
      <w:sz w:val="20"/>
      <w:szCs w:val="20"/>
      <w:lang w:val="en-GB" w:eastAsia="en-US"/>
    </w:rPr>
  </w:style>
  <w:style w:type="character" w:customStyle="1" w:styleId="CommentTextChar">
    <w:name w:val="Comment Text Char"/>
    <w:basedOn w:val="DefaultParagraphFont"/>
    <w:link w:val="CommentText"/>
    <w:semiHidden/>
    <w:rsid w:val="009D2DE7"/>
    <w:rPr>
      <w:rFonts w:ascii="Times New Roman" w:eastAsia="Times New Roman" w:hAnsi="Times New Roman" w:cs="Times New Roman"/>
      <w:sz w:val="20"/>
      <w:szCs w:val="20"/>
      <w:lang w:val="en-GB"/>
    </w:rPr>
  </w:style>
  <w:style w:type="paragraph" w:customStyle="1" w:styleId="naiskr">
    <w:name w:val="naiskr"/>
    <w:basedOn w:val="Normal"/>
    <w:rsid w:val="00BD6689"/>
    <w:pPr>
      <w:spacing w:before="100" w:beforeAutospacing="1" w:after="100" w:afterAutospacing="1"/>
    </w:pPr>
    <w:rPr>
      <w:lang w:eastAsia="en-US"/>
    </w:rPr>
  </w:style>
  <w:style w:type="paragraph" w:styleId="BodyText">
    <w:name w:val="Body Text"/>
    <w:basedOn w:val="Normal"/>
    <w:link w:val="BodyTextChar"/>
    <w:rsid w:val="00A00574"/>
    <w:pPr>
      <w:spacing w:after="120"/>
    </w:pPr>
  </w:style>
  <w:style w:type="character" w:customStyle="1" w:styleId="BodyTextChar">
    <w:name w:val="Body Text Char"/>
    <w:basedOn w:val="DefaultParagraphFont"/>
    <w:link w:val="BodyText"/>
    <w:rsid w:val="00A00574"/>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16DF9"/>
    <w:rPr>
      <w:sz w:val="16"/>
      <w:szCs w:val="16"/>
    </w:rPr>
  </w:style>
  <w:style w:type="paragraph" w:styleId="CommentSubject">
    <w:name w:val="annotation subject"/>
    <w:basedOn w:val="CommentText"/>
    <w:next w:val="CommentText"/>
    <w:link w:val="CommentSubjectChar"/>
    <w:uiPriority w:val="99"/>
    <w:semiHidden/>
    <w:unhideWhenUsed/>
    <w:rsid w:val="00A16DF9"/>
    <w:rPr>
      <w:b/>
      <w:bCs/>
      <w:lang w:val="lv-LV" w:eastAsia="lv-LV"/>
    </w:rPr>
  </w:style>
  <w:style w:type="character" w:customStyle="1" w:styleId="CommentSubjectChar">
    <w:name w:val="Comment Subject Char"/>
    <w:basedOn w:val="CommentTextChar"/>
    <w:link w:val="CommentSubject"/>
    <w:uiPriority w:val="99"/>
    <w:semiHidden/>
    <w:rsid w:val="00A16DF9"/>
    <w:rPr>
      <w:rFonts w:ascii="Times New Roman" w:eastAsia="Times New Roman" w:hAnsi="Times New Roman" w:cs="Times New Roman"/>
      <w:b/>
      <w:bCs/>
      <w:sz w:val="20"/>
      <w:szCs w:val="20"/>
      <w:lang w:val="en-GB"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948"/>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qFormat/>
    <w:rsid w:val="005E12D5"/>
    <w:pPr>
      <w:keepNext/>
      <w:jc w:val="center"/>
      <w:outlineLvl w:val="3"/>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1948"/>
    <w:pPr>
      <w:tabs>
        <w:tab w:val="center" w:pos="4153"/>
        <w:tab w:val="right" w:pos="8306"/>
      </w:tabs>
    </w:pPr>
  </w:style>
  <w:style w:type="character" w:customStyle="1" w:styleId="HeaderChar">
    <w:name w:val="Header Char"/>
    <w:basedOn w:val="DefaultParagraphFont"/>
    <w:link w:val="Header"/>
    <w:uiPriority w:val="99"/>
    <w:rsid w:val="00E21948"/>
    <w:rPr>
      <w:rFonts w:ascii="Times New Roman" w:eastAsia="Times New Roman" w:hAnsi="Times New Roman" w:cs="Times New Roman"/>
      <w:sz w:val="24"/>
      <w:szCs w:val="24"/>
      <w:lang w:eastAsia="lv-LV"/>
    </w:rPr>
  </w:style>
  <w:style w:type="paragraph" w:styleId="BodyText2">
    <w:name w:val="Body Text 2"/>
    <w:basedOn w:val="Normal"/>
    <w:link w:val="BodyText2Char"/>
    <w:rsid w:val="00E21948"/>
    <w:pPr>
      <w:jc w:val="center"/>
    </w:pPr>
    <w:rPr>
      <w:sz w:val="32"/>
      <w:lang w:eastAsia="en-US"/>
    </w:rPr>
  </w:style>
  <w:style w:type="character" w:customStyle="1" w:styleId="BodyText2Char">
    <w:name w:val="Body Text 2 Char"/>
    <w:basedOn w:val="DefaultParagraphFont"/>
    <w:link w:val="BodyText2"/>
    <w:rsid w:val="00E21948"/>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E21948"/>
    <w:rPr>
      <w:rFonts w:ascii="Tahoma" w:hAnsi="Tahoma" w:cs="Tahoma"/>
      <w:sz w:val="16"/>
      <w:szCs w:val="16"/>
    </w:rPr>
  </w:style>
  <w:style w:type="character" w:customStyle="1" w:styleId="BalloonTextChar">
    <w:name w:val="Balloon Text Char"/>
    <w:basedOn w:val="DefaultParagraphFont"/>
    <w:link w:val="BalloonText"/>
    <w:uiPriority w:val="99"/>
    <w:semiHidden/>
    <w:rsid w:val="00E21948"/>
    <w:rPr>
      <w:rFonts w:ascii="Tahoma" w:eastAsia="Times New Roman" w:hAnsi="Tahoma" w:cs="Tahoma"/>
      <w:sz w:val="16"/>
      <w:szCs w:val="16"/>
      <w:lang w:eastAsia="lv-LV"/>
    </w:rPr>
  </w:style>
  <w:style w:type="paragraph" w:styleId="ListParagraph">
    <w:name w:val="List Paragraph"/>
    <w:basedOn w:val="Normal"/>
    <w:uiPriority w:val="34"/>
    <w:qFormat/>
    <w:rsid w:val="0079342A"/>
    <w:pPr>
      <w:ind w:left="720"/>
      <w:contextualSpacing/>
    </w:pPr>
  </w:style>
  <w:style w:type="paragraph" w:styleId="Footer">
    <w:name w:val="footer"/>
    <w:basedOn w:val="Normal"/>
    <w:link w:val="FooterChar"/>
    <w:unhideWhenUsed/>
    <w:rsid w:val="0079342A"/>
    <w:pPr>
      <w:tabs>
        <w:tab w:val="center" w:pos="4153"/>
        <w:tab w:val="right" w:pos="8306"/>
      </w:tabs>
    </w:pPr>
  </w:style>
  <w:style w:type="character" w:customStyle="1" w:styleId="FooterChar">
    <w:name w:val="Footer Char"/>
    <w:basedOn w:val="DefaultParagraphFont"/>
    <w:link w:val="Footer"/>
    <w:rsid w:val="0079342A"/>
    <w:rPr>
      <w:rFonts w:ascii="Times New Roman" w:eastAsia="Times New Roman" w:hAnsi="Times New Roman" w:cs="Times New Roman"/>
      <w:sz w:val="24"/>
      <w:szCs w:val="24"/>
      <w:lang w:eastAsia="lv-LV"/>
    </w:rPr>
  </w:style>
  <w:style w:type="paragraph" w:styleId="Title">
    <w:name w:val="Title"/>
    <w:basedOn w:val="Normal"/>
    <w:link w:val="TitleChar"/>
    <w:qFormat/>
    <w:rsid w:val="0079342A"/>
    <w:pPr>
      <w:jc w:val="center"/>
    </w:pPr>
    <w:rPr>
      <w:sz w:val="28"/>
      <w:szCs w:val="28"/>
      <w:lang w:eastAsia="en-US"/>
    </w:rPr>
  </w:style>
  <w:style w:type="character" w:customStyle="1" w:styleId="TitleChar">
    <w:name w:val="Title Char"/>
    <w:basedOn w:val="DefaultParagraphFont"/>
    <w:link w:val="Title"/>
    <w:rsid w:val="0079342A"/>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semiHidden/>
    <w:unhideWhenUsed/>
    <w:rsid w:val="00546D6E"/>
    <w:pPr>
      <w:spacing w:after="120" w:line="480" w:lineRule="auto"/>
      <w:ind w:left="283"/>
    </w:pPr>
  </w:style>
  <w:style w:type="character" w:customStyle="1" w:styleId="BodyTextIndent2Char">
    <w:name w:val="Body Text Indent 2 Char"/>
    <w:basedOn w:val="DefaultParagraphFont"/>
    <w:link w:val="BodyTextIndent2"/>
    <w:uiPriority w:val="99"/>
    <w:semiHidden/>
    <w:rsid w:val="00546D6E"/>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126A02"/>
    <w:pPr>
      <w:spacing w:before="100" w:beforeAutospacing="1" w:after="100" w:afterAutospacing="1"/>
    </w:pPr>
    <w:rPr>
      <w:rFonts w:eastAsiaTheme="minorHAnsi"/>
    </w:rPr>
  </w:style>
  <w:style w:type="character" w:styleId="Emphasis">
    <w:name w:val="Emphasis"/>
    <w:basedOn w:val="DefaultParagraphFont"/>
    <w:uiPriority w:val="20"/>
    <w:qFormat/>
    <w:rsid w:val="00126A02"/>
    <w:rPr>
      <w:i/>
      <w:iCs/>
    </w:rPr>
  </w:style>
  <w:style w:type="character" w:customStyle="1" w:styleId="Heading4Char">
    <w:name w:val="Heading 4 Char"/>
    <w:basedOn w:val="DefaultParagraphFont"/>
    <w:link w:val="Heading4"/>
    <w:rsid w:val="005E12D5"/>
    <w:rPr>
      <w:rFonts w:ascii="Times New Roman" w:eastAsia="Times New Roman" w:hAnsi="Times New Roman" w:cs="Times New Roman"/>
      <w:b/>
      <w:bCs/>
      <w:sz w:val="28"/>
      <w:szCs w:val="24"/>
    </w:rPr>
  </w:style>
  <w:style w:type="character" w:styleId="PlaceholderText">
    <w:name w:val="Placeholder Text"/>
    <w:basedOn w:val="DefaultParagraphFont"/>
    <w:uiPriority w:val="99"/>
    <w:semiHidden/>
    <w:rsid w:val="00422C05"/>
    <w:rPr>
      <w:color w:val="808080"/>
    </w:rPr>
  </w:style>
  <w:style w:type="paragraph" w:customStyle="1" w:styleId="Point0">
    <w:name w:val="Point 0"/>
    <w:basedOn w:val="Normal"/>
    <w:rsid w:val="000538D0"/>
    <w:pPr>
      <w:spacing w:before="120" w:after="120"/>
      <w:ind w:left="850" w:hanging="850"/>
      <w:jc w:val="both"/>
    </w:pPr>
    <w:rPr>
      <w:lang w:eastAsia="de-DE"/>
    </w:rPr>
  </w:style>
  <w:style w:type="character" w:styleId="Hyperlink">
    <w:name w:val="Hyperlink"/>
    <w:basedOn w:val="DefaultParagraphFont"/>
    <w:uiPriority w:val="99"/>
    <w:unhideWhenUsed/>
    <w:rsid w:val="003F5E8D"/>
    <w:rPr>
      <w:color w:val="0000FF" w:themeColor="hyperlink"/>
      <w:u w:val="single"/>
    </w:rPr>
  </w:style>
  <w:style w:type="paragraph" w:customStyle="1" w:styleId="EntEmet">
    <w:name w:val="EntEmet"/>
    <w:basedOn w:val="Normal"/>
    <w:rsid w:val="002173E3"/>
    <w:pPr>
      <w:widowControl w:val="0"/>
      <w:tabs>
        <w:tab w:val="left" w:pos="284"/>
        <w:tab w:val="left" w:pos="567"/>
        <w:tab w:val="left" w:pos="851"/>
        <w:tab w:val="left" w:pos="1134"/>
        <w:tab w:val="left" w:pos="1418"/>
      </w:tabs>
      <w:spacing w:before="40"/>
    </w:pPr>
    <w:rPr>
      <w:szCs w:val="20"/>
      <w:lang w:val="en-GB" w:eastAsia="fr-BE"/>
    </w:rPr>
  </w:style>
  <w:style w:type="paragraph" w:styleId="FootnoteText">
    <w:name w:val="footnote text"/>
    <w:basedOn w:val="Normal"/>
    <w:link w:val="FootnoteTextChar"/>
    <w:uiPriority w:val="99"/>
    <w:semiHidden/>
    <w:unhideWhenUsed/>
    <w:rsid w:val="008821AF"/>
    <w:rPr>
      <w:sz w:val="20"/>
      <w:szCs w:val="20"/>
    </w:rPr>
  </w:style>
  <w:style w:type="character" w:customStyle="1" w:styleId="FootnoteTextChar">
    <w:name w:val="Footnote Text Char"/>
    <w:basedOn w:val="DefaultParagraphFont"/>
    <w:link w:val="FootnoteText"/>
    <w:uiPriority w:val="99"/>
    <w:semiHidden/>
    <w:rsid w:val="008821AF"/>
    <w:rPr>
      <w:rFonts w:ascii="Times New Roman" w:eastAsia="Times New Roman" w:hAnsi="Times New Roman" w:cs="Times New Roman"/>
      <w:sz w:val="20"/>
      <w:szCs w:val="20"/>
      <w:lang w:eastAsia="lv-LV"/>
    </w:rPr>
  </w:style>
  <w:style w:type="character" w:styleId="FootnoteReference">
    <w:name w:val="footnote reference"/>
    <w:basedOn w:val="DefaultParagraphFont"/>
    <w:semiHidden/>
    <w:unhideWhenUsed/>
    <w:rsid w:val="008821AF"/>
    <w:rPr>
      <w:rFonts w:ascii="Times New Roman" w:hAnsi="Times New Roman" w:cs="Times New Roman" w:hint="default"/>
      <w:vertAlign w:val="superscript"/>
    </w:rPr>
  </w:style>
  <w:style w:type="character" w:customStyle="1" w:styleId="at4">
    <w:name w:val="a__t4"/>
    <w:basedOn w:val="DefaultParagraphFont"/>
    <w:rsid w:val="005A18ED"/>
  </w:style>
  <w:style w:type="paragraph" w:customStyle="1" w:styleId="a3520normal">
    <w:name w:val="a___35__20_normal"/>
    <w:basedOn w:val="Normal"/>
    <w:rsid w:val="005A18ED"/>
    <w:pPr>
      <w:spacing w:before="100" w:beforeAutospacing="1" w:after="100" w:afterAutospacing="1"/>
    </w:pPr>
  </w:style>
  <w:style w:type="character" w:customStyle="1" w:styleId="at9">
    <w:name w:val="a__t9"/>
    <w:basedOn w:val="DefaultParagraphFont"/>
    <w:rsid w:val="005A18ED"/>
  </w:style>
  <w:style w:type="paragraph" w:styleId="CommentText">
    <w:name w:val="annotation text"/>
    <w:basedOn w:val="Normal"/>
    <w:link w:val="CommentTextChar"/>
    <w:semiHidden/>
    <w:rsid w:val="009D2DE7"/>
    <w:rPr>
      <w:sz w:val="20"/>
      <w:szCs w:val="20"/>
      <w:lang w:val="en-GB" w:eastAsia="en-US"/>
    </w:rPr>
  </w:style>
  <w:style w:type="character" w:customStyle="1" w:styleId="CommentTextChar">
    <w:name w:val="Comment Text Char"/>
    <w:basedOn w:val="DefaultParagraphFont"/>
    <w:link w:val="CommentText"/>
    <w:semiHidden/>
    <w:rsid w:val="009D2DE7"/>
    <w:rPr>
      <w:rFonts w:ascii="Times New Roman" w:eastAsia="Times New Roman" w:hAnsi="Times New Roman" w:cs="Times New Roman"/>
      <w:sz w:val="20"/>
      <w:szCs w:val="20"/>
      <w:lang w:val="en-GB"/>
    </w:rPr>
  </w:style>
  <w:style w:type="paragraph" w:customStyle="1" w:styleId="naiskr">
    <w:name w:val="naiskr"/>
    <w:basedOn w:val="Normal"/>
    <w:rsid w:val="00BD6689"/>
    <w:pPr>
      <w:spacing w:before="100" w:beforeAutospacing="1" w:after="100" w:afterAutospacing="1"/>
    </w:pPr>
    <w:rPr>
      <w:lang w:eastAsia="en-US"/>
    </w:rPr>
  </w:style>
  <w:style w:type="paragraph" w:styleId="BodyText">
    <w:name w:val="Body Text"/>
    <w:basedOn w:val="Normal"/>
    <w:link w:val="BodyTextChar"/>
    <w:rsid w:val="00A00574"/>
    <w:pPr>
      <w:spacing w:after="120"/>
    </w:pPr>
  </w:style>
  <w:style w:type="character" w:customStyle="1" w:styleId="BodyTextChar">
    <w:name w:val="Body Text Char"/>
    <w:basedOn w:val="DefaultParagraphFont"/>
    <w:link w:val="BodyText"/>
    <w:rsid w:val="00A00574"/>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16DF9"/>
    <w:rPr>
      <w:sz w:val="16"/>
      <w:szCs w:val="16"/>
    </w:rPr>
  </w:style>
  <w:style w:type="paragraph" w:styleId="CommentSubject">
    <w:name w:val="annotation subject"/>
    <w:basedOn w:val="CommentText"/>
    <w:next w:val="CommentText"/>
    <w:link w:val="CommentSubjectChar"/>
    <w:uiPriority w:val="99"/>
    <w:semiHidden/>
    <w:unhideWhenUsed/>
    <w:rsid w:val="00A16DF9"/>
    <w:rPr>
      <w:b/>
      <w:bCs/>
      <w:lang w:val="lv-LV" w:eastAsia="lv-LV"/>
    </w:rPr>
  </w:style>
  <w:style w:type="character" w:customStyle="1" w:styleId="CommentSubjectChar">
    <w:name w:val="Comment Subject Char"/>
    <w:basedOn w:val="CommentTextChar"/>
    <w:link w:val="CommentSubject"/>
    <w:uiPriority w:val="99"/>
    <w:semiHidden/>
    <w:rsid w:val="00A16DF9"/>
    <w:rPr>
      <w:rFonts w:ascii="Times New Roman" w:eastAsia="Times New Roman" w:hAnsi="Times New Roman" w:cs="Times New Roman"/>
      <w:b/>
      <w:bCs/>
      <w:sz w:val="20"/>
      <w:szCs w:val="20"/>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827">
      <w:bodyDiv w:val="1"/>
      <w:marLeft w:val="0"/>
      <w:marRight w:val="0"/>
      <w:marTop w:val="0"/>
      <w:marBottom w:val="0"/>
      <w:divBdr>
        <w:top w:val="none" w:sz="0" w:space="0" w:color="auto"/>
        <w:left w:val="none" w:sz="0" w:space="0" w:color="auto"/>
        <w:bottom w:val="none" w:sz="0" w:space="0" w:color="auto"/>
        <w:right w:val="none" w:sz="0" w:space="0" w:color="auto"/>
      </w:divBdr>
    </w:div>
    <w:div w:id="80880028">
      <w:bodyDiv w:val="1"/>
      <w:marLeft w:val="0"/>
      <w:marRight w:val="0"/>
      <w:marTop w:val="0"/>
      <w:marBottom w:val="0"/>
      <w:divBdr>
        <w:top w:val="none" w:sz="0" w:space="0" w:color="auto"/>
        <w:left w:val="none" w:sz="0" w:space="0" w:color="auto"/>
        <w:bottom w:val="none" w:sz="0" w:space="0" w:color="auto"/>
        <w:right w:val="none" w:sz="0" w:space="0" w:color="auto"/>
      </w:divBdr>
    </w:div>
    <w:div w:id="83113023">
      <w:bodyDiv w:val="1"/>
      <w:marLeft w:val="0"/>
      <w:marRight w:val="0"/>
      <w:marTop w:val="0"/>
      <w:marBottom w:val="0"/>
      <w:divBdr>
        <w:top w:val="none" w:sz="0" w:space="0" w:color="auto"/>
        <w:left w:val="none" w:sz="0" w:space="0" w:color="auto"/>
        <w:bottom w:val="none" w:sz="0" w:space="0" w:color="auto"/>
        <w:right w:val="none" w:sz="0" w:space="0" w:color="auto"/>
      </w:divBdr>
    </w:div>
    <w:div w:id="184294766">
      <w:bodyDiv w:val="1"/>
      <w:marLeft w:val="0"/>
      <w:marRight w:val="0"/>
      <w:marTop w:val="0"/>
      <w:marBottom w:val="0"/>
      <w:divBdr>
        <w:top w:val="none" w:sz="0" w:space="0" w:color="auto"/>
        <w:left w:val="none" w:sz="0" w:space="0" w:color="auto"/>
        <w:bottom w:val="none" w:sz="0" w:space="0" w:color="auto"/>
        <w:right w:val="none" w:sz="0" w:space="0" w:color="auto"/>
      </w:divBdr>
    </w:div>
    <w:div w:id="255360369">
      <w:bodyDiv w:val="1"/>
      <w:marLeft w:val="0"/>
      <w:marRight w:val="0"/>
      <w:marTop w:val="0"/>
      <w:marBottom w:val="0"/>
      <w:divBdr>
        <w:top w:val="none" w:sz="0" w:space="0" w:color="auto"/>
        <w:left w:val="none" w:sz="0" w:space="0" w:color="auto"/>
        <w:bottom w:val="none" w:sz="0" w:space="0" w:color="auto"/>
        <w:right w:val="none" w:sz="0" w:space="0" w:color="auto"/>
      </w:divBdr>
    </w:div>
    <w:div w:id="301497381">
      <w:bodyDiv w:val="1"/>
      <w:marLeft w:val="0"/>
      <w:marRight w:val="0"/>
      <w:marTop w:val="0"/>
      <w:marBottom w:val="0"/>
      <w:divBdr>
        <w:top w:val="none" w:sz="0" w:space="0" w:color="auto"/>
        <w:left w:val="none" w:sz="0" w:space="0" w:color="auto"/>
        <w:bottom w:val="none" w:sz="0" w:space="0" w:color="auto"/>
        <w:right w:val="none" w:sz="0" w:space="0" w:color="auto"/>
      </w:divBdr>
    </w:div>
    <w:div w:id="350184115">
      <w:bodyDiv w:val="1"/>
      <w:marLeft w:val="0"/>
      <w:marRight w:val="0"/>
      <w:marTop w:val="0"/>
      <w:marBottom w:val="0"/>
      <w:divBdr>
        <w:top w:val="none" w:sz="0" w:space="0" w:color="auto"/>
        <w:left w:val="none" w:sz="0" w:space="0" w:color="auto"/>
        <w:bottom w:val="none" w:sz="0" w:space="0" w:color="auto"/>
        <w:right w:val="none" w:sz="0" w:space="0" w:color="auto"/>
      </w:divBdr>
    </w:div>
    <w:div w:id="374432434">
      <w:bodyDiv w:val="1"/>
      <w:marLeft w:val="0"/>
      <w:marRight w:val="0"/>
      <w:marTop w:val="0"/>
      <w:marBottom w:val="0"/>
      <w:divBdr>
        <w:top w:val="none" w:sz="0" w:space="0" w:color="auto"/>
        <w:left w:val="none" w:sz="0" w:space="0" w:color="auto"/>
        <w:bottom w:val="none" w:sz="0" w:space="0" w:color="auto"/>
        <w:right w:val="none" w:sz="0" w:space="0" w:color="auto"/>
      </w:divBdr>
    </w:div>
    <w:div w:id="422579833">
      <w:bodyDiv w:val="1"/>
      <w:marLeft w:val="0"/>
      <w:marRight w:val="0"/>
      <w:marTop w:val="0"/>
      <w:marBottom w:val="0"/>
      <w:divBdr>
        <w:top w:val="none" w:sz="0" w:space="0" w:color="auto"/>
        <w:left w:val="none" w:sz="0" w:space="0" w:color="auto"/>
        <w:bottom w:val="none" w:sz="0" w:space="0" w:color="auto"/>
        <w:right w:val="none" w:sz="0" w:space="0" w:color="auto"/>
      </w:divBdr>
    </w:div>
    <w:div w:id="465010091">
      <w:bodyDiv w:val="1"/>
      <w:marLeft w:val="0"/>
      <w:marRight w:val="0"/>
      <w:marTop w:val="0"/>
      <w:marBottom w:val="0"/>
      <w:divBdr>
        <w:top w:val="none" w:sz="0" w:space="0" w:color="auto"/>
        <w:left w:val="none" w:sz="0" w:space="0" w:color="auto"/>
        <w:bottom w:val="none" w:sz="0" w:space="0" w:color="auto"/>
        <w:right w:val="none" w:sz="0" w:space="0" w:color="auto"/>
      </w:divBdr>
    </w:div>
    <w:div w:id="478108874">
      <w:bodyDiv w:val="1"/>
      <w:marLeft w:val="0"/>
      <w:marRight w:val="0"/>
      <w:marTop w:val="0"/>
      <w:marBottom w:val="0"/>
      <w:divBdr>
        <w:top w:val="none" w:sz="0" w:space="0" w:color="auto"/>
        <w:left w:val="none" w:sz="0" w:space="0" w:color="auto"/>
        <w:bottom w:val="none" w:sz="0" w:space="0" w:color="auto"/>
        <w:right w:val="none" w:sz="0" w:space="0" w:color="auto"/>
      </w:divBdr>
    </w:div>
    <w:div w:id="775490075">
      <w:bodyDiv w:val="1"/>
      <w:marLeft w:val="0"/>
      <w:marRight w:val="0"/>
      <w:marTop w:val="0"/>
      <w:marBottom w:val="0"/>
      <w:divBdr>
        <w:top w:val="none" w:sz="0" w:space="0" w:color="auto"/>
        <w:left w:val="none" w:sz="0" w:space="0" w:color="auto"/>
        <w:bottom w:val="none" w:sz="0" w:space="0" w:color="auto"/>
        <w:right w:val="none" w:sz="0" w:space="0" w:color="auto"/>
      </w:divBdr>
    </w:div>
    <w:div w:id="926034701">
      <w:bodyDiv w:val="1"/>
      <w:marLeft w:val="0"/>
      <w:marRight w:val="0"/>
      <w:marTop w:val="0"/>
      <w:marBottom w:val="0"/>
      <w:divBdr>
        <w:top w:val="none" w:sz="0" w:space="0" w:color="auto"/>
        <w:left w:val="none" w:sz="0" w:space="0" w:color="auto"/>
        <w:bottom w:val="none" w:sz="0" w:space="0" w:color="auto"/>
        <w:right w:val="none" w:sz="0" w:space="0" w:color="auto"/>
      </w:divBdr>
    </w:div>
    <w:div w:id="937063143">
      <w:bodyDiv w:val="1"/>
      <w:marLeft w:val="0"/>
      <w:marRight w:val="0"/>
      <w:marTop w:val="0"/>
      <w:marBottom w:val="0"/>
      <w:divBdr>
        <w:top w:val="none" w:sz="0" w:space="0" w:color="auto"/>
        <w:left w:val="none" w:sz="0" w:space="0" w:color="auto"/>
        <w:bottom w:val="none" w:sz="0" w:space="0" w:color="auto"/>
        <w:right w:val="none" w:sz="0" w:space="0" w:color="auto"/>
      </w:divBdr>
    </w:div>
    <w:div w:id="1064838030">
      <w:bodyDiv w:val="1"/>
      <w:marLeft w:val="0"/>
      <w:marRight w:val="0"/>
      <w:marTop w:val="0"/>
      <w:marBottom w:val="0"/>
      <w:divBdr>
        <w:top w:val="none" w:sz="0" w:space="0" w:color="auto"/>
        <w:left w:val="none" w:sz="0" w:space="0" w:color="auto"/>
        <w:bottom w:val="none" w:sz="0" w:space="0" w:color="auto"/>
        <w:right w:val="none" w:sz="0" w:space="0" w:color="auto"/>
      </w:divBdr>
    </w:div>
    <w:div w:id="1408303710">
      <w:bodyDiv w:val="1"/>
      <w:marLeft w:val="0"/>
      <w:marRight w:val="0"/>
      <w:marTop w:val="0"/>
      <w:marBottom w:val="0"/>
      <w:divBdr>
        <w:top w:val="none" w:sz="0" w:space="0" w:color="auto"/>
        <w:left w:val="none" w:sz="0" w:space="0" w:color="auto"/>
        <w:bottom w:val="none" w:sz="0" w:space="0" w:color="auto"/>
        <w:right w:val="none" w:sz="0" w:space="0" w:color="auto"/>
      </w:divBdr>
    </w:div>
    <w:div w:id="1425493503">
      <w:bodyDiv w:val="1"/>
      <w:marLeft w:val="0"/>
      <w:marRight w:val="0"/>
      <w:marTop w:val="0"/>
      <w:marBottom w:val="0"/>
      <w:divBdr>
        <w:top w:val="none" w:sz="0" w:space="0" w:color="auto"/>
        <w:left w:val="none" w:sz="0" w:space="0" w:color="auto"/>
        <w:bottom w:val="none" w:sz="0" w:space="0" w:color="auto"/>
        <w:right w:val="none" w:sz="0" w:space="0" w:color="auto"/>
      </w:divBdr>
    </w:div>
    <w:div w:id="1536842844">
      <w:bodyDiv w:val="1"/>
      <w:marLeft w:val="0"/>
      <w:marRight w:val="0"/>
      <w:marTop w:val="0"/>
      <w:marBottom w:val="0"/>
      <w:divBdr>
        <w:top w:val="none" w:sz="0" w:space="0" w:color="auto"/>
        <w:left w:val="none" w:sz="0" w:space="0" w:color="auto"/>
        <w:bottom w:val="none" w:sz="0" w:space="0" w:color="auto"/>
        <w:right w:val="none" w:sz="0" w:space="0" w:color="auto"/>
      </w:divBdr>
    </w:div>
    <w:div w:id="1670132468">
      <w:bodyDiv w:val="1"/>
      <w:marLeft w:val="0"/>
      <w:marRight w:val="0"/>
      <w:marTop w:val="0"/>
      <w:marBottom w:val="0"/>
      <w:divBdr>
        <w:top w:val="none" w:sz="0" w:space="0" w:color="auto"/>
        <w:left w:val="none" w:sz="0" w:space="0" w:color="auto"/>
        <w:bottom w:val="none" w:sz="0" w:space="0" w:color="auto"/>
        <w:right w:val="none" w:sz="0" w:space="0" w:color="auto"/>
      </w:divBdr>
    </w:div>
    <w:div w:id="1829130082">
      <w:bodyDiv w:val="1"/>
      <w:marLeft w:val="0"/>
      <w:marRight w:val="0"/>
      <w:marTop w:val="0"/>
      <w:marBottom w:val="0"/>
      <w:divBdr>
        <w:top w:val="none" w:sz="0" w:space="0" w:color="auto"/>
        <w:left w:val="none" w:sz="0" w:space="0" w:color="auto"/>
        <w:bottom w:val="none" w:sz="0" w:space="0" w:color="auto"/>
        <w:right w:val="none" w:sz="0" w:space="0" w:color="auto"/>
      </w:divBdr>
    </w:div>
    <w:div w:id="1846240810">
      <w:bodyDiv w:val="1"/>
      <w:marLeft w:val="0"/>
      <w:marRight w:val="0"/>
      <w:marTop w:val="0"/>
      <w:marBottom w:val="0"/>
      <w:divBdr>
        <w:top w:val="none" w:sz="0" w:space="0" w:color="auto"/>
        <w:left w:val="none" w:sz="0" w:space="0" w:color="auto"/>
        <w:bottom w:val="none" w:sz="0" w:space="0" w:color="auto"/>
        <w:right w:val="none" w:sz="0" w:space="0" w:color="auto"/>
      </w:divBdr>
    </w:div>
    <w:div w:id="1848594988">
      <w:bodyDiv w:val="1"/>
      <w:marLeft w:val="0"/>
      <w:marRight w:val="0"/>
      <w:marTop w:val="0"/>
      <w:marBottom w:val="0"/>
      <w:divBdr>
        <w:top w:val="none" w:sz="0" w:space="0" w:color="auto"/>
        <w:left w:val="none" w:sz="0" w:space="0" w:color="auto"/>
        <w:bottom w:val="none" w:sz="0" w:space="0" w:color="auto"/>
        <w:right w:val="none" w:sz="0" w:space="0" w:color="auto"/>
      </w:divBdr>
    </w:div>
    <w:div w:id="1960261717">
      <w:bodyDiv w:val="1"/>
      <w:marLeft w:val="0"/>
      <w:marRight w:val="0"/>
      <w:marTop w:val="0"/>
      <w:marBottom w:val="0"/>
      <w:divBdr>
        <w:top w:val="none" w:sz="0" w:space="0" w:color="auto"/>
        <w:left w:val="none" w:sz="0" w:space="0" w:color="auto"/>
        <w:bottom w:val="none" w:sz="0" w:space="0" w:color="auto"/>
        <w:right w:val="none" w:sz="0" w:space="0" w:color="auto"/>
      </w:divBdr>
    </w:div>
    <w:div w:id="21472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F76F3-1F3C-43F1-A42F-2FEB4937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9</Pages>
  <Words>1841</Words>
  <Characters>15750</Characters>
  <Application>Microsoft Office Word</Application>
  <DocSecurity>0</DocSecurity>
  <Lines>543</Lines>
  <Paragraphs>283</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17308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Zjurikova</dc:creator>
  <cp:keywords/>
  <dc:description/>
  <cp:lastModifiedBy>Kaspars Stabiņš</cp:lastModifiedBy>
  <cp:revision>37</cp:revision>
  <cp:lastPrinted>2013-02-11T12:24:00Z</cp:lastPrinted>
  <dcterms:created xsi:type="dcterms:W3CDTF">2013-02-08T09:35:00Z</dcterms:created>
  <dcterms:modified xsi:type="dcterms:W3CDTF">2013-02-11T12:41:00Z</dcterms:modified>
</cp:coreProperties>
</file>