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E7" w:rsidRPr="000E7CD7" w:rsidRDefault="00E668E7" w:rsidP="00453514">
      <w:pPr>
        <w:pStyle w:val="Header"/>
        <w:tabs>
          <w:tab w:val="left" w:pos="720"/>
        </w:tabs>
        <w:jc w:val="center"/>
        <w:rPr>
          <w:b/>
          <w:smallCaps/>
          <w:sz w:val="28"/>
          <w:szCs w:val="28"/>
        </w:rPr>
      </w:pPr>
      <w:r w:rsidRPr="000E7CD7">
        <w:rPr>
          <w:b/>
          <w:smallCaps/>
          <w:sz w:val="28"/>
          <w:szCs w:val="28"/>
        </w:rPr>
        <w:t xml:space="preserve">Informatīvais </w:t>
      </w:r>
      <w:smartTag w:uri="schemas-tilde-lv/tildestengine" w:element="veidnes">
        <w:smartTagPr>
          <w:attr w:name="text" w:val="ziņojums"/>
          <w:attr w:name="id" w:val="-1"/>
          <w:attr w:name="baseform" w:val="ziņojum|s"/>
        </w:smartTagPr>
        <w:r w:rsidRPr="000E7CD7">
          <w:rPr>
            <w:b/>
            <w:smallCaps/>
            <w:sz w:val="28"/>
            <w:szCs w:val="28"/>
          </w:rPr>
          <w:t>ziņojums</w:t>
        </w:r>
      </w:smartTag>
    </w:p>
    <w:p w:rsidR="00E668E7" w:rsidRDefault="00E668E7" w:rsidP="00453514">
      <w:pPr>
        <w:pStyle w:val="Header"/>
        <w:tabs>
          <w:tab w:val="left" w:pos="720"/>
        </w:tabs>
        <w:jc w:val="center"/>
        <w:rPr>
          <w:b/>
          <w:sz w:val="28"/>
          <w:szCs w:val="28"/>
        </w:rPr>
      </w:pPr>
    </w:p>
    <w:p w:rsidR="00E668E7" w:rsidRPr="000E7CD7" w:rsidRDefault="00E668E7" w:rsidP="00453514">
      <w:pPr>
        <w:jc w:val="center"/>
        <w:rPr>
          <w:b/>
          <w:sz w:val="28"/>
          <w:szCs w:val="28"/>
        </w:rPr>
      </w:pPr>
      <w:bookmarkStart w:id="0" w:name="OLE_LINK3"/>
      <w:bookmarkStart w:id="1" w:name="OLE_LINK4"/>
      <w:r w:rsidRPr="000E7CD7">
        <w:rPr>
          <w:b/>
          <w:sz w:val="28"/>
          <w:szCs w:val="28"/>
        </w:rPr>
        <w:t xml:space="preserve">par Latvijas </w:t>
      </w:r>
      <w:r w:rsidR="003F018A">
        <w:rPr>
          <w:b/>
          <w:sz w:val="28"/>
          <w:szCs w:val="28"/>
        </w:rPr>
        <w:t>nostāju</w:t>
      </w:r>
      <w:r w:rsidRPr="000E7CD7">
        <w:rPr>
          <w:b/>
          <w:sz w:val="28"/>
          <w:szCs w:val="28"/>
        </w:rPr>
        <w:t xml:space="preserve"> Eiropas Savienības Konkurētspējas ministru padomes 201</w:t>
      </w:r>
      <w:r w:rsidR="003F018A">
        <w:rPr>
          <w:b/>
          <w:sz w:val="28"/>
          <w:szCs w:val="28"/>
        </w:rPr>
        <w:t>2</w:t>
      </w:r>
      <w:r w:rsidRPr="000E7CD7">
        <w:rPr>
          <w:b/>
          <w:sz w:val="28"/>
          <w:szCs w:val="28"/>
        </w:rPr>
        <w:t xml:space="preserve">.gada </w:t>
      </w:r>
      <w:r w:rsidR="003F018A">
        <w:rPr>
          <w:b/>
          <w:sz w:val="28"/>
          <w:szCs w:val="28"/>
        </w:rPr>
        <w:t>20.februāra</w:t>
      </w:r>
      <w:r w:rsidRPr="000E7CD7">
        <w:rPr>
          <w:b/>
          <w:sz w:val="28"/>
          <w:szCs w:val="28"/>
        </w:rPr>
        <w:t xml:space="preserve"> sanāksmē izskatāmajos Ekonomikas ministrijas</w:t>
      </w:r>
      <w:r w:rsidR="003F018A">
        <w:rPr>
          <w:b/>
          <w:sz w:val="28"/>
          <w:szCs w:val="28"/>
        </w:rPr>
        <w:t>,</w:t>
      </w:r>
      <w:r w:rsidRPr="000E7CD7">
        <w:rPr>
          <w:b/>
          <w:sz w:val="28"/>
          <w:szCs w:val="28"/>
        </w:rPr>
        <w:t xml:space="preserve"> </w:t>
      </w:r>
      <w:r w:rsidR="007F117C" w:rsidRPr="000E7CD7">
        <w:rPr>
          <w:b/>
          <w:sz w:val="28"/>
          <w:szCs w:val="28"/>
        </w:rPr>
        <w:t>Finanšu</w:t>
      </w:r>
      <w:r w:rsidRPr="000E7CD7">
        <w:rPr>
          <w:b/>
          <w:sz w:val="28"/>
          <w:szCs w:val="28"/>
        </w:rPr>
        <w:t xml:space="preserve"> ministrijas</w:t>
      </w:r>
      <w:r w:rsidR="003F018A">
        <w:rPr>
          <w:b/>
          <w:sz w:val="28"/>
          <w:szCs w:val="28"/>
        </w:rPr>
        <w:t xml:space="preserve"> un Tieslietu ministrijas</w:t>
      </w:r>
      <w:r w:rsidRPr="000E7CD7">
        <w:rPr>
          <w:b/>
          <w:sz w:val="28"/>
          <w:szCs w:val="28"/>
        </w:rPr>
        <w:t xml:space="preserve"> kompetences jautājumos </w:t>
      </w:r>
    </w:p>
    <w:bookmarkEnd w:id="0"/>
    <w:bookmarkEnd w:id="1"/>
    <w:p w:rsidR="00E668E7" w:rsidRDefault="00E668E7" w:rsidP="00453514">
      <w:pPr>
        <w:spacing w:after="120"/>
        <w:ind w:left="360"/>
        <w:rPr>
          <w:sz w:val="28"/>
          <w:szCs w:val="28"/>
        </w:rPr>
      </w:pPr>
    </w:p>
    <w:p w:rsidR="00A5294F" w:rsidRPr="00A5294F" w:rsidRDefault="00A5294F" w:rsidP="00453514">
      <w:pPr>
        <w:tabs>
          <w:tab w:val="left" w:pos="9288"/>
        </w:tabs>
        <w:spacing w:after="120"/>
        <w:jc w:val="both"/>
        <w:rPr>
          <w:b/>
          <w:sz w:val="28"/>
          <w:szCs w:val="28"/>
        </w:rPr>
      </w:pPr>
      <w:r w:rsidRPr="00A5294F">
        <w:rPr>
          <w:b/>
          <w:sz w:val="28"/>
          <w:szCs w:val="28"/>
        </w:rPr>
        <w:t xml:space="preserve">1. </w:t>
      </w:r>
      <w:r>
        <w:rPr>
          <w:b/>
          <w:sz w:val="28"/>
          <w:szCs w:val="28"/>
        </w:rPr>
        <w:t xml:space="preserve">Konkurētspējas </w:t>
      </w:r>
      <w:r w:rsidRPr="00A5294F">
        <w:rPr>
          <w:b/>
          <w:sz w:val="28"/>
          <w:szCs w:val="28"/>
        </w:rPr>
        <w:t>ministru padomes sanāksmes darba kārtība</w:t>
      </w:r>
    </w:p>
    <w:p w:rsidR="00897AEF" w:rsidRPr="000E7CD7" w:rsidRDefault="00A5294F" w:rsidP="00453514">
      <w:pPr>
        <w:tabs>
          <w:tab w:val="left" w:pos="9288"/>
        </w:tabs>
        <w:spacing w:after="120"/>
        <w:ind w:firstLine="720"/>
        <w:jc w:val="both"/>
        <w:rPr>
          <w:sz w:val="28"/>
          <w:szCs w:val="28"/>
        </w:rPr>
      </w:pPr>
      <w:r>
        <w:rPr>
          <w:sz w:val="28"/>
          <w:szCs w:val="28"/>
        </w:rPr>
        <w:t>2012.</w:t>
      </w:r>
      <w:r w:rsidR="00897AEF" w:rsidRPr="000E7CD7">
        <w:rPr>
          <w:sz w:val="28"/>
          <w:szCs w:val="28"/>
        </w:rPr>
        <w:t xml:space="preserve">gada </w:t>
      </w:r>
      <w:r>
        <w:rPr>
          <w:sz w:val="28"/>
          <w:szCs w:val="28"/>
        </w:rPr>
        <w:t>20</w:t>
      </w:r>
      <w:r w:rsidR="00897AEF" w:rsidRPr="000E7CD7">
        <w:rPr>
          <w:sz w:val="28"/>
          <w:szCs w:val="28"/>
        </w:rPr>
        <w:t>.</w:t>
      </w:r>
      <w:r>
        <w:rPr>
          <w:sz w:val="28"/>
          <w:szCs w:val="28"/>
        </w:rPr>
        <w:t>februārī</w:t>
      </w:r>
      <w:r w:rsidR="00897AEF" w:rsidRPr="000E7CD7">
        <w:rPr>
          <w:sz w:val="28"/>
          <w:szCs w:val="28"/>
        </w:rPr>
        <w:t xml:space="preserve"> Briselē, Beļģijā, notiks Eiropas Savienības (turpmāk – ES) Konkurētspējas ministru padomes sanāksme</w:t>
      </w:r>
      <w:r w:rsidR="00946AE3">
        <w:rPr>
          <w:sz w:val="28"/>
          <w:szCs w:val="28"/>
        </w:rPr>
        <w:t xml:space="preserve"> (turpmāk - sanāksme)</w:t>
      </w:r>
      <w:r w:rsidR="00897AEF" w:rsidRPr="000E7CD7">
        <w:rPr>
          <w:sz w:val="28"/>
          <w:szCs w:val="28"/>
        </w:rPr>
        <w:t>. Paredzams, ka sanāksmes gaitā tiks izskatīti šādi Ekonomikas</w:t>
      </w:r>
      <w:r>
        <w:rPr>
          <w:sz w:val="28"/>
          <w:szCs w:val="28"/>
        </w:rPr>
        <w:t xml:space="preserve"> ministrijas (EM),</w:t>
      </w:r>
      <w:r w:rsidR="007F117C" w:rsidRPr="000E7CD7">
        <w:rPr>
          <w:sz w:val="28"/>
          <w:szCs w:val="28"/>
        </w:rPr>
        <w:t xml:space="preserve"> Finanšu</w:t>
      </w:r>
      <w:r w:rsidR="00897AEF" w:rsidRPr="000E7CD7">
        <w:rPr>
          <w:sz w:val="28"/>
          <w:szCs w:val="28"/>
        </w:rPr>
        <w:t xml:space="preserve"> ministrijas (</w:t>
      </w:r>
      <w:r w:rsidR="007F117C" w:rsidRPr="000E7CD7">
        <w:rPr>
          <w:sz w:val="28"/>
          <w:szCs w:val="28"/>
        </w:rPr>
        <w:t>F</w:t>
      </w:r>
      <w:r w:rsidR="00897AEF" w:rsidRPr="000E7CD7">
        <w:rPr>
          <w:sz w:val="28"/>
          <w:szCs w:val="28"/>
        </w:rPr>
        <w:t>M)</w:t>
      </w:r>
      <w:r>
        <w:rPr>
          <w:sz w:val="28"/>
          <w:szCs w:val="28"/>
        </w:rPr>
        <w:t xml:space="preserve"> un Tieslietu ministrijas (TM)</w:t>
      </w:r>
      <w:r w:rsidR="00897AEF" w:rsidRPr="000E7CD7">
        <w:rPr>
          <w:sz w:val="28"/>
          <w:szCs w:val="28"/>
        </w:rPr>
        <w:t xml:space="preserve"> kompetencē esoši jautājumi:</w:t>
      </w:r>
    </w:p>
    <w:p w:rsidR="007A1C1C" w:rsidRPr="000E7CD7" w:rsidRDefault="007A1C1C" w:rsidP="00453514">
      <w:pPr>
        <w:tabs>
          <w:tab w:val="left" w:pos="9288"/>
        </w:tabs>
        <w:spacing w:after="120"/>
        <w:ind w:firstLine="720"/>
        <w:jc w:val="both"/>
        <w:rPr>
          <w:sz w:val="28"/>
          <w:szCs w:val="28"/>
        </w:rPr>
      </w:pPr>
    </w:p>
    <w:p w:rsidR="005A2969" w:rsidRPr="001F33E5" w:rsidRDefault="005A2969" w:rsidP="00361A26">
      <w:pPr>
        <w:pStyle w:val="Typedudocument"/>
        <w:pBdr>
          <w:bottom w:val="single" w:sz="4" w:space="1" w:color="auto"/>
        </w:pBdr>
        <w:spacing w:before="120" w:after="120"/>
        <w:jc w:val="both"/>
        <w:rPr>
          <w:sz w:val="28"/>
          <w:szCs w:val="28"/>
          <w:lang w:val="lv-LV"/>
        </w:rPr>
      </w:pPr>
      <w:r w:rsidRPr="001F33E5">
        <w:rPr>
          <w:sz w:val="28"/>
          <w:szCs w:val="28"/>
          <w:lang w:val="lv-LV"/>
        </w:rPr>
        <w:t xml:space="preserve">1.1. </w:t>
      </w:r>
      <w:r w:rsidRPr="00BC7E2B">
        <w:rPr>
          <w:sz w:val="28"/>
          <w:szCs w:val="28"/>
          <w:lang w:val="lv-LV"/>
        </w:rPr>
        <w:t>Stratēģija "Eiropa 2020"</w:t>
      </w:r>
      <w:r>
        <w:rPr>
          <w:sz w:val="28"/>
          <w:szCs w:val="28"/>
          <w:lang w:val="lv-LV"/>
        </w:rPr>
        <w:t xml:space="preserve"> </w:t>
      </w:r>
      <w:r w:rsidR="007154D5">
        <w:rPr>
          <w:sz w:val="28"/>
          <w:szCs w:val="28"/>
          <w:lang w:val="lv-LV"/>
        </w:rPr>
        <w:t>(</w:t>
      </w:r>
      <w:r>
        <w:rPr>
          <w:sz w:val="28"/>
          <w:szCs w:val="28"/>
          <w:lang w:val="lv-LV"/>
        </w:rPr>
        <w:t>iekšējā tirgus un rūpniecības aspekti</w:t>
      </w:r>
      <w:r w:rsidR="007154D5">
        <w:rPr>
          <w:sz w:val="28"/>
          <w:szCs w:val="28"/>
          <w:lang w:val="lv-LV"/>
        </w:rPr>
        <w:t>)</w:t>
      </w:r>
      <w:r>
        <w:rPr>
          <w:sz w:val="28"/>
          <w:szCs w:val="28"/>
          <w:lang w:val="lv-LV"/>
        </w:rPr>
        <w:t xml:space="preserve"> </w:t>
      </w:r>
      <w:r w:rsidRPr="005A2969">
        <w:rPr>
          <w:i/>
          <w:sz w:val="28"/>
          <w:szCs w:val="28"/>
          <w:lang w:val="lv-LV"/>
        </w:rPr>
        <w:t>(EM kompetence)</w:t>
      </w:r>
    </w:p>
    <w:p w:rsidR="005A2969" w:rsidRPr="001F33E5" w:rsidRDefault="005A2969" w:rsidP="00453514">
      <w:pPr>
        <w:spacing w:before="120" w:after="120"/>
        <w:jc w:val="both"/>
        <w:rPr>
          <w:i/>
          <w:sz w:val="28"/>
          <w:szCs w:val="28"/>
        </w:rPr>
      </w:pPr>
      <w:r w:rsidRPr="001F33E5">
        <w:rPr>
          <w:sz w:val="28"/>
          <w:szCs w:val="28"/>
        </w:rPr>
        <w:t>-</w:t>
      </w:r>
      <w:r w:rsidRPr="001F33E5">
        <w:rPr>
          <w:i/>
          <w:sz w:val="28"/>
          <w:szCs w:val="28"/>
        </w:rPr>
        <w:t xml:space="preserve"> </w:t>
      </w:r>
      <w:r>
        <w:rPr>
          <w:i/>
          <w:sz w:val="28"/>
          <w:szCs w:val="28"/>
        </w:rPr>
        <w:t>Publiskās debates</w:t>
      </w:r>
    </w:p>
    <w:p w:rsidR="005C21D5" w:rsidRPr="000E7CD7" w:rsidRDefault="005C21D5" w:rsidP="00453514">
      <w:pPr>
        <w:tabs>
          <w:tab w:val="left" w:pos="284"/>
        </w:tabs>
        <w:jc w:val="both"/>
        <w:rPr>
          <w:sz w:val="28"/>
          <w:szCs w:val="28"/>
        </w:rPr>
      </w:pPr>
    </w:p>
    <w:p w:rsidR="00044700" w:rsidRDefault="00044700" w:rsidP="00946AE3">
      <w:pPr>
        <w:spacing w:after="120"/>
        <w:jc w:val="both"/>
        <w:rPr>
          <w:sz w:val="28"/>
          <w:szCs w:val="28"/>
        </w:rPr>
      </w:pPr>
      <w:r w:rsidRPr="00044700">
        <w:rPr>
          <w:sz w:val="28"/>
          <w:szCs w:val="28"/>
        </w:rPr>
        <w:t>Š.g. 10.februārī</w:t>
      </w:r>
      <w:r w:rsidR="003A30B0">
        <w:rPr>
          <w:sz w:val="28"/>
          <w:szCs w:val="28"/>
        </w:rPr>
        <w:t>,</w:t>
      </w:r>
      <w:r w:rsidRPr="00044700">
        <w:rPr>
          <w:sz w:val="28"/>
          <w:szCs w:val="28"/>
        </w:rPr>
        <w:t xml:space="preserve"> pēc diskusijām Eiropas Savienības (turpmāk – ES) Padomes augsta līmeņa konkurētspējas un izaugsmes darba grupā</w:t>
      </w:r>
      <w:r w:rsidR="003A30B0">
        <w:rPr>
          <w:sz w:val="28"/>
          <w:szCs w:val="28"/>
        </w:rPr>
        <w:t>,</w:t>
      </w:r>
      <w:r w:rsidRPr="00044700">
        <w:rPr>
          <w:sz w:val="28"/>
          <w:szCs w:val="28"/>
        </w:rPr>
        <w:t xml:space="preserve"> Prezidentūra nāca klajā ar diskusiju dokumentu (</w:t>
      </w:r>
      <w:proofErr w:type="spellStart"/>
      <w:r w:rsidRPr="00044700">
        <w:rPr>
          <w:sz w:val="28"/>
          <w:szCs w:val="28"/>
        </w:rPr>
        <w:t>non-paper</w:t>
      </w:r>
      <w:proofErr w:type="spellEnd"/>
      <w:r w:rsidRPr="00044700">
        <w:rPr>
          <w:sz w:val="28"/>
          <w:szCs w:val="28"/>
        </w:rPr>
        <w:t>) „Eiropas Savienības Konkurētspējas ministru padome un 2012.gada Ikgadējais izaugsmes ziņojums”, uz ko balstīsies ministru diskusijas š.g. 20.februāra Eiropas Savienības Konkurētspējas ministru padomes sanāksmes ietvaros. Konkurētspējas ministru diskusijas sniegs ieguldījumu š.g. 1.-2. marta Eiropadomes secinājumu par Ikgadējo izaugsmes ziņojumu sagatavošanā.</w:t>
      </w:r>
    </w:p>
    <w:p w:rsidR="00946AE3" w:rsidRDefault="00946AE3" w:rsidP="00946AE3">
      <w:pPr>
        <w:spacing w:after="120"/>
        <w:jc w:val="both"/>
        <w:rPr>
          <w:sz w:val="28"/>
          <w:szCs w:val="28"/>
        </w:rPr>
      </w:pPr>
      <w:r w:rsidRPr="00946AE3">
        <w:rPr>
          <w:sz w:val="28"/>
          <w:szCs w:val="28"/>
        </w:rPr>
        <w:t xml:space="preserve">Savā diskusiju dokumentā par ES Konkurētspējas ministru padomes ieguldījumu Ikgadējā izaugsmes ziņojumā iekļauto prioritāšu īstenošanā Prezidentūra ir izdalījusi trīs prioritārās darbības, koncentrēšanās uz kurām vecinās ekonomiskos sasniegumus un radīs pievienoto vērtību gan </w:t>
      </w:r>
      <w:proofErr w:type="spellStart"/>
      <w:r w:rsidRPr="00946AE3">
        <w:rPr>
          <w:sz w:val="28"/>
          <w:szCs w:val="28"/>
        </w:rPr>
        <w:t>īstermiņā</w:t>
      </w:r>
      <w:proofErr w:type="spellEnd"/>
      <w:r w:rsidRPr="00946AE3">
        <w:rPr>
          <w:sz w:val="28"/>
          <w:szCs w:val="28"/>
        </w:rPr>
        <w:t>, gan ilgtermiņā:</w:t>
      </w:r>
      <w:r w:rsidR="00044700">
        <w:rPr>
          <w:sz w:val="28"/>
          <w:szCs w:val="28"/>
        </w:rPr>
        <w:t xml:space="preserve"> </w:t>
      </w:r>
      <w:r w:rsidR="00044700" w:rsidRPr="00044700">
        <w:rPr>
          <w:sz w:val="28"/>
          <w:szCs w:val="28"/>
        </w:rPr>
        <w:t>konkurētspējas veicināšana ar i</w:t>
      </w:r>
      <w:r w:rsidR="00044700">
        <w:rPr>
          <w:sz w:val="28"/>
          <w:szCs w:val="28"/>
        </w:rPr>
        <w:t>lgtspējīgas izaugsmes palīdzību, pieeja finansējumam un</w:t>
      </w:r>
      <w:r w:rsidR="00044700" w:rsidRPr="00044700">
        <w:rPr>
          <w:sz w:val="28"/>
          <w:szCs w:val="28"/>
        </w:rPr>
        <w:t xml:space="preserve"> valsts pārvaldes modernizācija.</w:t>
      </w:r>
    </w:p>
    <w:p w:rsidR="00044700" w:rsidRPr="00946AE3" w:rsidRDefault="00044700" w:rsidP="00946AE3">
      <w:pPr>
        <w:spacing w:after="120"/>
        <w:jc w:val="both"/>
        <w:rPr>
          <w:sz w:val="28"/>
          <w:szCs w:val="28"/>
        </w:rPr>
      </w:pPr>
      <w:r w:rsidRPr="00044700">
        <w:rPr>
          <w:sz w:val="28"/>
          <w:szCs w:val="28"/>
        </w:rPr>
        <w:t>Par katru no prioritārajām darbībām Prezidentūra ir sagatavojusi sarakstu ar konkrētiem pasākumiem, kas ir jāveic gan ES, gan nacionālajā līmenī.</w:t>
      </w:r>
    </w:p>
    <w:p w:rsidR="00946AE3" w:rsidRPr="00191DB1" w:rsidRDefault="00946AE3" w:rsidP="00506838">
      <w:pPr>
        <w:spacing w:before="240" w:after="240"/>
        <w:jc w:val="both"/>
        <w:rPr>
          <w:i/>
          <w:sz w:val="28"/>
          <w:szCs w:val="28"/>
        </w:rPr>
      </w:pPr>
      <w:r w:rsidRPr="00191DB1">
        <w:rPr>
          <w:i/>
          <w:sz w:val="28"/>
          <w:szCs w:val="28"/>
        </w:rPr>
        <w:t>1)</w:t>
      </w:r>
      <w:r w:rsidRPr="00191DB1">
        <w:rPr>
          <w:i/>
          <w:sz w:val="28"/>
          <w:szCs w:val="28"/>
        </w:rPr>
        <w:tab/>
        <w:t>Konkurētspējas veicināšana ar ilgtspējīgas izaugsmes palīdzību;</w:t>
      </w:r>
    </w:p>
    <w:p w:rsidR="00191DB1" w:rsidRPr="00946AE3" w:rsidRDefault="00191DB1" w:rsidP="00191DB1">
      <w:pPr>
        <w:jc w:val="both"/>
        <w:rPr>
          <w:sz w:val="28"/>
          <w:szCs w:val="28"/>
        </w:rPr>
      </w:pPr>
      <w:r w:rsidRPr="00946AE3">
        <w:rPr>
          <w:b/>
          <w:sz w:val="28"/>
          <w:szCs w:val="28"/>
        </w:rPr>
        <w:t xml:space="preserve">Latvija atbalsta </w:t>
      </w:r>
      <w:r w:rsidRPr="00946AE3">
        <w:rPr>
          <w:sz w:val="28"/>
          <w:szCs w:val="28"/>
        </w:rPr>
        <w:t>Prezidentūras dokumentā un Ikgadējā izaugsmes ziņojumā uzsvērto nepieciešamību izveidot funkcionējošu ES vienoto digitālo tirgu, turpināt darbu pie iekšējā tirgus pakalpojumu jomā izveidošanas un izmantot ārējās tirdzniecības potenciālu.</w:t>
      </w:r>
    </w:p>
    <w:p w:rsidR="00191DB1" w:rsidRPr="00946AE3" w:rsidRDefault="00191DB1" w:rsidP="00191DB1">
      <w:pPr>
        <w:jc w:val="both"/>
        <w:rPr>
          <w:sz w:val="28"/>
          <w:szCs w:val="28"/>
        </w:rPr>
      </w:pPr>
    </w:p>
    <w:p w:rsidR="00191DB1" w:rsidRPr="00946AE3" w:rsidRDefault="00191DB1" w:rsidP="00506838">
      <w:pPr>
        <w:spacing w:before="120" w:after="120"/>
        <w:jc w:val="both"/>
        <w:rPr>
          <w:sz w:val="28"/>
          <w:szCs w:val="28"/>
        </w:rPr>
      </w:pPr>
      <w:r w:rsidRPr="00946AE3">
        <w:rPr>
          <w:b/>
          <w:sz w:val="28"/>
          <w:szCs w:val="28"/>
        </w:rPr>
        <w:t xml:space="preserve">ES Vienotā tirgus efektīva funkcionēšana ir viena no Latvijas būtiskākajām prioritātēm </w:t>
      </w:r>
      <w:r w:rsidRPr="00946AE3">
        <w:rPr>
          <w:b/>
          <w:bCs/>
          <w:sz w:val="28"/>
          <w:szCs w:val="28"/>
        </w:rPr>
        <w:t>ekonomikas izaugsmes kontekstā</w:t>
      </w:r>
      <w:r w:rsidRPr="00946AE3">
        <w:rPr>
          <w:sz w:val="28"/>
          <w:szCs w:val="28"/>
        </w:rPr>
        <w:t xml:space="preserve">. </w:t>
      </w:r>
    </w:p>
    <w:p w:rsidR="007F602D" w:rsidRDefault="00191DB1" w:rsidP="00506838">
      <w:pPr>
        <w:spacing w:before="120" w:after="120"/>
        <w:jc w:val="both"/>
        <w:rPr>
          <w:sz w:val="28"/>
          <w:szCs w:val="28"/>
        </w:rPr>
      </w:pPr>
      <w:r w:rsidRPr="00946AE3">
        <w:rPr>
          <w:iCs/>
          <w:sz w:val="28"/>
          <w:szCs w:val="28"/>
        </w:rPr>
        <w:t xml:space="preserve">Ņemot vērā </w:t>
      </w:r>
      <w:r w:rsidRPr="00946AE3">
        <w:rPr>
          <w:b/>
          <w:iCs/>
          <w:sz w:val="28"/>
          <w:szCs w:val="28"/>
        </w:rPr>
        <w:t>digitālās ekonomikas potenciālu</w:t>
      </w:r>
      <w:r w:rsidRPr="00946AE3">
        <w:rPr>
          <w:iCs/>
          <w:sz w:val="28"/>
          <w:szCs w:val="28"/>
        </w:rPr>
        <w:t xml:space="preserve">, kā arī to, ka šobrīd digitālā ekonomika/digitālie pakalpojumi ES pārrobežu kontekstā ir mazattīstīti, Latvija kopumā atbalsta pasākumus Digitālā Vienotā tirgus stiprināšanai kā pieprasījuma, tā arī piedāvājuma kontekstā. </w:t>
      </w:r>
      <w:r w:rsidRPr="00946AE3">
        <w:rPr>
          <w:sz w:val="28"/>
          <w:szCs w:val="28"/>
        </w:rPr>
        <w:t xml:space="preserve">Digitālās ekonomikas attīstības rezultātā tiktu radītas jaunas darba vietas, lielākas iespējas attālākos reģionos kā darbiniekiem, tā arī pašnodarbinātajiem. Tāpat arī sagaidāmi pozitīvi efekti vides aizsardzības ziņā, jo tiks mazināta nepieciešamības pēc neskaitāmiem un nevajadzīgiem braucieniem uz/no tirdzniecības vietām. No plašākas e-komercijas un e-pakalpojumu pieejamības ieguvēji būs gan patērētāji (zemākas cenas, plašāks piedāvājums), gan uzņēmēji (plašāka tirgus iespējas, produktivitāte u.c.). </w:t>
      </w:r>
    </w:p>
    <w:p w:rsidR="007F602D" w:rsidRPr="007F602D" w:rsidRDefault="007F602D" w:rsidP="007F602D">
      <w:pPr>
        <w:jc w:val="both"/>
        <w:rPr>
          <w:i/>
          <w:noProof/>
          <w:color w:val="000000"/>
          <w:sz w:val="28"/>
          <w:lang w:eastAsia="en-GB"/>
        </w:rPr>
      </w:pPr>
      <w:r w:rsidRPr="007F602D">
        <w:rPr>
          <w:noProof/>
          <w:sz w:val="28"/>
        </w:rPr>
        <w:t xml:space="preserve">Latvija atbalsta pasākumus Digitālā Vienotā tirgus stiprināšanai kā piedāvājuma, tā arī pieprasījuma kontekstā. Pirmkārt, </w:t>
      </w:r>
      <w:r w:rsidRPr="007F602D">
        <w:rPr>
          <w:b/>
          <w:noProof/>
          <w:sz w:val="28"/>
        </w:rPr>
        <w:t>ir svarīgi strādāt pie pasākumiem, kas būtiski atvieglo preču un pakalpojumu sniegšanu interneta vidē un pārrobežu kontekstā.</w:t>
      </w:r>
      <w:r w:rsidRPr="007F602D">
        <w:rPr>
          <w:noProof/>
          <w:sz w:val="28"/>
        </w:rPr>
        <w:t xml:space="preserve"> Ir jālikvidē vai jāmazina šķēršļi, kas saistīti ar uzņēmuma darbību digitālā vidē pārrobežu kontekstā, kā arī jāveic dažādi popularizēšanas un izglītošanas pasākumi, lai maksimāli stimulētu uzņēmumu vēlmi darboties šādā veidā. Otrkārt, Latvija uzskata, ka </w:t>
      </w:r>
      <w:r w:rsidRPr="007F602D">
        <w:rPr>
          <w:bCs/>
          <w:noProof/>
          <w:sz w:val="28"/>
        </w:rPr>
        <w:t>Digitālā vienotā tirgus stiprināšanai ir būtiska</w:t>
      </w:r>
      <w:r w:rsidRPr="007F602D">
        <w:rPr>
          <w:noProof/>
          <w:sz w:val="28"/>
        </w:rPr>
        <w:t xml:space="preserve"> </w:t>
      </w:r>
      <w:r w:rsidRPr="007F602D">
        <w:rPr>
          <w:b/>
          <w:noProof/>
          <w:sz w:val="28"/>
        </w:rPr>
        <w:t>patērētāju un citu digitālo pakalpojumu saņēmēju uzticēšanās</w:t>
      </w:r>
      <w:r w:rsidRPr="007F602D">
        <w:rPr>
          <w:noProof/>
          <w:sz w:val="28"/>
        </w:rPr>
        <w:t xml:space="preserve"> šādiem interneta vidē un pārrobežu kontekstā slēgtiem darījumiem.</w:t>
      </w:r>
    </w:p>
    <w:p w:rsidR="00191DB1" w:rsidRPr="00946AE3" w:rsidRDefault="00191DB1" w:rsidP="00506838">
      <w:pPr>
        <w:spacing w:before="120" w:after="120"/>
        <w:jc w:val="both"/>
        <w:rPr>
          <w:sz w:val="28"/>
          <w:szCs w:val="28"/>
        </w:rPr>
      </w:pPr>
      <w:r w:rsidRPr="00946AE3">
        <w:rPr>
          <w:b/>
          <w:sz w:val="28"/>
          <w:szCs w:val="28"/>
        </w:rPr>
        <w:t>Latvija uzskata</w:t>
      </w:r>
      <w:r w:rsidRPr="00946AE3">
        <w:rPr>
          <w:sz w:val="28"/>
          <w:szCs w:val="28"/>
        </w:rPr>
        <w:t xml:space="preserve">, ka </w:t>
      </w:r>
      <w:r w:rsidRPr="00946AE3">
        <w:rPr>
          <w:b/>
          <w:sz w:val="28"/>
          <w:szCs w:val="28"/>
        </w:rPr>
        <w:t>uzņēmējdarbības vides kvalitāte</w:t>
      </w:r>
      <w:r w:rsidRPr="00946AE3">
        <w:rPr>
          <w:sz w:val="28"/>
          <w:szCs w:val="28"/>
        </w:rPr>
        <w:t xml:space="preserve"> ir viens no svarīgākajiem konkurētspējas elementiem gan nacionālajā, gan ES līmenī. Labāki nosacījumi uzņēmējdarbībai var nodrošināt aktīvāku investīciju piesaisti, kas, savukārt, veicinās jaunu darba vietu radīšanu un kopējo izaugsmi.</w:t>
      </w:r>
    </w:p>
    <w:p w:rsidR="00191DB1" w:rsidRPr="00946AE3" w:rsidRDefault="00191DB1" w:rsidP="00506838">
      <w:pPr>
        <w:spacing w:before="120" w:after="120"/>
        <w:jc w:val="both"/>
        <w:rPr>
          <w:color w:val="000000"/>
          <w:sz w:val="28"/>
          <w:szCs w:val="28"/>
          <w:lang w:eastAsia="en-GB"/>
        </w:rPr>
      </w:pPr>
      <w:r w:rsidRPr="00946AE3">
        <w:rPr>
          <w:b/>
          <w:color w:val="000000"/>
          <w:sz w:val="28"/>
          <w:szCs w:val="28"/>
          <w:lang w:eastAsia="en-GB"/>
        </w:rPr>
        <w:t>Lai nodrošinātu pāreju uz zaļāku un ilgtspējīgāku ekonomiku</w:t>
      </w:r>
      <w:r w:rsidRPr="00946AE3">
        <w:rPr>
          <w:color w:val="000000"/>
          <w:sz w:val="28"/>
          <w:szCs w:val="28"/>
          <w:lang w:eastAsia="en-GB"/>
        </w:rPr>
        <w:t xml:space="preserve">, nozīmīgs ir </w:t>
      </w:r>
      <w:r w:rsidRPr="00946AE3">
        <w:rPr>
          <w:b/>
          <w:color w:val="000000"/>
          <w:sz w:val="28"/>
          <w:szCs w:val="28"/>
          <w:lang w:eastAsia="en-GB"/>
        </w:rPr>
        <w:t>atbalsts</w:t>
      </w:r>
      <w:r w:rsidRPr="00946AE3">
        <w:rPr>
          <w:b/>
          <w:sz w:val="28"/>
          <w:szCs w:val="28"/>
        </w:rPr>
        <w:t xml:space="preserve"> visa veida inovācijai</w:t>
      </w:r>
      <w:r w:rsidRPr="00946AE3">
        <w:rPr>
          <w:sz w:val="28"/>
          <w:szCs w:val="28"/>
        </w:rPr>
        <w:t xml:space="preserve"> un inovatīvu risinājumu attīstīšanai, pielietošanai un izplatīšanai</w:t>
      </w:r>
      <w:r w:rsidRPr="00946AE3">
        <w:rPr>
          <w:color w:val="000000"/>
          <w:sz w:val="28"/>
          <w:szCs w:val="28"/>
          <w:lang w:eastAsia="en-GB"/>
        </w:rPr>
        <w:t xml:space="preserve">. </w:t>
      </w:r>
      <w:r w:rsidRPr="00946AE3">
        <w:rPr>
          <w:sz w:val="28"/>
          <w:szCs w:val="28"/>
        </w:rPr>
        <w:t xml:space="preserve">Vienlaikus ir jāstrādā pie rūpniecisko pētījumu rezultātu </w:t>
      </w:r>
      <w:proofErr w:type="spellStart"/>
      <w:r w:rsidRPr="00946AE3">
        <w:rPr>
          <w:sz w:val="28"/>
          <w:szCs w:val="28"/>
        </w:rPr>
        <w:t>komercializācijas</w:t>
      </w:r>
      <w:proofErr w:type="spellEnd"/>
      <w:r w:rsidRPr="00946AE3">
        <w:rPr>
          <w:sz w:val="28"/>
          <w:szCs w:val="28"/>
        </w:rPr>
        <w:t>, kas būtu tirgū pieprasīti un sekmētu rūpniecības izaugsmi, resursu un energoefektivitāti, produktivitātes pieaugumu un jaunu tehnoloģiju attīstību un ienākšanu tirgū.</w:t>
      </w:r>
      <w:r w:rsidRPr="00946AE3">
        <w:rPr>
          <w:color w:val="000000"/>
          <w:sz w:val="28"/>
          <w:szCs w:val="28"/>
          <w:lang w:eastAsia="en-GB"/>
        </w:rPr>
        <w:t xml:space="preserve"> </w:t>
      </w:r>
    </w:p>
    <w:p w:rsidR="00191DB1" w:rsidRPr="00946AE3" w:rsidRDefault="00191DB1" w:rsidP="00506838">
      <w:pPr>
        <w:spacing w:before="120" w:after="120"/>
        <w:jc w:val="both"/>
        <w:rPr>
          <w:color w:val="000000"/>
          <w:sz w:val="28"/>
          <w:szCs w:val="28"/>
          <w:lang w:eastAsia="en-GB"/>
        </w:rPr>
      </w:pPr>
      <w:r w:rsidRPr="00946AE3">
        <w:rPr>
          <w:b/>
          <w:sz w:val="28"/>
          <w:szCs w:val="28"/>
        </w:rPr>
        <w:t>Latvija uzskata</w:t>
      </w:r>
      <w:r w:rsidRPr="00946AE3">
        <w:rPr>
          <w:sz w:val="28"/>
          <w:szCs w:val="28"/>
        </w:rPr>
        <w:t xml:space="preserve">, </w:t>
      </w:r>
      <w:r w:rsidRPr="00946AE3">
        <w:rPr>
          <w:color w:val="000000"/>
          <w:sz w:val="28"/>
          <w:szCs w:val="28"/>
          <w:lang w:eastAsia="en-GB"/>
        </w:rPr>
        <w:t xml:space="preserve">būtiska ir arī </w:t>
      </w:r>
      <w:r w:rsidRPr="00946AE3">
        <w:rPr>
          <w:b/>
          <w:color w:val="000000"/>
          <w:sz w:val="28"/>
          <w:szCs w:val="28"/>
          <w:lang w:eastAsia="en-GB"/>
        </w:rPr>
        <w:t>piemērotu atbalsta mehānismu un finanšu instrumentu pieejamība</w:t>
      </w:r>
      <w:r w:rsidRPr="00946AE3">
        <w:rPr>
          <w:color w:val="000000"/>
          <w:sz w:val="28"/>
          <w:szCs w:val="28"/>
          <w:lang w:eastAsia="en-GB"/>
        </w:rPr>
        <w:t xml:space="preserve">, kas stimulētu ES rūpniecības, jo īpaši MVU spēju palielināt savas investīcijas resursu efektivitātē (piemēram, infrastruktūras modernizācijā, resursu efektivitāti uzlabojošu pētniecisko izstrādņu </w:t>
      </w:r>
      <w:proofErr w:type="spellStart"/>
      <w:r w:rsidRPr="00946AE3">
        <w:rPr>
          <w:color w:val="000000"/>
          <w:sz w:val="28"/>
          <w:szCs w:val="28"/>
          <w:lang w:eastAsia="en-GB"/>
        </w:rPr>
        <w:t>komercializācijā</w:t>
      </w:r>
      <w:proofErr w:type="spellEnd"/>
      <w:r w:rsidRPr="00946AE3">
        <w:rPr>
          <w:color w:val="000000"/>
          <w:sz w:val="28"/>
          <w:szCs w:val="28"/>
          <w:lang w:eastAsia="en-GB"/>
        </w:rPr>
        <w:t>) vai, piemēram, attīstītākos (</w:t>
      </w:r>
      <w:proofErr w:type="spellStart"/>
      <w:r w:rsidRPr="00946AE3">
        <w:rPr>
          <w:i/>
          <w:color w:val="000000"/>
          <w:sz w:val="28"/>
          <w:szCs w:val="28"/>
          <w:lang w:eastAsia="en-GB"/>
        </w:rPr>
        <w:t>sophisticated</w:t>
      </w:r>
      <w:proofErr w:type="spellEnd"/>
      <w:r w:rsidRPr="00946AE3">
        <w:rPr>
          <w:color w:val="000000"/>
          <w:sz w:val="28"/>
          <w:szCs w:val="28"/>
          <w:lang w:eastAsia="en-GB"/>
        </w:rPr>
        <w:t>) biznesa modeļos, kas izaicinājumus resursu efektivitātē spētu pārvērst par produktivitāti un konkurētspēju palielinošu ieguvumu.</w:t>
      </w:r>
    </w:p>
    <w:p w:rsidR="00191DB1" w:rsidRDefault="00191DB1" w:rsidP="00506838">
      <w:pPr>
        <w:spacing w:before="120" w:after="120"/>
        <w:jc w:val="both"/>
        <w:rPr>
          <w:color w:val="000000"/>
          <w:sz w:val="28"/>
          <w:szCs w:val="28"/>
          <w:lang w:eastAsia="en-GB"/>
        </w:rPr>
      </w:pPr>
      <w:r w:rsidRPr="00946AE3">
        <w:rPr>
          <w:color w:val="000000"/>
          <w:sz w:val="28"/>
          <w:szCs w:val="28"/>
          <w:lang w:eastAsia="en-GB"/>
        </w:rPr>
        <w:lastRenderedPageBreak/>
        <w:t xml:space="preserve">Nozīmīgs arī tālredzīgs un gudrs </w:t>
      </w:r>
      <w:r w:rsidRPr="00946AE3">
        <w:rPr>
          <w:b/>
          <w:color w:val="000000"/>
          <w:sz w:val="28"/>
          <w:szCs w:val="28"/>
          <w:lang w:eastAsia="en-GB"/>
        </w:rPr>
        <w:t>regulējums</w:t>
      </w:r>
      <w:r w:rsidRPr="00946AE3">
        <w:rPr>
          <w:color w:val="000000"/>
          <w:sz w:val="28"/>
          <w:szCs w:val="28"/>
          <w:lang w:eastAsia="en-GB"/>
        </w:rPr>
        <w:t>, kas nodrošina, ka resursu efektivitātes mērķi un rīcības virzieni saskan ar ES rūpniecības konkurētspējas paaugstināšanas izaicinājumiem, nemazinot ES uzņēmumu globālo konkurētspēju.</w:t>
      </w:r>
    </w:p>
    <w:p w:rsidR="007E7C06" w:rsidRPr="007E7C06" w:rsidRDefault="007E7C06" w:rsidP="007E7C06">
      <w:pPr>
        <w:jc w:val="both"/>
        <w:rPr>
          <w:color w:val="000000"/>
          <w:sz w:val="28"/>
          <w:szCs w:val="28"/>
        </w:rPr>
      </w:pPr>
      <w:r w:rsidRPr="007E7C06">
        <w:rPr>
          <w:b/>
          <w:bCs/>
          <w:color w:val="000000"/>
          <w:sz w:val="28"/>
          <w:szCs w:val="28"/>
        </w:rPr>
        <w:t>Latvija uzskata</w:t>
      </w:r>
      <w:r w:rsidRPr="007E7C06">
        <w:rPr>
          <w:color w:val="000000"/>
          <w:sz w:val="28"/>
          <w:szCs w:val="28"/>
        </w:rPr>
        <w:t xml:space="preserve">, ka ir nepieciešams </w:t>
      </w:r>
      <w:r w:rsidRPr="007E7C06">
        <w:rPr>
          <w:b/>
          <w:bCs/>
          <w:color w:val="000000"/>
          <w:sz w:val="28"/>
          <w:szCs w:val="28"/>
        </w:rPr>
        <w:t>veicināt ES ārējās tirdzniecības attiecības</w:t>
      </w:r>
      <w:r w:rsidRPr="007E7C06">
        <w:rPr>
          <w:color w:val="000000"/>
          <w:sz w:val="28"/>
          <w:szCs w:val="28"/>
        </w:rPr>
        <w:t xml:space="preserve">, jo tās ir nozīmīgs ES izaugsmes avots. Latvijas prioritātes </w:t>
      </w:r>
      <w:r w:rsidRPr="007E7C06">
        <w:rPr>
          <w:b/>
          <w:bCs/>
          <w:color w:val="000000"/>
          <w:sz w:val="28"/>
          <w:szCs w:val="28"/>
        </w:rPr>
        <w:t>ir nodrošināt brīvas un godīgas starptautiskas tirdzniecības sistēmas funkcionēšanu</w:t>
      </w:r>
      <w:r w:rsidRPr="007E7C06">
        <w:rPr>
          <w:color w:val="000000"/>
          <w:sz w:val="28"/>
          <w:szCs w:val="28"/>
        </w:rPr>
        <w:t xml:space="preserve">, veicinot starpvalstu sadarbību, novēršot protekcionistiskus pasākumus un ciešāk iesaistot jaunattīstības valstis globālās tirdzniecības sistēmā. </w:t>
      </w:r>
    </w:p>
    <w:p w:rsidR="007E7C06" w:rsidRPr="007E7C06" w:rsidRDefault="007E7C06" w:rsidP="007E7C06">
      <w:pPr>
        <w:ind w:left="567"/>
        <w:jc w:val="both"/>
        <w:rPr>
          <w:color w:val="000000"/>
          <w:sz w:val="28"/>
          <w:szCs w:val="28"/>
        </w:rPr>
      </w:pPr>
    </w:p>
    <w:p w:rsidR="007E7C06" w:rsidRPr="007E7C06" w:rsidRDefault="007E7C06" w:rsidP="007E7C06">
      <w:pPr>
        <w:jc w:val="both"/>
        <w:rPr>
          <w:color w:val="000000"/>
          <w:sz w:val="28"/>
          <w:szCs w:val="28"/>
        </w:rPr>
      </w:pPr>
      <w:r w:rsidRPr="007E7C06">
        <w:rPr>
          <w:color w:val="000000"/>
          <w:sz w:val="28"/>
          <w:szCs w:val="28"/>
        </w:rPr>
        <w:t xml:space="preserve">ES ir jāveicina tarifu un </w:t>
      </w:r>
      <w:proofErr w:type="spellStart"/>
      <w:r w:rsidRPr="007E7C06">
        <w:rPr>
          <w:color w:val="000000"/>
          <w:sz w:val="28"/>
          <w:szCs w:val="28"/>
        </w:rPr>
        <w:t>netarifu</w:t>
      </w:r>
      <w:proofErr w:type="spellEnd"/>
      <w:r w:rsidRPr="007E7C06">
        <w:rPr>
          <w:color w:val="000000"/>
          <w:sz w:val="28"/>
          <w:szCs w:val="28"/>
        </w:rPr>
        <w:t xml:space="preserve"> barjeru mazināšanai/atcelšanai un tirgus pieejamības nodrošināšana preču un pakalpojumu eksporta tirgos, īpaši attiecībā uz eksporta nodevām un sertificēšanas pārlieku apgrūtinošām prasībām, kā arī jāveicina MVU piekļuve trešo valstu izejvielām un publisko iepirkumu tirgiem. Jāveicina ciešāks dialogs ar uzņēmējiem, lai radītu pilnīgu izpratni par tirdzniecības šķēršļiem tirgos ārpus ES, dažāda veida </w:t>
      </w:r>
      <w:proofErr w:type="spellStart"/>
      <w:r w:rsidRPr="007E7C06">
        <w:rPr>
          <w:color w:val="000000"/>
          <w:sz w:val="28"/>
          <w:szCs w:val="28"/>
        </w:rPr>
        <w:t>netarifu</w:t>
      </w:r>
      <w:proofErr w:type="spellEnd"/>
      <w:r w:rsidRPr="007E7C06">
        <w:rPr>
          <w:color w:val="000000"/>
          <w:sz w:val="28"/>
          <w:szCs w:val="28"/>
        </w:rPr>
        <w:t xml:space="preserve"> barjerām, ES līmeni pieejamiem atbalsta instrumentiem. Standartiem ES iekšienē būtu jākļūst par pamatu starptautiskajiem standartiem un jāveicina atvērtība un tirdzniecības barjeru mazināšana globālajā tirdzniecībā.</w:t>
      </w:r>
    </w:p>
    <w:p w:rsidR="007E7C06" w:rsidRPr="007E7C06" w:rsidRDefault="007E7C06" w:rsidP="007E7C06">
      <w:pPr>
        <w:ind w:left="567"/>
        <w:jc w:val="both"/>
        <w:rPr>
          <w:color w:val="000000"/>
          <w:sz w:val="28"/>
          <w:szCs w:val="28"/>
        </w:rPr>
      </w:pPr>
    </w:p>
    <w:p w:rsidR="007E7C06" w:rsidRPr="007E7C06" w:rsidRDefault="007E7C06" w:rsidP="007E7C06">
      <w:pPr>
        <w:jc w:val="both"/>
        <w:rPr>
          <w:b/>
          <w:bCs/>
          <w:color w:val="000000"/>
          <w:sz w:val="28"/>
          <w:szCs w:val="28"/>
        </w:rPr>
      </w:pPr>
      <w:r w:rsidRPr="007E7C06">
        <w:rPr>
          <w:b/>
          <w:bCs/>
          <w:color w:val="000000"/>
          <w:sz w:val="28"/>
          <w:szCs w:val="28"/>
        </w:rPr>
        <w:t xml:space="preserve">Šobrīd ES kopējās tirdzniecības uzsvars būtu padziļinātas tirgus pieejamības nodrošināšana, slēdzot preferenciālos divpusējos tirdzniecības līgumus ar svarīgākajiem tirdzniecības partneriem. </w:t>
      </w:r>
      <w:r w:rsidRPr="007E7C06">
        <w:rPr>
          <w:color w:val="000000"/>
          <w:sz w:val="28"/>
          <w:szCs w:val="28"/>
        </w:rPr>
        <w:t xml:space="preserve">Būtu jāvecina ES tirdzniecība ar Koreju jau noslēgtā brīvās tirdzniecības līguma ietvaros, jānoslēdz parafētie līgumi ar Centrālamerikas valstīm, Kolumbiju un Peru. Ir jāturpina procesā esošās sarunas par ES preferenciālajiem tirdzniecības līgumiem ar </w:t>
      </w:r>
      <w:proofErr w:type="spellStart"/>
      <w:r w:rsidRPr="007E7C06">
        <w:rPr>
          <w:color w:val="000000"/>
          <w:sz w:val="28"/>
          <w:szCs w:val="28"/>
        </w:rPr>
        <w:t>Dienvidaustrumāzijas</w:t>
      </w:r>
      <w:proofErr w:type="spellEnd"/>
      <w:r w:rsidRPr="007E7C06">
        <w:rPr>
          <w:color w:val="000000"/>
          <w:sz w:val="28"/>
          <w:szCs w:val="28"/>
        </w:rPr>
        <w:t xml:space="preserve"> asociācijas valstīm, </w:t>
      </w:r>
      <w:proofErr w:type="spellStart"/>
      <w:r w:rsidRPr="007E7C06">
        <w:rPr>
          <w:i/>
          <w:iCs/>
          <w:color w:val="000000"/>
          <w:sz w:val="28"/>
          <w:szCs w:val="28"/>
        </w:rPr>
        <w:t>Mercosur</w:t>
      </w:r>
      <w:proofErr w:type="spellEnd"/>
      <w:r w:rsidRPr="007E7C06">
        <w:rPr>
          <w:color w:val="000000"/>
          <w:sz w:val="28"/>
          <w:szCs w:val="28"/>
        </w:rPr>
        <w:t xml:space="preserve">, Indiju, Kanādu, Persijas līča sadarbības padomes valstīm (GCC), Ukrainu un Vidusjūras reģiona valstīm, kā arī ekonomiskās partnerības līgumu sarunas (EPA) ar lielāko daļu Āfrikas, Karību un Klusā okeāna reģiona valstīm (ACP). </w:t>
      </w:r>
      <w:r w:rsidRPr="007E7C06">
        <w:rPr>
          <w:b/>
          <w:bCs/>
          <w:color w:val="000000"/>
          <w:sz w:val="28"/>
          <w:szCs w:val="28"/>
        </w:rPr>
        <w:t>Latvijai nozīmīga varētu būt ES preferenciālo tirdzniecības sarunu uzsākšana ar Krieviju pēc tās iestāšanās PTO ratifikācijas procesa</w:t>
      </w:r>
      <w:r w:rsidRPr="007E7C06">
        <w:rPr>
          <w:color w:val="000000"/>
          <w:sz w:val="28"/>
          <w:szCs w:val="28"/>
        </w:rPr>
        <w:t xml:space="preserve">, </w:t>
      </w:r>
      <w:r w:rsidRPr="007E7C06">
        <w:rPr>
          <w:b/>
          <w:bCs/>
          <w:color w:val="000000"/>
          <w:sz w:val="28"/>
          <w:szCs w:val="28"/>
        </w:rPr>
        <w:t>ES kaimiņvalstīm,</w:t>
      </w:r>
      <w:r w:rsidRPr="007E7C06">
        <w:rPr>
          <w:color w:val="000000"/>
          <w:sz w:val="28"/>
          <w:szCs w:val="28"/>
        </w:rPr>
        <w:t xml:space="preserve"> tostarp, Armēniju, Gruziju un Moldovu un Balkānu valstīm, bet pēc attiecīgo valstu iestāšanās PTO – arī ar Azerbaidžānu, Kazahstānu un Baltkrieviju.</w:t>
      </w:r>
    </w:p>
    <w:p w:rsidR="00946AE3" w:rsidRPr="00191DB1" w:rsidRDefault="00946AE3" w:rsidP="00506838">
      <w:pPr>
        <w:spacing w:before="240" w:after="240"/>
        <w:jc w:val="both"/>
        <w:rPr>
          <w:i/>
          <w:sz w:val="28"/>
          <w:szCs w:val="28"/>
        </w:rPr>
      </w:pPr>
      <w:r w:rsidRPr="00191DB1">
        <w:rPr>
          <w:i/>
          <w:sz w:val="28"/>
          <w:szCs w:val="28"/>
        </w:rPr>
        <w:t>2)</w:t>
      </w:r>
      <w:r w:rsidRPr="00191DB1">
        <w:rPr>
          <w:i/>
          <w:sz w:val="28"/>
          <w:szCs w:val="28"/>
        </w:rPr>
        <w:tab/>
        <w:t>Pieeja finansējumam;</w:t>
      </w:r>
    </w:p>
    <w:p w:rsidR="00044700" w:rsidRPr="0093576B" w:rsidRDefault="00044700" w:rsidP="00044700">
      <w:pPr>
        <w:jc w:val="both"/>
        <w:rPr>
          <w:sz w:val="28"/>
          <w:szCs w:val="28"/>
        </w:rPr>
      </w:pPr>
      <w:r w:rsidRPr="0093576B">
        <w:rPr>
          <w:b/>
          <w:sz w:val="28"/>
          <w:szCs w:val="28"/>
        </w:rPr>
        <w:t>Latvija uzskata,</w:t>
      </w:r>
      <w:r w:rsidRPr="0093576B">
        <w:rPr>
          <w:sz w:val="28"/>
          <w:szCs w:val="28"/>
        </w:rPr>
        <w:t xml:space="preserve"> ka katrā biznesa projekta posmā </w:t>
      </w:r>
      <w:r w:rsidRPr="0093576B">
        <w:rPr>
          <w:b/>
          <w:sz w:val="28"/>
          <w:szCs w:val="28"/>
        </w:rPr>
        <w:t>ir jābūt pieejai atbilstošiem finanšu pasākumiem</w:t>
      </w:r>
      <w:r w:rsidRPr="0093576B">
        <w:rPr>
          <w:sz w:val="28"/>
          <w:szCs w:val="28"/>
        </w:rPr>
        <w:t xml:space="preserve">, lai nodrošinātu visu uzņēmējdarbības vajadzību apmierināšanu. Labākas finanšu pieejamības MVU nodrošināšana ir aktuāls izaicinājums gan nacionālā, gan ES līmenī. Ir nozīmīgi, ka uzņēmumiem, īpaši inovācijas jomā aktīviem MVU, </w:t>
      </w:r>
      <w:r w:rsidRPr="0093576B">
        <w:rPr>
          <w:b/>
          <w:sz w:val="28"/>
          <w:szCs w:val="28"/>
        </w:rPr>
        <w:t>tiek nodrošināta piekļuve finansējumam gan izveides, gan attīstības stadijās</w:t>
      </w:r>
      <w:r w:rsidRPr="0093576B">
        <w:rPr>
          <w:sz w:val="28"/>
          <w:szCs w:val="28"/>
        </w:rPr>
        <w:t xml:space="preserve"> (piem., riska kapitāls un agrīnās stadijas </w:t>
      </w:r>
      <w:r w:rsidRPr="0093576B">
        <w:rPr>
          <w:sz w:val="28"/>
          <w:szCs w:val="28"/>
        </w:rPr>
        <w:lastRenderedPageBreak/>
        <w:t>finansējums</w:t>
      </w:r>
      <w:r w:rsidR="00B86B8F">
        <w:rPr>
          <w:sz w:val="28"/>
          <w:szCs w:val="28"/>
        </w:rPr>
        <w:t>, granti</w:t>
      </w:r>
      <w:r w:rsidRPr="0093576B">
        <w:rPr>
          <w:sz w:val="28"/>
          <w:szCs w:val="28"/>
        </w:rPr>
        <w:t xml:space="preserve">). Turklāt </w:t>
      </w:r>
      <w:r w:rsidRPr="0093576B">
        <w:rPr>
          <w:b/>
          <w:sz w:val="28"/>
          <w:szCs w:val="28"/>
        </w:rPr>
        <w:t>atbilstoša finanšu resursu pieejamība ir nozīmīga MVU spējai, piemēram, modernizēt rūpniecības infrastruktūru, radīt jaunas darba vietas, komercializēt pētnieciskās iestrādnes vai ieviest ražošanā un izmantot ražošanas procesos videi draudzīgākus risinājumus.</w:t>
      </w:r>
    </w:p>
    <w:p w:rsidR="00044700" w:rsidRPr="0093576B" w:rsidRDefault="00044700" w:rsidP="00044700">
      <w:pPr>
        <w:jc w:val="both"/>
        <w:rPr>
          <w:sz w:val="28"/>
          <w:szCs w:val="28"/>
        </w:rPr>
      </w:pPr>
    </w:p>
    <w:p w:rsidR="00191DB1" w:rsidRPr="00044700" w:rsidRDefault="00044700" w:rsidP="00044700">
      <w:pPr>
        <w:jc w:val="both"/>
        <w:rPr>
          <w:sz w:val="28"/>
          <w:szCs w:val="28"/>
        </w:rPr>
      </w:pPr>
      <w:r w:rsidRPr="0093576B">
        <w:rPr>
          <w:b/>
          <w:sz w:val="28"/>
          <w:szCs w:val="28"/>
        </w:rPr>
        <w:t>Latvija atbalsta</w:t>
      </w:r>
      <w:r w:rsidRPr="0093576B">
        <w:rPr>
          <w:sz w:val="28"/>
          <w:szCs w:val="28"/>
        </w:rPr>
        <w:t xml:space="preserve"> Prezidentūras pausto viedokli, ka </w:t>
      </w:r>
      <w:r w:rsidRPr="0093576B">
        <w:rPr>
          <w:b/>
          <w:sz w:val="28"/>
          <w:szCs w:val="28"/>
        </w:rPr>
        <w:t>ES līmeņa programmu</w:t>
      </w:r>
      <w:r w:rsidRPr="0093576B">
        <w:rPr>
          <w:sz w:val="28"/>
          <w:szCs w:val="28"/>
        </w:rPr>
        <w:t xml:space="preserve"> (piemēram, 7FP un CIP, vai COSME un „Horizonts 2020” pēc 2013.gada) </w:t>
      </w:r>
      <w:r w:rsidRPr="0093576B">
        <w:rPr>
          <w:b/>
          <w:sz w:val="28"/>
          <w:szCs w:val="28"/>
        </w:rPr>
        <w:t>ietvaros MVU pastāv plašas iespējas īstenot  pētniecības, inovācijas un internacionalizācijas projektus savas konkurētspējas paaugstināšanai.</w:t>
      </w:r>
      <w:r w:rsidRPr="0093576B">
        <w:rPr>
          <w:sz w:val="28"/>
          <w:szCs w:val="28"/>
        </w:rPr>
        <w:t xml:space="preserve">  Tomēr jānorāda, ka jauniem, inovatīviem uzņēmumiem īpaši būtiska ir ātra un viegla piekļuve finansējumam, lai globālās konkurences un straujās tehnoloģisko inovāciju attīstības ietekmē, šo uzņēmumu īpašumā esošais intelektuālais un inovatīvais potenciāls nezaudētu savu aktualitāti. Tāpēc </w:t>
      </w:r>
      <w:r w:rsidRPr="0093576B">
        <w:rPr>
          <w:b/>
          <w:sz w:val="28"/>
          <w:szCs w:val="28"/>
        </w:rPr>
        <w:t>Latvija uzskata</w:t>
      </w:r>
      <w:r w:rsidRPr="0093576B">
        <w:rPr>
          <w:sz w:val="28"/>
          <w:szCs w:val="28"/>
        </w:rPr>
        <w:t>, ka nākotnē nepieciešams uzlabot (vienkāršot) jauno programmu (piemēram, „Horizonts 2020” un COSME) finansējuma apgūšanas iespējas, samazinot šo programmu administratīvo procedūru komplicētību, tādejādi atvieglojot uzņēmēju (jo īpaši MVU) iespējas iesaistīties programmas projektu īstenošanā. Šim nolūkam būtiski panākt, ka tiek paātrinātas un atvieglotas projektu iesniegšanas, izskatīšanas un uzraudzības procedūras, salīdzinot, piemēram, ar 7FP vai CIP procedūrām. Tādējādi tas varētu būt nozīmīgs kritērijs arī Latvijas uzņēmumu, jo īpaši MVU iesaistei programmas finansējuma apgūšanā, īstenojot projektus.</w:t>
      </w:r>
    </w:p>
    <w:p w:rsidR="00191DB1" w:rsidRPr="00191DB1" w:rsidRDefault="00946AE3" w:rsidP="00506838">
      <w:pPr>
        <w:spacing w:before="240" w:after="240"/>
        <w:jc w:val="both"/>
        <w:rPr>
          <w:i/>
          <w:sz w:val="28"/>
          <w:szCs w:val="28"/>
        </w:rPr>
      </w:pPr>
      <w:r w:rsidRPr="00191DB1">
        <w:rPr>
          <w:i/>
          <w:sz w:val="28"/>
          <w:szCs w:val="28"/>
        </w:rPr>
        <w:t>3)</w:t>
      </w:r>
      <w:r w:rsidRPr="00191DB1">
        <w:rPr>
          <w:i/>
          <w:sz w:val="28"/>
          <w:szCs w:val="28"/>
        </w:rPr>
        <w:tab/>
        <w:t xml:space="preserve">Valsts pārvaldes modernizācija. </w:t>
      </w:r>
    </w:p>
    <w:p w:rsidR="00044700" w:rsidRDefault="00044700" w:rsidP="00044700">
      <w:pPr>
        <w:jc w:val="both"/>
        <w:rPr>
          <w:sz w:val="28"/>
          <w:szCs w:val="28"/>
        </w:rPr>
      </w:pPr>
      <w:r w:rsidRPr="00946AE3">
        <w:rPr>
          <w:b/>
          <w:sz w:val="28"/>
          <w:szCs w:val="28"/>
        </w:rPr>
        <w:t>Latvija ir pievērsusi lielu uzmanību uzņēmējdarbībai un konkurētspējai  labvēlīgo apstākļu veicināšanai</w:t>
      </w:r>
      <w:r w:rsidRPr="00946AE3">
        <w:rPr>
          <w:sz w:val="28"/>
          <w:szCs w:val="28"/>
        </w:rPr>
        <w:t xml:space="preserve">. Viena no Latvijas ilgtermiņa prioritātēm ir labvēlīgās uzņēmējdarbības un investīciju vides izveidošana. Latvijas aktivitātes šajā jomā tika novērtēti starptautiski – pēc Pasaules Bankas ziņojuma </w:t>
      </w:r>
      <w:proofErr w:type="spellStart"/>
      <w:r w:rsidRPr="00946AE3">
        <w:rPr>
          <w:i/>
          <w:sz w:val="28"/>
          <w:szCs w:val="28"/>
        </w:rPr>
        <w:t>Doing</w:t>
      </w:r>
      <w:proofErr w:type="spellEnd"/>
      <w:r w:rsidRPr="00946AE3">
        <w:rPr>
          <w:i/>
          <w:sz w:val="28"/>
          <w:szCs w:val="28"/>
        </w:rPr>
        <w:t xml:space="preserve"> </w:t>
      </w:r>
      <w:proofErr w:type="spellStart"/>
      <w:r w:rsidRPr="00946AE3">
        <w:rPr>
          <w:i/>
          <w:sz w:val="28"/>
          <w:szCs w:val="28"/>
        </w:rPr>
        <w:t>Business</w:t>
      </w:r>
      <w:proofErr w:type="spellEnd"/>
      <w:r w:rsidRPr="00946AE3">
        <w:rPr>
          <w:i/>
          <w:sz w:val="28"/>
          <w:szCs w:val="28"/>
        </w:rPr>
        <w:t xml:space="preserve"> 2012</w:t>
      </w:r>
      <w:r w:rsidRPr="00946AE3">
        <w:rPr>
          <w:sz w:val="28"/>
          <w:szCs w:val="28"/>
        </w:rPr>
        <w:t xml:space="preserve"> datiem Latvija ieņem 21. no 183 vietām (septīto vietu ES valstu vidū).</w:t>
      </w:r>
    </w:p>
    <w:p w:rsidR="00191DB1" w:rsidRPr="00946AE3" w:rsidRDefault="00191DB1" w:rsidP="00506838">
      <w:pPr>
        <w:spacing w:before="120" w:after="120"/>
        <w:jc w:val="both"/>
        <w:rPr>
          <w:sz w:val="28"/>
          <w:szCs w:val="28"/>
        </w:rPr>
      </w:pPr>
      <w:r w:rsidRPr="00946AE3">
        <w:rPr>
          <w:b/>
          <w:sz w:val="28"/>
          <w:szCs w:val="28"/>
        </w:rPr>
        <w:t>Latvija atbalsta</w:t>
      </w:r>
      <w:r w:rsidRPr="00946AE3">
        <w:rPr>
          <w:sz w:val="28"/>
          <w:szCs w:val="28"/>
        </w:rPr>
        <w:t xml:space="preserve"> Eiropas Komisijas izvirzīto uzdevumu uzlabot uzņēmējdarbības vidi un samazināt uz to attiecināmo administratīvo slogu, jo īpaši kas attiecināms uz valsts pārvaldes sniegtajiem pakalpojumiem uzņēmējiem. Vienlaikus norādāms, ka minētais uzdevums ir nepārtrauktu uzlabojumu, risinājumu ieviešanas, to efektivitātes novērtēšanas un uzlabojumu piedāvājuma cikls, tādējādi nodrošināms nepārtraukti.</w:t>
      </w:r>
    </w:p>
    <w:p w:rsidR="00191DB1" w:rsidRPr="00946AE3" w:rsidRDefault="00191DB1" w:rsidP="00506838">
      <w:pPr>
        <w:spacing w:before="120" w:after="120"/>
        <w:jc w:val="both"/>
        <w:rPr>
          <w:sz w:val="28"/>
          <w:szCs w:val="28"/>
          <w:highlight w:val="yellow"/>
        </w:rPr>
      </w:pPr>
      <w:r w:rsidRPr="00946AE3">
        <w:rPr>
          <w:b/>
          <w:sz w:val="28"/>
          <w:szCs w:val="28"/>
        </w:rPr>
        <w:t>Latvija atbalsta</w:t>
      </w:r>
      <w:r w:rsidRPr="00946AE3">
        <w:rPr>
          <w:sz w:val="28"/>
          <w:szCs w:val="28"/>
        </w:rPr>
        <w:t xml:space="preserve"> Eiropas Komisijas izvirzīto uzdevumu nodrošināt tādus valsts pārvaldes pakalpojumus, kas ļautu uzsākt uzņēmējdarbību 3 dienās. Latvijā jau šobrīd uzņēmumu reģistrācija aizņem līdz 3 dienām, vienlaikus ir ieviešama virkne pasākumu, kas šo procesu vienkāršotu, t.sk., ieviešot uzņēmumu reģistrāciju tiešsaistē Uzņēmumu reģistrā no 2012.gada 1.maija.</w:t>
      </w:r>
      <w:r w:rsidR="00044700">
        <w:rPr>
          <w:sz w:val="28"/>
          <w:szCs w:val="28"/>
        </w:rPr>
        <w:t xml:space="preserve"> </w:t>
      </w:r>
      <w:r w:rsidRPr="00946AE3">
        <w:rPr>
          <w:b/>
          <w:sz w:val="28"/>
          <w:szCs w:val="28"/>
        </w:rPr>
        <w:t>Latvija uzskata</w:t>
      </w:r>
      <w:r w:rsidRPr="00946AE3">
        <w:rPr>
          <w:sz w:val="28"/>
          <w:szCs w:val="28"/>
        </w:rPr>
        <w:t xml:space="preserve">, </w:t>
      </w:r>
      <w:r w:rsidRPr="00946AE3">
        <w:rPr>
          <w:sz w:val="28"/>
          <w:szCs w:val="28"/>
        </w:rPr>
        <w:lastRenderedPageBreak/>
        <w:t xml:space="preserve">ka ir nepieciešams saglabāt </w:t>
      </w:r>
      <w:r w:rsidRPr="00946AE3">
        <w:rPr>
          <w:b/>
          <w:sz w:val="28"/>
          <w:szCs w:val="28"/>
        </w:rPr>
        <w:t>Labākā regulējuma</w:t>
      </w:r>
      <w:r w:rsidRPr="00946AE3">
        <w:rPr>
          <w:sz w:val="28"/>
          <w:szCs w:val="28"/>
        </w:rPr>
        <w:t xml:space="preserve"> iniciatīvu, kā horizontālo prioritāti ES līmenī.</w:t>
      </w:r>
      <w:r w:rsidRPr="00946AE3">
        <w:rPr>
          <w:sz w:val="28"/>
          <w:szCs w:val="28"/>
          <w:highlight w:val="yellow"/>
        </w:rPr>
        <w:t xml:space="preserve"> </w:t>
      </w:r>
    </w:p>
    <w:p w:rsidR="00191DB1" w:rsidRPr="00946AE3" w:rsidRDefault="00191DB1" w:rsidP="00506838">
      <w:pPr>
        <w:spacing w:before="120" w:after="120"/>
        <w:jc w:val="both"/>
        <w:rPr>
          <w:sz w:val="28"/>
        </w:rPr>
      </w:pPr>
      <w:r w:rsidRPr="00946AE3">
        <w:rPr>
          <w:b/>
          <w:sz w:val="28"/>
        </w:rPr>
        <w:t>Latvija pozitīvi vērtē</w:t>
      </w:r>
      <w:r w:rsidRPr="00946AE3">
        <w:rPr>
          <w:sz w:val="28"/>
        </w:rPr>
        <w:t xml:space="preserve"> Prezidentūras izvirzīto prioritāti </w:t>
      </w:r>
      <w:r w:rsidRPr="00946AE3">
        <w:rPr>
          <w:i/>
          <w:sz w:val="28"/>
        </w:rPr>
        <w:t>Valsts pārvaldes modernizācija</w:t>
      </w:r>
      <w:r w:rsidRPr="00946AE3">
        <w:rPr>
          <w:sz w:val="28"/>
        </w:rPr>
        <w:t>, īpaši atbalstot administratīvā sloga samazināšanas un procedūru vienkāršošanas nozīmi biznesa vides veicināšanā. Informācijas un komunikācijas tehnoloģiju ieviešana valsts pārvaldē un pārdomāta e-pakalpojumu attīstība nodrošina ne tikai efektīvu, ekonomisku, atklātu, iekļaujošu un demokrātisku valsts pārvaldi, bet arī sekmē publiskās informācijas pieejamību un kvalitāti. Moderna un efektīva valsts pārvalde atvieglo administratīvās procedūras iedzīvotājiem, komersantiem, valsts un pašvaldību iestādēm, kā arī palielina iespējas iedzīvotājiem piedalīties valsts pārvaldes darbā un iekļauties citos sabiedrības dzīves procesos.</w:t>
      </w:r>
    </w:p>
    <w:p w:rsidR="00946AE3" w:rsidRPr="000E7CD7" w:rsidRDefault="00946AE3" w:rsidP="00453514">
      <w:pPr>
        <w:spacing w:after="120"/>
        <w:jc w:val="both"/>
        <w:rPr>
          <w:sz w:val="28"/>
          <w:szCs w:val="28"/>
        </w:rPr>
      </w:pPr>
    </w:p>
    <w:p w:rsidR="00897AEF" w:rsidRPr="000E7CD7" w:rsidRDefault="00A5294F" w:rsidP="00361A26">
      <w:pPr>
        <w:pBdr>
          <w:bottom w:val="single" w:sz="4" w:space="1" w:color="auto"/>
        </w:pBdr>
        <w:tabs>
          <w:tab w:val="left" w:pos="9288"/>
        </w:tabs>
        <w:spacing w:after="120"/>
        <w:jc w:val="both"/>
        <w:rPr>
          <w:i/>
          <w:sz w:val="28"/>
          <w:szCs w:val="28"/>
        </w:rPr>
      </w:pPr>
      <w:r>
        <w:rPr>
          <w:b/>
          <w:sz w:val="28"/>
          <w:szCs w:val="28"/>
        </w:rPr>
        <w:t>1.2</w:t>
      </w:r>
      <w:r w:rsidR="00897AEF" w:rsidRPr="000E7CD7">
        <w:rPr>
          <w:b/>
          <w:sz w:val="28"/>
          <w:szCs w:val="28"/>
        </w:rPr>
        <w:t xml:space="preserve">. </w:t>
      </w:r>
      <w:r w:rsidR="008F0EFC">
        <w:rPr>
          <w:b/>
          <w:sz w:val="28"/>
          <w:szCs w:val="28"/>
        </w:rPr>
        <w:t xml:space="preserve">Priekšlikums </w:t>
      </w:r>
      <w:r w:rsidR="00ED7F09" w:rsidRPr="00ED7F09">
        <w:rPr>
          <w:b/>
          <w:sz w:val="28"/>
          <w:szCs w:val="28"/>
        </w:rPr>
        <w:t>Eiropas Parlamenta un Padomes Direktīva</w:t>
      </w:r>
      <w:r w:rsidR="008F0EFC">
        <w:rPr>
          <w:b/>
          <w:sz w:val="28"/>
          <w:szCs w:val="28"/>
        </w:rPr>
        <w:t>i</w:t>
      </w:r>
      <w:r w:rsidR="00ED7F09" w:rsidRPr="00ED7F09">
        <w:rPr>
          <w:b/>
          <w:sz w:val="28"/>
          <w:szCs w:val="28"/>
        </w:rPr>
        <w:t xml:space="preserve"> par publisko iepirkumu (publiskā iepirkuma tiesību aktu kopums) </w:t>
      </w:r>
      <w:r w:rsidR="007154D5">
        <w:rPr>
          <w:b/>
          <w:i/>
          <w:sz w:val="28"/>
          <w:szCs w:val="28"/>
        </w:rPr>
        <w:t>(F</w:t>
      </w:r>
      <w:r w:rsidR="00F97495" w:rsidRPr="00F97495">
        <w:rPr>
          <w:b/>
          <w:i/>
          <w:sz w:val="28"/>
          <w:szCs w:val="28"/>
        </w:rPr>
        <w:t>M kompetence)</w:t>
      </w:r>
    </w:p>
    <w:p w:rsidR="00897AEF" w:rsidRPr="00ED7F09" w:rsidRDefault="00897AEF" w:rsidP="00453514">
      <w:pPr>
        <w:tabs>
          <w:tab w:val="left" w:pos="9288"/>
        </w:tabs>
        <w:jc w:val="both"/>
        <w:rPr>
          <w:i/>
          <w:sz w:val="28"/>
          <w:szCs w:val="28"/>
        </w:rPr>
      </w:pPr>
      <w:r w:rsidRPr="000E7CD7">
        <w:rPr>
          <w:i/>
          <w:sz w:val="28"/>
          <w:szCs w:val="28"/>
        </w:rPr>
        <w:t xml:space="preserve">- </w:t>
      </w:r>
      <w:r w:rsidR="00ED7F09">
        <w:rPr>
          <w:i/>
          <w:sz w:val="28"/>
          <w:szCs w:val="28"/>
        </w:rPr>
        <w:t>Politikas debates</w:t>
      </w:r>
    </w:p>
    <w:p w:rsidR="001702B1" w:rsidRDefault="00ED7F09" w:rsidP="00453514">
      <w:pPr>
        <w:spacing w:before="120" w:after="120"/>
        <w:jc w:val="both"/>
        <w:rPr>
          <w:sz w:val="28"/>
          <w:szCs w:val="26"/>
        </w:rPr>
      </w:pPr>
      <w:r w:rsidRPr="00453514">
        <w:rPr>
          <w:sz w:val="28"/>
          <w:szCs w:val="26"/>
        </w:rPr>
        <w:t>Komisija 2011.gada 20.decembrī nāca klajā ar jauniem publisko iepirkumu jomas direktīvu priekšlikumiem, lai aizstātu šobrīd spēkā esošās publisko iepirkumu jomas direktīvas (Direktīva 2004/18/EK un Direktīva 2004/17/EK), kā arī priekšlikumu atsevišķai koncesijas līgumu slēgšanas tiesību piešķiršanas direktīvai.</w:t>
      </w:r>
      <w:r w:rsidR="001702B1">
        <w:rPr>
          <w:sz w:val="28"/>
          <w:szCs w:val="26"/>
        </w:rPr>
        <w:t xml:space="preserve"> Par šiem</w:t>
      </w:r>
      <w:r w:rsidRPr="00453514">
        <w:rPr>
          <w:sz w:val="28"/>
          <w:szCs w:val="26"/>
        </w:rPr>
        <w:t xml:space="preserve"> </w:t>
      </w:r>
      <w:r w:rsidR="001702B1" w:rsidRPr="001702B1">
        <w:rPr>
          <w:sz w:val="28"/>
          <w:szCs w:val="26"/>
        </w:rPr>
        <w:t>Eiropas Komisijas priekšlikumiem Konkurētspējas ministru padomes sanāksmes laikā plāno</w:t>
      </w:r>
      <w:r w:rsidR="001702B1">
        <w:rPr>
          <w:sz w:val="28"/>
          <w:szCs w:val="26"/>
        </w:rPr>
        <w:t>tas</w:t>
      </w:r>
      <w:r w:rsidR="001702B1" w:rsidRPr="001702B1">
        <w:rPr>
          <w:sz w:val="28"/>
          <w:szCs w:val="26"/>
        </w:rPr>
        <w:t xml:space="preserve"> orientējošas </w:t>
      </w:r>
      <w:r w:rsidR="001702B1">
        <w:rPr>
          <w:sz w:val="28"/>
          <w:szCs w:val="26"/>
        </w:rPr>
        <w:t xml:space="preserve"> ministru </w:t>
      </w:r>
      <w:r w:rsidR="001702B1" w:rsidRPr="001702B1">
        <w:rPr>
          <w:sz w:val="28"/>
          <w:szCs w:val="26"/>
        </w:rPr>
        <w:t>d</w:t>
      </w:r>
      <w:r w:rsidR="001702B1">
        <w:rPr>
          <w:sz w:val="28"/>
          <w:szCs w:val="26"/>
        </w:rPr>
        <w:t>iskusijas</w:t>
      </w:r>
      <w:r w:rsidR="001702B1" w:rsidRPr="001702B1">
        <w:rPr>
          <w:sz w:val="28"/>
          <w:szCs w:val="26"/>
        </w:rPr>
        <w:t>.</w:t>
      </w:r>
    </w:p>
    <w:p w:rsidR="00ED7F09" w:rsidRPr="00453514" w:rsidRDefault="00ED7F09" w:rsidP="00453514">
      <w:pPr>
        <w:spacing w:before="120" w:after="120"/>
        <w:jc w:val="both"/>
        <w:rPr>
          <w:sz w:val="28"/>
          <w:szCs w:val="26"/>
        </w:rPr>
      </w:pPr>
      <w:r w:rsidRPr="00453514">
        <w:rPr>
          <w:sz w:val="28"/>
          <w:szCs w:val="26"/>
        </w:rPr>
        <w:t>Minēto direktīvu priekšlikumos par pamatu izmantots esošais regulējums un Eiropas Savienības Tiesas judikatūra, modernizējot un konkretizējot regulējumu, kā arī mazinot esošo tiesisko nenoteiktību. Ar ierosinātajiem priekšlikumiem ir paredzēts izveidot skaidru un modernu tiesisko regulējumu, kas nodrošinātu publiska sektora iestādēm nepieciešamo tiesisko noteiktību to attiecīgo funkciju izpildē. Šobrīd norit aktīvs darbs darba grupās ar mērķi jau š.g. maijā panākt vienošanos ar Eiropas Parlamentu.</w:t>
      </w:r>
    </w:p>
    <w:p w:rsidR="00ED7F09" w:rsidRPr="00453514" w:rsidRDefault="00ED7F09" w:rsidP="00453514">
      <w:pPr>
        <w:spacing w:before="120" w:after="120"/>
        <w:jc w:val="both"/>
        <w:rPr>
          <w:sz w:val="28"/>
          <w:szCs w:val="26"/>
        </w:rPr>
      </w:pPr>
      <w:r w:rsidRPr="00453514">
        <w:rPr>
          <w:b/>
          <w:sz w:val="28"/>
          <w:szCs w:val="26"/>
        </w:rPr>
        <w:t>Attiecībā uz priekšlikumu Eiropas Parlamenta un Padomes direktīvai par publisko iepirkumu un par priekšlikumu Eiropas Parlamenta un Padomes direktīvai par iepirkumu, ko īsteno subjekti, kuri darbojas ūdensapgādes, enerģētikas, transporta un pasta pakalpojumu nozarēs,</w:t>
      </w:r>
      <w:r w:rsidRPr="00453514">
        <w:rPr>
          <w:sz w:val="28"/>
          <w:szCs w:val="26"/>
        </w:rPr>
        <w:t xml:space="preserve"> atsevišķos aspektos tiek mainīti uzsvari esošajā publisko iepirkumu jomas regulējumā un paredzēts detalizētāks regulējums, pilnveidojot sadarbību Eiropas Savienības (turpmāk – ES) dalībvalstu starpā, veicinot pārrobežu tirdzniecību un iepirkumu norises kontroli un uzraudzību. Abos direktīvu priekšlikumos lielākā daļa regulējuma ir līdzīgs vai nebūtiski atšķirīgs. </w:t>
      </w:r>
    </w:p>
    <w:p w:rsidR="00ED7F09" w:rsidRPr="00453514" w:rsidRDefault="00ED7F09" w:rsidP="00453514">
      <w:pPr>
        <w:spacing w:before="120" w:after="120"/>
        <w:jc w:val="both"/>
        <w:rPr>
          <w:sz w:val="28"/>
          <w:szCs w:val="26"/>
          <w:u w:val="single"/>
        </w:rPr>
      </w:pPr>
      <w:r w:rsidRPr="00453514">
        <w:rPr>
          <w:sz w:val="28"/>
          <w:szCs w:val="26"/>
          <w:u w:val="single"/>
        </w:rPr>
        <w:t>Direktīvu priekšlikumi paredz:</w:t>
      </w:r>
    </w:p>
    <w:p w:rsidR="00ED7F09" w:rsidRPr="00453514" w:rsidRDefault="00ED7F09" w:rsidP="00453514">
      <w:pPr>
        <w:numPr>
          <w:ilvl w:val="0"/>
          <w:numId w:val="7"/>
        </w:numPr>
        <w:ind w:left="425" w:hanging="357"/>
        <w:jc w:val="both"/>
        <w:rPr>
          <w:sz w:val="28"/>
          <w:szCs w:val="26"/>
        </w:rPr>
      </w:pPr>
      <w:r w:rsidRPr="00453514">
        <w:rPr>
          <w:b/>
          <w:sz w:val="28"/>
          <w:szCs w:val="26"/>
        </w:rPr>
        <w:lastRenderedPageBreak/>
        <w:t>regulējumu iepirkuma procedūru vienkāršošanai un elastības palielināšanai</w:t>
      </w:r>
      <w:r w:rsidRPr="00453514">
        <w:rPr>
          <w:sz w:val="28"/>
          <w:szCs w:val="26"/>
        </w:rPr>
        <w:t xml:space="preserve"> (atvieglots režīms centrālās pārvaldes iestāžu padotībā esošām līgumslēdzējām iestādēm, kuras iepirkuma izsludināšanai var izmantot iepriekšēju informatīvu paziņojumu; e-iepirkuma veicināšana, paredzot pāreju uz pilnībā elektronisku saziņu; modernizētas un jaunas iepirkumu procedūras (atklāts konkurss, slēgts konkurss, konkurss ar sarunām, konkursa dialogs, inovāciju partnerība, metu konkurss) u.c.);</w:t>
      </w:r>
    </w:p>
    <w:p w:rsidR="00ED7F09" w:rsidRPr="00453514" w:rsidRDefault="00ED7F09" w:rsidP="00453514">
      <w:pPr>
        <w:numPr>
          <w:ilvl w:val="0"/>
          <w:numId w:val="7"/>
        </w:numPr>
        <w:ind w:left="425" w:hanging="357"/>
        <w:jc w:val="both"/>
        <w:rPr>
          <w:sz w:val="28"/>
          <w:szCs w:val="26"/>
        </w:rPr>
      </w:pPr>
      <w:r w:rsidRPr="00453514">
        <w:rPr>
          <w:b/>
          <w:sz w:val="28"/>
          <w:szCs w:val="26"/>
        </w:rPr>
        <w:t xml:space="preserve">noteikumus stratēģiskai publisko iepirkumu izmantošanai </w:t>
      </w:r>
      <w:r w:rsidRPr="00453514">
        <w:rPr>
          <w:sz w:val="28"/>
          <w:szCs w:val="26"/>
        </w:rPr>
        <w:t>(paredzēta iespēja publisko iepirkumu rīkotājiem pamatot savus piešķiršanas lēmumus ar iepērkamo preču, pakalpojumu vai būvdarbu aprites cikla izmaksām; paredzēti noteikumi tādu preču un pakalpojumu iegādei, kuri veicina inovāciju, kuros ņemti vērā vides un klimata pārmaiņu mazināšanas apvērumi un kuri vienlaikus uzlabo nodarbinātību, sabiedrības veselību un sociālos nosacījumus);</w:t>
      </w:r>
    </w:p>
    <w:p w:rsidR="00ED7F09" w:rsidRPr="00453514" w:rsidRDefault="00ED7F09" w:rsidP="00453514">
      <w:pPr>
        <w:numPr>
          <w:ilvl w:val="0"/>
          <w:numId w:val="7"/>
        </w:numPr>
        <w:ind w:left="425" w:hanging="357"/>
        <w:jc w:val="both"/>
        <w:rPr>
          <w:sz w:val="28"/>
          <w:szCs w:val="26"/>
        </w:rPr>
      </w:pPr>
      <w:r w:rsidRPr="00453514">
        <w:rPr>
          <w:b/>
          <w:sz w:val="28"/>
          <w:szCs w:val="26"/>
        </w:rPr>
        <w:t xml:space="preserve">regulējumu mazo un vidējo uzņēmumu (turpmāk – MVU) un jaunizveidoto uzņēmumu labākai piekļuvei tirgum </w:t>
      </w:r>
      <w:r w:rsidRPr="00453514">
        <w:rPr>
          <w:sz w:val="28"/>
          <w:szCs w:val="26"/>
        </w:rPr>
        <w:t xml:space="preserve">(atlases prasībām kā </w:t>
      </w:r>
      <w:proofErr w:type="spellStart"/>
      <w:r w:rsidRPr="00453514">
        <w:rPr>
          <w:i/>
          <w:sz w:val="28"/>
          <w:szCs w:val="26"/>
        </w:rPr>
        <w:t>prima-facie</w:t>
      </w:r>
      <w:proofErr w:type="spellEnd"/>
      <w:r w:rsidRPr="00453514">
        <w:rPr>
          <w:sz w:val="28"/>
          <w:szCs w:val="26"/>
        </w:rPr>
        <w:t xml:space="preserve"> liecības ir obligāti jāpieņem </w:t>
      </w:r>
      <w:proofErr w:type="spellStart"/>
      <w:r w:rsidRPr="00453514">
        <w:rPr>
          <w:sz w:val="28"/>
          <w:szCs w:val="26"/>
        </w:rPr>
        <w:t>pašdeklarācijas</w:t>
      </w:r>
      <w:proofErr w:type="spellEnd"/>
      <w:r w:rsidRPr="00453514">
        <w:rPr>
          <w:sz w:val="28"/>
          <w:szCs w:val="26"/>
        </w:rPr>
        <w:t>. Dokumentāru liecību faktisko nodrošināšanu atvieglots standartizēts dokuments – Eiropas iepirkumu pase; līgumslēdzējas iestādes tiks aicinātas sadalīt publiskos līgumus viendabīgās vai neviendabīgās daļās, lai tie būtu pieejamāki MVU, pretējā gadījumā ir jāsniedz pamatojums; dalībvalstis var paredzēt, ka apakšuzņēmēji var pieprasīt tiešus maksājumu no līgumslēdzējas iestādes);</w:t>
      </w:r>
    </w:p>
    <w:p w:rsidR="00ED7F09" w:rsidRPr="00453514" w:rsidRDefault="00ED7F09" w:rsidP="00453514">
      <w:pPr>
        <w:numPr>
          <w:ilvl w:val="0"/>
          <w:numId w:val="7"/>
        </w:numPr>
        <w:ind w:left="425" w:hanging="357"/>
        <w:jc w:val="both"/>
        <w:rPr>
          <w:b/>
          <w:sz w:val="28"/>
          <w:szCs w:val="26"/>
        </w:rPr>
      </w:pPr>
      <w:r w:rsidRPr="00453514">
        <w:rPr>
          <w:b/>
          <w:sz w:val="28"/>
          <w:szCs w:val="26"/>
        </w:rPr>
        <w:t xml:space="preserve">jaunu modeli attiecībā uz publisko iepirkumu pārvaldību un sadarbību ar Eiropas Komisiju </w:t>
      </w:r>
      <w:r w:rsidRPr="00453514">
        <w:rPr>
          <w:sz w:val="28"/>
          <w:szCs w:val="26"/>
        </w:rPr>
        <w:t>(paredzēts, ka dalībvalstis norīko vienotu valsts iestādi, kas ir atbildīga par publiskā iepirkuma uzraudzību, īstenošanu un kontroli; noteikts pienākums nodrošināt atbalsta struktūras, kas piedāvā juridiskas un ekonomikas konsultācijas, norādes, apmācību un palīdzību iepirkuma procedūru sagatavošanās un īstenošanā; paredzēta sadarbība starp pārraudzības struktūrām).</w:t>
      </w:r>
    </w:p>
    <w:p w:rsidR="00ED7F09" w:rsidRPr="00453514" w:rsidRDefault="00ED7F09" w:rsidP="00453514">
      <w:pPr>
        <w:spacing w:before="120" w:after="120"/>
        <w:jc w:val="both"/>
        <w:rPr>
          <w:sz w:val="28"/>
          <w:szCs w:val="26"/>
        </w:rPr>
      </w:pPr>
      <w:r w:rsidRPr="00453514">
        <w:rPr>
          <w:b/>
          <w:sz w:val="28"/>
          <w:szCs w:val="26"/>
        </w:rPr>
        <w:t>Attiecībā uz priekšlikumu Eiropas Parlamenta un Padomes direktīvai par koncesijas līgumu slēgšanas tiesību piešķiršanu</w:t>
      </w:r>
      <w:r w:rsidRPr="00453514">
        <w:rPr>
          <w:sz w:val="28"/>
          <w:szCs w:val="26"/>
        </w:rPr>
        <w:t xml:space="preserve"> mērķis ir vienādot publiskās un privātās partnerības veida – koncesijas – jēdziena izpratni starp ES dalībvalstīm, kā arī konkretizēt pakalpojumu koncesijas regulējumu, par kurām šobrīd nav noteikta ES līmeņa regulējuma.</w:t>
      </w:r>
      <w:r w:rsidRPr="00453514">
        <w:rPr>
          <w:noProof/>
          <w:sz w:val="28"/>
          <w:szCs w:val="26"/>
        </w:rPr>
        <w:t xml:space="preserve"> Saskaņā ar direktīvas priekšlikumu uz pakalpojumu koncesijām attieksies lielākā daļa pienākumu, kas pašlaik attiecas uz publisko būves koncesiju piešķiršanu.</w:t>
      </w:r>
    </w:p>
    <w:p w:rsidR="00ED7F09" w:rsidRPr="00453514" w:rsidRDefault="00ED7F09" w:rsidP="00453514">
      <w:pPr>
        <w:spacing w:before="120" w:after="120"/>
        <w:jc w:val="both"/>
        <w:rPr>
          <w:sz w:val="28"/>
          <w:szCs w:val="26"/>
        </w:rPr>
      </w:pPr>
      <w:r w:rsidRPr="00453514">
        <w:rPr>
          <w:sz w:val="28"/>
          <w:szCs w:val="26"/>
        </w:rPr>
        <w:t>Koncesiju direktīvas priekšlikums tiks izskatīts paralēli priekšlikumiem spēkā esošo publiskā iepirkuma direktīvu pārskatīšanai.</w:t>
      </w:r>
    </w:p>
    <w:p w:rsidR="00ED7F09" w:rsidRPr="00453514" w:rsidRDefault="00ED7F09" w:rsidP="00453514">
      <w:pPr>
        <w:spacing w:before="120" w:after="120"/>
        <w:jc w:val="both"/>
        <w:rPr>
          <w:sz w:val="28"/>
          <w:szCs w:val="26"/>
          <w:u w:val="single"/>
        </w:rPr>
      </w:pPr>
      <w:r w:rsidRPr="00453514">
        <w:rPr>
          <w:sz w:val="28"/>
          <w:szCs w:val="26"/>
          <w:u w:val="single"/>
        </w:rPr>
        <w:t>Direktīvas priekšlikums paredz:</w:t>
      </w:r>
    </w:p>
    <w:p w:rsidR="00ED7F09" w:rsidRPr="00453514" w:rsidRDefault="00ED7F09" w:rsidP="00453514">
      <w:pPr>
        <w:numPr>
          <w:ilvl w:val="0"/>
          <w:numId w:val="7"/>
        </w:numPr>
        <w:ind w:left="425" w:hanging="357"/>
        <w:jc w:val="both"/>
        <w:rPr>
          <w:sz w:val="28"/>
          <w:szCs w:val="26"/>
        </w:rPr>
      </w:pPr>
      <w:r w:rsidRPr="00453514">
        <w:rPr>
          <w:b/>
          <w:sz w:val="28"/>
          <w:szCs w:val="26"/>
        </w:rPr>
        <w:t>nošķirt regulējuma piemērošanas jomu</w:t>
      </w:r>
      <w:r w:rsidRPr="00453514">
        <w:rPr>
          <w:sz w:val="28"/>
          <w:szCs w:val="26"/>
        </w:rPr>
        <w:t xml:space="preserve"> (sniegta precīzāka koncesiju definīcija (akt</w:t>
      </w:r>
      <w:r w:rsidR="001702B1">
        <w:rPr>
          <w:sz w:val="28"/>
          <w:szCs w:val="26"/>
        </w:rPr>
        <w:t>ualizējot būvdarbu un iekļaujot</w:t>
      </w:r>
      <w:r w:rsidRPr="00453514">
        <w:rPr>
          <w:sz w:val="28"/>
          <w:szCs w:val="26"/>
        </w:rPr>
        <w:t xml:space="preserve"> pakalpojumu koncesiju), </w:t>
      </w:r>
      <w:r w:rsidRPr="00453514">
        <w:rPr>
          <w:sz w:val="28"/>
          <w:szCs w:val="26"/>
        </w:rPr>
        <w:lastRenderedPageBreak/>
        <w:t xml:space="preserve">atsaucoties uz operacionālā riska jēdzienu; paplašināta regulējuma </w:t>
      </w:r>
      <w:r w:rsidRPr="00453514">
        <w:rPr>
          <w:noProof/>
          <w:sz w:val="28"/>
          <w:szCs w:val="26"/>
        </w:rPr>
        <w:t>piemērošana attiecībā uz koncesijas līgumu slēgšanas tiesību piešķiršanu sabiedrisko pakalpojumu nozarē, uz kuru pašlaik šādi tiesību akti neattiecas).</w:t>
      </w:r>
    </w:p>
    <w:p w:rsidR="00ED7F09" w:rsidRPr="00453514" w:rsidRDefault="00ED7F09" w:rsidP="00453514">
      <w:pPr>
        <w:numPr>
          <w:ilvl w:val="0"/>
          <w:numId w:val="7"/>
        </w:numPr>
        <w:ind w:left="425" w:hanging="357"/>
        <w:jc w:val="both"/>
        <w:rPr>
          <w:sz w:val="28"/>
          <w:szCs w:val="26"/>
        </w:rPr>
      </w:pPr>
      <w:r w:rsidRPr="00453514">
        <w:rPr>
          <w:b/>
          <w:sz w:val="28"/>
          <w:szCs w:val="26"/>
        </w:rPr>
        <w:t>regulējumu koncesiju</w:t>
      </w:r>
      <w:r w:rsidRPr="00453514">
        <w:rPr>
          <w:sz w:val="28"/>
          <w:szCs w:val="26"/>
        </w:rPr>
        <w:t xml:space="preserve"> </w:t>
      </w:r>
      <w:r w:rsidRPr="00453514">
        <w:rPr>
          <w:b/>
          <w:sz w:val="28"/>
          <w:szCs w:val="26"/>
        </w:rPr>
        <w:t>procedūru piemērošanai</w:t>
      </w:r>
      <w:r w:rsidRPr="00453514">
        <w:rPr>
          <w:sz w:val="28"/>
          <w:szCs w:val="26"/>
        </w:rPr>
        <w:t xml:space="preserve">, kuru paredzamā līgumcena ir vienāda vai lielāka ar direktīvas priekšlikumā noteikto robežvērtību (elastīgāka procedūru piemērošana, paredzot sarunu iespējas, pēc izvēles iespēja pāriet uz pilnībā elektronisku saziņu; darbības modelis vairāku ES dalībvalstu kopīgu koncesiju piešķiršanā; līdzīgi kā publisko iepirkumu priekšlikumos, paredz koncesiju piešķiršanas atlases un pretendentu izslēgšanas kritērijus; noteikts </w:t>
      </w:r>
      <w:r w:rsidRPr="00453514">
        <w:rPr>
          <w:noProof/>
          <w:sz w:val="28"/>
          <w:szCs w:val="26"/>
        </w:rPr>
        <w:t xml:space="preserve">koncesijas līgumu maksimālā darbības laika definējums; grozījumu veikšanas iespējas līguma darbības laikā, kā arī tā </w:t>
      </w:r>
      <w:r w:rsidRPr="00453514">
        <w:rPr>
          <w:sz w:val="28"/>
          <w:szCs w:val="26"/>
        </w:rPr>
        <w:t>izbeigšanas iespējas tās darbības laikā).</w:t>
      </w:r>
    </w:p>
    <w:p w:rsidR="00ED7F09" w:rsidRPr="00453514" w:rsidRDefault="00ED7F09" w:rsidP="00453514">
      <w:pPr>
        <w:numPr>
          <w:ilvl w:val="0"/>
          <w:numId w:val="7"/>
        </w:numPr>
        <w:ind w:left="425" w:hanging="357"/>
        <w:jc w:val="both"/>
        <w:rPr>
          <w:sz w:val="28"/>
          <w:szCs w:val="26"/>
        </w:rPr>
      </w:pPr>
      <w:r w:rsidRPr="00453514">
        <w:rPr>
          <w:sz w:val="28"/>
          <w:szCs w:val="26"/>
        </w:rPr>
        <w:t xml:space="preserve">līdzīgi kā publisko iepirkumu direktīvu priekšlikumos paredzēts modelis </w:t>
      </w:r>
      <w:r w:rsidRPr="00453514">
        <w:rPr>
          <w:b/>
          <w:sz w:val="28"/>
          <w:szCs w:val="26"/>
        </w:rPr>
        <w:t xml:space="preserve">attiecībā uz koncesiju pārvaldību un sadarbību ar Komisiju, </w:t>
      </w:r>
      <w:r w:rsidRPr="00453514">
        <w:rPr>
          <w:sz w:val="28"/>
          <w:szCs w:val="26"/>
        </w:rPr>
        <w:t>šī gan ir izvēles iespēja.</w:t>
      </w:r>
    </w:p>
    <w:p w:rsidR="00ED7F09" w:rsidRPr="00453514" w:rsidRDefault="00ED7F09" w:rsidP="00506838">
      <w:pPr>
        <w:pStyle w:val="BodyText2"/>
        <w:spacing w:before="240" w:after="120"/>
        <w:jc w:val="left"/>
        <w:rPr>
          <w:b/>
          <w:bCs/>
          <w:sz w:val="28"/>
          <w:szCs w:val="26"/>
          <w:u w:val="single"/>
        </w:rPr>
      </w:pPr>
      <w:r w:rsidRPr="00453514">
        <w:rPr>
          <w:b/>
          <w:bCs/>
          <w:sz w:val="28"/>
          <w:szCs w:val="26"/>
          <w:u w:val="single"/>
        </w:rPr>
        <w:t>Latvijas pozīcija</w:t>
      </w:r>
    </w:p>
    <w:p w:rsidR="00ED7F09" w:rsidRPr="00453514" w:rsidRDefault="00ED7F09" w:rsidP="00453514">
      <w:pPr>
        <w:spacing w:before="120" w:after="120"/>
        <w:jc w:val="both"/>
        <w:rPr>
          <w:color w:val="000000"/>
          <w:sz w:val="28"/>
          <w:szCs w:val="26"/>
        </w:rPr>
      </w:pPr>
      <w:r w:rsidRPr="00453514">
        <w:rPr>
          <w:b/>
          <w:color w:val="000000"/>
          <w:sz w:val="28"/>
          <w:szCs w:val="26"/>
        </w:rPr>
        <w:t>Latvija kopumā atbalsta</w:t>
      </w:r>
      <w:r w:rsidRPr="00453514">
        <w:rPr>
          <w:color w:val="000000"/>
          <w:sz w:val="28"/>
          <w:szCs w:val="26"/>
        </w:rPr>
        <w:t xml:space="preserve"> visu trīs direktīvu priekšlikumus.</w:t>
      </w:r>
    </w:p>
    <w:p w:rsidR="00ED7F09" w:rsidRPr="00453514" w:rsidRDefault="00ED7F09" w:rsidP="00453514">
      <w:pPr>
        <w:spacing w:before="120" w:after="120"/>
        <w:jc w:val="both"/>
        <w:rPr>
          <w:color w:val="000000"/>
          <w:sz w:val="28"/>
          <w:szCs w:val="26"/>
        </w:rPr>
      </w:pPr>
      <w:r w:rsidRPr="00453514">
        <w:rPr>
          <w:b/>
          <w:color w:val="000000"/>
          <w:sz w:val="28"/>
          <w:szCs w:val="26"/>
        </w:rPr>
        <w:t>Latvijas</w:t>
      </w:r>
      <w:r w:rsidRPr="00453514">
        <w:rPr>
          <w:color w:val="000000"/>
          <w:sz w:val="28"/>
          <w:szCs w:val="26"/>
        </w:rPr>
        <w:t xml:space="preserve"> </w:t>
      </w:r>
      <w:r w:rsidRPr="00453514">
        <w:rPr>
          <w:b/>
          <w:color w:val="000000"/>
          <w:sz w:val="28"/>
          <w:szCs w:val="26"/>
        </w:rPr>
        <w:t>interesēs ir</w:t>
      </w:r>
      <w:r w:rsidRPr="00453514">
        <w:rPr>
          <w:color w:val="000000"/>
          <w:sz w:val="28"/>
          <w:szCs w:val="26"/>
        </w:rPr>
        <w:t xml:space="preserve">, </w:t>
      </w:r>
      <w:r w:rsidRPr="00453514">
        <w:rPr>
          <w:sz w:val="28"/>
          <w:szCs w:val="26"/>
        </w:rPr>
        <w:t>lai ne tikai līgumslēdzēja iestāde atbilstoši direktīvu regulējumam varētu izvēlēties, vai izslēgt piegādātāju no dalības iepirkuma procedūrā, bet arī, lai dalībvalsts varētu noteikt, ka attiecīgajos gadījumos piegādātāji ir izslēdzami no dalības iepirkuma procedūrās. Šādā veidā tiktu nodrošināta iespēja Latvijai īstenot vienotu un saprotamu iepirkumu politiku.</w:t>
      </w:r>
    </w:p>
    <w:p w:rsidR="00ED7F09" w:rsidRPr="00453514" w:rsidRDefault="00ED7F09" w:rsidP="00453514">
      <w:pPr>
        <w:spacing w:before="120" w:after="120"/>
        <w:jc w:val="both"/>
        <w:rPr>
          <w:sz w:val="28"/>
          <w:szCs w:val="26"/>
        </w:rPr>
      </w:pPr>
      <w:r w:rsidRPr="00453514">
        <w:rPr>
          <w:b/>
          <w:sz w:val="28"/>
          <w:szCs w:val="26"/>
        </w:rPr>
        <w:t>Latvijas apsveic un</w:t>
      </w:r>
      <w:r w:rsidRPr="00453514">
        <w:rPr>
          <w:sz w:val="28"/>
          <w:szCs w:val="26"/>
        </w:rPr>
        <w:t xml:space="preserve"> </w:t>
      </w:r>
      <w:r w:rsidRPr="00453514">
        <w:rPr>
          <w:b/>
          <w:sz w:val="28"/>
          <w:szCs w:val="26"/>
        </w:rPr>
        <w:t>atbalsta</w:t>
      </w:r>
      <w:r w:rsidRPr="00453514">
        <w:rPr>
          <w:sz w:val="28"/>
          <w:szCs w:val="26"/>
        </w:rPr>
        <w:t xml:space="preserve"> Eiropas Komisijas apņemšanos plašāk un noteiktāk izmantot elektroniskās saziņas iespējas, t.sk. nodrošinot saziņu starp dažādu dalībvalstu līgumslēdzējām iestādēm un piegādātājiem. Vienlaikus </w:t>
      </w:r>
      <w:r w:rsidRPr="00453514">
        <w:rPr>
          <w:b/>
          <w:sz w:val="28"/>
          <w:szCs w:val="26"/>
        </w:rPr>
        <w:t>Latvijas interesēs ir</w:t>
      </w:r>
      <w:r w:rsidRPr="00453514">
        <w:rPr>
          <w:sz w:val="28"/>
          <w:szCs w:val="26"/>
        </w:rPr>
        <w:t xml:space="preserve"> konkrēta apņemšanās nodrošināt un uzturēt rīkus, kas nodrošinātu dalībvalstīs izstrādāto elektronisko parakstu risinājumu izmantojamību citās dalībvalstīs, proti, rīku, ar kuru pasūtītājs Latvijā varētu pārliecināties, ka dokuments, kas parakstīts ar Lietuvā vai citā valstī izsniegtu elektronisko parakstu, ir tiešām parakstīts un derīgs. Šāds risinājums nepieciešams, lai novērstu nepieciešamību katrai dalībvalstij meklēt individuālus risinājumus citu valstu elektronisko parakstu pārbaudei.</w:t>
      </w:r>
    </w:p>
    <w:p w:rsidR="00ED7F09" w:rsidRPr="00453514" w:rsidRDefault="00ED7F09" w:rsidP="00453514">
      <w:pPr>
        <w:spacing w:before="120" w:after="120"/>
        <w:jc w:val="both"/>
        <w:rPr>
          <w:color w:val="000000"/>
          <w:sz w:val="28"/>
          <w:szCs w:val="26"/>
        </w:rPr>
      </w:pPr>
      <w:r w:rsidRPr="00453514">
        <w:rPr>
          <w:b/>
          <w:color w:val="000000"/>
          <w:sz w:val="28"/>
          <w:szCs w:val="26"/>
        </w:rPr>
        <w:t>Latvija konsekventi atbalsta</w:t>
      </w:r>
      <w:r w:rsidRPr="00453514">
        <w:rPr>
          <w:color w:val="000000"/>
          <w:sz w:val="28"/>
          <w:szCs w:val="26"/>
        </w:rPr>
        <w:t xml:space="preserve"> elektronisko saziņas līdzekļu izmantošanu publiskajos iepirkumos. Vienlaikus paredzams, ka Latvija nespēs centralizētajos iepirkumos pilnībā izmantot elektroniskos saziņas līdzekļus (piemēram, pieteikumu un piedāvājumu iesniegšanai) jau no direktīvas pārņemšanas termiņa beigām. Līdz ar to </w:t>
      </w:r>
      <w:r w:rsidRPr="00453514">
        <w:rPr>
          <w:b/>
          <w:color w:val="000000"/>
          <w:sz w:val="28"/>
          <w:szCs w:val="26"/>
        </w:rPr>
        <w:t xml:space="preserve">Latvijas interesēs ir </w:t>
      </w:r>
      <w:r w:rsidRPr="00453514">
        <w:rPr>
          <w:color w:val="000000"/>
          <w:sz w:val="28"/>
          <w:szCs w:val="26"/>
        </w:rPr>
        <w:t>garāka pārejas perioda noteikšana pilnīgai elektronisko saziņas līdzekļu izmantošanai centralizētajos iepirkumos, proti, direktīvā jāparedz, ka elektroniskie saziņas līdzekļi centralizētajos iepirkumos jāizmanto ne vēlāk kā divus gadus pēc direktīvas pārņemšanas termiņa beigām.</w:t>
      </w:r>
    </w:p>
    <w:p w:rsidR="00ED7F09" w:rsidRPr="00453514" w:rsidRDefault="00ED7F09" w:rsidP="00453514">
      <w:pPr>
        <w:spacing w:before="120" w:after="120"/>
        <w:jc w:val="both"/>
        <w:rPr>
          <w:sz w:val="28"/>
          <w:szCs w:val="26"/>
        </w:rPr>
      </w:pPr>
      <w:r w:rsidRPr="00453514">
        <w:rPr>
          <w:b/>
          <w:sz w:val="28"/>
          <w:szCs w:val="26"/>
        </w:rPr>
        <w:lastRenderedPageBreak/>
        <w:t>Latvija</w:t>
      </w:r>
      <w:r w:rsidRPr="00453514">
        <w:rPr>
          <w:sz w:val="28"/>
          <w:szCs w:val="26"/>
        </w:rPr>
        <w:t xml:space="preserve"> </w:t>
      </w:r>
      <w:r w:rsidRPr="00453514">
        <w:rPr>
          <w:b/>
          <w:sz w:val="28"/>
          <w:szCs w:val="26"/>
        </w:rPr>
        <w:t>uzskata</w:t>
      </w:r>
      <w:r w:rsidRPr="00453514">
        <w:rPr>
          <w:sz w:val="28"/>
          <w:szCs w:val="26"/>
        </w:rPr>
        <w:t xml:space="preserve">, ka Eiropas iepirkumu pases ideja nesasniegs mērķi, jo apliecinātie dati būs līdz pat 6 mēnešus veci. Nav saprotama Eiropas iepirkumu pases pievienotā vērtība, jo tā aizstās tikai dažu sertifikātu un izziņu ikreizēju iesniegšanu, bet vienlaikus prasīs papildu resursus un ieguldījumu to sagatavošanās un izsniegšanā. Priekšroka būtu dodama vienotas un aktuālas datubāzes izveidei un izmantošanai. </w:t>
      </w:r>
    </w:p>
    <w:p w:rsidR="00ED7F09" w:rsidRPr="00453514" w:rsidRDefault="00ED7F09" w:rsidP="00453514">
      <w:pPr>
        <w:spacing w:before="120" w:after="120"/>
        <w:jc w:val="both"/>
        <w:rPr>
          <w:sz w:val="28"/>
          <w:szCs w:val="26"/>
        </w:rPr>
      </w:pPr>
      <w:r w:rsidRPr="00453514">
        <w:rPr>
          <w:b/>
          <w:sz w:val="28"/>
          <w:szCs w:val="26"/>
        </w:rPr>
        <w:t>Latvija</w:t>
      </w:r>
      <w:r w:rsidRPr="00453514">
        <w:rPr>
          <w:sz w:val="28"/>
          <w:szCs w:val="26"/>
        </w:rPr>
        <w:t xml:space="preserve"> </w:t>
      </w:r>
      <w:r w:rsidRPr="00453514">
        <w:rPr>
          <w:b/>
          <w:sz w:val="28"/>
          <w:szCs w:val="26"/>
        </w:rPr>
        <w:t>neatbalsta</w:t>
      </w:r>
      <w:r w:rsidRPr="00453514">
        <w:rPr>
          <w:sz w:val="28"/>
          <w:szCs w:val="26"/>
        </w:rPr>
        <w:t xml:space="preserve"> detalizēta visu līgumslēdzēju iestāžu saraksta izveidi un uzturēšanu, ņemot vērā, ka ir apšaubāma šāda detalizēta saraksta izveides praktiska lietderīga nozīme. Saraksta esamība pati par sevi nevar nodrošināt to, ka iepirkuma līgumu slēgšana norit tiesiski un neviena iestāde, kam būtu jāpiemēro līgumu slēgšanas tiesību piešķiršanas regulējums, neizvairās no tā piemērošanas.</w:t>
      </w:r>
    </w:p>
    <w:p w:rsidR="00ED7F09" w:rsidRPr="00453514" w:rsidRDefault="00ED7F09" w:rsidP="00453514">
      <w:pPr>
        <w:spacing w:before="120" w:after="120"/>
        <w:jc w:val="both"/>
        <w:rPr>
          <w:color w:val="000000"/>
          <w:sz w:val="28"/>
          <w:szCs w:val="26"/>
        </w:rPr>
      </w:pPr>
      <w:r w:rsidRPr="00453514">
        <w:rPr>
          <w:b/>
          <w:color w:val="000000"/>
          <w:sz w:val="28"/>
          <w:szCs w:val="26"/>
        </w:rPr>
        <w:t>Latvija</w:t>
      </w:r>
      <w:r w:rsidRPr="00453514">
        <w:rPr>
          <w:color w:val="000000"/>
          <w:sz w:val="28"/>
          <w:szCs w:val="26"/>
        </w:rPr>
        <w:t xml:space="preserve"> </w:t>
      </w:r>
      <w:r w:rsidRPr="00453514">
        <w:rPr>
          <w:b/>
          <w:color w:val="000000"/>
          <w:sz w:val="28"/>
          <w:szCs w:val="26"/>
        </w:rPr>
        <w:t>nevar piekrist</w:t>
      </w:r>
      <w:r w:rsidRPr="00453514">
        <w:rPr>
          <w:color w:val="000000"/>
          <w:sz w:val="28"/>
          <w:szCs w:val="26"/>
        </w:rPr>
        <w:t xml:space="preserve"> regulējumam par publisko iepirkumu pārraudzību esošajā redakcijā, ņemot vērā dalībvalstīm uzlikto pienākumu apjomu un nepieciešamos finanšu resursus regulējuma īstenošanai. </w:t>
      </w:r>
      <w:r w:rsidRPr="00453514">
        <w:rPr>
          <w:b/>
          <w:color w:val="000000"/>
          <w:sz w:val="28"/>
          <w:szCs w:val="26"/>
        </w:rPr>
        <w:t>Latvija kritiski vērtē</w:t>
      </w:r>
      <w:r w:rsidRPr="00453514">
        <w:rPr>
          <w:color w:val="000000"/>
          <w:sz w:val="28"/>
          <w:szCs w:val="26"/>
        </w:rPr>
        <w:t xml:space="preserve"> šīs institūcijas darbības iespējamību, izpildot Eiropas Komisijas dotus tiešus uzdevumus veikt pārbaudes noteiktās lietās. Šādā gadījumā nav saprotama institūcijas padotība – tā pakļaujas Eiropas Komisijai vai tās pakļautība nosakāma atbilstoši Latvijas tiesību aktiem. Vēl noskaidrojams ir Eiropas Komisijas viedoklis par iespēju tai līdzfinansēt šādas struktūras darbību, jo sevišķi saistībā ar funkcijām, ko tā pilda kā Eiropas Komisijas kontaktpunkts, t.sk. uzraugot ES tiesību ievērošanu Eiropas Komisijas uzdevumā.</w:t>
      </w:r>
    </w:p>
    <w:p w:rsidR="003D355D" w:rsidRDefault="003D355D" w:rsidP="00453514">
      <w:pPr>
        <w:tabs>
          <w:tab w:val="left" w:pos="9288"/>
        </w:tabs>
        <w:jc w:val="both"/>
        <w:rPr>
          <w:sz w:val="28"/>
          <w:szCs w:val="28"/>
        </w:rPr>
      </w:pPr>
    </w:p>
    <w:p w:rsidR="00897AEF" w:rsidRPr="000E7CD7" w:rsidRDefault="00FA22E5" w:rsidP="00361A26">
      <w:pPr>
        <w:pBdr>
          <w:bottom w:val="single" w:sz="4" w:space="1" w:color="auto"/>
        </w:pBdr>
        <w:tabs>
          <w:tab w:val="left" w:pos="9288"/>
        </w:tabs>
        <w:spacing w:after="120"/>
        <w:jc w:val="both"/>
        <w:rPr>
          <w:b/>
          <w:sz w:val="28"/>
          <w:szCs w:val="28"/>
        </w:rPr>
      </w:pPr>
      <w:r w:rsidRPr="000E7CD7">
        <w:rPr>
          <w:b/>
          <w:sz w:val="28"/>
          <w:szCs w:val="28"/>
        </w:rPr>
        <w:t>3</w:t>
      </w:r>
      <w:r w:rsidR="00897AEF" w:rsidRPr="000E7CD7">
        <w:rPr>
          <w:b/>
          <w:sz w:val="28"/>
          <w:szCs w:val="28"/>
        </w:rPr>
        <w:t xml:space="preserve">. </w:t>
      </w:r>
      <w:r w:rsidR="008F0EFC">
        <w:rPr>
          <w:b/>
          <w:sz w:val="28"/>
          <w:szCs w:val="28"/>
        </w:rPr>
        <w:t xml:space="preserve">Priekšlikums </w:t>
      </w:r>
      <w:r w:rsidR="00453514" w:rsidRPr="00453514">
        <w:rPr>
          <w:b/>
          <w:sz w:val="28"/>
          <w:szCs w:val="28"/>
        </w:rPr>
        <w:t>Eiropas Parlamenta un Padomes Direktīva</w:t>
      </w:r>
      <w:r w:rsidR="008F0EFC">
        <w:rPr>
          <w:b/>
          <w:sz w:val="28"/>
          <w:szCs w:val="28"/>
        </w:rPr>
        <w:t>i</w:t>
      </w:r>
      <w:r w:rsidR="00453514" w:rsidRPr="00453514">
        <w:rPr>
          <w:b/>
          <w:sz w:val="28"/>
          <w:szCs w:val="28"/>
        </w:rPr>
        <w:t xml:space="preserve"> par noteiktu veidu uzņēmumu gada finanšu pārskatiem, konsolidētajiem finanšu pārskatiem un saistītiem ziņojumiem (grāmatvedības direktīva)</w:t>
      </w:r>
      <w:r w:rsidR="00F97495">
        <w:rPr>
          <w:b/>
          <w:sz w:val="28"/>
          <w:szCs w:val="28"/>
        </w:rPr>
        <w:t xml:space="preserve"> </w:t>
      </w:r>
      <w:r w:rsidR="00453514">
        <w:rPr>
          <w:b/>
          <w:i/>
          <w:sz w:val="28"/>
          <w:szCs w:val="28"/>
        </w:rPr>
        <w:t>(F</w:t>
      </w:r>
      <w:r w:rsidR="00F97495" w:rsidRPr="00F97495">
        <w:rPr>
          <w:b/>
          <w:i/>
          <w:sz w:val="28"/>
          <w:szCs w:val="28"/>
        </w:rPr>
        <w:t>M kompetence)</w:t>
      </w:r>
    </w:p>
    <w:p w:rsidR="00897AEF" w:rsidRPr="00453514" w:rsidRDefault="00897AEF" w:rsidP="00453514">
      <w:pPr>
        <w:tabs>
          <w:tab w:val="left" w:pos="9288"/>
        </w:tabs>
        <w:jc w:val="both"/>
        <w:rPr>
          <w:i/>
          <w:sz w:val="28"/>
          <w:szCs w:val="28"/>
        </w:rPr>
      </w:pPr>
      <w:r w:rsidRPr="000E7CD7">
        <w:rPr>
          <w:i/>
          <w:sz w:val="28"/>
          <w:szCs w:val="28"/>
        </w:rPr>
        <w:t xml:space="preserve">- </w:t>
      </w:r>
      <w:r w:rsidR="00453514" w:rsidRPr="00453514">
        <w:rPr>
          <w:i/>
          <w:sz w:val="28"/>
          <w:szCs w:val="28"/>
        </w:rPr>
        <w:t>Politikas debates</w:t>
      </w:r>
    </w:p>
    <w:p w:rsidR="00453514" w:rsidRPr="00453514" w:rsidRDefault="00453514" w:rsidP="00453514">
      <w:pPr>
        <w:spacing w:before="120" w:after="120"/>
        <w:jc w:val="both"/>
        <w:rPr>
          <w:sz w:val="28"/>
          <w:szCs w:val="26"/>
        </w:rPr>
      </w:pPr>
      <w:r w:rsidRPr="00453514">
        <w:rPr>
          <w:sz w:val="28"/>
          <w:szCs w:val="26"/>
        </w:rPr>
        <w:t xml:space="preserve">2011.gada 25.oktobrī Eiropas Komisija nāca klajā ar priekšlikumu Eiropas Parlamenta un Padomes direktīvai, kas attiecas uz noteiktu veidu uzņēmumu gada finanšu pārskatiem, konsolidētajiem finanšu pārskatiem un attiecīgajiem ziņojumiem (turpmāk – Direktīvas projekts), lai pārskatītu un modernizētu atsevišķas Grāmatvedības direktīvu prasības (piemēram, </w:t>
      </w:r>
      <w:r w:rsidRPr="00453514">
        <w:rPr>
          <w:bCs/>
          <w:sz w:val="28"/>
          <w:szCs w:val="26"/>
        </w:rPr>
        <w:t>kas attiecas uz noteiktu veidu sabiedrību gada pārskatiem, kas attiecas uz konsolidētajiem pārskatiem)</w:t>
      </w:r>
      <w:r w:rsidRPr="00453514">
        <w:rPr>
          <w:sz w:val="28"/>
          <w:szCs w:val="26"/>
        </w:rPr>
        <w:t xml:space="preserve"> ar mērķi vienkāršot regulatīvo vidi un samazināt administratīvo slogu Eiropas Savienības (turpmāk – ES) komercsabiedrībām (akciju sabiedrībām, sabiedrībām ar ierobežotu atbildību un ES dalībvalstu norādītām cita veida komercsabiedrībām), jo sevišķi maziem un vidējiem uzņēmumiem (turpmāk – MVU).</w:t>
      </w:r>
      <w:r w:rsidR="001702B1">
        <w:rPr>
          <w:sz w:val="28"/>
          <w:szCs w:val="26"/>
        </w:rPr>
        <w:t xml:space="preserve"> </w:t>
      </w:r>
      <w:r w:rsidR="001702B1" w:rsidRPr="001702B1">
        <w:rPr>
          <w:sz w:val="28"/>
          <w:szCs w:val="26"/>
        </w:rPr>
        <w:t>Konkurētspējas ministru padomes sanāksmes laikā plāno</w:t>
      </w:r>
      <w:r w:rsidR="001702B1">
        <w:rPr>
          <w:sz w:val="28"/>
          <w:szCs w:val="26"/>
        </w:rPr>
        <w:t>tas</w:t>
      </w:r>
      <w:r w:rsidR="001702B1" w:rsidRPr="001702B1">
        <w:rPr>
          <w:sz w:val="28"/>
          <w:szCs w:val="26"/>
        </w:rPr>
        <w:t xml:space="preserve"> orientējošas</w:t>
      </w:r>
      <w:r w:rsidR="001702B1">
        <w:rPr>
          <w:sz w:val="28"/>
          <w:szCs w:val="26"/>
        </w:rPr>
        <w:t xml:space="preserve"> ministru</w:t>
      </w:r>
      <w:r w:rsidR="001702B1" w:rsidRPr="001702B1">
        <w:rPr>
          <w:sz w:val="28"/>
          <w:szCs w:val="26"/>
        </w:rPr>
        <w:t xml:space="preserve"> diskusijas par Eiropas Komisijas priekšlikumu.</w:t>
      </w:r>
    </w:p>
    <w:p w:rsidR="00453514" w:rsidRPr="00453514" w:rsidRDefault="00453514" w:rsidP="00453514">
      <w:pPr>
        <w:spacing w:before="120" w:after="120"/>
        <w:jc w:val="both"/>
        <w:rPr>
          <w:sz w:val="28"/>
          <w:szCs w:val="26"/>
        </w:rPr>
      </w:pPr>
      <w:r w:rsidRPr="00453514">
        <w:rPr>
          <w:sz w:val="28"/>
          <w:szCs w:val="26"/>
        </w:rPr>
        <w:lastRenderedPageBreak/>
        <w:t xml:space="preserve">Direktīvas projekts uzskatāms par daļu no Eiropas Komisijas iecerētajiem regulatīvās vides vienkāršošanas un administratīvā sloga samazināšanas pasākumiem. </w:t>
      </w:r>
    </w:p>
    <w:p w:rsidR="00453514" w:rsidRPr="00453514" w:rsidRDefault="00453514" w:rsidP="00453514">
      <w:pPr>
        <w:spacing w:before="120" w:after="120"/>
        <w:jc w:val="both"/>
        <w:rPr>
          <w:bCs/>
          <w:sz w:val="28"/>
          <w:szCs w:val="26"/>
        </w:rPr>
      </w:pPr>
      <w:r w:rsidRPr="00453514">
        <w:rPr>
          <w:bCs/>
          <w:sz w:val="28"/>
          <w:szCs w:val="26"/>
        </w:rPr>
        <w:t>Direktīvas projekts paredz:</w:t>
      </w:r>
    </w:p>
    <w:p w:rsidR="00453514" w:rsidRPr="00453514" w:rsidRDefault="00453514" w:rsidP="00453514">
      <w:pPr>
        <w:numPr>
          <w:ilvl w:val="0"/>
          <w:numId w:val="8"/>
        </w:numPr>
        <w:ind w:left="709" w:hanging="218"/>
        <w:jc w:val="both"/>
        <w:rPr>
          <w:bCs/>
          <w:sz w:val="28"/>
          <w:szCs w:val="26"/>
        </w:rPr>
      </w:pPr>
      <w:r w:rsidRPr="00453514">
        <w:rPr>
          <w:bCs/>
          <w:sz w:val="28"/>
          <w:szCs w:val="26"/>
        </w:rPr>
        <w:t>uzņēmumu un to grupu (koncernu) sadalījumu kategorijās – mazs,  vidējs un liels – saskaņā ar katrai no minētajām kategorijām paredzētajiem uzņēmuma saimnieciskās darbības  rādītājiem (bilances kopsumma, neto apgrozījums un vidējais darbinieku skaits);</w:t>
      </w:r>
    </w:p>
    <w:p w:rsidR="00453514" w:rsidRPr="00453514" w:rsidRDefault="00453514" w:rsidP="00453514">
      <w:pPr>
        <w:numPr>
          <w:ilvl w:val="0"/>
          <w:numId w:val="8"/>
        </w:numPr>
        <w:ind w:left="709" w:hanging="218"/>
        <w:jc w:val="both"/>
        <w:rPr>
          <w:sz w:val="28"/>
          <w:szCs w:val="26"/>
        </w:rPr>
      </w:pPr>
      <w:r w:rsidRPr="00453514">
        <w:rPr>
          <w:sz w:val="28"/>
          <w:szCs w:val="26"/>
        </w:rPr>
        <w:t>gada finanšu pārskatu struktūru un saturu, bilances un peļņas vai zaudējumu aprēķina shēmas un posteņu saturu, finanšu pārskatu piezīmēs, vadības ziņojumā, paziņojumā par korporatīvo pārvaldību sniedzamo informāciju;</w:t>
      </w:r>
    </w:p>
    <w:p w:rsidR="00453514" w:rsidRPr="00453514" w:rsidRDefault="00453514" w:rsidP="00453514">
      <w:pPr>
        <w:numPr>
          <w:ilvl w:val="0"/>
          <w:numId w:val="8"/>
        </w:numPr>
        <w:ind w:left="709" w:hanging="218"/>
        <w:jc w:val="both"/>
        <w:rPr>
          <w:sz w:val="28"/>
          <w:szCs w:val="26"/>
        </w:rPr>
      </w:pPr>
      <w:r w:rsidRPr="00453514">
        <w:rPr>
          <w:sz w:val="28"/>
          <w:szCs w:val="26"/>
        </w:rPr>
        <w:t>prasības konsolidēto finanšu pārskatu un ziņojumu sagatavošanai;</w:t>
      </w:r>
    </w:p>
    <w:p w:rsidR="00453514" w:rsidRPr="00453514" w:rsidRDefault="00453514" w:rsidP="00453514">
      <w:pPr>
        <w:numPr>
          <w:ilvl w:val="0"/>
          <w:numId w:val="8"/>
        </w:numPr>
        <w:ind w:left="709" w:hanging="218"/>
        <w:jc w:val="both"/>
        <w:rPr>
          <w:sz w:val="28"/>
          <w:szCs w:val="26"/>
        </w:rPr>
      </w:pPr>
      <w:r w:rsidRPr="00453514">
        <w:rPr>
          <w:sz w:val="28"/>
          <w:szCs w:val="26"/>
        </w:rPr>
        <w:t>prasības gada finanšu pārskatu (konsolidēto finanšu pārskatu) un vadības ziņojumu (konsolidēto vadības ziņojumu) revīzijai un publicēšanai;</w:t>
      </w:r>
    </w:p>
    <w:p w:rsidR="00453514" w:rsidRPr="00453514" w:rsidRDefault="00453514" w:rsidP="00453514">
      <w:pPr>
        <w:numPr>
          <w:ilvl w:val="0"/>
          <w:numId w:val="8"/>
        </w:numPr>
        <w:ind w:left="709" w:hanging="218"/>
        <w:jc w:val="both"/>
        <w:rPr>
          <w:sz w:val="28"/>
          <w:szCs w:val="26"/>
        </w:rPr>
      </w:pPr>
      <w:r w:rsidRPr="00453514">
        <w:rPr>
          <w:sz w:val="28"/>
          <w:szCs w:val="26"/>
        </w:rPr>
        <w:t>pienākumu lielajiem uzņēmumiem un sabiedriskas nozīmes struktūrām, kas darbojas ieguves rūpniecībā vai pirmatnējo mežu izstrādē, ik gadu sagatavot un darīt pieejamu sabiedrībai ziņojumu par maksājumiem valstu pārvaldes struktūrām (turpmāk – ziņošana par maksājumiem sadalījumā pa valstīm);</w:t>
      </w:r>
    </w:p>
    <w:p w:rsidR="003D355D" w:rsidRPr="006B16AE" w:rsidRDefault="00453514" w:rsidP="003D355D">
      <w:pPr>
        <w:numPr>
          <w:ilvl w:val="0"/>
          <w:numId w:val="8"/>
        </w:numPr>
        <w:ind w:left="709" w:hanging="218"/>
        <w:jc w:val="both"/>
        <w:rPr>
          <w:sz w:val="28"/>
          <w:szCs w:val="26"/>
        </w:rPr>
      </w:pPr>
      <w:r w:rsidRPr="00453514">
        <w:rPr>
          <w:sz w:val="28"/>
          <w:szCs w:val="26"/>
        </w:rPr>
        <w:t>atcelt Grāmatvedības direktīvas.</w:t>
      </w:r>
    </w:p>
    <w:p w:rsidR="00453514" w:rsidRPr="00453514" w:rsidRDefault="00453514" w:rsidP="00506838">
      <w:pPr>
        <w:pStyle w:val="BodyText2"/>
        <w:spacing w:before="240" w:after="120"/>
        <w:jc w:val="left"/>
        <w:rPr>
          <w:b/>
          <w:bCs/>
          <w:sz w:val="28"/>
          <w:szCs w:val="26"/>
          <w:u w:val="single"/>
        </w:rPr>
      </w:pPr>
      <w:r w:rsidRPr="00453514">
        <w:rPr>
          <w:b/>
          <w:bCs/>
          <w:sz w:val="28"/>
          <w:szCs w:val="26"/>
          <w:u w:val="single"/>
        </w:rPr>
        <w:t>Latvijas pozīcija</w:t>
      </w:r>
    </w:p>
    <w:p w:rsidR="00453514" w:rsidRPr="00453514" w:rsidRDefault="00453514" w:rsidP="00453514">
      <w:pPr>
        <w:spacing w:before="120" w:after="120"/>
        <w:jc w:val="both"/>
        <w:rPr>
          <w:sz w:val="28"/>
          <w:szCs w:val="26"/>
        </w:rPr>
      </w:pPr>
      <w:r w:rsidRPr="00453514">
        <w:rPr>
          <w:b/>
          <w:sz w:val="28"/>
          <w:szCs w:val="26"/>
        </w:rPr>
        <w:t>Latvija kopumā atbalsta</w:t>
      </w:r>
      <w:r w:rsidRPr="00453514">
        <w:rPr>
          <w:sz w:val="28"/>
          <w:szCs w:val="26"/>
        </w:rPr>
        <w:t xml:space="preserve"> Eiropas Komisijas piedāvāto Direktīvas projektu, jo tajā paredzēta Grāmatvedības direktīvu prasību vienkāršošana un administratīvā sloga samazināšanu, jo īpaši MVU kontekstā. Vienlaikus tiek nodrošināta proporcionalitāte grāmatvedības regulējuma piemērošanā atsevišķām uzņēmumu grupām. Uzņēmumu regulatīvās vides vienkāršošana un administratīvā sloga samazināšana ir augsta Latvijas prioritāte, kā to Latvija ir uzsvērusi savā nostājā par Vienotā tirgus aktu, atbalstot tajā iekļauto prioritāti „11. Uzņēmumu regulatīvā vide”.</w:t>
      </w:r>
    </w:p>
    <w:p w:rsidR="00453514" w:rsidRPr="00453514" w:rsidRDefault="00453514" w:rsidP="00453514">
      <w:pPr>
        <w:pStyle w:val="naisf"/>
        <w:spacing w:before="120" w:beforeAutospacing="0" w:after="120" w:afterAutospacing="0"/>
        <w:jc w:val="both"/>
        <w:rPr>
          <w:sz w:val="28"/>
          <w:szCs w:val="26"/>
        </w:rPr>
      </w:pPr>
      <w:r w:rsidRPr="00453514">
        <w:rPr>
          <w:b/>
          <w:sz w:val="28"/>
          <w:szCs w:val="26"/>
        </w:rPr>
        <w:t>Tomēr Latvija vērš uzmanību</w:t>
      </w:r>
      <w:r w:rsidRPr="00453514">
        <w:rPr>
          <w:sz w:val="28"/>
          <w:szCs w:val="26"/>
        </w:rPr>
        <w:t>,</w:t>
      </w:r>
      <w:r w:rsidRPr="00453514">
        <w:rPr>
          <w:b/>
          <w:sz w:val="28"/>
          <w:szCs w:val="26"/>
        </w:rPr>
        <w:t xml:space="preserve"> </w:t>
      </w:r>
      <w:r w:rsidRPr="00453514">
        <w:rPr>
          <w:sz w:val="28"/>
          <w:szCs w:val="26"/>
        </w:rPr>
        <w:t>ka</w:t>
      </w:r>
      <w:r w:rsidRPr="00453514">
        <w:rPr>
          <w:b/>
          <w:sz w:val="28"/>
          <w:szCs w:val="26"/>
        </w:rPr>
        <w:t xml:space="preserve"> </w:t>
      </w:r>
      <w:r w:rsidRPr="00453514">
        <w:rPr>
          <w:sz w:val="28"/>
          <w:szCs w:val="26"/>
        </w:rPr>
        <w:t xml:space="preserve">Direktīvas projektā paredzētie </w:t>
      </w:r>
      <w:r w:rsidRPr="00453514">
        <w:rPr>
          <w:i/>
          <w:sz w:val="28"/>
          <w:szCs w:val="26"/>
        </w:rPr>
        <w:t>maza uzņēmuma</w:t>
      </w:r>
      <w:r w:rsidRPr="00453514">
        <w:rPr>
          <w:sz w:val="28"/>
          <w:szCs w:val="26"/>
        </w:rPr>
        <w:t xml:space="preserve"> kritēriji Latvijas apstākļiem ir pārmērīgi augsti, jo tie aptver 99% no visiem Latvijas uzņēmumiem. </w:t>
      </w:r>
      <w:r w:rsidRPr="00453514">
        <w:rPr>
          <w:b/>
          <w:sz w:val="28"/>
          <w:szCs w:val="26"/>
        </w:rPr>
        <w:t>Latvija ierosina</w:t>
      </w:r>
      <w:r w:rsidRPr="00453514">
        <w:rPr>
          <w:sz w:val="28"/>
          <w:szCs w:val="26"/>
        </w:rPr>
        <w:t xml:space="preserve"> iekļaut Direktīvas projektā noteikumus par </w:t>
      </w:r>
      <w:proofErr w:type="spellStart"/>
      <w:r w:rsidRPr="00453514">
        <w:rPr>
          <w:sz w:val="28"/>
          <w:szCs w:val="26"/>
        </w:rPr>
        <w:t>mikrouzņēmumiem</w:t>
      </w:r>
      <w:proofErr w:type="spellEnd"/>
      <w:r w:rsidRPr="00453514">
        <w:rPr>
          <w:sz w:val="28"/>
          <w:szCs w:val="26"/>
        </w:rPr>
        <w:t>.</w:t>
      </w:r>
    </w:p>
    <w:p w:rsidR="00453514" w:rsidRPr="00453514" w:rsidRDefault="00453514" w:rsidP="00453514">
      <w:pPr>
        <w:spacing w:before="120" w:after="120"/>
        <w:jc w:val="both"/>
        <w:rPr>
          <w:sz w:val="28"/>
          <w:szCs w:val="26"/>
        </w:rPr>
      </w:pPr>
      <w:r w:rsidRPr="00453514">
        <w:rPr>
          <w:b/>
          <w:sz w:val="28"/>
          <w:szCs w:val="26"/>
        </w:rPr>
        <w:t xml:space="preserve">Latvija uzskata, </w:t>
      </w:r>
      <w:r w:rsidRPr="00453514">
        <w:rPr>
          <w:sz w:val="28"/>
          <w:szCs w:val="26"/>
        </w:rPr>
        <w:t>ka ir svarīgi, lai Direktīvas projektā tiktu ietverta pašlaik Grāmatvedības direktīvās dalībvalstīm paredzētā iespēja:</w:t>
      </w:r>
    </w:p>
    <w:p w:rsidR="00453514" w:rsidRPr="00453514" w:rsidRDefault="00453514" w:rsidP="00453514">
      <w:pPr>
        <w:numPr>
          <w:ilvl w:val="0"/>
          <w:numId w:val="9"/>
        </w:numPr>
        <w:ind w:left="709"/>
        <w:rPr>
          <w:sz w:val="28"/>
          <w:szCs w:val="26"/>
        </w:rPr>
      </w:pPr>
      <w:r w:rsidRPr="00453514">
        <w:rPr>
          <w:sz w:val="28"/>
          <w:szCs w:val="26"/>
        </w:rPr>
        <w:t xml:space="preserve">noteikt mazāka lieluma </w:t>
      </w:r>
      <w:r w:rsidRPr="00453514">
        <w:rPr>
          <w:i/>
          <w:sz w:val="28"/>
          <w:szCs w:val="26"/>
        </w:rPr>
        <w:t>mazu uzņēmumu</w:t>
      </w:r>
      <w:r w:rsidRPr="00453514">
        <w:rPr>
          <w:sz w:val="28"/>
          <w:szCs w:val="26"/>
        </w:rPr>
        <w:t xml:space="preserve"> kritērijus nacionālā līmenī;  </w:t>
      </w:r>
    </w:p>
    <w:p w:rsidR="00453514" w:rsidRPr="00453514" w:rsidRDefault="00453514" w:rsidP="00453514">
      <w:pPr>
        <w:numPr>
          <w:ilvl w:val="0"/>
          <w:numId w:val="9"/>
        </w:numPr>
        <w:ind w:left="709"/>
        <w:jc w:val="both"/>
        <w:rPr>
          <w:sz w:val="28"/>
          <w:szCs w:val="26"/>
        </w:rPr>
      </w:pPr>
      <w:r w:rsidRPr="00453514">
        <w:rPr>
          <w:sz w:val="28"/>
          <w:szCs w:val="26"/>
        </w:rPr>
        <w:t xml:space="preserve">pieprasīt </w:t>
      </w:r>
      <w:r w:rsidRPr="00453514">
        <w:rPr>
          <w:i/>
          <w:sz w:val="28"/>
          <w:szCs w:val="26"/>
        </w:rPr>
        <w:t>maziem uzņēmumiem</w:t>
      </w:r>
      <w:r w:rsidRPr="00453514">
        <w:rPr>
          <w:sz w:val="28"/>
          <w:szCs w:val="26"/>
        </w:rPr>
        <w:t xml:space="preserve"> gada pārskatā sniegt vairāk informācijas; </w:t>
      </w:r>
    </w:p>
    <w:p w:rsidR="00453514" w:rsidRPr="00453514" w:rsidRDefault="00453514" w:rsidP="00453514">
      <w:pPr>
        <w:numPr>
          <w:ilvl w:val="0"/>
          <w:numId w:val="9"/>
        </w:numPr>
        <w:ind w:left="709"/>
        <w:jc w:val="both"/>
        <w:rPr>
          <w:sz w:val="28"/>
          <w:szCs w:val="26"/>
        </w:rPr>
      </w:pPr>
      <w:r w:rsidRPr="00453514">
        <w:rPr>
          <w:sz w:val="28"/>
          <w:szCs w:val="26"/>
        </w:rPr>
        <w:lastRenderedPageBreak/>
        <w:t xml:space="preserve">pieprasīt veikt visu </w:t>
      </w:r>
      <w:r w:rsidRPr="00453514">
        <w:rPr>
          <w:i/>
          <w:sz w:val="28"/>
          <w:szCs w:val="26"/>
        </w:rPr>
        <w:t>mazo uzņēmumu</w:t>
      </w:r>
      <w:r w:rsidRPr="00453514">
        <w:rPr>
          <w:sz w:val="28"/>
          <w:szCs w:val="26"/>
        </w:rPr>
        <w:t xml:space="preserve"> gada pārskatu vai kādas šo uzņēmumu daļas gada pārskatu pārbaudes (revīzijas).</w:t>
      </w:r>
    </w:p>
    <w:p w:rsidR="00453514" w:rsidRPr="00453514" w:rsidRDefault="00453514" w:rsidP="00453514">
      <w:pPr>
        <w:spacing w:before="120" w:after="120"/>
        <w:jc w:val="both"/>
        <w:rPr>
          <w:sz w:val="28"/>
          <w:szCs w:val="26"/>
        </w:rPr>
      </w:pPr>
      <w:r w:rsidRPr="00453514">
        <w:rPr>
          <w:b/>
          <w:sz w:val="28"/>
          <w:szCs w:val="26"/>
        </w:rPr>
        <w:t>Latvija neatbalsta</w:t>
      </w:r>
      <w:r w:rsidRPr="00453514">
        <w:rPr>
          <w:sz w:val="28"/>
          <w:szCs w:val="26"/>
        </w:rPr>
        <w:t xml:space="preserve"> Direktīvas projektā paredzēto MVU  bilances un peļņas vai zaudējuma aprēķina vienkāršošanu, kas būtiski samazinās administratīvo datu izmantošanu statistiskajos aprēķinos un radīs risku palielināt administratīvo slogu, būs nepieciešami papildu finanšu līdzekļi un tas apdraudētu  statistisko datu kvalitāti statistisko pārskatu iesniegšanā, jo nepieciešamie dati netiks iegūti no gada finanšu pārskatiem un tie būs jāiegūst aptaujājot uzņēmumus.</w:t>
      </w:r>
    </w:p>
    <w:p w:rsidR="00D0106C" w:rsidRPr="00453514" w:rsidRDefault="00453514" w:rsidP="00453514">
      <w:pPr>
        <w:spacing w:before="120" w:after="120"/>
        <w:jc w:val="both"/>
        <w:rPr>
          <w:sz w:val="32"/>
          <w:szCs w:val="28"/>
        </w:rPr>
      </w:pPr>
      <w:r w:rsidRPr="00453514">
        <w:rPr>
          <w:b/>
          <w:sz w:val="28"/>
          <w:szCs w:val="26"/>
        </w:rPr>
        <w:t>Latvijai ir neitrāla pozīcija</w:t>
      </w:r>
      <w:r w:rsidRPr="00453514">
        <w:rPr>
          <w:sz w:val="28"/>
          <w:szCs w:val="26"/>
        </w:rPr>
        <w:t xml:space="preserve"> attiecībā uz Direktīvas projektā paredzēto ziņošanu par maksājumiem sadalījumā pa valstīm, jo pašlaik neviens no uzņēmumiem, kas Latvijā nodarbojas ar ieguves rūpniecību vai mežizstrādi,  neatbilst Direktīvas projektā minētajiem </w:t>
      </w:r>
      <w:r w:rsidRPr="00453514">
        <w:rPr>
          <w:i/>
          <w:sz w:val="28"/>
          <w:szCs w:val="26"/>
        </w:rPr>
        <w:t xml:space="preserve">liela uzņēmuma </w:t>
      </w:r>
      <w:r w:rsidRPr="00453514">
        <w:rPr>
          <w:sz w:val="28"/>
          <w:szCs w:val="26"/>
        </w:rPr>
        <w:t>kritērijiem vai sabiedriskas nozīmes struktūras definīcijai.</w:t>
      </w:r>
    </w:p>
    <w:p w:rsidR="00453514" w:rsidRPr="000E7CD7" w:rsidRDefault="00453514" w:rsidP="00453514">
      <w:pPr>
        <w:jc w:val="both"/>
        <w:rPr>
          <w:sz w:val="28"/>
          <w:szCs w:val="28"/>
        </w:rPr>
      </w:pPr>
    </w:p>
    <w:p w:rsidR="00897AEF" w:rsidRPr="00F97495" w:rsidRDefault="00FA22E5" w:rsidP="00361A26">
      <w:pPr>
        <w:pBdr>
          <w:bottom w:val="single" w:sz="4" w:space="1" w:color="auto"/>
        </w:pBdr>
        <w:tabs>
          <w:tab w:val="left" w:pos="9288"/>
        </w:tabs>
        <w:spacing w:after="120"/>
        <w:jc w:val="both"/>
        <w:rPr>
          <w:sz w:val="28"/>
          <w:szCs w:val="28"/>
        </w:rPr>
      </w:pPr>
      <w:r w:rsidRPr="000E7CD7">
        <w:rPr>
          <w:b/>
          <w:sz w:val="28"/>
          <w:szCs w:val="28"/>
        </w:rPr>
        <w:t>4</w:t>
      </w:r>
      <w:r w:rsidR="00897AEF" w:rsidRPr="000E7CD7">
        <w:rPr>
          <w:b/>
          <w:sz w:val="28"/>
          <w:szCs w:val="28"/>
        </w:rPr>
        <w:t xml:space="preserve">. </w:t>
      </w:r>
      <w:r w:rsidRPr="000E7CD7">
        <w:rPr>
          <w:b/>
          <w:sz w:val="28"/>
          <w:szCs w:val="28"/>
        </w:rPr>
        <w:t xml:space="preserve">Priekšlikums </w:t>
      </w:r>
      <w:r w:rsidR="008F0EFC" w:rsidRPr="008F0EFC">
        <w:rPr>
          <w:b/>
          <w:sz w:val="28"/>
          <w:szCs w:val="28"/>
        </w:rPr>
        <w:t>Eiropas Parlamenta un Padomes Regula</w:t>
      </w:r>
      <w:r w:rsidR="008F0EFC">
        <w:rPr>
          <w:b/>
          <w:sz w:val="28"/>
          <w:szCs w:val="28"/>
        </w:rPr>
        <w:t>i</w:t>
      </w:r>
      <w:r w:rsidR="008F0EFC" w:rsidRPr="008F0EFC">
        <w:rPr>
          <w:b/>
          <w:sz w:val="28"/>
          <w:szCs w:val="28"/>
        </w:rPr>
        <w:t xml:space="preserve"> par Eiropas riska kapitāla fondiem </w:t>
      </w:r>
      <w:r w:rsidRPr="000E7CD7">
        <w:rPr>
          <w:b/>
          <w:sz w:val="28"/>
          <w:szCs w:val="28"/>
        </w:rPr>
        <w:t>pārskatiem</w:t>
      </w:r>
      <w:r w:rsidR="008F0EFC">
        <w:rPr>
          <w:b/>
          <w:sz w:val="28"/>
          <w:szCs w:val="28"/>
        </w:rPr>
        <w:t xml:space="preserve"> un </w:t>
      </w:r>
      <w:r w:rsidR="008F0EFC" w:rsidRPr="008F0EFC">
        <w:rPr>
          <w:b/>
          <w:sz w:val="28"/>
          <w:szCs w:val="28"/>
        </w:rPr>
        <w:t>Eiropas Parlamenta un Padomes Regula</w:t>
      </w:r>
      <w:r w:rsidR="008F0EFC">
        <w:rPr>
          <w:b/>
          <w:sz w:val="28"/>
          <w:szCs w:val="28"/>
        </w:rPr>
        <w:t>i</w:t>
      </w:r>
      <w:r w:rsidR="008F0EFC" w:rsidRPr="008F0EFC">
        <w:rPr>
          <w:b/>
          <w:sz w:val="28"/>
          <w:szCs w:val="28"/>
        </w:rPr>
        <w:t xml:space="preserve"> par Eiropas sociālās uzņēmējdarbības fondiem</w:t>
      </w:r>
      <w:r w:rsidR="00F97495">
        <w:rPr>
          <w:b/>
          <w:sz w:val="28"/>
          <w:szCs w:val="28"/>
        </w:rPr>
        <w:t xml:space="preserve"> </w:t>
      </w:r>
      <w:r w:rsidR="00F97495" w:rsidRPr="00F97495">
        <w:rPr>
          <w:b/>
          <w:i/>
          <w:sz w:val="28"/>
          <w:szCs w:val="28"/>
        </w:rPr>
        <w:t>(</w:t>
      </w:r>
      <w:r w:rsidR="00F97495">
        <w:rPr>
          <w:b/>
          <w:i/>
          <w:sz w:val="28"/>
          <w:szCs w:val="28"/>
        </w:rPr>
        <w:t>F</w:t>
      </w:r>
      <w:r w:rsidR="00F97495" w:rsidRPr="00F97495">
        <w:rPr>
          <w:b/>
          <w:i/>
          <w:sz w:val="28"/>
          <w:szCs w:val="28"/>
        </w:rPr>
        <w:t>M kompetence)</w:t>
      </w:r>
    </w:p>
    <w:p w:rsidR="00897AEF" w:rsidRPr="000E7CD7" w:rsidRDefault="00897AEF" w:rsidP="00453514">
      <w:pPr>
        <w:tabs>
          <w:tab w:val="left" w:pos="9288"/>
        </w:tabs>
        <w:spacing w:after="120"/>
        <w:jc w:val="both"/>
        <w:rPr>
          <w:i/>
          <w:sz w:val="28"/>
          <w:szCs w:val="28"/>
        </w:rPr>
      </w:pPr>
      <w:r w:rsidRPr="000E7CD7">
        <w:rPr>
          <w:i/>
          <w:sz w:val="28"/>
          <w:szCs w:val="28"/>
        </w:rPr>
        <w:t>-</w:t>
      </w:r>
      <w:r w:rsidR="00EC1D4B" w:rsidRPr="00EC1D4B">
        <w:rPr>
          <w:i/>
          <w:sz w:val="28"/>
          <w:szCs w:val="28"/>
        </w:rPr>
        <w:t xml:space="preserve"> </w:t>
      </w:r>
      <w:r w:rsidR="00EC1D4B" w:rsidRPr="00453514">
        <w:rPr>
          <w:i/>
          <w:sz w:val="28"/>
          <w:szCs w:val="28"/>
        </w:rPr>
        <w:t>Politikas debates</w:t>
      </w:r>
    </w:p>
    <w:p w:rsidR="00716125" w:rsidRDefault="00EC1D4B" w:rsidP="00EC1D4B">
      <w:pPr>
        <w:spacing w:before="120" w:after="120"/>
        <w:jc w:val="both"/>
        <w:rPr>
          <w:sz w:val="28"/>
          <w:szCs w:val="28"/>
        </w:rPr>
      </w:pPr>
      <w:r w:rsidRPr="00EC1D4B">
        <w:rPr>
          <w:sz w:val="28"/>
          <w:szCs w:val="28"/>
        </w:rPr>
        <w:t xml:space="preserve">2011.gada 7.decembrī Eiropas Komisija nāca klajā ar priekšlikumu paketi, kuras mērķis ir veicināt mazo un vidējo uzņēmumu (turpmāk – MVU) izaugsmi un to piekļuvi finansējumam. </w:t>
      </w:r>
      <w:r w:rsidR="00716125" w:rsidRPr="00716125">
        <w:rPr>
          <w:sz w:val="28"/>
          <w:szCs w:val="28"/>
        </w:rPr>
        <w:t xml:space="preserve">Konkurētspējas ministru padomes sanāksmes laikā ministri plāno orientējošas diskusijas par </w:t>
      </w:r>
      <w:r w:rsidR="00716125">
        <w:rPr>
          <w:sz w:val="28"/>
          <w:szCs w:val="28"/>
        </w:rPr>
        <w:t xml:space="preserve">šiem </w:t>
      </w:r>
      <w:r w:rsidR="00716125" w:rsidRPr="00716125">
        <w:rPr>
          <w:sz w:val="28"/>
          <w:szCs w:val="28"/>
        </w:rPr>
        <w:t>Eiropas Komisijas priekšlikumiem.</w:t>
      </w:r>
    </w:p>
    <w:p w:rsidR="00EC1D4B" w:rsidRPr="00EC1D4B" w:rsidRDefault="00EC1D4B" w:rsidP="00EC1D4B">
      <w:pPr>
        <w:spacing w:before="120" w:after="120"/>
        <w:jc w:val="both"/>
        <w:rPr>
          <w:bCs/>
          <w:sz w:val="28"/>
          <w:szCs w:val="28"/>
        </w:rPr>
      </w:pPr>
      <w:r w:rsidRPr="00EC1D4B">
        <w:rPr>
          <w:sz w:val="28"/>
          <w:szCs w:val="28"/>
        </w:rPr>
        <w:t>Regulas priekšlikumi nosaka, kādi alternatīvo ieguldījumu fondi varēs kvalificēties kā Eiropas riska kapitāla fondi un Eiropas sociālās uzņēmējdarbības fondi  un drīkstēs lietot šo apzīmējumu.</w:t>
      </w:r>
      <w:r w:rsidRPr="00EC1D4B">
        <w:rPr>
          <w:bCs/>
          <w:sz w:val="28"/>
          <w:szCs w:val="28"/>
        </w:rPr>
        <w:t xml:space="preserve"> Regulu projekti skar tādu finanšu tirgus dalībnieku loku, kurš līdz šim netika pakļauts īpaša regulējuma un darbības uzraudzības prasībām. Šādiem dalībniekiem līdz šim nebija jāsaņem licence darbības uzsākšanai.</w:t>
      </w:r>
    </w:p>
    <w:p w:rsidR="00EC1D4B" w:rsidRPr="00EC1D4B" w:rsidRDefault="00EC1D4B" w:rsidP="00EC1D4B">
      <w:pPr>
        <w:pStyle w:val="NoSpacing"/>
        <w:spacing w:before="120" w:after="120"/>
        <w:jc w:val="both"/>
        <w:rPr>
          <w:rFonts w:ascii="Times New Roman" w:hAnsi="Times New Roman"/>
          <w:sz w:val="28"/>
          <w:szCs w:val="28"/>
          <w:lang w:val="lv-LV"/>
        </w:rPr>
      </w:pPr>
      <w:r w:rsidRPr="00EC1D4B">
        <w:rPr>
          <w:rFonts w:ascii="Times New Roman" w:hAnsi="Times New Roman"/>
          <w:sz w:val="28"/>
          <w:szCs w:val="28"/>
          <w:lang w:val="lv-LV"/>
        </w:rPr>
        <w:t>Kā norādījusi Dānijas Prezidentūra savā ziņojumā, tad jautājuma tālākā attīstībā Padome tiks lūgta:</w:t>
      </w:r>
    </w:p>
    <w:p w:rsidR="00EC1D4B" w:rsidRPr="00EC1D4B" w:rsidRDefault="00EC1D4B" w:rsidP="00EC1D4B">
      <w:pPr>
        <w:pStyle w:val="NoSpacing"/>
        <w:numPr>
          <w:ilvl w:val="0"/>
          <w:numId w:val="10"/>
        </w:numPr>
        <w:jc w:val="both"/>
        <w:rPr>
          <w:rFonts w:ascii="Times New Roman" w:hAnsi="Times New Roman"/>
          <w:sz w:val="28"/>
          <w:szCs w:val="28"/>
          <w:lang w:val="lv-LV"/>
        </w:rPr>
      </w:pPr>
      <w:r w:rsidRPr="00EC1D4B">
        <w:rPr>
          <w:rFonts w:ascii="Times New Roman" w:hAnsi="Times New Roman"/>
          <w:sz w:val="28"/>
          <w:szCs w:val="28"/>
          <w:lang w:val="lv-LV"/>
        </w:rPr>
        <w:t>veikt orientējošas diskusijas par galvenajiem principiem, lai uzlabotu MVU piekļuvi finansējumam, kas arī ir noteikti Eiropas Komisijas regulas projektos;</w:t>
      </w:r>
    </w:p>
    <w:p w:rsidR="00EC1D4B" w:rsidRPr="00EC1D4B" w:rsidRDefault="00EC1D4B" w:rsidP="00EC1D4B">
      <w:pPr>
        <w:pStyle w:val="NoSpacing"/>
        <w:numPr>
          <w:ilvl w:val="0"/>
          <w:numId w:val="10"/>
        </w:numPr>
        <w:jc w:val="both"/>
        <w:rPr>
          <w:rFonts w:ascii="Times New Roman" w:hAnsi="Times New Roman"/>
          <w:sz w:val="28"/>
          <w:szCs w:val="28"/>
          <w:lang w:val="lv-LV"/>
        </w:rPr>
      </w:pPr>
      <w:r w:rsidRPr="00EC1D4B">
        <w:rPr>
          <w:rFonts w:ascii="Times New Roman" w:hAnsi="Times New Roman"/>
          <w:sz w:val="28"/>
          <w:szCs w:val="28"/>
          <w:lang w:val="lv-LV"/>
        </w:rPr>
        <w:t>atzinīgi novērtēt Komisiju par izstrādātajiem regulu projektiem un informēt par plašo dalībvalstu atbalstu regulas projektos noteiktajiem mērķiem;</w:t>
      </w:r>
    </w:p>
    <w:p w:rsidR="00EC1D4B" w:rsidRPr="00EC1D4B" w:rsidRDefault="00EC1D4B" w:rsidP="00EC1D4B">
      <w:pPr>
        <w:pStyle w:val="NoSpacing"/>
        <w:numPr>
          <w:ilvl w:val="0"/>
          <w:numId w:val="10"/>
        </w:numPr>
        <w:jc w:val="both"/>
        <w:rPr>
          <w:rFonts w:ascii="Times New Roman" w:hAnsi="Times New Roman"/>
          <w:sz w:val="28"/>
          <w:szCs w:val="28"/>
          <w:lang w:val="lv-LV"/>
        </w:rPr>
      </w:pPr>
      <w:r w:rsidRPr="00EC1D4B">
        <w:rPr>
          <w:rFonts w:ascii="Times New Roman" w:hAnsi="Times New Roman"/>
          <w:sz w:val="28"/>
          <w:szCs w:val="28"/>
          <w:lang w:val="lv-LV"/>
        </w:rPr>
        <w:t>lūgt Finanšu pakalpojumu darba grupu tuvākajās nedēļās noslēgt regulas projektu izpēti un apspriedes, nolūkā pēc iespējas drīzāk panākt Padomes vispārējo pieeju;</w:t>
      </w:r>
    </w:p>
    <w:p w:rsidR="00EC1D4B" w:rsidRPr="00EC1D4B" w:rsidRDefault="00EC1D4B" w:rsidP="00EC1D4B">
      <w:pPr>
        <w:pStyle w:val="NoSpacing"/>
        <w:numPr>
          <w:ilvl w:val="0"/>
          <w:numId w:val="10"/>
        </w:numPr>
        <w:jc w:val="both"/>
        <w:rPr>
          <w:rFonts w:ascii="Times New Roman" w:hAnsi="Times New Roman"/>
          <w:sz w:val="28"/>
          <w:szCs w:val="28"/>
          <w:lang w:val="lv-LV"/>
        </w:rPr>
      </w:pPr>
      <w:r w:rsidRPr="00EC1D4B">
        <w:rPr>
          <w:rFonts w:ascii="Times New Roman" w:hAnsi="Times New Roman"/>
          <w:sz w:val="28"/>
          <w:szCs w:val="28"/>
          <w:lang w:val="lv-LV"/>
        </w:rPr>
        <w:lastRenderedPageBreak/>
        <w:t xml:space="preserve">apstiprināt mērķi līdz šī gada jūnijam panākt Padomes politisko vienošanos ar Eiropas Parlamentu. </w:t>
      </w:r>
    </w:p>
    <w:p w:rsidR="00EC1D4B" w:rsidRPr="00EC1D4B" w:rsidRDefault="00EC1D4B" w:rsidP="00506838">
      <w:pPr>
        <w:pStyle w:val="BodyText2"/>
        <w:spacing w:before="240" w:after="120"/>
        <w:jc w:val="both"/>
        <w:rPr>
          <w:b/>
          <w:bCs/>
          <w:sz w:val="28"/>
          <w:szCs w:val="28"/>
          <w:u w:val="single"/>
        </w:rPr>
      </w:pPr>
      <w:r w:rsidRPr="00EC1D4B">
        <w:rPr>
          <w:b/>
          <w:bCs/>
          <w:sz w:val="28"/>
          <w:szCs w:val="28"/>
          <w:u w:val="single"/>
        </w:rPr>
        <w:t>Latvijas pozīcija</w:t>
      </w:r>
    </w:p>
    <w:p w:rsidR="00EC1D4B" w:rsidRPr="00EC1D4B" w:rsidRDefault="00EC1D4B" w:rsidP="00EC1D4B">
      <w:pPr>
        <w:pStyle w:val="NoSpacing"/>
        <w:spacing w:before="120" w:after="120"/>
        <w:jc w:val="both"/>
        <w:rPr>
          <w:rFonts w:ascii="Times New Roman" w:hAnsi="Times New Roman"/>
          <w:sz w:val="28"/>
          <w:szCs w:val="28"/>
          <w:lang w:val="lv-LV"/>
        </w:rPr>
      </w:pPr>
      <w:r w:rsidRPr="00EC1D4B">
        <w:rPr>
          <w:rFonts w:ascii="Times New Roman" w:hAnsi="Times New Roman"/>
          <w:b/>
          <w:sz w:val="28"/>
          <w:szCs w:val="28"/>
          <w:lang w:val="lv-LV"/>
        </w:rPr>
        <w:t>Latvija atbalsta</w:t>
      </w:r>
      <w:r w:rsidRPr="00EC1D4B">
        <w:rPr>
          <w:rFonts w:ascii="Times New Roman" w:hAnsi="Times New Roman"/>
          <w:sz w:val="28"/>
          <w:szCs w:val="28"/>
          <w:lang w:val="lv-LV"/>
        </w:rPr>
        <w:t xml:space="preserve"> šo Eiropas Komisijas izstrādāto priekšlikumu paketi, jo regulu pieņemšana nodrošinās vienotas un tieši piemērojamas prasības, kas dos tiesības salīdzinoši nelieliem noteikta veida alternatīvo ieguldījumu fondiem pēc reģistrācijas dalībvalsts kompetentajā iestādē darboties visā Eiropas Savienībā. Šī regulējuma ieviešana veicinās citā dalībvalstī reģistrētu fondu ienākšanu Latvijā, kā arī nodrošinās Latvijā reģistrētu fondu iespējas piesaistīt investorus citās dalībvalstīs.</w:t>
      </w:r>
    </w:p>
    <w:p w:rsidR="00EC1D4B" w:rsidRPr="00EC1D4B" w:rsidRDefault="00EC1D4B" w:rsidP="00EC1D4B">
      <w:pPr>
        <w:pStyle w:val="NoSpacing"/>
        <w:spacing w:before="120" w:after="120"/>
        <w:jc w:val="both"/>
        <w:rPr>
          <w:rFonts w:ascii="Times New Roman" w:eastAsia="Times New Roman" w:hAnsi="Times New Roman"/>
          <w:sz w:val="28"/>
          <w:szCs w:val="28"/>
          <w:lang w:val="lv-LV" w:eastAsia="lv-LV"/>
        </w:rPr>
      </w:pPr>
      <w:r w:rsidRPr="00EC1D4B">
        <w:rPr>
          <w:rFonts w:ascii="Times New Roman" w:hAnsi="Times New Roman"/>
          <w:b/>
          <w:sz w:val="28"/>
          <w:szCs w:val="28"/>
          <w:lang w:val="lv-LV"/>
        </w:rPr>
        <w:t xml:space="preserve">Latvija apsveic </w:t>
      </w:r>
      <w:r w:rsidRPr="00EC1D4B">
        <w:rPr>
          <w:rFonts w:ascii="Times New Roman" w:hAnsi="Times New Roman"/>
          <w:sz w:val="28"/>
          <w:szCs w:val="28"/>
          <w:lang w:val="lv-LV"/>
        </w:rPr>
        <w:t xml:space="preserve">diskusiju rezultātā Dānijas prezidentūras izstrādātos kompromisa tekstus Eiropas Parlamenta un Padomes regulas projektam par Eiropas riska kapitāla fondiem un Eiropas Parlamenta un Padomes regulas projektam par Eiropas sociālās uzņēmējdarbības fondiem un Dānijas prezidentūras ziņojumā iekļautos secinājumus, un atbilstoši ziņojumā norādītajam, </w:t>
      </w:r>
      <w:r w:rsidRPr="00EC1D4B">
        <w:rPr>
          <w:rFonts w:ascii="Times New Roman" w:hAnsi="Times New Roman"/>
          <w:b/>
          <w:sz w:val="28"/>
          <w:szCs w:val="28"/>
          <w:lang w:val="lv-LV"/>
        </w:rPr>
        <w:t>piekrīt</w:t>
      </w:r>
      <w:r w:rsidRPr="00EC1D4B">
        <w:rPr>
          <w:rFonts w:ascii="Times New Roman" w:hAnsi="Times New Roman"/>
          <w:sz w:val="28"/>
          <w:szCs w:val="28"/>
          <w:lang w:val="lv-LV"/>
        </w:rPr>
        <w:t>, ka tehniskais darbs pie regulas projektu teksta redakciju uzlabošanas būtu vēl jāturpina ekspertu līmenī.</w:t>
      </w:r>
    </w:p>
    <w:p w:rsidR="00683014" w:rsidRDefault="00683014" w:rsidP="00453514">
      <w:pPr>
        <w:jc w:val="both"/>
        <w:rPr>
          <w:sz w:val="28"/>
          <w:szCs w:val="28"/>
        </w:rPr>
      </w:pPr>
    </w:p>
    <w:p w:rsidR="00EC1D4B" w:rsidRPr="00F97495" w:rsidRDefault="00EC1D4B" w:rsidP="00361A26">
      <w:pPr>
        <w:pBdr>
          <w:bottom w:val="single" w:sz="4" w:space="1" w:color="auto"/>
        </w:pBdr>
        <w:tabs>
          <w:tab w:val="left" w:pos="9288"/>
        </w:tabs>
        <w:spacing w:after="120"/>
        <w:jc w:val="both"/>
        <w:rPr>
          <w:sz w:val="28"/>
          <w:szCs w:val="28"/>
        </w:rPr>
      </w:pPr>
      <w:r w:rsidRPr="000E7CD7">
        <w:rPr>
          <w:b/>
          <w:sz w:val="28"/>
          <w:szCs w:val="28"/>
        </w:rPr>
        <w:t xml:space="preserve">4. </w:t>
      </w:r>
      <w:r>
        <w:rPr>
          <w:b/>
          <w:sz w:val="28"/>
          <w:szCs w:val="28"/>
        </w:rPr>
        <w:t xml:space="preserve">Lietpratīgs regulējums </w:t>
      </w:r>
      <w:r w:rsidRPr="00F97495">
        <w:rPr>
          <w:b/>
          <w:i/>
          <w:sz w:val="28"/>
          <w:szCs w:val="28"/>
        </w:rPr>
        <w:t>(</w:t>
      </w:r>
      <w:r>
        <w:rPr>
          <w:b/>
          <w:i/>
          <w:sz w:val="28"/>
          <w:szCs w:val="28"/>
        </w:rPr>
        <w:t>E</w:t>
      </w:r>
      <w:r w:rsidRPr="00F97495">
        <w:rPr>
          <w:b/>
          <w:i/>
          <w:sz w:val="28"/>
          <w:szCs w:val="28"/>
        </w:rPr>
        <w:t>M kompetence)</w:t>
      </w:r>
    </w:p>
    <w:p w:rsidR="00EC1D4B" w:rsidRPr="000E7CD7" w:rsidRDefault="00EC1D4B" w:rsidP="000525B2">
      <w:pPr>
        <w:tabs>
          <w:tab w:val="left" w:pos="9288"/>
        </w:tabs>
        <w:spacing w:before="120" w:after="120"/>
        <w:jc w:val="both"/>
        <w:rPr>
          <w:i/>
          <w:sz w:val="28"/>
          <w:szCs w:val="28"/>
        </w:rPr>
      </w:pPr>
      <w:r w:rsidRPr="000E7CD7">
        <w:rPr>
          <w:i/>
          <w:sz w:val="28"/>
          <w:szCs w:val="28"/>
        </w:rPr>
        <w:t>-</w:t>
      </w:r>
      <w:r w:rsidRPr="00EC1D4B">
        <w:rPr>
          <w:i/>
          <w:sz w:val="28"/>
          <w:szCs w:val="28"/>
        </w:rPr>
        <w:t xml:space="preserve"> </w:t>
      </w:r>
      <w:r>
        <w:rPr>
          <w:i/>
          <w:sz w:val="28"/>
          <w:szCs w:val="28"/>
        </w:rPr>
        <w:t>Padomes secinājumu pieņemšana</w:t>
      </w:r>
    </w:p>
    <w:p w:rsidR="00506838" w:rsidRPr="00506838" w:rsidRDefault="008D1FDB" w:rsidP="008D1FDB">
      <w:pPr>
        <w:spacing w:before="120" w:after="120"/>
        <w:jc w:val="both"/>
        <w:rPr>
          <w:sz w:val="28"/>
          <w:szCs w:val="28"/>
        </w:rPr>
      </w:pPr>
      <w:r w:rsidRPr="008C1871">
        <w:rPr>
          <w:sz w:val="28"/>
          <w:szCs w:val="28"/>
        </w:rPr>
        <w:t xml:space="preserve">Konkurētspējas ministru padomes laikā plānots apstiprināt </w:t>
      </w:r>
      <w:r w:rsidRPr="008C1871">
        <w:rPr>
          <w:b/>
          <w:bCs/>
          <w:i/>
          <w:sz w:val="28"/>
          <w:szCs w:val="28"/>
        </w:rPr>
        <w:t xml:space="preserve">Padomes secinājumus par topošo lietpratīga regulējuma programmu ar pārliecinošu ievirzi uz mērķauditoriju. </w:t>
      </w:r>
      <w:r w:rsidRPr="008C1871">
        <w:rPr>
          <w:sz w:val="28"/>
          <w:szCs w:val="28"/>
        </w:rPr>
        <w:t>Padomes secinājumi aicina ES institūcijas un dalībvalstis turpināt samazināt vispārīgo regulatīvo slogu, it īpaši uz MVU attiecināmo slogu. Regulējums ir nepieciešams, lai sasniegt</w:t>
      </w:r>
      <w:r>
        <w:rPr>
          <w:sz w:val="28"/>
          <w:szCs w:val="28"/>
        </w:rPr>
        <w:t>u ES politikas mērķus, tostarp</w:t>
      </w:r>
      <w:r w:rsidRPr="008C1871">
        <w:rPr>
          <w:sz w:val="28"/>
          <w:szCs w:val="28"/>
        </w:rPr>
        <w:t xml:space="preserve"> tiesisko</w:t>
      </w:r>
      <w:r>
        <w:rPr>
          <w:sz w:val="28"/>
          <w:szCs w:val="28"/>
        </w:rPr>
        <w:t xml:space="preserve"> noteiktību un </w:t>
      </w:r>
      <w:proofErr w:type="spellStart"/>
      <w:r>
        <w:rPr>
          <w:sz w:val="28"/>
          <w:szCs w:val="28"/>
        </w:rPr>
        <w:t>paredzamību</w:t>
      </w:r>
      <w:proofErr w:type="spellEnd"/>
      <w:r w:rsidRPr="008C1871">
        <w:rPr>
          <w:sz w:val="28"/>
          <w:szCs w:val="28"/>
        </w:rPr>
        <w:t>, ekonomisko izaugsmi, kā arī nodrošinot sociālo un vides aizsardzību</w:t>
      </w:r>
      <w:r>
        <w:rPr>
          <w:sz w:val="28"/>
          <w:szCs w:val="28"/>
        </w:rPr>
        <w:t xml:space="preserve"> un vajadzības gadījumā arī citus politikas instrumentus</w:t>
      </w:r>
      <w:r w:rsidRPr="008C1871">
        <w:rPr>
          <w:sz w:val="28"/>
          <w:szCs w:val="28"/>
        </w:rPr>
        <w:t>. Dokumentu un informācijas sniegšanas pienākumu samazināšana nedrīkst nelabvēlīgi ietekmēt tiesību aktos noteikto mērķu sasniegšanu, tomēr dažkārt regulējums uzliek nevajadzīgu slogu tā mērķauditorijai</w:t>
      </w:r>
      <w:r>
        <w:rPr>
          <w:sz w:val="28"/>
          <w:szCs w:val="28"/>
        </w:rPr>
        <w:t xml:space="preserve"> (uzņē</w:t>
      </w:r>
      <w:r w:rsidRPr="008C1871">
        <w:rPr>
          <w:sz w:val="28"/>
          <w:szCs w:val="28"/>
        </w:rPr>
        <w:t xml:space="preserve">mumiem, īpaši MVU un </w:t>
      </w:r>
      <w:proofErr w:type="spellStart"/>
      <w:r w:rsidRPr="008C1871">
        <w:rPr>
          <w:sz w:val="28"/>
          <w:szCs w:val="28"/>
        </w:rPr>
        <w:t>mikrouzņēmumiem</w:t>
      </w:r>
      <w:proofErr w:type="spellEnd"/>
      <w:r w:rsidRPr="008C1871">
        <w:rPr>
          <w:sz w:val="28"/>
          <w:szCs w:val="28"/>
        </w:rPr>
        <w:t xml:space="preserve">, iedzīvotājiem, patērētājiem, valsts pārvaldei u.c.).   </w:t>
      </w:r>
    </w:p>
    <w:p w:rsidR="008D1FDB" w:rsidRDefault="008D1FDB" w:rsidP="007949DB">
      <w:pPr>
        <w:spacing w:before="240" w:after="120"/>
        <w:jc w:val="both"/>
        <w:rPr>
          <w:b/>
          <w:sz w:val="28"/>
          <w:szCs w:val="28"/>
          <w:u w:val="single"/>
        </w:rPr>
      </w:pPr>
      <w:r w:rsidRPr="008C1871">
        <w:rPr>
          <w:b/>
          <w:sz w:val="28"/>
          <w:szCs w:val="28"/>
          <w:u w:val="single"/>
        </w:rPr>
        <w:t>Latvijas pozīcija</w:t>
      </w:r>
    </w:p>
    <w:p w:rsidR="008D1FDB" w:rsidRPr="008C1871" w:rsidRDefault="008D1FDB" w:rsidP="008D1FDB">
      <w:pPr>
        <w:spacing w:before="120" w:after="120"/>
        <w:jc w:val="both"/>
        <w:rPr>
          <w:sz w:val="28"/>
          <w:szCs w:val="28"/>
        </w:rPr>
      </w:pPr>
      <w:r w:rsidRPr="008C1871">
        <w:rPr>
          <w:b/>
          <w:sz w:val="28"/>
          <w:szCs w:val="28"/>
        </w:rPr>
        <w:t>Latvijas atbalsta</w:t>
      </w:r>
      <w:r w:rsidRPr="00CF5BC5">
        <w:rPr>
          <w:sz w:val="28"/>
          <w:szCs w:val="28"/>
        </w:rPr>
        <w:t xml:space="preserve"> </w:t>
      </w:r>
      <w:r w:rsidRPr="008C1871">
        <w:rPr>
          <w:bCs/>
          <w:sz w:val="28"/>
          <w:szCs w:val="28"/>
        </w:rPr>
        <w:t>Padomes secinājumus</w:t>
      </w:r>
      <w:r w:rsidRPr="008C1871">
        <w:rPr>
          <w:sz w:val="28"/>
          <w:szCs w:val="28"/>
        </w:rPr>
        <w:t xml:space="preserve">, jo lietpratīgs regulējums palīdz uzlabot ES tiesību aktu kvalitāti, tādējādi sekmējot vienotu tirgu, novēršot tā sadrumstalotību, un veicinot uzņēmumu konkurētspēju, lai ES varētu atgriezties uz ilgtspējīgas izaugsmes ceļa. </w:t>
      </w:r>
    </w:p>
    <w:p w:rsidR="008D1FDB" w:rsidRPr="008C1871" w:rsidRDefault="008D1FDB" w:rsidP="008D1FDB">
      <w:pPr>
        <w:pStyle w:val="CommentText"/>
        <w:spacing w:before="120" w:after="120"/>
        <w:jc w:val="both"/>
        <w:rPr>
          <w:sz w:val="28"/>
          <w:szCs w:val="28"/>
          <w:lang w:val="lv-LV"/>
        </w:rPr>
      </w:pPr>
      <w:r w:rsidRPr="008C1871">
        <w:rPr>
          <w:b/>
          <w:sz w:val="28"/>
          <w:szCs w:val="28"/>
          <w:lang w:val="lv-LV"/>
        </w:rPr>
        <w:t xml:space="preserve">Latvija piekrīt </w:t>
      </w:r>
      <w:r w:rsidRPr="008C1871">
        <w:rPr>
          <w:sz w:val="28"/>
          <w:szCs w:val="28"/>
          <w:lang w:val="lv-LV"/>
        </w:rPr>
        <w:t xml:space="preserve">secinājumam, ka apgrūtinošs regulējums, it īpaši ekonomiskās krīzes apstākļos, palēnina ekonomikas izaugsmi un liek šķēršļus efektīvai </w:t>
      </w:r>
      <w:r w:rsidRPr="008C1871">
        <w:rPr>
          <w:sz w:val="28"/>
          <w:szCs w:val="28"/>
          <w:lang w:val="lv-LV"/>
        </w:rPr>
        <w:lastRenderedPageBreak/>
        <w:t xml:space="preserve">uzņēmējdarbībai un </w:t>
      </w:r>
      <w:r w:rsidRPr="008C1871">
        <w:rPr>
          <w:b/>
          <w:sz w:val="28"/>
          <w:szCs w:val="28"/>
          <w:lang w:val="lv-LV"/>
        </w:rPr>
        <w:t xml:space="preserve"> atbalsta</w:t>
      </w:r>
      <w:r w:rsidRPr="008C1871">
        <w:rPr>
          <w:sz w:val="28"/>
          <w:szCs w:val="28"/>
          <w:lang w:val="lv-LV"/>
        </w:rPr>
        <w:t xml:space="preserve"> aicinājumu Komisijai turpināt darbu lietpratīga regulējuma ietvaros ar mērķi samazināt no ES spēkā esošā un jauna regulējuma prasībām izrietošās birokrātiskās prasības, kas tādējādi sadārdzina ar uzņēmējdarbību saistītās izmaksas un rada neadekvātu birokrātisko slogu, īpaši domājot par MVU un </w:t>
      </w:r>
      <w:proofErr w:type="spellStart"/>
      <w:r w:rsidRPr="008C1871">
        <w:rPr>
          <w:sz w:val="28"/>
          <w:szCs w:val="28"/>
          <w:lang w:val="lv-LV"/>
        </w:rPr>
        <w:t>mikrouzņēmumiem</w:t>
      </w:r>
      <w:proofErr w:type="spellEnd"/>
      <w:r w:rsidRPr="008C1871">
        <w:rPr>
          <w:sz w:val="28"/>
          <w:szCs w:val="28"/>
          <w:lang w:val="lv-LV"/>
        </w:rPr>
        <w:t>.</w:t>
      </w:r>
    </w:p>
    <w:p w:rsidR="009A5C8E" w:rsidRPr="008D1FDB" w:rsidRDefault="008D1FDB" w:rsidP="008D1FDB">
      <w:pPr>
        <w:pStyle w:val="5Normal"/>
        <w:spacing w:before="120"/>
        <w:rPr>
          <w:rFonts w:ascii="Times New Roman" w:hAnsi="Times New Roman"/>
          <w:color w:val="0D0D0D"/>
          <w:sz w:val="28"/>
          <w:szCs w:val="28"/>
          <w:lang w:val="lv-LV"/>
        </w:rPr>
      </w:pPr>
      <w:r w:rsidRPr="008C1871">
        <w:rPr>
          <w:rFonts w:ascii="Times New Roman" w:hAnsi="Times New Roman"/>
          <w:color w:val="0D0D0D"/>
          <w:sz w:val="28"/>
          <w:szCs w:val="28"/>
          <w:lang w:val="lv-LV"/>
        </w:rPr>
        <w:t xml:space="preserve">Izstrādāto secinājumu tekstu </w:t>
      </w:r>
      <w:r w:rsidRPr="008C1871">
        <w:rPr>
          <w:rFonts w:ascii="Times New Roman" w:hAnsi="Times New Roman"/>
          <w:b/>
          <w:color w:val="0D0D0D"/>
          <w:sz w:val="28"/>
          <w:szCs w:val="28"/>
          <w:lang w:val="lv-LV"/>
        </w:rPr>
        <w:t xml:space="preserve">Latvija  uzskata </w:t>
      </w:r>
      <w:r w:rsidRPr="008C1871">
        <w:rPr>
          <w:rFonts w:ascii="Times New Roman" w:hAnsi="Times New Roman"/>
          <w:color w:val="0D0D0D"/>
          <w:sz w:val="28"/>
          <w:szCs w:val="28"/>
          <w:lang w:val="lv-LV"/>
        </w:rPr>
        <w:t xml:space="preserve">par sabalansētu, un jaunu papildinājumu izdarīšana tajā varētu izjaukt panākto līdzsvaru. </w:t>
      </w:r>
    </w:p>
    <w:p w:rsidR="009A5C8E" w:rsidRDefault="009A5C8E" w:rsidP="00453514">
      <w:pPr>
        <w:jc w:val="both"/>
        <w:rPr>
          <w:sz w:val="28"/>
          <w:szCs w:val="28"/>
        </w:rPr>
      </w:pPr>
    </w:p>
    <w:p w:rsidR="000525B2" w:rsidRPr="000525B2" w:rsidRDefault="000525B2" w:rsidP="00361A26">
      <w:pPr>
        <w:pBdr>
          <w:bottom w:val="single" w:sz="4" w:space="1" w:color="auto"/>
        </w:pBdr>
        <w:jc w:val="both"/>
        <w:rPr>
          <w:b/>
          <w:sz w:val="28"/>
          <w:szCs w:val="28"/>
        </w:rPr>
      </w:pPr>
      <w:r w:rsidRPr="000525B2">
        <w:rPr>
          <w:b/>
          <w:sz w:val="28"/>
          <w:szCs w:val="28"/>
        </w:rPr>
        <w:t xml:space="preserve">5. Citi jautājumi </w:t>
      </w:r>
      <w:r>
        <w:rPr>
          <w:b/>
          <w:sz w:val="28"/>
          <w:szCs w:val="28"/>
        </w:rPr>
        <w:t>–</w:t>
      </w:r>
      <w:r w:rsidRPr="000525B2">
        <w:rPr>
          <w:b/>
          <w:sz w:val="28"/>
          <w:szCs w:val="28"/>
        </w:rPr>
        <w:t xml:space="preserve"> </w:t>
      </w:r>
      <w:r>
        <w:rPr>
          <w:b/>
          <w:sz w:val="28"/>
          <w:szCs w:val="28"/>
        </w:rPr>
        <w:t>Patentu tiesību aktu kopums</w:t>
      </w:r>
      <w:r w:rsidR="009A5C8E">
        <w:rPr>
          <w:b/>
          <w:sz w:val="28"/>
          <w:szCs w:val="28"/>
        </w:rPr>
        <w:t xml:space="preserve"> </w:t>
      </w:r>
      <w:r w:rsidR="009A5C8E" w:rsidRPr="009A5C8E">
        <w:rPr>
          <w:b/>
          <w:i/>
          <w:sz w:val="28"/>
          <w:szCs w:val="28"/>
        </w:rPr>
        <w:t>(</w:t>
      </w:r>
      <w:r w:rsidR="009A5C8E">
        <w:rPr>
          <w:b/>
          <w:i/>
          <w:sz w:val="28"/>
          <w:szCs w:val="28"/>
        </w:rPr>
        <w:t>TM</w:t>
      </w:r>
      <w:r w:rsidR="009A5C8E" w:rsidRPr="009A5C8E">
        <w:rPr>
          <w:b/>
          <w:i/>
          <w:sz w:val="28"/>
          <w:szCs w:val="28"/>
        </w:rPr>
        <w:t xml:space="preserve"> kompetence)</w:t>
      </w:r>
    </w:p>
    <w:p w:rsidR="000525B2" w:rsidRPr="000E7CD7" w:rsidRDefault="000525B2" w:rsidP="000525B2">
      <w:pPr>
        <w:tabs>
          <w:tab w:val="left" w:pos="9288"/>
        </w:tabs>
        <w:spacing w:before="120" w:after="120"/>
        <w:jc w:val="both"/>
        <w:rPr>
          <w:i/>
          <w:sz w:val="28"/>
          <w:szCs w:val="28"/>
        </w:rPr>
      </w:pPr>
      <w:r w:rsidRPr="000E7CD7">
        <w:rPr>
          <w:i/>
          <w:sz w:val="28"/>
          <w:szCs w:val="28"/>
        </w:rPr>
        <w:t>-</w:t>
      </w:r>
      <w:r w:rsidRPr="00EC1D4B">
        <w:rPr>
          <w:i/>
          <w:sz w:val="28"/>
          <w:szCs w:val="28"/>
        </w:rPr>
        <w:t xml:space="preserve"> </w:t>
      </w:r>
      <w:r>
        <w:rPr>
          <w:i/>
          <w:sz w:val="28"/>
          <w:szCs w:val="28"/>
        </w:rPr>
        <w:t>Prezidentvalsts sniega informācija</w:t>
      </w:r>
    </w:p>
    <w:p w:rsidR="000525B2" w:rsidRPr="000525B2" w:rsidRDefault="000525B2" w:rsidP="000525B2">
      <w:pPr>
        <w:spacing w:before="120" w:after="120"/>
        <w:jc w:val="both"/>
        <w:rPr>
          <w:sz w:val="28"/>
          <w:szCs w:val="28"/>
        </w:rPr>
      </w:pPr>
      <w:r w:rsidRPr="000525B2">
        <w:rPr>
          <w:sz w:val="28"/>
          <w:szCs w:val="28"/>
        </w:rPr>
        <w:t>Konkurētspējas ministru padomes sanāksmē Prezidentūra plāno informēt dalībvalstu ministrus par situāciju vienotas patentu aizsardzības izveidē.</w:t>
      </w:r>
    </w:p>
    <w:p w:rsidR="000525B2" w:rsidRPr="000525B2" w:rsidRDefault="000525B2" w:rsidP="000525B2">
      <w:pPr>
        <w:spacing w:before="120" w:after="120"/>
        <w:jc w:val="both"/>
        <w:rPr>
          <w:sz w:val="28"/>
          <w:szCs w:val="28"/>
        </w:rPr>
      </w:pPr>
      <w:r w:rsidRPr="000525B2">
        <w:rPr>
          <w:sz w:val="28"/>
          <w:szCs w:val="28"/>
        </w:rPr>
        <w:t xml:space="preserve">2011.gada 10.martā ES Konkurētspējas ministru padomes sanāksmē tika pieņemts lēmums 2011/167/ES, ar ko atļauj ciešāku sadarbību attiecībā uz vienotas patentu aizsardzības izveidi. Ciešākas sadarbības mehānismā ir iesaistījušās 25 ES dalībvalstis, tai skaitā Latvija. Vienotās ES patentu sistēmas elementi ir ES patents, ES patenta tulkošana un vienota patenta tiesvedības sistēma. </w:t>
      </w:r>
    </w:p>
    <w:p w:rsidR="000525B2" w:rsidRPr="000525B2" w:rsidRDefault="000525B2" w:rsidP="000525B2">
      <w:pPr>
        <w:spacing w:before="120" w:after="120"/>
        <w:jc w:val="both"/>
        <w:rPr>
          <w:sz w:val="28"/>
          <w:szCs w:val="28"/>
        </w:rPr>
      </w:pPr>
      <w:r w:rsidRPr="000525B2">
        <w:rPr>
          <w:sz w:val="28"/>
          <w:szCs w:val="28"/>
        </w:rPr>
        <w:t xml:space="preserve">2011.gada 27.jūnija ārkārtas ES Konkurētspējas ministru padomē dalībvalstis ciešākas sadarbības ietvaros vienojās par priekšlikumu Eiropas Parlamenta un Padomes regulai par ciešāku sadarbību saistībā ar vienotas patentu aizsardzības izveidi un par priekšlikumu Padomes regulai par ciešāku sadarbību saistībā ar vienotas patentu aizsardzības izveidi attiecībā uz piemērojamo tulkošanas kārtību (turpmāk – regulu projekti). Šobrīd ir panākta vienošanās ar Eiropas Parlamentu, noslēdzot darbu ES Padomē par minētajiem regulu projektiem. </w:t>
      </w:r>
    </w:p>
    <w:p w:rsidR="000525B2" w:rsidRPr="000525B2" w:rsidRDefault="000525B2" w:rsidP="000525B2">
      <w:pPr>
        <w:spacing w:before="120" w:after="120"/>
        <w:jc w:val="both"/>
        <w:rPr>
          <w:sz w:val="28"/>
          <w:szCs w:val="28"/>
        </w:rPr>
      </w:pPr>
      <w:r w:rsidRPr="000525B2">
        <w:rPr>
          <w:sz w:val="28"/>
          <w:szCs w:val="28"/>
        </w:rPr>
        <w:t>Lai uzsāktu darbu pie tiesvedības sistēmas izveides, Eiropas Komisija 2011. gada 14. jūnijā nāca klajā ar Līguma projektu par vienotās patentu tiesas (turpmāk – Patentu tiesa) izveidi (turpmāk – Līguma projekts). Patentu tiesas sistēma plānota kā ekskluzīva sistēma, kurā tiktu skatīti Eiropas patenta un nākotnē arī ES patenta strīdi, proti, lietas par patentu anulēšanu, patentu pārkāpumi un citi ar patentiem saistīti strīdi. Patentu tiesa tiek plānota kā specializēta patentu tiesa, kuras spriedumiem būs spēks visās Līguma projektā iesaistīto dalībvalstu teritorijās.</w:t>
      </w:r>
    </w:p>
    <w:p w:rsidR="00C67E02" w:rsidRDefault="000525B2" w:rsidP="000525B2">
      <w:pPr>
        <w:spacing w:before="120" w:after="120"/>
        <w:jc w:val="both"/>
        <w:rPr>
          <w:sz w:val="28"/>
          <w:szCs w:val="28"/>
        </w:rPr>
      </w:pPr>
      <w:r w:rsidRPr="00C67E02">
        <w:rPr>
          <w:sz w:val="28"/>
          <w:szCs w:val="28"/>
        </w:rPr>
        <w:t>2011.gada 6. decembra ES Konkurētspējas ministru padomes sanāksmē bija palikuši atklāti virkne jautājumi, tostarp</w:t>
      </w:r>
      <w:r w:rsidR="00C67E02">
        <w:rPr>
          <w:sz w:val="28"/>
          <w:szCs w:val="28"/>
        </w:rPr>
        <w:t xml:space="preserve"> Patentu tiesas atrašanās vieta, par kuru gan </w:t>
      </w:r>
      <w:r w:rsidR="00C67E02" w:rsidRPr="00C67E02">
        <w:rPr>
          <w:sz w:val="28"/>
          <w:szCs w:val="28"/>
        </w:rPr>
        <w:t>vienošanās netika panākta</w:t>
      </w:r>
      <w:r w:rsidR="00C67E02">
        <w:rPr>
          <w:sz w:val="28"/>
          <w:szCs w:val="28"/>
        </w:rPr>
        <w:t>.</w:t>
      </w:r>
      <w:r w:rsidRPr="000525B2">
        <w:rPr>
          <w:sz w:val="28"/>
          <w:szCs w:val="28"/>
        </w:rPr>
        <w:t xml:space="preserve"> </w:t>
      </w:r>
    </w:p>
    <w:p w:rsidR="00C67E02" w:rsidRPr="00032943" w:rsidRDefault="00C67E02" w:rsidP="00506838">
      <w:pPr>
        <w:spacing w:before="240" w:after="120"/>
        <w:jc w:val="both"/>
        <w:rPr>
          <w:b/>
          <w:sz w:val="28"/>
          <w:szCs w:val="28"/>
          <w:u w:val="single"/>
        </w:rPr>
      </w:pPr>
      <w:r w:rsidRPr="00032943">
        <w:rPr>
          <w:b/>
          <w:sz w:val="28"/>
          <w:szCs w:val="28"/>
          <w:u w:val="single"/>
        </w:rPr>
        <w:t>Latvijas pozīcija</w:t>
      </w:r>
    </w:p>
    <w:p w:rsidR="000525B2" w:rsidRPr="000525B2" w:rsidRDefault="000525B2" w:rsidP="000525B2">
      <w:pPr>
        <w:spacing w:before="120" w:after="120"/>
        <w:jc w:val="both"/>
        <w:rPr>
          <w:sz w:val="28"/>
          <w:szCs w:val="28"/>
        </w:rPr>
      </w:pPr>
      <w:r w:rsidRPr="000525B2">
        <w:rPr>
          <w:sz w:val="28"/>
          <w:szCs w:val="28"/>
        </w:rPr>
        <w:t xml:space="preserve">Latvija uzskata, ka </w:t>
      </w:r>
      <w:r w:rsidR="00B21F5B" w:rsidRPr="00B21F5B">
        <w:rPr>
          <w:sz w:val="28"/>
          <w:szCs w:val="28"/>
        </w:rPr>
        <w:t>Patentu tiesas atrašanās vieta</w:t>
      </w:r>
      <w:r w:rsidR="00B21F5B">
        <w:rPr>
          <w:sz w:val="28"/>
          <w:szCs w:val="28"/>
        </w:rPr>
        <w:t>s jautājums</w:t>
      </w:r>
      <w:r w:rsidR="00B21F5B" w:rsidRPr="00B21F5B">
        <w:rPr>
          <w:sz w:val="28"/>
          <w:szCs w:val="28"/>
        </w:rPr>
        <w:t xml:space="preserve"> </w:t>
      </w:r>
      <w:r w:rsidRPr="000525B2">
        <w:rPr>
          <w:sz w:val="28"/>
          <w:szCs w:val="28"/>
        </w:rPr>
        <w:t xml:space="preserve">ir jāskata kontekstā ar Līguma projektu, norādot, ka Patentu tiesas atrašanās vieta Latvijas ieskatā nav tik izšķirīgs  jautājums kā pats Līguma teksts pēc būtības. Latvija ir elastīga </w:t>
      </w:r>
      <w:r w:rsidRPr="000525B2">
        <w:rPr>
          <w:sz w:val="28"/>
          <w:szCs w:val="28"/>
        </w:rPr>
        <w:lastRenderedPageBreak/>
        <w:t>attiecībā uz piemērotāko Patentu tiesas atrašanās vietas izvēli. Latvija vēlas uzsvērt, ka, mēģinot rast kompromisu par Patentu tiesas atrašanās vietu, nedrīkst būtiski tikt ietekmētas citu dalībvalstu intereses Līguma kontekstā.</w:t>
      </w:r>
    </w:p>
    <w:p w:rsidR="000525B2" w:rsidRDefault="000525B2" w:rsidP="000525B2">
      <w:pPr>
        <w:spacing w:before="120" w:after="120"/>
        <w:jc w:val="both"/>
        <w:rPr>
          <w:sz w:val="28"/>
          <w:szCs w:val="28"/>
        </w:rPr>
      </w:pPr>
      <w:r w:rsidRPr="000525B2">
        <w:rPr>
          <w:sz w:val="28"/>
          <w:szCs w:val="28"/>
        </w:rPr>
        <w:t>Latvija uzskata, ka vienošanās par Līguma tekstu ir būtiska, jo īpaši Eiropas kopīgās izaugsmes un konkurētspējas darba kārtības kontekstā. Vienošanās par vienoto Patentu tiesu būtu nozīmīgs signāls industrijai un solis pretī lētākam un pieejamākam patentam. Tādējādi Latvija ir gatava arī turpmāk aktīvi strādāt pie Līguma projekta noteikumiem un gaida no Prezidentūras aktīvu un caurskatāmu rīcību šī jautājuma virzībā.</w:t>
      </w:r>
    </w:p>
    <w:p w:rsidR="00EC1D4B" w:rsidRDefault="00EC1D4B" w:rsidP="00453514">
      <w:pPr>
        <w:jc w:val="both"/>
        <w:rPr>
          <w:sz w:val="28"/>
          <w:szCs w:val="28"/>
        </w:rPr>
      </w:pPr>
    </w:p>
    <w:p w:rsidR="00A5294F" w:rsidRPr="001F33E5" w:rsidRDefault="00A5294F" w:rsidP="00453514">
      <w:pPr>
        <w:numPr>
          <w:ilvl w:val="0"/>
          <w:numId w:val="5"/>
        </w:numPr>
        <w:ind w:left="426"/>
        <w:jc w:val="both"/>
        <w:rPr>
          <w:b/>
          <w:sz w:val="28"/>
          <w:szCs w:val="28"/>
        </w:rPr>
      </w:pPr>
      <w:r w:rsidRPr="001F33E5">
        <w:rPr>
          <w:b/>
          <w:sz w:val="28"/>
          <w:szCs w:val="28"/>
        </w:rPr>
        <w:t>Latvijas delegācija</w:t>
      </w:r>
    </w:p>
    <w:p w:rsidR="00A5294F" w:rsidRPr="001F33E5" w:rsidRDefault="00A5294F" w:rsidP="00453514">
      <w:pPr>
        <w:jc w:val="both"/>
        <w:rPr>
          <w:b/>
          <w:sz w:val="28"/>
          <w:szCs w:val="28"/>
        </w:rPr>
      </w:pPr>
    </w:p>
    <w:p w:rsidR="00A5294F" w:rsidRPr="001F33E5" w:rsidRDefault="00A5294F" w:rsidP="00453514">
      <w:pPr>
        <w:ind w:left="2977" w:hanging="2977"/>
        <w:jc w:val="both"/>
        <w:rPr>
          <w:sz w:val="28"/>
          <w:szCs w:val="28"/>
        </w:rPr>
      </w:pPr>
      <w:r w:rsidRPr="001F33E5">
        <w:rPr>
          <w:sz w:val="28"/>
          <w:szCs w:val="28"/>
        </w:rPr>
        <w:t xml:space="preserve">Delegācijas vadītājs: </w:t>
      </w:r>
      <w:r w:rsidRPr="001F33E5">
        <w:rPr>
          <w:sz w:val="28"/>
          <w:szCs w:val="28"/>
        </w:rPr>
        <w:tab/>
      </w:r>
      <w:proofErr w:type="spellStart"/>
      <w:r w:rsidRPr="006754F2">
        <w:rPr>
          <w:b/>
          <w:sz w:val="28"/>
          <w:szCs w:val="28"/>
        </w:rPr>
        <w:t>D.Pavļuts</w:t>
      </w:r>
      <w:proofErr w:type="spellEnd"/>
      <w:r w:rsidRPr="001F33E5">
        <w:rPr>
          <w:sz w:val="28"/>
          <w:szCs w:val="28"/>
        </w:rPr>
        <w:t>, ekonomikas ministrs.</w:t>
      </w:r>
    </w:p>
    <w:p w:rsidR="00A5294F" w:rsidRPr="001F33E5" w:rsidRDefault="00A5294F" w:rsidP="00453514">
      <w:pPr>
        <w:ind w:left="2977" w:hanging="2977"/>
        <w:jc w:val="both"/>
        <w:rPr>
          <w:sz w:val="28"/>
          <w:szCs w:val="28"/>
        </w:rPr>
      </w:pPr>
      <w:r w:rsidRPr="001F33E5">
        <w:rPr>
          <w:sz w:val="28"/>
          <w:szCs w:val="28"/>
        </w:rPr>
        <w:t xml:space="preserve">Delegācijas dalībnieki: </w:t>
      </w:r>
      <w:r w:rsidRPr="001F33E5">
        <w:rPr>
          <w:sz w:val="28"/>
          <w:szCs w:val="28"/>
        </w:rPr>
        <w:tab/>
      </w:r>
      <w:proofErr w:type="spellStart"/>
      <w:r w:rsidRPr="006754F2">
        <w:rPr>
          <w:b/>
          <w:sz w:val="28"/>
          <w:szCs w:val="28"/>
        </w:rPr>
        <w:t>J.Štālmeistars</w:t>
      </w:r>
      <w:proofErr w:type="spellEnd"/>
      <w:r w:rsidRPr="001F33E5">
        <w:rPr>
          <w:sz w:val="28"/>
          <w:szCs w:val="28"/>
        </w:rPr>
        <w:t>, Latvijas Republikas pastāvīgā pārstāvja Eiropas Savienībā vietnieks;</w:t>
      </w:r>
    </w:p>
    <w:p w:rsidR="00A5294F" w:rsidRDefault="00BC476A" w:rsidP="00453514">
      <w:pPr>
        <w:ind w:left="2977"/>
        <w:jc w:val="both"/>
        <w:rPr>
          <w:sz w:val="28"/>
          <w:szCs w:val="28"/>
        </w:rPr>
      </w:pPr>
      <w:r w:rsidRPr="006754F2">
        <w:rPr>
          <w:b/>
          <w:sz w:val="28"/>
          <w:szCs w:val="28"/>
        </w:rPr>
        <w:t>Z</w:t>
      </w:r>
      <w:r w:rsidR="00A5294F" w:rsidRPr="006754F2">
        <w:rPr>
          <w:b/>
          <w:sz w:val="28"/>
          <w:szCs w:val="28"/>
        </w:rPr>
        <w:t>.</w:t>
      </w:r>
      <w:r w:rsidRPr="006754F2">
        <w:rPr>
          <w:b/>
          <w:sz w:val="28"/>
          <w:szCs w:val="28"/>
        </w:rPr>
        <w:t>Liepiņa</w:t>
      </w:r>
      <w:r w:rsidR="00A5294F" w:rsidRPr="001F33E5">
        <w:rPr>
          <w:sz w:val="28"/>
          <w:szCs w:val="28"/>
        </w:rPr>
        <w:t>, Ekonomikas minist</w:t>
      </w:r>
      <w:r>
        <w:rPr>
          <w:sz w:val="28"/>
          <w:szCs w:val="28"/>
        </w:rPr>
        <w:t>rijas valsts sekretāra vietniece</w:t>
      </w:r>
      <w:r w:rsidR="00A5294F" w:rsidRPr="001F33E5">
        <w:rPr>
          <w:sz w:val="28"/>
          <w:szCs w:val="28"/>
        </w:rPr>
        <w:t>;</w:t>
      </w:r>
    </w:p>
    <w:p w:rsidR="00BC476A" w:rsidRPr="001F33E5" w:rsidRDefault="00BC476A" w:rsidP="00BC476A">
      <w:pPr>
        <w:ind w:left="2977"/>
        <w:jc w:val="both"/>
        <w:rPr>
          <w:sz w:val="28"/>
          <w:szCs w:val="28"/>
        </w:rPr>
      </w:pPr>
      <w:r w:rsidRPr="006754F2">
        <w:rPr>
          <w:b/>
          <w:sz w:val="28"/>
          <w:szCs w:val="28"/>
        </w:rPr>
        <w:t>I.</w:t>
      </w:r>
      <w:r w:rsidRPr="006754F2">
        <w:rPr>
          <w:b/>
        </w:rPr>
        <w:t xml:space="preserve"> </w:t>
      </w:r>
      <w:proofErr w:type="spellStart"/>
      <w:r w:rsidRPr="006754F2">
        <w:rPr>
          <w:b/>
          <w:sz w:val="28"/>
          <w:szCs w:val="28"/>
        </w:rPr>
        <w:t>Platonova</w:t>
      </w:r>
      <w:proofErr w:type="spellEnd"/>
      <w:r w:rsidRPr="001F33E5">
        <w:rPr>
          <w:sz w:val="28"/>
          <w:szCs w:val="28"/>
        </w:rPr>
        <w:t xml:space="preserve">, </w:t>
      </w:r>
      <w:r w:rsidRPr="006754F2">
        <w:rPr>
          <w:sz w:val="28"/>
          <w:szCs w:val="28"/>
        </w:rPr>
        <w:t>Ekonomikas ministra padomniece</w:t>
      </w:r>
      <w:r w:rsidRPr="001F33E5">
        <w:rPr>
          <w:sz w:val="28"/>
          <w:szCs w:val="28"/>
        </w:rPr>
        <w:t>;</w:t>
      </w:r>
    </w:p>
    <w:p w:rsidR="00BC476A" w:rsidRDefault="00BC476A" w:rsidP="00453514">
      <w:pPr>
        <w:ind w:left="2977"/>
        <w:jc w:val="both"/>
        <w:rPr>
          <w:sz w:val="28"/>
          <w:szCs w:val="28"/>
        </w:rPr>
      </w:pPr>
      <w:r w:rsidRPr="006754F2">
        <w:rPr>
          <w:b/>
          <w:sz w:val="28"/>
          <w:szCs w:val="28"/>
        </w:rPr>
        <w:t>A</w:t>
      </w:r>
      <w:r w:rsidR="00A5294F" w:rsidRPr="006754F2">
        <w:rPr>
          <w:b/>
          <w:sz w:val="28"/>
          <w:szCs w:val="28"/>
        </w:rPr>
        <w:t>.</w:t>
      </w:r>
      <w:r w:rsidRPr="006754F2">
        <w:rPr>
          <w:b/>
          <w:sz w:val="28"/>
          <w:szCs w:val="28"/>
        </w:rPr>
        <w:t>Neimanis</w:t>
      </w:r>
      <w:r w:rsidR="00A5294F" w:rsidRPr="001F33E5">
        <w:rPr>
          <w:sz w:val="28"/>
          <w:szCs w:val="28"/>
        </w:rPr>
        <w:t>, Ekonomikas ministrijas nozares padomnieks Latvijas Republikas pārstāvniecībā Eiropas Savienībā</w:t>
      </w:r>
      <w:r>
        <w:rPr>
          <w:sz w:val="28"/>
          <w:szCs w:val="28"/>
        </w:rPr>
        <w:t>;</w:t>
      </w:r>
    </w:p>
    <w:p w:rsidR="001060C1" w:rsidRPr="001060C1" w:rsidRDefault="001060C1" w:rsidP="001060C1">
      <w:pPr>
        <w:ind w:left="2977"/>
        <w:jc w:val="both"/>
        <w:rPr>
          <w:sz w:val="28"/>
          <w:szCs w:val="28"/>
        </w:rPr>
      </w:pPr>
      <w:r w:rsidRPr="006754F2">
        <w:rPr>
          <w:b/>
          <w:sz w:val="28"/>
          <w:szCs w:val="28"/>
        </w:rPr>
        <w:t>Bērziņa Edīte</w:t>
      </w:r>
      <w:r w:rsidRPr="001060C1">
        <w:rPr>
          <w:sz w:val="28"/>
          <w:szCs w:val="28"/>
        </w:rPr>
        <w:t>, Finanšu ministrijas nozares padomniece finanšu jautājumos Latvijas Republikas pārstāvniecībā Eiropas Savienībā;</w:t>
      </w:r>
    </w:p>
    <w:p w:rsidR="00A5294F" w:rsidRPr="00374F2A" w:rsidRDefault="001060C1" w:rsidP="001060C1">
      <w:pPr>
        <w:ind w:left="2977"/>
        <w:jc w:val="both"/>
        <w:rPr>
          <w:sz w:val="28"/>
          <w:szCs w:val="28"/>
          <w:highlight w:val="yellow"/>
        </w:rPr>
      </w:pPr>
      <w:proofErr w:type="spellStart"/>
      <w:r w:rsidRPr="006754F2">
        <w:rPr>
          <w:b/>
          <w:sz w:val="28"/>
          <w:szCs w:val="28"/>
        </w:rPr>
        <w:t>Fišers</w:t>
      </w:r>
      <w:proofErr w:type="spellEnd"/>
      <w:r w:rsidRPr="006754F2">
        <w:rPr>
          <w:b/>
          <w:sz w:val="28"/>
          <w:szCs w:val="28"/>
        </w:rPr>
        <w:t xml:space="preserve"> Ronalds</w:t>
      </w:r>
      <w:r w:rsidRPr="001060C1">
        <w:rPr>
          <w:sz w:val="28"/>
          <w:szCs w:val="28"/>
        </w:rPr>
        <w:t>, Finanšu ministrijas nozares padomnieks Latvijas Republikas p</w:t>
      </w:r>
      <w:r>
        <w:rPr>
          <w:sz w:val="28"/>
          <w:szCs w:val="28"/>
        </w:rPr>
        <w:t>ārstāvniecībā Eiropas Savienībā</w:t>
      </w:r>
      <w:r w:rsidRPr="001060C1">
        <w:rPr>
          <w:sz w:val="28"/>
          <w:szCs w:val="28"/>
        </w:rPr>
        <w:t>;</w:t>
      </w:r>
    </w:p>
    <w:p w:rsidR="00BC476A" w:rsidRPr="001F33E5" w:rsidRDefault="002D776D" w:rsidP="00453514">
      <w:pPr>
        <w:ind w:left="2977"/>
        <w:jc w:val="both"/>
        <w:rPr>
          <w:sz w:val="28"/>
          <w:szCs w:val="28"/>
        </w:rPr>
      </w:pPr>
      <w:r w:rsidRPr="006754F2">
        <w:rPr>
          <w:b/>
          <w:sz w:val="28"/>
          <w:szCs w:val="28"/>
        </w:rPr>
        <w:t xml:space="preserve">Sandris </w:t>
      </w:r>
      <w:proofErr w:type="spellStart"/>
      <w:r w:rsidRPr="006754F2">
        <w:rPr>
          <w:b/>
          <w:sz w:val="28"/>
          <w:szCs w:val="28"/>
        </w:rPr>
        <w:t>Laganovskis</w:t>
      </w:r>
      <w:proofErr w:type="spellEnd"/>
      <w:r w:rsidRPr="002D776D">
        <w:rPr>
          <w:sz w:val="28"/>
          <w:szCs w:val="28"/>
        </w:rPr>
        <w:t>,</w:t>
      </w:r>
      <w:r>
        <w:rPr>
          <w:sz w:val="28"/>
          <w:szCs w:val="28"/>
        </w:rPr>
        <w:t xml:space="preserve"> </w:t>
      </w:r>
      <w:r w:rsidRPr="002D776D">
        <w:rPr>
          <w:sz w:val="28"/>
          <w:szCs w:val="28"/>
        </w:rPr>
        <w:t>tieslietu nozares padomnieks Latvijas Republikas Pastāvīgajā pārstāvniecībā ES</w:t>
      </w:r>
      <w:r w:rsidR="00BC476A" w:rsidRPr="002D776D">
        <w:rPr>
          <w:sz w:val="28"/>
          <w:szCs w:val="28"/>
        </w:rPr>
        <w:t>.</w:t>
      </w:r>
    </w:p>
    <w:p w:rsidR="006754F2" w:rsidRDefault="006754F2" w:rsidP="00453514">
      <w:pPr>
        <w:jc w:val="both"/>
        <w:rPr>
          <w:sz w:val="28"/>
          <w:szCs w:val="28"/>
        </w:rPr>
      </w:pPr>
    </w:p>
    <w:p w:rsidR="006754F2" w:rsidRDefault="006754F2" w:rsidP="00453514">
      <w:pPr>
        <w:tabs>
          <w:tab w:val="right" w:pos="8364"/>
        </w:tabs>
        <w:spacing w:after="120"/>
        <w:rPr>
          <w:sz w:val="28"/>
          <w:szCs w:val="28"/>
        </w:rPr>
      </w:pPr>
    </w:p>
    <w:p w:rsidR="006754F2" w:rsidRDefault="00E21948" w:rsidP="006754F2">
      <w:pPr>
        <w:spacing w:after="120"/>
        <w:rPr>
          <w:sz w:val="28"/>
          <w:szCs w:val="28"/>
        </w:rPr>
      </w:pPr>
      <w:r w:rsidRPr="000E7CD7">
        <w:rPr>
          <w:sz w:val="28"/>
          <w:szCs w:val="28"/>
        </w:rPr>
        <w:t>Iesniedzējs: Ekonomikas ministrs</w:t>
      </w:r>
      <w:r w:rsidRPr="000E7CD7">
        <w:rPr>
          <w:sz w:val="28"/>
          <w:szCs w:val="28"/>
        </w:rPr>
        <w:tab/>
      </w:r>
      <w:r w:rsidR="006754F2">
        <w:rPr>
          <w:sz w:val="28"/>
          <w:szCs w:val="28"/>
        </w:rPr>
        <w:tab/>
      </w:r>
      <w:r w:rsidR="006754F2">
        <w:rPr>
          <w:sz w:val="28"/>
          <w:szCs w:val="28"/>
        </w:rPr>
        <w:tab/>
      </w:r>
      <w:r w:rsidR="006754F2">
        <w:rPr>
          <w:sz w:val="28"/>
          <w:szCs w:val="28"/>
        </w:rPr>
        <w:tab/>
      </w:r>
      <w:r w:rsidR="006754F2">
        <w:rPr>
          <w:sz w:val="28"/>
          <w:szCs w:val="28"/>
        </w:rPr>
        <w:tab/>
        <w:t xml:space="preserve">         </w:t>
      </w:r>
      <w:proofErr w:type="spellStart"/>
      <w:r w:rsidR="006754F2">
        <w:rPr>
          <w:sz w:val="28"/>
          <w:szCs w:val="28"/>
        </w:rPr>
        <w:t>D</w:t>
      </w:r>
      <w:r w:rsidRPr="000E7CD7">
        <w:rPr>
          <w:sz w:val="28"/>
          <w:szCs w:val="28"/>
        </w:rPr>
        <w:t>.</w:t>
      </w:r>
      <w:r w:rsidR="006754F2">
        <w:rPr>
          <w:sz w:val="28"/>
          <w:szCs w:val="28"/>
        </w:rPr>
        <w:t>Pavļuts</w:t>
      </w:r>
      <w:proofErr w:type="spellEnd"/>
    </w:p>
    <w:p w:rsidR="00E21948" w:rsidRPr="000E7CD7" w:rsidRDefault="00E21948" w:rsidP="006754F2">
      <w:pPr>
        <w:spacing w:after="120"/>
        <w:rPr>
          <w:sz w:val="28"/>
          <w:szCs w:val="28"/>
        </w:rPr>
      </w:pPr>
      <w:r w:rsidRPr="000E7CD7">
        <w:rPr>
          <w:sz w:val="28"/>
          <w:szCs w:val="28"/>
        </w:rPr>
        <w:tab/>
      </w:r>
      <w:r w:rsidRPr="000E7CD7">
        <w:rPr>
          <w:sz w:val="28"/>
          <w:szCs w:val="28"/>
        </w:rPr>
        <w:tab/>
      </w:r>
    </w:p>
    <w:p w:rsidR="00447246" w:rsidRDefault="00447246" w:rsidP="006754F2">
      <w:pPr>
        <w:spacing w:after="120"/>
        <w:rPr>
          <w:sz w:val="28"/>
          <w:szCs w:val="28"/>
        </w:rPr>
      </w:pPr>
      <w:r w:rsidRPr="000E7CD7">
        <w:rPr>
          <w:sz w:val="28"/>
          <w:szCs w:val="28"/>
        </w:rPr>
        <w:t>Vizē: Valsts sekretārs</w:t>
      </w:r>
      <w:r w:rsidRPr="000E7CD7">
        <w:rPr>
          <w:sz w:val="28"/>
          <w:szCs w:val="28"/>
        </w:rPr>
        <w:tab/>
      </w:r>
      <w:r w:rsidR="006754F2">
        <w:rPr>
          <w:sz w:val="28"/>
          <w:szCs w:val="28"/>
        </w:rPr>
        <w:tab/>
      </w:r>
      <w:r w:rsidR="006754F2">
        <w:rPr>
          <w:sz w:val="28"/>
          <w:szCs w:val="28"/>
        </w:rPr>
        <w:tab/>
      </w:r>
      <w:r w:rsidR="006754F2">
        <w:rPr>
          <w:sz w:val="28"/>
          <w:szCs w:val="28"/>
        </w:rPr>
        <w:tab/>
      </w:r>
      <w:r w:rsidR="006754F2">
        <w:rPr>
          <w:sz w:val="28"/>
          <w:szCs w:val="28"/>
        </w:rPr>
        <w:tab/>
      </w:r>
      <w:r w:rsidR="006754F2">
        <w:rPr>
          <w:sz w:val="28"/>
          <w:szCs w:val="28"/>
        </w:rPr>
        <w:tab/>
      </w:r>
      <w:r w:rsidR="006754F2">
        <w:rPr>
          <w:sz w:val="28"/>
          <w:szCs w:val="28"/>
        </w:rPr>
        <w:tab/>
      </w:r>
      <w:r w:rsidR="006754F2">
        <w:rPr>
          <w:sz w:val="28"/>
          <w:szCs w:val="28"/>
        </w:rPr>
        <w:tab/>
        <w:t xml:space="preserve">  </w:t>
      </w:r>
      <w:r w:rsidRPr="000E7CD7">
        <w:rPr>
          <w:sz w:val="28"/>
          <w:szCs w:val="28"/>
        </w:rPr>
        <w:t xml:space="preserve"> J. Pūce</w:t>
      </w:r>
    </w:p>
    <w:p w:rsidR="00CF5A8E" w:rsidRDefault="00CF5A8E" w:rsidP="00453514">
      <w:pPr>
        <w:rPr>
          <w:sz w:val="20"/>
          <w:szCs w:val="20"/>
        </w:rPr>
      </w:pPr>
    </w:p>
    <w:p w:rsidR="00422C05" w:rsidRPr="000E7CD7" w:rsidRDefault="00422C05" w:rsidP="00453514">
      <w:pPr>
        <w:rPr>
          <w:sz w:val="20"/>
          <w:szCs w:val="20"/>
        </w:rPr>
      </w:pPr>
      <w:r w:rsidRPr="000E7CD7">
        <w:rPr>
          <w:sz w:val="20"/>
          <w:szCs w:val="20"/>
        </w:rPr>
        <w:t xml:space="preserve">Atbildīgā amatpersona: </w:t>
      </w:r>
    </w:p>
    <w:p w:rsidR="00422C05" w:rsidRPr="000E7CD7" w:rsidRDefault="00422C05" w:rsidP="00453514">
      <w:pPr>
        <w:jc w:val="both"/>
        <w:rPr>
          <w:u w:val="single"/>
        </w:rPr>
      </w:pPr>
    </w:p>
    <w:p w:rsidR="00447246" w:rsidRPr="000E7CD7" w:rsidRDefault="00E45566" w:rsidP="00453514">
      <w:pPr>
        <w:jc w:val="both"/>
        <w:rPr>
          <w:sz w:val="18"/>
          <w:szCs w:val="18"/>
        </w:rPr>
      </w:pPr>
      <w:r>
        <w:rPr>
          <w:sz w:val="18"/>
          <w:szCs w:val="18"/>
        </w:rPr>
        <w:t xml:space="preserve">13.02.2012. </w:t>
      </w:r>
      <w:r w:rsidR="0031468C">
        <w:rPr>
          <w:sz w:val="18"/>
          <w:szCs w:val="18"/>
        </w:rPr>
        <w:t>09</w:t>
      </w:r>
      <w:r w:rsidR="00776CD2">
        <w:rPr>
          <w:sz w:val="18"/>
          <w:szCs w:val="18"/>
        </w:rPr>
        <w:t>:4</w:t>
      </w:r>
      <w:r w:rsidR="00D7543A">
        <w:rPr>
          <w:sz w:val="18"/>
          <w:szCs w:val="18"/>
        </w:rPr>
        <w:t>0</w:t>
      </w:r>
    </w:p>
    <w:p w:rsidR="00447246" w:rsidRPr="000E7CD7" w:rsidRDefault="00594B72" w:rsidP="00453514">
      <w:pPr>
        <w:jc w:val="both"/>
        <w:rPr>
          <w:sz w:val="18"/>
          <w:szCs w:val="18"/>
        </w:rPr>
      </w:pPr>
      <w:fldSimple w:instr=" NUMWORDS   \* MERGEFORMAT ">
        <w:r w:rsidR="004960F3" w:rsidRPr="004960F3">
          <w:rPr>
            <w:noProof/>
            <w:sz w:val="18"/>
            <w:szCs w:val="18"/>
          </w:rPr>
          <w:t>3895</w:t>
        </w:r>
      </w:fldSimple>
    </w:p>
    <w:p w:rsidR="00447246" w:rsidRPr="000E7CD7" w:rsidRDefault="00D7543A" w:rsidP="00453514">
      <w:pPr>
        <w:rPr>
          <w:sz w:val="18"/>
        </w:rPr>
      </w:pPr>
      <w:r>
        <w:rPr>
          <w:sz w:val="18"/>
        </w:rPr>
        <w:t>Kaspars</w:t>
      </w:r>
      <w:r w:rsidR="006A6F9B">
        <w:rPr>
          <w:sz w:val="18"/>
        </w:rPr>
        <w:t xml:space="preserve"> </w:t>
      </w:r>
      <w:r>
        <w:rPr>
          <w:sz w:val="18"/>
        </w:rPr>
        <w:t>Stabiņš</w:t>
      </w:r>
    </w:p>
    <w:p w:rsidR="00447246" w:rsidRPr="000E7CD7" w:rsidRDefault="00447246" w:rsidP="00453514">
      <w:pPr>
        <w:rPr>
          <w:sz w:val="18"/>
        </w:rPr>
      </w:pPr>
      <w:r w:rsidRPr="000E7CD7">
        <w:rPr>
          <w:sz w:val="18"/>
        </w:rPr>
        <w:t>Ekonomikas ministrijas</w:t>
      </w:r>
    </w:p>
    <w:p w:rsidR="00447246" w:rsidRPr="000E7CD7" w:rsidRDefault="00447246" w:rsidP="00453514">
      <w:pPr>
        <w:rPr>
          <w:sz w:val="18"/>
        </w:rPr>
      </w:pPr>
      <w:r w:rsidRPr="000E7CD7">
        <w:rPr>
          <w:sz w:val="18"/>
        </w:rPr>
        <w:t>Ārējo ekonomisko attiecību departaments</w:t>
      </w:r>
    </w:p>
    <w:p w:rsidR="00447246" w:rsidRPr="00D7543A" w:rsidRDefault="00447246" w:rsidP="00453514">
      <w:pPr>
        <w:rPr>
          <w:sz w:val="18"/>
        </w:rPr>
      </w:pPr>
      <w:r w:rsidRPr="000E7CD7">
        <w:rPr>
          <w:sz w:val="18"/>
        </w:rPr>
        <w:t>670130</w:t>
      </w:r>
      <w:r w:rsidR="00D7543A">
        <w:rPr>
          <w:sz w:val="18"/>
        </w:rPr>
        <w:t>46</w:t>
      </w:r>
      <w:r w:rsidRPr="000E7CD7">
        <w:rPr>
          <w:sz w:val="18"/>
        </w:rPr>
        <w:t xml:space="preserve">, </w:t>
      </w:r>
      <w:r w:rsidR="00D7543A">
        <w:rPr>
          <w:sz w:val="18"/>
        </w:rPr>
        <w:t>Kaspars</w:t>
      </w:r>
      <w:r w:rsidRPr="000E7CD7">
        <w:rPr>
          <w:sz w:val="18"/>
        </w:rPr>
        <w:t>.</w:t>
      </w:r>
      <w:r w:rsidR="00D7543A">
        <w:rPr>
          <w:sz w:val="18"/>
        </w:rPr>
        <w:t>Stabiņš</w:t>
      </w:r>
      <w:r w:rsidRPr="000E7CD7">
        <w:rPr>
          <w:sz w:val="18"/>
        </w:rPr>
        <w:t xml:space="preserve">@em.gov.lv </w:t>
      </w:r>
    </w:p>
    <w:sectPr w:rsidR="00447246" w:rsidRPr="00D7543A" w:rsidSect="007E7C06">
      <w:headerReference w:type="default" r:id="rId8"/>
      <w:footerReference w:type="default" r:id="rId9"/>
      <w:footerReference w:type="first" r:id="rId10"/>
      <w:pgSz w:w="11906" w:h="16838"/>
      <w:pgMar w:top="1247" w:right="1134" w:bottom="1418" w:left="158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CA" w:rsidRDefault="00FB36CA" w:rsidP="0079342A">
      <w:r>
        <w:separator/>
      </w:r>
    </w:p>
  </w:endnote>
  <w:endnote w:type="continuationSeparator" w:id="0">
    <w:p w:rsidR="00FB36CA" w:rsidRDefault="00FB36CA" w:rsidP="0079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CA" w:rsidRDefault="00FB36CA" w:rsidP="00D21CE0">
    <w:pPr>
      <w:rPr>
        <w:sz w:val="20"/>
        <w:szCs w:val="20"/>
        <w:lang w:eastAsia="en-US"/>
      </w:rPr>
    </w:pPr>
  </w:p>
  <w:p w:rsidR="00FB36CA" w:rsidRPr="00D21CE0" w:rsidRDefault="00FB36CA" w:rsidP="00D21CE0">
    <w:pPr>
      <w:rPr>
        <w:sz w:val="20"/>
        <w:szCs w:val="20"/>
        <w:lang w:eastAsia="en-US"/>
      </w:rPr>
    </w:pPr>
    <w:r w:rsidRPr="00D21CE0">
      <w:rPr>
        <w:sz w:val="20"/>
        <w:szCs w:val="20"/>
        <w:lang w:eastAsia="en-US"/>
      </w:rPr>
      <w:t>EMZino_140212_COMPET; Informatīvais ziņojums par Latvijas nostāju Eiropas Savienības Konkurētspējas ministru padomes 2012.gada 20.februāra sanāksmē izskatāmajos Ekonomikas ministrijas, Finanšu ministrijas un Tieslietu ministrijas kompetences jautājumos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CA" w:rsidRDefault="00FB36CA" w:rsidP="00F354C7">
    <w:pPr>
      <w:rPr>
        <w:sz w:val="20"/>
        <w:szCs w:val="20"/>
        <w:lang w:eastAsia="en-US"/>
      </w:rPr>
    </w:pPr>
  </w:p>
  <w:p w:rsidR="00FB36CA" w:rsidRPr="00D24C05" w:rsidRDefault="00FB36CA" w:rsidP="00F354C7">
    <w:pPr>
      <w:rPr>
        <w:sz w:val="20"/>
        <w:szCs w:val="20"/>
        <w:lang w:eastAsia="en-US"/>
      </w:rPr>
    </w:pPr>
    <w:r w:rsidRPr="00D21CE0">
      <w:rPr>
        <w:sz w:val="20"/>
        <w:szCs w:val="20"/>
        <w:lang w:eastAsia="en-US"/>
      </w:rPr>
      <w:t>EMZino_140212_COMPET; Informatīvais ziņojums par Latvijas nostāju Eiropas Savienības Konkurētspējas ministru padomes 2012.gada 20.februāra sanāksmē izskatāmajos Ekonomikas ministrijas, Finanšu ministrijas un Tieslietu ministrijas kompetences jautājumos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CA" w:rsidRDefault="00FB36CA" w:rsidP="0079342A">
      <w:r>
        <w:separator/>
      </w:r>
    </w:p>
  </w:footnote>
  <w:footnote w:type="continuationSeparator" w:id="0">
    <w:p w:rsidR="00FB36CA" w:rsidRDefault="00FB36CA" w:rsidP="0079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0564"/>
      <w:docPartObj>
        <w:docPartGallery w:val="Page Numbers (Top of Page)"/>
        <w:docPartUnique/>
      </w:docPartObj>
    </w:sdtPr>
    <w:sdtContent>
      <w:p w:rsidR="00FB36CA" w:rsidRDefault="00594B72">
        <w:pPr>
          <w:pStyle w:val="Header"/>
          <w:jc w:val="center"/>
        </w:pPr>
        <w:fldSimple w:instr=" PAGE   \* MERGEFORMAT ">
          <w:r w:rsidR="004960F3">
            <w:rPr>
              <w:noProof/>
            </w:rPr>
            <w:t>13</w:t>
          </w:r>
        </w:fldSimple>
      </w:p>
    </w:sdtContent>
  </w:sdt>
  <w:p w:rsidR="00FB36CA" w:rsidRDefault="00FB3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73E"/>
    <w:multiLevelType w:val="hybridMultilevel"/>
    <w:tmpl w:val="8C9CA226"/>
    <w:lvl w:ilvl="0" w:tplc="39107706">
      <w:start w:val="2"/>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A75562B"/>
    <w:multiLevelType w:val="hybridMultilevel"/>
    <w:tmpl w:val="E7BCC83C"/>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9B1F21"/>
    <w:multiLevelType w:val="hybridMultilevel"/>
    <w:tmpl w:val="C6263240"/>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792236"/>
    <w:multiLevelType w:val="hybridMultilevel"/>
    <w:tmpl w:val="729662A6"/>
    <w:lvl w:ilvl="0" w:tplc="FCA62BF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CB7E83"/>
    <w:multiLevelType w:val="hybridMultilevel"/>
    <w:tmpl w:val="597448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C644289"/>
    <w:multiLevelType w:val="hybridMultilevel"/>
    <w:tmpl w:val="962A345E"/>
    <w:lvl w:ilvl="0" w:tplc="F8B6289E">
      <w:start w:val="1"/>
      <w:numFmt w:val="bullet"/>
      <w:lvlText w:val=""/>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nsid w:val="392D297B"/>
    <w:multiLevelType w:val="hybridMultilevel"/>
    <w:tmpl w:val="FB28CCB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nsid w:val="4D632291"/>
    <w:multiLevelType w:val="hybridMultilevel"/>
    <w:tmpl w:val="75326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AFE0019"/>
    <w:multiLevelType w:val="hybridMultilevel"/>
    <w:tmpl w:val="C076EA40"/>
    <w:lvl w:ilvl="0" w:tplc="F8B6289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AFE0B8D"/>
    <w:multiLevelType w:val="hybridMultilevel"/>
    <w:tmpl w:val="91EA62D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nsid w:val="6A6B493E"/>
    <w:multiLevelType w:val="multilevel"/>
    <w:tmpl w:val="48266C0E"/>
    <w:lvl w:ilvl="0">
      <w:start w:val="1"/>
      <w:numFmt w:val="decimal"/>
      <w:pStyle w:val="ListDash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1"/>
  </w:num>
  <w:num w:numId="4">
    <w:abstractNumId w:val="5"/>
  </w:num>
  <w:num w:numId="5">
    <w:abstractNumId w:val="0"/>
  </w:num>
  <w:num w:numId="6">
    <w:abstractNumId w:val="3"/>
  </w:num>
  <w:num w:numId="7">
    <w:abstractNumId w:val="4"/>
  </w:num>
  <w:num w:numId="8">
    <w:abstractNumId w:val="6"/>
  </w:num>
  <w:num w:numId="9">
    <w:abstractNumId w:val="9"/>
  </w:num>
  <w:num w:numId="10">
    <w:abstractNumId w:val="7"/>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1948"/>
    <w:rsid w:val="000163A1"/>
    <w:rsid w:val="00017CA9"/>
    <w:rsid w:val="00022163"/>
    <w:rsid w:val="000230C6"/>
    <w:rsid w:val="000304D8"/>
    <w:rsid w:val="00032943"/>
    <w:rsid w:val="00037E43"/>
    <w:rsid w:val="00041651"/>
    <w:rsid w:val="000442AD"/>
    <w:rsid w:val="00044700"/>
    <w:rsid w:val="00045380"/>
    <w:rsid w:val="00050631"/>
    <w:rsid w:val="000525B2"/>
    <w:rsid w:val="00053471"/>
    <w:rsid w:val="000538D0"/>
    <w:rsid w:val="00054145"/>
    <w:rsid w:val="00060563"/>
    <w:rsid w:val="00060A8D"/>
    <w:rsid w:val="00071F6B"/>
    <w:rsid w:val="00074A8E"/>
    <w:rsid w:val="00076994"/>
    <w:rsid w:val="0008031F"/>
    <w:rsid w:val="0009144F"/>
    <w:rsid w:val="000A0F01"/>
    <w:rsid w:val="000A4383"/>
    <w:rsid w:val="000A599E"/>
    <w:rsid w:val="000A61D6"/>
    <w:rsid w:val="000A7576"/>
    <w:rsid w:val="000B468F"/>
    <w:rsid w:val="000C486A"/>
    <w:rsid w:val="000C5C3C"/>
    <w:rsid w:val="000E5C13"/>
    <w:rsid w:val="000E7CD7"/>
    <w:rsid w:val="001060C1"/>
    <w:rsid w:val="00117654"/>
    <w:rsid w:val="00117904"/>
    <w:rsid w:val="00121DEA"/>
    <w:rsid w:val="00126A02"/>
    <w:rsid w:val="00150BB3"/>
    <w:rsid w:val="00156ECD"/>
    <w:rsid w:val="00157C4A"/>
    <w:rsid w:val="001620EA"/>
    <w:rsid w:val="00165624"/>
    <w:rsid w:val="0016779A"/>
    <w:rsid w:val="001702B1"/>
    <w:rsid w:val="001754CA"/>
    <w:rsid w:val="001829A7"/>
    <w:rsid w:val="00184B27"/>
    <w:rsid w:val="00185F95"/>
    <w:rsid w:val="00191DB1"/>
    <w:rsid w:val="00191F45"/>
    <w:rsid w:val="001B0568"/>
    <w:rsid w:val="001B3F3D"/>
    <w:rsid w:val="001B697D"/>
    <w:rsid w:val="001C32B3"/>
    <w:rsid w:val="001C423B"/>
    <w:rsid w:val="001E5AD7"/>
    <w:rsid w:val="001E6160"/>
    <w:rsid w:val="002025A8"/>
    <w:rsid w:val="0021101E"/>
    <w:rsid w:val="002148A4"/>
    <w:rsid w:val="002173E3"/>
    <w:rsid w:val="00224DC4"/>
    <w:rsid w:val="0023457E"/>
    <w:rsid w:val="00246F3B"/>
    <w:rsid w:val="00250F50"/>
    <w:rsid w:val="002609E5"/>
    <w:rsid w:val="002855EB"/>
    <w:rsid w:val="002A7318"/>
    <w:rsid w:val="002B0D2A"/>
    <w:rsid w:val="002B221A"/>
    <w:rsid w:val="002C06DC"/>
    <w:rsid w:val="002D0EC3"/>
    <w:rsid w:val="002D40CD"/>
    <w:rsid w:val="002D63C1"/>
    <w:rsid w:val="002D6A46"/>
    <w:rsid w:val="002D776D"/>
    <w:rsid w:val="002E3144"/>
    <w:rsid w:val="002F7E81"/>
    <w:rsid w:val="0031468C"/>
    <w:rsid w:val="003148EC"/>
    <w:rsid w:val="003159AD"/>
    <w:rsid w:val="00316C2A"/>
    <w:rsid w:val="00322A7A"/>
    <w:rsid w:val="00324917"/>
    <w:rsid w:val="00327E46"/>
    <w:rsid w:val="00360015"/>
    <w:rsid w:val="00361A26"/>
    <w:rsid w:val="00370A43"/>
    <w:rsid w:val="00374F2A"/>
    <w:rsid w:val="0039412A"/>
    <w:rsid w:val="00397317"/>
    <w:rsid w:val="003A2C6E"/>
    <w:rsid w:val="003A2FBC"/>
    <w:rsid w:val="003A30B0"/>
    <w:rsid w:val="003A3A6A"/>
    <w:rsid w:val="003C0B95"/>
    <w:rsid w:val="003D355D"/>
    <w:rsid w:val="003D478B"/>
    <w:rsid w:val="003E5D30"/>
    <w:rsid w:val="003E7BA4"/>
    <w:rsid w:val="003F018A"/>
    <w:rsid w:val="003F3BE3"/>
    <w:rsid w:val="003F5E8D"/>
    <w:rsid w:val="003F69B8"/>
    <w:rsid w:val="00400142"/>
    <w:rsid w:val="00403309"/>
    <w:rsid w:val="0041089F"/>
    <w:rsid w:val="0041577A"/>
    <w:rsid w:val="00416C71"/>
    <w:rsid w:val="00422C05"/>
    <w:rsid w:val="00425B59"/>
    <w:rsid w:val="00434636"/>
    <w:rsid w:val="00447246"/>
    <w:rsid w:val="00453514"/>
    <w:rsid w:val="00460092"/>
    <w:rsid w:val="00473B73"/>
    <w:rsid w:val="00485409"/>
    <w:rsid w:val="00485CF8"/>
    <w:rsid w:val="00487A4D"/>
    <w:rsid w:val="0049471A"/>
    <w:rsid w:val="004960F3"/>
    <w:rsid w:val="004A242B"/>
    <w:rsid w:val="004A70CD"/>
    <w:rsid w:val="004B1495"/>
    <w:rsid w:val="004B1EFF"/>
    <w:rsid w:val="004B6217"/>
    <w:rsid w:val="004C79B5"/>
    <w:rsid w:val="004D4584"/>
    <w:rsid w:val="004D7B87"/>
    <w:rsid w:val="004E4F37"/>
    <w:rsid w:val="004F6998"/>
    <w:rsid w:val="00506838"/>
    <w:rsid w:val="00510466"/>
    <w:rsid w:val="00513E2C"/>
    <w:rsid w:val="00526F0D"/>
    <w:rsid w:val="00546424"/>
    <w:rsid w:val="00546D6E"/>
    <w:rsid w:val="005530C8"/>
    <w:rsid w:val="00555DE2"/>
    <w:rsid w:val="005605FC"/>
    <w:rsid w:val="00560716"/>
    <w:rsid w:val="00562471"/>
    <w:rsid w:val="00575842"/>
    <w:rsid w:val="005854CF"/>
    <w:rsid w:val="00594B72"/>
    <w:rsid w:val="005A0176"/>
    <w:rsid w:val="005A0938"/>
    <w:rsid w:val="005A18ED"/>
    <w:rsid w:val="005A2969"/>
    <w:rsid w:val="005B3E55"/>
    <w:rsid w:val="005B51CA"/>
    <w:rsid w:val="005C21D5"/>
    <w:rsid w:val="005C626C"/>
    <w:rsid w:val="005D0EFD"/>
    <w:rsid w:val="005D3DB8"/>
    <w:rsid w:val="005E12D5"/>
    <w:rsid w:val="005E2917"/>
    <w:rsid w:val="005E3C2B"/>
    <w:rsid w:val="005E404D"/>
    <w:rsid w:val="005F1DED"/>
    <w:rsid w:val="005F63AD"/>
    <w:rsid w:val="00605F89"/>
    <w:rsid w:val="0061576C"/>
    <w:rsid w:val="0062308F"/>
    <w:rsid w:val="006257E0"/>
    <w:rsid w:val="00633000"/>
    <w:rsid w:val="006503E2"/>
    <w:rsid w:val="00667663"/>
    <w:rsid w:val="00675358"/>
    <w:rsid w:val="006754F2"/>
    <w:rsid w:val="00680623"/>
    <w:rsid w:val="00681AEA"/>
    <w:rsid w:val="00683014"/>
    <w:rsid w:val="006864E7"/>
    <w:rsid w:val="00695AE0"/>
    <w:rsid w:val="006A351C"/>
    <w:rsid w:val="006A6F9B"/>
    <w:rsid w:val="006A7943"/>
    <w:rsid w:val="006B16AE"/>
    <w:rsid w:val="006C6B13"/>
    <w:rsid w:val="006E189B"/>
    <w:rsid w:val="006F14FA"/>
    <w:rsid w:val="006F20B1"/>
    <w:rsid w:val="006F43E3"/>
    <w:rsid w:val="006F75AF"/>
    <w:rsid w:val="007016E9"/>
    <w:rsid w:val="00703DE5"/>
    <w:rsid w:val="00710606"/>
    <w:rsid w:val="007154D5"/>
    <w:rsid w:val="00716125"/>
    <w:rsid w:val="00723271"/>
    <w:rsid w:val="00724269"/>
    <w:rsid w:val="00734C81"/>
    <w:rsid w:val="00746BF8"/>
    <w:rsid w:val="0076182D"/>
    <w:rsid w:val="00775AA0"/>
    <w:rsid w:val="00776CD2"/>
    <w:rsid w:val="00786F42"/>
    <w:rsid w:val="0079342A"/>
    <w:rsid w:val="007949DB"/>
    <w:rsid w:val="007967D1"/>
    <w:rsid w:val="00796D5E"/>
    <w:rsid w:val="007A1C1C"/>
    <w:rsid w:val="007C77E8"/>
    <w:rsid w:val="007D1D18"/>
    <w:rsid w:val="007D2EBA"/>
    <w:rsid w:val="007E7C06"/>
    <w:rsid w:val="007F00EE"/>
    <w:rsid w:val="007F117C"/>
    <w:rsid w:val="007F602D"/>
    <w:rsid w:val="00825258"/>
    <w:rsid w:val="00846BE1"/>
    <w:rsid w:val="00850787"/>
    <w:rsid w:val="00854390"/>
    <w:rsid w:val="008700B2"/>
    <w:rsid w:val="00870F11"/>
    <w:rsid w:val="008821AF"/>
    <w:rsid w:val="00896F4A"/>
    <w:rsid w:val="00897AEF"/>
    <w:rsid w:val="008A0506"/>
    <w:rsid w:val="008A2C1F"/>
    <w:rsid w:val="008A616D"/>
    <w:rsid w:val="008B656F"/>
    <w:rsid w:val="008D1FDB"/>
    <w:rsid w:val="008D4FE7"/>
    <w:rsid w:val="008E3674"/>
    <w:rsid w:val="008F0EFC"/>
    <w:rsid w:val="00904C0B"/>
    <w:rsid w:val="00912896"/>
    <w:rsid w:val="00924B70"/>
    <w:rsid w:val="00927B41"/>
    <w:rsid w:val="00934B08"/>
    <w:rsid w:val="00946AE3"/>
    <w:rsid w:val="00951C74"/>
    <w:rsid w:val="00963DAB"/>
    <w:rsid w:val="0096439C"/>
    <w:rsid w:val="0097688B"/>
    <w:rsid w:val="00977A26"/>
    <w:rsid w:val="00980300"/>
    <w:rsid w:val="00980EB0"/>
    <w:rsid w:val="0098644A"/>
    <w:rsid w:val="009A2C41"/>
    <w:rsid w:val="009A316F"/>
    <w:rsid w:val="009A5C8E"/>
    <w:rsid w:val="009B1561"/>
    <w:rsid w:val="009D085B"/>
    <w:rsid w:val="009E5CC0"/>
    <w:rsid w:val="00A005C0"/>
    <w:rsid w:val="00A0668A"/>
    <w:rsid w:val="00A1088E"/>
    <w:rsid w:val="00A10DC8"/>
    <w:rsid w:val="00A15143"/>
    <w:rsid w:val="00A1553F"/>
    <w:rsid w:val="00A17A32"/>
    <w:rsid w:val="00A210CC"/>
    <w:rsid w:val="00A30D3A"/>
    <w:rsid w:val="00A33C17"/>
    <w:rsid w:val="00A37CB5"/>
    <w:rsid w:val="00A442E8"/>
    <w:rsid w:val="00A5294F"/>
    <w:rsid w:val="00A55C2C"/>
    <w:rsid w:val="00AA384A"/>
    <w:rsid w:val="00AA3CE0"/>
    <w:rsid w:val="00AA5E1C"/>
    <w:rsid w:val="00AC4C9E"/>
    <w:rsid w:val="00AD16CF"/>
    <w:rsid w:val="00AD3DE8"/>
    <w:rsid w:val="00AE0A6E"/>
    <w:rsid w:val="00AE6BB9"/>
    <w:rsid w:val="00AF0F88"/>
    <w:rsid w:val="00AF5DCC"/>
    <w:rsid w:val="00B03397"/>
    <w:rsid w:val="00B10B7B"/>
    <w:rsid w:val="00B13B5D"/>
    <w:rsid w:val="00B17F0A"/>
    <w:rsid w:val="00B213AE"/>
    <w:rsid w:val="00B21F5B"/>
    <w:rsid w:val="00B30428"/>
    <w:rsid w:val="00B3370D"/>
    <w:rsid w:val="00B4215A"/>
    <w:rsid w:val="00B56BD0"/>
    <w:rsid w:val="00B63B1C"/>
    <w:rsid w:val="00B72F9C"/>
    <w:rsid w:val="00B77240"/>
    <w:rsid w:val="00B81671"/>
    <w:rsid w:val="00B86B8F"/>
    <w:rsid w:val="00B93D2C"/>
    <w:rsid w:val="00B97E85"/>
    <w:rsid w:val="00BC0957"/>
    <w:rsid w:val="00BC476A"/>
    <w:rsid w:val="00BC4F29"/>
    <w:rsid w:val="00BC6383"/>
    <w:rsid w:val="00BD3934"/>
    <w:rsid w:val="00C03FB0"/>
    <w:rsid w:val="00C23657"/>
    <w:rsid w:val="00C333F6"/>
    <w:rsid w:val="00C34C3A"/>
    <w:rsid w:val="00C35DE6"/>
    <w:rsid w:val="00C41C4F"/>
    <w:rsid w:val="00C67E02"/>
    <w:rsid w:val="00C71669"/>
    <w:rsid w:val="00C7312E"/>
    <w:rsid w:val="00C749ED"/>
    <w:rsid w:val="00C93E8A"/>
    <w:rsid w:val="00C96037"/>
    <w:rsid w:val="00CA1812"/>
    <w:rsid w:val="00CA4B5F"/>
    <w:rsid w:val="00CB6938"/>
    <w:rsid w:val="00CD0C6C"/>
    <w:rsid w:val="00CD6990"/>
    <w:rsid w:val="00CF5A8E"/>
    <w:rsid w:val="00D0106C"/>
    <w:rsid w:val="00D114E1"/>
    <w:rsid w:val="00D21B28"/>
    <w:rsid w:val="00D21CE0"/>
    <w:rsid w:val="00D24C05"/>
    <w:rsid w:val="00D2629B"/>
    <w:rsid w:val="00D40C4A"/>
    <w:rsid w:val="00D41260"/>
    <w:rsid w:val="00D51484"/>
    <w:rsid w:val="00D5482D"/>
    <w:rsid w:val="00D7543A"/>
    <w:rsid w:val="00D75B14"/>
    <w:rsid w:val="00D86467"/>
    <w:rsid w:val="00D96C7D"/>
    <w:rsid w:val="00DB28C9"/>
    <w:rsid w:val="00DC4379"/>
    <w:rsid w:val="00DC570D"/>
    <w:rsid w:val="00DD2747"/>
    <w:rsid w:val="00DD59D6"/>
    <w:rsid w:val="00DE740D"/>
    <w:rsid w:val="00E01CA3"/>
    <w:rsid w:val="00E07C92"/>
    <w:rsid w:val="00E14379"/>
    <w:rsid w:val="00E21948"/>
    <w:rsid w:val="00E24AB6"/>
    <w:rsid w:val="00E425A3"/>
    <w:rsid w:val="00E44D2E"/>
    <w:rsid w:val="00E45566"/>
    <w:rsid w:val="00E529D0"/>
    <w:rsid w:val="00E618DC"/>
    <w:rsid w:val="00E63036"/>
    <w:rsid w:val="00E64D23"/>
    <w:rsid w:val="00E668E7"/>
    <w:rsid w:val="00E73BA7"/>
    <w:rsid w:val="00E80E96"/>
    <w:rsid w:val="00E91A3C"/>
    <w:rsid w:val="00E967CD"/>
    <w:rsid w:val="00EA0064"/>
    <w:rsid w:val="00EA2D67"/>
    <w:rsid w:val="00EB672D"/>
    <w:rsid w:val="00EC1D4B"/>
    <w:rsid w:val="00EC7A4B"/>
    <w:rsid w:val="00ED2A26"/>
    <w:rsid w:val="00ED7F09"/>
    <w:rsid w:val="00EF37FF"/>
    <w:rsid w:val="00EF384A"/>
    <w:rsid w:val="00EF5695"/>
    <w:rsid w:val="00F0485B"/>
    <w:rsid w:val="00F11439"/>
    <w:rsid w:val="00F13033"/>
    <w:rsid w:val="00F24451"/>
    <w:rsid w:val="00F354C7"/>
    <w:rsid w:val="00F36847"/>
    <w:rsid w:val="00F46112"/>
    <w:rsid w:val="00F476CA"/>
    <w:rsid w:val="00F618D1"/>
    <w:rsid w:val="00F66029"/>
    <w:rsid w:val="00F74CC4"/>
    <w:rsid w:val="00F772B8"/>
    <w:rsid w:val="00F80F85"/>
    <w:rsid w:val="00F930E0"/>
    <w:rsid w:val="00F93FFB"/>
    <w:rsid w:val="00F97495"/>
    <w:rsid w:val="00FA22E5"/>
    <w:rsid w:val="00FB36CA"/>
    <w:rsid w:val="00FC09B8"/>
    <w:rsid w:val="00FD2BBE"/>
    <w:rsid w:val="00FD7764"/>
    <w:rsid w:val="00FF5A09"/>
    <w:rsid w:val="00FF63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unhideWhenUsed/>
    <w:rsid w:val="008821AF"/>
    <w:rPr>
      <w:sz w:val="20"/>
      <w:szCs w:val="20"/>
    </w:rPr>
  </w:style>
  <w:style w:type="character" w:customStyle="1" w:styleId="FootnoteTextChar">
    <w:name w:val="Footnote Text Char"/>
    <w:basedOn w:val="DefaultParagraphFont"/>
    <w:link w:val="FootnoteText"/>
    <w:uiPriority w:val="99"/>
    <w:rsid w:val="008821A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customStyle="1" w:styleId="Default">
    <w:name w:val="Default"/>
    <w:rsid w:val="00D0106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ps">
    <w:name w:val="hps"/>
    <w:rsid w:val="00D0106C"/>
  </w:style>
  <w:style w:type="paragraph" w:customStyle="1" w:styleId="Typedudocument">
    <w:name w:val="Type du document"/>
    <w:basedOn w:val="Normal"/>
    <w:next w:val="Normal"/>
    <w:rsid w:val="005A2969"/>
    <w:pPr>
      <w:spacing w:before="360"/>
      <w:jc w:val="center"/>
    </w:pPr>
    <w:rPr>
      <w:b/>
      <w:szCs w:val="20"/>
      <w:lang w:val="en-GB" w:eastAsia="zh-CN"/>
    </w:rPr>
  </w:style>
  <w:style w:type="paragraph" w:customStyle="1" w:styleId="naisf">
    <w:name w:val="naisf"/>
    <w:basedOn w:val="Normal"/>
    <w:rsid w:val="00453514"/>
    <w:pPr>
      <w:spacing w:before="100" w:beforeAutospacing="1" w:after="100" w:afterAutospacing="1"/>
    </w:pPr>
  </w:style>
  <w:style w:type="paragraph" w:styleId="NoSpacing">
    <w:name w:val="No Spacing"/>
    <w:uiPriority w:val="1"/>
    <w:qFormat/>
    <w:rsid w:val="00EC1D4B"/>
    <w:pPr>
      <w:spacing w:after="0" w:line="240" w:lineRule="auto"/>
    </w:pPr>
    <w:rPr>
      <w:rFonts w:ascii="Calibri" w:eastAsia="Calibri" w:hAnsi="Calibri" w:cs="Times New Roman"/>
      <w:lang w:val="en-GB"/>
    </w:rPr>
  </w:style>
  <w:style w:type="paragraph" w:styleId="CommentText">
    <w:name w:val="annotation text"/>
    <w:basedOn w:val="Normal"/>
    <w:link w:val="CommentTextChar"/>
    <w:uiPriority w:val="99"/>
    <w:rsid w:val="008D1FDB"/>
    <w:rPr>
      <w:sz w:val="20"/>
      <w:szCs w:val="20"/>
      <w:lang w:val="en-GB" w:eastAsia="en-US"/>
    </w:rPr>
  </w:style>
  <w:style w:type="character" w:customStyle="1" w:styleId="CommentTextChar">
    <w:name w:val="Comment Text Char"/>
    <w:basedOn w:val="DefaultParagraphFont"/>
    <w:link w:val="CommentText"/>
    <w:uiPriority w:val="99"/>
    <w:rsid w:val="008D1FDB"/>
    <w:rPr>
      <w:rFonts w:ascii="Times New Roman" w:eastAsia="Times New Roman" w:hAnsi="Times New Roman" w:cs="Times New Roman"/>
      <w:sz w:val="20"/>
      <w:szCs w:val="20"/>
      <w:lang w:val="en-GB"/>
    </w:rPr>
  </w:style>
  <w:style w:type="paragraph" w:customStyle="1" w:styleId="5Normal">
    <w:name w:val="5 Normal"/>
    <w:rsid w:val="008D1FD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napToGrid w:val="0"/>
      <w:spacing w:val="-2"/>
      <w:szCs w:val="20"/>
      <w:lang w:val="en-GB" w:eastAsia="en-GB"/>
    </w:rPr>
  </w:style>
  <w:style w:type="character" w:customStyle="1" w:styleId="ListParagraphChar">
    <w:name w:val="List Paragraph Char"/>
    <w:link w:val="ListParagraph"/>
    <w:uiPriority w:val="34"/>
    <w:locked/>
    <w:rsid w:val="00946AE3"/>
    <w:rPr>
      <w:rFonts w:ascii="Times New Roman" w:eastAsia="Times New Roman" w:hAnsi="Times New Roman" w:cs="Times New Roman"/>
      <w:sz w:val="24"/>
      <w:szCs w:val="24"/>
      <w:lang w:eastAsia="lv-LV"/>
    </w:rPr>
  </w:style>
  <w:style w:type="paragraph" w:customStyle="1" w:styleId="ListDash1">
    <w:name w:val="List Dash 1"/>
    <w:basedOn w:val="Normal"/>
    <w:uiPriority w:val="99"/>
    <w:rsid w:val="00946AE3"/>
    <w:pPr>
      <w:numPr>
        <w:numId w:val="11"/>
      </w:numPr>
      <w:tabs>
        <w:tab w:val="num" w:pos="765"/>
      </w:tabs>
      <w:spacing w:after="240"/>
      <w:ind w:left="765" w:hanging="283"/>
      <w:jc w:val="both"/>
    </w:pPr>
    <w:rPr>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8991-17B7-47C2-B61D-4D267A51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3907</Words>
  <Characters>28758</Characters>
  <Application>Microsoft Office Word</Application>
  <DocSecurity>0</DocSecurity>
  <Lines>522</Lines>
  <Paragraphs>136</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Kaspars Stabiņš</cp:lastModifiedBy>
  <cp:revision>63</cp:revision>
  <cp:lastPrinted>2012-02-13T10:47:00Z</cp:lastPrinted>
  <dcterms:created xsi:type="dcterms:W3CDTF">2012-02-09T11:41:00Z</dcterms:created>
  <dcterms:modified xsi:type="dcterms:W3CDTF">2012-02-13T10:59:00Z</dcterms:modified>
</cp:coreProperties>
</file>