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6B1" w:rsidRPr="00D043A6" w:rsidRDefault="00C656B1" w:rsidP="00C656B1">
      <w:pPr>
        <w:pStyle w:val="Title"/>
      </w:pPr>
      <w:bookmarkStart w:id="0" w:name="OLE_LINK1"/>
      <w:bookmarkStart w:id="1" w:name="OLE_LINK2"/>
    </w:p>
    <w:p w:rsidR="00C656B1" w:rsidRPr="00D043A6" w:rsidRDefault="00C656B1" w:rsidP="00C656B1">
      <w:pPr>
        <w:pStyle w:val="Title"/>
      </w:pPr>
    </w:p>
    <w:p w:rsidR="00C656B1" w:rsidRPr="00D043A6" w:rsidRDefault="00C656B1" w:rsidP="00C656B1">
      <w:pPr>
        <w:pStyle w:val="Title"/>
      </w:pPr>
    </w:p>
    <w:p w:rsidR="00C656B1" w:rsidRPr="00D043A6" w:rsidRDefault="00C656B1" w:rsidP="00C656B1">
      <w:pPr>
        <w:pStyle w:val="Title"/>
      </w:pPr>
    </w:p>
    <w:p w:rsidR="00C656B1" w:rsidRPr="00D043A6" w:rsidRDefault="00C656B1" w:rsidP="00C656B1">
      <w:pPr>
        <w:pStyle w:val="Title"/>
      </w:pPr>
    </w:p>
    <w:p w:rsidR="00C656B1" w:rsidRPr="00D043A6" w:rsidRDefault="00C656B1" w:rsidP="00C656B1">
      <w:pPr>
        <w:pStyle w:val="Title"/>
      </w:pPr>
    </w:p>
    <w:p w:rsidR="00C656B1" w:rsidRPr="00D043A6" w:rsidRDefault="00C656B1" w:rsidP="00C656B1">
      <w:pPr>
        <w:pStyle w:val="Title"/>
      </w:pPr>
    </w:p>
    <w:p w:rsidR="00C656B1" w:rsidRPr="00D043A6" w:rsidRDefault="00C656B1" w:rsidP="00C656B1">
      <w:pPr>
        <w:pStyle w:val="Title"/>
      </w:pPr>
    </w:p>
    <w:p w:rsidR="00C656B1" w:rsidRPr="00D043A6" w:rsidRDefault="00C656B1" w:rsidP="00C656B1">
      <w:pPr>
        <w:pStyle w:val="Title"/>
      </w:pPr>
    </w:p>
    <w:p w:rsidR="00C656B1" w:rsidRPr="00D043A6" w:rsidRDefault="00C656B1" w:rsidP="00C656B1">
      <w:pPr>
        <w:pStyle w:val="Title"/>
      </w:pPr>
    </w:p>
    <w:p w:rsidR="00C656B1" w:rsidRPr="00D043A6" w:rsidRDefault="00C656B1" w:rsidP="00C656B1">
      <w:pPr>
        <w:pStyle w:val="Title"/>
      </w:pPr>
    </w:p>
    <w:p w:rsidR="00C656B1" w:rsidRPr="00D043A6" w:rsidRDefault="00C656B1" w:rsidP="00C656B1">
      <w:pPr>
        <w:pStyle w:val="Title"/>
      </w:pPr>
    </w:p>
    <w:p w:rsidR="00C656B1" w:rsidRPr="00D043A6" w:rsidRDefault="00C656B1" w:rsidP="00C656B1">
      <w:pPr>
        <w:pStyle w:val="Title"/>
      </w:pPr>
    </w:p>
    <w:p w:rsidR="00C656B1" w:rsidRPr="00D043A6" w:rsidRDefault="00C656B1" w:rsidP="00C656B1">
      <w:pPr>
        <w:pStyle w:val="Title"/>
      </w:pPr>
    </w:p>
    <w:p w:rsidR="00C656B1" w:rsidRPr="00D043A6" w:rsidRDefault="00C656B1" w:rsidP="00C656B1">
      <w:pPr>
        <w:pStyle w:val="Title"/>
      </w:pPr>
    </w:p>
    <w:p w:rsidR="00C656B1" w:rsidRPr="00D043A6" w:rsidRDefault="00C656B1" w:rsidP="00C656B1">
      <w:pPr>
        <w:pStyle w:val="Title"/>
      </w:pPr>
    </w:p>
    <w:p w:rsidR="00C656B1" w:rsidRPr="00D043A6" w:rsidRDefault="00C656B1" w:rsidP="00C656B1">
      <w:pPr>
        <w:pStyle w:val="Title"/>
      </w:pPr>
      <w:r w:rsidRPr="00D043A6">
        <w:t>Informatīvs ziņojums par ēku renovācijas finansēšanas risinājumiem</w:t>
      </w:r>
    </w:p>
    <w:p w:rsidR="00C656B1" w:rsidRPr="00D043A6" w:rsidRDefault="00C656B1"/>
    <w:p w:rsidR="00C656B1" w:rsidRPr="00D043A6" w:rsidRDefault="00C656B1">
      <w:pPr>
        <w:rPr>
          <w:rFonts w:eastAsiaTheme="majorEastAsia"/>
          <w:b/>
          <w:spacing w:val="5"/>
          <w:kern w:val="28"/>
          <w:szCs w:val="52"/>
        </w:rPr>
      </w:pPr>
      <w:r w:rsidRPr="00D043A6">
        <w:br w:type="page"/>
      </w:r>
    </w:p>
    <w:bookmarkEnd w:id="0"/>
    <w:bookmarkEnd w:id="1"/>
    <w:p w:rsidR="00D8145B" w:rsidRPr="00D043A6" w:rsidRDefault="00D8145B" w:rsidP="0031531D">
      <w:pPr>
        <w:rPr>
          <w:sz w:val="24"/>
        </w:rPr>
      </w:pPr>
    </w:p>
    <w:p w:rsidR="00D8145B" w:rsidRPr="00D043A6" w:rsidRDefault="00D8145B" w:rsidP="0031531D">
      <w:pPr>
        <w:rPr>
          <w:b/>
          <w:sz w:val="24"/>
        </w:rPr>
      </w:pPr>
      <w:r w:rsidRPr="00D043A6">
        <w:rPr>
          <w:b/>
          <w:sz w:val="24"/>
        </w:rPr>
        <w:t>Saturs</w:t>
      </w:r>
    </w:p>
    <w:p w:rsidR="00924032" w:rsidRDefault="00857105">
      <w:pPr>
        <w:pStyle w:val="TOC1"/>
        <w:rPr>
          <w:rFonts w:eastAsiaTheme="minorEastAsia" w:cstheme="minorBidi"/>
          <w:b w:val="0"/>
          <w:bCs w:val="0"/>
          <w:noProof/>
          <w:sz w:val="22"/>
          <w:szCs w:val="22"/>
          <w:lang w:eastAsia="lv-LV"/>
        </w:rPr>
      </w:pPr>
      <w:r w:rsidRPr="00D043A6">
        <w:rPr>
          <w:rFonts w:ascii="Times New Roman" w:hAnsi="Times New Roman"/>
          <w:sz w:val="22"/>
        </w:rPr>
        <w:fldChar w:fldCharType="begin"/>
      </w:r>
      <w:r w:rsidR="007142FF" w:rsidRPr="00D043A6">
        <w:rPr>
          <w:rFonts w:ascii="Times New Roman" w:hAnsi="Times New Roman"/>
          <w:sz w:val="22"/>
        </w:rPr>
        <w:instrText xml:space="preserve"> TOC \o \h \z \u </w:instrText>
      </w:r>
      <w:r w:rsidRPr="00D043A6">
        <w:rPr>
          <w:rFonts w:ascii="Times New Roman" w:hAnsi="Times New Roman"/>
          <w:sz w:val="22"/>
        </w:rPr>
        <w:fldChar w:fldCharType="separate"/>
      </w:r>
      <w:hyperlink w:anchor="_Toc353811834" w:history="1">
        <w:r w:rsidR="00924032" w:rsidRPr="00020C84">
          <w:rPr>
            <w:rStyle w:val="Hyperlink"/>
            <w:noProof/>
          </w:rPr>
          <w:t>1.</w:t>
        </w:r>
        <w:r w:rsidR="00924032">
          <w:rPr>
            <w:rFonts w:eastAsiaTheme="minorEastAsia" w:cstheme="minorBidi"/>
            <w:b w:val="0"/>
            <w:bCs w:val="0"/>
            <w:noProof/>
            <w:sz w:val="22"/>
            <w:szCs w:val="22"/>
            <w:lang w:eastAsia="lv-LV"/>
          </w:rPr>
          <w:tab/>
        </w:r>
        <w:r w:rsidR="00924032" w:rsidRPr="00020C84">
          <w:rPr>
            <w:rStyle w:val="Hyperlink"/>
            <w:noProof/>
          </w:rPr>
          <w:t>Politikas plānošanas dokumentos noteiktie sasniedzamie mērķi ēku energoefektivitātes jomā</w:t>
        </w:r>
        <w:r w:rsidR="00924032">
          <w:rPr>
            <w:noProof/>
            <w:webHidden/>
          </w:rPr>
          <w:tab/>
        </w:r>
        <w:r w:rsidR="00924032">
          <w:rPr>
            <w:noProof/>
            <w:webHidden/>
          </w:rPr>
          <w:fldChar w:fldCharType="begin"/>
        </w:r>
        <w:r w:rsidR="00924032">
          <w:rPr>
            <w:noProof/>
            <w:webHidden/>
          </w:rPr>
          <w:instrText xml:space="preserve"> PAGEREF _Toc353811834 \h </w:instrText>
        </w:r>
        <w:r w:rsidR="00924032">
          <w:rPr>
            <w:noProof/>
            <w:webHidden/>
          </w:rPr>
        </w:r>
        <w:r w:rsidR="00924032">
          <w:rPr>
            <w:noProof/>
            <w:webHidden/>
          </w:rPr>
          <w:fldChar w:fldCharType="separate"/>
        </w:r>
        <w:r w:rsidR="005D13C5">
          <w:rPr>
            <w:noProof/>
            <w:webHidden/>
          </w:rPr>
          <w:t>3</w:t>
        </w:r>
        <w:r w:rsidR="00924032">
          <w:rPr>
            <w:noProof/>
            <w:webHidden/>
          </w:rPr>
          <w:fldChar w:fldCharType="end"/>
        </w:r>
      </w:hyperlink>
    </w:p>
    <w:p w:rsidR="00924032" w:rsidRDefault="005D13C5">
      <w:pPr>
        <w:pStyle w:val="TOC1"/>
        <w:rPr>
          <w:rFonts w:eastAsiaTheme="minorEastAsia" w:cstheme="minorBidi"/>
          <w:b w:val="0"/>
          <w:bCs w:val="0"/>
          <w:noProof/>
          <w:sz w:val="22"/>
          <w:szCs w:val="22"/>
          <w:lang w:eastAsia="lv-LV"/>
        </w:rPr>
      </w:pPr>
      <w:hyperlink w:anchor="_Toc353811835" w:history="1">
        <w:r w:rsidR="00924032" w:rsidRPr="00020C84">
          <w:rPr>
            <w:rStyle w:val="Hyperlink"/>
            <w:noProof/>
          </w:rPr>
          <w:t>2.</w:t>
        </w:r>
        <w:r w:rsidR="00924032">
          <w:rPr>
            <w:rFonts w:eastAsiaTheme="minorEastAsia" w:cstheme="minorBidi"/>
            <w:b w:val="0"/>
            <w:bCs w:val="0"/>
            <w:noProof/>
            <w:sz w:val="22"/>
            <w:szCs w:val="22"/>
            <w:lang w:eastAsia="lv-LV"/>
          </w:rPr>
          <w:tab/>
        </w:r>
        <w:r w:rsidR="00924032" w:rsidRPr="00020C84">
          <w:rPr>
            <w:rStyle w:val="Hyperlink"/>
            <w:noProof/>
          </w:rPr>
          <w:t>Ēku sektora apraksts</w:t>
        </w:r>
        <w:r w:rsidR="00924032">
          <w:rPr>
            <w:noProof/>
            <w:webHidden/>
          </w:rPr>
          <w:tab/>
        </w:r>
        <w:r w:rsidR="00924032">
          <w:rPr>
            <w:noProof/>
            <w:webHidden/>
          </w:rPr>
          <w:fldChar w:fldCharType="begin"/>
        </w:r>
        <w:r w:rsidR="00924032">
          <w:rPr>
            <w:noProof/>
            <w:webHidden/>
          </w:rPr>
          <w:instrText xml:space="preserve"> PAGEREF _Toc353811835 \h </w:instrText>
        </w:r>
        <w:r w:rsidR="00924032">
          <w:rPr>
            <w:noProof/>
            <w:webHidden/>
          </w:rPr>
        </w:r>
        <w:r w:rsidR="00924032">
          <w:rPr>
            <w:noProof/>
            <w:webHidden/>
          </w:rPr>
          <w:fldChar w:fldCharType="separate"/>
        </w:r>
        <w:r>
          <w:rPr>
            <w:noProof/>
            <w:webHidden/>
          </w:rPr>
          <w:t>4</w:t>
        </w:r>
        <w:r w:rsidR="00924032">
          <w:rPr>
            <w:noProof/>
            <w:webHidden/>
          </w:rPr>
          <w:fldChar w:fldCharType="end"/>
        </w:r>
      </w:hyperlink>
    </w:p>
    <w:p w:rsidR="00924032" w:rsidRDefault="005D13C5">
      <w:pPr>
        <w:pStyle w:val="TOC2"/>
        <w:tabs>
          <w:tab w:val="left" w:pos="840"/>
          <w:tab w:val="right" w:pos="9061"/>
        </w:tabs>
        <w:rPr>
          <w:rFonts w:eastAsiaTheme="minorEastAsia" w:cstheme="minorBidi"/>
          <w:i w:val="0"/>
          <w:iCs w:val="0"/>
          <w:noProof/>
          <w:sz w:val="22"/>
          <w:szCs w:val="22"/>
          <w:lang w:eastAsia="lv-LV"/>
        </w:rPr>
      </w:pPr>
      <w:hyperlink w:anchor="_Toc353811836" w:history="1">
        <w:r w:rsidR="00924032" w:rsidRPr="00020C84">
          <w:rPr>
            <w:rStyle w:val="Hyperlink"/>
            <w:noProof/>
          </w:rPr>
          <w:t>2.1.</w:t>
        </w:r>
        <w:r w:rsidR="00924032">
          <w:rPr>
            <w:rFonts w:eastAsiaTheme="minorEastAsia" w:cstheme="minorBidi"/>
            <w:i w:val="0"/>
            <w:iCs w:val="0"/>
            <w:noProof/>
            <w:sz w:val="22"/>
            <w:szCs w:val="22"/>
            <w:lang w:eastAsia="lv-LV"/>
          </w:rPr>
          <w:tab/>
        </w:r>
        <w:r w:rsidR="00924032" w:rsidRPr="00020C84">
          <w:rPr>
            <w:rStyle w:val="Hyperlink"/>
            <w:noProof/>
          </w:rPr>
          <w:t>Dzīvojamā fonda tehniskais un energoefektivitātes raksturojums</w:t>
        </w:r>
        <w:r w:rsidR="00924032">
          <w:rPr>
            <w:noProof/>
            <w:webHidden/>
          </w:rPr>
          <w:tab/>
        </w:r>
        <w:r w:rsidR="00924032">
          <w:rPr>
            <w:noProof/>
            <w:webHidden/>
          </w:rPr>
          <w:fldChar w:fldCharType="begin"/>
        </w:r>
        <w:r w:rsidR="00924032">
          <w:rPr>
            <w:noProof/>
            <w:webHidden/>
          </w:rPr>
          <w:instrText xml:space="preserve"> PAGEREF _Toc353811836 \h </w:instrText>
        </w:r>
        <w:r w:rsidR="00924032">
          <w:rPr>
            <w:noProof/>
            <w:webHidden/>
          </w:rPr>
        </w:r>
        <w:r w:rsidR="00924032">
          <w:rPr>
            <w:noProof/>
            <w:webHidden/>
          </w:rPr>
          <w:fldChar w:fldCharType="separate"/>
        </w:r>
        <w:r>
          <w:rPr>
            <w:noProof/>
            <w:webHidden/>
          </w:rPr>
          <w:t>4</w:t>
        </w:r>
        <w:r w:rsidR="00924032">
          <w:rPr>
            <w:noProof/>
            <w:webHidden/>
          </w:rPr>
          <w:fldChar w:fldCharType="end"/>
        </w:r>
      </w:hyperlink>
    </w:p>
    <w:p w:rsidR="00924032" w:rsidRDefault="005D13C5">
      <w:pPr>
        <w:pStyle w:val="TOC2"/>
        <w:tabs>
          <w:tab w:val="left" w:pos="840"/>
          <w:tab w:val="right" w:pos="9061"/>
        </w:tabs>
        <w:rPr>
          <w:rFonts w:eastAsiaTheme="minorEastAsia" w:cstheme="minorBidi"/>
          <w:i w:val="0"/>
          <w:iCs w:val="0"/>
          <w:noProof/>
          <w:sz w:val="22"/>
          <w:szCs w:val="22"/>
          <w:lang w:eastAsia="lv-LV"/>
        </w:rPr>
      </w:pPr>
      <w:hyperlink w:anchor="_Toc353811837" w:history="1">
        <w:r w:rsidR="00924032" w:rsidRPr="00020C84">
          <w:rPr>
            <w:rStyle w:val="Hyperlink"/>
            <w:noProof/>
          </w:rPr>
          <w:t>2.2.</w:t>
        </w:r>
        <w:r w:rsidR="00924032">
          <w:rPr>
            <w:rFonts w:eastAsiaTheme="minorEastAsia" w:cstheme="minorBidi"/>
            <w:i w:val="0"/>
            <w:iCs w:val="0"/>
            <w:noProof/>
            <w:sz w:val="22"/>
            <w:szCs w:val="22"/>
            <w:lang w:eastAsia="lv-LV"/>
          </w:rPr>
          <w:tab/>
        </w:r>
        <w:r w:rsidR="00924032" w:rsidRPr="00020C84">
          <w:rPr>
            <w:rStyle w:val="Hyperlink"/>
            <w:noProof/>
          </w:rPr>
          <w:t>Dzīvojamā sektora renovācijai nepieciešamo investīciju aplēses</w:t>
        </w:r>
        <w:r w:rsidR="00924032">
          <w:rPr>
            <w:noProof/>
            <w:webHidden/>
          </w:rPr>
          <w:tab/>
        </w:r>
        <w:r w:rsidR="00924032">
          <w:rPr>
            <w:noProof/>
            <w:webHidden/>
          </w:rPr>
          <w:fldChar w:fldCharType="begin"/>
        </w:r>
        <w:r w:rsidR="00924032">
          <w:rPr>
            <w:noProof/>
            <w:webHidden/>
          </w:rPr>
          <w:instrText xml:space="preserve"> PAGEREF _Toc353811837 \h </w:instrText>
        </w:r>
        <w:r w:rsidR="00924032">
          <w:rPr>
            <w:noProof/>
            <w:webHidden/>
          </w:rPr>
        </w:r>
        <w:r w:rsidR="00924032">
          <w:rPr>
            <w:noProof/>
            <w:webHidden/>
          </w:rPr>
          <w:fldChar w:fldCharType="separate"/>
        </w:r>
        <w:r>
          <w:rPr>
            <w:noProof/>
            <w:webHidden/>
          </w:rPr>
          <w:t>9</w:t>
        </w:r>
        <w:r w:rsidR="00924032">
          <w:rPr>
            <w:noProof/>
            <w:webHidden/>
          </w:rPr>
          <w:fldChar w:fldCharType="end"/>
        </w:r>
      </w:hyperlink>
    </w:p>
    <w:p w:rsidR="00924032" w:rsidRDefault="005D13C5">
      <w:pPr>
        <w:pStyle w:val="TOC2"/>
        <w:tabs>
          <w:tab w:val="left" w:pos="840"/>
          <w:tab w:val="right" w:pos="9061"/>
        </w:tabs>
        <w:rPr>
          <w:rFonts w:eastAsiaTheme="minorEastAsia" w:cstheme="minorBidi"/>
          <w:i w:val="0"/>
          <w:iCs w:val="0"/>
          <w:noProof/>
          <w:sz w:val="22"/>
          <w:szCs w:val="22"/>
          <w:lang w:eastAsia="lv-LV"/>
        </w:rPr>
      </w:pPr>
      <w:hyperlink w:anchor="_Toc353811838" w:history="1">
        <w:r w:rsidR="00924032" w:rsidRPr="00020C84">
          <w:rPr>
            <w:rStyle w:val="Hyperlink"/>
            <w:noProof/>
          </w:rPr>
          <w:t>2.3.</w:t>
        </w:r>
        <w:r w:rsidR="00924032">
          <w:rPr>
            <w:rFonts w:eastAsiaTheme="minorEastAsia" w:cstheme="minorBidi"/>
            <w:i w:val="0"/>
            <w:iCs w:val="0"/>
            <w:noProof/>
            <w:sz w:val="22"/>
            <w:szCs w:val="22"/>
            <w:lang w:eastAsia="lv-LV"/>
          </w:rPr>
          <w:tab/>
        </w:r>
        <w:r w:rsidR="00924032" w:rsidRPr="00020C84">
          <w:rPr>
            <w:rStyle w:val="Hyperlink"/>
            <w:noProof/>
          </w:rPr>
          <w:t>Iepriekš un šobrīd pieejamie atbalsta instrumenti un to ieviešanas gaita</w:t>
        </w:r>
        <w:r w:rsidR="00924032">
          <w:rPr>
            <w:noProof/>
            <w:webHidden/>
          </w:rPr>
          <w:tab/>
        </w:r>
        <w:r w:rsidR="00924032">
          <w:rPr>
            <w:noProof/>
            <w:webHidden/>
          </w:rPr>
          <w:fldChar w:fldCharType="begin"/>
        </w:r>
        <w:r w:rsidR="00924032">
          <w:rPr>
            <w:noProof/>
            <w:webHidden/>
          </w:rPr>
          <w:instrText xml:space="preserve"> PAGEREF _Toc353811838 \h </w:instrText>
        </w:r>
        <w:r w:rsidR="00924032">
          <w:rPr>
            <w:noProof/>
            <w:webHidden/>
          </w:rPr>
        </w:r>
        <w:r w:rsidR="00924032">
          <w:rPr>
            <w:noProof/>
            <w:webHidden/>
          </w:rPr>
          <w:fldChar w:fldCharType="separate"/>
        </w:r>
        <w:r>
          <w:rPr>
            <w:noProof/>
            <w:webHidden/>
          </w:rPr>
          <w:t>10</w:t>
        </w:r>
        <w:r w:rsidR="00924032">
          <w:rPr>
            <w:noProof/>
            <w:webHidden/>
          </w:rPr>
          <w:fldChar w:fldCharType="end"/>
        </w:r>
      </w:hyperlink>
    </w:p>
    <w:p w:rsidR="00924032" w:rsidRDefault="005D13C5">
      <w:pPr>
        <w:pStyle w:val="TOC2"/>
        <w:tabs>
          <w:tab w:val="right" w:pos="9061"/>
        </w:tabs>
        <w:rPr>
          <w:rFonts w:eastAsiaTheme="minorEastAsia" w:cstheme="minorBidi"/>
          <w:i w:val="0"/>
          <w:iCs w:val="0"/>
          <w:noProof/>
          <w:sz w:val="22"/>
          <w:szCs w:val="22"/>
          <w:lang w:eastAsia="lv-LV"/>
        </w:rPr>
      </w:pPr>
      <w:hyperlink w:anchor="_Toc353811839" w:history="1">
        <w:r w:rsidR="00924032" w:rsidRPr="00020C84">
          <w:rPr>
            <w:rStyle w:val="Hyperlink"/>
            <w:noProof/>
          </w:rPr>
          <w:t>Eiropas Savienības fondi (ES fondi)</w:t>
        </w:r>
        <w:r w:rsidR="00924032">
          <w:rPr>
            <w:noProof/>
            <w:webHidden/>
          </w:rPr>
          <w:tab/>
        </w:r>
        <w:r w:rsidR="00924032">
          <w:rPr>
            <w:noProof/>
            <w:webHidden/>
          </w:rPr>
          <w:fldChar w:fldCharType="begin"/>
        </w:r>
        <w:r w:rsidR="00924032">
          <w:rPr>
            <w:noProof/>
            <w:webHidden/>
          </w:rPr>
          <w:instrText xml:space="preserve"> PAGEREF _Toc353811839 \h </w:instrText>
        </w:r>
        <w:r w:rsidR="00924032">
          <w:rPr>
            <w:noProof/>
            <w:webHidden/>
          </w:rPr>
        </w:r>
        <w:r w:rsidR="00924032">
          <w:rPr>
            <w:noProof/>
            <w:webHidden/>
          </w:rPr>
          <w:fldChar w:fldCharType="separate"/>
        </w:r>
        <w:r>
          <w:rPr>
            <w:noProof/>
            <w:webHidden/>
          </w:rPr>
          <w:t>10</w:t>
        </w:r>
        <w:r w:rsidR="00924032">
          <w:rPr>
            <w:noProof/>
            <w:webHidden/>
          </w:rPr>
          <w:fldChar w:fldCharType="end"/>
        </w:r>
      </w:hyperlink>
    </w:p>
    <w:p w:rsidR="00924032" w:rsidRDefault="005D13C5">
      <w:pPr>
        <w:pStyle w:val="TOC2"/>
        <w:tabs>
          <w:tab w:val="right" w:pos="9061"/>
        </w:tabs>
        <w:rPr>
          <w:rFonts w:eastAsiaTheme="minorEastAsia" w:cstheme="minorBidi"/>
          <w:i w:val="0"/>
          <w:iCs w:val="0"/>
          <w:noProof/>
          <w:sz w:val="22"/>
          <w:szCs w:val="22"/>
          <w:lang w:eastAsia="lv-LV"/>
        </w:rPr>
      </w:pPr>
      <w:hyperlink w:anchor="_Toc353811840" w:history="1">
        <w:r w:rsidR="00924032" w:rsidRPr="00020C84">
          <w:rPr>
            <w:rStyle w:val="Hyperlink"/>
            <w:noProof/>
          </w:rPr>
          <w:t>Klimata pārmaiņu finanšu instruments (KPFI)</w:t>
        </w:r>
        <w:r w:rsidR="00924032">
          <w:rPr>
            <w:noProof/>
            <w:webHidden/>
          </w:rPr>
          <w:tab/>
        </w:r>
        <w:r w:rsidR="00924032">
          <w:rPr>
            <w:noProof/>
            <w:webHidden/>
          </w:rPr>
          <w:fldChar w:fldCharType="begin"/>
        </w:r>
        <w:r w:rsidR="00924032">
          <w:rPr>
            <w:noProof/>
            <w:webHidden/>
          </w:rPr>
          <w:instrText xml:space="preserve"> PAGEREF _Toc353811840 \h </w:instrText>
        </w:r>
        <w:r w:rsidR="00924032">
          <w:rPr>
            <w:noProof/>
            <w:webHidden/>
          </w:rPr>
        </w:r>
        <w:r w:rsidR="00924032">
          <w:rPr>
            <w:noProof/>
            <w:webHidden/>
          </w:rPr>
          <w:fldChar w:fldCharType="separate"/>
        </w:r>
        <w:r>
          <w:rPr>
            <w:noProof/>
            <w:webHidden/>
          </w:rPr>
          <w:t>13</w:t>
        </w:r>
        <w:r w:rsidR="00924032">
          <w:rPr>
            <w:noProof/>
            <w:webHidden/>
          </w:rPr>
          <w:fldChar w:fldCharType="end"/>
        </w:r>
      </w:hyperlink>
    </w:p>
    <w:p w:rsidR="00924032" w:rsidRDefault="005D13C5">
      <w:pPr>
        <w:pStyle w:val="TOC2"/>
        <w:tabs>
          <w:tab w:val="left" w:pos="840"/>
          <w:tab w:val="right" w:pos="9061"/>
        </w:tabs>
        <w:rPr>
          <w:rFonts w:eastAsiaTheme="minorEastAsia" w:cstheme="minorBidi"/>
          <w:i w:val="0"/>
          <w:iCs w:val="0"/>
          <w:noProof/>
          <w:sz w:val="22"/>
          <w:szCs w:val="22"/>
          <w:lang w:eastAsia="lv-LV"/>
        </w:rPr>
      </w:pPr>
      <w:hyperlink w:anchor="_Toc353811841" w:history="1">
        <w:r w:rsidR="00924032" w:rsidRPr="00020C84">
          <w:rPr>
            <w:rStyle w:val="Hyperlink"/>
            <w:noProof/>
          </w:rPr>
          <w:t>2.4.</w:t>
        </w:r>
        <w:r w:rsidR="00924032">
          <w:rPr>
            <w:rFonts w:eastAsiaTheme="minorEastAsia" w:cstheme="minorBidi"/>
            <w:i w:val="0"/>
            <w:iCs w:val="0"/>
            <w:noProof/>
            <w:sz w:val="22"/>
            <w:szCs w:val="22"/>
            <w:lang w:eastAsia="lv-LV"/>
          </w:rPr>
          <w:tab/>
        </w:r>
        <w:r w:rsidR="00924032" w:rsidRPr="00020C84">
          <w:rPr>
            <w:rStyle w:val="Hyperlink"/>
            <w:noProof/>
          </w:rPr>
          <w:t>Dzīvojamā fonda piederība un īpašuma tiesību aspekti</w:t>
        </w:r>
        <w:r w:rsidR="00924032">
          <w:rPr>
            <w:noProof/>
            <w:webHidden/>
          </w:rPr>
          <w:tab/>
        </w:r>
        <w:r w:rsidR="00924032">
          <w:rPr>
            <w:noProof/>
            <w:webHidden/>
          </w:rPr>
          <w:fldChar w:fldCharType="begin"/>
        </w:r>
        <w:r w:rsidR="00924032">
          <w:rPr>
            <w:noProof/>
            <w:webHidden/>
          </w:rPr>
          <w:instrText xml:space="preserve"> PAGEREF _Toc353811841 \h </w:instrText>
        </w:r>
        <w:r w:rsidR="00924032">
          <w:rPr>
            <w:noProof/>
            <w:webHidden/>
          </w:rPr>
        </w:r>
        <w:r w:rsidR="00924032">
          <w:rPr>
            <w:noProof/>
            <w:webHidden/>
          </w:rPr>
          <w:fldChar w:fldCharType="separate"/>
        </w:r>
        <w:r>
          <w:rPr>
            <w:noProof/>
            <w:webHidden/>
          </w:rPr>
          <w:t>16</w:t>
        </w:r>
        <w:r w:rsidR="00924032">
          <w:rPr>
            <w:noProof/>
            <w:webHidden/>
          </w:rPr>
          <w:fldChar w:fldCharType="end"/>
        </w:r>
      </w:hyperlink>
    </w:p>
    <w:p w:rsidR="00924032" w:rsidRDefault="005D13C5">
      <w:pPr>
        <w:pStyle w:val="TOC2"/>
        <w:tabs>
          <w:tab w:val="right" w:pos="9061"/>
        </w:tabs>
        <w:rPr>
          <w:rFonts w:eastAsiaTheme="minorEastAsia" w:cstheme="minorBidi"/>
          <w:i w:val="0"/>
          <w:iCs w:val="0"/>
          <w:noProof/>
          <w:sz w:val="22"/>
          <w:szCs w:val="22"/>
          <w:lang w:eastAsia="lv-LV"/>
        </w:rPr>
      </w:pPr>
      <w:hyperlink w:anchor="_Toc353811842" w:history="1">
        <w:r w:rsidR="00924032" w:rsidRPr="00020C84">
          <w:rPr>
            <w:rStyle w:val="Hyperlink"/>
            <w:noProof/>
          </w:rPr>
          <w:t>Mājokļu struktūra un dzīvojamā fonda piederība</w:t>
        </w:r>
        <w:r w:rsidR="00924032">
          <w:rPr>
            <w:noProof/>
            <w:webHidden/>
          </w:rPr>
          <w:tab/>
        </w:r>
        <w:r w:rsidR="00924032">
          <w:rPr>
            <w:noProof/>
            <w:webHidden/>
          </w:rPr>
          <w:fldChar w:fldCharType="begin"/>
        </w:r>
        <w:r w:rsidR="00924032">
          <w:rPr>
            <w:noProof/>
            <w:webHidden/>
          </w:rPr>
          <w:instrText xml:space="preserve"> PAGEREF _Toc353811842 \h </w:instrText>
        </w:r>
        <w:r w:rsidR="00924032">
          <w:rPr>
            <w:noProof/>
            <w:webHidden/>
          </w:rPr>
        </w:r>
        <w:r w:rsidR="00924032">
          <w:rPr>
            <w:noProof/>
            <w:webHidden/>
          </w:rPr>
          <w:fldChar w:fldCharType="separate"/>
        </w:r>
        <w:r>
          <w:rPr>
            <w:noProof/>
            <w:webHidden/>
          </w:rPr>
          <w:t>16</w:t>
        </w:r>
        <w:r w:rsidR="00924032">
          <w:rPr>
            <w:noProof/>
            <w:webHidden/>
          </w:rPr>
          <w:fldChar w:fldCharType="end"/>
        </w:r>
      </w:hyperlink>
    </w:p>
    <w:p w:rsidR="00924032" w:rsidRDefault="005D13C5">
      <w:pPr>
        <w:pStyle w:val="TOC2"/>
        <w:tabs>
          <w:tab w:val="right" w:pos="9061"/>
        </w:tabs>
        <w:rPr>
          <w:rFonts w:eastAsiaTheme="minorEastAsia" w:cstheme="minorBidi"/>
          <w:i w:val="0"/>
          <w:iCs w:val="0"/>
          <w:noProof/>
          <w:sz w:val="22"/>
          <w:szCs w:val="22"/>
          <w:lang w:eastAsia="lv-LV"/>
        </w:rPr>
      </w:pPr>
      <w:hyperlink w:anchor="_Toc353811843" w:history="1">
        <w:r w:rsidR="00924032" w:rsidRPr="00020C84">
          <w:rPr>
            <w:rStyle w:val="Hyperlink"/>
            <w:noProof/>
          </w:rPr>
          <w:t>Īpašuma tiesību aspekti</w:t>
        </w:r>
        <w:r w:rsidR="00924032">
          <w:rPr>
            <w:noProof/>
            <w:webHidden/>
          </w:rPr>
          <w:tab/>
        </w:r>
        <w:r w:rsidR="00924032">
          <w:rPr>
            <w:noProof/>
            <w:webHidden/>
          </w:rPr>
          <w:fldChar w:fldCharType="begin"/>
        </w:r>
        <w:r w:rsidR="00924032">
          <w:rPr>
            <w:noProof/>
            <w:webHidden/>
          </w:rPr>
          <w:instrText xml:space="preserve"> PAGEREF _Toc353811843 \h </w:instrText>
        </w:r>
        <w:r w:rsidR="00924032">
          <w:rPr>
            <w:noProof/>
            <w:webHidden/>
          </w:rPr>
        </w:r>
        <w:r w:rsidR="00924032">
          <w:rPr>
            <w:noProof/>
            <w:webHidden/>
          </w:rPr>
          <w:fldChar w:fldCharType="separate"/>
        </w:r>
        <w:r>
          <w:rPr>
            <w:noProof/>
            <w:webHidden/>
          </w:rPr>
          <w:t>17</w:t>
        </w:r>
        <w:r w:rsidR="00924032">
          <w:rPr>
            <w:noProof/>
            <w:webHidden/>
          </w:rPr>
          <w:fldChar w:fldCharType="end"/>
        </w:r>
      </w:hyperlink>
    </w:p>
    <w:p w:rsidR="00924032" w:rsidRDefault="005D13C5">
      <w:pPr>
        <w:pStyle w:val="TOC2"/>
        <w:tabs>
          <w:tab w:val="left" w:pos="840"/>
          <w:tab w:val="right" w:pos="9061"/>
        </w:tabs>
        <w:rPr>
          <w:rFonts w:eastAsiaTheme="minorEastAsia" w:cstheme="minorBidi"/>
          <w:i w:val="0"/>
          <w:iCs w:val="0"/>
          <w:noProof/>
          <w:sz w:val="22"/>
          <w:szCs w:val="22"/>
          <w:lang w:eastAsia="lv-LV"/>
        </w:rPr>
      </w:pPr>
      <w:hyperlink w:anchor="_Toc353811844" w:history="1">
        <w:r w:rsidR="00924032" w:rsidRPr="00020C84">
          <w:rPr>
            <w:rStyle w:val="Hyperlink"/>
            <w:noProof/>
          </w:rPr>
          <w:t>2.5.</w:t>
        </w:r>
        <w:r w:rsidR="00924032">
          <w:rPr>
            <w:rFonts w:eastAsiaTheme="minorEastAsia" w:cstheme="minorBidi"/>
            <w:i w:val="0"/>
            <w:iCs w:val="0"/>
            <w:noProof/>
            <w:sz w:val="22"/>
            <w:szCs w:val="22"/>
            <w:lang w:eastAsia="lv-LV"/>
          </w:rPr>
          <w:tab/>
        </w:r>
        <w:r w:rsidR="00924032" w:rsidRPr="00020C84">
          <w:rPr>
            <w:rStyle w:val="Hyperlink"/>
            <w:noProof/>
          </w:rPr>
          <w:t>Nedzīvojamās ēkas</w:t>
        </w:r>
        <w:r w:rsidR="00924032">
          <w:rPr>
            <w:noProof/>
            <w:webHidden/>
          </w:rPr>
          <w:tab/>
        </w:r>
        <w:r w:rsidR="00924032">
          <w:rPr>
            <w:noProof/>
            <w:webHidden/>
          </w:rPr>
          <w:fldChar w:fldCharType="begin"/>
        </w:r>
        <w:r w:rsidR="00924032">
          <w:rPr>
            <w:noProof/>
            <w:webHidden/>
          </w:rPr>
          <w:instrText xml:space="preserve"> PAGEREF _Toc353811844 \h </w:instrText>
        </w:r>
        <w:r w:rsidR="00924032">
          <w:rPr>
            <w:noProof/>
            <w:webHidden/>
          </w:rPr>
        </w:r>
        <w:r w:rsidR="00924032">
          <w:rPr>
            <w:noProof/>
            <w:webHidden/>
          </w:rPr>
          <w:fldChar w:fldCharType="separate"/>
        </w:r>
        <w:r>
          <w:rPr>
            <w:noProof/>
            <w:webHidden/>
          </w:rPr>
          <w:t>18</w:t>
        </w:r>
        <w:r w:rsidR="00924032">
          <w:rPr>
            <w:noProof/>
            <w:webHidden/>
          </w:rPr>
          <w:fldChar w:fldCharType="end"/>
        </w:r>
      </w:hyperlink>
    </w:p>
    <w:p w:rsidR="00924032" w:rsidRDefault="005D13C5">
      <w:pPr>
        <w:pStyle w:val="TOC2"/>
        <w:tabs>
          <w:tab w:val="left" w:pos="840"/>
          <w:tab w:val="right" w:pos="9061"/>
        </w:tabs>
        <w:rPr>
          <w:rFonts w:eastAsiaTheme="minorEastAsia" w:cstheme="minorBidi"/>
          <w:i w:val="0"/>
          <w:iCs w:val="0"/>
          <w:noProof/>
          <w:sz w:val="22"/>
          <w:szCs w:val="22"/>
          <w:lang w:eastAsia="lv-LV"/>
        </w:rPr>
      </w:pPr>
      <w:hyperlink w:anchor="_Toc353811845" w:history="1">
        <w:r w:rsidR="00924032" w:rsidRPr="00020C84">
          <w:rPr>
            <w:rStyle w:val="Hyperlink"/>
            <w:noProof/>
          </w:rPr>
          <w:t>2.6.</w:t>
        </w:r>
        <w:r w:rsidR="00924032">
          <w:rPr>
            <w:rFonts w:eastAsiaTheme="minorEastAsia" w:cstheme="minorBidi"/>
            <w:i w:val="0"/>
            <w:iCs w:val="0"/>
            <w:noProof/>
            <w:sz w:val="22"/>
            <w:szCs w:val="22"/>
            <w:lang w:eastAsia="lv-LV"/>
          </w:rPr>
          <w:tab/>
        </w:r>
        <w:r w:rsidR="00924032" w:rsidRPr="00020C84">
          <w:rPr>
            <w:rStyle w:val="Hyperlink"/>
            <w:noProof/>
          </w:rPr>
          <w:t>Pasākumi publisko ēku sektorā</w:t>
        </w:r>
        <w:r w:rsidR="00924032">
          <w:rPr>
            <w:noProof/>
            <w:webHidden/>
          </w:rPr>
          <w:tab/>
        </w:r>
        <w:r w:rsidR="00924032">
          <w:rPr>
            <w:noProof/>
            <w:webHidden/>
          </w:rPr>
          <w:fldChar w:fldCharType="begin"/>
        </w:r>
        <w:r w:rsidR="00924032">
          <w:rPr>
            <w:noProof/>
            <w:webHidden/>
          </w:rPr>
          <w:instrText xml:space="preserve"> PAGEREF _Toc353811845 \h </w:instrText>
        </w:r>
        <w:r w:rsidR="00924032">
          <w:rPr>
            <w:noProof/>
            <w:webHidden/>
          </w:rPr>
        </w:r>
        <w:r w:rsidR="00924032">
          <w:rPr>
            <w:noProof/>
            <w:webHidden/>
          </w:rPr>
          <w:fldChar w:fldCharType="separate"/>
        </w:r>
        <w:r>
          <w:rPr>
            <w:noProof/>
            <w:webHidden/>
          </w:rPr>
          <w:t>20</w:t>
        </w:r>
        <w:r w:rsidR="00924032">
          <w:rPr>
            <w:noProof/>
            <w:webHidden/>
          </w:rPr>
          <w:fldChar w:fldCharType="end"/>
        </w:r>
      </w:hyperlink>
    </w:p>
    <w:p w:rsidR="00924032" w:rsidRDefault="005D13C5">
      <w:pPr>
        <w:pStyle w:val="TOC2"/>
        <w:tabs>
          <w:tab w:val="left" w:pos="840"/>
          <w:tab w:val="right" w:pos="9061"/>
        </w:tabs>
        <w:rPr>
          <w:rFonts w:eastAsiaTheme="minorEastAsia" w:cstheme="minorBidi"/>
          <w:i w:val="0"/>
          <w:iCs w:val="0"/>
          <w:noProof/>
          <w:sz w:val="22"/>
          <w:szCs w:val="22"/>
          <w:lang w:eastAsia="lv-LV"/>
        </w:rPr>
      </w:pPr>
      <w:hyperlink w:anchor="_Toc353811846" w:history="1">
        <w:r w:rsidR="00924032" w:rsidRPr="00020C84">
          <w:rPr>
            <w:rStyle w:val="Hyperlink"/>
            <w:noProof/>
          </w:rPr>
          <w:t>2.7.</w:t>
        </w:r>
        <w:r w:rsidR="00924032">
          <w:rPr>
            <w:rFonts w:eastAsiaTheme="minorEastAsia" w:cstheme="minorBidi"/>
            <w:i w:val="0"/>
            <w:iCs w:val="0"/>
            <w:noProof/>
            <w:sz w:val="22"/>
            <w:szCs w:val="22"/>
            <w:lang w:eastAsia="lv-LV"/>
          </w:rPr>
          <w:tab/>
        </w:r>
        <w:r w:rsidR="00924032" w:rsidRPr="00020C84">
          <w:rPr>
            <w:rStyle w:val="Hyperlink"/>
            <w:noProof/>
          </w:rPr>
          <w:t>Energoefektivitātes prasības ēkām</w:t>
        </w:r>
        <w:r w:rsidR="00924032">
          <w:rPr>
            <w:noProof/>
            <w:webHidden/>
          </w:rPr>
          <w:tab/>
        </w:r>
        <w:r w:rsidR="00924032">
          <w:rPr>
            <w:noProof/>
            <w:webHidden/>
          </w:rPr>
          <w:fldChar w:fldCharType="begin"/>
        </w:r>
        <w:r w:rsidR="00924032">
          <w:rPr>
            <w:noProof/>
            <w:webHidden/>
          </w:rPr>
          <w:instrText xml:space="preserve"> PAGEREF _Toc353811846 \h </w:instrText>
        </w:r>
        <w:r w:rsidR="00924032">
          <w:rPr>
            <w:noProof/>
            <w:webHidden/>
          </w:rPr>
        </w:r>
        <w:r w:rsidR="00924032">
          <w:rPr>
            <w:noProof/>
            <w:webHidden/>
          </w:rPr>
          <w:fldChar w:fldCharType="separate"/>
        </w:r>
        <w:r>
          <w:rPr>
            <w:noProof/>
            <w:webHidden/>
          </w:rPr>
          <w:t>22</w:t>
        </w:r>
        <w:r w:rsidR="00924032">
          <w:rPr>
            <w:noProof/>
            <w:webHidden/>
          </w:rPr>
          <w:fldChar w:fldCharType="end"/>
        </w:r>
      </w:hyperlink>
    </w:p>
    <w:p w:rsidR="00924032" w:rsidRDefault="005D13C5">
      <w:pPr>
        <w:pStyle w:val="TOC1"/>
        <w:rPr>
          <w:rFonts w:eastAsiaTheme="minorEastAsia" w:cstheme="minorBidi"/>
          <w:b w:val="0"/>
          <w:bCs w:val="0"/>
          <w:noProof/>
          <w:sz w:val="22"/>
          <w:szCs w:val="22"/>
          <w:lang w:eastAsia="lv-LV"/>
        </w:rPr>
      </w:pPr>
      <w:hyperlink w:anchor="_Toc353811847" w:history="1">
        <w:r w:rsidR="00924032" w:rsidRPr="00020C84">
          <w:rPr>
            <w:rStyle w:val="Hyperlink"/>
            <w:noProof/>
          </w:rPr>
          <w:t>3.</w:t>
        </w:r>
        <w:r w:rsidR="00924032">
          <w:rPr>
            <w:rFonts w:eastAsiaTheme="minorEastAsia" w:cstheme="minorBidi"/>
            <w:b w:val="0"/>
            <w:bCs w:val="0"/>
            <w:noProof/>
            <w:sz w:val="22"/>
            <w:szCs w:val="22"/>
            <w:lang w:eastAsia="lv-LV"/>
          </w:rPr>
          <w:tab/>
        </w:r>
        <w:r w:rsidR="00924032" w:rsidRPr="00020C84">
          <w:rPr>
            <w:rStyle w:val="Hyperlink"/>
            <w:noProof/>
          </w:rPr>
          <w:t>Iespējamie atbalsta instrumenti ēku energoefektivitātes uzlabošanas pasākumu īstenošanai</w:t>
        </w:r>
        <w:r w:rsidR="00924032">
          <w:rPr>
            <w:noProof/>
            <w:webHidden/>
          </w:rPr>
          <w:tab/>
        </w:r>
        <w:r w:rsidR="00924032">
          <w:rPr>
            <w:noProof/>
            <w:webHidden/>
          </w:rPr>
          <w:fldChar w:fldCharType="begin"/>
        </w:r>
        <w:r w:rsidR="00924032">
          <w:rPr>
            <w:noProof/>
            <w:webHidden/>
          </w:rPr>
          <w:instrText xml:space="preserve"> PAGEREF _Toc353811847 \h </w:instrText>
        </w:r>
        <w:r w:rsidR="00924032">
          <w:rPr>
            <w:noProof/>
            <w:webHidden/>
          </w:rPr>
        </w:r>
        <w:r w:rsidR="00924032">
          <w:rPr>
            <w:noProof/>
            <w:webHidden/>
          </w:rPr>
          <w:fldChar w:fldCharType="separate"/>
        </w:r>
        <w:r>
          <w:rPr>
            <w:noProof/>
            <w:webHidden/>
          </w:rPr>
          <w:t>25</w:t>
        </w:r>
        <w:r w:rsidR="00924032">
          <w:rPr>
            <w:noProof/>
            <w:webHidden/>
          </w:rPr>
          <w:fldChar w:fldCharType="end"/>
        </w:r>
      </w:hyperlink>
    </w:p>
    <w:p w:rsidR="00924032" w:rsidRDefault="005D13C5">
      <w:pPr>
        <w:pStyle w:val="TOC2"/>
        <w:tabs>
          <w:tab w:val="left" w:pos="840"/>
          <w:tab w:val="right" w:pos="9061"/>
        </w:tabs>
        <w:rPr>
          <w:rFonts w:eastAsiaTheme="minorEastAsia" w:cstheme="minorBidi"/>
          <w:i w:val="0"/>
          <w:iCs w:val="0"/>
          <w:noProof/>
          <w:sz w:val="22"/>
          <w:szCs w:val="22"/>
          <w:lang w:eastAsia="lv-LV"/>
        </w:rPr>
      </w:pPr>
      <w:hyperlink w:anchor="_Toc353811848" w:history="1">
        <w:r w:rsidR="00924032" w:rsidRPr="00020C84">
          <w:rPr>
            <w:rStyle w:val="Hyperlink"/>
            <w:noProof/>
          </w:rPr>
          <w:t>3.1.</w:t>
        </w:r>
        <w:r w:rsidR="00924032">
          <w:rPr>
            <w:rFonts w:eastAsiaTheme="minorEastAsia" w:cstheme="minorBidi"/>
            <w:i w:val="0"/>
            <w:iCs w:val="0"/>
            <w:noProof/>
            <w:sz w:val="22"/>
            <w:szCs w:val="22"/>
            <w:lang w:eastAsia="lv-LV"/>
          </w:rPr>
          <w:tab/>
        </w:r>
        <w:r w:rsidR="00924032" w:rsidRPr="00020C84">
          <w:rPr>
            <w:rStyle w:val="Hyperlink"/>
            <w:noProof/>
          </w:rPr>
          <w:t>Līdzfinansējums</w:t>
        </w:r>
        <w:r w:rsidR="00924032">
          <w:rPr>
            <w:noProof/>
            <w:webHidden/>
          </w:rPr>
          <w:tab/>
        </w:r>
        <w:r w:rsidR="00924032">
          <w:rPr>
            <w:noProof/>
            <w:webHidden/>
          </w:rPr>
          <w:fldChar w:fldCharType="begin"/>
        </w:r>
        <w:r w:rsidR="00924032">
          <w:rPr>
            <w:noProof/>
            <w:webHidden/>
          </w:rPr>
          <w:instrText xml:space="preserve"> PAGEREF _Toc353811848 \h </w:instrText>
        </w:r>
        <w:r w:rsidR="00924032">
          <w:rPr>
            <w:noProof/>
            <w:webHidden/>
          </w:rPr>
        </w:r>
        <w:r w:rsidR="00924032">
          <w:rPr>
            <w:noProof/>
            <w:webHidden/>
          </w:rPr>
          <w:fldChar w:fldCharType="separate"/>
        </w:r>
        <w:r>
          <w:rPr>
            <w:noProof/>
            <w:webHidden/>
          </w:rPr>
          <w:t>25</w:t>
        </w:r>
        <w:r w:rsidR="00924032">
          <w:rPr>
            <w:noProof/>
            <w:webHidden/>
          </w:rPr>
          <w:fldChar w:fldCharType="end"/>
        </w:r>
      </w:hyperlink>
    </w:p>
    <w:p w:rsidR="00924032" w:rsidRDefault="005D13C5">
      <w:pPr>
        <w:pStyle w:val="TOC2"/>
        <w:tabs>
          <w:tab w:val="left" w:pos="840"/>
          <w:tab w:val="right" w:pos="9061"/>
        </w:tabs>
        <w:rPr>
          <w:rFonts w:eastAsiaTheme="minorEastAsia" w:cstheme="minorBidi"/>
          <w:i w:val="0"/>
          <w:iCs w:val="0"/>
          <w:noProof/>
          <w:sz w:val="22"/>
          <w:szCs w:val="22"/>
          <w:lang w:eastAsia="lv-LV"/>
        </w:rPr>
      </w:pPr>
      <w:hyperlink w:anchor="_Toc353811849" w:history="1">
        <w:r w:rsidR="00924032" w:rsidRPr="00020C84">
          <w:rPr>
            <w:rStyle w:val="Hyperlink"/>
            <w:noProof/>
          </w:rPr>
          <w:t>3.2.</w:t>
        </w:r>
        <w:r w:rsidR="00924032">
          <w:rPr>
            <w:rFonts w:eastAsiaTheme="minorEastAsia" w:cstheme="minorBidi"/>
            <w:i w:val="0"/>
            <w:iCs w:val="0"/>
            <w:noProof/>
            <w:sz w:val="22"/>
            <w:szCs w:val="22"/>
            <w:lang w:eastAsia="lv-LV"/>
          </w:rPr>
          <w:tab/>
        </w:r>
        <w:r w:rsidR="00924032" w:rsidRPr="00020C84">
          <w:rPr>
            <w:rStyle w:val="Hyperlink"/>
            <w:noProof/>
          </w:rPr>
          <w:t>Pazeminātas aizdevuma procentu likmes</w:t>
        </w:r>
        <w:r w:rsidR="00924032">
          <w:rPr>
            <w:noProof/>
            <w:webHidden/>
          </w:rPr>
          <w:tab/>
        </w:r>
        <w:r w:rsidR="00924032">
          <w:rPr>
            <w:noProof/>
            <w:webHidden/>
          </w:rPr>
          <w:fldChar w:fldCharType="begin"/>
        </w:r>
        <w:r w:rsidR="00924032">
          <w:rPr>
            <w:noProof/>
            <w:webHidden/>
          </w:rPr>
          <w:instrText xml:space="preserve"> PAGEREF _Toc353811849 \h </w:instrText>
        </w:r>
        <w:r w:rsidR="00924032">
          <w:rPr>
            <w:noProof/>
            <w:webHidden/>
          </w:rPr>
        </w:r>
        <w:r w:rsidR="00924032">
          <w:rPr>
            <w:noProof/>
            <w:webHidden/>
          </w:rPr>
          <w:fldChar w:fldCharType="separate"/>
        </w:r>
        <w:r>
          <w:rPr>
            <w:noProof/>
            <w:webHidden/>
          </w:rPr>
          <w:t>26</w:t>
        </w:r>
        <w:r w:rsidR="00924032">
          <w:rPr>
            <w:noProof/>
            <w:webHidden/>
          </w:rPr>
          <w:fldChar w:fldCharType="end"/>
        </w:r>
      </w:hyperlink>
    </w:p>
    <w:p w:rsidR="00924032" w:rsidRDefault="005D13C5">
      <w:pPr>
        <w:pStyle w:val="TOC2"/>
        <w:tabs>
          <w:tab w:val="right" w:pos="9061"/>
        </w:tabs>
        <w:rPr>
          <w:rFonts w:eastAsiaTheme="minorEastAsia" w:cstheme="minorBidi"/>
          <w:i w:val="0"/>
          <w:iCs w:val="0"/>
          <w:noProof/>
          <w:sz w:val="22"/>
          <w:szCs w:val="22"/>
          <w:lang w:eastAsia="lv-LV"/>
        </w:rPr>
      </w:pPr>
      <w:hyperlink w:anchor="_Toc353811850" w:history="1">
        <w:r w:rsidR="00924032" w:rsidRPr="00020C84">
          <w:rPr>
            <w:rStyle w:val="Hyperlink"/>
            <w:noProof/>
          </w:rPr>
          <w:t>Rotācijas fonds</w:t>
        </w:r>
        <w:r w:rsidR="00924032">
          <w:rPr>
            <w:noProof/>
            <w:webHidden/>
          </w:rPr>
          <w:tab/>
        </w:r>
        <w:r w:rsidR="00924032">
          <w:rPr>
            <w:noProof/>
            <w:webHidden/>
          </w:rPr>
          <w:fldChar w:fldCharType="begin"/>
        </w:r>
        <w:r w:rsidR="00924032">
          <w:rPr>
            <w:noProof/>
            <w:webHidden/>
          </w:rPr>
          <w:instrText xml:space="preserve"> PAGEREF _Toc353811850 \h </w:instrText>
        </w:r>
        <w:r w:rsidR="00924032">
          <w:rPr>
            <w:noProof/>
            <w:webHidden/>
          </w:rPr>
        </w:r>
        <w:r w:rsidR="00924032">
          <w:rPr>
            <w:noProof/>
            <w:webHidden/>
          </w:rPr>
          <w:fldChar w:fldCharType="separate"/>
        </w:r>
        <w:r>
          <w:rPr>
            <w:noProof/>
            <w:webHidden/>
          </w:rPr>
          <w:t>27</w:t>
        </w:r>
        <w:r w:rsidR="00924032">
          <w:rPr>
            <w:noProof/>
            <w:webHidden/>
          </w:rPr>
          <w:fldChar w:fldCharType="end"/>
        </w:r>
      </w:hyperlink>
    </w:p>
    <w:p w:rsidR="00924032" w:rsidRDefault="005D13C5">
      <w:pPr>
        <w:pStyle w:val="TOC2"/>
        <w:tabs>
          <w:tab w:val="left" w:pos="840"/>
          <w:tab w:val="right" w:pos="9061"/>
        </w:tabs>
        <w:rPr>
          <w:rFonts w:eastAsiaTheme="minorEastAsia" w:cstheme="minorBidi"/>
          <w:i w:val="0"/>
          <w:iCs w:val="0"/>
          <w:noProof/>
          <w:sz w:val="22"/>
          <w:szCs w:val="22"/>
          <w:lang w:eastAsia="lv-LV"/>
        </w:rPr>
      </w:pPr>
      <w:hyperlink w:anchor="_Toc353811851" w:history="1">
        <w:r w:rsidR="00924032" w:rsidRPr="00020C84">
          <w:rPr>
            <w:rStyle w:val="Hyperlink"/>
            <w:noProof/>
          </w:rPr>
          <w:t>3.3.</w:t>
        </w:r>
        <w:r w:rsidR="00924032">
          <w:rPr>
            <w:rFonts w:eastAsiaTheme="minorEastAsia" w:cstheme="minorBidi"/>
            <w:i w:val="0"/>
            <w:iCs w:val="0"/>
            <w:noProof/>
            <w:sz w:val="22"/>
            <w:szCs w:val="22"/>
            <w:lang w:eastAsia="lv-LV"/>
          </w:rPr>
          <w:tab/>
        </w:r>
        <w:r w:rsidR="00924032" w:rsidRPr="00020C84">
          <w:rPr>
            <w:rStyle w:val="Hyperlink"/>
            <w:noProof/>
          </w:rPr>
          <w:t>Nodokļu politika un atvieglojumi</w:t>
        </w:r>
        <w:r w:rsidR="00924032">
          <w:rPr>
            <w:noProof/>
            <w:webHidden/>
          </w:rPr>
          <w:tab/>
        </w:r>
        <w:r w:rsidR="00924032">
          <w:rPr>
            <w:noProof/>
            <w:webHidden/>
          </w:rPr>
          <w:fldChar w:fldCharType="begin"/>
        </w:r>
        <w:r w:rsidR="00924032">
          <w:rPr>
            <w:noProof/>
            <w:webHidden/>
          </w:rPr>
          <w:instrText xml:space="preserve"> PAGEREF _Toc353811851 \h </w:instrText>
        </w:r>
        <w:r w:rsidR="00924032">
          <w:rPr>
            <w:noProof/>
            <w:webHidden/>
          </w:rPr>
        </w:r>
        <w:r w:rsidR="00924032">
          <w:rPr>
            <w:noProof/>
            <w:webHidden/>
          </w:rPr>
          <w:fldChar w:fldCharType="separate"/>
        </w:r>
        <w:r>
          <w:rPr>
            <w:noProof/>
            <w:webHidden/>
          </w:rPr>
          <w:t>28</w:t>
        </w:r>
        <w:r w:rsidR="00924032">
          <w:rPr>
            <w:noProof/>
            <w:webHidden/>
          </w:rPr>
          <w:fldChar w:fldCharType="end"/>
        </w:r>
      </w:hyperlink>
    </w:p>
    <w:p w:rsidR="00924032" w:rsidRDefault="005D13C5">
      <w:pPr>
        <w:pStyle w:val="TOC2"/>
        <w:tabs>
          <w:tab w:val="left" w:pos="840"/>
          <w:tab w:val="right" w:pos="9061"/>
        </w:tabs>
        <w:rPr>
          <w:rFonts w:eastAsiaTheme="minorEastAsia" w:cstheme="minorBidi"/>
          <w:i w:val="0"/>
          <w:iCs w:val="0"/>
          <w:noProof/>
          <w:sz w:val="22"/>
          <w:szCs w:val="22"/>
          <w:lang w:eastAsia="lv-LV"/>
        </w:rPr>
      </w:pPr>
      <w:hyperlink w:anchor="_Toc353811852" w:history="1">
        <w:r w:rsidR="00924032" w:rsidRPr="00020C84">
          <w:rPr>
            <w:rStyle w:val="Hyperlink"/>
            <w:noProof/>
          </w:rPr>
          <w:t>3.4.</w:t>
        </w:r>
        <w:r w:rsidR="00924032">
          <w:rPr>
            <w:rFonts w:eastAsiaTheme="minorEastAsia" w:cstheme="minorBidi"/>
            <w:i w:val="0"/>
            <w:iCs w:val="0"/>
            <w:noProof/>
            <w:sz w:val="22"/>
            <w:szCs w:val="22"/>
            <w:lang w:eastAsia="lv-LV"/>
          </w:rPr>
          <w:tab/>
        </w:r>
        <w:r w:rsidR="00924032" w:rsidRPr="00020C84">
          <w:rPr>
            <w:rStyle w:val="Hyperlink"/>
            <w:noProof/>
          </w:rPr>
          <w:t>Energoservisa pakalpojumi</w:t>
        </w:r>
        <w:r w:rsidR="00924032">
          <w:rPr>
            <w:noProof/>
            <w:webHidden/>
          </w:rPr>
          <w:tab/>
        </w:r>
        <w:r w:rsidR="00924032">
          <w:rPr>
            <w:noProof/>
            <w:webHidden/>
          </w:rPr>
          <w:fldChar w:fldCharType="begin"/>
        </w:r>
        <w:r w:rsidR="00924032">
          <w:rPr>
            <w:noProof/>
            <w:webHidden/>
          </w:rPr>
          <w:instrText xml:space="preserve"> PAGEREF _Toc353811852 \h </w:instrText>
        </w:r>
        <w:r w:rsidR="00924032">
          <w:rPr>
            <w:noProof/>
            <w:webHidden/>
          </w:rPr>
        </w:r>
        <w:r w:rsidR="00924032">
          <w:rPr>
            <w:noProof/>
            <w:webHidden/>
          </w:rPr>
          <w:fldChar w:fldCharType="separate"/>
        </w:r>
        <w:r>
          <w:rPr>
            <w:noProof/>
            <w:webHidden/>
          </w:rPr>
          <w:t>30</w:t>
        </w:r>
        <w:r w:rsidR="00924032">
          <w:rPr>
            <w:noProof/>
            <w:webHidden/>
          </w:rPr>
          <w:fldChar w:fldCharType="end"/>
        </w:r>
      </w:hyperlink>
    </w:p>
    <w:p w:rsidR="00924032" w:rsidRDefault="005D13C5">
      <w:pPr>
        <w:pStyle w:val="TOC2"/>
        <w:tabs>
          <w:tab w:val="right" w:pos="9061"/>
        </w:tabs>
        <w:rPr>
          <w:rFonts w:eastAsiaTheme="minorEastAsia" w:cstheme="minorBidi"/>
          <w:i w:val="0"/>
          <w:iCs w:val="0"/>
          <w:noProof/>
          <w:sz w:val="22"/>
          <w:szCs w:val="22"/>
          <w:lang w:eastAsia="lv-LV"/>
        </w:rPr>
      </w:pPr>
      <w:hyperlink w:anchor="_Toc353811853" w:history="1">
        <w:r w:rsidR="00924032" w:rsidRPr="00020C84">
          <w:rPr>
            <w:rStyle w:val="Hyperlink"/>
            <w:noProof/>
          </w:rPr>
          <w:t>Energoservisa kompānija (ESKO)</w:t>
        </w:r>
        <w:r w:rsidR="00924032">
          <w:rPr>
            <w:noProof/>
            <w:webHidden/>
          </w:rPr>
          <w:tab/>
        </w:r>
        <w:r w:rsidR="00924032">
          <w:rPr>
            <w:noProof/>
            <w:webHidden/>
          </w:rPr>
          <w:fldChar w:fldCharType="begin"/>
        </w:r>
        <w:r w:rsidR="00924032">
          <w:rPr>
            <w:noProof/>
            <w:webHidden/>
          </w:rPr>
          <w:instrText xml:space="preserve"> PAGEREF _Toc353811853 \h </w:instrText>
        </w:r>
        <w:r w:rsidR="00924032">
          <w:rPr>
            <w:noProof/>
            <w:webHidden/>
          </w:rPr>
        </w:r>
        <w:r w:rsidR="00924032">
          <w:rPr>
            <w:noProof/>
            <w:webHidden/>
          </w:rPr>
          <w:fldChar w:fldCharType="separate"/>
        </w:r>
        <w:r>
          <w:rPr>
            <w:noProof/>
            <w:webHidden/>
          </w:rPr>
          <w:t>30</w:t>
        </w:r>
        <w:r w:rsidR="00924032">
          <w:rPr>
            <w:noProof/>
            <w:webHidden/>
          </w:rPr>
          <w:fldChar w:fldCharType="end"/>
        </w:r>
      </w:hyperlink>
    </w:p>
    <w:p w:rsidR="00924032" w:rsidRDefault="005D13C5">
      <w:pPr>
        <w:pStyle w:val="TOC2"/>
        <w:tabs>
          <w:tab w:val="right" w:pos="9061"/>
        </w:tabs>
        <w:rPr>
          <w:rFonts w:eastAsiaTheme="minorEastAsia" w:cstheme="minorBidi"/>
          <w:i w:val="0"/>
          <w:iCs w:val="0"/>
          <w:noProof/>
          <w:sz w:val="22"/>
          <w:szCs w:val="22"/>
          <w:lang w:eastAsia="lv-LV"/>
        </w:rPr>
      </w:pPr>
      <w:hyperlink w:anchor="_Toc353811854" w:history="1">
        <w:r w:rsidR="00924032" w:rsidRPr="00020C84">
          <w:rPr>
            <w:rStyle w:val="Hyperlink"/>
            <w:noProof/>
          </w:rPr>
          <w:t>Pašvaldības energoservisa uzņēmums (PEKO)</w:t>
        </w:r>
        <w:r w:rsidR="00924032">
          <w:rPr>
            <w:noProof/>
            <w:webHidden/>
          </w:rPr>
          <w:tab/>
        </w:r>
        <w:r w:rsidR="00924032">
          <w:rPr>
            <w:noProof/>
            <w:webHidden/>
          </w:rPr>
          <w:fldChar w:fldCharType="begin"/>
        </w:r>
        <w:r w:rsidR="00924032">
          <w:rPr>
            <w:noProof/>
            <w:webHidden/>
          </w:rPr>
          <w:instrText xml:space="preserve"> PAGEREF _Toc353811854 \h </w:instrText>
        </w:r>
        <w:r w:rsidR="00924032">
          <w:rPr>
            <w:noProof/>
            <w:webHidden/>
          </w:rPr>
        </w:r>
        <w:r w:rsidR="00924032">
          <w:rPr>
            <w:noProof/>
            <w:webHidden/>
          </w:rPr>
          <w:fldChar w:fldCharType="separate"/>
        </w:r>
        <w:r>
          <w:rPr>
            <w:noProof/>
            <w:webHidden/>
          </w:rPr>
          <w:t>32</w:t>
        </w:r>
        <w:r w:rsidR="00924032">
          <w:rPr>
            <w:noProof/>
            <w:webHidden/>
          </w:rPr>
          <w:fldChar w:fldCharType="end"/>
        </w:r>
      </w:hyperlink>
    </w:p>
    <w:p w:rsidR="00924032" w:rsidRDefault="005D13C5">
      <w:pPr>
        <w:pStyle w:val="TOC2"/>
        <w:tabs>
          <w:tab w:val="left" w:pos="840"/>
          <w:tab w:val="right" w:pos="9061"/>
        </w:tabs>
        <w:rPr>
          <w:rFonts w:eastAsiaTheme="minorEastAsia" w:cstheme="minorBidi"/>
          <w:i w:val="0"/>
          <w:iCs w:val="0"/>
          <w:noProof/>
          <w:sz w:val="22"/>
          <w:szCs w:val="22"/>
          <w:lang w:eastAsia="lv-LV"/>
        </w:rPr>
      </w:pPr>
      <w:hyperlink w:anchor="_Toc353811855" w:history="1">
        <w:r w:rsidR="00924032" w:rsidRPr="00020C84">
          <w:rPr>
            <w:rStyle w:val="Hyperlink"/>
            <w:noProof/>
          </w:rPr>
          <w:t>3.5.</w:t>
        </w:r>
        <w:r w:rsidR="00924032">
          <w:rPr>
            <w:rFonts w:eastAsiaTheme="minorEastAsia" w:cstheme="minorBidi"/>
            <w:i w:val="0"/>
            <w:iCs w:val="0"/>
            <w:noProof/>
            <w:sz w:val="22"/>
            <w:szCs w:val="22"/>
            <w:lang w:eastAsia="lv-LV"/>
          </w:rPr>
          <w:tab/>
        </w:r>
        <w:r w:rsidR="00924032" w:rsidRPr="00020C84">
          <w:rPr>
            <w:rStyle w:val="Hyperlink"/>
            <w:noProof/>
          </w:rPr>
          <w:t>Riski un trūkumi dzīvojamo ēku renovācijas projektu īstenošanā</w:t>
        </w:r>
        <w:r w:rsidR="00924032">
          <w:rPr>
            <w:noProof/>
            <w:webHidden/>
          </w:rPr>
          <w:tab/>
        </w:r>
        <w:r w:rsidR="00924032">
          <w:rPr>
            <w:noProof/>
            <w:webHidden/>
          </w:rPr>
          <w:fldChar w:fldCharType="begin"/>
        </w:r>
        <w:r w:rsidR="00924032">
          <w:rPr>
            <w:noProof/>
            <w:webHidden/>
          </w:rPr>
          <w:instrText xml:space="preserve"> PAGEREF _Toc353811855 \h </w:instrText>
        </w:r>
        <w:r w:rsidR="00924032">
          <w:rPr>
            <w:noProof/>
            <w:webHidden/>
          </w:rPr>
        </w:r>
        <w:r w:rsidR="00924032">
          <w:rPr>
            <w:noProof/>
            <w:webHidden/>
          </w:rPr>
          <w:fldChar w:fldCharType="separate"/>
        </w:r>
        <w:r>
          <w:rPr>
            <w:noProof/>
            <w:webHidden/>
          </w:rPr>
          <w:t>33</w:t>
        </w:r>
        <w:r w:rsidR="00924032">
          <w:rPr>
            <w:noProof/>
            <w:webHidden/>
          </w:rPr>
          <w:fldChar w:fldCharType="end"/>
        </w:r>
      </w:hyperlink>
    </w:p>
    <w:p w:rsidR="00924032" w:rsidRDefault="005D13C5">
      <w:pPr>
        <w:pStyle w:val="TOC1"/>
        <w:rPr>
          <w:rFonts w:eastAsiaTheme="minorEastAsia" w:cstheme="minorBidi"/>
          <w:b w:val="0"/>
          <w:bCs w:val="0"/>
          <w:noProof/>
          <w:sz w:val="22"/>
          <w:szCs w:val="22"/>
          <w:lang w:eastAsia="lv-LV"/>
        </w:rPr>
      </w:pPr>
      <w:hyperlink w:anchor="_Toc353811856" w:history="1">
        <w:r w:rsidR="00924032" w:rsidRPr="00020C84">
          <w:rPr>
            <w:rStyle w:val="Hyperlink"/>
            <w:noProof/>
          </w:rPr>
          <w:t>4.</w:t>
        </w:r>
        <w:r w:rsidR="00924032">
          <w:rPr>
            <w:rFonts w:eastAsiaTheme="minorEastAsia" w:cstheme="minorBidi"/>
            <w:b w:val="0"/>
            <w:bCs w:val="0"/>
            <w:noProof/>
            <w:sz w:val="22"/>
            <w:szCs w:val="22"/>
            <w:lang w:eastAsia="lv-LV"/>
          </w:rPr>
          <w:tab/>
        </w:r>
        <w:r w:rsidR="00924032" w:rsidRPr="00020C84">
          <w:rPr>
            <w:rStyle w:val="Hyperlink"/>
            <w:noProof/>
          </w:rPr>
          <w:t>Finansēšanas avoti ēku energoefektivitātes uzlabošanas pasākumu īstenošanai</w:t>
        </w:r>
        <w:r w:rsidR="00924032">
          <w:rPr>
            <w:noProof/>
            <w:webHidden/>
          </w:rPr>
          <w:tab/>
        </w:r>
        <w:r w:rsidR="00924032">
          <w:rPr>
            <w:noProof/>
            <w:webHidden/>
          </w:rPr>
          <w:fldChar w:fldCharType="begin"/>
        </w:r>
        <w:r w:rsidR="00924032">
          <w:rPr>
            <w:noProof/>
            <w:webHidden/>
          </w:rPr>
          <w:instrText xml:space="preserve"> PAGEREF _Toc353811856 \h </w:instrText>
        </w:r>
        <w:r w:rsidR="00924032">
          <w:rPr>
            <w:noProof/>
            <w:webHidden/>
          </w:rPr>
        </w:r>
        <w:r w:rsidR="00924032">
          <w:rPr>
            <w:noProof/>
            <w:webHidden/>
          </w:rPr>
          <w:fldChar w:fldCharType="separate"/>
        </w:r>
        <w:r>
          <w:rPr>
            <w:noProof/>
            <w:webHidden/>
          </w:rPr>
          <w:t>35</w:t>
        </w:r>
        <w:r w:rsidR="00924032">
          <w:rPr>
            <w:noProof/>
            <w:webHidden/>
          </w:rPr>
          <w:fldChar w:fldCharType="end"/>
        </w:r>
      </w:hyperlink>
    </w:p>
    <w:p w:rsidR="00924032" w:rsidRDefault="005D13C5">
      <w:pPr>
        <w:pStyle w:val="TOC2"/>
        <w:tabs>
          <w:tab w:val="left" w:pos="840"/>
          <w:tab w:val="right" w:pos="9061"/>
        </w:tabs>
        <w:rPr>
          <w:rFonts w:eastAsiaTheme="minorEastAsia" w:cstheme="minorBidi"/>
          <w:i w:val="0"/>
          <w:iCs w:val="0"/>
          <w:noProof/>
          <w:sz w:val="22"/>
          <w:szCs w:val="22"/>
          <w:lang w:eastAsia="lv-LV"/>
        </w:rPr>
      </w:pPr>
      <w:hyperlink w:anchor="_Toc353811857" w:history="1">
        <w:r w:rsidR="00924032" w:rsidRPr="00020C84">
          <w:rPr>
            <w:rStyle w:val="Hyperlink"/>
            <w:noProof/>
          </w:rPr>
          <w:t>4.1.</w:t>
        </w:r>
        <w:r w:rsidR="00924032">
          <w:rPr>
            <w:rFonts w:eastAsiaTheme="minorEastAsia" w:cstheme="minorBidi"/>
            <w:i w:val="0"/>
            <w:iCs w:val="0"/>
            <w:noProof/>
            <w:sz w:val="22"/>
            <w:szCs w:val="22"/>
            <w:lang w:eastAsia="lv-LV"/>
          </w:rPr>
          <w:tab/>
        </w:r>
        <w:r w:rsidR="00924032" w:rsidRPr="00020C84">
          <w:rPr>
            <w:rStyle w:val="Hyperlink"/>
            <w:noProof/>
          </w:rPr>
          <w:t>Valsts un pašvaldību finansējums</w:t>
        </w:r>
        <w:r w:rsidR="00924032">
          <w:rPr>
            <w:noProof/>
            <w:webHidden/>
          </w:rPr>
          <w:tab/>
        </w:r>
        <w:r w:rsidR="00924032">
          <w:rPr>
            <w:noProof/>
            <w:webHidden/>
          </w:rPr>
          <w:fldChar w:fldCharType="begin"/>
        </w:r>
        <w:r w:rsidR="00924032">
          <w:rPr>
            <w:noProof/>
            <w:webHidden/>
          </w:rPr>
          <w:instrText xml:space="preserve"> PAGEREF _Toc353811857 \h </w:instrText>
        </w:r>
        <w:r w:rsidR="00924032">
          <w:rPr>
            <w:noProof/>
            <w:webHidden/>
          </w:rPr>
        </w:r>
        <w:r w:rsidR="00924032">
          <w:rPr>
            <w:noProof/>
            <w:webHidden/>
          </w:rPr>
          <w:fldChar w:fldCharType="separate"/>
        </w:r>
        <w:r>
          <w:rPr>
            <w:noProof/>
            <w:webHidden/>
          </w:rPr>
          <w:t>35</w:t>
        </w:r>
        <w:r w:rsidR="00924032">
          <w:rPr>
            <w:noProof/>
            <w:webHidden/>
          </w:rPr>
          <w:fldChar w:fldCharType="end"/>
        </w:r>
      </w:hyperlink>
    </w:p>
    <w:p w:rsidR="00924032" w:rsidRDefault="005D13C5">
      <w:pPr>
        <w:pStyle w:val="TOC2"/>
        <w:tabs>
          <w:tab w:val="left" w:pos="840"/>
          <w:tab w:val="right" w:pos="9061"/>
        </w:tabs>
        <w:rPr>
          <w:rFonts w:eastAsiaTheme="minorEastAsia" w:cstheme="minorBidi"/>
          <w:i w:val="0"/>
          <w:iCs w:val="0"/>
          <w:noProof/>
          <w:sz w:val="22"/>
          <w:szCs w:val="22"/>
          <w:lang w:eastAsia="lv-LV"/>
        </w:rPr>
      </w:pPr>
      <w:hyperlink w:anchor="_Toc353811858" w:history="1">
        <w:r w:rsidR="00924032" w:rsidRPr="00020C84">
          <w:rPr>
            <w:rStyle w:val="Hyperlink"/>
            <w:noProof/>
          </w:rPr>
          <w:t>4.2.</w:t>
        </w:r>
        <w:r w:rsidR="00924032">
          <w:rPr>
            <w:rFonts w:eastAsiaTheme="minorEastAsia" w:cstheme="minorBidi"/>
            <w:i w:val="0"/>
            <w:iCs w:val="0"/>
            <w:noProof/>
            <w:sz w:val="22"/>
            <w:szCs w:val="22"/>
            <w:lang w:eastAsia="lv-LV"/>
          </w:rPr>
          <w:tab/>
        </w:r>
        <w:r w:rsidR="00924032" w:rsidRPr="00020C84">
          <w:rPr>
            <w:rStyle w:val="Hyperlink"/>
            <w:noProof/>
          </w:rPr>
          <w:t>Eiropas Savienības finanšu resursi</w:t>
        </w:r>
        <w:r w:rsidR="00924032">
          <w:rPr>
            <w:noProof/>
            <w:webHidden/>
          </w:rPr>
          <w:tab/>
        </w:r>
        <w:r w:rsidR="00924032">
          <w:rPr>
            <w:noProof/>
            <w:webHidden/>
          </w:rPr>
          <w:fldChar w:fldCharType="begin"/>
        </w:r>
        <w:r w:rsidR="00924032">
          <w:rPr>
            <w:noProof/>
            <w:webHidden/>
          </w:rPr>
          <w:instrText xml:space="preserve"> PAGEREF _Toc353811858 \h </w:instrText>
        </w:r>
        <w:r w:rsidR="00924032">
          <w:rPr>
            <w:noProof/>
            <w:webHidden/>
          </w:rPr>
        </w:r>
        <w:r w:rsidR="00924032">
          <w:rPr>
            <w:noProof/>
            <w:webHidden/>
          </w:rPr>
          <w:fldChar w:fldCharType="separate"/>
        </w:r>
        <w:r>
          <w:rPr>
            <w:noProof/>
            <w:webHidden/>
          </w:rPr>
          <w:t>35</w:t>
        </w:r>
        <w:r w:rsidR="00924032">
          <w:rPr>
            <w:noProof/>
            <w:webHidden/>
          </w:rPr>
          <w:fldChar w:fldCharType="end"/>
        </w:r>
      </w:hyperlink>
    </w:p>
    <w:p w:rsidR="00924032" w:rsidRDefault="005D13C5">
      <w:pPr>
        <w:pStyle w:val="TOC2"/>
        <w:tabs>
          <w:tab w:val="left" w:pos="840"/>
          <w:tab w:val="right" w:pos="9061"/>
        </w:tabs>
        <w:rPr>
          <w:rFonts w:eastAsiaTheme="minorEastAsia" w:cstheme="minorBidi"/>
          <w:i w:val="0"/>
          <w:iCs w:val="0"/>
          <w:noProof/>
          <w:sz w:val="22"/>
          <w:szCs w:val="22"/>
          <w:lang w:eastAsia="lv-LV"/>
        </w:rPr>
      </w:pPr>
      <w:hyperlink w:anchor="_Toc353811859" w:history="1">
        <w:r w:rsidR="00924032" w:rsidRPr="00020C84">
          <w:rPr>
            <w:rStyle w:val="Hyperlink"/>
            <w:noProof/>
          </w:rPr>
          <w:t>4.3.</w:t>
        </w:r>
        <w:r w:rsidR="00924032">
          <w:rPr>
            <w:rFonts w:eastAsiaTheme="minorEastAsia" w:cstheme="minorBidi"/>
            <w:i w:val="0"/>
            <w:iCs w:val="0"/>
            <w:noProof/>
            <w:sz w:val="22"/>
            <w:szCs w:val="22"/>
            <w:lang w:eastAsia="lv-LV"/>
          </w:rPr>
          <w:tab/>
        </w:r>
        <w:r w:rsidR="00924032" w:rsidRPr="00020C84">
          <w:rPr>
            <w:rStyle w:val="Hyperlink"/>
            <w:noProof/>
          </w:rPr>
          <w:t>Zaļo investīciju shēmas</w:t>
        </w:r>
        <w:r w:rsidR="00924032">
          <w:rPr>
            <w:noProof/>
            <w:webHidden/>
          </w:rPr>
          <w:tab/>
        </w:r>
        <w:r w:rsidR="00924032">
          <w:rPr>
            <w:noProof/>
            <w:webHidden/>
          </w:rPr>
          <w:fldChar w:fldCharType="begin"/>
        </w:r>
        <w:r w:rsidR="00924032">
          <w:rPr>
            <w:noProof/>
            <w:webHidden/>
          </w:rPr>
          <w:instrText xml:space="preserve"> PAGEREF _Toc353811859 \h </w:instrText>
        </w:r>
        <w:r w:rsidR="00924032">
          <w:rPr>
            <w:noProof/>
            <w:webHidden/>
          </w:rPr>
        </w:r>
        <w:r w:rsidR="00924032">
          <w:rPr>
            <w:noProof/>
            <w:webHidden/>
          </w:rPr>
          <w:fldChar w:fldCharType="separate"/>
        </w:r>
        <w:r>
          <w:rPr>
            <w:noProof/>
            <w:webHidden/>
          </w:rPr>
          <w:t>37</w:t>
        </w:r>
        <w:r w:rsidR="00924032">
          <w:rPr>
            <w:noProof/>
            <w:webHidden/>
          </w:rPr>
          <w:fldChar w:fldCharType="end"/>
        </w:r>
      </w:hyperlink>
    </w:p>
    <w:p w:rsidR="00924032" w:rsidRDefault="005D13C5">
      <w:pPr>
        <w:pStyle w:val="TOC2"/>
        <w:tabs>
          <w:tab w:val="left" w:pos="840"/>
          <w:tab w:val="right" w:pos="9061"/>
        </w:tabs>
        <w:rPr>
          <w:rFonts w:eastAsiaTheme="minorEastAsia" w:cstheme="minorBidi"/>
          <w:i w:val="0"/>
          <w:iCs w:val="0"/>
          <w:noProof/>
          <w:sz w:val="22"/>
          <w:szCs w:val="22"/>
          <w:lang w:eastAsia="lv-LV"/>
        </w:rPr>
      </w:pPr>
      <w:hyperlink w:anchor="_Toc353811860" w:history="1">
        <w:r w:rsidR="00924032" w:rsidRPr="00020C84">
          <w:rPr>
            <w:rStyle w:val="Hyperlink"/>
            <w:noProof/>
          </w:rPr>
          <w:t>4.4.</w:t>
        </w:r>
        <w:r w:rsidR="00924032">
          <w:rPr>
            <w:rFonts w:eastAsiaTheme="minorEastAsia" w:cstheme="minorBidi"/>
            <w:i w:val="0"/>
            <w:iCs w:val="0"/>
            <w:noProof/>
            <w:sz w:val="22"/>
            <w:szCs w:val="22"/>
            <w:lang w:eastAsia="lv-LV"/>
          </w:rPr>
          <w:tab/>
        </w:r>
        <w:r w:rsidR="00924032" w:rsidRPr="00020C84">
          <w:rPr>
            <w:rStyle w:val="Hyperlink"/>
            <w:noProof/>
          </w:rPr>
          <w:t>Banku kredīti</w:t>
        </w:r>
        <w:r w:rsidR="00924032">
          <w:rPr>
            <w:noProof/>
            <w:webHidden/>
          </w:rPr>
          <w:tab/>
        </w:r>
        <w:r w:rsidR="00924032">
          <w:rPr>
            <w:noProof/>
            <w:webHidden/>
          </w:rPr>
          <w:fldChar w:fldCharType="begin"/>
        </w:r>
        <w:r w:rsidR="00924032">
          <w:rPr>
            <w:noProof/>
            <w:webHidden/>
          </w:rPr>
          <w:instrText xml:space="preserve"> PAGEREF _Toc353811860 \h </w:instrText>
        </w:r>
        <w:r w:rsidR="00924032">
          <w:rPr>
            <w:noProof/>
            <w:webHidden/>
          </w:rPr>
        </w:r>
        <w:r w:rsidR="00924032">
          <w:rPr>
            <w:noProof/>
            <w:webHidden/>
          </w:rPr>
          <w:fldChar w:fldCharType="separate"/>
        </w:r>
        <w:r>
          <w:rPr>
            <w:noProof/>
            <w:webHidden/>
          </w:rPr>
          <w:t>37</w:t>
        </w:r>
        <w:r w:rsidR="00924032">
          <w:rPr>
            <w:noProof/>
            <w:webHidden/>
          </w:rPr>
          <w:fldChar w:fldCharType="end"/>
        </w:r>
      </w:hyperlink>
    </w:p>
    <w:p w:rsidR="00924032" w:rsidRDefault="005D13C5">
      <w:pPr>
        <w:pStyle w:val="TOC2"/>
        <w:tabs>
          <w:tab w:val="right" w:pos="9061"/>
        </w:tabs>
        <w:rPr>
          <w:rFonts w:eastAsiaTheme="minorEastAsia" w:cstheme="minorBidi"/>
          <w:i w:val="0"/>
          <w:iCs w:val="0"/>
          <w:noProof/>
          <w:sz w:val="22"/>
          <w:szCs w:val="22"/>
          <w:lang w:eastAsia="lv-LV"/>
        </w:rPr>
      </w:pPr>
      <w:hyperlink w:anchor="_Toc353811861" w:history="1">
        <w:r w:rsidR="00924032" w:rsidRPr="00020C84">
          <w:rPr>
            <w:rStyle w:val="Hyperlink"/>
            <w:noProof/>
          </w:rPr>
          <w:t>Latvijā reģistrētas komercbankas</w:t>
        </w:r>
        <w:r w:rsidR="00924032">
          <w:rPr>
            <w:noProof/>
            <w:webHidden/>
          </w:rPr>
          <w:tab/>
        </w:r>
        <w:r w:rsidR="00924032">
          <w:rPr>
            <w:noProof/>
            <w:webHidden/>
          </w:rPr>
          <w:fldChar w:fldCharType="begin"/>
        </w:r>
        <w:r w:rsidR="00924032">
          <w:rPr>
            <w:noProof/>
            <w:webHidden/>
          </w:rPr>
          <w:instrText xml:space="preserve"> PAGEREF _Toc353811861 \h </w:instrText>
        </w:r>
        <w:r w:rsidR="00924032">
          <w:rPr>
            <w:noProof/>
            <w:webHidden/>
          </w:rPr>
        </w:r>
        <w:r w:rsidR="00924032">
          <w:rPr>
            <w:noProof/>
            <w:webHidden/>
          </w:rPr>
          <w:fldChar w:fldCharType="separate"/>
        </w:r>
        <w:r>
          <w:rPr>
            <w:noProof/>
            <w:webHidden/>
          </w:rPr>
          <w:t>37</w:t>
        </w:r>
        <w:r w:rsidR="00924032">
          <w:rPr>
            <w:noProof/>
            <w:webHidden/>
          </w:rPr>
          <w:fldChar w:fldCharType="end"/>
        </w:r>
      </w:hyperlink>
    </w:p>
    <w:p w:rsidR="00924032" w:rsidRDefault="005D13C5">
      <w:pPr>
        <w:pStyle w:val="TOC2"/>
        <w:tabs>
          <w:tab w:val="right" w:pos="9061"/>
        </w:tabs>
        <w:rPr>
          <w:rFonts w:eastAsiaTheme="minorEastAsia" w:cstheme="minorBidi"/>
          <w:i w:val="0"/>
          <w:iCs w:val="0"/>
          <w:noProof/>
          <w:sz w:val="22"/>
          <w:szCs w:val="22"/>
          <w:lang w:eastAsia="lv-LV"/>
        </w:rPr>
      </w:pPr>
      <w:hyperlink w:anchor="_Toc353811862" w:history="1">
        <w:r w:rsidR="00924032" w:rsidRPr="00020C84">
          <w:rPr>
            <w:rStyle w:val="Hyperlink"/>
            <w:noProof/>
          </w:rPr>
          <w:t>Starptautiskās bankas</w:t>
        </w:r>
        <w:r w:rsidR="00924032">
          <w:rPr>
            <w:noProof/>
            <w:webHidden/>
          </w:rPr>
          <w:tab/>
        </w:r>
        <w:r w:rsidR="00924032">
          <w:rPr>
            <w:noProof/>
            <w:webHidden/>
          </w:rPr>
          <w:fldChar w:fldCharType="begin"/>
        </w:r>
        <w:r w:rsidR="00924032">
          <w:rPr>
            <w:noProof/>
            <w:webHidden/>
          </w:rPr>
          <w:instrText xml:space="preserve"> PAGEREF _Toc353811862 \h </w:instrText>
        </w:r>
        <w:r w:rsidR="00924032">
          <w:rPr>
            <w:noProof/>
            <w:webHidden/>
          </w:rPr>
        </w:r>
        <w:r w:rsidR="00924032">
          <w:rPr>
            <w:noProof/>
            <w:webHidden/>
          </w:rPr>
          <w:fldChar w:fldCharType="separate"/>
        </w:r>
        <w:r>
          <w:rPr>
            <w:noProof/>
            <w:webHidden/>
          </w:rPr>
          <w:t>38</w:t>
        </w:r>
        <w:r w:rsidR="00924032">
          <w:rPr>
            <w:noProof/>
            <w:webHidden/>
          </w:rPr>
          <w:fldChar w:fldCharType="end"/>
        </w:r>
      </w:hyperlink>
    </w:p>
    <w:p w:rsidR="00924032" w:rsidRDefault="005D13C5">
      <w:pPr>
        <w:pStyle w:val="TOC2"/>
        <w:tabs>
          <w:tab w:val="left" w:pos="840"/>
          <w:tab w:val="right" w:pos="9061"/>
        </w:tabs>
        <w:rPr>
          <w:rFonts w:eastAsiaTheme="minorEastAsia" w:cstheme="minorBidi"/>
          <w:i w:val="0"/>
          <w:iCs w:val="0"/>
          <w:noProof/>
          <w:sz w:val="22"/>
          <w:szCs w:val="22"/>
          <w:lang w:eastAsia="lv-LV"/>
        </w:rPr>
      </w:pPr>
      <w:hyperlink w:anchor="_Toc353811863" w:history="1">
        <w:r w:rsidR="00924032" w:rsidRPr="00020C84">
          <w:rPr>
            <w:rStyle w:val="Hyperlink"/>
            <w:noProof/>
          </w:rPr>
          <w:t>4.5.</w:t>
        </w:r>
        <w:r w:rsidR="00924032">
          <w:rPr>
            <w:rFonts w:eastAsiaTheme="minorEastAsia" w:cstheme="minorBidi"/>
            <w:i w:val="0"/>
            <w:iCs w:val="0"/>
            <w:noProof/>
            <w:sz w:val="22"/>
            <w:szCs w:val="22"/>
            <w:lang w:eastAsia="lv-LV"/>
          </w:rPr>
          <w:tab/>
        </w:r>
        <w:r w:rsidR="00924032" w:rsidRPr="00020C84">
          <w:rPr>
            <w:rStyle w:val="Hyperlink"/>
            <w:noProof/>
          </w:rPr>
          <w:t>Ēku iedzīvotāju pašu finansējums</w:t>
        </w:r>
        <w:r w:rsidR="00924032">
          <w:rPr>
            <w:noProof/>
            <w:webHidden/>
          </w:rPr>
          <w:tab/>
        </w:r>
        <w:r w:rsidR="00924032">
          <w:rPr>
            <w:noProof/>
            <w:webHidden/>
          </w:rPr>
          <w:fldChar w:fldCharType="begin"/>
        </w:r>
        <w:r w:rsidR="00924032">
          <w:rPr>
            <w:noProof/>
            <w:webHidden/>
          </w:rPr>
          <w:instrText xml:space="preserve"> PAGEREF _Toc353811863 \h </w:instrText>
        </w:r>
        <w:r w:rsidR="00924032">
          <w:rPr>
            <w:noProof/>
            <w:webHidden/>
          </w:rPr>
        </w:r>
        <w:r w:rsidR="00924032">
          <w:rPr>
            <w:noProof/>
            <w:webHidden/>
          </w:rPr>
          <w:fldChar w:fldCharType="separate"/>
        </w:r>
        <w:r>
          <w:rPr>
            <w:noProof/>
            <w:webHidden/>
          </w:rPr>
          <w:t>40</w:t>
        </w:r>
        <w:r w:rsidR="00924032">
          <w:rPr>
            <w:noProof/>
            <w:webHidden/>
          </w:rPr>
          <w:fldChar w:fldCharType="end"/>
        </w:r>
      </w:hyperlink>
    </w:p>
    <w:p w:rsidR="00924032" w:rsidRDefault="005D13C5">
      <w:pPr>
        <w:pStyle w:val="TOC1"/>
        <w:rPr>
          <w:rFonts w:eastAsiaTheme="minorEastAsia" w:cstheme="minorBidi"/>
          <w:b w:val="0"/>
          <w:bCs w:val="0"/>
          <w:noProof/>
          <w:sz w:val="22"/>
          <w:szCs w:val="22"/>
          <w:lang w:eastAsia="lv-LV"/>
        </w:rPr>
      </w:pPr>
      <w:hyperlink w:anchor="_Toc353811864" w:history="1">
        <w:r w:rsidR="00924032" w:rsidRPr="00020C84">
          <w:rPr>
            <w:rStyle w:val="Hyperlink"/>
            <w:noProof/>
          </w:rPr>
          <w:t>5.</w:t>
        </w:r>
        <w:r w:rsidR="00924032">
          <w:rPr>
            <w:rFonts w:eastAsiaTheme="minorEastAsia" w:cstheme="minorBidi"/>
            <w:b w:val="0"/>
            <w:bCs w:val="0"/>
            <w:noProof/>
            <w:sz w:val="22"/>
            <w:szCs w:val="22"/>
            <w:lang w:eastAsia="lv-LV"/>
          </w:rPr>
          <w:tab/>
        </w:r>
        <w:r w:rsidR="00924032" w:rsidRPr="00020C84">
          <w:rPr>
            <w:rStyle w:val="Hyperlink"/>
            <w:noProof/>
          </w:rPr>
          <w:t>Finanšu avotu un instrumentu piemērotības izvērtējums</w:t>
        </w:r>
        <w:r w:rsidR="00924032">
          <w:rPr>
            <w:noProof/>
            <w:webHidden/>
          </w:rPr>
          <w:tab/>
        </w:r>
        <w:r w:rsidR="00924032">
          <w:rPr>
            <w:noProof/>
            <w:webHidden/>
          </w:rPr>
          <w:fldChar w:fldCharType="begin"/>
        </w:r>
        <w:r w:rsidR="00924032">
          <w:rPr>
            <w:noProof/>
            <w:webHidden/>
          </w:rPr>
          <w:instrText xml:space="preserve"> PAGEREF _Toc353811864 \h </w:instrText>
        </w:r>
        <w:r w:rsidR="00924032">
          <w:rPr>
            <w:noProof/>
            <w:webHidden/>
          </w:rPr>
        </w:r>
        <w:r w:rsidR="00924032">
          <w:rPr>
            <w:noProof/>
            <w:webHidden/>
          </w:rPr>
          <w:fldChar w:fldCharType="separate"/>
        </w:r>
        <w:r>
          <w:rPr>
            <w:noProof/>
            <w:webHidden/>
          </w:rPr>
          <w:t>41</w:t>
        </w:r>
        <w:r w:rsidR="00924032">
          <w:rPr>
            <w:noProof/>
            <w:webHidden/>
          </w:rPr>
          <w:fldChar w:fldCharType="end"/>
        </w:r>
      </w:hyperlink>
    </w:p>
    <w:p w:rsidR="00924032" w:rsidRDefault="005D13C5">
      <w:pPr>
        <w:pStyle w:val="TOC1"/>
        <w:rPr>
          <w:rFonts w:eastAsiaTheme="minorEastAsia" w:cstheme="minorBidi"/>
          <w:b w:val="0"/>
          <w:bCs w:val="0"/>
          <w:noProof/>
          <w:sz w:val="22"/>
          <w:szCs w:val="22"/>
          <w:lang w:eastAsia="lv-LV"/>
        </w:rPr>
      </w:pPr>
      <w:hyperlink w:anchor="_Toc353811865" w:history="1">
        <w:r w:rsidR="00924032" w:rsidRPr="00020C84">
          <w:rPr>
            <w:rStyle w:val="Hyperlink"/>
            <w:noProof/>
          </w:rPr>
          <w:t>6.</w:t>
        </w:r>
        <w:r w:rsidR="00924032">
          <w:rPr>
            <w:rFonts w:eastAsiaTheme="minorEastAsia" w:cstheme="minorBidi"/>
            <w:b w:val="0"/>
            <w:bCs w:val="0"/>
            <w:noProof/>
            <w:sz w:val="22"/>
            <w:szCs w:val="22"/>
            <w:lang w:eastAsia="lv-LV"/>
          </w:rPr>
          <w:tab/>
        </w:r>
        <w:r w:rsidR="00924032" w:rsidRPr="00020C84">
          <w:rPr>
            <w:rStyle w:val="Hyperlink"/>
            <w:noProof/>
          </w:rPr>
          <w:t>Secinājumi par ziņojumā aprakstīto jautājumu risināšanu</w:t>
        </w:r>
        <w:r w:rsidR="00924032">
          <w:rPr>
            <w:noProof/>
            <w:webHidden/>
          </w:rPr>
          <w:tab/>
        </w:r>
        <w:r w:rsidR="00924032">
          <w:rPr>
            <w:noProof/>
            <w:webHidden/>
          </w:rPr>
          <w:fldChar w:fldCharType="begin"/>
        </w:r>
        <w:r w:rsidR="00924032">
          <w:rPr>
            <w:noProof/>
            <w:webHidden/>
          </w:rPr>
          <w:instrText xml:space="preserve"> PAGEREF _Toc353811865 \h </w:instrText>
        </w:r>
        <w:r w:rsidR="00924032">
          <w:rPr>
            <w:noProof/>
            <w:webHidden/>
          </w:rPr>
        </w:r>
        <w:r w:rsidR="00924032">
          <w:rPr>
            <w:noProof/>
            <w:webHidden/>
          </w:rPr>
          <w:fldChar w:fldCharType="separate"/>
        </w:r>
        <w:r>
          <w:rPr>
            <w:noProof/>
            <w:webHidden/>
          </w:rPr>
          <w:t>43</w:t>
        </w:r>
        <w:r w:rsidR="00924032">
          <w:rPr>
            <w:noProof/>
            <w:webHidden/>
          </w:rPr>
          <w:fldChar w:fldCharType="end"/>
        </w:r>
      </w:hyperlink>
    </w:p>
    <w:p w:rsidR="00C26FD4" w:rsidRPr="00D043A6" w:rsidRDefault="00857105" w:rsidP="00C44B1A">
      <w:pPr>
        <w:pStyle w:val="TOC3"/>
        <w:spacing w:beforeLines="50" w:before="120" w:afterLines="50" w:after="120"/>
        <w:rPr>
          <w:rFonts w:ascii="Times New Roman" w:hAnsi="Times New Roman"/>
          <w:b/>
          <w:bCs/>
          <w:sz w:val="22"/>
        </w:rPr>
      </w:pPr>
      <w:r w:rsidRPr="00D043A6">
        <w:rPr>
          <w:rFonts w:ascii="Times New Roman" w:hAnsi="Times New Roman"/>
          <w:b/>
          <w:bCs/>
          <w:sz w:val="22"/>
        </w:rPr>
        <w:fldChar w:fldCharType="end"/>
      </w:r>
      <w:r w:rsidR="00C26FD4" w:rsidRPr="00D043A6">
        <w:br w:type="page"/>
      </w:r>
    </w:p>
    <w:p w:rsidR="00C001BF" w:rsidRPr="00D043A6" w:rsidRDefault="00C001BF" w:rsidP="00C001BF">
      <w:pPr>
        <w:ind w:firstLine="720"/>
        <w:jc w:val="both"/>
        <w:rPr>
          <w:sz w:val="24"/>
        </w:rPr>
      </w:pPr>
    </w:p>
    <w:p w:rsidR="005C3777" w:rsidRPr="00D043A6" w:rsidRDefault="005C3777" w:rsidP="00C001BF">
      <w:pPr>
        <w:ind w:firstLine="720"/>
        <w:jc w:val="both"/>
        <w:rPr>
          <w:sz w:val="24"/>
        </w:rPr>
      </w:pPr>
    </w:p>
    <w:p w:rsidR="006107EC" w:rsidRPr="00D043A6" w:rsidRDefault="00C001BF" w:rsidP="00C001BF">
      <w:pPr>
        <w:ind w:firstLine="720"/>
        <w:jc w:val="both"/>
        <w:rPr>
          <w:sz w:val="24"/>
        </w:rPr>
      </w:pPr>
      <w:r w:rsidRPr="00D043A6">
        <w:rPr>
          <w:sz w:val="24"/>
        </w:rPr>
        <w:t>Informatīvs ziņojums par ēku renovācijas finansēšanas risinājumiem (turpmāk – ziņojums) ir izstrādāt</w:t>
      </w:r>
      <w:r w:rsidR="00F57B50" w:rsidRPr="00D043A6">
        <w:rPr>
          <w:sz w:val="24"/>
        </w:rPr>
        <w:t>s</w:t>
      </w:r>
      <w:r w:rsidRPr="00D043A6">
        <w:rPr>
          <w:sz w:val="24"/>
        </w:rPr>
        <w:t xml:space="preserve">, lai </w:t>
      </w:r>
      <w:r w:rsidR="006E7CED" w:rsidRPr="00D043A6">
        <w:rPr>
          <w:sz w:val="24"/>
        </w:rPr>
        <w:t xml:space="preserve">novērtētu </w:t>
      </w:r>
      <w:r w:rsidR="008503C4" w:rsidRPr="00D043A6">
        <w:rPr>
          <w:sz w:val="24"/>
        </w:rPr>
        <w:t xml:space="preserve">iepriekš un šobrīd pieejamo atbalsta programmu ēku </w:t>
      </w:r>
      <w:r w:rsidR="006107EC" w:rsidRPr="00D043A6">
        <w:rPr>
          <w:sz w:val="24"/>
        </w:rPr>
        <w:t>energoefektivitāt</w:t>
      </w:r>
      <w:r w:rsidR="008503C4" w:rsidRPr="00D043A6">
        <w:rPr>
          <w:sz w:val="24"/>
        </w:rPr>
        <w:t>es uzlabošanai darbīb</w:t>
      </w:r>
      <w:r w:rsidR="009617C1" w:rsidRPr="00D043A6">
        <w:rPr>
          <w:sz w:val="24"/>
        </w:rPr>
        <w:t>u un</w:t>
      </w:r>
      <w:r w:rsidR="006F5A62" w:rsidRPr="00D043A6">
        <w:rPr>
          <w:sz w:val="24"/>
        </w:rPr>
        <w:t xml:space="preserve"> </w:t>
      </w:r>
      <w:r w:rsidR="006E7CED" w:rsidRPr="00D043A6">
        <w:rPr>
          <w:sz w:val="24"/>
        </w:rPr>
        <w:t>identificētu</w:t>
      </w:r>
      <w:r w:rsidR="006F5A62" w:rsidRPr="00D043A6">
        <w:rPr>
          <w:sz w:val="24"/>
        </w:rPr>
        <w:t xml:space="preserve"> riskus,</w:t>
      </w:r>
      <w:r w:rsidR="006E7CED" w:rsidRPr="00D043A6">
        <w:rPr>
          <w:sz w:val="24"/>
        </w:rPr>
        <w:t xml:space="preserve"> problēmas</w:t>
      </w:r>
      <w:r w:rsidR="006F5A62" w:rsidRPr="00D043A6">
        <w:rPr>
          <w:sz w:val="24"/>
        </w:rPr>
        <w:t>, iespējamos risinājumus un uzdevumus</w:t>
      </w:r>
      <w:r w:rsidR="006E7CED" w:rsidRPr="00D043A6">
        <w:rPr>
          <w:sz w:val="24"/>
        </w:rPr>
        <w:t xml:space="preserve"> ēku sektora, īpaši mājokļu, energoefektivitātes uzlabošana</w:t>
      </w:r>
      <w:r w:rsidR="006F5A62" w:rsidRPr="00D043A6">
        <w:rPr>
          <w:sz w:val="24"/>
        </w:rPr>
        <w:t xml:space="preserve">s </w:t>
      </w:r>
      <w:r w:rsidR="006107EC" w:rsidRPr="00D043A6">
        <w:rPr>
          <w:sz w:val="24"/>
        </w:rPr>
        <w:t>finansēšana</w:t>
      </w:r>
      <w:r w:rsidR="006F5A62" w:rsidRPr="00D043A6">
        <w:rPr>
          <w:sz w:val="24"/>
        </w:rPr>
        <w:t>i.</w:t>
      </w:r>
      <w:r w:rsidR="00437614" w:rsidRPr="00D043A6">
        <w:rPr>
          <w:sz w:val="24"/>
        </w:rPr>
        <w:t xml:space="preserve"> Attiecībā uz publiskā sektora ēkām identificēti uzdevumi, kas izriet no ES direktīvām attiecībā uz valsts un pašvaldību ēkām.</w:t>
      </w:r>
    </w:p>
    <w:p w:rsidR="00D8145B" w:rsidRPr="00D043A6" w:rsidRDefault="00D94569" w:rsidP="005B18FB">
      <w:pPr>
        <w:pStyle w:val="Heading1"/>
        <w:rPr>
          <w:sz w:val="24"/>
        </w:rPr>
      </w:pPr>
      <w:bookmarkStart w:id="2" w:name="_Toc353811834"/>
      <w:r w:rsidRPr="00D043A6">
        <w:rPr>
          <w:sz w:val="24"/>
        </w:rPr>
        <w:t>Politika</w:t>
      </w:r>
      <w:bookmarkStart w:id="3" w:name="_GoBack"/>
      <w:bookmarkEnd w:id="3"/>
      <w:r w:rsidRPr="00D043A6">
        <w:rPr>
          <w:sz w:val="24"/>
        </w:rPr>
        <w:t>s plānošanas dokumentos noteiktie sasniedzamie mērķi ēku energoefektivitātes jomā</w:t>
      </w:r>
      <w:bookmarkEnd w:id="2"/>
    </w:p>
    <w:p w:rsidR="00C26FD4" w:rsidRPr="00D043A6" w:rsidRDefault="00C26FD4" w:rsidP="00A21F74">
      <w:pPr>
        <w:ind w:firstLine="720"/>
        <w:jc w:val="both"/>
        <w:rPr>
          <w:sz w:val="24"/>
        </w:rPr>
      </w:pPr>
      <w:r w:rsidRPr="00D043A6">
        <w:rPr>
          <w:sz w:val="24"/>
        </w:rPr>
        <w:t>Ēku energoefektivitātes politika</w:t>
      </w:r>
      <w:r w:rsidR="00713417" w:rsidRPr="00D043A6">
        <w:rPr>
          <w:sz w:val="24"/>
        </w:rPr>
        <w:t xml:space="preserve"> un sasniedzamie mērķi </w:t>
      </w:r>
      <w:r w:rsidRPr="00D043A6">
        <w:rPr>
          <w:sz w:val="24"/>
        </w:rPr>
        <w:t>ir noteikt</w:t>
      </w:r>
      <w:r w:rsidR="00713417" w:rsidRPr="00D043A6">
        <w:rPr>
          <w:sz w:val="24"/>
        </w:rPr>
        <w:t>i</w:t>
      </w:r>
      <w:r w:rsidRPr="00D043A6">
        <w:rPr>
          <w:sz w:val="24"/>
        </w:rPr>
        <w:t xml:space="preserve"> šādos politikas dokumentos:</w:t>
      </w:r>
    </w:p>
    <w:p w:rsidR="00C26FD4" w:rsidRPr="00D043A6" w:rsidRDefault="00C26FD4" w:rsidP="00A21F74">
      <w:pPr>
        <w:pStyle w:val="ListParagraph"/>
        <w:numPr>
          <w:ilvl w:val="0"/>
          <w:numId w:val="8"/>
        </w:numPr>
        <w:jc w:val="both"/>
        <w:rPr>
          <w:sz w:val="24"/>
        </w:rPr>
      </w:pPr>
      <w:r w:rsidRPr="00D043A6">
        <w:rPr>
          <w:sz w:val="24"/>
        </w:rPr>
        <w:t>Enerģētikas attīstības pamatnostādnes 2007. – 2016. gadam (</w:t>
      </w:r>
      <w:r w:rsidR="008907CE" w:rsidRPr="00D043A6">
        <w:rPr>
          <w:sz w:val="24"/>
        </w:rPr>
        <w:t xml:space="preserve">apstiprinātas ar Ministru kabineta </w:t>
      </w:r>
      <w:r w:rsidRPr="00D043A6">
        <w:rPr>
          <w:sz w:val="24"/>
        </w:rPr>
        <w:t>2006.</w:t>
      </w:r>
      <w:r w:rsidR="008907CE" w:rsidRPr="00D043A6">
        <w:rPr>
          <w:sz w:val="24"/>
        </w:rPr>
        <w:t> </w:t>
      </w:r>
      <w:r w:rsidRPr="00D043A6">
        <w:rPr>
          <w:sz w:val="24"/>
        </w:rPr>
        <w:t>gada 1.</w:t>
      </w:r>
      <w:r w:rsidR="008907CE" w:rsidRPr="00D043A6">
        <w:rPr>
          <w:sz w:val="24"/>
        </w:rPr>
        <w:t> </w:t>
      </w:r>
      <w:r w:rsidRPr="00D043A6">
        <w:rPr>
          <w:sz w:val="24"/>
        </w:rPr>
        <w:t>august</w:t>
      </w:r>
      <w:r w:rsidR="008907CE" w:rsidRPr="00D043A6">
        <w:rPr>
          <w:sz w:val="24"/>
        </w:rPr>
        <w:t>a</w:t>
      </w:r>
      <w:r w:rsidRPr="00D043A6">
        <w:rPr>
          <w:sz w:val="24"/>
        </w:rPr>
        <w:t xml:space="preserve"> </w:t>
      </w:r>
      <w:r w:rsidR="008907CE" w:rsidRPr="00D043A6">
        <w:rPr>
          <w:sz w:val="24"/>
        </w:rPr>
        <w:t>rīkojumu Nr. 571</w:t>
      </w:r>
      <w:r w:rsidR="00371033" w:rsidRPr="00D043A6">
        <w:rPr>
          <w:sz w:val="24"/>
        </w:rPr>
        <w:t>, grozīts ar Ministru kabineta 2008. gada 8. maija rīkojumu Nr. 246</w:t>
      </w:r>
      <w:r w:rsidRPr="00D043A6">
        <w:rPr>
          <w:sz w:val="24"/>
        </w:rPr>
        <w:t>)</w:t>
      </w:r>
      <w:r w:rsidR="008907CE" w:rsidRPr="00D043A6">
        <w:rPr>
          <w:sz w:val="24"/>
        </w:rPr>
        <w:t>;</w:t>
      </w:r>
    </w:p>
    <w:p w:rsidR="003E3FB8" w:rsidRPr="00D043A6" w:rsidRDefault="00C26FD4" w:rsidP="00A21F74">
      <w:pPr>
        <w:pStyle w:val="ListParagraph"/>
        <w:numPr>
          <w:ilvl w:val="0"/>
          <w:numId w:val="8"/>
        </w:numPr>
        <w:jc w:val="both"/>
        <w:rPr>
          <w:sz w:val="24"/>
        </w:rPr>
      </w:pPr>
      <w:r w:rsidRPr="00D043A6">
        <w:rPr>
          <w:sz w:val="24"/>
        </w:rPr>
        <w:t>Latvijas</w:t>
      </w:r>
      <w:r w:rsidR="00161018" w:rsidRPr="00D043A6">
        <w:rPr>
          <w:sz w:val="24"/>
        </w:rPr>
        <w:t xml:space="preserve"> Republikas</w:t>
      </w:r>
      <w:r w:rsidRPr="00D043A6">
        <w:rPr>
          <w:sz w:val="24"/>
        </w:rPr>
        <w:t xml:space="preserve"> Otrais energoefektivitātes rīcības plāns 2011.-2013. gadam (</w:t>
      </w:r>
      <w:r w:rsidR="00371033" w:rsidRPr="00D043A6">
        <w:rPr>
          <w:sz w:val="24"/>
        </w:rPr>
        <w:t xml:space="preserve">apstiprināts ar </w:t>
      </w:r>
      <w:r w:rsidRPr="00D043A6">
        <w:rPr>
          <w:sz w:val="24"/>
        </w:rPr>
        <w:t>Ministru kabineta 2011. gada 16. septembra rīkojum</w:t>
      </w:r>
      <w:r w:rsidR="00371033" w:rsidRPr="00D043A6">
        <w:rPr>
          <w:sz w:val="24"/>
        </w:rPr>
        <w:t>u</w:t>
      </w:r>
      <w:r w:rsidRPr="00D043A6">
        <w:rPr>
          <w:sz w:val="24"/>
        </w:rPr>
        <w:t xml:space="preserve"> Nr. 460)</w:t>
      </w:r>
      <w:r w:rsidR="00704C27" w:rsidRPr="00D043A6">
        <w:rPr>
          <w:sz w:val="24"/>
        </w:rPr>
        <w:t>;</w:t>
      </w:r>
    </w:p>
    <w:p w:rsidR="000F2243" w:rsidRPr="00D043A6" w:rsidRDefault="003E3FB8" w:rsidP="003E3FB8">
      <w:pPr>
        <w:pStyle w:val="ListParagraph"/>
        <w:numPr>
          <w:ilvl w:val="0"/>
          <w:numId w:val="8"/>
        </w:numPr>
        <w:jc w:val="both"/>
        <w:rPr>
          <w:sz w:val="24"/>
        </w:rPr>
      </w:pPr>
      <w:r w:rsidRPr="00D043A6">
        <w:rPr>
          <w:sz w:val="24"/>
        </w:rPr>
        <w:t>Latvijas Nacionālais attīstības plāns 2014. – 2020. gadam (turpmāk – NAP) (apstiprināts ar 2012.gada 20.decembra Latvijas Republikas Saeimas lēmumu)</w:t>
      </w:r>
      <w:r w:rsidR="00E244FD" w:rsidRPr="00D043A6">
        <w:rPr>
          <w:sz w:val="24"/>
        </w:rPr>
        <w:t>;</w:t>
      </w:r>
    </w:p>
    <w:p w:rsidR="004A6B21" w:rsidRPr="00D043A6" w:rsidRDefault="000F2243" w:rsidP="000F2243">
      <w:pPr>
        <w:pStyle w:val="ListParagraph"/>
        <w:numPr>
          <w:ilvl w:val="0"/>
          <w:numId w:val="8"/>
        </w:numPr>
        <w:jc w:val="both"/>
        <w:rPr>
          <w:sz w:val="24"/>
        </w:rPr>
      </w:pPr>
      <w:r w:rsidRPr="00D043A6">
        <w:rPr>
          <w:sz w:val="24"/>
        </w:rPr>
        <w:t>Latvijas nacionālā reformu programma „ES 2020” stratēģijas īstenošanai (versija, kas Ministru kabinetā apstiprināta 2011. gada 26. aprīlī (protokols Nr. 27 34.§)</w:t>
      </w:r>
      <w:r w:rsidR="00A03EDF">
        <w:rPr>
          <w:sz w:val="24"/>
        </w:rPr>
        <w:t>)</w:t>
      </w:r>
      <w:r w:rsidR="008907CE" w:rsidRPr="00D043A6">
        <w:rPr>
          <w:sz w:val="24"/>
        </w:rPr>
        <w:t>.</w:t>
      </w:r>
    </w:p>
    <w:p w:rsidR="005E57F0" w:rsidRPr="00D043A6" w:rsidRDefault="005E57F0" w:rsidP="0080225B">
      <w:pPr>
        <w:rPr>
          <w:sz w:val="24"/>
        </w:rPr>
      </w:pPr>
    </w:p>
    <w:p w:rsidR="009B0A88" w:rsidRPr="00D043A6" w:rsidRDefault="008907CE" w:rsidP="009B0A88">
      <w:pPr>
        <w:ind w:firstLine="720"/>
        <w:jc w:val="both"/>
        <w:rPr>
          <w:sz w:val="24"/>
        </w:rPr>
      </w:pPr>
      <w:r w:rsidRPr="00D043A6">
        <w:rPr>
          <w:sz w:val="24"/>
        </w:rPr>
        <w:t>Enerģētikas attīstības pamatnostād</w:t>
      </w:r>
      <w:r w:rsidR="00C001BF" w:rsidRPr="00D043A6">
        <w:rPr>
          <w:sz w:val="24"/>
        </w:rPr>
        <w:t>ņu</w:t>
      </w:r>
      <w:r w:rsidRPr="00D043A6">
        <w:rPr>
          <w:sz w:val="24"/>
        </w:rPr>
        <w:t xml:space="preserve"> 2007. – 2016. gadam</w:t>
      </w:r>
      <w:r w:rsidR="00E13B26" w:rsidRPr="00D043A6">
        <w:rPr>
          <w:sz w:val="24"/>
        </w:rPr>
        <w:t xml:space="preserve"> </w:t>
      </w:r>
      <w:r w:rsidR="00646E25" w:rsidRPr="00D043A6">
        <w:rPr>
          <w:sz w:val="24"/>
        </w:rPr>
        <w:t>149. punktā noteikt</w:t>
      </w:r>
      <w:r w:rsidR="00E13B26" w:rsidRPr="00D043A6">
        <w:rPr>
          <w:sz w:val="24"/>
        </w:rPr>
        <w:t>i politikas sasniedzamie mērķi ēku energoefektivitātes jomā</w:t>
      </w:r>
      <w:r w:rsidR="000832B8" w:rsidRPr="00D043A6">
        <w:rPr>
          <w:sz w:val="24"/>
        </w:rPr>
        <w:t xml:space="preserve">: </w:t>
      </w:r>
      <w:r w:rsidR="00646E25" w:rsidRPr="00D043A6">
        <w:rPr>
          <w:sz w:val="24"/>
        </w:rPr>
        <w:t>„</w:t>
      </w:r>
      <w:r w:rsidR="000832B8" w:rsidRPr="00D043A6">
        <w:rPr>
          <w:sz w:val="24"/>
        </w:rPr>
        <w:t>l</w:t>
      </w:r>
      <w:r w:rsidRPr="00D043A6">
        <w:rPr>
          <w:sz w:val="24"/>
        </w:rPr>
        <w:t>aika posmā līdz 2016. gadam jāsamazina vidējais īpatnējais siltumenerģijas</w:t>
      </w:r>
      <w:r w:rsidR="00A33488" w:rsidRPr="00D043A6">
        <w:rPr>
          <w:rStyle w:val="FootnoteReference"/>
          <w:sz w:val="24"/>
        </w:rPr>
        <w:footnoteReference w:id="2"/>
      </w:r>
      <w:r w:rsidRPr="00D043A6">
        <w:rPr>
          <w:sz w:val="24"/>
        </w:rPr>
        <w:t xml:space="preserve"> patēriņš ēkās no 220-250 kWh/m</w:t>
      </w:r>
      <w:r w:rsidRPr="00D043A6">
        <w:rPr>
          <w:sz w:val="24"/>
          <w:vertAlign w:val="superscript"/>
        </w:rPr>
        <w:t>2</w:t>
      </w:r>
      <w:r w:rsidRPr="00D043A6">
        <w:rPr>
          <w:sz w:val="24"/>
        </w:rPr>
        <w:t>/gadā uz 195 kWh/m</w:t>
      </w:r>
      <w:r w:rsidRPr="00D043A6">
        <w:rPr>
          <w:sz w:val="24"/>
          <w:vertAlign w:val="superscript"/>
        </w:rPr>
        <w:t>2</w:t>
      </w:r>
      <w:r w:rsidRPr="00D043A6">
        <w:rPr>
          <w:sz w:val="24"/>
        </w:rPr>
        <w:t>/gadā. Energoefektivitātes paaugstināšanas pasākumu īstenošana ēkās būs jāturpina arī pēc šo pamatnostādņu perioda un līdz 2020.gadam jāsasniedz vidējais īpatnējais siltumenerģijas patēriņš 150 kWh/m</w:t>
      </w:r>
      <w:r w:rsidRPr="00D043A6">
        <w:rPr>
          <w:sz w:val="24"/>
          <w:vertAlign w:val="superscript"/>
        </w:rPr>
        <w:t>2</w:t>
      </w:r>
      <w:r w:rsidRPr="00D043A6">
        <w:rPr>
          <w:sz w:val="24"/>
        </w:rPr>
        <w:t>/gadā.</w:t>
      </w:r>
      <w:r w:rsidR="00646E25" w:rsidRPr="00D043A6">
        <w:rPr>
          <w:sz w:val="24"/>
        </w:rPr>
        <w:t>”</w:t>
      </w:r>
      <w:r w:rsidRPr="00D043A6">
        <w:rPr>
          <w:sz w:val="24"/>
        </w:rPr>
        <w:t xml:space="preserve"> </w:t>
      </w:r>
      <w:r w:rsidR="000832B8" w:rsidRPr="00D043A6">
        <w:rPr>
          <w:sz w:val="24"/>
        </w:rPr>
        <w:t>Lai sasniegtu politisko mērķi, 163</w:t>
      </w:r>
      <w:r w:rsidR="008A6FA9" w:rsidRPr="00D043A6">
        <w:rPr>
          <w:sz w:val="24"/>
        </w:rPr>
        <w:t>. </w:t>
      </w:r>
      <w:r w:rsidR="000832B8" w:rsidRPr="00D043A6">
        <w:rPr>
          <w:sz w:val="24"/>
        </w:rPr>
        <w:t>punktā norādīts, ka „</w:t>
      </w:r>
      <w:r w:rsidR="00646E25" w:rsidRPr="00D043A6">
        <w:rPr>
          <w:sz w:val="24"/>
        </w:rPr>
        <w:t>Atbalstam investīcijām energoefektivitātes paaugstināšanai dzīvojamajā sektorā un atjaunojamo energoresursu plašākai izmantošanai visu veidu siltumapgādē ir jābūt pieejamam neatkarīgi no īpašuma formas un patērētāju grupas (mājsaimniecība, komersants, publiskais sektors). Atbalsts investīcijām energoefektivitātes paaugstināšanai dzīvojamajā sektorā tiks sniegts saskaņā ar ēku energoaudita rezultātā izstrādāto ēkas energoefektivitātes paaugstināšanas pasākumu plānu.</w:t>
      </w:r>
      <w:r w:rsidR="000832B8" w:rsidRPr="00D043A6">
        <w:rPr>
          <w:sz w:val="24"/>
        </w:rPr>
        <w:t>”</w:t>
      </w:r>
    </w:p>
    <w:p w:rsidR="00EC5D68" w:rsidRPr="00D043A6" w:rsidRDefault="00EC5D68" w:rsidP="00EC5D68">
      <w:pPr>
        <w:ind w:firstLine="720"/>
        <w:jc w:val="both"/>
        <w:rPr>
          <w:sz w:val="24"/>
        </w:rPr>
      </w:pPr>
      <w:r w:rsidRPr="00D043A6">
        <w:rPr>
          <w:sz w:val="24"/>
        </w:rPr>
        <w:t xml:space="preserve">Mērķi, sasniedzamie rādītāji un veicamie uzdevumi ēku energoefektivitātes jomā ietverti NAP prioritātes „Tautas saimniecības izaugsme” rīcības virziena „Energoefektivitāte un enerģijas ražošana” aprakstā. NAP 192. rindkopā noteikts: „[192] Enerģija ir jāizmanto efektīvi, tādēļ šis rīcības virziens paredz pasākumus energoefektivitātes celšanai, kas ir nozīmīgs konkurētspējas veicināšanas rīks. Energoefektivitātes celšana primāri ir būtiska ražojošajā sektorā. Jāsekmē arī publisko un dzīvojamo ēku energoefektivitātes paaugstināšana.” NAP 194. rindkopā definēts mērķis „Nodrošināt tautas saimniecībai nepieciešamo energoresursu ilgtspējīgu izmantošanu, veicinot resursu tirgu pieejamību, sektoru energointensitātes un emisiju intensitātes samazināšanos un vietējo atjaunojamo </w:t>
      </w:r>
      <w:r w:rsidRPr="00D043A6">
        <w:rPr>
          <w:sz w:val="24"/>
        </w:rPr>
        <w:lastRenderedPageBreak/>
        <w:t xml:space="preserve">energoresursu īpatsvara palielināšanos kopējā patērētajā apjomā, fokusējoties uz konkurētspējīgām enerģijas cenām.” </w:t>
      </w:r>
    </w:p>
    <w:p w:rsidR="00EC5D68" w:rsidRPr="00D043A6" w:rsidRDefault="00EC5D68" w:rsidP="00EC5D68">
      <w:pPr>
        <w:ind w:firstLine="720"/>
        <w:jc w:val="both"/>
        <w:rPr>
          <w:sz w:val="24"/>
        </w:rPr>
      </w:pPr>
      <w:r w:rsidRPr="00D043A6">
        <w:rPr>
          <w:sz w:val="24"/>
        </w:rPr>
        <w:t>Ēku energoefektivitātes vecināšanai veicamie uzdevumi definēti NAP</w:t>
      </w:r>
      <w:r w:rsidR="00825A18" w:rsidRPr="00D043A6">
        <w:rPr>
          <w:sz w:val="24"/>
        </w:rPr>
        <w:t xml:space="preserve"> </w:t>
      </w:r>
      <w:r w:rsidRPr="00D043A6">
        <w:rPr>
          <w:sz w:val="24"/>
        </w:rPr>
        <w:t>20</w:t>
      </w:r>
      <w:r w:rsidR="00825A18" w:rsidRPr="00D043A6">
        <w:rPr>
          <w:sz w:val="24"/>
        </w:rPr>
        <w:t>2</w:t>
      </w:r>
      <w:r w:rsidRPr="00D043A6">
        <w:rPr>
          <w:sz w:val="24"/>
        </w:rPr>
        <w:t>. un 20</w:t>
      </w:r>
      <w:r w:rsidR="00825A18" w:rsidRPr="00D043A6">
        <w:rPr>
          <w:sz w:val="24"/>
        </w:rPr>
        <w:t>3</w:t>
      </w:r>
      <w:r w:rsidRPr="00D043A6">
        <w:rPr>
          <w:sz w:val="24"/>
        </w:rPr>
        <w:t>. punktā:</w:t>
      </w:r>
    </w:p>
    <w:p w:rsidR="00EC5D68" w:rsidRPr="00D043A6" w:rsidRDefault="00EC5D68" w:rsidP="00EC5D68">
      <w:pPr>
        <w:ind w:firstLine="720"/>
        <w:jc w:val="both"/>
        <w:rPr>
          <w:sz w:val="24"/>
        </w:rPr>
      </w:pPr>
      <w:r w:rsidRPr="00D043A6">
        <w:rPr>
          <w:sz w:val="24"/>
        </w:rPr>
        <w:t>[202] Energoefektivitātes programmas valsts un pašvaldību sabiedrisko ēku sektorā</w:t>
      </w:r>
      <w:r w:rsidR="00825A18" w:rsidRPr="00D043A6">
        <w:rPr>
          <w:sz w:val="24"/>
        </w:rPr>
        <w:t>;</w:t>
      </w:r>
    </w:p>
    <w:p w:rsidR="00825A18" w:rsidRPr="00D043A6" w:rsidRDefault="00825A18" w:rsidP="009B0A88">
      <w:pPr>
        <w:ind w:firstLine="720"/>
        <w:jc w:val="both"/>
        <w:rPr>
          <w:sz w:val="24"/>
        </w:rPr>
      </w:pPr>
      <w:r w:rsidRPr="00D043A6">
        <w:rPr>
          <w:sz w:val="24"/>
        </w:rPr>
        <w:t>[203] Atbalsta programmas dzīvojamo ēku energoefektivitātei un pārejai uz atjaunojamiem energoresursiem.</w:t>
      </w:r>
    </w:p>
    <w:p w:rsidR="009B0A88" w:rsidRPr="00D043A6" w:rsidRDefault="00A03EDF" w:rsidP="009B0A88">
      <w:pPr>
        <w:ind w:firstLine="720"/>
        <w:jc w:val="both"/>
        <w:rPr>
          <w:sz w:val="24"/>
        </w:rPr>
      </w:pPr>
      <w:r>
        <w:rPr>
          <w:sz w:val="24"/>
        </w:rPr>
        <w:t>Par uzdevumu izpildi</w:t>
      </w:r>
      <w:r w:rsidR="00EC5D68" w:rsidRPr="00D043A6">
        <w:rPr>
          <w:sz w:val="24"/>
        </w:rPr>
        <w:t xml:space="preserve"> kā atbildīgā noteikta Ekonomikas ministrija, pārējās ministrijas un pašvaldības.</w:t>
      </w:r>
    </w:p>
    <w:p w:rsidR="00EC5D68" w:rsidRPr="00D043A6" w:rsidRDefault="00EC5D68" w:rsidP="009B0A88">
      <w:pPr>
        <w:ind w:firstLine="720"/>
        <w:jc w:val="both"/>
        <w:rPr>
          <w:sz w:val="24"/>
        </w:rPr>
      </w:pPr>
    </w:p>
    <w:p w:rsidR="00CA1B2F" w:rsidRPr="00D043A6" w:rsidRDefault="00CB4D40" w:rsidP="009B0A88">
      <w:pPr>
        <w:ind w:firstLine="720"/>
        <w:jc w:val="both"/>
        <w:rPr>
          <w:sz w:val="24"/>
        </w:rPr>
      </w:pPr>
      <w:r w:rsidRPr="00CB4D40">
        <w:rPr>
          <w:sz w:val="24"/>
        </w:rPr>
        <w:t>2012. gada 27. septembrī Ekonomikas ministrija Valsts sekretāru sanāksmē ir izsludinājusi projektu „Latvijas Enerģētikas ilgtermiņa stratēģija 2030” (turpmāk – Stratēģija 2030</w:t>
      </w:r>
      <w:r w:rsidR="00A03EDF">
        <w:rPr>
          <w:sz w:val="24"/>
        </w:rPr>
        <w:t>)</w:t>
      </w:r>
      <w:r w:rsidRPr="00CB4D40">
        <w:rPr>
          <w:sz w:val="24"/>
        </w:rPr>
        <w:t xml:space="preserve"> </w:t>
      </w:r>
      <w:r w:rsidR="00A03EDF">
        <w:rPr>
          <w:sz w:val="24"/>
        </w:rPr>
        <w:t>(</w:t>
      </w:r>
      <w:r w:rsidRPr="00CB4D40">
        <w:rPr>
          <w:sz w:val="24"/>
        </w:rPr>
        <w:t>VSS-974, 2012. gada 21. februārī kā informatīvs ziņojums nosūtīta izskatīšanas Ministru kabineta komitejas sēdē), kurā noteikti galvenie enerģētikas politikas mērķi u</w:t>
      </w:r>
      <w:r w:rsidR="00A03EDF">
        <w:rPr>
          <w:sz w:val="24"/>
        </w:rPr>
        <w:t>n rīcības virzieni, tajā skaitā</w:t>
      </w:r>
      <w:r w:rsidRPr="00CB4D40">
        <w:rPr>
          <w:sz w:val="24"/>
        </w:rPr>
        <w:t xml:space="preserve"> sabiedrisko un dzīvojamo ēku energoefektivitātes paaugstināšana. Kā viens no sasniedzamajiem politikas rezultatīvajiem rādītājiem Stratēģijā 2030 paredzēts, ka līdz 2030.gadam vidējais siltumenerģijas patēriņš apkurei tiek samazināts par 50% pret pašreizējo rādītāju, kas ar klimata korekciju ir aptuveni 200 kWh/m</w:t>
      </w:r>
      <w:r w:rsidR="004003FD" w:rsidRPr="00D043A6">
        <w:rPr>
          <w:sz w:val="24"/>
          <w:vertAlign w:val="superscript"/>
        </w:rPr>
        <w:t>2</w:t>
      </w:r>
      <w:r w:rsidRPr="00CB4D40">
        <w:rPr>
          <w:sz w:val="24"/>
        </w:rPr>
        <w:t xml:space="preserve"> gadā (2009. gadā – 202 kWh/m</w:t>
      </w:r>
      <w:r w:rsidR="004003FD" w:rsidRPr="00D043A6">
        <w:rPr>
          <w:sz w:val="24"/>
          <w:vertAlign w:val="superscript"/>
        </w:rPr>
        <w:t>2</w:t>
      </w:r>
      <w:r w:rsidRPr="00CB4D40">
        <w:rPr>
          <w:sz w:val="24"/>
        </w:rPr>
        <w:t>). Pēdējo 20 gadu laikā tas ievērojami samazinājies (1990. gadā – 304 kWh/m</w:t>
      </w:r>
      <w:r w:rsidR="004003FD" w:rsidRPr="00D043A6">
        <w:rPr>
          <w:sz w:val="24"/>
          <w:vertAlign w:val="superscript"/>
        </w:rPr>
        <w:t>2</w:t>
      </w:r>
      <w:r w:rsidRPr="00CB4D40">
        <w:rPr>
          <w:sz w:val="24"/>
        </w:rPr>
        <w:t>). Šis rādītājs ir pietiekami ambiciozs, lai piesaistītu investīcijas un uzlabotu energoefektivitāti ēkās, tai pat laikā neaizmirstot par energoefektivitātes uzlabošanu ražošanas procesos, kas ir viens no konkurētspējas priekšnoteikumiem.</w:t>
      </w:r>
    </w:p>
    <w:p w:rsidR="00504C3F" w:rsidRPr="00D043A6" w:rsidRDefault="00474D5C" w:rsidP="00572F5B">
      <w:pPr>
        <w:ind w:firstLine="720"/>
        <w:jc w:val="both"/>
        <w:rPr>
          <w:sz w:val="24"/>
        </w:rPr>
      </w:pPr>
      <w:r w:rsidRPr="00D043A6">
        <w:rPr>
          <w:sz w:val="24"/>
        </w:rPr>
        <w:t>Ēku energoefektivitātes uzlabošana</w:t>
      </w:r>
      <w:r w:rsidR="00386F3C" w:rsidRPr="00D043A6">
        <w:rPr>
          <w:sz w:val="24"/>
        </w:rPr>
        <w:t xml:space="preserve">i un tajās patērētās enerģijas samazināšanai ir </w:t>
      </w:r>
      <w:r w:rsidR="00E40B61" w:rsidRPr="00D043A6">
        <w:rPr>
          <w:sz w:val="24"/>
        </w:rPr>
        <w:t>būtiska</w:t>
      </w:r>
      <w:r w:rsidR="00386F3C" w:rsidRPr="00D043A6">
        <w:rPr>
          <w:sz w:val="24"/>
        </w:rPr>
        <w:t xml:space="preserve"> loma</w:t>
      </w:r>
      <w:r w:rsidR="0044608F" w:rsidRPr="00D043A6">
        <w:rPr>
          <w:sz w:val="24"/>
        </w:rPr>
        <w:t xml:space="preserve"> </w:t>
      </w:r>
      <w:r w:rsidR="008D209E" w:rsidRPr="00D043A6">
        <w:rPr>
          <w:sz w:val="24"/>
        </w:rPr>
        <w:t xml:space="preserve">Eiropas </w:t>
      </w:r>
      <w:r w:rsidR="0044608F" w:rsidRPr="00D043A6">
        <w:rPr>
          <w:sz w:val="24"/>
        </w:rPr>
        <w:t xml:space="preserve">stratēģijā „Eiropa 2020” un </w:t>
      </w:r>
      <w:r w:rsidR="00386F3C" w:rsidRPr="00D043A6">
        <w:rPr>
          <w:sz w:val="24"/>
        </w:rPr>
        <w:t xml:space="preserve"> </w:t>
      </w:r>
      <w:r w:rsidR="008D209E" w:rsidRPr="00D043A6">
        <w:rPr>
          <w:sz w:val="24"/>
        </w:rPr>
        <w:t>„</w:t>
      </w:r>
      <w:r w:rsidR="00386F3C" w:rsidRPr="00D043A6">
        <w:rPr>
          <w:sz w:val="24"/>
        </w:rPr>
        <w:t>Eiropas enerģētikas stratēģijā 2020</w:t>
      </w:r>
      <w:r w:rsidR="008D209E" w:rsidRPr="00D043A6">
        <w:rPr>
          <w:sz w:val="24"/>
        </w:rPr>
        <w:t>”</w:t>
      </w:r>
      <w:r w:rsidR="00386F3C" w:rsidRPr="00D043A6">
        <w:rPr>
          <w:sz w:val="24"/>
        </w:rPr>
        <w:t xml:space="preserve"> definēto savstarpēji saistīto </w:t>
      </w:r>
      <w:r w:rsidR="0044608F" w:rsidRPr="00D043A6">
        <w:rPr>
          <w:sz w:val="24"/>
        </w:rPr>
        <w:t xml:space="preserve">ilgtspējīgas attīstības </w:t>
      </w:r>
      <w:r w:rsidR="00386F3C" w:rsidRPr="00D043A6">
        <w:rPr>
          <w:sz w:val="24"/>
        </w:rPr>
        <w:t>mērķu sasniegšanai</w:t>
      </w:r>
      <w:r w:rsidR="00DD6804" w:rsidRPr="00D043A6">
        <w:rPr>
          <w:sz w:val="24"/>
        </w:rPr>
        <w:t xml:space="preserve">. Eiropas Savienība ir noteikusi dalībvalstu kvantitatīvos mērķus 2020. gadam, lai par 20 %, samazinātu siltumnīcefekta gāzu izmešus, par 20% palielinātu energoefektivitāti un nodrošinātu 20 % atjaunojamos energoresursus kopējā enerģijas bruto galapatēriņā. 2010. gada 10. novembrī Eiropas Komisija pieņēma paziņojumu „Enerģētika 2020 – stratēģija konkurētspējīgai, ilgtspējīgai un drošai enerģijai”, kurā noteiktas enerģētikas prioritātes nākamajiem gadiem un </w:t>
      </w:r>
      <w:r w:rsidR="00A03EDF">
        <w:rPr>
          <w:sz w:val="24"/>
        </w:rPr>
        <w:t xml:space="preserve">kura </w:t>
      </w:r>
      <w:r w:rsidR="00DD6804" w:rsidRPr="00D043A6">
        <w:rPr>
          <w:sz w:val="24"/>
        </w:rPr>
        <w:t xml:space="preserve">paredz rīcību, kas nepieciešama enerģijas taupīšanai, droša un konkurētspējīga tirgus radīšanai, tehnoloģiju attīstībai un efektīvai sadarbībai ar starptautiskajiem partneriem. </w:t>
      </w:r>
      <w:r w:rsidR="008D209E" w:rsidRPr="00D043A6">
        <w:rPr>
          <w:sz w:val="24"/>
        </w:rPr>
        <w:t xml:space="preserve">Atbilstoši stratēģijas „Eiropa 2020” nosacījumiem dalībvalstis apstiprina nacionālās programmas. Nosacījuma izpildei  Ministru kabineta 2010. gada 16. novembra sēdē </w:t>
      </w:r>
      <w:r w:rsidR="0031204B" w:rsidRPr="00D043A6">
        <w:rPr>
          <w:sz w:val="24"/>
        </w:rPr>
        <w:t>pieņ</w:t>
      </w:r>
      <w:r w:rsidR="008D209E" w:rsidRPr="00D043A6">
        <w:rPr>
          <w:sz w:val="24"/>
        </w:rPr>
        <w:t>e</w:t>
      </w:r>
      <w:r w:rsidR="0031204B" w:rsidRPr="00D043A6">
        <w:rPr>
          <w:sz w:val="24"/>
        </w:rPr>
        <w:t>m</w:t>
      </w:r>
      <w:r w:rsidR="008D209E" w:rsidRPr="00D043A6">
        <w:rPr>
          <w:sz w:val="24"/>
        </w:rPr>
        <w:t>ta</w:t>
      </w:r>
      <w:r w:rsidR="0031204B" w:rsidRPr="00D043A6">
        <w:rPr>
          <w:sz w:val="24"/>
        </w:rPr>
        <w:t xml:space="preserve"> „Latvijas nacionālā reformu programma „ES 2020” stratēģijas īstenošanai” (prot</w:t>
      </w:r>
      <w:r w:rsidR="008D209E" w:rsidRPr="00D043A6">
        <w:rPr>
          <w:sz w:val="24"/>
        </w:rPr>
        <w:t>.</w:t>
      </w:r>
      <w:r w:rsidR="0031204B" w:rsidRPr="00D043A6">
        <w:rPr>
          <w:sz w:val="24"/>
        </w:rPr>
        <w:t xml:space="preserve"> Nr. 64, 57 §)</w:t>
      </w:r>
      <w:r w:rsidR="00DD2CBF" w:rsidRPr="00D043A6">
        <w:rPr>
          <w:sz w:val="24"/>
        </w:rPr>
        <w:t xml:space="preserve">, kurā noteikti mērķi: energoefektivitātes palielināšanai, atjaunojamās enerģijas īpatsvara palielināšanai un siltumnīcefekta gāzu emisiju samazināšanai. </w:t>
      </w:r>
    </w:p>
    <w:p w:rsidR="00691453" w:rsidRPr="00D043A6" w:rsidRDefault="00CB62D6" w:rsidP="005B18FB">
      <w:pPr>
        <w:pStyle w:val="Heading1"/>
        <w:rPr>
          <w:sz w:val="24"/>
        </w:rPr>
      </w:pPr>
      <w:r w:rsidRPr="00D043A6">
        <w:rPr>
          <w:sz w:val="24"/>
        </w:rPr>
        <w:t xml:space="preserve"> </w:t>
      </w:r>
      <w:bookmarkStart w:id="4" w:name="_Ref335139515"/>
      <w:bookmarkStart w:id="5" w:name="_Toc353811835"/>
      <w:r w:rsidRPr="00D043A6">
        <w:rPr>
          <w:sz w:val="24"/>
        </w:rPr>
        <w:t>Ēku</w:t>
      </w:r>
      <w:r w:rsidR="00D94569" w:rsidRPr="00D043A6">
        <w:rPr>
          <w:sz w:val="24"/>
        </w:rPr>
        <w:t xml:space="preserve"> sektor</w:t>
      </w:r>
      <w:r w:rsidR="00B1611C" w:rsidRPr="00D043A6">
        <w:rPr>
          <w:sz w:val="24"/>
        </w:rPr>
        <w:t>a</w:t>
      </w:r>
      <w:r w:rsidR="0031531D" w:rsidRPr="00D043A6">
        <w:rPr>
          <w:sz w:val="24"/>
        </w:rPr>
        <w:t xml:space="preserve"> </w:t>
      </w:r>
      <w:r w:rsidR="007A5285" w:rsidRPr="00D043A6">
        <w:rPr>
          <w:sz w:val="24"/>
        </w:rPr>
        <w:t>apraksts</w:t>
      </w:r>
      <w:bookmarkEnd w:id="4"/>
      <w:bookmarkEnd w:id="5"/>
    </w:p>
    <w:p w:rsidR="0031531D" w:rsidRPr="00D043A6" w:rsidRDefault="00572F5B" w:rsidP="00023621">
      <w:pPr>
        <w:pStyle w:val="Heading2"/>
      </w:pPr>
      <w:bookmarkStart w:id="6" w:name="_Toc353811836"/>
      <w:r w:rsidRPr="00D043A6">
        <w:t xml:space="preserve">Dzīvojamā fonda tehniskais un </w:t>
      </w:r>
      <w:r w:rsidR="00471908" w:rsidRPr="00D043A6">
        <w:t xml:space="preserve">energoefektivitātes </w:t>
      </w:r>
      <w:r w:rsidR="00D94569" w:rsidRPr="00D043A6">
        <w:t>raksturojums</w:t>
      </w:r>
      <w:bookmarkEnd w:id="6"/>
    </w:p>
    <w:p w:rsidR="002516C6" w:rsidRPr="00D043A6" w:rsidRDefault="003C7DD5" w:rsidP="005E13CB">
      <w:pPr>
        <w:keepLines/>
        <w:ind w:firstLine="720"/>
        <w:jc w:val="both"/>
        <w:rPr>
          <w:sz w:val="24"/>
        </w:rPr>
      </w:pPr>
      <w:r w:rsidRPr="00D043A6">
        <w:rPr>
          <w:sz w:val="24"/>
          <w:szCs w:val="24"/>
          <w:lang w:eastAsia="lv-LV"/>
        </w:rPr>
        <w:t xml:space="preserve">Ēku sektorā patērētā enerģija </w:t>
      </w:r>
      <w:r w:rsidR="00A21F74" w:rsidRPr="00D043A6">
        <w:rPr>
          <w:sz w:val="24"/>
          <w:szCs w:val="24"/>
          <w:lang w:eastAsia="lv-LV"/>
        </w:rPr>
        <w:t>veido</w:t>
      </w:r>
      <w:r w:rsidRPr="00D043A6">
        <w:rPr>
          <w:sz w:val="24"/>
          <w:szCs w:val="24"/>
          <w:lang w:eastAsia="lv-LV"/>
        </w:rPr>
        <w:t xml:space="preserve"> līdz 40% no visas energobilances</w:t>
      </w:r>
      <w:r w:rsidR="00A7502C" w:rsidRPr="00D043A6">
        <w:rPr>
          <w:sz w:val="24"/>
          <w:szCs w:val="24"/>
          <w:lang w:eastAsia="lv-LV"/>
        </w:rPr>
        <w:t>, tādēļ ēku sektors ietver ievērojam</w:t>
      </w:r>
      <w:r w:rsidR="00A03EDF">
        <w:rPr>
          <w:sz w:val="24"/>
          <w:szCs w:val="24"/>
          <w:lang w:eastAsia="lv-LV"/>
        </w:rPr>
        <w:t>u</w:t>
      </w:r>
      <w:r w:rsidR="00A7502C" w:rsidRPr="00D043A6">
        <w:rPr>
          <w:sz w:val="24"/>
          <w:szCs w:val="24"/>
          <w:lang w:eastAsia="lv-LV"/>
        </w:rPr>
        <w:t xml:space="preserve"> potenciālu kopējo energoefektivitātes mērķu sasniegšanā.</w:t>
      </w:r>
      <w:r w:rsidRPr="00D043A6">
        <w:rPr>
          <w:sz w:val="24"/>
          <w:szCs w:val="24"/>
          <w:lang w:eastAsia="lv-LV"/>
        </w:rPr>
        <w:t xml:space="preserve"> Lielāka</w:t>
      </w:r>
      <w:r w:rsidR="00A03EDF">
        <w:rPr>
          <w:sz w:val="24"/>
          <w:szCs w:val="24"/>
          <w:lang w:eastAsia="lv-LV"/>
        </w:rPr>
        <w:t>jai daļai esošo ēku</w:t>
      </w:r>
      <w:r w:rsidRPr="00D043A6">
        <w:rPr>
          <w:sz w:val="24"/>
          <w:szCs w:val="24"/>
          <w:lang w:eastAsia="lv-LV"/>
        </w:rPr>
        <w:t xml:space="preserve"> ir augsts energoresursu patēriņš</w:t>
      </w:r>
      <w:r w:rsidR="00A03EDF">
        <w:rPr>
          <w:sz w:val="24"/>
          <w:szCs w:val="24"/>
          <w:lang w:eastAsia="lv-LV"/>
        </w:rPr>
        <w:t>,</w:t>
      </w:r>
      <w:r w:rsidRPr="00D043A6">
        <w:rPr>
          <w:sz w:val="24"/>
          <w:szCs w:val="24"/>
          <w:lang w:eastAsia="lv-LV"/>
        </w:rPr>
        <w:t xml:space="preserve"> un tām ir būtiski zemākas siltumtehniskās īpašības</w:t>
      </w:r>
      <w:r w:rsidR="00A03EDF">
        <w:rPr>
          <w:sz w:val="24"/>
          <w:szCs w:val="24"/>
          <w:lang w:eastAsia="lv-LV"/>
        </w:rPr>
        <w:t>,</w:t>
      </w:r>
      <w:r w:rsidRPr="00D043A6">
        <w:rPr>
          <w:sz w:val="24"/>
          <w:szCs w:val="24"/>
          <w:lang w:eastAsia="lv-LV"/>
        </w:rPr>
        <w:t xml:space="preserve"> nekā var nodrošināt ar šobrīd pieejamām tehnoloģijām. Vairums no šīm ēkām tiks ekspluatētas vēl ievērojamu laika periodu, līdz ar to aktuāla ir šo ēku pakāpeniska renovācija</w:t>
      </w:r>
      <w:r w:rsidR="00A03EDF">
        <w:rPr>
          <w:sz w:val="24"/>
          <w:szCs w:val="24"/>
          <w:lang w:eastAsia="lv-LV"/>
        </w:rPr>
        <w:t>,</w:t>
      </w:r>
      <w:r w:rsidRPr="00D043A6">
        <w:rPr>
          <w:sz w:val="24"/>
          <w:szCs w:val="24"/>
          <w:lang w:eastAsia="lv-LV"/>
        </w:rPr>
        <w:t xml:space="preserve"> uzlabojot to energoefektivitāti.</w:t>
      </w:r>
      <w:r w:rsidR="005E13CB" w:rsidRPr="00D043A6">
        <w:rPr>
          <w:sz w:val="24"/>
        </w:rPr>
        <w:t xml:space="preserve"> </w:t>
      </w:r>
    </w:p>
    <w:p w:rsidR="009D6B81" w:rsidRPr="00D043A6" w:rsidRDefault="003C7DD5" w:rsidP="00A64C52">
      <w:pPr>
        <w:widowControl w:val="0"/>
        <w:ind w:firstLine="720"/>
        <w:jc w:val="both"/>
        <w:rPr>
          <w:sz w:val="24"/>
        </w:rPr>
      </w:pPr>
      <w:r w:rsidRPr="00D043A6">
        <w:rPr>
          <w:iCs/>
          <w:sz w:val="24"/>
          <w:szCs w:val="24"/>
        </w:rPr>
        <w:t xml:space="preserve">Nekustamā īpašuma valsts kadastra informācijas sistēmā (NĪVK IS) reģistrētas 1,35 </w:t>
      </w:r>
      <w:r w:rsidRPr="00D043A6">
        <w:rPr>
          <w:iCs/>
          <w:sz w:val="24"/>
          <w:szCs w:val="24"/>
        </w:rPr>
        <w:lastRenderedPageBreak/>
        <w:t>miljoni ēkas, kuru kopējā platība ir 198 milj. m</w:t>
      </w:r>
      <w:r w:rsidRPr="00D043A6">
        <w:rPr>
          <w:iCs/>
          <w:sz w:val="24"/>
          <w:szCs w:val="24"/>
          <w:vertAlign w:val="superscript"/>
        </w:rPr>
        <w:t>2</w:t>
      </w:r>
      <w:r w:rsidRPr="00D043A6">
        <w:rPr>
          <w:iCs/>
          <w:sz w:val="24"/>
          <w:szCs w:val="24"/>
        </w:rPr>
        <w:t>, t.sk. dažāda tipa palīgēkas. No kopējā ēku skaita aptuveni 400 tūkstoš</w:t>
      </w:r>
      <w:r w:rsidR="00A21F74" w:rsidRPr="00D043A6">
        <w:rPr>
          <w:iCs/>
          <w:sz w:val="24"/>
          <w:szCs w:val="24"/>
        </w:rPr>
        <w:t>os</w:t>
      </w:r>
      <w:r w:rsidRPr="00D043A6">
        <w:rPr>
          <w:iCs/>
          <w:sz w:val="24"/>
          <w:szCs w:val="24"/>
        </w:rPr>
        <w:t xml:space="preserve"> ēkās enerģiju izmanto iekštelpu mikroklimata regulēšanai (tiek apsildītas)</w:t>
      </w:r>
      <w:r w:rsidR="00CB62D6" w:rsidRPr="00D043A6">
        <w:rPr>
          <w:iCs/>
          <w:sz w:val="24"/>
          <w:szCs w:val="24"/>
        </w:rPr>
        <w:t>, no tām 352,4 tūkstoši ar kopējo platību 86,</w:t>
      </w:r>
      <w:r w:rsidR="00AD4730" w:rsidRPr="00D043A6">
        <w:rPr>
          <w:iCs/>
          <w:sz w:val="24"/>
          <w:szCs w:val="24"/>
        </w:rPr>
        <w:t>9</w:t>
      </w:r>
      <w:r w:rsidR="00CB62D6" w:rsidRPr="00D043A6">
        <w:rPr>
          <w:iCs/>
          <w:sz w:val="24"/>
          <w:szCs w:val="24"/>
        </w:rPr>
        <w:t xml:space="preserve"> miljoni kvadrātmetru</w:t>
      </w:r>
      <w:r w:rsidR="009B0A88" w:rsidRPr="00D043A6">
        <w:rPr>
          <w:rStyle w:val="FootnoteReference"/>
          <w:iCs/>
          <w:sz w:val="24"/>
          <w:szCs w:val="24"/>
        </w:rPr>
        <w:footnoteReference w:id="3"/>
      </w:r>
      <w:r w:rsidR="00CB62D6" w:rsidRPr="00D043A6">
        <w:rPr>
          <w:iCs/>
          <w:sz w:val="24"/>
          <w:szCs w:val="24"/>
        </w:rPr>
        <w:t xml:space="preserve"> ir dzīvojamās mājas.</w:t>
      </w:r>
      <w:r w:rsidR="00C0101E" w:rsidRPr="00D043A6">
        <w:rPr>
          <w:iCs/>
          <w:sz w:val="24"/>
          <w:szCs w:val="24"/>
        </w:rPr>
        <w:t xml:space="preserve"> </w:t>
      </w:r>
      <w:r w:rsidR="00CE1995" w:rsidRPr="00D043A6">
        <w:rPr>
          <w:sz w:val="24"/>
          <w:szCs w:val="24"/>
          <w:lang w:eastAsia="lv-LV"/>
        </w:rPr>
        <w:t xml:space="preserve">Pēc skaita visvairāk – 85% </w:t>
      </w:r>
      <w:r w:rsidR="00A03EDF">
        <w:rPr>
          <w:sz w:val="24"/>
          <w:szCs w:val="24"/>
          <w:lang w:eastAsia="lv-LV"/>
        </w:rPr>
        <w:t xml:space="preserve">- </w:t>
      </w:r>
      <w:r w:rsidR="00CE1995" w:rsidRPr="00D043A6">
        <w:rPr>
          <w:sz w:val="24"/>
          <w:szCs w:val="24"/>
          <w:lang w:eastAsia="lv-LV"/>
        </w:rPr>
        <w:t>ir viena dzīvokļa ēkas (30</w:t>
      </w:r>
      <w:r w:rsidR="007F2587">
        <w:rPr>
          <w:sz w:val="24"/>
          <w:szCs w:val="24"/>
          <w:lang w:eastAsia="lv-LV"/>
        </w:rPr>
        <w:t>0.7 tūkstoši), taču pēc platības</w:t>
      </w:r>
      <w:r w:rsidR="00CE1995" w:rsidRPr="00D043A6">
        <w:rPr>
          <w:sz w:val="24"/>
          <w:szCs w:val="24"/>
          <w:lang w:eastAsia="lv-LV"/>
        </w:rPr>
        <w:t xml:space="preserve"> </w:t>
      </w:r>
      <w:r w:rsidR="00CA0673" w:rsidRPr="00D043A6">
        <w:rPr>
          <w:sz w:val="24"/>
          <w:szCs w:val="24"/>
          <w:lang w:eastAsia="lv-LV"/>
        </w:rPr>
        <w:t xml:space="preserve">viena dzīvokļa ēku īpatsvars ir tikai 39% un </w:t>
      </w:r>
      <w:r w:rsidR="007F2587">
        <w:rPr>
          <w:sz w:val="24"/>
          <w:szCs w:val="24"/>
          <w:lang w:eastAsia="lv-LV"/>
        </w:rPr>
        <w:t>liel</w:t>
      </w:r>
      <w:r w:rsidR="00CE1995" w:rsidRPr="00D043A6">
        <w:rPr>
          <w:sz w:val="24"/>
          <w:szCs w:val="24"/>
          <w:lang w:eastAsia="lv-LV"/>
        </w:rPr>
        <w:t xml:space="preserve">āko īpatsvaru </w:t>
      </w:r>
      <w:r w:rsidR="00CA0673" w:rsidRPr="00D043A6">
        <w:rPr>
          <w:sz w:val="24"/>
          <w:szCs w:val="24"/>
          <w:lang w:eastAsia="lv-LV"/>
        </w:rPr>
        <w:t>–</w:t>
      </w:r>
      <w:r w:rsidR="00CE1995" w:rsidRPr="00D043A6">
        <w:rPr>
          <w:sz w:val="24"/>
          <w:szCs w:val="24"/>
          <w:lang w:eastAsia="lv-LV"/>
        </w:rPr>
        <w:t xml:space="preserve"> </w:t>
      </w:r>
      <w:r w:rsidR="00CA0673" w:rsidRPr="00D043A6">
        <w:rPr>
          <w:sz w:val="24"/>
          <w:szCs w:val="24"/>
          <w:lang w:eastAsia="lv-LV"/>
        </w:rPr>
        <w:t xml:space="preserve">58% </w:t>
      </w:r>
      <w:r w:rsidR="007F2587">
        <w:rPr>
          <w:sz w:val="24"/>
          <w:szCs w:val="24"/>
          <w:lang w:eastAsia="lv-LV"/>
        </w:rPr>
        <w:t xml:space="preserve">- </w:t>
      </w:r>
      <w:r w:rsidR="00A21F74" w:rsidRPr="00D043A6">
        <w:rPr>
          <w:sz w:val="24"/>
          <w:szCs w:val="24"/>
          <w:lang w:eastAsia="lv-LV"/>
        </w:rPr>
        <w:t>veido</w:t>
      </w:r>
      <w:r w:rsidR="00CE1995" w:rsidRPr="00D043A6">
        <w:rPr>
          <w:sz w:val="24"/>
          <w:szCs w:val="24"/>
          <w:lang w:eastAsia="lv-LV"/>
        </w:rPr>
        <w:t xml:space="preserve"> daudzdzīvokļu </w:t>
      </w:r>
      <w:r w:rsidR="00CA0673" w:rsidRPr="00D043A6">
        <w:rPr>
          <w:sz w:val="24"/>
          <w:szCs w:val="24"/>
          <w:lang w:eastAsia="lv-LV"/>
        </w:rPr>
        <w:t>(triju un vairāku</w:t>
      </w:r>
      <w:r w:rsidR="007F2587">
        <w:rPr>
          <w:sz w:val="24"/>
          <w:szCs w:val="24"/>
          <w:lang w:eastAsia="lv-LV"/>
        </w:rPr>
        <w:t xml:space="preserve"> dzīvokļu</w:t>
      </w:r>
      <w:r w:rsidR="00CA0673" w:rsidRPr="00D043A6">
        <w:rPr>
          <w:sz w:val="24"/>
          <w:szCs w:val="24"/>
          <w:lang w:eastAsia="lv-LV"/>
        </w:rPr>
        <w:t xml:space="preserve">) </w:t>
      </w:r>
      <w:r w:rsidR="00CE1995" w:rsidRPr="00D043A6">
        <w:rPr>
          <w:sz w:val="24"/>
          <w:szCs w:val="24"/>
          <w:lang w:eastAsia="lv-LV"/>
        </w:rPr>
        <w:t>ēkas (50.4 milj. m</w:t>
      </w:r>
      <w:r w:rsidR="00CE1995" w:rsidRPr="00D043A6">
        <w:rPr>
          <w:sz w:val="24"/>
          <w:szCs w:val="24"/>
          <w:vertAlign w:val="superscript"/>
          <w:lang w:eastAsia="lv-LV"/>
        </w:rPr>
        <w:t>2</w:t>
      </w:r>
      <w:r w:rsidR="00CE1995" w:rsidRPr="00D043A6">
        <w:rPr>
          <w:sz w:val="24"/>
          <w:szCs w:val="24"/>
          <w:lang w:eastAsia="lv-LV"/>
        </w:rPr>
        <w:t>)</w:t>
      </w:r>
      <w:r w:rsidR="00CA0673" w:rsidRPr="00D043A6">
        <w:rPr>
          <w:sz w:val="24"/>
          <w:szCs w:val="24"/>
          <w:lang w:eastAsia="lv-LV"/>
        </w:rPr>
        <w:t xml:space="preserve">, kaut arī to skaits </w:t>
      </w:r>
      <w:r w:rsidR="00A21F74" w:rsidRPr="00D043A6">
        <w:rPr>
          <w:sz w:val="24"/>
          <w:szCs w:val="24"/>
          <w:lang w:eastAsia="lv-LV"/>
        </w:rPr>
        <w:t>veido</w:t>
      </w:r>
      <w:r w:rsidR="00CA0673" w:rsidRPr="00D043A6">
        <w:rPr>
          <w:sz w:val="24"/>
          <w:szCs w:val="24"/>
          <w:lang w:eastAsia="lv-LV"/>
        </w:rPr>
        <w:t xml:space="preserve"> tikai 11% (38.6 tūkstoši)</w:t>
      </w:r>
      <w:r w:rsidR="00CE1995" w:rsidRPr="00D043A6">
        <w:rPr>
          <w:sz w:val="24"/>
          <w:szCs w:val="24"/>
          <w:lang w:eastAsia="lv-LV"/>
        </w:rPr>
        <w:t>.</w:t>
      </w:r>
      <w:r w:rsidR="009D6B81" w:rsidRPr="00D043A6">
        <w:rPr>
          <w:sz w:val="24"/>
          <w:szCs w:val="24"/>
          <w:lang w:eastAsia="lv-LV"/>
        </w:rPr>
        <w:t xml:space="preserve"> </w:t>
      </w:r>
      <w:r w:rsidR="009D6B81" w:rsidRPr="00D043A6">
        <w:rPr>
          <w:sz w:val="24"/>
        </w:rPr>
        <w:t xml:space="preserve">Dzīvojamo māju sadalījums pēc piederības statusa norādīts šā ziņojuma 2.4. sadaļas </w:t>
      </w:r>
      <w:r w:rsidR="00A8688F" w:rsidRPr="00D043A6">
        <w:rPr>
          <w:sz w:val="24"/>
        </w:rPr>
        <w:t>7</w:t>
      </w:r>
      <w:r w:rsidR="009D6B81" w:rsidRPr="00D043A6">
        <w:rPr>
          <w:sz w:val="24"/>
        </w:rPr>
        <w:t>. tabulā.</w:t>
      </w:r>
    </w:p>
    <w:p w:rsidR="00813AC8" w:rsidRPr="00D043A6" w:rsidRDefault="00A8688F" w:rsidP="00813AC8">
      <w:pPr>
        <w:ind w:firstLine="720"/>
        <w:jc w:val="both"/>
        <w:rPr>
          <w:sz w:val="24"/>
          <w:szCs w:val="24"/>
          <w:lang w:eastAsia="lv-LV"/>
        </w:rPr>
      </w:pPr>
      <w:r w:rsidRPr="00D043A6">
        <w:rPr>
          <w:sz w:val="24"/>
          <w:szCs w:val="24"/>
          <w:lang w:eastAsia="lv-LV"/>
        </w:rPr>
        <w:t>1</w:t>
      </w:r>
      <w:r w:rsidR="00D50F13" w:rsidRPr="00D043A6">
        <w:rPr>
          <w:sz w:val="24"/>
          <w:szCs w:val="24"/>
          <w:lang w:eastAsia="lv-LV"/>
        </w:rPr>
        <w:t>.</w:t>
      </w:r>
      <w:r w:rsidR="00BD709C" w:rsidRPr="00D043A6">
        <w:rPr>
          <w:sz w:val="24"/>
          <w:szCs w:val="24"/>
          <w:lang w:eastAsia="lv-LV"/>
        </w:rPr>
        <w:t xml:space="preserve"> un </w:t>
      </w:r>
      <w:r w:rsidRPr="00D043A6">
        <w:rPr>
          <w:sz w:val="24"/>
          <w:szCs w:val="24"/>
          <w:lang w:eastAsia="lv-LV"/>
        </w:rPr>
        <w:t>2</w:t>
      </w:r>
      <w:r w:rsidR="00BD709C" w:rsidRPr="00D043A6">
        <w:rPr>
          <w:sz w:val="24"/>
          <w:szCs w:val="24"/>
          <w:lang w:eastAsia="lv-LV"/>
        </w:rPr>
        <w:t>.</w:t>
      </w:r>
      <w:r w:rsidR="00D50F13" w:rsidRPr="00D043A6">
        <w:rPr>
          <w:sz w:val="24"/>
          <w:szCs w:val="24"/>
          <w:lang w:eastAsia="lv-LV"/>
        </w:rPr>
        <w:t> </w:t>
      </w:r>
      <w:r w:rsidR="00BD709C" w:rsidRPr="00D043A6">
        <w:rPr>
          <w:sz w:val="24"/>
          <w:szCs w:val="24"/>
          <w:lang w:eastAsia="lv-LV"/>
        </w:rPr>
        <w:t>t</w:t>
      </w:r>
      <w:r w:rsidR="00813AC8" w:rsidRPr="00D043A6">
        <w:rPr>
          <w:sz w:val="24"/>
          <w:szCs w:val="24"/>
          <w:lang w:eastAsia="lv-LV"/>
        </w:rPr>
        <w:t>abulā atspoguļots ēku sadalījums pēc stāvu skaita un celšanas periodiem. (NĪVK ĪS atsevišķi izceltas ēkas ar koka ārsienām).</w:t>
      </w:r>
      <w:r w:rsidR="00BD709C" w:rsidRPr="00D043A6">
        <w:rPr>
          <w:sz w:val="24"/>
          <w:szCs w:val="24"/>
          <w:lang w:eastAsia="lv-LV"/>
        </w:rPr>
        <w:t xml:space="preserve"> Pēc skaita lielāko īpatsvaru veido līdz 1941. gadam uzbūvētās koka mājas, </w:t>
      </w:r>
      <w:r w:rsidR="00A21F74" w:rsidRPr="00D043A6">
        <w:rPr>
          <w:sz w:val="24"/>
          <w:szCs w:val="24"/>
          <w:lang w:eastAsia="lv-LV"/>
        </w:rPr>
        <w:t xml:space="preserve">savukārt </w:t>
      </w:r>
      <w:r w:rsidR="00BD709C" w:rsidRPr="00D043A6">
        <w:rPr>
          <w:sz w:val="24"/>
          <w:szCs w:val="24"/>
          <w:lang w:eastAsia="lv-LV"/>
        </w:rPr>
        <w:t xml:space="preserve">pēc </w:t>
      </w:r>
      <w:r w:rsidR="00A21F74" w:rsidRPr="00D043A6">
        <w:rPr>
          <w:sz w:val="24"/>
          <w:szCs w:val="24"/>
          <w:lang w:eastAsia="lv-LV"/>
        </w:rPr>
        <w:t xml:space="preserve">dzīvojamās platības </w:t>
      </w:r>
      <w:r w:rsidR="007F2587">
        <w:rPr>
          <w:sz w:val="24"/>
          <w:szCs w:val="24"/>
          <w:lang w:eastAsia="lv-LV"/>
        </w:rPr>
        <w:t>vislielāko</w:t>
      </w:r>
      <w:r w:rsidR="00BD709C" w:rsidRPr="00D043A6">
        <w:rPr>
          <w:sz w:val="24"/>
          <w:szCs w:val="24"/>
          <w:lang w:eastAsia="lv-LV"/>
        </w:rPr>
        <w:t xml:space="preserve"> </w:t>
      </w:r>
      <w:r w:rsidR="00A21F74" w:rsidRPr="00D043A6">
        <w:rPr>
          <w:sz w:val="24"/>
          <w:szCs w:val="24"/>
          <w:lang w:eastAsia="lv-LV"/>
        </w:rPr>
        <w:t>īpatsvaru veido</w:t>
      </w:r>
      <w:r w:rsidR="00BD709C" w:rsidRPr="00D043A6">
        <w:rPr>
          <w:sz w:val="24"/>
          <w:szCs w:val="24"/>
          <w:lang w:eastAsia="lv-LV"/>
        </w:rPr>
        <w:t xml:space="preserve"> no 1961. līdz 1992. gadam uzbūvētās 3-5 stāvu ēkas.</w:t>
      </w:r>
    </w:p>
    <w:p w:rsidR="000649DF" w:rsidRPr="00D043A6" w:rsidRDefault="00A8688F" w:rsidP="00A64C52">
      <w:pPr>
        <w:spacing w:before="60"/>
        <w:rPr>
          <w:i/>
          <w:sz w:val="24"/>
          <w:szCs w:val="24"/>
          <w:lang w:eastAsia="lv-LV"/>
        </w:rPr>
      </w:pPr>
      <w:r w:rsidRPr="00D043A6">
        <w:rPr>
          <w:i/>
          <w:sz w:val="24"/>
          <w:szCs w:val="24"/>
          <w:lang w:eastAsia="lv-LV"/>
        </w:rPr>
        <w:t>1</w:t>
      </w:r>
      <w:r w:rsidR="00813AC8" w:rsidRPr="00D043A6">
        <w:rPr>
          <w:i/>
          <w:sz w:val="24"/>
          <w:szCs w:val="24"/>
          <w:lang w:eastAsia="lv-LV"/>
        </w:rPr>
        <w:t xml:space="preserve">. </w:t>
      </w:r>
      <w:r w:rsidR="009D6B81" w:rsidRPr="00D043A6">
        <w:rPr>
          <w:i/>
          <w:sz w:val="24"/>
          <w:szCs w:val="24"/>
          <w:lang w:eastAsia="lv-LV"/>
        </w:rPr>
        <w:t>t</w:t>
      </w:r>
      <w:r w:rsidR="000649DF" w:rsidRPr="00D043A6">
        <w:rPr>
          <w:i/>
          <w:sz w:val="24"/>
          <w:szCs w:val="24"/>
          <w:lang w:eastAsia="lv-LV"/>
        </w:rPr>
        <w:t xml:space="preserve">abula. Daudzdzīvokļu dzīvojamo ēku sadalījums pēc </w:t>
      </w:r>
      <w:r w:rsidR="000E726E" w:rsidRPr="00D043A6">
        <w:rPr>
          <w:i/>
          <w:sz w:val="24"/>
          <w:szCs w:val="24"/>
          <w:lang w:eastAsia="lv-LV"/>
        </w:rPr>
        <w:t>stāvu skaita (atsevišķi izceltas ēkas ar koka ārsienām)</w:t>
      </w:r>
      <w:r w:rsidR="00A21F74" w:rsidRPr="00D043A6">
        <w:rPr>
          <w:i/>
          <w:sz w:val="24"/>
          <w:szCs w:val="24"/>
          <w:lang w:eastAsia="lv-LV"/>
        </w:rPr>
        <w:t>, skaits</w:t>
      </w:r>
      <w:r w:rsidR="000E726E" w:rsidRPr="00D043A6">
        <w:rPr>
          <w:i/>
          <w:sz w:val="24"/>
          <w:szCs w:val="24"/>
          <w:lang w:eastAsia="lv-LV"/>
        </w:rPr>
        <w:t>.</w:t>
      </w:r>
    </w:p>
    <w:tbl>
      <w:tblPr>
        <w:tblW w:w="5000" w:type="pct"/>
        <w:tblInd w:w="108" w:type="dxa"/>
        <w:tblLook w:val="04A0" w:firstRow="1" w:lastRow="0" w:firstColumn="1" w:lastColumn="0" w:noHBand="0" w:noVBand="1"/>
      </w:tblPr>
      <w:tblGrid>
        <w:gridCol w:w="1726"/>
        <w:gridCol w:w="1198"/>
        <w:gridCol w:w="1116"/>
        <w:gridCol w:w="1116"/>
        <w:gridCol w:w="1116"/>
        <w:gridCol w:w="1116"/>
        <w:gridCol w:w="1133"/>
        <w:gridCol w:w="766"/>
      </w:tblGrid>
      <w:tr w:rsidR="000649DF" w:rsidRPr="00D043A6" w:rsidTr="000649DF">
        <w:trPr>
          <w:trHeight w:val="450"/>
        </w:trPr>
        <w:tc>
          <w:tcPr>
            <w:tcW w:w="0" w:type="auto"/>
            <w:tcBorders>
              <w:top w:val="nil"/>
              <w:left w:val="nil"/>
              <w:bottom w:val="nil"/>
              <w:right w:val="nil"/>
            </w:tcBorders>
            <w:shd w:val="clear" w:color="auto" w:fill="auto"/>
            <w:vAlign w:val="bottom"/>
            <w:hideMark/>
          </w:tcPr>
          <w:p w:rsidR="000649DF" w:rsidRPr="00D043A6" w:rsidRDefault="000649DF" w:rsidP="000649DF">
            <w:pPr>
              <w:rPr>
                <w:rFonts w:eastAsia="Times New Roman"/>
                <w:sz w:val="22"/>
                <w:szCs w:val="22"/>
                <w:lang w:eastAsia="lv-LV"/>
              </w:rPr>
            </w:pPr>
          </w:p>
        </w:tc>
        <w:tc>
          <w:tcPr>
            <w:tcW w:w="0" w:type="auto"/>
            <w:tcBorders>
              <w:top w:val="single" w:sz="4" w:space="0" w:color="auto"/>
              <w:left w:val="single" w:sz="4" w:space="0" w:color="auto"/>
              <w:bottom w:val="single" w:sz="4" w:space="0" w:color="auto"/>
              <w:right w:val="nil"/>
            </w:tcBorders>
            <w:shd w:val="clear" w:color="auto" w:fill="auto"/>
            <w:vAlign w:val="center"/>
            <w:hideMark/>
          </w:tcPr>
          <w:p w:rsidR="000649DF" w:rsidRPr="00D043A6" w:rsidRDefault="000649DF" w:rsidP="000649DF">
            <w:pPr>
              <w:jc w:val="center"/>
              <w:rPr>
                <w:rFonts w:eastAsia="Times New Roman"/>
                <w:b/>
                <w:bCs/>
                <w:sz w:val="22"/>
                <w:szCs w:val="22"/>
                <w:lang w:eastAsia="lv-LV"/>
              </w:rPr>
            </w:pPr>
            <w:r w:rsidRPr="00D043A6">
              <w:rPr>
                <w:rFonts w:eastAsia="Times New Roman"/>
                <w:b/>
                <w:bCs/>
                <w:sz w:val="22"/>
                <w:szCs w:val="22"/>
                <w:lang w:eastAsia="lv-LV"/>
              </w:rPr>
              <w:t>Līdz 1941.g.</w:t>
            </w:r>
          </w:p>
        </w:tc>
        <w:tc>
          <w:tcPr>
            <w:tcW w:w="0" w:type="auto"/>
            <w:tcBorders>
              <w:top w:val="single" w:sz="4" w:space="0" w:color="auto"/>
              <w:left w:val="single" w:sz="4" w:space="0" w:color="auto"/>
              <w:bottom w:val="single" w:sz="4" w:space="0" w:color="auto"/>
              <w:right w:val="nil"/>
            </w:tcBorders>
            <w:shd w:val="clear" w:color="auto" w:fill="auto"/>
            <w:vAlign w:val="center"/>
            <w:hideMark/>
          </w:tcPr>
          <w:p w:rsidR="000649DF" w:rsidRPr="00D043A6" w:rsidRDefault="000649DF" w:rsidP="000649DF">
            <w:pPr>
              <w:jc w:val="center"/>
              <w:rPr>
                <w:rFonts w:eastAsia="Times New Roman"/>
                <w:b/>
                <w:bCs/>
                <w:sz w:val="22"/>
                <w:szCs w:val="22"/>
                <w:lang w:eastAsia="lv-LV"/>
              </w:rPr>
            </w:pPr>
            <w:r w:rsidRPr="00D043A6">
              <w:rPr>
                <w:rFonts w:eastAsia="Times New Roman"/>
                <w:b/>
                <w:bCs/>
                <w:sz w:val="22"/>
                <w:szCs w:val="22"/>
                <w:lang w:eastAsia="lv-LV"/>
              </w:rPr>
              <w:t>1941.-1960.</w:t>
            </w:r>
          </w:p>
        </w:tc>
        <w:tc>
          <w:tcPr>
            <w:tcW w:w="0" w:type="auto"/>
            <w:tcBorders>
              <w:top w:val="single" w:sz="4" w:space="0" w:color="auto"/>
              <w:left w:val="single" w:sz="4" w:space="0" w:color="auto"/>
              <w:bottom w:val="single" w:sz="4" w:space="0" w:color="auto"/>
              <w:right w:val="nil"/>
            </w:tcBorders>
            <w:shd w:val="clear" w:color="auto" w:fill="auto"/>
            <w:vAlign w:val="center"/>
            <w:hideMark/>
          </w:tcPr>
          <w:p w:rsidR="000649DF" w:rsidRPr="00D043A6" w:rsidRDefault="000649DF" w:rsidP="000649DF">
            <w:pPr>
              <w:jc w:val="center"/>
              <w:rPr>
                <w:rFonts w:eastAsia="Times New Roman"/>
                <w:b/>
                <w:bCs/>
                <w:sz w:val="22"/>
                <w:szCs w:val="22"/>
                <w:lang w:eastAsia="lv-LV"/>
              </w:rPr>
            </w:pPr>
            <w:r w:rsidRPr="00D043A6">
              <w:rPr>
                <w:rFonts w:eastAsia="Times New Roman"/>
                <w:b/>
                <w:bCs/>
                <w:sz w:val="22"/>
                <w:szCs w:val="22"/>
                <w:lang w:eastAsia="lv-LV"/>
              </w:rPr>
              <w:t>1961.-1979.</w:t>
            </w:r>
          </w:p>
        </w:tc>
        <w:tc>
          <w:tcPr>
            <w:tcW w:w="0" w:type="auto"/>
            <w:tcBorders>
              <w:top w:val="single" w:sz="4" w:space="0" w:color="auto"/>
              <w:left w:val="single" w:sz="4" w:space="0" w:color="auto"/>
              <w:bottom w:val="single" w:sz="4" w:space="0" w:color="auto"/>
              <w:right w:val="nil"/>
            </w:tcBorders>
            <w:shd w:val="clear" w:color="auto" w:fill="auto"/>
            <w:vAlign w:val="center"/>
            <w:hideMark/>
          </w:tcPr>
          <w:p w:rsidR="000649DF" w:rsidRPr="00D043A6" w:rsidRDefault="000649DF" w:rsidP="000649DF">
            <w:pPr>
              <w:jc w:val="center"/>
              <w:rPr>
                <w:rFonts w:eastAsia="Times New Roman"/>
                <w:b/>
                <w:bCs/>
                <w:sz w:val="22"/>
                <w:szCs w:val="22"/>
                <w:lang w:eastAsia="lv-LV"/>
              </w:rPr>
            </w:pPr>
            <w:r w:rsidRPr="00D043A6">
              <w:rPr>
                <w:rFonts w:eastAsia="Times New Roman"/>
                <w:b/>
                <w:bCs/>
                <w:sz w:val="22"/>
                <w:szCs w:val="22"/>
                <w:lang w:eastAsia="lv-LV"/>
              </w:rPr>
              <w:t>1980.-1992.</w:t>
            </w:r>
          </w:p>
        </w:tc>
        <w:tc>
          <w:tcPr>
            <w:tcW w:w="0" w:type="auto"/>
            <w:tcBorders>
              <w:top w:val="single" w:sz="4" w:space="0" w:color="auto"/>
              <w:left w:val="single" w:sz="4" w:space="0" w:color="auto"/>
              <w:bottom w:val="single" w:sz="4" w:space="0" w:color="auto"/>
              <w:right w:val="nil"/>
            </w:tcBorders>
            <w:shd w:val="clear" w:color="auto" w:fill="auto"/>
            <w:vAlign w:val="center"/>
            <w:hideMark/>
          </w:tcPr>
          <w:p w:rsidR="000649DF" w:rsidRPr="00D043A6" w:rsidRDefault="000649DF" w:rsidP="000649DF">
            <w:pPr>
              <w:jc w:val="center"/>
              <w:rPr>
                <w:rFonts w:eastAsia="Times New Roman"/>
                <w:b/>
                <w:bCs/>
                <w:sz w:val="22"/>
                <w:szCs w:val="22"/>
                <w:lang w:eastAsia="lv-LV"/>
              </w:rPr>
            </w:pPr>
            <w:r w:rsidRPr="00D043A6">
              <w:rPr>
                <w:rFonts w:eastAsia="Times New Roman"/>
                <w:b/>
                <w:bCs/>
                <w:sz w:val="22"/>
                <w:szCs w:val="22"/>
                <w:lang w:eastAsia="lv-LV"/>
              </w:rPr>
              <w:t>1993.-2002.</w:t>
            </w:r>
          </w:p>
        </w:tc>
        <w:tc>
          <w:tcPr>
            <w:tcW w:w="0" w:type="auto"/>
            <w:tcBorders>
              <w:top w:val="single" w:sz="4" w:space="0" w:color="auto"/>
              <w:left w:val="single" w:sz="4" w:space="0" w:color="auto"/>
              <w:bottom w:val="single" w:sz="4" w:space="0" w:color="auto"/>
              <w:right w:val="nil"/>
            </w:tcBorders>
            <w:shd w:val="clear" w:color="auto" w:fill="auto"/>
            <w:vAlign w:val="center"/>
            <w:hideMark/>
          </w:tcPr>
          <w:p w:rsidR="000649DF" w:rsidRPr="00D043A6" w:rsidRDefault="000649DF" w:rsidP="000649DF">
            <w:pPr>
              <w:jc w:val="center"/>
              <w:rPr>
                <w:rFonts w:eastAsia="Times New Roman"/>
                <w:b/>
                <w:bCs/>
                <w:sz w:val="22"/>
                <w:szCs w:val="22"/>
                <w:lang w:eastAsia="lv-LV"/>
              </w:rPr>
            </w:pPr>
            <w:r w:rsidRPr="00D043A6">
              <w:rPr>
                <w:rFonts w:eastAsia="Times New Roman"/>
                <w:b/>
                <w:bCs/>
                <w:sz w:val="22"/>
                <w:szCs w:val="22"/>
                <w:lang w:eastAsia="lv-LV"/>
              </w:rPr>
              <w:t>Pēc 2003.g.</w:t>
            </w:r>
          </w:p>
        </w:tc>
        <w:tc>
          <w:tcPr>
            <w:tcW w:w="0" w:type="auto"/>
            <w:tcBorders>
              <w:top w:val="single" w:sz="4" w:space="0" w:color="auto"/>
              <w:left w:val="single" w:sz="4" w:space="0" w:color="auto"/>
              <w:bottom w:val="single" w:sz="4" w:space="0" w:color="auto"/>
              <w:right w:val="nil"/>
            </w:tcBorders>
            <w:shd w:val="clear" w:color="auto" w:fill="auto"/>
            <w:vAlign w:val="center"/>
            <w:hideMark/>
          </w:tcPr>
          <w:p w:rsidR="000649DF" w:rsidRPr="00D043A6" w:rsidRDefault="000649DF" w:rsidP="000649DF">
            <w:pPr>
              <w:jc w:val="center"/>
              <w:rPr>
                <w:rFonts w:eastAsia="Times New Roman"/>
                <w:b/>
                <w:bCs/>
                <w:sz w:val="22"/>
                <w:szCs w:val="22"/>
                <w:lang w:eastAsia="lv-LV"/>
              </w:rPr>
            </w:pPr>
            <w:r w:rsidRPr="00D043A6">
              <w:rPr>
                <w:rFonts w:eastAsia="Times New Roman"/>
                <w:b/>
                <w:bCs/>
                <w:sz w:val="22"/>
                <w:szCs w:val="22"/>
                <w:lang w:eastAsia="lv-LV"/>
              </w:rPr>
              <w:t>Kopā</w:t>
            </w:r>
          </w:p>
        </w:tc>
      </w:tr>
      <w:tr w:rsidR="009625DD" w:rsidRPr="00D043A6" w:rsidTr="000649DF">
        <w:trPr>
          <w:trHeight w:val="225"/>
        </w:trPr>
        <w:tc>
          <w:tcPr>
            <w:tcW w:w="0" w:type="auto"/>
            <w:tcBorders>
              <w:top w:val="single" w:sz="4" w:space="0" w:color="D8D8D8"/>
              <w:left w:val="single" w:sz="4" w:space="0" w:color="D8D8D8"/>
              <w:bottom w:val="single" w:sz="4" w:space="0" w:color="D8D8D8"/>
              <w:right w:val="single" w:sz="4" w:space="0" w:color="D8D8D8"/>
            </w:tcBorders>
            <w:shd w:val="clear" w:color="auto" w:fill="auto"/>
            <w:noWrap/>
            <w:hideMark/>
          </w:tcPr>
          <w:p w:rsidR="000649DF" w:rsidRPr="00D043A6" w:rsidRDefault="000649DF" w:rsidP="000649DF">
            <w:pPr>
              <w:rPr>
                <w:rFonts w:eastAsia="Times New Roman"/>
                <w:color w:val="333333"/>
                <w:sz w:val="22"/>
                <w:szCs w:val="22"/>
                <w:lang w:eastAsia="lv-LV"/>
              </w:rPr>
            </w:pPr>
            <w:r w:rsidRPr="00D043A6">
              <w:rPr>
                <w:rFonts w:eastAsia="Times New Roman"/>
                <w:color w:val="333333"/>
                <w:sz w:val="22"/>
                <w:szCs w:val="22"/>
                <w:lang w:eastAsia="lv-LV"/>
              </w:rPr>
              <w:t>ar koka ārsienām</w:t>
            </w:r>
          </w:p>
        </w:tc>
        <w:tc>
          <w:tcPr>
            <w:tcW w:w="0" w:type="auto"/>
            <w:tcBorders>
              <w:top w:val="nil"/>
              <w:left w:val="nil"/>
              <w:bottom w:val="nil"/>
              <w:right w:val="nil"/>
            </w:tcBorders>
            <w:shd w:val="clear" w:color="000000" w:fill="FF7128"/>
            <w:noWrap/>
            <w:vAlign w:val="bottom"/>
            <w:hideMark/>
          </w:tcPr>
          <w:p w:rsidR="000649DF" w:rsidRPr="00D043A6" w:rsidRDefault="000649DF" w:rsidP="000649DF">
            <w:pPr>
              <w:jc w:val="center"/>
              <w:rPr>
                <w:rFonts w:eastAsia="Times New Roman"/>
                <w:sz w:val="22"/>
                <w:szCs w:val="22"/>
                <w:lang w:eastAsia="lv-LV"/>
              </w:rPr>
            </w:pPr>
            <w:r w:rsidRPr="00D043A6">
              <w:rPr>
                <w:rFonts w:eastAsia="Times New Roman"/>
                <w:sz w:val="22"/>
                <w:szCs w:val="22"/>
                <w:lang w:eastAsia="lv-LV"/>
              </w:rPr>
              <w:t>8332</w:t>
            </w:r>
          </w:p>
        </w:tc>
        <w:tc>
          <w:tcPr>
            <w:tcW w:w="0" w:type="auto"/>
            <w:tcBorders>
              <w:top w:val="nil"/>
              <w:left w:val="nil"/>
              <w:bottom w:val="nil"/>
              <w:right w:val="nil"/>
            </w:tcBorders>
            <w:shd w:val="clear" w:color="000000" w:fill="FFDA89"/>
            <w:noWrap/>
            <w:vAlign w:val="bottom"/>
            <w:hideMark/>
          </w:tcPr>
          <w:p w:rsidR="000649DF" w:rsidRPr="00D043A6" w:rsidRDefault="000649DF" w:rsidP="000649DF">
            <w:pPr>
              <w:jc w:val="center"/>
              <w:rPr>
                <w:rFonts w:eastAsia="Times New Roman"/>
                <w:sz w:val="22"/>
                <w:szCs w:val="22"/>
                <w:lang w:eastAsia="lv-LV"/>
              </w:rPr>
            </w:pPr>
            <w:r w:rsidRPr="00D043A6">
              <w:rPr>
                <w:rFonts w:eastAsia="Times New Roman"/>
                <w:sz w:val="22"/>
                <w:szCs w:val="22"/>
                <w:lang w:eastAsia="lv-LV"/>
              </w:rPr>
              <w:t>1421</w:t>
            </w:r>
          </w:p>
        </w:tc>
        <w:tc>
          <w:tcPr>
            <w:tcW w:w="0" w:type="auto"/>
            <w:tcBorders>
              <w:top w:val="nil"/>
              <w:left w:val="nil"/>
              <w:bottom w:val="nil"/>
              <w:right w:val="nil"/>
            </w:tcBorders>
            <w:shd w:val="clear" w:color="000000" w:fill="FFE996"/>
            <w:noWrap/>
            <w:vAlign w:val="bottom"/>
            <w:hideMark/>
          </w:tcPr>
          <w:p w:rsidR="000649DF" w:rsidRPr="00D043A6" w:rsidRDefault="000649DF" w:rsidP="000649DF">
            <w:pPr>
              <w:jc w:val="center"/>
              <w:rPr>
                <w:rFonts w:eastAsia="Times New Roman"/>
                <w:sz w:val="22"/>
                <w:szCs w:val="22"/>
                <w:lang w:eastAsia="lv-LV"/>
              </w:rPr>
            </w:pPr>
            <w:r w:rsidRPr="00D043A6">
              <w:rPr>
                <w:rFonts w:eastAsia="Times New Roman"/>
                <w:sz w:val="22"/>
                <w:szCs w:val="22"/>
                <w:lang w:eastAsia="lv-LV"/>
              </w:rPr>
              <w:t>440</w:t>
            </w:r>
          </w:p>
        </w:tc>
        <w:tc>
          <w:tcPr>
            <w:tcW w:w="0" w:type="auto"/>
            <w:tcBorders>
              <w:top w:val="nil"/>
              <w:left w:val="nil"/>
              <w:bottom w:val="nil"/>
              <w:right w:val="nil"/>
            </w:tcBorders>
            <w:shd w:val="clear" w:color="000000" w:fill="FFEF9C"/>
            <w:noWrap/>
            <w:vAlign w:val="bottom"/>
            <w:hideMark/>
          </w:tcPr>
          <w:p w:rsidR="000649DF" w:rsidRPr="00D043A6" w:rsidRDefault="000649DF" w:rsidP="000649DF">
            <w:pPr>
              <w:jc w:val="center"/>
              <w:rPr>
                <w:rFonts w:eastAsia="Times New Roman"/>
                <w:sz w:val="22"/>
                <w:szCs w:val="22"/>
                <w:lang w:eastAsia="lv-LV"/>
              </w:rPr>
            </w:pPr>
            <w:r w:rsidRPr="00D043A6">
              <w:rPr>
                <w:rFonts w:eastAsia="Times New Roman"/>
                <w:sz w:val="22"/>
                <w:szCs w:val="22"/>
                <w:lang w:eastAsia="lv-LV"/>
              </w:rPr>
              <w:t>59</w:t>
            </w:r>
          </w:p>
        </w:tc>
        <w:tc>
          <w:tcPr>
            <w:tcW w:w="0" w:type="auto"/>
            <w:tcBorders>
              <w:top w:val="nil"/>
              <w:left w:val="nil"/>
              <w:bottom w:val="nil"/>
              <w:right w:val="nil"/>
            </w:tcBorders>
            <w:shd w:val="clear" w:color="000000" w:fill="FFEF9C"/>
            <w:noWrap/>
            <w:vAlign w:val="bottom"/>
            <w:hideMark/>
          </w:tcPr>
          <w:p w:rsidR="000649DF" w:rsidRPr="00D043A6" w:rsidRDefault="000649DF" w:rsidP="000649DF">
            <w:pPr>
              <w:jc w:val="center"/>
              <w:rPr>
                <w:rFonts w:eastAsia="Times New Roman"/>
                <w:sz w:val="22"/>
                <w:szCs w:val="22"/>
                <w:lang w:eastAsia="lv-LV"/>
              </w:rPr>
            </w:pPr>
            <w:r w:rsidRPr="00D043A6">
              <w:rPr>
                <w:rFonts w:eastAsia="Times New Roman"/>
                <w:sz w:val="22"/>
                <w:szCs w:val="22"/>
                <w:lang w:eastAsia="lv-LV"/>
              </w:rPr>
              <w:t>17</w:t>
            </w:r>
          </w:p>
        </w:tc>
        <w:tc>
          <w:tcPr>
            <w:tcW w:w="0" w:type="auto"/>
            <w:tcBorders>
              <w:top w:val="nil"/>
              <w:left w:val="nil"/>
              <w:bottom w:val="nil"/>
              <w:right w:val="nil"/>
            </w:tcBorders>
            <w:shd w:val="clear" w:color="000000" w:fill="FFEF9C"/>
            <w:noWrap/>
            <w:vAlign w:val="bottom"/>
            <w:hideMark/>
          </w:tcPr>
          <w:p w:rsidR="000649DF" w:rsidRPr="00D043A6" w:rsidRDefault="000649DF" w:rsidP="000649DF">
            <w:pPr>
              <w:jc w:val="center"/>
              <w:rPr>
                <w:rFonts w:eastAsia="Times New Roman"/>
                <w:sz w:val="22"/>
                <w:szCs w:val="22"/>
                <w:lang w:eastAsia="lv-LV"/>
              </w:rPr>
            </w:pPr>
            <w:r w:rsidRPr="00D043A6">
              <w:rPr>
                <w:rFonts w:eastAsia="Times New Roman"/>
                <w:sz w:val="22"/>
                <w:szCs w:val="22"/>
                <w:lang w:eastAsia="lv-LV"/>
              </w:rPr>
              <w:t>8</w:t>
            </w:r>
          </w:p>
        </w:tc>
        <w:tc>
          <w:tcPr>
            <w:tcW w:w="0" w:type="auto"/>
            <w:tcBorders>
              <w:top w:val="nil"/>
              <w:left w:val="nil"/>
              <w:bottom w:val="nil"/>
              <w:right w:val="nil"/>
            </w:tcBorders>
            <w:shd w:val="clear" w:color="auto" w:fill="auto"/>
            <w:noWrap/>
            <w:vAlign w:val="bottom"/>
            <w:hideMark/>
          </w:tcPr>
          <w:p w:rsidR="000649DF" w:rsidRPr="00D043A6" w:rsidRDefault="000649DF" w:rsidP="000649DF">
            <w:pPr>
              <w:jc w:val="center"/>
              <w:rPr>
                <w:rFonts w:eastAsia="Times New Roman"/>
                <w:b/>
                <w:sz w:val="22"/>
                <w:szCs w:val="22"/>
                <w:lang w:eastAsia="lv-LV"/>
              </w:rPr>
            </w:pPr>
            <w:r w:rsidRPr="00D043A6">
              <w:rPr>
                <w:rFonts w:eastAsia="Times New Roman"/>
                <w:b/>
                <w:sz w:val="22"/>
                <w:szCs w:val="22"/>
                <w:lang w:eastAsia="lv-LV"/>
              </w:rPr>
              <w:t>10277</w:t>
            </w:r>
          </w:p>
        </w:tc>
      </w:tr>
      <w:tr w:rsidR="009625DD" w:rsidRPr="00D043A6" w:rsidTr="000649DF">
        <w:trPr>
          <w:trHeight w:val="225"/>
        </w:trPr>
        <w:tc>
          <w:tcPr>
            <w:tcW w:w="0" w:type="auto"/>
            <w:tcBorders>
              <w:top w:val="nil"/>
              <w:left w:val="single" w:sz="4" w:space="0" w:color="D8D8D8"/>
              <w:bottom w:val="single" w:sz="4" w:space="0" w:color="D8D8D8"/>
              <w:right w:val="single" w:sz="4" w:space="0" w:color="D8D8D8"/>
            </w:tcBorders>
            <w:shd w:val="clear" w:color="auto" w:fill="auto"/>
            <w:noWrap/>
            <w:hideMark/>
          </w:tcPr>
          <w:p w:rsidR="000649DF" w:rsidRPr="00D043A6" w:rsidRDefault="000649DF" w:rsidP="000649DF">
            <w:pPr>
              <w:rPr>
                <w:rFonts w:eastAsia="Times New Roman"/>
                <w:color w:val="333333"/>
                <w:sz w:val="22"/>
                <w:szCs w:val="22"/>
                <w:lang w:eastAsia="lv-LV"/>
              </w:rPr>
            </w:pPr>
            <w:r w:rsidRPr="00D043A6">
              <w:rPr>
                <w:rFonts w:eastAsia="Times New Roman"/>
                <w:color w:val="333333"/>
                <w:sz w:val="22"/>
                <w:szCs w:val="22"/>
                <w:lang w:eastAsia="lv-LV"/>
              </w:rPr>
              <w:t xml:space="preserve">1–2 stāvu </w:t>
            </w:r>
          </w:p>
        </w:tc>
        <w:tc>
          <w:tcPr>
            <w:tcW w:w="0" w:type="auto"/>
            <w:tcBorders>
              <w:top w:val="nil"/>
              <w:left w:val="nil"/>
              <w:bottom w:val="nil"/>
              <w:right w:val="nil"/>
            </w:tcBorders>
            <w:shd w:val="clear" w:color="000000" w:fill="FFA054"/>
            <w:noWrap/>
            <w:vAlign w:val="bottom"/>
            <w:hideMark/>
          </w:tcPr>
          <w:p w:rsidR="000649DF" w:rsidRPr="00D043A6" w:rsidRDefault="000649DF" w:rsidP="000649DF">
            <w:pPr>
              <w:jc w:val="center"/>
              <w:rPr>
                <w:rFonts w:eastAsia="Times New Roman"/>
                <w:sz w:val="22"/>
                <w:szCs w:val="22"/>
                <w:lang w:eastAsia="lv-LV"/>
              </w:rPr>
            </w:pPr>
            <w:r w:rsidRPr="00D043A6">
              <w:rPr>
                <w:rFonts w:eastAsia="Times New Roman"/>
                <w:sz w:val="22"/>
                <w:szCs w:val="22"/>
                <w:lang w:eastAsia="lv-LV"/>
              </w:rPr>
              <w:t>5244</w:t>
            </w:r>
          </w:p>
        </w:tc>
        <w:tc>
          <w:tcPr>
            <w:tcW w:w="0" w:type="auto"/>
            <w:tcBorders>
              <w:top w:val="nil"/>
              <w:left w:val="nil"/>
              <w:bottom w:val="nil"/>
              <w:right w:val="nil"/>
            </w:tcBorders>
            <w:shd w:val="clear" w:color="000000" w:fill="FFC575"/>
            <w:noWrap/>
            <w:vAlign w:val="bottom"/>
            <w:hideMark/>
          </w:tcPr>
          <w:p w:rsidR="000649DF" w:rsidRPr="00D043A6" w:rsidRDefault="000649DF" w:rsidP="000649DF">
            <w:pPr>
              <w:jc w:val="center"/>
              <w:rPr>
                <w:rFonts w:eastAsia="Times New Roman"/>
                <w:sz w:val="22"/>
                <w:szCs w:val="22"/>
                <w:lang w:eastAsia="lv-LV"/>
              </w:rPr>
            </w:pPr>
            <w:r w:rsidRPr="00D043A6">
              <w:rPr>
                <w:rFonts w:eastAsia="Times New Roman"/>
                <w:sz w:val="22"/>
                <w:szCs w:val="22"/>
                <w:lang w:eastAsia="lv-LV"/>
              </w:rPr>
              <w:t>2818</w:t>
            </w:r>
          </w:p>
        </w:tc>
        <w:tc>
          <w:tcPr>
            <w:tcW w:w="0" w:type="auto"/>
            <w:tcBorders>
              <w:top w:val="nil"/>
              <w:left w:val="nil"/>
              <w:bottom w:val="nil"/>
              <w:right w:val="nil"/>
            </w:tcBorders>
            <w:shd w:val="clear" w:color="000000" w:fill="FFC273"/>
            <w:noWrap/>
            <w:vAlign w:val="bottom"/>
            <w:hideMark/>
          </w:tcPr>
          <w:p w:rsidR="000649DF" w:rsidRPr="00D043A6" w:rsidRDefault="000649DF" w:rsidP="000649DF">
            <w:pPr>
              <w:jc w:val="center"/>
              <w:rPr>
                <w:rFonts w:eastAsia="Times New Roman"/>
                <w:sz w:val="22"/>
                <w:szCs w:val="22"/>
                <w:lang w:eastAsia="lv-LV"/>
              </w:rPr>
            </w:pPr>
            <w:r w:rsidRPr="00D043A6">
              <w:rPr>
                <w:rFonts w:eastAsia="Times New Roman"/>
                <w:sz w:val="22"/>
                <w:szCs w:val="22"/>
                <w:lang w:eastAsia="lv-LV"/>
              </w:rPr>
              <w:t>2998</w:t>
            </w:r>
          </w:p>
        </w:tc>
        <w:tc>
          <w:tcPr>
            <w:tcW w:w="0" w:type="auto"/>
            <w:tcBorders>
              <w:top w:val="nil"/>
              <w:left w:val="nil"/>
              <w:bottom w:val="nil"/>
              <w:right w:val="nil"/>
            </w:tcBorders>
            <w:shd w:val="clear" w:color="000000" w:fill="FFE694"/>
            <w:noWrap/>
            <w:vAlign w:val="bottom"/>
            <w:hideMark/>
          </w:tcPr>
          <w:p w:rsidR="000649DF" w:rsidRPr="00D043A6" w:rsidRDefault="000649DF" w:rsidP="000649DF">
            <w:pPr>
              <w:jc w:val="center"/>
              <w:rPr>
                <w:rFonts w:eastAsia="Times New Roman"/>
                <w:sz w:val="22"/>
                <w:szCs w:val="22"/>
                <w:lang w:eastAsia="lv-LV"/>
              </w:rPr>
            </w:pPr>
            <w:r w:rsidRPr="00D043A6">
              <w:rPr>
                <w:rFonts w:eastAsia="Times New Roman"/>
                <w:sz w:val="22"/>
                <w:szCs w:val="22"/>
                <w:lang w:eastAsia="lv-LV"/>
              </w:rPr>
              <w:t>605</w:t>
            </w:r>
          </w:p>
        </w:tc>
        <w:tc>
          <w:tcPr>
            <w:tcW w:w="0" w:type="auto"/>
            <w:tcBorders>
              <w:top w:val="nil"/>
              <w:left w:val="nil"/>
              <w:bottom w:val="nil"/>
              <w:right w:val="nil"/>
            </w:tcBorders>
            <w:shd w:val="clear" w:color="000000" w:fill="FFEF9C"/>
            <w:noWrap/>
            <w:vAlign w:val="bottom"/>
            <w:hideMark/>
          </w:tcPr>
          <w:p w:rsidR="000649DF" w:rsidRPr="00D043A6" w:rsidRDefault="000649DF" w:rsidP="000649DF">
            <w:pPr>
              <w:jc w:val="center"/>
              <w:rPr>
                <w:rFonts w:eastAsia="Times New Roman"/>
                <w:sz w:val="22"/>
                <w:szCs w:val="22"/>
                <w:lang w:eastAsia="lv-LV"/>
              </w:rPr>
            </w:pPr>
            <w:r w:rsidRPr="00D043A6">
              <w:rPr>
                <w:rFonts w:eastAsia="Times New Roman"/>
                <w:sz w:val="22"/>
                <w:szCs w:val="22"/>
                <w:lang w:eastAsia="lv-LV"/>
              </w:rPr>
              <w:t>57</w:t>
            </w:r>
          </w:p>
        </w:tc>
        <w:tc>
          <w:tcPr>
            <w:tcW w:w="0" w:type="auto"/>
            <w:tcBorders>
              <w:top w:val="nil"/>
              <w:left w:val="nil"/>
              <w:bottom w:val="nil"/>
              <w:right w:val="nil"/>
            </w:tcBorders>
            <w:shd w:val="clear" w:color="000000" w:fill="FFEF9C"/>
            <w:noWrap/>
            <w:vAlign w:val="bottom"/>
            <w:hideMark/>
          </w:tcPr>
          <w:p w:rsidR="000649DF" w:rsidRPr="00D043A6" w:rsidRDefault="000649DF" w:rsidP="000649DF">
            <w:pPr>
              <w:jc w:val="center"/>
              <w:rPr>
                <w:rFonts w:eastAsia="Times New Roman"/>
                <w:sz w:val="22"/>
                <w:szCs w:val="22"/>
                <w:lang w:eastAsia="lv-LV"/>
              </w:rPr>
            </w:pPr>
            <w:r w:rsidRPr="00D043A6">
              <w:rPr>
                <w:rFonts w:eastAsia="Times New Roman"/>
                <w:sz w:val="22"/>
                <w:szCs w:val="22"/>
                <w:lang w:eastAsia="lv-LV"/>
              </w:rPr>
              <w:t>62</w:t>
            </w:r>
          </w:p>
        </w:tc>
        <w:tc>
          <w:tcPr>
            <w:tcW w:w="0" w:type="auto"/>
            <w:tcBorders>
              <w:top w:val="nil"/>
              <w:left w:val="nil"/>
              <w:bottom w:val="nil"/>
              <w:right w:val="nil"/>
            </w:tcBorders>
            <w:shd w:val="clear" w:color="auto" w:fill="auto"/>
            <w:noWrap/>
            <w:vAlign w:val="bottom"/>
            <w:hideMark/>
          </w:tcPr>
          <w:p w:rsidR="000649DF" w:rsidRPr="00D043A6" w:rsidRDefault="000649DF" w:rsidP="000649DF">
            <w:pPr>
              <w:jc w:val="center"/>
              <w:rPr>
                <w:rFonts w:eastAsia="Times New Roman"/>
                <w:b/>
                <w:sz w:val="22"/>
                <w:szCs w:val="22"/>
                <w:lang w:eastAsia="lv-LV"/>
              </w:rPr>
            </w:pPr>
            <w:r w:rsidRPr="00D043A6">
              <w:rPr>
                <w:rFonts w:eastAsia="Times New Roman"/>
                <w:b/>
                <w:sz w:val="22"/>
                <w:szCs w:val="22"/>
                <w:lang w:eastAsia="lv-LV"/>
              </w:rPr>
              <w:t>11784</w:t>
            </w:r>
          </w:p>
        </w:tc>
      </w:tr>
      <w:tr w:rsidR="009625DD" w:rsidRPr="00D043A6" w:rsidTr="000649DF">
        <w:trPr>
          <w:trHeight w:val="225"/>
        </w:trPr>
        <w:tc>
          <w:tcPr>
            <w:tcW w:w="0" w:type="auto"/>
            <w:tcBorders>
              <w:top w:val="nil"/>
              <w:left w:val="single" w:sz="4" w:space="0" w:color="D8D8D8"/>
              <w:bottom w:val="single" w:sz="4" w:space="0" w:color="D8D8D8"/>
              <w:right w:val="single" w:sz="4" w:space="0" w:color="D8D8D8"/>
            </w:tcBorders>
            <w:shd w:val="clear" w:color="auto" w:fill="auto"/>
            <w:noWrap/>
            <w:hideMark/>
          </w:tcPr>
          <w:p w:rsidR="000649DF" w:rsidRPr="00D043A6" w:rsidRDefault="000649DF" w:rsidP="000649DF">
            <w:pPr>
              <w:rPr>
                <w:rFonts w:eastAsia="Times New Roman"/>
                <w:color w:val="333333"/>
                <w:sz w:val="22"/>
                <w:szCs w:val="22"/>
                <w:lang w:eastAsia="lv-LV"/>
              </w:rPr>
            </w:pPr>
            <w:r w:rsidRPr="00D043A6">
              <w:rPr>
                <w:rFonts w:eastAsia="Times New Roman"/>
                <w:color w:val="333333"/>
                <w:sz w:val="22"/>
                <w:szCs w:val="22"/>
                <w:lang w:eastAsia="lv-LV"/>
              </w:rPr>
              <w:t xml:space="preserve">3–5 stāvu </w:t>
            </w:r>
          </w:p>
        </w:tc>
        <w:tc>
          <w:tcPr>
            <w:tcW w:w="0" w:type="auto"/>
            <w:tcBorders>
              <w:top w:val="nil"/>
              <w:left w:val="nil"/>
              <w:bottom w:val="nil"/>
              <w:right w:val="nil"/>
            </w:tcBorders>
            <w:shd w:val="clear" w:color="000000" w:fill="FFCA7A"/>
            <w:noWrap/>
            <w:vAlign w:val="bottom"/>
            <w:hideMark/>
          </w:tcPr>
          <w:p w:rsidR="000649DF" w:rsidRPr="00D043A6" w:rsidRDefault="000649DF" w:rsidP="000649DF">
            <w:pPr>
              <w:jc w:val="center"/>
              <w:rPr>
                <w:rFonts w:eastAsia="Times New Roman"/>
                <w:sz w:val="22"/>
                <w:szCs w:val="22"/>
                <w:lang w:eastAsia="lv-LV"/>
              </w:rPr>
            </w:pPr>
            <w:r w:rsidRPr="00D043A6">
              <w:rPr>
                <w:rFonts w:eastAsia="Times New Roman"/>
                <w:sz w:val="22"/>
                <w:szCs w:val="22"/>
                <w:lang w:eastAsia="lv-LV"/>
              </w:rPr>
              <w:t>2514</w:t>
            </w:r>
          </w:p>
        </w:tc>
        <w:tc>
          <w:tcPr>
            <w:tcW w:w="0" w:type="auto"/>
            <w:tcBorders>
              <w:top w:val="nil"/>
              <w:left w:val="nil"/>
              <w:bottom w:val="nil"/>
              <w:right w:val="nil"/>
            </w:tcBorders>
            <w:shd w:val="clear" w:color="000000" w:fill="FFE290"/>
            <w:noWrap/>
            <w:vAlign w:val="bottom"/>
            <w:hideMark/>
          </w:tcPr>
          <w:p w:rsidR="000649DF" w:rsidRPr="00D043A6" w:rsidRDefault="000649DF" w:rsidP="000649DF">
            <w:pPr>
              <w:jc w:val="center"/>
              <w:rPr>
                <w:rFonts w:eastAsia="Times New Roman"/>
                <w:sz w:val="22"/>
                <w:szCs w:val="22"/>
                <w:lang w:eastAsia="lv-LV"/>
              </w:rPr>
            </w:pPr>
            <w:r w:rsidRPr="00D043A6">
              <w:rPr>
                <w:rFonts w:eastAsia="Times New Roman"/>
                <w:sz w:val="22"/>
                <w:szCs w:val="22"/>
                <w:lang w:eastAsia="lv-LV"/>
              </w:rPr>
              <w:t>903</w:t>
            </w:r>
          </w:p>
        </w:tc>
        <w:tc>
          <w:tcPr>
            <w:tcW w:w="0" w:type="auto"/>
            <w:tcBorders>
              <w:top w:val="nil"/>
              <w:left w:val="nil"/>
              <w:bottom w:val="nil"/>
              <w:right w:val="nil"/>
            </w:tcBorders>
            <w:shd w:val="clear" w:color="000000" w:fill="FF9F53"/>
            <w:noWrap/>
            <w:vAlign w:val="bottom"/>
            <w:hideMark/>
          </w:tcPr>
          <w:p w:rsidR="000649DF" w:rsidRPr="00D043A6" w:rsidRDefault="000649DF" w:rsidP="000649DF">
            <w:pPr>
              <w:jc w:val="center"/>
              <w:rPr>
                <w:rFonts w:eastAsia="Times New Roman"/>
                <w:sz w:val="22"/>
                <w:szCs w:val="22"/>
                <w:lang w:eastAsia="lv-LV"/>
              </w:rPr>
            </w:pPr>
            <w:r w:rsidRPr="00D043A6">
              <w:rPr>
                <w:rFonts w:eastAsia="Times New Roman"/>
                <w:sz w:val="22"/>
                <w:szCs w:val="22"/>
                <w:lang w:eastAsia="lv-LV"/>
              </w:rPr>
              <w:t>5294</w:t>
            </w:r>
          </w:p>
        </w:tc>
        <w:tc>
          <w:tcPr>
            <w:tcW w:w="0" w:type="auto"/>
            <w:tcBorders>
              <w:top w:val="nil"/>
              <w:left w:val="nil"/>
              <w:bottom w:val="nil"/>
              <w:right w:val="nil"/>
            </w:tcBorders>
            <w:shd w:val="clear" w:color="000000" w:fill="FFBD6E"/>
            <w:noWrap/>
            <w:vAlign w:val="bottom"/>
            <w:hideMark/>
          </w:tcPr>
          <w:p w:rsidR="000649DF" w:rsidRPr="00D043A6" w:rsidRDefault="000649DF" w:rsidP="000649DF">
            <w:pPr>
              <w:jc w:val="center"/>
              <w:rPr>
                <w:rFonts w:eastAsia="Times New Roman"/>
                <w:sz w:val="22"/>
                <w:szCs w:val="22"/>
                <w:lang w:eastAsia="lv-LV"/>
              </w:rPr>
            </w:pPr>
            <w:r w:rsidRPr="00D043A6">
              <w:rPr>
                <w:rFonts w:eastAsia="Times New Roman"/>
                <w:sz w:val="22"/>
                <w:szCs w:val="22"/>
                <w:lang w:eastAsia="lv-LV"/>
              </w:rPr>
              <w:t>3373</w:t>
            </w:r>
          </w:p>
        </w:tc>
        <w:tc>
          <w:tcPr>
            <w:tcW w:w="0" w:type="auto"/>
            <w:tcBorders>
              <w:top w:val="nil"/>
              <w:left w:val="nil"/>
              <w:bottom w:val="nil"/>
              <w:right w:val="nil"/>
            </w:tcBorders>
            <w:shd w:val="clear" w:color="000000" w:fill="FFEC99"/>
            <w:noWrap/>
            <w:vAlign w:val="bottom"/>
            <w:hideMark/>
          </w:tcPr>
          <w:p w:rsidR="000649DF" w:rsidRPr="00D043A6" w:rsidRDefault="000649DF" w:rsidP="000649DF">
            <w:pPr>
              <w:jc w:val="center"/>
              <w:rPr>
                <w:rFonts w:eastAsia="Times New Roman"/>
                <w:sz w:val="22"/>
                <w:szCs w:val="22"/>
                <w:lang w:eastAsia="lv-LV"/>
              </w:rPr>
            </w:pPr>
            <w:r w:rsidRPr="00D043A6">
              <w:rPr>
                <w:rFonts w:eastAsia="Times New Roman"/>
                <w:sz w:val="22"/>
                <w:szCs w:val="22"/>
                <w:lang w:eastAsia="lv-LV"/>
              </w:rPr>
              <w:t>226</w:t>
            </w:r>
          </w:p>
        </w:tc>
        <w:tc>
          <w:tcPr>
            <w:tcW w:w="0" w:type="auto"/>
            <w:tcBorders>
              <w:top w:val="nil"/>
              <w:left w:val="nil"/>
              <w:bottom w:val="nil"/>
              <w:right w:val="nil"/>
            </w:tcBorders>
            <w:shd w:val="clear" w:color="000000" w:fill="FFED9A"/>
            <w:noWrap/>
            <w:vAlign w:val="bottom"/>
            <w:hideMark/>
          </w:tcPr>
          <w:p w:rsidR="000649DF" w:rsidRPr="00D043A6" w:rsidRDefault="000649DF" w:rsidP="000649DF">
            <w:pPr>
              <w:jc w:val="center"/>
              <w:rPr>
                <w:rFonts w:eastAsia="Times New Roman"/>
                <w:sz w:val="22"/>
                <w:szCs w:val="22"/>
                <w:lang w:eastAsia="lv-LV"/>
              </w:rPr>
            </w:pPr>
            <w:r w:rsidRPr="00D043A6">
              <w:rPr>
                <w:rFonts w:eastAsia="Times New Roman"/>
                <w:sz w:val="22"/>
                <w:szCs w:val="22"/>
                <w:lang w:eastAsia="lv-LV"/>
              </w:rPr>
              <w:t>196</w:t>
            </w:r>
          </w:p>
        </w:tc>
        <w:tc>
          <w:tcPr>
            <w:tcW w:w="0" w:type="auto"/>
            <w:tcBorders>
              <w:top w:val="nil"/>
              <w:left w:val="nil"/>
              <w:bottom w:val="nil"/>
              <w:right w:val="nil"/>
            </w:tcBorders>
            <w:shd w:val="clear" w:color="auto" w:fill="auto"/>
            <w:noWrap/>
            <w:vAlign w:val="bottom"/>
            <w:hideMark/>
          </w:tcPr>
          <w:p w:rsidR="000649DF" w:rsidRPr="00D043A6" w:rsidRDefault="000649DF" w:rsidP="000649DF">
            <w:pPr>
              <w:jc w:val="center"/>
              <w:rPr>
                <w:rFonts w:eastAsia="Times New Roman"/>
                <w:b/>
                <w:sz w:val="22"/>
                <w:szCs w:val="22"/>
                <w:lang w:eastAsia="lv-LV"/>
              </w:rPr>
            </w:pPr>
            <w:r w:rsidRPr="00D043A6">
              <w:rPr>
                <w:rFonts w:eastAsia="Times New Roman"/>
                <w:b/>
                <w:sz w:val="22"/>
                <w:szCs w:val="22"/>
                <w:lang w:eastAsia="lv-LV"/>
              </w:rPr>
              <w:t>12506</w:t>
            </w:r>
          </w:p>
        </w:tc>
      </w:tr>
      <w:tr w:rsidR="009625DD" w:rsidRPr="00D043A6" w:rsidTr="000649DF">
        <w:trPr>
          <w:trHeight w:val="225"/>
        </w:trPr>
        <w:tc>
          <w:tcPr>
            <w:tcW w:w="0" w:type="auto"/>
            <w:tcBorders>
              <w:top w:val="nil"/>
              <w:left w:val="single" w:sz="4" w:space="0" w:color="D8D8D8"/>
              <w:bottom w:val="single" w:sz="4" w:space="0" w:color="D8D8D8"/>
              <w:right w:val="single" w:sz="4" w:space="0" w:color="D8D8D8"/>
            </w:tcBorders>
            <w:shd w:val="clear" w:color="auto" w:fill="auto"/>
            <w:noWrap/>
            <w:hideMark/>
          </w:tcPr>
          <w:p w:rsidR="000649DF" w:rsidRPr="00D043A6" w:rsidRDefault="000649DF" w:rsidP="000649DF">
            <w:pPr>
              <w:rPr>
                <w:rFonts w:eastAsia="Times New Roman"/>
                <w:color w:val="333333"/>
                <w:sz w:val="22"/>
                <w:szCs w:val="22"/>
                <w:lang w:eastAsia="lv-LV"/>
              </w:rPr>
            </w:pPr>
            <w:r w:rsidRPr="00D043A6">
              <w:rPr>
                <w:rFonts w:eastAsia="Times New Roman"/>
                <w:color w:val="333333"/>
                <w:sz w:val="22"/>
                <w:szCs w:val="22"/>
                <w:lang w:eastAsia="lv-LV"/>
              </w:rPr>
              <w:t xml:space="preserve">6 un vairāk stāvu </w:t>
            </w:r>
          </w:p>
        </w:tc>
        <w:tc>
          <w:tcPr>
            <w:tcW w:w="0" w:type="auto"/>
            <w:tcBorders>
              <w:top w:val="nil"/>
              <w:left w:val="nil"/>
              <w:bottom w:val="nil"/>
              <w:right w:val="nil"/>
            </w:tcBorders>
            <w:shd w:val="clear" w:color="000000" w:fill="FFE896"/>
            <w:noWrap/>
            <w:vAlign w:val="bottom"/>
            <w:hideMark/>
          </w:tcPr>
          <w:p w:rsidR="000649DF" w:rsidRPr="00D043A6" w:rsidRDefault="000649DF" w:rsidP="000649DF">
            <w:pPr>
              <w:jc w:val="center"/>
              <w:rPr>
                <w:rFonts w:eastAsia="Times New Roman"/>
                <w:sz w:val="22"/>
                <w:szCs w:val="22"/>
                <w:lang w:eastAsia="lv-LV"/>
              </w:rPr>
            </w:pPr>
            <w:r w:rsidRPr="00D043A6">
              <w:rPr>
                <w:rFonts w:eastAsia="Times New Roman"/>
                <w:sz w:val="22"/>
                <w:szCs w:val="22"/>
                <w:lang w:eastAsia="lv-LV"/>
              </w:rPr>
              <w:t>496</w:t>
            </w:r>
          </w:p>
        </w:tc>
        <w:tc>
          <w:tcPr>
            <w:tcW w:w="0" w:type="auto"/>
            <w:tcBorders>
              <w:top w:val="nil"/>
              <w:left w:val="nil"/>
              <w:bottom w:val="nil"/>
              <w:right w:val="nil"/>
            </w:tcBorders>
            <w:shd w:val="clear" w:color="000000" w:fill="FFEF9C"/>
            <w:noWrap/>
            <w:vAlign w:val="bottom"/>
            <w:hideMark/>
          </w:tcPr>
          <w:p w:rsidR="000649DF" w:rsidRPr="00D043A6" w:rsidRDefault="000649DF" w:rsidP="000649DF">
            <w:pPr>
              <w:jc w:val="center"/>
              <w:rPr>
                <w:rFonts w:eastAsia="Times New Roman"/>
                <w:sz w:val="22"/>
                <w:szCs w:val="22"/>
                <w:lang w:eastAsia="lv-LV"/>
              </w:rPr>
            </w:pPr>
            <w:r w:rsidRPr="00D043A6">
              <w:rPr>
                <w:rFonts w:eastAsia="Times New Roman"/>
                <w:sz w:val="22"/>
                <w:szCs w:val="22"/>
                <w:lang w:eastAsia="lv-LV"/>
              </w:rPr>
              <w:t>22</w:t>
            </w:r>
          </w:p>
        </w:tc>
        <w:tc>
          <w:tcPr>
            <w:tcW w:w="0" w:type="auto"/>
            <w:tcBorders>
              <w:top w:val="nil"/>
              <w:left w:val="nil"/>
              <w:bottom w:val="nil"/>
              <w:right w:val="nil"/>
            </w:tcBorders>
            <w:shd w:val="clear" w:color="000000" w:fill="FFE895"/>
            <w:noWrap/>
            <w:vAlign w:val="bottom"/>
            <w:hideMark/>
          </w:tcPr>
          <w:p w:rsidR="000649DF" w:rsidRPr="00D043A6" w:rsidRDefault="000649DF" w:rsidP="000649DF">
            <w:pPr>
              <w:jc w:val="center"/>
              <w:rPr>
                <w:rFonts w:eastAsia="Times New Roman"/>
                <w:sz w:val="22"/>
                <w:szCs w:val="22"/>
                <w:lang w:eastAsia="lv-LV"/>
              </w:rPr>
            </w:pPr>
            <w:r w:rsidRPr="00D043A6">
              <w:rPr>
                <w:rFonts w:eastAsia="Times New Roman"/>
                <w:sz w:val="22"/>
                <w:szCs w:val="22"/>
                <w:lang w:eastAsia="lv-LV"/>
              </w:rPr>
              <w:t>514</w:t>
            </w:r>
          </w:p>
        </w:tc>
        <w:tc>
          <w:tcPr>
            <w:tcW w:w="0" w:type="auto"/>
            <w:tcBorders>
              <w:top w:val="nil"/>
              <w:left w:val="nil"/>
              <w:bottom w:val="nil"/>
              <w:right w:val="nil"/>
            </w:tcBorders>
            <w:shd w:val="clear" w:color="000000" w:fill="FFE391"/>
            <w:noWrap/>
            <w:vAlign w:val="bottom"/>
            <w:hideMark/>
          </w:tcPr>
          <w:p w:rsidR="000649DF" w:rsidRPr="00D043A6" w:rsidRDefault="000649DF" w:rsidP="000649DF">
            <w:pPr>
              <w:jc w:val="center"/>
              <w:rPr>
                <w:rFonts w:eastAsia="Times New Roman"/>
                <w:sz w:val="22"/>
                <w:szCs w:val="22"/>
                <w:lang w:eastAsia="lv-LV"/>
              </w:rPr>
            </w:pPr>
            <w:r w:rsidRPr="00D043A6">
              <w:rPr>
                <w:rFonts w:eastAsia="Times New Roman"/>
                <w:sz w:val="22"/>
                <w:szCs w:val="22"/>
                <w:lang w:eastAsia="lv-LV"/>
              </w:rPr>
              <w:t>854</w:t>
            </w:r>
          </w:p>
        </w:tc>
        <w:tc>
          <w:tcPr>
            <w:tcW w:w="0" w:type="auto"/>
            <w:tcBorders>
              <w:top w:val="nil"/>
              <w:left w:val="nil"/>
              <w:bottom w:val="nil"/>
              <w:right w:val="nil"/>
            </w:tcBorders>
            <w:shd w:val="clear" w:color="000000" w:fill="FFEF9C"/>
            <w:noWrap/>
            <w:vAlign w:val="bottom"/>
            <w:hideMark/>
          </w:tcPr>
          <w:p w:rsidR="000649DF" w:rsidRPr="00D043A6" w:rsidRDefault="000649DF" w:rsidP="000649DF">
            <w:pPr>
              <w:jc w:val="center"/>
              <w:rPr>
                <w:rFonts w:eastAsia="Times New Roman"/>
                <w:sz w:val="22"/>
                <w:szCs w:val="22"/>
                <w:lang w:eastAsia="lv-LV"/>
              </w:rPr>
            </w:pPr>
            <w:r w:rsidRPr="00D043A6">
              <w:rPr>
                <w:rFonts w:eastAsia="Times New Roman"/>
                <w:sz w:val="22"/>
                <w:szCs w:val="22"/>
                <w:lang w:eastAsia="lv-LV"/>
              </w:rPr>
              <w:t>62</w:t>
            </w:r>
          </w:p>
        </w:tc>
        <w:tc>
          <w:tcPr>
            <w:tcW w:w="0" w:type="auto"/>
            <w:tcBorders>
              <w:top w:val="nil"/>
              <w:left w:val="nil"/>
              <w:bottom w:val="nil"/>
              <w:right w:val="nil"/>
            </w:tcBorders>
            <w:shd w:val="clear" w:color="000000" w:fill="FFEE9B"/>
            <w:noWrap/>
            <w:vAlign w:val="bottom"/>
            <w:hideMark/>
          </w:tcPr>
          <w:p w:rsidR="000649DF" w:rsidRPr="00D043A6" w:rsidRDefault="000649DF" w:rsidP="000649DF">
            <w:pPr>
              <w:jc w:val="center"/>
              <w:rPr>
                <w:rFonts w:eastAsia="Times New Roman"/>
                <w:sz w:val="22"/>
                <w:szCs w:val="22"/>
                <w:lang w:eastAsia="lv-LV"/>
              </w:rPr>
            </w:pPr>
            <w:r w:rsidRPr="00D043A6">
              <w:rPr>
                <w:rFonts w:eastAsia="Times New Roman"/>
                <w:sz w:val="22"/>
                <w:szCs w:val="22"/>
                <w:lang w:eastAsia="lv-LV"/>
              </w:rPr>
              <w:t>100</w:t>
            </w:r>
          </w:p>
        </w:tc>
        <w:tc>
          <w:tcPr>
            <w:tcW w:w="0" w:type="auto"/>
            <w:tcBorders>
              <w:top w:val="nil"/>
              <w:left w:val="nil"/>
              <w:bottom w:val="nil"/>
              <w:right w:val="nil"/>
            </w:tcBorders>
            <w:shd w:val="clear" w:color="auto" w:fill="auto"/>
            <w:noWrap/>
            <w:vAlign w:val="bottom"/>
            <w:hideMark/>
          </w:tcPr>
          <w:p w:rsidR="000649DF" w:rsidRPr="00D043A6" w:rsidRDefault="000649DF" w:rsidP="000649DF">
            <w:pPr>
              <w:jc w:val="center"/>
              <w:rPr>
                <w:rFonts w:eastAsia="Times New Roman"/>
                <w:b/>
                <w:sz w:val="22"/>
                <w:szCs w:val="22"/>
                <w:lang w:eastAsia="lv-LV"/>
              </w:rPr>
            </w:pPr>
            <w:r w:rsidRPr="00D043A6">
              <w:rPr>
                <w:rFonts w:eastAsia="Times New Roman"/>
                <w:b/>
                <w:sz w:val="22"/>
                <w:szCs w:val="22"/>
                <w:lang w:eastAsia="lv-LV"/>
              </w:rPr>
              <w:t>2048</w:t>
            </w:r>
          </w:p>
        </w:tc>
      </w:tr>
    </w:tbl>
    <w:p w:rsidR="000649DF" w:rsidRPr="00D043A6" w:rsidRDefault="00A8688F" w:rsidP="00A64C52">
      <w:pPr>
        <w:spacing w:before="60"/>
        <w:rPr>
          <w:i/>
          <w:sz w:val="24"/>
          <w:szCs w:val="24"/>
          <w:lang w:eastAsia="lv-LV"/>
        </w:rPr>
      </w:pPr>
      <w:r w:rsidRPr="00D043A6">
        <w:rPr>
          <w:i/>
          <w:sz w:val="24"/>
          <w:szCs w:val="24"/>
          <w:lang w:eastAsia="lv-LV"/>
        </w:rPr>
        <w:t>2</w:t>
      </w:r>
      <w:r w:rsidR="00813AC8" w:rsidRPr="00D043A6">
        <w:rPr>
          <w:i/>
          <w:sz w:val="24"/>
          <w:szCs w:val="24"/>
          <w:lang w:eastAsia="lv-LV"/>
        </w:rPr>
        <w:t xml:space="preserve">. </w:t>
      </w:r>
      <w:r w:rsidR="009D6B81" w:rsidRPr="00D043A6">
        <w:rPr>
          <w:i/>
          <w:sz w:val="24"/>
          <w:szCs w:val="24"/>
          <w:lang w:eastAsia="lv-LV"/>
        </w:rPr>
        <w:t>t</w:t>
      </w:r>
      <w:r w:rsidR="000649DF" w:rsidRPr="00D043A6">
        <w:rPr>
          <w:i/>
          <w:sz w:val="24"/>
          <w:szCs w:val="24"/>
          <w:lang w:eastAsia="lv-LV"/>
        </w:rPr>
        <w:t xml:space="preserve">abula. Daudzdzīvokļu dzīvojamo ēku sadalījums pēc </w:t>
      </w:r>
      <w:r w:rsidR="000E726E" w:rsidRPr="00D043A6">
        <w:rPr>
          <w:i/>
          <w:sz w:val="24"/>
          <w:szCs w:val="24"/>
          <w:lang w:eastAsia="lv-LV"/>
        </w:rPr>
        <w:t>stāvu skaita (atsevišķi izceltas ēkas ar koka ārsienām),</w:t>
      </w:r>
      <w:r w:rsidR="000649DF" w:rsidRPr="00D043A6">
        <w:rPr>
          <w:i/>
          <w:sz w:val="24"/>
          <w:szCs w:val="24"/>
          <w:lang w:eastAsia="lv-LV"/>
        </w:rPr>
        <w:t xml:space="preserve"> miljonos m</w:t>
      </w:r>
      <w:r w:rsidR="000649DF" w:rsidRPr="00D043A6">
        <w:rPr>
          <w:i/>
          <w:sz w:val="24"/>
          <w:szCs w:val="24"/>
          <w:vertAlign w:val="superscript"/>
          <w:lang w:eastAsia="lv-LV"/>
        </w:rPr>
        <w:t>2</w:t>
      </w:r>
      <w:r w:rsidR="00A21F74" w:rsidRPr="00D043A6">
        <w:rPr>
          <w:i/>
          <w:sz w:val="24"/>
          <w:szCs w:val="24"/>
          <w:lang w:eastAsia="lv-LV"/>
        </w:rPr>
        <w:t>.</w:t>
      </w:r>
    </w:p>
    <w:tbl>
      <w:tblPr>
        <w:tblW w:w="5000" w:type="pct"/>
        <w:tblInd w:w="108" w:type="dxa"/>
        <w:tblLook w:val="04A0" w:firstRow="1" w:lastRow="0" w:firstColumn="1" w:lastColumn="0" w:noHBand="0" w:noVBand="1"/>
      </w:tblPr>
      <w:tblGrid>
        <w:gridCol w:w="1726"/>
        <w:gridCol w:w="1205"/>
        <w:gridCol w:w="1122"/>
        <w:gridCol w:w="1122"/>
        <w:gridCol w:w="1122"/>
        <w:gridCol w:w="1122"/>
        <w:gridCol w:w="1138"/>
        <w:gridCol w:w="730"/>
      </w:tblGrid>
      <w:tr w:rsidR="000649DF" w:rsidRPr="00D043A6" w:rsidTr="000649DF">
        <w:trPr>
          <w:trHeight w:val="450"/>
        </w:trPr>
        <w:tc>
          <w:tcPr>
            <w:tcW w:w="0" w:type="auto"/>
            <w:tcBorders>
              <w:top w:val="nil"/>
              <w:left w:val="nil"/>
              <w:bottom w:val="nil"/>
              <w:right w:val="nil"/>
            </w:tcBorders>
            <w:shd w:val="clear" w:color="auto" w:fill="auto"/>
            <w:vAlign w:val="bottom"/>
            <w:hideMark/>
          </w:tcPr>
          <w:p w:rsidR="000649DF" w:rsidRPr="00D043A6" w:rsidRDefault="000649DF" w:rsidP="000649DF">
            <w:pPr>
              <w:rPr>
                <w:rFonts w:eastAsia="Times New Roman"/>
                <w:sz w:val="22"/>
                <w:szCs w:val="22"/>
                <w:lang w:eastAsia="lv-LV"/>
              </w:rPr>
            </w:pPr>
          </w:p>
        </w:tc>
        <w:tc>
          <w:tcPr>
            <w:tcW w:w="0" w:type="auto"/>
            <w:tcBorders>
              <w:top w:val="single" w:sz="4" w:space="0" w:color="auto"/>
              <w:left w:val="single" w:sz="4" w:space="0" w:color="auto"/>
              <w:bottom w:val="single" w:sz="4" w:space="0" w:color="auto"/>
              <w:right w:val="nil"/>
            </w:tcBorders>
            <w:shd w:val="clear" w:color="auto" w:fill="auto"/>
            <w:vAlign w:val="center"/>
            <w:hideMark/>
          </w:tcPr>
          <w:p w:rsidR="000649DF" w:rsidRPr="00D043A6" w:rsidRDefault="000649DF" w:rsidP="000649DF">
            <w:pPr>
              <w:jc w:val="center"/>
              <w:rPr>
                <w:rFonts w:eastAsia="Times New Roman"/>
                <w:b/>
                <w:bCs/>
                <w:sz w:val="22"/>
                <w:szCs w:val="22"/>
                <w:lang w:eastAsia="lv-LV"/>
              </w:rPr>
            </w:pPr>
            <w:r w:rsidRPr="00D043A6">
              <w:rPr>
                <w:rFonts w:eastAsia="Times New Roman"/>
                <w:b/>
                <w:bCs/>
                <w:sz w:val="22"/>
                <w:szCs w:val="22"/>
                <w:lang w:eastAsia="lv-LV"/>
              </w:rPr>
              <w:t>Līdz 1941.g.</w:t>
            </w:r>
          </w:p>
        </w:tc>
        <w:tc>
          <w:tcPr>
            <w:tcW w:w="0" w:type="auto"/>
            <w:tcBorders>
              <w:top w:val="single" w:sz="4" w:space="0" w:color="auto"/>
              <w:left w:val="single" w:sz="4" w:space="0" w:color="auto"/>
              <w:bottom w:val="single" w:sz="4" w:space="0" w:color="auto"/>
              <w:right w:val="nil"/>
            </w:tcBorders>
            <w:shd w:val="clear" w:color="auto" w:fill="auto"/>
            <w:vAlign w:val="center"/>
            <w:hideMark/>
          </w:tcPr>
          <w:p w:rsidR="000649DF" w:rsidRPr="00D043A6" w:rsidRDefault="000649DF" w:rsidP="000649DF">
            <w:pPr>
              <w:jc w:val="center"/>
              <w:rPr>
                <w:rFonts w:eastAsia="Times New Roman"/>
                <w:b/>
                <w:bCs/>
                <w:sz w:val="22"/>
                <w:szCs w:val="22"/>
                <w:lang w:eastAsia="lv-LV"/>
              </w:rPr>
            </w:pPr>
            <w:r w:rsidRPr="00D043A6">
              <w:rPr>
                <w:rFonts w:eastAsia="Times New Roman"/>
                <w:b/>
                <w:bCs/>
                <w:sz w:val="22"/>
                <w:szCs w:val="22"/>
                <w:lang w:eastAsia="lv-LV"/>
              </w:rPr>
              <w:t>1941.-1960.</w:t>
            </w:r>
          </w:p>
        </w:tc>
        <w:tc>
          <w:tcPr>
            <w:tcW w:w="0" w:type="auto"/>
            <w:tcBorders>
              <w:top w:val="single" w:sz="4" w:space="0" w:color="auto"/>
              <w:left w:val="single" w:sz="4" w:space="0" w:color="auto"/>
              <w:bottom w:val="single" w:sz="4" w:space="0" w:color="auto"/>
              <w:right w:val="nil"/>
            </w:tcBorders>
            <w:shd w:val="clear" w:color="auto" w:fill="auto"/>
            <w:vAlign w:val="center"/>
            <w:hideMark/>
          </w:tcPr>
          <w:p w:rsidR="000649DF" w:rsidRPr="00D043A6" w:rsidRDefault="000649DF" w:rsidP="000649DF">
            <w:pPr>
              <w:jc w:val="center"/>
              <w:rPr>
                <w:rFonts w:eastAsia="Times New Roman"/>
                <w:b/>
                <w:bCs/>
                <w:sz w:val="22"/>
                <w:szCs w:val="22"/>
                <w:lang w:eastAsia="lv-LV"/>
              </w:rPr>
            </w:pPr>
            <w:r w:rsidRPr="00D043A6">
              <w:rPr>
                <w:rFonts w:eastAsia="Times New Roman"/>
                <w:b/>
                <w:bCs/>
                <w:sz w:val="22"/>
                <w:szCs w:val="22"/>
                <w:lang w:eastAsia="lv-LV"/>
              </w:rPr>
              <w:t>1961.-1979.</w:t>
            </w:r>
          </w:p>
        </w:tc>
        <w:tc>
          <w:tcPr>
            <w:tcW w:w="0" w:type="auto"/>
            <w:tcBorders>
              <w:top w:val="single" w:sz="4" w:space="0" w:color="auto"/>
              <w:left w:val="single" w:sz="4" w:space="0" w:color="auto"/>
              <w:bottom w:val="single" w:sz="4" w:space="0" w:color="auto"/>
              <w:right w:val="nil"/>
            </w:tcBorders>
            <w:shd w:val="clear" w:color="auto" w:fill="auto"/>
            <w:vAlign w:val="center"/>
            <w:hideMark/>
          </w:tcPr>
          <w:p w:rsidR="000649DF" w:rsidRPr="00D043A6" w:rsidRDefault="000649DF" w:rsidP="000649DF">
            <w:pPr>
              <w:jc w:val="center"/>
              <w:rPr>
                <w:rFonts w:eastAsia="Times New Roman"/>
                <w:b/>
                <w:bCs/>
                <w:sz w:val="22"/>
                <w:szCs w:val="22"/>
                <w:lang w:eastAsia="lv-LV"/>
              </w:rPr>
            </w:pPr>
            <w:r w:rsidRPr="00D043A6">
              <w:rPr>
                <w:rFonts w:eastAsia="Times New Roman"/>
                <w:b/>
                <w:bCs/>
                <w:sz w:val="22"/>
                <w:szCs w:val="22"/>
                <w:lang w:eastAsia="lv-LV"/>
              </w:rPr>
              <w:t>1980.-1992.</w:t>
            </w:r>
          </w:p>
        </w:tc>
        <w:tc>
          <w:tcPr>
            <w:tcW w:w="0" w:type="auto"/>
            <w:tcBorders>
              <w:top w:val="single" w:sz="4" w:space="0" w:color="auto"/>
              <w:left w:val="single" w:sz="4" w:space="0" w:color="auto"/>
              <w:bottom w:val="single" w:sz="4" w:space="0" w:color="auto"/>
              <w:right w:val="nil"/>
            </w:tcBorders>
            <w:shd w:val="clear" w:color="auto" w:fill="auto"/>
            <w:vAlign w:val="center"/>
            <w:hideMark/>
          </w:tcPr>
          <w:p w:rsidR="000649DF" w:rsidRPr="00D043A6" w:rsidRDefault="000649DF" w:rsidP="000649DF">
            <w:pPr>
              <w:jc w:val="center"/>
              <w:rPr>
                <w:rFonts w:eastAsia="Times New Roman"/>
                <w:b/>
                <w:bCs/>
                <w:sz w:val="22"/>
                <w:szCs w:val="22"/>
                <w:lang w:eastAsia="lv-LV"/>
              </w:rPr>
            </w:pPr>
            <w:r w:rsidRPr="00D043A6">
              <w:rPr>
                <w:rFonts w:eastAsia="Times New Roman"/>
                <w:b/>
                <w:bCs/>
                <w:sz w:val="22"/>
                <w:szCs w:val="22"/>
                <w:lang w:eastAsia="lv-LV"/>
              </w:rPr>
              <w:t>1993.-2002.</w:t>
            </w:r>
          </w:p>
        </w:tc>
        <w:tc>
          <w:tcPr>
            <w:tcW w:w="0" w:type="auto"/>
            <w:tcBorders>
              <w:top w:val="single" w:sz="4" w:space="0" w:color="auto"/>
              <w:left w:val="single" w:sz="4" w:space="0" w:color="auto"/>
              <w:bottom w:val="single" w:sz="4" w:space="0" w:color="auto"/>
              <w:right w:val="nil"/>
            </w:tcBorders>
            <w:shd w:val="clear" w:color="auto" w:fill="auto"/>
            <w:vAlign w:val="center"/>
            <w:hideMark/>
          </w:tcPr>
          <w:p w:rsidR="000649DF" w:rsidRPr="00D043A6" w:rsidRDefault="000649DF" w:rsidP="005764B7">
            <w:pPr>
              <w:jc w:val="center"/>
              <w:rPr>
                <w:rFonts w:eastAsia="Times New Roman"/>
                <w:b/>
                <w:bCs/>
                <w:sz w:val="22"/>
                <w:szCs w:val="22"/>
                <w:lang w:eastAsia="lv-LV"/>
              </w:rPr>
            </w:pPr>
            <w:r w:rsidRPr="00D043A6">
              <w:rPr>
                <w:rFonts w:eastAsia="Times New Roman"/>
                <w:b/>
                <w:bCs/>
                <w:sz w:val="22"/>
                <w:szCs w:val="22"/>
                <w:lang w:eastAsia="lv-LV"/>
              </w:rPr>
              <w:t>Pēc 2003.</w:t>
            </w:r>
            <w:r w:rsidR="005764B7" w:rsidRPr="00D043A6">
              <w:rPr>
                <w:rFonts w:eastAsia="Times New Roman"/>
                <w:b/>
                <w:bCs/>
                <w:sz w:val="22"/>
                <w:szCs w:val="22"/>
                <w:lang w:eastAsia="lv-LV"/>
              </w:rPr>
              <w:t>g.</w:t>
            </w:r>
          </w:p>
        </w:tc>
        <w:tc>
          <w:tcPr>
            <w:tcW w:w="0" w:type="auto"/>
            <w:tcBorders>
              <w:top w:val="single" w:sz="4" w:space="0" w:color="auto"/>
              <w:left w:val="single" w:sz="4" w:space="0" w:color="auto"/>
              <w:bottom w:val="single" w:sz="4" w:space="0" w:color="auto"/>
              <w:right w:val="nil"/>
            </w:tcBorders>
            <w:shd w:val="clear" w:color="auto" w:fill="auto"/>
            <w:vAlign w:val="center"/>
            <w:hideMark/>
          </w:tcPr>
          <w:p w:rsidR="000649DF" w:rsidRPr="00D043A6" w:rsidRDefault="000649DF" w:rsidP="000649DF">
            <w:pPr>
              <w:jc w:val="center"/>
              <w:rPr>
                <w:rFonts w:eastAsia="Times New Roman"/>
                <w:b/>
                <w:bCs/>
                <w:sz w:val="22"/>
                <w:szCs w:val="22"/>
                <w:lang w:eastAsia="lv-LV"/>
              </w:rPr>
            </w:pPr>
            <w:r w:rsidRPr="00D043A6">
              <w:rPr>
                <w:rFonts w:eastAsia="Times New Roman"/>
                <w:b/>
                <w:bCs/>
                <w:sz w:val="22"/>
                <w:szCs w:val="22"/>
                <w:lang w:eastAsia="lv-LV"/>
              </w:rPr>
              <w:t>Kopā</w:t>
            </w:r>
          </w:p>
        </w:tc>
      </w:tr>
      <w:tr w:rsidR="000649DF" w:rsidRPr="00D043A6" w:rsidTr="000649DF">
        <w:trPr>
          <w:trHeight w:val="300"/>
        </w:trPr>
        <w:tc>
          <w:tcPr>
            <w:tcW w:w="0" w:type="auto"/>
            <w:tcBorders>
              <w:top w:val="single" w:sz="4" w:space="0" w:color="D8D8D8"/>
              <w:left w:val="single" w:sz="4" w:space="0" w:color="D8D8D8"/>
              <w:bottom w:val="single" w:sz="4" w:space="0" w:color="D8D8D8"/>
              <w:right w:val="single" w:sz="4" w:space="0" w:color="D8D8D8"/>
            </w:tcBorders>
            <w:shd w:val="clear" w:color="auto" w:fill="auto"/>
            <w:noWrap/>
            <w:hideMark/>
          </w:tcPr>
          <w:p w:rsidR="000649DF" w:rsidRPr="00D043A6" w:rsidRDefault="000649DF" w:rsidP="000649DF">
            <w:pPr>
              <w:rPr>
                <w:rFonts w:eastAsia="Times New Roman"/>
                <w:color w:val="333333"/>
                <w:sz w:val="22"/>
                <w:szCs w:val="22"/>
                <w:lang w:eastAsia="lv-LV"/>
              </w:rPr>
            </w:pPr>
            <w:r w:rsidRPr="00D043A6">
              <w:rPr>
                <w:rFonts w:eastAsia="Times New Roman"/>
                <w:color w:val="333333"/>
                <w:sz w:val="22"/>
                <w:szCs w:val="22"/>
                <w:lang w:eastAsia="lv-LV"/>
              </w:rPr>
              <w:t>ar koka ārsienām</w:t>
            </w:r>
          </w:p>
        </w:tc>
        <w:tc>
          <w:tcPr>
            <w:tcW w:w="0" w:type="auto"/>
            <w:tcBorders>
              <w:top w:val="nil"/>
              <w:left w:val="nil"/>
              <w:bottom w:val="nil"/>
              <w:right w:val="nil"/>
            </w:tcBorders>
            <w:shd w:val="clear" w:color="000000" w:fill="E6E897"/>
            <w:noWrap/>
            <w:vAlign w:val="bottom"/>
            <w:hideMark/>
          </w:tcPr>
          <w:p w:rsidR="000649DF" w:rsidRPr="00D043A6" w:rsidRDefault="000649DF" w:rsidP="000649DF">
            <w:pPr>
              <w:jc w:val="right"/>
              <w:rPr>
                <w:rFonts w:eastAsia="Times New Roman"/>
                <w:color w:val="000000"/>
                <w:sz w:val="22"/>
                <w:szCs w:val="22"/>
                <w:lang w:eastAsia="lv-LV"/>
              </w:rPr>
            </w:pPr>
            <w:r w:rsidRPr="00D043A6">
              <w:rPr>
                <w:rFonts w:eastAsia="Times New Roman"/>
                <w:color w:val="000000"/>
                <w:sz w:val="22"/>
                <w:szCs w:val="22"/>
                <w:lang w:eastAsia="lv-LV"/>
              </w:rPr>
              <w:t>2.29</w:t>
            </w:r>
          </w:p>
        </w:tc>
        <w:tc>
          <w:tcPr>
            <w:tcW w:w="0" w:type="auto"/>
            <w:tcBorders>
              <w:top w:val="nil"/>
              <w:left w:val="nil"/>
              <w:bottom w:val="nil"/>
              <w:right w:val="nil"/>
            </w:tcBorders>
            <w:shd w:val="clear" w:color="000000" w:fill="FCEE9C"/>
            <w:noWrap/>
            <w:vAlign w:val="bottom"/>
            <w:hideMark/>
          </w:tcPr>
          <w:p w:rsidR="000649DF" w:rsidRPr="00D043A6" w:rsidRDefault="000649DF" w:rsidP="000649DF">
            <w:pPr>
              <w:jc w:val="right"/>
              <w:rPr>
                <w:rFonts w:eastAsia="Times New Roman"/>
                <w:color w:val="000000"/>
                <w:sz w:val="22"/>
                <w:szCs w:val="22"/>
                <w:lang w:eastAsia="lv-LV"/>
              </w:rPr>
            </w:pPr>
            <w:r w:rsidRPr="00D043A6">
              <w:rPr>
                <w:rFonts w:eastAsia="Times New Roman"/>
                <w:color w:val="000000"/>
                <w:sz w:val="22"/>
                <w:szCs w:val="22"/>
                <w:lang w:eastAsia="lv-LV"/>
              </w:rPr>
              <w:t>0.33</w:t>
            </w:r>
          </w:p>
        </w:tc>
        <w:tc>
          <w:tcPr>
            <w:tcW w:w="0" w:type="auto"/>
            <w:tcBorders>
              <w:top w:val="nil"/>
              <w:left w:val="nil"/>
              <w:bottom w:val="nil"/>
              <w:right w:val="nil"/>
            </w:tcBorders>
            <w:shd w:val="clear" w:color="000000" w:fill="FEEF9C"/>
            <w:noWrap/>
            <w:vAlign w:val="bottom"/>
            <w:hideMark/>
          </w:tcPr>
          <w:p w:rsidR="000649DF" w:rsidRPr="00D043A6" w:rsidRDefault="000649DF" w:rsidP="000649DF">
            <w:pPr>
              <w:jc w:val="right"/>
              <w:rPr>
                <w:rFonts w:eastAsia="Times New Roman"/>
                <w:color w:val="000000"/>
                <w:sz w:val="22"/>
                <w:szCs w:val="22"/>
                <w:lang w:eastAsia="lv-LV"/>
              </w:rPr>
            </w:pPr>
            <w:r w:rsidRPr="00D043A6">
              <w:rPr>
                <w:rFonts w:eastAsia="Times New Roman"/>
                <w:color w:val="000000"/>
                <w:sz w:val="22"/>
                <w:szCs w:val="22"/>
                <w:lang w:eastAsia="lv-LV"/>
              </w:rPr>
              <w:t>0.11</w:t>
            </w:r>
          </w:p>
        </w:tc>
        <w:tc>
          <w:tcPr>
            <w:tcW w:w="0" w:type="auto"/>
            <w:tcBorders>
              <w:top w:val="nil"/>
              <w:left w:val="nil"/>
              <w:bottom w:val="nil"/>
              <w:right w:val="nil"/>
            </w:tcBorders>
            <w:shd w:val="clear" w:color="000000" w:fill="FFEF9C"/>
            <w:noWrap/>
            <w:vAlign w:val="bottom"/>
            <w:hideMark/>
          </w:tcPr>
          <w:p w:rsidR="000649DF" w:rsidRPr="00D043A6" w:rsidRDefault="000649DF" w:rsidP="000649DF">
            <w:pPr>
              <w:jc w:val="right"/>
              <w:rPr>
                <w:rFonts w:eastAsia="Times New Roman"/>
                <w:color w:val="000000"/>
                <w:sz w:val="22"/>
                <w:szCs w:val="22"/>
                <w:lang w:eastAsia="lv-LV"/>
              </w:rPr>
            </w:pPr>
            <w:r w:rsidRPr="00D043A6">
              <w:rPr>
                <w:rFonts w:eastAsia="Times New Roman"/>
                <w:color w:val="000000"/>
                <w:sz w:val="22"/>
                <w:szCs w:val="22"/>
                <w:lang w:eastAsia="lv-LV"/>
              </w:rPr>
              <w:t>0.017</w:t>
            </w:r>
          </w:p>
        </w:tc>
        <w:tc>
          <w:tcPr>
            <w:tcW w:w="0" w:type="auto"/>
            <w:tcBorders>
              <w:top w:val="nil"/>
              <w:left w:val="nil"/>
              <w:bottom w:val="nil"/>
              <w:right w:val="nil"/>
            </w:tcBorders>
            <w:shd w:val="clear" w:color="000000" w:fill="FFEF9C"/>
            <w:noWrap/>
            <w:vAlign w:val="bottom"/>
            <w:hideMark/>
          </w:tcPr>
          <w:p w:rsidR="000649DF" w:rsidRPr="00D043A6" w:rsidRDefault="000649DF" w:rsidP="000649DF">
            <w:pPr>
              <w:jc w:val="right"/>
              <w:rPr>
                <w:rFonts w:eastAsia="Times New Roman"/>
                <w:color w:val="000000"/>
                <w:sz w:val="22"/>
                <w:szCs w:val="22"/>
                <w:lang w:eastAsia="lv-LV"/>
              </w:rPr>
            </w:pPr>
            <w:r w:rsidRPr="00D043A6">
              <w:rPr>
                <w:rFonts w:eastAsia="Times New Roman"/>
                <w:color w:val="000000"/>
                <w:sz w:val="22"/>
                <w:szCs w:val="22"/>
                <w:lang w:eastAsia="lv-LV"/>
              </w:rPr>
              <w:t>0.004</w:t>
            </w:r>
          </w:p>
        </w:tc>
        <w:tc>
          <w:tcPr>
            <w:tcW w:w="0" w:type="auto"/>
            <w:tcBorders>
              <w:top w:val="nil"/>
              <w:left w:val="nil"/>
              <w:bottom w:val="nil"/>
              <w:right w:val="nil"/>
            </w:tcBorders>
            <w:shd w:val="clear" w:color="000000" w:fill="FFEF9C"/>
            <w:noWrap/>
            <w:vAlign w:val="bottom"/>
            <w:hideMark/>
          </w:tcPr>
          <w:p w:rsidR="000649DF" w:rsidRPr="00D043A6" w:rsidRDefault="000649DF" w:rsidP="000649DF">
            <w:pPr>
              <w:jc w:val="right"/>
              <w:rPr>
                <w:rFonts w:eastAsia="Times New Roman"/>
                <w:color w:val="000000"/>
                <w:sz w:val="22"/>
                <w:szCs w:val="22"/>
                <w:lang w:eastAsia="lv-LV"/>
              </w:rPr>
            </w:pPr>
            <w:r w:rsidRPr="00D043A6">
              <w:rPr>
                <w:rFonts w:eastAsia="Times New Roman"/>
                <w:color w:val="000000"/>
                <w:sz w:val="22"/>
                <w:szCs w:val="22"/>
                <w:lang w:eastAsia="lv-LV"/>
              </w:rPr>
              <w:t>0.005</w:t>
            </w:r>
          </w:p>
        </w:tc>
        <w:tc>
          <w:tcPr>
            <w:tcW w:w="0" w:type="auto"/>
            <w:tcBorders>
              <w:top w:val="nil"/>
              <w:left w:val="nil"/>
              <w:bottom w:val="nil"/>
              <w:right w:val="nil"/>
            </w:tcBorders>
            <w:shd w:val="clear" w:color="auto" w:fill="auto"/>
            <w:noWrap/>
            <w:vAlign w:val="bottom"/>
            <w:hideMark/>
          </w:tcPr>
          <w:p w:rsidR="000649DF" w:rsidRPr="00D043A6" w:rsidRDefault="000649DF" w:rsidP="000649DF">
            <w:pPr>
              <w:jc w:val="right"/>
              <w:rPr>
                <w:rFonts w:eastAsia="Times New Roman"/>
                <w:b/>
                <w:color w:val="000000"/>
                <w:sz w:val="22"/>
                <w:szCs w:val="22"/>
                <w:lang w:eastAsia="lv-LV"/>
              </w:rPr>
            </w:pPr>
            <w:r w:rsidRPr="00D043A6">
              <w:rPr>
                <w:rFonts w:eastAsia="Times New Roman"/>
                <w:b/>
                <w:color w:val="000000"/>
                <w:sz w:val="22"/>
                <w:szCs w:val="22"/>
                <w:lang w:eastAsia="lv-LV"/>
              </w:rPr>
              <w:t>2.76</w:t>
            </w:r>
          </w:p>
        </w:tc>
      </w:tr>
      <w:tr w:rsidR="000649DF" w:rsidRPr="00D043A6" w:rsidTr="000649DF">
        <w:trPr>
          <w:trHeight w:val="300"/>
        </w:trPr>
        <w:tc>
          <w:tcPr>
            <w:tcW w:w="0" w:type="auto"/>
            <w:tcBorders>
              <w:top w:val="nil"/>
              <w:left w:val="single" w:sz="4" w:space="0" w:color="D8D8D8"/>
              <w:bottom w:val="single" w:sz="4" w:space="0" w:color="D8D8D8"/>
              <w:right w:val="single" w:sz="4" w:space="0" w:color="D8D8D8"/>
            </w:tcBorders>
            <w:shd w:val="clear" w:color="auto" w:fill="auto"/>
            <w:noWrap/>
            <w:hideMark/>
          </w:tcPr>
          <w:p w:rsidR="000649DF" w:rsidRPr="00D043A6" w:rsidRDefault="000649DF" w:rsidP="000649DF">
            <w:pPr>
              <w:rPr>
                <w:rFonts w:eastAsia="Times New Roman"/>
                <w:color w:val="333333"/>
                <w:sz w:val="22"/>
                <w:szCs w:val="22"/>
                <w:lang w:eastAsia="lv-LV"/>
              </w:rPr>
            </w:pPr>
            <w:r w:rsidRPr="00D043A6">
              <w:rPr>
                <w:rFonts w:eastAsia="Times New Roman"/>
                <w:color w:val="333333"/>
                <w:sz w:val="22"/>
                <w:szCs w:val="22"/>
                <w:lang w:eastAsia="lv-LV"/>
              </w:rPr>
              <w:t xml:space="preserve">1–2 stāvu </w:t>
            </w:r>
          </w:p>
        </w:tc>
        <w:tc>
          <w:tcPr>
            <w:tcW w:w="0" w:type="auto"/>
            <w:tcBorders>
              <w:top w:val="nil"/>
              <w:left w:val="nil"/>
              <w:bottom w:val="nil"/>
              <w:right w:val="nil"/>
            </w:tcBorders>
            <w:shd w:val="clear" w:color="000000" w:fill="EBE998"/>
            <w:noWrap/>
            <w:vAlign w:val="bottom"/>
            <w:hideMark/>
          </w:tcPr>
          <w:p w:rsidR="000649DF" w:rsidRPr="00D043A6" w:rsidRDefault="000649DF" w:rsidP="000649DF">
            <w:pPr>
              <w:jc w:val="right"/>
              <w:rPr>
                <w:rFonts w:eastAsia="Times New Roman"/>
                <w:color w:val="000000"/>
                <w:sz w:val="22"/>
                <w:szCs w:val="22"/>
                <w:lang w:eastAsia="lv-LV"/>
              </w:rPr>
            </w:pPr>
            <w:r w:rsidRPr="00D043A6">
              <w:rPr>
                <w:rFonts w:eastAsia="Times New Roman"/>
                <w:color w:val="000000"/>
                <w:sz w:val="22"/>
                <w:szCs w:val="22"/>
                <w:lang w:eastAsia="lv-LV"/>
              </w:rPr>
              <w:t>1.84</w:t>
            </w:r>
          </w:p>
        </w:tc>
        <w:tc>
          <w:tcPr>
            <w:tcW w:w="0" w:type="auto"/>
            <w:tcBorders>
              <w:top w:val="nil"/>
              <w:left w:val="nil"/>
              <w:bottom w:val="nil"/>
              <w:right w:val="nil"/>
            </w:tcBorders>
            <w:shd w:val="clear" w:color="000000" w:fill="F3EC9A"/>
            <w:noWrap/>
            <w:vAlign w:val="bottom"/>
            <w:hideMark/>
          </w:tcPr>
          <w:p w:rsidR="000649DF" w:rsidRPr="00D043A6" w:rsidRDefault="000649DF" w:rsidP="000649DF">
            <w:pPr>
              <w:jc w:val="right"/>
              <w:rPr>
                <w:rFonts w:eastAsia="Times New Roman"/>
                <w:color w:val="000000"/>
                <w:sz w:val="22"/>
                <w:szCs w:val="22"/>
                <w:lang w:eastAsia="lv-LV"/>
              </w:rPr>
            </w:pPr>
            <w:r w:rsidRPr="00D043A6">
              <w:rPr>
                <w:rFonts w:eastAsia="Times New Roman"/>
                <w:color w:val="000000"/>
                <w:sz w:val="22"/>
                <w:szCs w:val="22"/>
                <w:lang w:eastAsia="lv-LV"/>
              </w:rPr>
              <w:t>1.12</w:t>
            </w:r>
          </w:p>
        </w:tc>
        <w:tc>
          <w:tcPr>
            <w:tcW w:w="0" w:type="auto"/>
            <w:tcBorders>
              <w:top w:val="nil"/>
              <w:left w:val="nil"/>
              <w:bottom w:val="nil"/>
              <w:right w:val="nil"/>
            </w:tcBorders>
            <w:shd w:val="clear" w:color="000000" w:fill="EFEA99"/>
            <w:noWrap/>
            <w:vAlign w:val="bottom"/>
            <w:hideMark/>
          </w:tcPr>
          <w:p w:rsidR="000649DF" w:rsidRPr="00D043A6" w:rsidRDefault="000649DF" w:rsidP="000649DF">
            <w:pPr>
              <w:jc w:val="right"/>
              <w:rPr>
                <w:rFonts w:eastAsia="Times New Roman"/>
                <w:color w:val="000000"/>
                <w:sz w:val="22"/>
                <w:szCs w:val="22"/>
                <w:lang w:eastAsia="lv-LV"/>
              </w:rPr>
            </w:pPr>
            <w:r w:rsidRPr="00D043A6">
              <w:rPr>
                <w:rFonts w:eastAsia="Times New Roman"/>
                <w:color w:val="000000"/>
                <w:sz w:val="22"/>
                <w:szCs w:val="22"/>
                <w:lang w:eastAsia="lv-LV"/>
              </w:rPr>
              <w:t>1.53</w:t>
            </w:r>
          </w:p>
        </w:tc>
        <w:tc>
          <w:tcPr>
            <w:tcW w:w="0" w:type="auto"/>
            <w:tcBorders>
              <w:top w:val="nil"/>
              <w:left w:val="nil"/>
              <w:bottom w:val="nil"/>
              <w:right w:val="nil"/>
            </w:tcBorders>
            <w:shd w:val="clear" w:color="000000" w:fill="FBEE9C"/>
            <w:noWrap/>
            <w:vAlign w:val="bottom"/>
            <w:hideMark/>
          </w:tcPr>
          <w:p w:rsidR="000649DF" w:rsidRPr="00D043A6" w:rsidRDefault="000649DF" w:rsidP="000649DF">
            <w:pPr>
              <w:jc w:val="right"/>
              <w:rPr>
                <w:rFonts w:eastAsia="Times New Roman"/>
                <w:color w:val="000000"/>
                <w:sz w:val="22"/>
                <w:szCs w:val="22"/>
                <w:lang w:eastAsia="lv-LV"/>
              </w:rPr>
            </w:pPr>
            <w:r w:rsidRPr="00D043A6">
              <w:rPr>
                <w:rFonts w:eastAsia="Times New Roman"/>
                <w:color w:val="000000"/>
                <w:sz w:val="22"/>
                <w:szCs w:val="22"/>
                <w:lang w:eastAsia="lv-LV"/>
              </w:rPr>
              <w:t>0.43</w:t>
            </w:r>
          </w:p>
        </w:tc>
        <w:tc>
          <w:tcPr>
            <w:tcW w:w="0" w:type="auto"/>
            <w:tcBorders>
              <w:top w:val="nil"/>
              <w:left w:val="nil"/>
              <w:bottom w:val="nil"/>
              <w:right w:val="nil"/>
            </w:tcBorders>
            <w:shd w:val="clear" w:color="000000" w:fill="FFEF9C"/>
            <w:noWrap/>
            <w:vAlign w:val="bottom"/>
            <w:hideMark/>
          </w:tcPr>
          <w:p w:rsidR="000649DF" w:rsidRPr="00D043A6" w:rsidRDefault="000649DF" w:rsidP="000649DF">
            <w:pPr>
              <w:jc w:val="right"/>
              <w:rPr>
                <w:rFonts w:eastAsia="Times New Roman"/>
                <w:color w:val="000000"/>
                <w:sz w:val="22"/>
                <w:szCs w:val="22"/>
                <w:lang w:eastAsia="lv-LV"/>
              </w:rPr>
            </w:pPr>
            <w:r w:rsidRPr="00D043A6">
              <w:rPr>
                <w:rFonts w:eastAsia="Times New Roman"/>
                <w:color w:val="000000"/>
                <w:sz w:val="22"/>
                <w:szCs w:val="22"/>
                <w:lang w:eastAsia="lv-LV"/>
              </w:rPr>
              <w:t>0.042</w:t>
            </w:r>
          </w:p>
        </w:tc>
        <w:tc>
          <w:tcPr>
            <w:tcW w:w="0" w:type="auto"/>
            <w:tcBorders>
              <w:top w:val="nil"/>
              <w:left w:val="nil"/>
              <w:bottom w:val="nil"/>
              <w:right w:val="nil"/>
            </w:tcBorders>
            <w:shd w:val="clear" w:color="000000" w:fill="FFEF9C"/>
            <w:noWrap/>
            <w:vAlign w:val="bottom"/>
            <w:hideMark/>
          </w:tcPr>
          <w:p w:rsidR="000649DF" w:rsidRPr="00D043A6" w:rsidRDefault="000649DF" w:rsidP="000649DF">
            <w:pPr>
              <w:jc w:val="right"/>
              <w:rPr>
                <w:rFonts w:eastAsia="Times New Roman"/>
                <w:color w:val="000000"/>
                <w:sz w:val="22"/>
                <w:szCs w:val="22"/>
                <w:lang w:eastAsia="lv-LV"/>
              </w:rPr>
            </w:pPr>
            <w:r w:rsidRPr="00D043A6">
              <w:rPr>
                <w:rFonts w:eastAsia="Times New Roman"/>
                <w:color w:val="000000"/>
                <w:sz w:val="22"/>
                <w:szCs w:val="22"/>
                <w:lang w:eastAsia="lv-LV"/>
              </w:rPr>
              <w:t>0.042</w:t>
            </w:r>
          </w:p>
        </w:tc>
        <w:tc>
          <w:tcPr>
            <w:tcW w:w="0" w:type="auto"/>
            <w:tcBorders>
              <w:top w:val="nil"/>
              <w:left w:val="nil"/>
              <w:bottom w:val="nil"/>
              <w:right w:val="nil"/>
            </w:tcBorders>
            <w:shd w:val="clear" w:color="auto" w:fill="auto"/>
            <w:noWrap/>
            <w:vAlign w:val="bottom"/>
            <w:hideMark/>
          </w:tcPr>
          <w:p w:rsidR="000649DF" w:rsidRPr="00D043A6" w:rsidRDefault="000649DF" w:rsidP="000649DF">
            <w:pPr>
              <w:jc w:val="right"/>
              <w:rPr>
                <w:rFonts w:eastAsia="Times New Roman"/>
                <w:b/>
                <w:color w:val="000000"/>
                <w:sz w:val="22"/>
                <w:szCs w:val="22"/>
                <w:lang w:eastAsia="lv-LV"/>
              </w:rPr>
            </w:pPr>
            <w:r w:rsidRPr="00D043A6">
              <w:rPr>
                <w:rFonts w:eastAsia="Times New Roman"/>
                <w:b/>
                <w:color w:val="000000"/>
                <w:sz w:val="22"/>
                <w:szCs w:val="22"/>
                <w:lang w:eastAsia="lv-LV"/>
              </w:rPr>
              <w:t>5.00</w:t>
            </w:r>
          </w:p>
        </w:tc>
      </w:tr>
      <w:tr w:rsidR="000649DF" w:rsidRPr="00D043A6" w:rsidTr="000649DF">
        <w:trPr>
          <w:trHeight w:val="300"/>
        </w:trPr>
        <w:tc>
          <w:tcPr>
            <w:tcW w:w="0" w:type="auto"/>
            <w:tcBorders>
              <w:top w:val="nil"/>
              <w:left w:val="single" w:sz="4" w:space="0" w:color="D8D8D8"/>
              <w:bottom w:val="single" w:sz="4" w:space="0" w:color="D8D8D8"/>
              <w:right w:val="single" w:sz="4" w:space="0" w:color="D8D8D8"/>
            </w:tcBorders>
            <w:shd w:val="clear" w:color="auto" w:fill="auto"/>
            <w:noWrap/>
            <w:hideMark/>
          </w:tcPr>
          <w:p w:rsidR="000649DF" w:rsidRPr="00D043A6" w:rsidRDefault="000649DF" w:rsidP="000649DF">
            <w:pPr>
              <w:rPr>
                <w:rFonts w:eastAsia="Times New Roman"/>
                <w:color w:val="333333"/>
                <w:sz w:val="22"/>
                <w:szCs w:val="22"/>
                <w:lang w:eastAsia="lv-LV"/>
              </w:rPr>
            </w:pPr>
            <w:r w:rsidRPr="00D043A6">
              <w:rPr>
                <w:rFonts w:eastAsia="Times New Roman"/>
                <w:color w:val="333333"/>
                <w:sz w:val="22"/>
                <w:szCs w:val="22"/>
                <w:lang w:eastAsia="lv-LV"/>
              </w:rPr>
              <w:t xml:space="preserve">3–5 stāvu </w:t>
            </w:r>
          </w:p>
        </w:tc>
        <w:tc>
          <w:tcPr>
            <w:tcW w:w="0" w:type="auto"/>
            <w:tcBorders>
              <w:top w:val="nil"/>
              <w:left w:val="nil"/>
              <w:bottom w:val="nil"/>
              <w:right w:val="nil"/>
            </w:tcBorders>
            <w:shd w:val="clear" w:color="000000" w:fill="DFE596"/>
            <w:noWrap/>
            <w:vAlign w:val="bottom"/>
            <w:hideMark/>
          </w:tcPr>
          <w:p w:rsidR="000649DF" w:rsidRPr="00D043A6" w:rsidRDefault="000649DF" w:rsidP="000649DF">
            <w:pPr>
              <w:jc w:val="right"/>
              <w:rPr>
                <w:rFonts w:eastAsia="Times New Roman"/>
                <w:color w:val="000000"/>
                <w:sz w:val="22"/>
                <w:szCs w:val="22"/>
                <w:lang w:eastAsia="lv-LV"/>
              </w:rPr>
            </w:pPr>
            <w:r w:rsidRPr="00D043A6">
              <w:rPr>
                <w:rFonts w:eastAsia="Times New Roman"/>
                <w:color w:val="000000"/>
                <w:sz w:val="22"/>
                <w:szCs w:val="22"/>
                <w:lang w:eastAsia="lv-LV"/>
              </w:rPr>
              <w:t>2.98</w:t>
            </w:r>
          </w:p>
        </w:tc>
        <w:tc>
          <w:tcPr>
            <w:tcW w:w="0" w:type="auto"/>
            <w:tcBorders>
              <w:top w:val="nil"/>
              <w:left w:val="nil"/>
              <w:bottom w:val="nil"/>
              <w:right w:val="nil"/>
            </w:tcBorders>
            <w:shd w:val="clear" w:color="000000" w:fill="EFEA99"/>
            <w:noWrap/>
            <w:vAlign w:val="bottom"/>
            <w:hideMark/>
          </w:tcPr>
          <w:p w:rsidR="000649DF" w:rsidRPr="00D043A6" w:rsidRDefault="000649DF" w:rsidP="000649DF">
            <w:pPr>
              <w:jc w:val="right"/>
              <w:rPr>
                <w:rFonts w:eastAsia="Times New Roman"/>
                <w:color w:val="000000"/>
                <w:sz w:val="22"/>
                <w:szCs w:val="22"/>
                <w:lang w:eastAsia="lv-LV"/>
              </w:rPr>
            </w:pPr>
            <w:r w:rsidRPr="00D043A6">
              <w:rPr>
                <w:rFonts w:eastAsia="Times New Roman"/>
                <w:color w:val="000000"/>
                <w:sz w:val="22"/>
                <w:szCs w:val="22"/>
                <w:lang w:eastAsia="lv-LV"/>
              </w:rPr>
              <w:t>1.50</w:t>
            </w:r>
          </w:p>
        </w:tc>
        <w:tc>
          <w:tcPr>
            <w:tcW w:w="0" w:type="auto"/>
            <w:tcBorders>
              <w:top w:val="nil"/>
              <w:left w:val="nil"/>
              <w:bottom w:val="nil"/>
              <w:right w:val="nil"/>
            </w:tcBorders>
            <w:shd w:val="clear" w:color="000000" w:fill="63BE7B"/>
            <w:noWrap/>
            <w:vAlign w:val="bottom"/>
            <w:hideMark/>
          </w:tcPr>
          <w:p w:rsidR="000649DF" w:rsidRPr="00D043A6" w:rsidRDefault="000649DF" w:rsidP="000649DF">
            <w:pPr>
              <w:jc w:val="right"/>
              <w:rPr>
                <w:rFonts w:eastAsia="Times New Roman"/>
                <w:color w:val="000000"/>
                <w:sz w:val="22"/>
                <w:szCs w:val="22"/>
                <w:lang w:eastAsia="lv-LV"/>
              </w:rPr>
            </w:pPr>
            <w:r w:rsidRPr="00D043A6">
              <w:rPr>
                <w:rFonts w:eastAsia="Times New Roman"/>
                <w:color w:val="000000"/>
                <w:sz w:val="22"/>
                <w:szCs w:val="22"/>
                <w:lang w:eastAsia="lv-LV"/>
              </w:rPr>
              <w:t>14.13</w:t>
            </w:r>
          </w:p>
        </w:tc>
        <w:tc>
          <w:tcPr>
            <w:tcW w:w="0" w:type="auto"/>
            <w:tcBorders>
              <w:top w:val="nil"/>
              <w:left w:val="nil"/>
              <w:bottom w:val="nil"/>
              <w:right w:val="nil"/>
            </w:tcBorders>
            <w:shd w:val="clear" w:color="000000" w:fill="99CF87"/>
            <w:noWrap/>
            <w:vAlign w:val="bottom"/>
            <w:hideMark/>
          </w:tcPr>
          <w:p w:rsidR="000649DF" w:rsidRPr="00D043A6" w:rsidRDefault="000649DF" w:rsidP="000649DF">
            <w:pPr>
              <w:jc w:val="right"/>
              <w:rPr>
                <w:rFonts w:eastAsia="Times New Roman"/>
                <w:color w:val="000000"/>
                <w:sz w:val="22"/>
                <w:szCs w:val="22"/>
                <w:lang w:eastAsia="lv-LV"/>
              </w:rPr>
            </w:pPr>
            <w:r w:rsidRPr="00D043A6">
              <w:rPr>
                <w:rFonts w:eastAsia="Times New Roman"/>
                <w:color w:val="000000"/>
                <w:sz w:val="22"/>
                <w:szCs w:val="22"/>
                <w:lang w:eastAsia="lv-LV"/>
              </w:rPr>
              <w:t>9.27</w:t>
            </w:r>
          </w:p>
        </w:tc>
        <w:tc>
          <w:tcPr>
            <w:tcW w:w="0" w:type="auto"/>
            <w:tcBorders>
              <w:top w:val="nil"/>
              <w:left w:val="nil"/>
              <w:bottom w:val="nil"/>
              <w:right w:val="nil"/>
            </w:tcBorders>
            <w:shd w:val="clear" w:color="000000" w:fill="FAEE9B"/>
            <w:noWrap/>
            <w:vAlign w:val="bottom"/>
            <w:hideMark/>
          </w:tcPr>
          <w:p w:rsidR="000649DF" w:rsidRPr="00D043A6" w:rsidRDefault="000649DF" w:rsidP="000649DF">
            <w:pPr>
              <w:jc w:val="right"/>
              <w:rPr>
                <w:rFonts w:eastAsia="Times New Roman"/>
                <w:color w:val="000000"/>
                <w:sz w:val="22"/>
                <w:szCs w:val="22"/>
                <w:lang w:eastAsia="lv-LV"/>
              </w:rPr>
            </w:pPr>
            <w:r w:rsidRPr="00D043A6">
              <w:rPr>
                <w:rFonts w:eastAsia="Times New Roman"/>
                <w:color w:val="000000"/>
                <w:sz w:val="22"/>
                <w:szCs w:val="22"/>
                <w:lang w:eastAsia="lv-LV"/>
              </w:rPr>
              <w:t>0.53</w:t>
            </w:r>
          </w:p>
        </w:tc>
        <w:tc>
          <w:tcPr>
            <w:tcW w:w="0" w:type="auto"/>
            <w:tcBorders>
              <w:top w:val="nil"/>
              <w:left w:val="nil"/>
              <w:bottom w:val="nil"/>
              <w:right w:val="nil"/>
            </w:tcBorders>
            <w:shd w:val="clear" w:color="000000" w:fill="F9EE9B"/>
            <w:noWrap/>
            <w:vAlign w:val="bottom"/>
            <w:hideMark/>
          </w:tcPr>
          <w:p w:rsidR="000649DF" w:rsidRPr="00D043A6" w:rsidRDefault="000649DF" w:rsidP="000649DF">
            <w:pPr>
              <w:jc w:val="right"/>
              <w:rPr>
                <w:rFonts w:eastAsia="Times New Roman"/>
                <w:color w:val="000000"/>
                <w:sz w:val="22"/>
                <w:szCs w:val="22"/>
                <w:lang w:eastAsia="lv-LV"/>
              </w:rPr>
            </w:pPr>
            <w:r w:rsidRPr="00D043A6">
              <w:rPr>
                <w:rFonts w:eastAsia="Times New Roman"/>
                <w:color w:val="000000"/>
                <w:sz w:val="22"/>
                <w:szCs w:val="22"/>
                <w:lang w:eastAsia="lv-LV"/>
              </w:rPr>
              <w:t>0.56</w:t>
            </w:r>
          </w:p>
        </w:tc>
        <w:tc>
          <w:tcPr>
            <w:tcW w:w="0" w:type="auto"/>
            <w:tcBorders>
              <w:top w:val="nil"/>
              <w:left w:val="nil"/>
              <w:bottom w:val="nil"/>
              <w:right w:val="nil"/>
            </w:tcBorders>
            <w:shd w:val="clear" w:color="auto" w:fill="auto"/>
            <w:noWrap/>
            <w:vAlign w:val="bottom"/>
            <w:hideMark/>
          </w:tcPr>
          <w:p w:rsidR="000649DF" w:rsidRPr="00D043A6" w:rsidRDefault="000649DF" w:rsidP="000649DF">
            <w:pPr>
              <w:jc w:val="right"/>
              <w:rPr>
                <w:rFonts w:eastAsia="Times New Roman"/>
                <w:b/>
                <w:color w:val="000000"/>
                <w:sz w:val="22"/>
                <w:szCs w:val="22"/>
                <w:lang w:eastAsia="lv-LV"/>
              </w:rPr>
            </w:pPr>
            <w:r w:rsidRPr="00D043A6">
              <w:rPr>
                <w:rFonts w:eastAsia="Times New Roman"/>
                <w:b/>
                <w:color w:val="000000"/>
                <w:sz w:val="22"/>
                <w:szCs w:val="22"/>
                <w:lang w:eastAsia="lv-LV"/>
              </w:rPr>
              <w:t>28.97</w:t>
            </w:r>
          </w:p>
        </w:tc>
      </w:tr>
      <w:tr w:rsidR="000649DF" w:rsidRPr="00D043A6" w:rsidTr="000649DF">
        <w:trPr>
          <w:trHeight w:val="300"/>
        </w:trPr>
        <w:tc>
          <w:tcPr>
            <w:tcW w:w="0" w:type="auto"/>
            <w:tcBorders>
              <w:top w:val="nil"/>
              <w:left w:val="single" w:sz="4" w:space="0" w:color="D8D8D8"/>
              <w:bottom w:val="single" w:sz="4" w:space="0" w:color="D8D8D8"/>
              <w:right w:val="single" w:sz="4" w:space="0" w:color="D8D8D8"/>
            </w:tcBorders>
            <w:shd w:val="clear" w:color="auto" w:fill="auto"/>
            <w:noWrap/>
            <w:hideMark/>
          </w:tcPr>
          <w:p w:rsidR="000649DF" w:rsidRPr="00D043A6" w:rsidRDefault="000649DF" w:rsidP="000649DF">
            <w:pPr>
              <w:rPr>
                <w:rFonts w:eastAsia="Times New Roman"/>
                <w:color w:val="333333"/>
                <w:sz w:val="22"/>
                <w:szCs w:val="22"/>
                <w:lang w:eastAsia="lv-LV"/>
              </w:rPr>
            </w:pPr>
            <w:r w:rsidRPr="00D043A6">
              <w:rPr>
                <w:rFonts w:eastAsia="Times New Roman"/>
                <w:color w:val="333333"/>
                <w:sz w:val="22"/>
                <w:szCs w:val="22"/>
                <w:lang w:eastAsia="lv-LV"/>
              </w:rPr>
              <w:t xml:space="preserve">6 un vairāk stāvu </w:t>
            </w:r>
          </w:p>
        </w:tc>
        <w:tc>
          <w:tcPr>
            <w:tcW w:w="0" w:type="auto"/>
            <w:tcBorders>
              <w:top w:val="nil"/>
              <w:left w:val="nil"/>
              <w:bottom w:val="nil"/>
              <w:right w:val="nil"/>
            </w:tcBorders>
            <w:shd w:val="clear" w:color="000000" w:fill="F0EB99"/>
            <w:noWrap/>
            <w:vAlign w:val="bottom"/>
            <w:hideMark/>
          </w:tcPr>
          <w:p w:rsidR="000649DF" w:rsidRPr="00D043A6" w:rsidRDefault="000649DF" w:rsidP="000649DF">
            <w:pPr>
              <w:jc w:val="right"/>
              <w:rPr>
                <w:rFonts w:eastAsia="Times New Roman"/>
                <w:color w:val="000000"/>
                <w:sz w:val="22"/>
                <w:szCs w:val="22"/>
                <w:lang w:eastAsia="lv-LV"/>
              </w:rPr>
            </w:pPr>
            <w:r w:rsidRPr="00D043A6">
              <w:rPr>
                <w:rFonts w:eastAsia="Times New Roman"/>
                <w:color w:val="000000"/>
                <w:sz w:val="22"/>
                <w:szCs w:val="22"/>
                <w:lang w:eastAsia="lv-LV"/>
              </w:rPr>
              <w:t>1.38</w:t>
            </w:r>
          </w:p>
        </w:tc>
        <w:tc>
          <w:tcPr>
            <w:tcW w:w="0" w:type="auto"/>
            <w:tcBorders>
              <w:top w:val="nil"/>
              <w:left w:val="nil"/>
              <w:bottom w:val="nil"/>
              <w:right w:val="nil"/>
            </w:tcBorders>
            <w:shd w:val="clear" w:color="000000" w:fill="FEEF9C"/>
            <w:noWrap/>
            <w:vAlign w:val="bottom"/>
            <w:hideMark/>
          </w:tcPr>
          <w:p w:rsidR="000649DF" w:rsidRPr="00D043A6" w:rsidRDefault="000649DF" w:rsidP="000649DF">
            <w:pPr>
              <w:jc w:val="right"/>
              <w:rPr>
                <w:rFonts w:eastAsia="Times New Roman"/>
                <w:color w:val="000000"/>
                <w:sz w:val="22"/>
                <w:szCs w:val="22"/>
                <w:lang w:eastAsia="lv-LV"/>
              </w:rPr>
            </w:pPr>
            <w:r w:rsidRPr="00D043A6">
              <w:rPr>
                <w:rFonts w:eastAsia="Times New Roman"/>
                <w:color w:val="000000"/>
                <w:sz w:val="22"/>
                <w:szCs w:val="22"/>
                <w:lang w:eastAsia="lv-LV"/>
              </w:rPr>
              <w:t>0.11</w:t>
            </w:r>
          </w:p>
        </w:tc>
        <w:tc>
          <w:tcPr>
            <w:tcW w:w="0" w:type="auto"/>
            <w:tcBorders>
              <w:top w:val="nil"/>
              <w:left w:val="nil"/>
              <w:bottom w:val="nil"/>
              <w:right w:val="nil"/>
            </w:tcBorders>
            <w:shd w:val="clear" w:color="000000" w:fill="E2E696"/>
            <w:noWrap/>
            <w:vAlign w:val="bottom"/>
            <w:hideMark/>
          </w:tcPr>
          <w:p w:rsidR="000649DF" w:rsidRPr="00D043A6" w:rsidRDefault="000649DF" w:rsidP="000649DF">
            <w:pPr>
              <w:jc w:val="right"/>
              <w:rPr>
                <w:rFonts w:eastAsia="Times New Roman"/>
                <w:color w:val="000000"/>
                <w:sz w:val="22"/>
                <w:szCs w:val="22"/>
                <w:lang w:eastAsia="lv-LV"/>
              </w:rPr>
            </w:pPr>
            <w:r w:rsidRPr="00D043A6">
              <w:rPr>
                <w:rFonts w:eastAsia="Times New Roman"/>
                <w:color w:val="000000"/>
                <w:sz w:val="22"/>
                <w:szCs w:val="22"/>
                <w:lang w:eastAsia="lv-LV"/>
              </w:rPr>
              <w:t>2.67</w:t>
            </w:r>
          </w:p>
        </w:tc>
        <w:tc>
          <w:tcPr>
            <w:tcW w:w="0" w:type="auto"/>
            <w:tcBorders>
              <w:top w:val="nil"/>
              <w:left w:val="nil"/>
              <w:bottom w:val="nil"/>
              <w:right w:val="nil"/>
            </w:tcBorders>
            <w:shd w:val="clear" w:color="000000" w:fill="CBDF91"/>
            <w:noWrap/>
            <w:vAlign w:val="bottom"/>
            <w:hideMark/>
          </w:tcPr>
          <w:p w:rsidR="000649DF" w:rsidRPr="00D043A6" w:rsidRDefault="000649DF" w:rsidP="000649DF">
            <w:pPr>
              <w:jc w:val="right"/>
              <w:rPr>
                <w:rFonts w:eastAsia="Times New Roman"/>
                <w:color w:val="000000"/>
                <w:sz w:val="22"/>
                <w:szCs w:val="22"/>
                <w:lang w:eastAsia="lv-LV"/>
              </w:rPr>
            </w:pPr>
            <w:r w:rsidRPr="00D043A6">
              <w:rPr>
                <w:rFonts w:eastAsia="Times New Roman"/>
                <w:color w:val="000000"/>
                <w:sz w:val="22"/>
                <w:szCs w:val="22"/>
                <w:lang w:eastAsia="lv-LV"/>
              </w:rPr>
              <w:t>4.71</w:t>
            </w:r>
          </w:p>
        </w:tc>
        <w:tc>
          <w:tcPr>
            <w:tcW w:w="0" w:type="auto"/>
            <w:tcBorders>
              <w:top w:val="nil"/>
              <w:left w:val="nil"/>
              <w:bottom w:val="nil"/>
              <w:right w:val="nil"/>
            </w:tcBorders>
            <w:shd w:val="clear" w:color="000000" w:fill="FCEE9C"/>
            <w:noWrap/>
            <w:vAlign w:val="bottom"/>
            <w:hideMark/>
          </w:tcPr>
          <w:p w:rsidR="000649DF" w:rsidRPr="00D043A6" w:rsidRDefault="000649DF" w:rsidP="000649DF">
            <w:pPr>
              <w:jc w:val="right"/>
              <w:rPr>
                <w:rFonts w:eastAsia="Times New Roman"/>
                <w:color w:val="000000"/>
                <w:sz w:val="22"/>
                <w:szCs w:val="22"/>
                <w:lang w:eastAsia="lv-LV"/>
              </w:rPr>
            </w:pPr>
            <w:r w:rsidRPr="00D043A6">
              <w:rPr>
                <w:rFonts w:eastAsia="Times New Roman"/>
                <w:color w:val="000000"/>
                <w:sz w:val="22"/>
                <w:szCs w:val="22"/>
                <w:lang w:eastAsia="lv-LV"/>
              </w:rPr>
              <w:t>0.34</w:t>
            </w:r>
          </w:p>
        </w:tc>
        <w:tc>
          <w:tcPr>
            <w:tcW w:w="0" w:type="auto"/>
            <w:tcBorders>
              <w:top w:val="nil"/>
              <w:left w:val="nil"/>
              <w:bottom w:val="nil"/>
              <w:right w:val="nil"/>
            </w:tcBorders>
            <w:shd w:val="clear" w:color="000000" w:fill="F9EE9B"/>
            <w:noWrap/>
            <w:vAlign w:val="bottom"/>
            <w:hideMark/>
          </w:tcPr>
          <w:p w:rsidR="000649DF" w:rsidRPr="00D043A6" w:rsidRDefault="000649DF" w:rsidP="000649DF">
            <w:pPr>
              <w:jc w:val="right"/>
              <w:rPr>
                <w:rFonts w:eastAsia="Times New Roman"/>
                <w:color w:val="000000"/>
                <w:sz w:val="22"/>
                <w:szCs w:val="22"/>
                <w:lang w:eastAsia="lv-LV"/>
              </w:rPr>
            </w:pPr>
            <w:r w:rsidRPr="00D043A6">
              <w:rPr>
                <w:rFonts w:eastAsia="Times New Roman"/>
                <w:color w:val="000000"/>
                <w:sz w:val="22"/>
                <w:szCs w:val="22"/>
                <w:lang w:eastAsia="lv-LV"/>
              </w:rPr>
              <w:t>0.58</w:t>
            </w:r>
          </w:p>
        </w:tc>
        <w:tc>
          <w:tcPr>
            <w:tcW w:w="0" w:type="auto"/>
            <w:tcBorders>
              <w:top w:val="nil"/>
              <w:left w:val="nil"/>
              <w:bottom w:val="nil"/>
              <w:right w:val="nil"/>
            </w:tcBorders>
            <w:shd w:val="clear" w:color="auto" w:fill="auto"/>
            <w:noWrap/>
            <w:vAlign w:val="bottom"/>
            <w:hideMark/>
          </w:tcPr>
          <w:p w:rsidR="000649DF" w:rsidRPr="00D043A6" w:rsidRDefault="0070735F" w:rsidP="000649DF">
            <w:pPr>
              <w:jc w:val="right"/>
              <w:rPr>
                <w:rFonts w:eastAsia="Times New Roman"/>
                <w:b/>
                <w:color w:val="000000"/>
                <w:sz w:val="22"/>
                <w:szCs w:val="22"/>
                <w:lang w:eastAsia="lv-LV"/>
              </w:rPr>
            </w:pPr>
            <w:r w:rsidRPr="00D043A6">
              <w:rPr>
                <w:rFonts w:eastAsia="Times New Roman"/>
                <w:b/>
                <w:color w:val="000000"/>
                <w:sz w:val="22"/>
                <w:szCs w:val="22"/>
                <w:lang w:eastAsia="lv-LV"/>
              </w:rPr>
              <w:t>9.80</w:t>
            </w:r>
          </w:p>
        </w:tc>
      </w:tr>
    </w:tbl>
    <w:p w:rsidR="000649DF" w:rsidRPr="00D043A6" w:rsidRDefault="000649DF" w:rsidP="003C7DD5">
      <w:pPr>
        <w:rPr>
          <w:sz w:val="24"/>
          <w:szCs w:val="24"/>
          <w:lang w:eastAsia="lv-LV"/>
        </w:rPr>
      </w:pPr>
    </w:p>
    <w:p w:rsidR="009625DD" w:rsidRPr="00D043A6" w:rsidRDefault="00BD709C" w:rsidP="00A64C52">
      <w:pPr>
        <w:ind w:firstLine="720"/>
        <w:rPr>
          <w:sz w:val="24"/>
          <w:szCs w:val="24"/>
          <w:lang w:eastAsia="lv-LV"/>
        </w:rPr>
      </w:pPr>
      <w:r w:rsidRPr="00D043A6">
        <w:rPr>
          <w:sz w:val="24"/>
          <w:szCs w:val="24"/>
          <w:lang w:eastAsia="lv-LV"/>
        </w:rPr>
        <w:t>Pēc ārsienu materiāla visvairāk</w:t>
      </w:r>
      <w:r w:rsidR="007F2587">
        <w:rPr>
          <w:sz w:val="24"/>
          <w:szCs w:val="24"/>
          <w:lang w:eastAsia="lv-LV"/>
        </w:rPr>
        <w:t xml:space="preserve"> gan pēc skaita, gan pēc platības</w:t>
      </w:r>
      <w:r w:rsidRPr="00D043A6">
        <w:rPr>
          <w:sz w:val="24"/>
          <w:szCs w:val="24"/>
          <w:lang w:eastAsia="lv-LV"/>
        </w:rPr>
        <w:t xml:space="preserve"> ir ķieģeļu mūra ēkas (43% no skaita, 40% no platīb</w:t>
      </w:r>
      <w:r w:rsidR="007F2587">
        <w:rPr>
          <w:sz w:val="24"/>
          <w:szCs w:val="24"/>
          <w:lang w:eastAsia="lv-LV"/>
        </w:rPr>
        <w:t>as</w:t>
      </w:r>
      <w:r w:rsidRPr="00D043A6">
        <w:rPr>
          <w:sz w:val="24"/>
          <w:szCs w:val="24"/>
          <w:lang w:eastAsia="lv-LV"/>
        </w:rPr>
        <w:t>). 29% no dzīvojamo māju skaita ir koka ēkas, savukārt pēc platīb</w:t>
      </w:r>
      <w:r w:rsidR="007F2587">
        <w:rPr>
          <w:sz w:val="24"/>
          <w:szCs w:val="24"/>
          <w:lang w:eastAsia="lv-LV"/>
        </w:rPr>
        <w:t>as</w:t>
      </w:r>
      <w:r w:rsidRPr="00D043A6">
        <w:rPr>
          <w:sz w:val="24"/>
          <w:szCs w:val="24"/>
          <w:lang w:eastAsia="lv-LV"/>
        </w:rPr>
        <w:t xml:space="preserve"> 26% ir dzelzsbetona/betona ēkas un 20% ķieģeļu/paneļu ēkas</w:t>
      </w:r>
      <w:r w:rsidR="00D50F13" w:rsidRPr="00D043A6">
        <w:rPr>
          <w:sz w:val="24"/>
          <w:szCs w:val="24"/>
          <w:lang w:eastAsia="lv-LV"/>
        </w:rPr>
        <w:t xml:space="preserve"> (1. attēls)</w:t>
      </w:r>
      <w:r w:rsidRPr="00D043A6">
        <w:rPr>
          <w:sz w:val="24"/>
          <w:szCs w:val="24"/>
          <w:lang w:eastAsia="lv-LV"/>
        </w:rPr>
        <w:t>.</w:t>
      </w:r>
    </w:p>
    <w:p w:rsidR="009625DD" w:rsidRPr="00D043A6" w:rsidRDefault="009625DD" w:rsidP="003C7DD5">
      <w:pPr>
        <w:rPr>
          <w:sz w:val="24"/>
          <w:szCs w:val="24"/>
          <w:lang w:eastAsia="lv-LV"/>
        </w:rPr>
      </w:pPr>
      <w:r w:rsidRPr="00D043A6">
        <w:rPr>
          <w:noProof/>
          <w:sz w:val="24"/>
          <w:szCs w:val="24"/>
          <w:lang w:eastAsia="lv-LV"/>
        </w:rPr>
        <w:lastRenderedPageBreak/>
        <w:drawing>
          <wp:inline distT="0" distB="0" distL="0" distR="0" wp14:anchorId="3AAE212A" wp14:editId="453B1090">
            <wp:extent cx="3238500" cy="2162175"/>
            <wp:effectExtent l="19050" t="0" r="19050" b="0"/>
            <wp:docPr id="9"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D043A6">
        <w:rPr>
          <w:noProof/>
          <w:lang w:eastAsia="lv-LV"/>
        </w:rPr>
        <w:t xml:space="preserve"> </w:t>
      </w:r>
      <w:r w:rsidRPr="00D043A6">
        <w:rPr>
          <w:noProof/>
          <w:sz w:val="24"/>
          <w:szCs w:val="24"/>
          <w:lang w:eastAsia="lv-LV"/>
        </w:rPr>
        <w:drawing>
          <wp:inline distT="0" distB="0" distL="0" distR="0" wp14:anchorId="05F74905" wp14:editId="7AB8FD16">
            <wp:extent cx="2400300" cy="2028825"/>
            <wp:effectExtent l="0" t="0" r="0" b="0"/>
            <wp:docPr id="10"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625DD" w:rsidRDefault="00D50F13" w:rsidP="00A64C52">
      <w:pPr>
        <w:spacing w:after="60"/>
        <w:rPr>
          <w:i/>
          <w:noProof/>
          <w:sz w:val="24"/>
          <w:szCs w:val="24"/>
          <w:lang w:eastAsia="lv-LV"/>
        </w:rPr>
      </w:pPr>
      <w:r w:rsidRPr="00D043A6">
        <w:rPr>
          <w:i/>
          <w:noProof/>
          <w:sz w:val="24"/>
          <w:szCs w:val="24"/>
          <w:lang w:eastAsia="lv-LV"/>
        </w:rPr>
        <w:t>1</w:t>
      </w:r>
      <w:r w:rsidR="009625DD" w:rsidRPr="00D043A6">
        <w:rPr>
          <w:i/>
          <w:noProof/>
          <w:sz w:val="24"/>
          <w:szCs w:val="24"/>
          <w:lang w:eastAsia="lv-LV"/>
        </w:rPr>
        <w:t>. attēls. NĪVK IS reģistrēto daudzdzīvokļu dzīvojamo ēku sadalījums pēc skaita un platīb</w:t>
      </w:r>
      <w:r w:rsidR="007F2587">
        <w:rPr>
          <w:i/>
          <w:noProof/>
          <w:sz w:val="24"/>
          <w:szCs w:val="24"/>
          <w:lang w:eastAsia="lv-LV"/>
        </w:rPr>
        <w:t>as</w:t>
      </w:r>
      <w:r w:rsidR="009625DD" w:rsidRPr="00D043A6">
        <w:rPr>
          <w:i/>
          <w:noProof/>
          <w:sz w:val="24"/>
          <w:szCs w:val="24"/>
          <w:lang w:eastAsia="lv-LV"/>
        </w:rPr>
        <w:t xml:space="preserve"> atkarībā no ārsienu materiāla.</w:t>
      </w:r>
    </w:p>
    <w:p w:rsidR="007F2587" w:rsidRPr="00D043A6" w:rsidRDefault="007F2587" w:rsidP="00A64C52">
      <w:pPr>
        <w:spacing w:after="60"/>
        <w:rPr>
          <w:i/>
          <w:sz w:val="24"/>
          <w:szCs w:val="24"/>
          <w:lang w:eastAsia="lv-LV"/>
        </w:rPr>
      </w:pPr>
    </w:p>
    <w:p w:rsidR="005E13CB" w:rsidRPr="00D043A6" w:rsidRDefault="005E13CB" w:rsidP="005E13CB">
      <w:pPr>
        <w:keepLines/>
        <w:ind w:firstLine="720"/>
        <w:jc w:val="both"/>
        <w:rPr>
          <w:sz w:val="24"/>
          <w:szCs w:val="24"/>
          <w:lang w:eastAsia="lv-LV"/>
        </w:rPr>
      </w:pPr>
      <w:r w:rsidRPr="00D043A6">
        <w:rPr>
          <w:sz w:val="24"/>
          <w:szCs w:val="24"/>
          <w:lang w:eastAsia="lv-LV"/>
        </w:rPr>
        <w:t>Esošo ēku sektoru pēc siltumtehniskā raksturojuma var sadalīt šādos periodos: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336"/>
      </w:tblGrid>
      <w:tr w:rsidR="005E13CB" w:rsidRPr="00D043A6" w:rsidTr="0094168A">
        <w:tc>
          <w:tcPr>
            <w:tcW w:w="1951" w:type="dxa"/>
          </w:tcPr>
          <w:p w:rsidR="005E13CB" w:rsidRPr="00D043A6" w:rsidRDefault="005E13CB" w:rsidP="00A64C52">
            <w:pPr>
              <w:keepLines/>
              <w:spacing w:before="60"/>
              <w:rPr>
                <w:sz w:val="24"/>
                <w:szCs w:val="24"/>
                <w:lang w:eastAsia="lv-LV"/>
              </w:rPr>
            </w:pPr>
            <w:r w:rsidRPr="00D043A6">
              <w:rPr>
                <w:sz w:val="24"/>
                <w:szCs w:val="24"/>
                <w:lang w:eastAsia="lv-LV"/>
              </w:rPr>
              <w:t>līdz 1940. gadam</w:t>
            </w:r>
          </w:p>
        </w:tc>
        <w:tc>
          <w:tcPr>
            <w:tcW w:w="7336" w:type="dxa"/>
          </w:tcPr>
          <w:p w:rsidR="00701550" w:rsidRPr="00D043A6" w:rsidRDefault="005E13CB" w:rsidP="007F2587">
            <w:pPr>
              <w:keepLines/>
              <w:spacing w:before="60"/>
              <w:jc w:val="both"/>
              <w:rPr>
                <w:sz w:val="24"/>
                <w:szCs w:val="24"/>
                <w:lang w:eastAsia="lv-LV"/>
              </w:rPr>
            </w:pPr>
            <w:r w:rsidRPr="00D043A6">
              <w:rPr>
                <w:sz w:val="24"/>
                <w:szCs w:val="24"/>
                <w:lang w:eastAsia="lv-LV"/>
              </w:rPr>
              <w:t xml:space="preserve">Pirmskara laika apbūve, pārsvarā no koka lauku teritorijās, ķieģeļu mūra </w:t>
            </w:r>
            <w:r w:rsidR="007F2587">
              <w:rPr>
                <w:sz w:val="24"/>
                <w:szCs w:val="24"/>
                <w:lang w:eastAsia="lv-LV"/>
              </w:rPr>
              <w:t xml:space="preserve">- </w:t>
            </w:r>
            <w:r w:rsidRPr="00D043A6">
              <w:rPr>
                <w:sz w:val="24"/>
                <w:szCs w:val="24"/>
                <w:lang w:eastAsia="lv-LV"/>
              </w:rPr>
              <w:t>pilsētās. Vairums ēku ir līdz diviem stāviem.</w:t>
            </w:r>
            <w:r w:rsidR="00D50F13" w:rsidRPr="00D043A6">
              <w:rPr>
                <w:sz w:val="24"/>
                <w:szCs w:val="24"/>
                <w:lang w:eastAsia="lv-LV"/>
              </w:rPr>
              <w:t xml:space="preserve"> </w:t>
            </w:r>
          </w:p>
        </w:tc>
      </w:tr>
      <w:tr w:rsidR="005E13CB" w:rsidRPr="00D043A6" w:rsidTr="0094168A">
        <w:tc>
          <w:tcPr>
            <w:tcW w:w="1951" w:type="dxa"/>
          </w:tcPr>
          <w:p w:rsidR="005E13CB" w:rsidRPr="00D043A6" w:rsidRDefault="005E13CB" w:rsidP="00A64C52">
            <w:pPr>
              <w:keepLines/>
              <w:spacing w:before="60"/>
              <w:rPr>
                <w:sz w:val="24"/>
                <w:szCs w:val="24"/>
                <w:lang w:eastAsia="lv-LV"/>
              </w:rPr>
            </w:pPr>
            <w:r w:rsidRPr="00D043A6">
              <w:rPr>
                <w:sz w:val="24"/>
                <w:szCs w:val="24"/>
                <w:lang w:eastAsia="lv-LV"/>
              </w:rPr>
              <w:t>1941</w:t>
            </w:r>
            <w:r w:rsidR="0094168A" w:rsidRPr="00D043A6">
              <w:rPr>
                <w:sz w:val="24"/>
                <w:szCs w:val="24"/>
                <w:lang w:eastAsia="lv-LV"/>
              </w:rPr>
              <w:t>.</w:t>
            </w:r>
            <w:r w:rsidRPr="00D043A6">
              <w:rPr>
                <w:sz w:val="24"/>
                <w:szCs w:val="24"/>
                <w:lang w:eastAsia="lv-LV"/>
              </w:rPr>
              <w:t xml:space="preserve"> – 1960</w:t>
            </w:r>
            <w:r w:rsidR="0094168A" w:rsidRPr="00D043A6">
              <w:rPr>
                <w:sz w:val="24"/>
                <w:szCs w:val="24"/>
                <w:lang w:eastAsia="lv-LV"/>
              </w:rPr>
              <w:t>.g.</w:t>
            </w:r>
          </w:p>
        </w:tc>
        <w:tc>
          <w:tcPr>
            <w:tcW w:w="7336" w:type="dxa"/>
          </w:tcPr>
          <w:p w:rsidR="005E13CB" w:rsidRPr="00D043A6" w:rsidRDefault="005E13CB" w:rsidP="007F2587">
            <w:pPr>
              <w:keepLines/>
              <w:spacing w:before="60"/>
              <w:jc w:val="both"/>
              <w:rPr>
                <w:sz w:val="24"/>
                <w:szCs w:val="24"/>
                <w:lang w:eastAsia="lv-LV"/>
              </w:rPr>
            </w:pPr>
            <w:r w:rsidRPr="00D043A6">
              <w:rPr>
                <w:sz w:val="24"/>
                <w:szCs w:val="24"/>
                <w:lang w:eastAsia="lv-LV"/>
              </w:rPr>
              <w:t>Pēckara laika apbūve, periodam raksturīga laba kvalitāte, pārsvarā ķieģeļu ēkas, dzīvojamo sektoru raksturo pēc Staļina laika tipveida projektiem būvētās</w:t>
            </w:r>
            <w:r w:rsidR="00AA4715" w:rsidRPr="00D043A6">
              <w:rPr>
                <w:sz w:val="24"/>
                <w:szCs w:val="24"/>
                <w:lang w:eastAsia="lv-LV"/>
              </w:rPr>
              <w:t xml:space="preserve"> </w:t>
            </w:r>
            <w:r w:rsidR="00E2481E" w:rsidRPr="00D043A6">
              <w:rPr>
                <w:sz w:val="24"/>
                <w:szCs w:val="24"/>
                <w:lang w:eastAsia="lv-LV"/>
              </w:rPr>
              <w:t>ķieģeļu</w:t>
            </w:r>
            <w:r w:rsidRPr="00D043A6">
              <w:rPr>
                <w:sz w:val="24"/>
                <w:szCs w:val="24"/>
                <w:lang w:eastAsia="lv-LV"/>
              </w:rPr>
              <w:t xml:space="preserve"> ēkas</w:t>
            </w:r>
            <w:r w:rsidR="00312976" w:rsidRPr="00D043A6">
              <w:rPr>
                <w:sz w:val="24"/>
                <w:szCs w:val="24"/>
                <w:lang w:eastAsia="lv-LV"/>
              </w:rPr>
              <w:t>.</w:t>
            </w:r>
            <w:r w:rsidRPr="00D043A6">
              <w:rPr>
                <w:sz w:val="24"/>
                <w:szCs w:val="24"/>
                <w:lang w:eastAsia="lv-LV"/>
              </w:rPr>
              <w:t xml:space="preserve"> </w:t>
            </w:r>
          </w:p>
        </w:tc>
      </w:tr>
      <w:tr w:rsidR="005E13CB" w:rsidRPr="00D043A6" w:rsidTr="0094168A">
        <w:tc>
          <w:tcPr>
            <w:tcW w:w="1951" w:type="dxa"/>
          </w:tcPr>
          <w:p w:rsidR="005E13CB" w:rsidRPr="00D043A6" w:rsidRDefault="005E13CB" w:rsidP="00A64C52">
            <w:pPr>
              <w:keepLines/>
              <w:spacing w:before="60"/>
              <w:rPr>
                <w:sz w:val="24"/>
                <w:szCs w:val="24"/>
                <w:lang w:eastAsia="lv-LV"/>
              </w:rPr>
            </w:pPr>
            <w:r w:rsidRPr="00D043A6">
              <w:rPr>
                <w:sz w:val="24"/>
                <w:szCs w:val="24"/>
                <w:lang w:eastAsia="lv-LV"/>
              </w:rPr>
              <w:t>1961</w:t>
            </w:r>
            <w:r w:rsidR="0094168A" w:rsidRPr="00D043A6">
              <w:rPr>
                <w:sz w:val="24"/>
                <w:szCs w:val="24"/>
                <w:lang w:eastAsia="lv-LV"/>
              </w:rPr>
              <w:t>.</w:t>
            </w:r>
            <w:r w:rsidRPr="00D043A6">
              <w:rPr>
                <w:sz w:val="24"/>
                <w:szCs w:val="24"/>
                <w:lang w:eastAsia="lv-LV"/>
              </w:rPr>
              <w:t xml:space="preserve"> – 1979</w:t>
            </w:r>
            <w:r w:rsidR="0094168A" w:rsidRPr="00D043A6">
              <w:rPr>
                <w:sz w:val="24"/>
                <w:szCs w:val="24"/>
                <w:lang w:eastAsia="lv-LV"/>
              </w:rPr>
              <w:t>.g.</w:t>
            </w:r>
          </w:p>
        </w:tc>
        <w:tc>
          <w:tcPr>
            <w:tcW w:w="7336" w:type="dxa"/>
          </w:tcPr>
          <w:p w:rsidR="005E13CB" w:rsidRPr="00D043A6" w:rsidRDefault="005E13CB" w:rsidP="00A64C52">
            <w:pPr>
              <w:keepLines/>
              <w:spacing w:before="60"/>
              <w:jc w:val="both"/>
              <w:rPr>
                <w:sz w:val="24"/>
                <w:szCs w:val="24"/>
                <w:lang w:eastAsia="lv-LV"/>
              </w:rPr>
            </w:pPr>
            <w:r w:rsidRPr="00D043A6">
              <w:rPr>
                <w:sz w:val="24"/>
                <w:szCs w:val="24"/>
                <w:lang w:eastAsia="lv-LV"/>
              </w:rPr>
              <w:t>Plaši uzsākta tipveida būvniecība, dzīvojamo ēku sektorā</w:t>
            </w:r>
            <w:r w:rsidR="00842413" w:rsidRPr="00D043A6">
              <w:rPr>
                <w:sz w:val="24"/>
                <w:szCs w:val="24"/>
                <w:lang w:eastAsia="lv-LV"/>
              </w:rPr>
              <w:t xml:space="preserve"> uzsākti</w:t>
            </w:r>
            <w:r w:rsidRPr="00D043A6">
              <w:rPr>
                <w:sz w:val="24"/>
                <w:szCs w:val="24"/>
                <w:lang w:eastAsia="lv-LV"/>
              </w:rPr>
              <w:t xml:space="preserve"> 316. un 318. sērijas projekti (tā sauktās „Hruščovkas”), 464. sērija, uzsākta arī 467., 103. un 104. sērijas ēku būvniecība, perioda beigās 602. sērija</w:t>
            </w:r>
            <w:r w:rsidR="0094168A" w:rsidRPr="00D043A6">
              <w:rPr>
                <w:sz w:val="24"/>
                <w:szCs w:val="24"/>
                <w:lang w:eastAsia="lv-LV"/>
              </w:rPr>
              <w:t>. K</w:t>
            </w:r>
            <w:r w:rsidRPr="00D043A6">
              <w:rPr>
                <w:sz w:val="24"/>
                <w:szCs w:val="24"/>
                <w:lang w:eastAsia="lv-LV"/>
              </w:rPr>
              <w:t xml:space="preserve">ā </w:t>
            </w:r>
            <w:r w:rsidR="0094168A" w:rsidRPr="00D043A6">
              <w:rPr>
                <w:sz w:val="24"/>
                <w:szCs w:val="24"/>
                <w:lang w:eastAsia="lv-LV"/>
              </w:rPr>
              <w:t>ār</w:t>
            </w:r>
            <w:r w:rsidRPr="00D043A6">
              <w:rPr>
                <w:sz w:val="24"/>
                <w:szCs w:val="24"/>
                <w:lang w:eastAsia="lv-LV"/>
              </w:rPr>
              <w:t xml:space="preserve">sienu materiāls plaši izmantoti māla ķieģeli, gāzbetons, keramzītbetons, </w:t>
            </w:r>
          </w:p>
        </w:tc>
      </w:tr>
      <w:tr w:rsidR="005E13CB" w:rsidRPr="00D043A6" w:rsidTr="0094168A">
        <w:tc>
          <w:tcPr>
            <w:tcW w:w="1951" w:type="dxa"/>
          </w:tcPr>
          <w:p w:rsidR="005E13CB" w:rsidRPr="00D043A6" w:rsidRDefault="005E13CB" w:rsidP="00A64C52">
            <w:pPr>
              <w:keepLines/>
              <w:spacing w:before="60"/>
              <w:rPr>
                <w:sz w:val="24"/>
                <w:szCs w:val="24"/>
                <w:lang w:eastAsia="lv-LV"/>
              </w:rPr>
            </w:pPr>
            <w:r w:rsidRPr="00D043A6">
              <w:rPr>
                <w:sz w:val="24"/>
                <w:szCs w:val="24"/>
                <w:lang w:eastAsia="lv-LV"/>
              </w:rPr>
              <w:t>1980</w:t>
            </w:r>
            <w:r w:rsidR="0094168A" w:rsidRPr="00D043A6">
              <w:rPr>
                <w:sz w:val="24"/>
                <w:szCs w:val="24"/>
                <w:lang w:eastAsia="lv-LV"/>
              </w:rPr>
              <w:t>.</w:t>
            </w:r>
            <w:r w:rsidRPr="00D043A6">
              <w:rPr>
                <w:sz w:val="24"/>
                <w:szCs w:val="24"/>
                <w:lang w:eastAsia="lv-LV"/>
              </w:rPr>
              <w:t xml:space="preserve"> – 199</w:t>
            </w:r>
            <w:r w:rsidR="00CC6B16" w:rsidRPr="00D043A6">
              <w:rPr>
                <w:sz w:val="24"/>
                <w:szCs w:val="24"/>
                <w:lang w:eastAsia="lv-LV"/>
              </w:rPr>
              <w:t>1</w:t>
            </w:r>
            <w:r w:rsidR="0094168A" w:rsidRPr="00D043A6">
              <w:rPr>
                <w:sz w:val="24"/>
                <w:szCs w:val="24"/>
                <w:lang w:eastAsia="lv-LV"/>
              </w:rPr>
              <w:t>.g.</w:t>
            </w:r>
          </w:p>
        </w:tc>
        <w:tc>
          <w:tcPr>
            <w:tcW w:w="7336" w:type="dxa"/>
          </w:tcPr>
          <w:p w:rsidR="005E13CB" w:rsidRPr="00D043A6" w:rsidRDefault="005E13CB" w:rsidP="007F2587">
            <w:pPr>
              <w:keepLines/>
              <w:spacing w:before="60"/>
              <w:jc w:val="both"/>
              <w:rPr>
                <w:sz w:val="24"/>
                <w:szCs w:val="24"/>
                <w:lang w:eastAsia="lv-LV"/>
              </w:rPr>
            </w:pPr>
            <w:r w:rsidRPr="00D043A6">
              <w:rPr>
                <w:sz w:val="24"/>
                <w:szCs w:val="24"/>
                <w:lang w:eastAsia="lv-LV"/>
              </w:rPr>
              <w:t xml:space="preserve">Jaunas prasības </w:t>
            </w:r>
            <w:r w:rsidR="007F2587" w:rsidRPr="00D043A6">
              <w:rPr>
                <w:sz w:val="24"/>
                <w:szCs w:val="24"/>
                <w:lang w:eastAsia="lv-LV"/>
              </w:rPr>
              <w:t xml:space="preserve">projektēšanā </w:t>
            </w:r>
            <w:r w:rsidRPr="00D043A6">
              <w:rPr>
                <w:sz w:val="24"/>
                <w:szCs w:val="24"/>
                <w:lang w:eastAsia="lv-LV"/>
              </w:rPr>
              <w:t xml:space="preserve">noteiktas PSRS būvnormatīvā </w:t>
            </w:r>
            <w:r w:rsidR="00842413" w:rsidRPr="00D043A6">
              <w:rPr>
                <w:sz w:val="24"/>
                <w:szCs w:val="24"/>
                <w:lang w:eastAsia="lv-LV"/>
              </w:rPr>
              <w:t>„</w:t>
            </w:r>
            <w:r w:rsidRPr="00D043A6">
              <w:rPr>
                <w:sz w:val="24"/>
                <w:szCs w:val="24"/>
                <w:lang w:eastAsia="lv-LV"/>
              </w:rPr>
              <w:t>Norobežojošo konstrukciju siltumtehnika</w:t>
            </w:r>
            <w:r w:rsidR="00842413" w:rsidRPr="00D043A6">
              <w:rPr>
                <w:sz w:val="24"/>
                <w:szCs w:val="24"/>
                <w:lang w:eastAsia="lv-LV"/>
              </w:rPr>
              <w:t>”</w:t>
            </w:r>
            <w:r w:rsidR="00842413" w:rsidRPr="00D043A6">
              <w:rPr>
                <w:rStyle w:val="FootnoteReference"/>
                <w:sz w:val="24"/>
                <w:szCs w:val="24"/>
                <w:lang w:eastAsia="lv-LV"/>
              </w:rPr>
              <w:footnoteReference w:id="4"/>
            </w:r>
            <w:r w:rsidRPr="00D043A6">
              <w:rPr>
                <w:sz w:val="24"/>
                <w:szCs w:val="24"/>
                <w:lang w:eastAsia="lv-LV"/>
              </w:rPr>
              <w:t>.</w:t>
            </w:r>
            <w:r w:rsidR="00E2481E" w:rsidRPr="00D043A6">
              <w:rPr>
                <w:sz w:val="24"/>
                <w:szCs w:val="24"/>
                <w:lang w:eastAsia="lv-LV"/>
              </w:rPr>
              <w:t xml:space="preserve"> </w:t>
            </w:r>
            <w:r w:rsidRPr="00D043A6">
              <w:rPr>
                <w:sz w:val="24"/>
                <w:szCs w:val="24"/>
                <w:lang w:eastAsia="lv-LV"/>
              </w:rPr>
              <w:t>Uzsākta 119. sērijas ēku būvniecība, kā arī realizēta virkne specprojektu,</w:t>
            </w:r>
            <w:r w:rsidR="00E2481E" w:rsidRPr="00D043A6">
              <w:rPr>
                <w:sz w:val="24"/>
                <w:szCs w:val="24"/>
                <w:lang w:eastAsia="lv-LV"/>
              </w:rPr>
              <w:t xml:space="preserve"> </w:t>
            </w:r>
            <w:r w:rsidRPr="00D043A6">
              <w:rPr>
                <w:sz w:val="24"/>
                <w:szCs w:val="24"/>
                <w:lang w:eastAsia="lv-LV"/>
              </w:rPr>
              <w:t>dominē dzelzsbetona un keramzītbetona lielpaneļu ēku būvniecība.</w:t>
            </w:r>
          </w:p>
        </w:tc>
      </w:tr>
      <w:tr w:rsidR="005E13CB" w:rsidRPr="00D043A6" w:rsidTr="0094168A">
        <w:tc>
          <w:tcPr>
            <w:tcW w:w="1951" w:type="dxa"/>
          </w:tcPr>
          <w:p w:rsidR="005E13CB" w:rsidRPr="00D043A6" w:rsidRDefault="005E13CB" w:rsidP="00A64C52">
            <w:pPr>
              <w:keepLines/>
              <w:spacing w:before="60"/>
              <w:rPr>
                <w:sz w:val="24"/>
                <w:szCs w:val="24"/>
                <w:lang w:eastAsia="lv-LV"/>
              </w:rPr>
            </w:pPr>
            <w:r w:rsidRPr="00D043A6">
              <w:rPr>
                <w:sz w:val="24"/>
                <w:szCs w:val="24"/>
                <w:lang w:eastAsia="lv-LV"/>
              </w:rPr>
              <w:t>199</w:t>
            </w:r>
            <w:r w:rsidR="00CC6B16" w:rsidRPr="00D043A6">
              <w:rPr>
                <w:sz w:val="24"/>
                <w:szCs w:val="24"/>
                <w:lang w:eastAsia="lv-LV"/>
              </w:rPr>
              <w:t>2</w:t>
            </w:r>
            <w:r w:rsidR="0094168A" w:rsidRPr="00D043A6">
              <w:rPr>
                <w:sz w:val="24"/>
                <w:szCs w:val="24"/>
                <w:lang w:eastAsia="lv-LV"/>
              </w:rPr>
              <w:t>.</w:t>
            </w:r>
            <w:r w:rsidRPr="00D043A6">
              <w:rPr>
                <w:sz w:val="24"/>
                <w:szCs w:val="24"/>
                <w:lang w:eastAsia="lv-LV"/>
              </w:rPr>
              <w:t xml:space="preserve"> – 2002</w:t>
            </w:r>
            <w:r w:rsidR="0094168A" w:rsidRPr="00D043A6">
              <w:rPr>
                <w:sz w:val="24"/>
                <w:szCs w:val="24"/>
                <w:lang w:eastAsia="lv-LV"/>
              </w:rPr>
              <w:t>.g.</w:t>
            </w:r>
          </w:p>
        </w:tc>
        <w:tc>
          <w:tcPr>
            <w:tcW w:w="7336" w:type="dxa"/>
          </w:tcPr>
          <w:p w:rsidR="005E13CB" w:rsidRPr="00D043A6" w:rsidRDefault="00536707" w:rsidP="00A64C52">
            <w:pPr>
              <w:keepLines/>
              <w:spacing w:before="60"/>
              <w:jc w:val="both"/>
              <w:rPr>
                <w:sz w:val="24"/>
                <w:szCs w:val="24"/>
                <w:lang w:eastAsia="lv-LV"/>
              </w:rPr>
            </w:pPr>
            <w:r w:rsidRPr="00D043A6">
              <w:rPr>
                <w:sz w:val="24"/>
                <w:szCs w:val="24"/>
                <w:lang w:eastAsia="lv-LV"/>
              </w:rPr>
              <w:t>Tipveida ēku būvniecība praktiski pārtraukta.</w:t>
            </w:r>
            <w:r w:rsidR="0094168A" w:rsidRPr="00D043A6">
              <w:rPr>
                <w:sz w:val="24"/>
                <w:szCs w:val="24"/>
                <w:lang w:eastAsia="lv-LV"/>
              </w:rPr>
              <w:t xml:space="preserve"> </w:t>
            </w:r>
            <w:r w:rsidRPr="00D043A6">
              <w:rPr>
                <w:sz w:val="24"/>
                <w:szCs w:val="24"/>
                <w:lang w:eastAsia="lv-LV"/>
              </w:rPr>
              <w:t>Ar Latvijas Repu</w:t>
            </w:r>
            <w:r w:rsidR="00312976" w:rsidRPr="00D043A6">
              <w:rPr>
                <w:sz w:val="24"/>
                <w:szCs w:val="24"/>
                <w:lang w:eastAsia="lv-LV"/>
              </w:rPr>
              <w:t>b</w:t>
            </w:r>
            <w:r w:rsidRPr="00D043A6">
              <w:rPr>
                <w:sz w:val="24"/>
                <w:szCs w:val="24"/>
                <w:lang w:eastAsia="lv-LV"/>
              </w:rPr>
              <w:t xml:space="preserve">likas Arhitektūras un celtniecības ministrijas 1991. gada 12. septembra pavēli Nr.68 </w:t>
            </w:r>
            <w:r w:rsidR="00EE50D1" w:rsidRPr="00D043A6">
              <w:rPr>
                <w:sz w:val="24"/>
                <w:szCs w:val="24"/>
                <w:lang w:eastAsia="lv-LV"/>
              </w:rPr>
              <w:t>būtiski paaugstinātas</w:t>
            </w:r>
            <w:r w:rsidR="005E13CB" w:rsidRPr="00D043A6">
              <w:rPr>
                <w:sz w:val="24"/>
                <w:szCs w:val="24"/>
                <w:lang w:eastAsia="lv-LV"/>
              </w:rPr>
              <w:t xml:space="preserve"> prasības ēku norobežojošām konstrukcijām. </w:t>
            </w:r>
          </w:p>
        </w:tc>
      </w:tr>
      <w:tr w:rsidR="005E13CB" w:rsidRPr="00D043A6" w:rsidTr="0094168A">
        <w:tc>
          <w:tcPr>
            <w:tcW w:w="1951" w:type="dxa"/>
          </w:tcPr>
          <w:p w:rsidR="005E13CB" w:rsidRPr="00D043A6" w:rsidRDefault="005E13CB" w:rsidP="00A64C52">
            <w:pPr>
              <w:keepLines/>
              <w:spacing w:before="60"/>
              <w:rPr>
                <w:sz w:val="24"/>
                <w:szCs w:val="24"/>
                <w:lang w:eastAsia="lv-LV"/>
              </w:rPr>
            </w:pPr>
            <w:r w:rsidRPr="00D043A6">
              <w:rPr>
                <w:sz w:val="24"/>
                <w:szCs w:val="24"/>
                <w:lang w:eastAsia="lv-LV"/>
              </w:rPr>
              <w:t>no 2003.g.</w:t>
            </w:r>
          </w:p>
        </w:tc>
        <w:tc>
          <w:tcPr>
            <w:tcW w:w="7336" w:type="dxa"/>
          </w:tcPr>
          <w:p w:rsidR="005E13CB" w:rsidRPr="00D043A6" w:rsidRDefault="005E13CB" w:rsidP="00A64C52">
            <w:pPr>
              <w:keepLines/>
              <w:spacing w:before="60"/>
              <w:jc w:val="both"/>
              <w:rPr>
                <w:sz w:val="24"/>
                <w:szCs w:val="24"/>
                <w:lang w:eastAsia="lv-LV"/>
              </w:rPr>
            </w:pPr>
            <w:r w:rsidRPr="00D043A6">
              <w:rPr>
                <w:sz w:val="24"/>
                <w:szCs w:val="24"/>
                <w:lang w:eastAsia="lv-LV"/>
              </w:rPr>
              <w:t>Stājas spēkā LBN 002-2001</w:t>
            </w:r>
            <w:r w:rsidRPr="00D043A6">
              <w:rPr>
                <w:rStyle w:val="FootnoteReference"/>
                <w:sz w:val="24"/>
                <w:szCs w:val="24"/>
              </w:rPr>
              <w:footnoteReference w:id="5"/>
            </w:r>
            <w:r w:rsidR="00F63DD9" w:rsidRPr="00D043A6">
              <w:rPr>
                <w:sz w:val="24"/>
                <w:szCs w:val="24"/>
                <w:lang w:eastAsia="lv-LV"/>
              </w:rPr>
              <w:t xml:space="preserve"> Ēku norobežojošo konstrukciju siltumtehnika</w:t>
            </w:r>
            <w:r w:rsidRPr="00D043A6">
              <w:rPr>
                <w:sz w:val="24"/>
                <w:szCs w:val="24"/>
                <w:lang w:eastAsia="lv-LV"/>
              </w:rPr>
              <w:t xml:space="preserve">, </w:t>
            </w:r>
            <w:r w:rsidR="00842413" w:rsidRPr="00D043A6">
              <w:rPr>
                <w:sz w:val="24"/>
                <w:szCs w:val="24"/>
                <w:lang w:eastAsia="lv-LV"/>
              </w:rPr>
              <w:t>ar kur</w:t>
            </w:r>
            <w:r w:rsidR="007F2587">
              <w:rPr>
                <w:sz w:val="24"/>
                <w:szCs w:val="24"/>
                <w:lang w:eastAsia="lv-LV"/>
              </w:rPr>
              <w:t>u</w:t>
            </w:r>
            <w:r w:rsidR="00842413" w:rsidRPr="00D043A6">
              <w:rPr>
                <w:sz w:val="24"/>
                <w:szCs w:val="24"/>
                <w:lang w:eastAsia="lv-LV"/>
              </w:rPr>
              <w:t xml:space="preserve"> noteiktas </w:t>
            </w:r>
            <w:r w:rsidRPr="00D043A6">
              <w:rPr>
                <w:sz w:val="24"/>
                <w:szCs w:val="24"/>
                <w:lang w:eastAsia="lv-LV"/>
              </w:rPr>
              <w:t>siltumtehniskās prasības ēku norobežojošām konstrukcijām</w:t>
            </w:r>
            <w:r w:rsidR="0094168A" w:rsidRPr="00D043A6">
              <w:rPr>
                <w:sz w:val="24"/>
                <w:szCs w:val="24"/>
                <w:lang w:eastAsia="lv-LV"/>
              </w:rPr>
              <w:t xml:space="preserve">. </w:t>
            </w:r>
            <w:r w:rsidR="00842413" w:rsidRPr="00D043A6">
              <w:rPr>
                <w:sz w:val="24"/>
                <w:szCs w:val="24"/>
                <w:lang w:eastAsia="lv-LV"/>
              </w:rPr>
              <w:t>Š</w:t>
            </w:r>
            <w:r w:rsidRPr="00D043A6">
              <w:rPr>
                <w:sz w:val="24"/>
                <w:szCs w:val="24"/>
                <w:lang w:eastAsia="lv-LV"/>
              </w:rPr>
              <w:t>ajā periodā parādās ēkas ar lielām stiklotām virsmām, kādēļ attiecīgajām ēkām LBN prasību izpilde parasti netiek nodrošināta</w:t>
            </w:r>
            <w:r w:rsidR="00C56466" w:rsidRPr="00D043A6">
              <w:rPr>
                <w:sz w:val="24"/>
                <w:szCs w:val="24"/>
                <w:lang w:eastAsia="lv-LV"/>
              </w:rPr>
              <w:t>, tiesa</w:t>
            </w:r>
            <w:r w:rsidR="007F2587">
              <w:rPr>
                <w:sz w:val="24"/>
                <w:szCs w:val="24"/>
                <w:lang w:eastAsia="lv-LV"/>
              </w:rPr>
              <w:t>,</w:t>
            </w:r>
            <w:r w:rsidR="00C56466" w:rsidRPr="00D043A6">
              <w:rPr>
                <w:sz w:val="24"/>
                <w:szCs w:val="24"/>
                <w:lang w:eastAsia="lv-LV"/>
              </w:rPr>
              <w:t xml:space="preserve"> dzīvojamo ēku sektorā dominējoša stikloto virsmu pielietošana ēkas arhitektūrā nav raksturīga.</w:t>
            </w:r>
          </w:p>
        </w:tc>
      </w:tr>
    </w:tbl>
    <w:p w:rsidR="00A85FF1" w:rsidRPr="00D043A6" w:rsidRDefault="00A85FF1" w:rsidP="0094168A">
      <w:pPr>
        <w:keepLines/>
        <w:ind w:firstLine="720"/>
        <w:jc w:val="both"/>
        <w:rPr>
          <w:sz w:val="24"/>
          <w:szCs w:val="24"/>
          <w:lang w:eastAsia="lv-LV"/>
        </w:rPr>
      </w:pPr>
    </w:p>
    <w:p w:rsidR="00306A78" w:rsidRPr="00D043A6" w:rsidRDefault="00E2481E" w:rsidP="0094168A">
      <w:pPr>
        <w:keepLines/>
        <w:ind w:firstLine="720"/>
        <w:jc w:val="both"/>
        <w:rPr>
          <w:sz w:val="24"/>
          <w:szCs w:val="24"/>
          <w:lang w:eastAsia="lv-LV"/>
        </w:rPr>
      </w:pPr>
      <w:r w:rsidRPr="00D043A6">
        <w:rPr>
          <w:sz w:val="24"/>
          <w:szCs w:val="24"/>
          <w:lang w:eastAsia="lv-LV"/>
        </w:rPr>
        <w:t xml:space="preserve">Ēku norobežojošo konstrukciju siltumtehnisko normatīvo prasību izmaiņas kopš 1979. gada norādītas </w:t>
      </w:r>
      <w:r w:rsidR="00A8688F" w:rsidRPr="00D043A6">
        <w:rPr>
          <w:sz w:val="24"/>
          <w:szCs w:val="24"/>
          <w:lang w:eastAsia="lv-LV"/>
        </w:rPr>
        <w:t>3</w:t>
      </w:r>
      <w:r w:rsidRPr="00D043A6">
        <w:rPr>
          <w:sz w:val="24"/>
          <w:szCs w:val="24"/>
          <w:lang w:eastAsia="lv-LV"/>
        </w:rPr>
        <w:t xml:space="preserve">. tabulā, kā arī atsevišķu prasību salīdzinājums </w:t>
      </w:r>
      <w:r w:rsidR="007F2587">
        <w:rPr>
          <w:sz w:val="24"/>
          <w:szCs w:val="24"/>
          <w:lang w:eastAsia="lv-LV"/>
        </w:rPr>
        <w:t xml:space="preserve">- </w:t>
      </w:r>
      <w:r w:rsidRPr="00D043A6">
        <w:rPr>
          <w:sz w:val="24"/>
          <w:szCs w:val="24"/>
          <w:lang w:eastAsia="lv-LV"/>
        </w:rPr>
        <w:t xml:space="preserve">2. attēlā. </w:t>
      </w:r>
    </w:p>
    <w:p w:rsidR="00E2481E" w:rsidRPr="00D043A6" w:rsidRDefault="00E2481E" w:rsidP="00E2481E">
      <w:pPr>
        <w:keepLines/>
        <w:jc w:val="both"/>
        <w:rPr>
          <w:sz w:val="24"/>
          <w:szCs w:val="24"/>
          <w:lang w:eastAsia="lv-LV"/>
        </w:rPr>
      </w:pPr>
    </w:p>
    <w:p w:rsidR="0052341A" w:rsidRPr="00D043A6" w:rsidRDefault="00A8688F" w:rsidP="00E2481E">
      <w:pPr>
        <w:rPr>
          <w:i/>
          <w:sz w:val="24"/>
          <w:szCs w:val="24"/>
          <w:lang w:eastAsia="lv-LV"/>
        </w:rPr>
      </w:pPr>
      <w:r w:rsidRPr="00D043A6">
        <w:rPr>
          <w:i/>
          <w:sz w:val="24"/>
          <w:szCs w:val="24"/>
          <w:lang w:eastAsia="lv-LV"/>
        </w:rPr>
        <w:lastRenderedPageBreak/>
        <w:t>3</w:t>
      </w:r>
      <w:r w:rsidR="00E2481E" w:rsidRPr="00D043A6">
        <w:rPr>
          <w:i/>
          <w:sz w:val="24"/>
          <w:szCs w:val="24"/>
          <w:lang w:eastAsia="lv-LV"/>
        </w:rPr>
        <w:t xml:space="preserve">. </w:t>
      </w:r>
      <w:r w:rsidR="009D6B81" w:rsidRPr="00D043A6">
        <w:rPr>
          <w:i/>
          <w:sz w:val="24"/>
          <w:szCs w:val="24"/>
          <w:lang w:eastAsia="lv-LV"/>
        </w:rPr>
        <w:t>t</w:t>
      </w:r>
      <w:r w:rsidR="00E2481E" w:rsidRPr="00D043A6">
        <w:rPr>
          <w:i/>
          <w:sz w:val="24"/>
          <w:szCs w:val="24"/>
          <w:lang w:eastAsia="lv-LV"/>
        </w:rPr>
        <w:t xml:space="preserve">abula. </w:t>
      </w:r>
      <w:r w:rsidR="0052341A" w:rsidRPr="00D043A6">
        <w:rPr>
          <w:i/>
          <w:sz w:val="24"/>
          <w:szCs w:val="24"/>
          <w:lang w:eastAsia="lv-LV"/>
        </w:rPr>
        <w:t>Siltuma caurlaidības koeficientu U normatīvās vērtības dzīvojamo ēku norobežojošām konstrukcijām</w:t>
      </w:r>
      <w:r w:rsidR="00E61F12" w:rsidRPr="00D043A6">
        <w:rPr>
          <w:i/>
          <w:sz w:val="24"/>
          <w:szCs w:val="24"/>
          <w:lang w:eastAsia="lv-LV"/>
        </w:rPr>
        <w:t xml:space="preserve"> un enerģijas patēriņš apkurei atbilstoši normatīvam uzbūvētās ēkās.</w:t>
      </w:r>
    </w:p>
    <w:tbl>
      <w:tblPr>
        <w:tblStyle w:val="TableGrid"/>
        <w:tblW w:w="5000" w:type="pct"/>
        <w:tblLook w:val="04A0" w:firstRow="1" w:lastRow="0" w:firstColumn="1" w:lastColumn="0" w:noHBand="0" w:noVBand="1"/>
      </w:tblPr>
      <w:tblGrid>
        <w:gridCol w:w="3370"/>
        <w:gridCol w:w="925"/>
        <w:gridCol w:w="1114"/>
        <w:gridCol w:w="1213"/>
        <w:gridCol w:w="1352"/>
        <w:gridCol w:w="1313"/>
      </w:tblGrid>
      <w:tr w:rsidR="00E2481E" w:rsidRPr="00D043A6" w:rsidTr="00E61F12">
        <w:tc>
          <w:tcPr>
            <w:tcW w:w="2912" w:type="pct"/>
            <w:gridSpan w:val="3"/>
          </w:tcPr>
          <w:p w:rsidR="00E2481E" w:rsidRPr="00D043A6" w:rsidRDefault="00E2481E" w:rsidP="00E2481E">
            <w:pPr>
              <w:autoSpaceDE w:val="0"/>
              <w:autoSpaceDN w:val="0"/>
              <w:adjustRightInd w:val="0"/>
              <w:rPr>
                <w:sz w:val="24"/>
                <w:szCs w:val="24"/>
              </w:rPr>
            </w:pPr>
            <w:r w:rsidRPr="00D043A6">
              <w:rPr>
                <w:sz w:val="24"/>
                <w:szCs w:val="24"/>
              </w:rPr>
              <w:t>Būvelementi</w:t>
            </w:r>
          </w:p>
        </w:tc>
        <w:tc>
          <w:tcPr>
            <w:tcW w:w="653" w:type="pct"/>
          </w:tcPr>
          <w:p w:rsidR="00E2481E" w:rsidRPr="00D043A6" w:rsidRDefault="00E2481E" w:rsidP="00E2481E">
            <w:pPr>
              <w:autoSpaceDE w:val="0"/>
              <w:autoSpaceDN w:val="0"/>
              <w:adjustRightInd w:val="0"/>
              <w:jc w:val="center"/>
              <w:rPr>
                <w:b/>
                <w:sz w:val="24"/>
                <w:szCs w:val="24"/>
              </w:rPr>
            </w:pPr>
            <w:r w:rsidRPr="00D043A6">
              <w:rPr>
                <w:b/>
                <w:sz w:val="24"/>
                <w:szCs w:val="24"/>
              </w:rPr>
              <w:t>1980</w:t>
            </w:r>
          </w:p>
        </w:tc>
        <w:tc>
          <w:tcPr>
            <w:tcW w:w="728" w:type="pct"/>
          </w:tcPr>
          <w:p w:rsidR="00E2481E" w:rsidRPr="00D043A6" w:rsidRDefault="00E2481E" w:rsidP="00E2481E">
            <w:pPr>
              <w:autoSpaceDE w:val="0"/>
              <w:autoSpaceDN w:val="0"/>
              <w:adjustRightInd w:val="0"/>
              <w:jc w:val="center"/>
              <w:rPr>
                <w:b/>
                <w:sz w:val="24"/>
                <w:szCs w:val="24"/>
              </w:rPr>
            </w:pPr>
            <w:r w:rsidRPr="00D043A6">
              <w:rPr>
                <w:b/>
                <w:sz w:val="24"/>
                <w:szCs w:val="24"/>
              </w:rPr>
              <w:t>1992</w:t>
            </w:r>
          </w:p>
        </w:tc>
        <w:tc>
          <w:tcPr>
            <w:tcW w:w="707" w:type="pct"/>
          </w:tcPr>
          <w:p w:rsidR="00E2481E" w:rsidRPr="00D043A6" w:rsidRDefault="00E2481E" w:rsidP="002E2C5A">
            <w:pPr>
              <w:autoSpaceDE w:val="0"/>
              <w:autoSpaceDN w:val="0"/>
              <w:adjustRightInd w:val="0"/>
              <w:jc w:val="center"/>
              <w:rPr>
                <w:b/>
                <w:sz w:val="24"/>
                <w:szCs w:val="24"/>
              </w:rPr>
            </w:pPr>
            <w:r w:rsidRPr="00D043A6">
              <w:rPr>
                <w:b/>
                <w:sz w:val="24"/>
                <w:szCs w:val="24"/>
              </w:rPr>
              <w:t>2003</w:t>
            </w:r>
          </w:p>
        </w:tc>
      </w:tr>
      <w:tr w:rsidR="00E61F12" w:rsidRPr="00D043A6" w:rsidTr="00E61F12">
        <w:tc>
          <w:tcPr>
            <w:tcW w:w="2312" w:type="pct"/>
            <w:gridSpan w:val="2"/>
            <w:vAlign w:val="center"/>
          </w:tcPr>
          <w:p w:rsidR="00E61F12" w:rsidRPr="00D043A6" w:rsidRDefault="00E61F12" w:rsidP="004B4DDF">
            <w:pPr>
              <w:autoSpaceDE w:val="0"/>
              <w:autoSpaceDN w:val="0"/>
              <w:adjustRightInd w:val="0"/>
              <w:rPr>
                <w:sz w:val="24"/>
                <w:szCs w:val="24"/>
              </w:rPr>
            </w:pPr>
            <w:r w:rsidRPr="00D043A6">
              <w:rPr>
                <w:sz w:val="24"/>
                <w:szCs w:val="24"/>
              </w:rPr>
              <w:t>Jumti un pārsegumi, kas saskaras ar āra gaisu</w:t>
            </w:r>
          </w:p>
        </w:tc>
        <w:tc>
          <w:tcPr>
            <w:tcW w:w="600" w:type="pct"/>
            <w:vMerge w:val="restart"/>
            <w:vAlign w:val="center"/>
          </w:tcPr>
          <w:p w:rsidR="00E61F12" w:rsidRPr="00D043A6" w:rsidRDefault="00E61F12" w:rsidP="00E61F12">
            <w:pPr>
              <w:autoSpaceDE w:val="0"/>
              <w:autoSpaceDN w:val="0"/>
              <w:adjustRightInd w:val="0"/>
              <w:jc w:val="center"/>
              <w:rPr>
                <w:i/>
                <w:sz w:val="24"/>
                <w:szCs w:val="24"/>
                <w:lang w:eastAsia="lv-LV"/>
              </w:rPr>
            </w:pPr>
            <w:r w:rsidRPr="00D043A6">
              <w:rPr>
                <w:i/>
                <w:sz w:val="24"/>
                <w:szCs w:val="24"/>
                <w:lang w:eastAsia="lv-LV"/>
              </w:rPr>
              <w:t>W/</w:t>
            </w:r>
          </w:p>
          <w:p w:rsidR="00E61F12" w:rsidRPr="00D043A6" w:rsidRDefault="00E61F12" w:rsidP="00E61F12">
            <w:pPr>
              <w:autoSpaceDE w:val="0"/>
              <w:autoSpaceDN w:val="0"/>
              <w:adjustRightInd w:val="0"/>
              <w:jc w:val="center"/>
              <w:rPr>
                <w:sz w:val="24"/>
                <w:szCs w:val="24"/>
              </w:rPr>
            </w:pPr>
            <w:r w:rsidRPr="00D043A6">
              <w:rPr>
                <w:i/>
                <w:sz w:val="24"/>
                <w:szCs w:val="24"/>
                <w:lang w:eastAsia="lv-LV"/>
              </w:rPr>
              <w:t>(m</w:t>
            </w:r>
            <w:r w:rsidRPr="00D043A6">
              <w:rPr>
                <w:i/>
                <w:sz w:val="24"/>
                <w:szCs w:val="24"/>
                <w:vertAlign w:val="superscript"/>
                <w:lang w:eastAsia="lv-LV"/>
              </w:rPr>
              <w:t>2</w:t>
            </w:r>
            <w:r w:rsidRPr="00D043A6">
              <w:rPr>
                <w:i/>
                <w:sz w:val="24"/>
                <w:szCs w:val="24"/>
                <w:lang w:eastAsia="lv-LV"/>
              </w:rPr>
              <w:t>∙K)</w:t>
            </w:r>
          </w:p>
        </w:tc>
        <w:tc>
          <w:tcPr>
            <w:tcW w:w="653" w:type="pct"/>
            <w:vAlign w:val="center"/>
          </w:tcPr>
          <w:p w:rsidR="00E61F12" w:rsidRPr="00D043A6" w:rsidRDefault="00E61F12" w:rsidP="00E2481E">
            <w:pPr>
              <w:autoSpaceDE w:val="0"/>
              <w:autoSpaceDN w:val="0"/>
              <w:adjustRightInd w:val="0"/>
              <w:jc w:val="center"/>
              <w:rPr>
                <w:sz w:val="24"/>
                <w:szCs w:val="24"/>
              </w:rPr>
            </w:pPr>
            <w:r w:rsidRPr="00D043A6">
              <w:rPr>
                <w:sz w:val="24"/>
                <w:szCs w:val="24"/>
              </w:rPr>
              <w:t>0.90</w:t>
            </w:r>
          </w:p>
        </w:tc>
        <w:tc>
          <w:tcPr>
            <w:tcW w:w="728" w:type="pct"/>
            <w:vAlign w:val="center"/>
          </w:tcPr>
          <w:p w:rsidR="00E61F12" w:rsidRPr="00D043A6" w:rsidRDefault="00E61F12" w:rsidP="00E2481E">
            <w:pPr>
              <w:autoSpaceDE w:val="0"/>
              <w:autoSpaceDN w:val="0"/>
              <w:adjustRightInd w:val="0"/>
              <w:jc w:val="center"/>
              <w:rPr>
                <w:sz w:val="24"/>
                <w:szCs w:val="24"/>
              </w:rPr>
            </w:pPr>
            <w:r w:rsidRPr="00D043A6">
              <w:rPr>
                <w:sz w:val="24"/>
                <w:szCs w:val="24"/>
              </w:rPr>
              <w:t>0.25 – 0.40</w:t>
            </w:r>
          </w:p>
        </w:tc>
        <w:tc>
          <w:tcPr>
            <w:tcW w:w="707" w:type="pct"/>
            <w:vAlign w:val="center"/>
          </w:tcPr>
          <w:p w:rsidR="00E61F12" w:rsidRPr="00D043A6" w:rsidRDefault="00E61F12" w:rsidP="00A64C52">
            <w:pPr>
              <w:autoSpaceDE w:val="0"/>
              <w:autoSpaceDN w:val="0"/>
              <w:adjustRightInd w:val="0"/>
              <w:jc w:val="center"/>
              <w:rPr>
                <w:sz w:val="24"/>
                <w:szCs w:val="24"/>
              </w:rPr>
            </w:pPr>
            <w:r w:rsidRPr="00D043A6">
              <w:rPr>
                <w:sz w:val="24"/>
                <w:szCs w:val="24"/>
              </w:rPr>
              <w:t>0.2 k</w:t>
            </w:r>
            <w:r w:rsidR="002E2C5A" w:rsidRPr="00D043A6">
              <w:rPr>
                <w:sz w:val="24"/>
                <w:szCs w:val="24"/>
              </w:rPr>
              <w:t>*</w:t>
            </w:r>
          </w:p>
        </w:tc>
      </w:tr>
      <w:tr w:rsidR="00E61F12" w:rsidRPr="00D043A6" w:rsidTr="00E61F12">
        <w:tc>
          <w:tcPr>
            <w:tcW w:w="2312" w:type="pct"/>
            <w:gridSpan w:val="2"/>
            <w:vAlign w:val="center"/>
          </w:tcPr>
          <w:p w:rsidR="00E61F12" w:rsidRPr="00D043A6" w:rsidRDefault="00E61F12" w:rsidP="004B4DDF">
            <w:pPr>
              <w:autoSpaceDE w:val="0"/>
              <w:autoSpaceDN w:val="0"/>
              <w:adjustRightInd w:val="0"/>
              <w:rPr>
                <w:sz w:val="24"/>
                <w:szCs w:val="24"/>
              </w:rPr>
            </w:pPr>
            <w:r w:rsidRPr="00D043A6">
              <w:rPr>
                <w:sz w:val="24"/>
                <w:szCs w:val="24"/>
              </w:rPr>
              <w:t>Grīdas uz grunts</w:t>
            </w:r>
          </w:p>
        </w:tc>
        <w:tc>
          <w:tcPr>
            <w:tcW w:w="600" w:type="pct"/>
            <w:vMerge/>
            <w:vAlign w:val="center"/>
          </w:tcPr>
          <w:p w:rsidR="00E61F12" w:rsidRPr="00D043A6" w:rsidRDefault="00E61F12" w:rsidP="00E61F12">
            <w:pPr>
              <w:autoSpaceDE w:val="0"/>
              <w:autoSpaceDN w:val="0"/>
              <w:adjustRightInd w:val="0"/>
              <w:rPr>
                <w:sz w:val="24"/>
                <w:szCs w:val="24"/>
              </w:rPr>
            </w:pPr>
          </w:p>
        </w:tc>
        <w:tc>
          <w:tcPr>
            <w:tcW w:w="653" w:type="pct"/>
            <w:vAlign w:val="center"/>
          </w:tcPr>
          <w:p w:rsidR="00E61F12" w:rsidRPr="00D043A6" w:rsidRDefault="00E61F12" w:rsidP="00E2481E">
            <w:pPr>
              <w:autoSpaceDE w:val="0"/>
              <w:autoSpaceDN w:val="0"/>
              <w:adjustRightInd w:val="0"/>
              <w:jc w:val="center"/>
              <w:rPr>
                <w:sz w:val="24"/>
                <w:szCs w:val="24"/>
              </w:rPr>
            </w:pPr>
            <w:r w:rsidRPr="00D043A6">
              <w:rPr>
                <w:sz w:val="24"/>
                <w:szCs w:val="24"/>
              </w:rPr>
              <w:t>-</w:t>
            </w:r>
          </w:p>
        </w:tc>
        <w:tc>
          <w:tcPr>
            <w:tcW w:w="728" w:type="pct"/>
            <w:vAlign w:val="center"/>
          </w:tcPr>
          <w:p w:rsidR="00E61F12" w:rsidRPr="00D043A6" w:rsidRDefault="00E61F12" w:rsidP="00E2481E">
            <w:pPr>
              <w:autoSpaceDE w:val="0"/>
              <w:autoSpaceDN w:val="0"/>
              <w:adjustRightInd w:val="0"/>
              <w:jc w:val="center"/>
              <w:rPr>
                <w:sz w:val="24"/>
                <w:szCs w:val="24"/>
              </w:rPr>
            </w:pPr>
            <w:r w:rsidRPr="00D043A6">
              <w:rPr>
                <w:sz w:val="24"/>
                <w:szCs w:val="24"/>
              </w:rPr>
              <w:t>0.5</w:t>
            </w:r>
          </w:p>
        </w:tc>
        <w:tc>
          <w:tcPr>
            <w:tcW w:w="707" w:type="pct"/>
            <w:vAlign w:val="center"/>
          </w:tcPr>
          <w:p w:rsidR="00E61F12" w:rsidRPr="00D043A6" w:rsidRDefault="00E61F12" w:rsidP="00A64C52">
            <w:pPr>
              <w:autoSpaceDE w:val="0"/>
              <w:autoSpaceDN w:val="0"/>
              <w:adjustRightInd w:val="0"/>
              <w:jc w:val="center"/>
              <w:rPr>
                <w:sz w:val="24"/>
                <w:szCs w:val="24"/>
              </w:rPr>
            </w:pPr>
            <w:r w:rsidRPr="00D043A6">
              <w:rPr>
                <w:sz w:val="24"/>
                <w:szCs w:val="24"/>
              </w:rPr>
              <w:t>0.25 k</w:t>
            </w:r>
          </w:p>
        </w:tc>
      </w:tr>
      <w:tr w:rsidR="00E61F12" w:rsidRPr="00D043A6" w:rsidTr="00E61F12">
        <w:tc>
          <w:tcPr>
            <w:tcW w:w="2312" w:type="pct"/>
            <w:gridSpan w:val="2"/>
            <w:vAlign w:val="center"/>
          </w:tcPr>
          <w:p w:rsidR="00E61F12" w:rsidRPr="00D043A6" w:rsidRDefault="00E61F12" w:rsidP="004B4DDF">
            <w:pPr>
              <w:autoSpaceDE w:val="0"/>
              <w:autoSpaceDN w:val="0"/>
              <w:adjustRightInd w:val="0"/>
              <w:rPr>
                <w:sz w:val="24"/>
                <w:szCs w:val="24"/>
              </w:rPr>
            </w:pPr>
            <w:r w:rsidRPr="00D043A6">
              <w:rPr>
                <w:sz w:val="24"/>
                <w:szCs w:val="24"/>
              </w:rPr>
              <w:t>Ārsienas ar masu mazāku nekā 100 kg/m</w:t>
            </w:r>
            <w:r w:rsidRPr="00D043A6">
              <w:rPr>
                <w:sz w:val="24"/>
                <w:szCs w:val="24"/>
                <w:vertAlign w:val="superscript"/>
              </w:rPr>
              <w:t>2</w:t>
            </w:r>
          </w:p>
        </w:tc>
        <w:tc>
          <w:tcPr>
            <w:tcW w:w="600" w:type="pct"/>
            <w:vMerge/>
            <w:vAlign w:val="center"/>
          </w:tcPr>
          <w:p w:rsidR="00E61F12" w:rsidRPr="00D043A6" w:rsidRDefault="00E61F12" w:rsidP="00E61F12">
            <w:pPr>
              <w:autoSpaceDE w:val="0"/>
              <w:autoSpaceDN w:val="0"/>
              <w:adjustRightInd w:val="0"/>
              <w:rPr>
                <w:sz w:val="24"/>
                <w:szCs w:val="24"/>
              </w:rPr>
            </w:pPr>
          </w:p>
        </w:tc>
        <w:tc>
          <w:tcPr>
            <w:tcW w:w="653" w:type="pct"/>
            <w:vMerge w:val="restart"/>
            <w:vAlign w:val="center"/>
          </w:tcPr>
          <w:p w:rsidR="00E61F12" w:rsidRPr="00D043A6" w:rsidRDefault="00E61F12" w:rsidP="00E2481E">
            <w:pPr>
              <w:autoSpaceDE w:val="0"/>
              <w:autoSpaceDN w:val="0"/>
              <w:adjustRightInd w:val="0"/>
              <w:jc w:val="center"/>
              <w:rPr>
                <w:sz w:val="24"/>
                <w:szCs w:val="24"/>
              </w:rPr>
            </w:pPr>
            <w:r w:rsidRPr="00D043A6">
              <w:rPr>
                <w:sz w:val="24"/>
                <w:szCs w:val="24"/>
              </w:rPr>
              <w:t>1.1</w:t>
            </w:r>
          </w:p>
        </w:tc>
        <w:tc>
          <w:tcPr>
            <w:tcW w:w="728" w:type="pct"/>
            <w:vMerge w:val="restart"/>
            <w:vAlign w:val="center"/>
          </w:tcPr>
          <w:p w:rsidR="00E61F12" w:rsidRPr="00D043A6" w:rsidRDefault="00E61F12" w:rsidP="00E2481E">
            <w:pPr>
              <w:autoSpaceDE w:val="0"/>
              <w:autoSpaceDN w:val="0"/>
              <w:adjustRightInd w:val="0"/>
              <w:jc w:val="center"/>
              <w:rPr>
                <w:sz w:val="24"/>
                <w:szCs w:val="24"/>
              </w:rPr>
            </w:pPr>
            <w:r w:rsidRPr="00D043A6">
              <w:rPr>
                <w:sz w:val="24"/>
                <w:szCs w:val="24"/>
              </w:rPr>
              <w:t>0.33 – 0.50</w:t>
            </w:r>
          </w:p>
        </w:tc>
        <w:tc>
          <w:tcPr>
            <w:tcW w:w="707" w:type="pct"/>
            <w:vAlign w:val="center"/>
          </w:tcPr>
          <w:p w:rsidR="00E61F12" w:rsidRPr="00D043A6" w:rsidRDefault="00E61F12" w:rsidP="00A64C52">
            <w:pPr>
              <w:autoSpaceDE w:val="0"/>
              <w:autoSpaceDN w:val="0"/>
              <w:adjustRightInd w:val="0"/>
              <w:jc w:val="center"/>
              <w:rPr>
                <w:sz w:val="24"/>
                <w:szCs w:val="24"/>
              </w:rPr>
            </w:pPr>
            <w:r w:rsidRPr="00D043A6">
              <w:rPr>
                <w:sz w:val="24"/>
                <w:szCs w:val="24"/>
              </w:rPr>
              <w:t>0.25 k</w:t>
            </w:r>
          </w:p>
        </w:tc>
      </w:tr>
      <w:tr w:rsidR="00E61F12" w:rsidRPr="00D043A6" w:rsidTr="00E61F12">
        <w:tc>
          <w:tcPr>
            <w:tcW w:w="2312" w:type="pct"/>
            <w:gridSpan w:val="2"/>
            <w:vAlign w:val="center"/>
          </w:tcPr>
          <w:p w:rsidR="00E61F12" w:rsidRPr="00D043A6" w:rsidRDefault="00E61F12" w:rsidP="004B4DDF">
            <w:pPr>
              <w:autoSpaceDE w:val="0"/>
              <w:autoSpaceDN w:val="0"/>
              <w:adjustRightInd w:val="0"/>
              <w:rPr>
                <w:sz w:val="24"/>
                <w:szCs w:val="24"/>
              </w:rPr>
            </w:pPr>
            <w:r w:rsidRPr="00D043A6">
              <w:rPr>
                <w:sz w:val="24"/>
                <w:szCs w:val="24"/>
              </w:rPr>
              <w:t>Ārsienas ar masu 100 kg/m</w:t>
            </w:r>
            <w:r w:rsidRPr="00D043A6">
              <w:rPr>
                <w:sz w:val="24"/>
                <w:szCs w:val="24"/>
                <w:vertAlign w:val="superscript"/>
              </w:rPr>
              <w:t>2</w:t>
            </w:r>
            <w:r w:rsidRPr="00D043A6">
              <w:rPr>
                <w:sz w:val="24"/>
                <w:szCs w:val="24"/>
              </w:rPr>
              <w:t xml:space="preserve"> un vairāk</w:t>
            </w:r>
          </w:p>
        </w:tc>
        <w:tc>
          <w:tcPr>
            <w:tcW w:w="600" w:type="pct"/>
            <w:vMerge/>
            <w:vAlign w:val="center"/>
          </w:tcPr>
          <w:p w:rsidR="00E61F12" w:rsidRPr="00D043A6" w:rsidRDefault="00E61F12" w:rsidP="00E61F12">
            <w:pPr>
              <w:autoSpaceDE w:val="0"/>
              <w:autoSpaceDN w:val="0"/>
              <w:adjustRightInd w:val="0"/>
              <w:rPr>
                <w:sz w:val="24"/>
                <w:szCs w:val="24"/>
              </w:rPr>
            </w:pPr>
          </w:p>
        </w:tc>
        <w:tc>
          <w:tcPr>
            <w:tcW w:w="653" w:type="pct"/>
            <w:vMerge/>
            <w:vAlign w:val="center"/>
          </w:tcPr>
          <w:p w:rsidR="00E61F12" w:rsidRPr="00D043A6" w:rsidRDefault="00E61F12" w:rsidP="00E2481E">
            <w:pPr>
              <w:autoSpaceDE w:val="0"/>
              <w:autoSpaceDN w:val="0"/>
              <w:adjustRightInd w:val="0"/>
              <w:jc w:val="center"/>
              <w:rPr>
                <w:sz w:val="24"/>
                <w:szCs w:val="24"/>
              </w:rPr>
            </w:pPr>
          </w:p>
        </w:tc>
        <w:tc>
          <w:tcPr>
            <w:tcW w:w="728" w:type="pct"/>
            <w:vMerge/>
            <w:vAlign w:val="center"/>
          </w:tcPr>
          <w:p w:rsidR="00E61F12" w:rsidRPr="00D043A6" w:rsidRDefault="00E61F12" w:rsidP="00E2481E">
            <w:pPr>
              <w:autoSpaceDE w:val="0"/>
              <w:autoSpaceDN w:val="0"/>
              <w:adjustRightInd w:val="0"/>
              <w:jc w:val="center"/>
              <w:rPr>
                <w:sz w:val="24"/>
                <w:szCs w:val="24"/>
              </w:rPr>
            </w:pPr>
          </w:p>
        </w:tc>
        <w:tc>
          <w:tcPr>
            <w:tcW w:w="707" w:type="pct"/>
            <w:vAlign w:val="center"/>
          </w:tcPr>
          <w:p w:rsidR="00E61F12" w:rsidRPr="00D043A6" w:rsidRDefault="00E61F12" w:rsidP="00A64C52">
            <w:pPr>
              <w:autoSpaceDE w:val="0"/>
              <w:autoSpaceDN w:val="0"/>
              <w:adjustRightInd w:val="0"/>
              <w:jc w:val="center"/>
              <w:rPr>
                <w:sz w:val="24"/>
                <w:szCs w:val="24"/>
              </w:rPr>
            </w:pPr>
            <w:r w:rsidRPr="00D043A6">
              <w:rPr>
                <w:sz w:val="24"/>
                <w:szCs w:val="24"/>
              </w:rPr>
              <w:t>0.3 k</w:t>
            </w:r>
          </w:p>
        </w:tc>
      </w:tr>
      <w:tr w:rsidR="00E61F12" w:rsidRPr="00D043A6" w:rsidTr="00E61F12">
        <w:tc>
          <w:tcPr>
            <w:tcW w:w="2312" w:type="pct"/>
            <w:gridSpan w:val="2"/>
            <w:vAlign w:val="center"/>
          </w:tcPr>
          <w:p w:rsidR="00E61F12" w:rsidRPr="00D043A6" w:rsidRDefault="00E61F12" w:rsidP="004B4DDF">
            <w:pPr>
              <w:autoSpaceDE w:val="0"/>
              <w:autoSpaceDN w:val="0"/>
              <w:adjustRightInd w:val="0"/>
              <w:rPr>
                <w:sz w:val="24"/>
                <w:szCs w:val="24"/>
              </w:rPr>
            </w:pPr>
            <w:r w:rsidRPr="00D043A6">
              <w:rPr>
                <w:sz w:val="24"/>
                <w:szCs w:val="24"/>
              </w:rPr>
              <w:t>Logi, durvis</w:t>
            </w:r>
          </w:p>
        </w:tc>
        <w:tc>
          <w:tcPr>
            <w:tcW w:w="600" w:type="pct"/>
            <w:vMerge/>
            <w:vAlign w:val="center"/>
          </w:tcPr>
          <w:p w:rsidR="00E61F12" w:rsidRPr="00D043A6" w:rsidRDefault="00E61F12" w:rsidP="00E61F12">
            <w:pPr>
              <w:autoSpaceDE w:val="0"/>
              <w:autoSpaceDN w:val="0"/>
              <w:adjustRightInd w:val="0"/>
              <w:rPr>
                <w:sz w:val="24"/>
                <w:szCs w:val="24"/>
              </w:rPr>
            </w:pPr>
          </w:p>
        </w:tc>
        <w:tc>
          <w:tcPr>
            <w:tcW w:w="653" w:type="pct"/>
            <w:vAlign w:val="center"/>
          </w:tcPr>
          <w:p w:rsidR="00E61F12" w:rsidRPr="00D043A6" w:rsidRDefault="00E61F12" w:rsidP="00E2481E">
            <w:pPr>
              <w:autoSpaceDE w:val="0"/>
              <w:autoSpaceDN w:val="0"/>
              <w:adjustRightInd w:val="0"/>
              <w:jc w:val="center"/>
              <w:rPr>
                <w:sz w:val="24"/>
                <w:szCs w:val="24"/>
              </w:rPr>
            </w:pPr>
            <w:r w:rsidRPr="00D043A6">
              <w:rPr>
                <w:sz w:val="24"/>
                <w:szCs w:val="24"/>
              </w:rPr>
              <w:t>2.4</w:t>
            </w:r>
          </w:p>
        </w:tc>
        <w:tc>
          <w:tcPr>
            <w:tcW w:w="728" w:type="pct"/>
            <w:vAlign w:val="center"/>
          </w:tcPr>
          <w:p w:rsidR="00E61F12" w:rsidRPr="00D043A6" w:rsidRDefault="00E61F12" w:rsidP="00E2481E">
            <w:pPr>
              <w:autoSpaceDE w:val="0"/>
              <w:autoSpaceDN w:val="0"/>
              <w:adjustRightInd w:val="0"/>
              <w:jc w:val="center"/>
              <w:rPr>
                <w:sz w:val="24"/>
                <w:szCs w:val="24"/>
              </w:rPr>
            </w:pPr>
            <w:r w:rsidRPr="00D043A6">
              <w:rPr>
                <w:sz w:val="24"/>
                <w:szCs w:val="24"/>
              </w:rPr>
              <w:t>1.9 – 2.4</w:t>
            </w:r>
          </w:p>
        </w:tc>
        <w:tc>
          <w:tcPr>
            <w:tcW w:w="707" w:type="pct"/>
            <w:vAlign w:val="center"/>
          </w:tcPr>
          <w:p w:rsidR="00E61F12" w:rsidRPr="00D043A6" w:rsidRDefault="00E61F12" w:rsidP="00A64C52">
            <w:pPr>
              <w:autoSpaceDE w:val="0"/>
              <w:autoSpaceDN w:val="0"/>
              <w:adjustRightInd w:val="0"/>
              <w:jc w:val="center"/>
              <w:rPr>
                <w:sz w:val="24"/>
                <w:szCs w:val="24"/>
              </w:rPr>
            </w:pPr>
            <w:r w:rsidRPr="00D043A6">
              <w:rPr>
                <w:sz w:val="24"/>
                <w:szCs w:val="24"/>
              </w:rPr>
              <w:t>1.8 k</w:t>
            </w:r>
          </w:p>
        </w:tc>
      </w:tr>
      <w:tr w:rsidR="00E61F12" w:rsidRPr="00D043A6" w:rsidTr="00E61F12">
        <w:tc>
          <w:tcPr>
            <w:tcW w:w="2312" w:type="pct"/>
            <w:gridSpan w:val="2"/>
            <w:vAlign w:val="center"/>
          </w:tcPr>
          <w:p w:rsidR="00E61F12" w:rsidRPr="00D043A6" w:rsidRDefault="00E61F12" w:rsidP="004B4DDF">
            <w:pPr>
              <w:autoSpaceDE w:val="0"/>
              <w:autoSpaceDN w:val="0"/>
              <w:adjustRightInd w:val="0"/>
              <w:rPr>
                <w:sz w:val="24"/>
                <w:szCs w:val="24"/>
              </w:rPr>
            </w:pPr>
            <w:r w:rsidRPr="00D043A6">
              <w:rPr>
                <w:sz w:val="24"/>
                <w:szCs w:val="24"/>
              </w:rPr>
              <w:t>Termiskie tilti</w:t>
            </w:r>
          </w:p>
        </w:tc>
        <w:tc>
          <w:tcPr>
            <w:tcW w:w="600" w:type="pct"/>
            <w:vMerge/>
            <w:vAlign w:val="center"/>
          </w:tcPr>
          <w:p w:rsidR="00E61F12" w:rsidRPr="00D043A6" w:rsidRDefault="00E61F12" w:rsidP="00E61F12">
            <w:pPr>
              <w:autoSpaceDE w:val="0"/>
              <w:autoSpaceDN w:val="0"/>
              <w:adjustRightInd w:val="0"/>
              <w:rPr>
                <w:sz w:val="24"/>
                <w:szCs w:val="24"/>
              </w:rPr>
            </w:pPr>
          </w:p>
        </w:tc>
        <w:tc>
          <w:tcPr>
            <w:tcW w:w="653" w:type="pct"/>
            <w:vAlign w:val="center"/>
          </w:tcPr>
          <w:p w:rsidR="00E61F12" w:rsidRPr="00D043A6" w:rsidRDefault="00E61F12" w:rsidP="00E2481E">
            <w:pPr>
              <w:autoSpaceDE w:val="0"/>
              <w:autoSpaceDN w:val="0"/>
              <w:adjustRightInd w:val="0"/>
              <w:jc w:val="center"/>
              <w:rPr>
                <w:sz w:val="24"/>
                <w:szCs w:val="24"/>
              </w:rPr>
            </w:pPr>
            <w:r w:rsidRPr="00D043A6">
              <w:rPr>
                <w:sz w:val="24"/>
                <w:szCs w:val="24"/>
              </w:rPr>
              <w:t>-</w:t>
            </w:r>
          </w:p>
        </w:tc>
        <w:tc>
          <w:tcPr>
            <w:tcW w:w="728" w:type="pct"/>
            <w:vAlign w:val="center"/>
          </w:tcPr>
          <w:p w:rsidR="00E61F12" w:rsidRPr="00D043A6" w:rsidRDefault="00E61F12" w:rsidP="00E2481E">
            <w:pPr>
              <w:autoSpaceDE w:val="0"/>
              <w:autoSpaceDN w:val="0"/>
              <w:adjustRightInd w:val="0"/>
              <w:jc w:val="center"/>
              <w:rPr>
                <w:sz w:val="24"/>
                <w:szCs w:val="24"/>
              </w:rPr>
            </w:pPr>
            <w:r w:rsidRPr="00D043A6">
              <w:rPr>
                <w:sz w:val="24"/>
                <w:szCs w:val="24"/>
              </w:rPr>
              <w:t>-</w:t>
            </w:r>
          </w:p>
        </w:tc>
        <w:tc>
          <w:tcPr>
            <w:tcW w:w="707" w:type="pct"/>
            <w:vAlign w:val="center"/>
          </w:tcPr>
          <w:p w:rsidR="00E61F12" w:rsidRPr="00D043A6" w:rsidRDefault="00E61F12" w:rsidP="00A64C52">
            <w:pPr>
              <w:autoSpaceDE w:val="0"/>
              <w:autoSpaceDN w:val="0"/>
              <w:adjustRightInd w:val="0"/>
              <w:jc w:val="center"/>
              <w:rPr>
                <w:sz w:val="24"/>
                <w:szCs w:val="24"/>
              </w:rPr>
            </w:pPr>
            <w:r w:rsidRPr="00D043A6">
              <w:rPr>
                <w:sz w:val="24"/>
                <w:szCs w:val="24"/>
              </w:rPr>
              <w:t>0.2 k</w:t>
            </w:r>
          </w:p>
        </w:tc>
      </w:tr>
      <w:tr w:rsidR="004B4DDF" w:rsidRPr="00D043A6" w:rsidTr="004B4DDF">
        <w:tc>
          <w:tcPr>
            <w:tcW w:w="5000" w:type="pct"/>
            <w:gridSpan w:val="6"/>
          </w:tcPr>
          <w:p w:rsidR="004B4DDF" w:rsidRPr="00D043A6" w:rsidRDefault="004B4DDF" w:rsidP="00A64C52">
            <w:pPr>
              <w:autoSpaceDE w:val="0"/>
              <w:autoSpaceDN w:val="0"/>
              <w:adjustRightInd w:val="0"/>
              <w:rPr>
                <w:sz w:val="24"/>
                <w:szCs w:val="24"/>
              </w:rPr>
            </w:pPr>
            <w:r w:rsidRPr="00D043A6">
              <w:rPr>
                <w:i/>
                <w:sz w:val="24"/>
              </w:rPr>
              <w:t xml:space="preserve">*Temperatūras faktors </w:t>
            </w:r>
            <w:r w:rsidRPr="00D043A6">
              <w:rPr>
                <w:b/>
                <w:bCs/>
                <w:i/>
                <w:sz w:val="24"/>
              </w:rPr>
              <w:t xml:space="preserve">k </w:t>
            </w:r>
            <w:r w:rsidRPr="00D043A6">
              <w:rPr>
                <w:i/>
                <w:sz w:val="24"/>
              </w:rPr>
              <w:t>= 19/(T</w:t>
            </w:r>
            <w:r w:rsidRPr="00D043A6">
              <w:rPr>
                <w:i/>
                <w:sz w:val="24"/>
                <w:vertAlign w:val="subscript"/>
              </w:rPr>
              <w:t>iekš.</w:t>
            </w:r>
            <w:r w:rsidRPr="00D043A6">
              <w:rPr>
                <w:i/>
                <w:sz w:val="24"/>
              </w:rPr>
              <w:t xml:space="preserve"> – T</w:t>
            </w:r>
            <w:r w:rsidRPr="00D043A6">
              <w:rPr>
                <w:i/>
                <w:sz w:val="24"/>
                <w:vertAlign w:val="subscript"/>
              </w:rPr>
              <w:t>ār.</w:t>
            </w:r>
            <w:r w:rsidRPr="00D043A6">
              <w:rPr>
                <w:i/>
                <w:sz w:val="24"/>
              </w:rPr>
              <w:t xml:space="preserve">), atkarībā no klimata zonas dzīvojamām mājām </w:t>
            </w:r>
            <w:r w:rsidRPr="00D043A6">
              <w:rPr>
                <w:b/>
                <w:bCs/>
                <w:i/>
                <w:sz w:val="24"/>
              </w:rPr>
              <w:t>k</w:t>
            </w:r>
            <w:r w:rsidRPr="00D043A6">
              <w:rPr>
                <w:i/>
                <w:sz w:val="24"/>
              </w:rPr>
              <w:t xml:space="preserve"> ir no 0,95 (Liepājā) līdz 1,09 (Alūksnē)</w:t>
            </w:r>
          </w:p>
        </w:tc>
      </w:tr>
      <w:tr w:rsidR="00E61F12" w:rsidRPr="00D043A6" w:rsidTr="00E61F12">
        <w:tc>
          <w:tcPr>
            <w:tcW w:w="1814" w:type="pct"/>
            <w:vAlign w:val="center"/>
          </w:tcPr>
          <w:p w:rsidR="00E61F12" w:rsidRPr="00D043A6" w:rsidRDefault="00E61F12" w:rsidP="00E61F12">
            <w:pPr>
              <w:autoSpaceDE w:val="0"/>
              <w:autoSpaceDN w:val="0"/>
              <w:adjustRightInd w:val="0"/>
              <w:rPr>
                <w:sz w:val="24"/>
                <w:szCs w:val="24"/>
              </w:rPr>
            </w:pPr>
            <w:r w:rsidRPr="00D043A6">
              <w:rPr>
                <w:sz w:val="24"/>
                <w:szCs w:val="24"/>
              </w:rPr>
              <w:t xml:space="preserve">Enerģijas patēriņš apkurei </w:t>
            </w:r>
          </w:p>
        </w:tc>
        <w:tc>
          <w:tcPr>
            <w:tcW w:w="1098" w:type="pct"/>
            <w:gridSpan w:val="2"/>
            <w:vAlign w:val="center"/>
          </w:tcPr>
          <w:p w:rsidR="00E61F12" w:rsidRPr="00D043A6" w:rsidRDefault="00E61F12" w:rsidP="00E61F12">
            <w:pPr>
              <w:autoSpaceDE w:val="0"/>
              <w:autoSpaceDN w:val="0"/>
              <w:adjustRightInd w:val="0"/>
              <w:jc w:val="center"/>
              <w:rPr>
                <w:sz w:val="24"/>
                <w:szCs w:val="24"/>
              </w:rPr>
            </w:pPr>
            <w:r w:rsidRPr="00D043A6">
              <w:rPr>
                <w:sz w:val="24"/>
                <w:szCs w:val="24"/>
              </w:rPr>
              <w:t>kWh/m</w:t>
            </w:r>
            <w:r w:rsidRPr="00D043A6">
              <w:rPr>
                <w:sz w:val="24"/>
                <w:szCs w:val="24"/>
                <w:vertAlign w:val="superscript"/>
              </w:rPr>
              <w:t>2</w:t>
            </w:r>
            <w:r w:rsidRPr="00D043A6">
              <w:rPr>
                <w:sz w:val="24"/>
                <w:szCs w:val="24"/>
              </w:rPr>
              <w:t xml:space="preserve"> gadā</w:t>
            </w:r>
          </w:p>
        </w:tc>
        <w:tc>
          <w:tcPr>
            <w:tcW w:w="653" w:type="pct"/>
            <w:vAlign w:val="center"/>
          </w:tcPr>
          <w:p w:rsidR="00E61F12" w:rsidRPr="00D043A6" w:rsidRDefault="00E61F12" w:rsidP="00E61F12">
            <w:pPr>
              <w:autoSpaceDE w:val="0"/>
              <w:autoSpaceDN w:val="0"/>
              <w:adjustRightInd w:val="0"/>
              <w:jc w:val="center"/>
              <w:rPr>
                <w:sz w:val="24"/>
                <w:szCs w:val="24"/>
              </w:rPr>
            </w:pPr>
            <w:r w:rsidRPr="00D043A6">
              <w:rPr>
                <w:sz w:val="24"/>
                <w:szCs w:val="24"/>
              </w:rPr>
              <w:t>150 – 200</w:t>
            </w:r>
          </w:p>
        </w:tc>
        <w:tc>
          <w:tcPr>
            <w:tcW w:w="728" w:type="pct"/>
            <w:vAlign w:val="center"/>
          </w:tcPr>
          <w:p w:rsidR="00E61F12" w:rsidRPr="00D043A6" w:rsidRDefault="00E61F12" w:rsidP="00E61F12">
            <w:pPr>
              <w:autoSpaceDE w:val="0"/>
              <w:autoSpaceDN w:val="0"/>
              <w:adjustRightInd w:val="0"/>
              <w:jc w:val="center"/>
              <w:rPr>
                <w:sz w:val="24"/>
                <w:szCs w:val="24"/>
              </w:rPr>
            </w:pPr>
            <w:r w:rsidRPr="00D043A6">
              <w:rPr>
                <w:sz w:val="24"/>
                <w:szCs w:val="24"/>
              </w:rPr>
              <w:t>100 – 130</w:t>
            </w:r>
          </w:p>
        </w:tc>
        <w:tc>
          <w:tcPr>
            <w:tcW w:w="707" w:type="pct"/>
            <w:vAlign w:val="center"/>
          </w:tcPr>
          <w:p w:rsidR="00E61F12" w:rsidRPr="00D043A6" w:rsidRDefault="00E61F12" w:rsidP="00A64C52">
            <w:pPr>
              <w:autoSpaceDE w:val="0"/>
              <w:autoSpaceDN w:val="0"/>
              <w:adjustRightInd w:val="0"/>
              <w:jc w:val="center"/>
              <w:rPr>
                <w:sz w:val="24"/>
                <w:szCs w:val="24"/>
              </w:rPr>
            </w:pPr>
            <w:r w:rsidRPr="00D043A6">
              <w:rPr>
                <w:sz w:val="24"/>
                <w:szCs w:val="24"/>
              </w:rPr>
              <w:t>70 – 90</w:t>
            </w:r>
          </w:p>
        </w:tc>
      </w:tr>
    </w:tbl>
    <w:p w:rsidR="004B4DDF" w:rsidRPr="00D043A6" w:rsidRDefault="004B4DDF" w:rsidP="004B4DDF">
      <w:pPr>
        <w:rPr>
          <w:i/>
          <w:sz w:val="24"/>
        </w:rPr>
      </w:pPr>
    </w:p>
    <w:p w:rsidR="00306A78" w:rsidRPr="00D043A6" w:rsidRDefault="00E65472" w:rsidP="00B937A6">
      <w:pPr>
        <w:ind w:firstLine="720"/>
        <w:jc w:val="both"/>
        <w:rPr>
          <w:sz w:val="24"/>
          <w:szCs w:val="24"/>
          <w:lang w:eastAsia="lv-LV"/>
        </w:rPr>
      </w:pPr>
      <w:r w:rsidRPr="00D043A6">
        <w:rPr>
          <w:sz w:val="24"/>
          <w:szCs w:val="24"/>
          <w:lang w:eastAsia="lv-LV"/>
        </w:rPr>
        <w:t>Gan pirms</w:t>
      </w:r>
      <w:r w:rsidR="00AF7761" w:rsidRPr="00D043A6">
        <w:rPr>
          <w:sz w:val="24"/>
          <w:szCs w:val="24"/>
          <w:lang w:eastAsia="lv-LV"/>
        </w:rPr>
        <w:t>,</w:t>
      </w:r>
      <w:r w:rsidRPr="00D043A6">
        <w:rPr>
          <w:sz w:val="24"/>
          <w:szCs w:val="24"/>
          <w:lang w:eastAsia="lv-LV"/>
        </w:rPr>
        <w:t xml:space="preserve"> gan pēc kara celtajām ēkām norobežojošo konstrukciju īpašības parasti pamatotas ar būvfizikas aprēķiniem, kas veikti ar mērķi novērst mitruma veidošanos uz ārsienu iekšējās virsmas, lai nepieļautu ārsienu caursalšanu. Pareizi uzbūvētām ēkām siltuma caurlaidības koeficientu U vērtība parasti nav zemāka par 1.3 [W/(m</w:t>
      </w:r>
      <w:r w:rsidRPr="00D043A6">
        <w:rPr>
          <w:sz w:val="24"/>
          <w:szCs w:val="24"/>
          <w:vertAlign w:val="superscript"/>
          <w:lang w:eastAsia="lv-LV"/>
        </w:rPr>
        <w:t>2</w:t>
      </w:r>
      <w:r w:rsidRPr="00D043A6">
        <w:rPr>
          <w:sz w:val="24"/>
          <w:szCs w:val="24"/>
          <w:lang w:eastAsia="lv-LV"/>
        </w:rPr>
        <w:t xml:space="preserve"> K)].</w:t>
      </w:r>
      <w:r w:rsidR="007C0888" w:rsidRPr="00D043A6">
        <w:rPr>
          <w:sz w:val="24"/>
          <w:szCs w:val="24"/>
          <w:lang w:eastAsia="lv-LV"/>
        </w:rPr>
        <w:t xml:space="preserve"> </w:t>
      </w:r>
      <w:r w:rsidR="004B4DDF" w:rsidRPr="00D043A6">
        <w:rPr>
          <w:sz w:val="24"/>
          <w:szCs w:val="24"/>
          <w:lang w:eastAsia="lv-LV"/>
        </w:rPr>
        <w:t>Pētījumi liecina, ka</w:t>
      </w:r>
      <w:r w:rsidRPr="00D043A6">
        <w:rPr>
          <w:sz w:val="24"/>
          <w:szCs w:val="24"/>
          <w:lang w:eastAsia="lv-LV"/>
        </w:rPr>
        <w:t xml:space="preserve"> </w:t>
      </w:r>
      <w:r w:rsidR="007C0888" w:rsidRPr="00D043A6">
        <w:rPr>
          <w:sz w:val="24"/>
          <w:szCs w:val="24"/>
          <w:lang w:eastAsia="lv-LV"/>
        </w:rPr>
        <w:t>PSRS laikā uzbūvēto</w:t>
      </w:r>
      <w:r w:rsidR="004B4DDF" w:rsidRPr="00D043A6">
        <w:rPr>
          <w:sz w:val="24"/>
          <w:szCs w:val="24"/>
          <w:lang w:eastAsia="lv-LV"/>
        </w:rPr>
        <w:t xml:space="preserve"> tipveida ēku norobežojošo konstrukciju siltumtehniskie rādītāji </w:t>
      </w:r>
      <w:r w:rsidRPr="00D043A6">
        <w:rPr>
          <w:sz w:val="24"/>
          <w:szCs w:val="24"/>
          <w:lang w:eastAsia="lv-LV"/>
        </w:rPr>
        <w:t>parasti ir robežās no 0.8 līdz 1.2</w:t>
      </w:r>
      <w:r w:rsidR="007C0888" w:rsidRPr="00D043A6">
        <w:rPr>
          <w:sz w:val="24"/>
          <w:szCs w:val="24"/>
          <w:lang w:eastAsia="lv-LV"/>
        </w:rPr>
        <w:t>, taču ir gadījumi, kad ārsienām U faktiskās vērtības ir līdz 2.0 [W/(m</w:t>
      </w:r>
      <w:r w:rsidR="007C0888" w:rsidRPr="00D043A6">
        <w:rPr>
          <w:sz w:val="24"/>
          <w:szCs w:val="24"/>
          <w:vertAlign w:val="superscript"/>
          <w:lang w:eastAsia="lv-LV"/>
        </w:rPr>
        <w:t>2</w:t>
      </w:r>
      <w:r w:rsidR="00AF7761" w:rsidRPr="00D043A6">
        <w:rPr>
          <w:sz w:val="24"/>
          <w:szCs w:val="24"/>
          <w:lang w:eastAsia="lv-LV"/>
        </w:rPr>
        <w:t> </w:t>
      </w:r>
      <w:r w:rsidR="007C0888" w:rsidRPr="00D043A6">
        <w:rPr>
          <w:sz w:val="24"/>
          <w:szCs w:val="24"/>
          <w:lang w:eastAsia="lv-LV"/>
        </w:rPr>
        <w:t>K)]</w:t>
      </w:r>
      <w:r w:rsidR="007C0888" w:rsidRPr="00D043A6">
        <w:rPr>
          <w:rStyle w:val="FootnoteReference"/>
          <w:sz w:val="24"/>
          <w:szCs w:val="24"/>
          <w:lang w:eastAsia="lv-LV"/>
        </w:rPr>
        <w:t xml:space="preserve"> </w:t>
      </w:r>
      <w:r w:rsidR="007C0888" w:rsidRPr="00D043A6">
        <w:rPr>
          <w:rStyle w:val="FootnoteReference"/>
          <w:sz w:val="24"/>
          <w:szCs w:val="24"/>
          <w:lang w:eastAsia="lv-LV"/>
        </w:rPr>
        <w:footnoteReference w:id="6"/>
      </w:r>
      <w:r w:rsidR="007C0888" w:rsidRPr="00D043A6">
        <w:rPr>
          <w:sz w:val="24"/>
          <w:szCs w:val="24"/>
          <w:lang w:eastAsia="lv-LV"/>
        </w:rPr>
        <w:t>.</w:t>
      </w:r>
      <w:r w:rsidR="00C56466" w:rsidRPr="00D043A6">
        <w:rPr>
          <w:sz w:val="24"/>
          <w:szCs w:val="24"/>
          <w:lang w:eastAsia="lv-LV"/>
        </w:rPr>
        <w:t xml:space="preserve"> </w:t>
      </w:r>
    </w:p>
    <w:p w:rsidR="009C764A" w:rsidRPr="00D043A6" w:rsidRDefault="009C764A" w:rsidP="00306A78">
      <w:pPr>
        <w:jc w:val="center"/>
        <w:rPr>
          <w:sz w:val="24"/>
          <w:szCs w:val="24"/>
          <w:lang w:eastAsia="lv-LV"/>
        </w:rPr>
      </w:pPr>
      <w:r w:rsidRPr="00D043A6">
        <w:rPr>
          <w:noProof/>
          <w:lang w:eastAsia="lv-LV"/>
        </w:rPr>
        <w:drawing>
          <wp:inline distT="0" distB="0" distL="0" distR="0" wp14:anchorId="75AFD0BD" wp14:editId="74E7E6C1">
            <wp:extent cx="4629150" cy="2962275"/>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06A78" w:rsidRPr="00D043A6" w:rsidRDefault="008C0B9A" w:rsidP="00306A78">
      <w:pPr>
        <w:rPr>
          <w:i/>
          <w:sz w:val="24"/>
          <w:szCs w:val="24"/>
          <w:lang w:eastAsia="lv-LV"/>
        </w:rPr>
      </w:pPr>
      <w:r w:rsidRPr="00D043A6">
        <w:rPr>
          <w:i/>
          <w:sz w:val="24"/>
          <w:szCs w:val="24"/>
          <w:lang w:eastAsia="lv-LV"/>
        </w:rPr>
        <w:t>2</w:t>
      </w:r>
      <w:r w:rsidR="00306A78" w:rsidRPr="00D043A6">
        <w:rPr>
          <w:i/>
          <w:sz w:val="24"/>
          <w:szCs w:val="24"/>
          <w:lang w:eastAsia="lv-LV"/>
        </w:rPr>
        <w:t>. attēls Ēku norobežojošo konstrukciju siltumtehnisko</w:t>
      </w:r>
      <w:r w:rsidR="00575094" w:rsidRPr="00D043A6">
        <w:rPr>
          <w:i/>
          <w:sz w:val="24"/>
          <w:szCs w:val="24"/>
          <w:lang w:eastAsia="lv-LV"/>
        </w:rPr>
        <w:t xml:space="preserve"> normatīvo</w:t>
      </w:r>
      <w:r w:rsidR="00306A78" w:rsidRPr="00D043A6">
        <w:rPr>
          <w:i/>
          <w:sz w:val="24"/>
          <w:szCs w:val="24"/>
          <w:lang w:eastAsia="lv-LV"/>
        </w:rPr>
        <w:t xml:space="preserve"> prasību izmaiņas</w:t>
      </w:r>
      <w:r w:rsidR="00575094" w:rsidRPr="00D043A6">
        <w:rPr>
          <w:i/>
          <w:sz w:val="24"/>
          <w:szCs w:val="24"/>
          <w:lang w:eastAsia="lv-LV"/>
        </w:rPr>
        <w:t xml:space="preserve"> kopš 1979. gada</w:t>
      </w:r>
      <w:r w:rsidR="00306A78" w:rsidRPr="00D043A6">
        <w:rPr>
          <w:i/>
          <w:sz w:val="24"/>
          <w:szCs w:val="24"/>
          <w:lang w:eastAsia="lv-LV"/>
        </w:rPr>
        <w:t>.</w:t>
      </w:r>
    </w:p>
    <w:p w:rsidR="00306A78" w:rsidRPr="00D043A6" w:rsidRDefault="00306A78" w:rsidP="0094168A">
      <w:pPr>
        <w:keepLines/>
        <w:ind w:firstLine="720"/>
        <w:jc w:val="both"/>
        <w:rPr>
          <w:sz w:val="24"/>
          <w:szCs w:val="24"/>
          <w:lang w:eastAsia="lv-LV"/>
        </w:rPr>
      </w:pPr>
    </w:p>
    <w:p w:rsidR="0094168A" w:rsidRPr="00D043A6" w:rsidRDefault="0094168A" w:rsidP="0094168A">
      <w:pPr>
        <w:keepLines/>
        <w:ind w:firstLine="720"/>
        <w:jc w:val="both"/>
        <w:rPr>
          <w:sz w:val="24"/>
          <w:szCs w:val="24"/>
          <w:lang w:eastAsia="lv-LV"/>
        </w:rPr>
      </w:pPr>
      <w:r w:rsidRPr="00D043A6">
        <w:rPr>
          <w:sz w:val="24"/>
          <w:szCs w:val="24"/>
          <w:lang w:eastAsia="lv-LV"/>
        </w:rPr>
        <w:lastRenderedPageBreak/>
        <w:t xml:space="preserve">Tikai 3% pēc skaita un 5% pēc platības ēkas uzbūvētas pēc 2003. gada un var tikt uzskatītas par atbilstošām šobrīd spēkā esošām siltumtehniskām prasībām. </w:t>
      </w:r>
      <w:r w:rsidR="00087706" w:rsidRPr="00D043A6">
        <w:rPr>
          <w:sz w:val="24"/>
          <w:szCs w:val="24"/>
          <w:lang w:eastAsia="lv-LV"/>
        </w:rPr>
        <w:t xml:space="preserve">Tikai nedaudz zemākas siltumtehniskās īpašības ir ēkām, kuras būvētas no 1993. līdz 2002. gadam. Vienlaikus jānorāda, ka </w:t>
      </w:r>
      <w:r w:rsidR="00C56466" w:rsidRPr="00D043A6">
        <w:rPr>
          <w:sz w:val="24"/>
          <w:szCs w:val="24"/>
          <w:lang w:eastAsia="lv-LV"/>
        </w:rPr>
        <w:t>normatīvo siltumtehnisko prasību izpi</w:t>
      </w:r>
      <w:r w:rsidR="007F2587">
        <w:rPr>
          <w:sz w:val="24"/>
          <w:szCs w:val="24"/>
          <w:lang w:eastAsia="lv-LV"/>
        </w:rPr>
        <w:t>lde ne vienmēr tiek nodrošināta</w:t>
      </w:r>
      <w:r w:rsidR="00C56466" w:rsidRPr="00D043A6">
        <w:rPr>
          <w:sz w:val="24"/>
          <w:szCs w:val="24"/>
          <w:lang w:eastAsia="lv-LV"/>
        </w:rPr>
        <w:t xml:space="preserve"> gan zemās būvdarbu kvalitātes</w:t>
      </w:r>
      <w:r w:rsidR="00F42C6E" w:rsidRPr="00D043A6">
        <w:rPr>
          <w:sz w:val="24"/>
          <w:szCs w:val="24"/>
          <w:lang w:eastAsia="lv-LV"/>
        </w:rPr>
        <w:t xml:space="preserve"> dēļ</w:t>
      </w:r>
      <w:r w:rsidR="00C56466" w:rsidRPr="00D043A6">
        <w:rPr>
          <w:sz w:val="24"/>
          <w:szCs w:val="24"/>
          <w:lang w:eastAsia="lv-LV"/>
        </w:rPr>
        <w:t>, gan arī būvprojektos</w:t>
      </w:r>
      <w:r w:rsidR="00F42C6E" w:rsidRPr="00D043A6">
        <w:rPr>
          <w:sz w:val="24"/>
          <w:szCs w:val="24"/>
          <w:lang w:eastAsia="lv-LV"/>
        </w:rPr>
        <w:t xml:space="preserve"> pieļauto kļūdu dēļ</w:t>
      </w:r>
      <w:r w:rsidR="00C56466" w:rsidRPr="00D043A6">
        <w:rPr>
          <w:sz w:val="24"/>
          <w:szCs w:val="24"/>
          <w:lang w:eastAsia="lv-LV"/>
        </w:rPr>
        <w:t>.</w:t>
      </w:r>
    </w:p>
    <w:p w:rsidR="005E13CB" w:rsidRPr="00D043A6" w:rsidRDefault="005E13CB" w:rsidP="005E13CB">
      <w:pPr>
        <w:rPr>
          <w:sz w:val="24"/>
        </w:rPr>
      </w:pPr>
    </w:p>
    <w:p w:rsidR="00D50F13" w:rsidRPr="00D043A6" w:rsidRDefault="00D50F13" w:rsidP="00D50F13">
      <w:pPr>
        <w:rPr>
          <w:noProof/>
          <w:sz w:val="24"/>
          <w:szCs w:val="24"/>
          <w:lang w:eastAsia="lv-LV"/>
        </w:rPr>
      </w:pPr>
      <w:r w:rsidRPr="00D043A6">
        <w:rPr>
          <w:noProof/>
          <w:sz w:val="24"/>
          <w:szCs w:val="24"/>
          <w:lang w:eastAsia="lv-LV"/>
        </w:rPr>
        <w:drawing>
          <wp:inline distT="0" distB="0" distL="0" distR="0" wp14:anchorId="3AA9BA0B" wp14:editId="1C53088C">
            <wp:extent cx="2714625" cy="2447925"/>
            <wp:effectExtent l="0" t="0" r="0" b="0"/>
            <wp:docPr id="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D043A6">
        <w:rPr>
          <w:noProof/>
          <w:sz w:val="24"/>
          <w:szCs w:val="24"/>
          <w:lang w:eastAsia="lv-LV"/>
        </w:rPr>
        <w:drawing>
          <wp:inline distT="0" distB="0" distL="0" distR="0" wp14:anchorId="387BA074" wp14:editId="79C74174">
            <wp:extent cx="2828925" cy="2352675"/>
            <wp:effectExtent l="0" t="0" r="0" b="0"/>
            <wp:docPr id="1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50F13" w:rsidRPr="00D043A6" w:rsidRDefault="001C5B50" w:rsidP="00D50F13">
      <w:pPr>
        <w:rPr>
          <w:i/>
          <w:sz w:val="24"/>
          <w:szCs w:val="24"/>
          <w:lang w:eastAsia="lv-LV"/>
        </w:rPr>
      </w:pPr>
      <w:r w:rsidRPr="00D043A6">
        <w:rPr>
          <w:i/>
          <w:noProof/>
          <w:sz w:val="24"/>
          <w:szCs w:val="24"/>
          <w:lang w:eastAsia="lv-LV"/>
        </w:rPr>
        <w:t>3</w:t>
      </w:r>
      <w:r w:rsidR="00D50F13" w:rsidRPr="00D043A6">
        <w:rPr>
          <w:i/>
          <w:noProof/>
          <w:sz w:val="24"/>
          <w:szCs w:val="24"/>
          <w:lang w:eastAsia="lv-LV"/>
        </w:rPr>
        <w:t>. attēls. Daudzdzīvokļu dzīvojamo ēku sadalījums pēc skaita un platīb</w:t>
      </w:r>
      <w:r w:rsidR="007F2587">
        <w:rPr>
          <w:i/>
          <w:noProof/>
          <w:sz w:val="24"/>
          <w:szCs w:val="24"/>
          <w:lang w:eastAsia="lv-LV"/>
        </w:rPr>
        <w:t>as</w:t>
      </w:r>
      <w:r w:rsidR="00D50F13" w:rsidRPr="00D043A6">
        <w:rPr>
          <w:i/>
          <w:noProof/>
          <w:sz w:val="24"/>
          <w:szCs w:val="24"/>
          <w:lang w:eastAsia="lv-LV"/>
        </w:rPr>
        <w:t xml:space="preserve"> atkarībā no celšanas perioda (avots - NĪVK IS). </w:t>
      </w:r>
    </w:p>
    <w:p w:rsidR="00D50F13" w:rsidRPr="00D043A6" w:rsidRDefault="00D50F13" w:rsidP="005E13CB">
      <w:pPr>
        <w:rPr>
          <w:sz w:val="24"/>
        </w:rPr>
      </w:pPr>
    </w:p>
    <w:p w:rsidR="00D50F13" w:rsidRPr="00D043A6" w:rsidRDefault="002E2C5A" w:rsidP="00AE4C24">
      <w:pPr>
        <w:ind w:firstLine="720"/>
        <w:jc w:val="both"/>
        <w:rPr>
          <w:rFonts w:ascii="Calibri" w:eastAsia="Times New Roman" w:hAnsi="Calibri"/>
          <w:color w:val="000000"/>
          <w:sz w:val="16"/>
          <w:szCs w:val="16"/>
          <w:lang w:eastAsia="lv-LV"/>
        </w:rPr>
      </w:pPr>
      <w:r w:rsidRPr="00D043A6">
        <w:rPr>
          <w:sz w:val="24"/>
          <w:szCs w:val="24"/>
          <w:lang w:eastAsia="lv-LV"/>
        </w:rPr>
        <w:t xml:space="preserve">No agrāk uzbūvētajām ēkām par atbilstošām šobrīd spēkā esošām siltumtehniskām prasībām būtu jābūt ēkām, kas </w:t>
      </w:r>
      <w:r w:rsidR="00F020A3" w:rsidRPr="00D043A6">
        <w:rPr>
          <w:sz w:val="24"/>
          <w:szCs w:val="24"/>
          <w:lang w:eastAsia="lv-LV"/>
        </w:rPr>
        <w:t xml:space="preserve">pilnībā </w:t>
      </w:r>
      <w:r w:rsidRPr="00D043A6">
        <w:rPr>
          <w:sz w:val="24"/>
          <w:szCs w:val="24"/>
          <w:lang w:eastAsia="lv-LV"/>
        </w:rPr>
        <w:t>rekonstruētas vai renovētas pēc 2003. gada.</w:t>
      </w:r>
      <w:r w:rsidR="00AE4C24" w:rsidRPr="00D043A6">
        <w:rPr>
          <w:sz w:val="24"/>
          <w:szCs w:val="24"/>
          <w:lang w:eastAsia="lv-LV"/>
        </w:rPr>
        <w:t xml:space="preserve"> </w:t>
      </w:r>
      <w:r w:rsidRPr="00D043A6">
        <w:rPr>
          <w:sz w:val="24"/>
          <w:szCs w:val="24"/>
          <w:lang w:eastAsia="lv-LV"/>
        </w:rPr>
        <w:t xml:space="preserve">Izvērtējot CSP datus par izsniegto būvatļauju skaitu dzīvojamo ēku rekonstrukcijai, var secināt, ka </w:t>
      </w:r>
      <w:r w:rsidR="00270131" w:rsidRPr="00D043A6">
        <w:rPr>
          <w:sz w:val="24"/>
          <w:szCs w:val="24"/>
          <w:lang w:eastAsia="lv-LV"/>
        </w:rPr>
        <w:t>kopš 2003. gada ir renovēti 2-</w:t>
      </w:r>
      <w:r w:rsidR="002536E8" w:rsidRPr="00D043A6">
        <w:rPr>
          <w:sz w:val="24"/>
          <w:szCs w:val="24"/>
          <w:lang w:eastAsia="lv-LV"/>
        </w:rPr>
        <w:t xml:space="preserve">3% viena dzīvokļa </w:t>
      </w:r>
      <w:r w:rsidR="00270131" w:rsidRPr="00D043A6">
        <w:rPr>
          <w:sz w:val="24"/>
          <w:szCs w:val="24"/>
          <w:lang w:eastAsia="lv-LV"/>
        </w:rPr>
        <w:t>māju</w:t>
      </w:r>
      <w:r w:rsidR="00926E5C" w:rsidRPr="00D043A6">
        <w:rPr>
          <w:sz w:val="24"/>
          <w:szCs w:val="24"/>
          <w:lang w:eastAsia="lv-LV"/>
        </w:rPr>
        <w:t xml:space="preserve"> un</w:t>
      </w:r>
      <w:r w:rsidR="002536E8" w:rsidRPr="00D043A6">
        <w:rPr>
          <w:sz w:val="24"/>
          <w:szCs w:val="24"/>
          <w:lang w:eastAsia="lv-LV"/>
        </w:rPr>
        <w:t xml:space="preserve"> </w:t>
      </w:r>
      <w:r w:rsidR="00270131" w:rsidRPr="00D043A6">
        <w:rPr>
          <w:sz w:val="24"/>
          <w:szCs w:val="24"/>
          <w:lang w:eastAsia="lv-LV"/>
        </w:rPr>
        <w:t>1-</w:t>
      </w:r>
      <w:r w:rsidR="002536E8" w:rsidRPr="00D043A6">
        <w:rPr>
          <w:sz w:val="24"/>
          <w:szCs w:val="24"/>
          <w:lang w:eastAsia="lv-LV"/>
        </w:rPr>
        <w:t xml:space="preserve">2% divu un vairāk dzīvokļu </w:t>
      </w:r>
      <w:r w:rsidR="00270131" w:rsidRPr="00D043A6">
        <w:rPr>
          <w:sz w:val="24"/>
          <w:szCs w:val="24"/>
          <w:lang w:eastAsia="lv-LV"/>
        </w:rPr>
        <w:t>māju.</w:t>
      </w:r>
    </w:p>
    <w:p w:rsidR="00277641" w:rsidRPr="00D043A6" w:rsidRDefault="00371760" w:rsidP="00A25E11">
      <w:pPr>
        <w:ind w:firstLine="720"/>
        <w:jc w:val="both"/>
        <w:rPr>
          <w:sz w:val="24"/>
          <w:szCs w:val="24"/>
          <w:lang w:eastAsia="lv-LV"/>
        </w:rPr>
      </w:pPr>
      <w:r w:rsidRPr="00D043A6">
        <w:rPr>
          <w:sz w:val="24"/>
          <w:szCs w:val="24"/>
          <w:lang w:eastAsia="lv-LV"/>
        </w:rPr>
        <w:t xml:space="preserve">Izvērtējot </w:t>
      </w:r>
      <w:r w:rsidR="00D67F83" w:rsidRPr="00D043A6">
        <w:rPr>
          <w:sz w:val="24"/>
        </w:rPr>
        <w:t xml:space="preserve">ES fondu 3.4.4.1. aktivitātes „Daudzdzīvokļu māju siltumnoturības uzlabošanas pasākumi” (turpmāk – DMS aktivitāte) </w:t>
      </w:r>
      <w:r w:rsidRPr="00D043A6">
        <w:rPr>
          <w:sz w:val="24"/>
          <w:szCs w:val="24"/>
          <w:lang w:eastAsia="lv-LV"/>
        </w:rPr>
        <w:t xml:space="preserve">ieviešanas gaitu (skatīt </w:t>
      </w:r>
      <w:r w:rsidR="00C44B1A" w:rsidRPr="00D043A6">
        <w:fldChar w:fldCharType="begin"/>
      </w:r>
      <w:r w:rsidR="00C44B1A" w:rsidRPr="00D043A6">
        <w:instrText xml:space="preserve"> REF _Ref328996072 \r \h  \* MERGEFORMAT </w:instrText>
      </w:r>
      <w:r w:rsidR="00C44B1A" w:rsidRPr="00D043A6">
        <w:fldChar w:fldCharType="separate"/>
      </w:r>
      <w:r w:rsidR="005D13C5" w:rsidRPr="005D13C5">
        <w:rPr>
          <w:sz w:val="24"/>
          <w:szCs w:val="24"/>
          <w:lang w:eastAsia="lv-LV"/>
        </w:rPr>
        <w:t>2.3</w:t>
      </w:r>
      <w:r w:rsidR="00C44B1A" w:rsidRPr="00D043A6">
        <w:fldChar w:fldCharType="end"/>
      </w:r>
      <w:r w:rsidR="00277641" w:rsidRPr="00D043A6">
        <w:rPr>
          <w:sz w:val="24"/>
          <w:szCs w:val="24"/>
          <w:lang w:eastAsia="lv-LV"/>
        </w:rPr>
        <w:t>. nodaļ</w:t>
      </w:r>
      <w:r w:rsidR="007F2587">
        <w:rPr>
          <w:sz w:val="24"/>
          <w:szCs w:val="24"/>
          <w:lang w:eastAsia="lv-LV"/>
        </w:rPr>
        <w:t>u</w:t>
      </w:r>
      <w:r w:rsidRPr="00D043A6">
        <w:rPr>
          <w:sz w:val="24"/>
          <w:szCs w:val="24"/>
          <w:lang w:eastAsia="lv-LV"/>
        </w:rPr>
        <w:t>)</w:t>
      </w:r>
      <w:r w:rsidR="007F2587">
        <w:rPr>
          <w:sz w:val="24"/>
          <w:szCs w:val="24"/>
          <w:lang w:eastAsia="lv-LV"/>
        </w:rPr>
        <w:t>,</w:t>
      </w:r>
      <w:r w:rsidR="00277641" w:rsidRPr="00D043A6">
        <w:rPr>
          <w:sz w:val="24"/>
          <w:szCs w:val="24"/>
          <w:lang w:eastAsia="lv-LV"/>
        </w:rPr>
        <w:t xml:space="preserve"> sagaidāms, ka aktivitātes ietvaros tiks renovētas </w:t>
      </w:r>
      <w:r w:rsidR="00F42C6E" w:rsidRPr="00D043A6">
        <w:rPr>
          <w:sz w:val="24"/>
          <w:szCs w:val="24"/>
          <w:lang w:eastAsia="lv-LV"/>
        </w:rPr>
        <w:t xml:space="preserve">aptuveni </w:t>
      </w:r>
      <w:r w:rsidR="00277641" w:rsidRPr="00D043A6">
        <w:rPr>
          <w:sz w:val="24"/>
          <w:szCs w:val="24"/>
          <w:lang w:eastAsia="lv-LV"/>
        </w:rPr>
        <w:t>1000 daudzdzīvokļu dzīvojam</w:t>
      </w:r>
      <w:r w:rsidR="00F42C6E" w:rsidRPr="00D043A6">
        <w:rPr>
          <w:sz w:val="24"/>
          <w:szCs w:val="24"/>
          <w:lang w:eastAsia="lv-LV"/>
        </w:rPr>
        <w:t>ās</w:t>
      </w:r>
      <w:r w:rsidR="00277641" w:rsidRPr="00D043A6">
        <w:rPr>
          <w:sz w:val="24"/>
          <w:szCs w:val="24"/>
          <w:lang w:eastAsia="lv-LV"/>
        </w:rPr>
        <w:t xml:space="preserve"> māj</w:t>
      </w:r>
      <w:r w:rsidR="00F42C6E" w:rsidRPr="00D043A6">
        <w:rPr>
          <w:sz w:val="24"/>
          <w:szCs w:val="24"/>
          <w:lang w:eastAsia="lv-LV"/>
        </w:rPr>
        <w:t>as</w:t>
      </w:r>
      <w:r w:rsidR="00277641" w:rsidRPr="00D043A6">
        <w:rPr>
          <w:sz w:val="24"/>
          <w:szCs w:val="24"/>
          <w:lang w:eastAsia="lv-LV"/>
        </w:rPr>
        <w:t xml:space="preserve"> jeb 2.6% no to kopskaita. </w:t>
      </w:r>
      <w:r w:rsidR="00270131" w:rsidRPr="00D043A6">
        <w:rPr>
          <w:sz w:val="24"/>
          <w:szCs w:val="24"/>
          <w:lang w:eastAsia="lv-LV"/>
        </w:rPr>
        <w:t>Attiecīgi pēc</w:t>
      </w:r>
      <w:r w:rsidR="0011409C" w:rsidRPr="00D043A6">
        <w:rPr>
          <w:sz w:val="24"/>
          <w:szCs w:val="24"/>
          <w:lang w:eastAsia="lv-LV"/>
        </w:rPr>
        <w:t xml:space="preserve"> DMS aktivitātes īstenošanas renovēto </w:t>
      </w:r>
      <w:r w:rsidR="00270131" w:rsidRPr="00D043A6">
        <w:rPr>
          <w:sz w:val="24"/>
          <w:szCs w:val="24"/>
          <w:lang w:eastAsia="lv-LV"/>
        </w:rPr>
        <w:t>daudzdzīvokļu dzīvojamo māju</w:t>
      </w:r>
      <w:r w:rsidR="0011409C" w:rsidRPr="00D043A6">
        <w:rPr>
          <w:sz w:val="24"/>
          <w:szCs w:val="24"/>
          <w:lang w:eastAsia="lv-LV"/>
        </w:rPr>
        <w:t xml:space="preserve"> skaits sasniegs </w:t>
      </w:r>
      <w:r w:rsidR="00270131" w:rsidRPr="00D043A6">
        <w:rPr>
          <w:sz w:val="24"/>
          <w:szCs w:val="24"/>
          <w:lang w:eastAsia="lv-LV"/>
        </w:rPr>
        <w:t>aptuveni 4</w:t>
      </w:r>
      <w:r w:rsidR="0011409C" w:rsidRPr="00D043A6">
        <w:rPr>
          <w:sz w:val="24"/>
          <w:szCs w:val="24"/>
          <w:lang w:eastAsia="lv-LV"/>
        </w:rPr>
        <w:t>%</w:t>
      </w:r>
      <w:r w:rsidR="00270131" w:rsidRPr="00D043A6">
        <w:rPr>
          <w:sz w:val="24"/>
          <w:szCs w:val="24"/>
          <w:lang w:eastAsia="lv-LV"/>
        </w:rPr>
        <w:t xml:space="preserve"> no to kopskaita</w:t>
      </w:r>
      <w:r w:rsidR="0011409C" w:rsidRPr="00D043A6">
        <w:rPr>
          <w:sz w:val="24"/>
          <w:szCs w:val="24"/>
          <w:lang w:eastAsia="lv-LV"/>
        </w:rPr>
        <w:t>.</w:t>
      </w:r>
    </w:p>
    <w:p w:rsidR="00D50F13" w:rsidRPr="00D043A6" w:rsidRDefault="00677B12" w:rsidP="00A25E11">
      <w:pPr>
        <w:ind w:firstLine="720"/>
        <w:jc w:val="both"/>
        <w:rPr>
          <w:sz w:val="24"/>
          <w:szCs w:val="24"/>
          <w:lang w:eastAsia="lv-LV"/>
        </w:rPr>
      </w:pPr>
      <w:r w:rsidRPr="00D043A6">
        <w:rPr>
          <w:sz w:val="24"/>
          <w:szCs w:val="24"/>
          <w:lang w:eastAsia="lv-LV"/>
        </w:rPr>
        <w:t xml:space="preserve">Dzīvojamo ēku sektora enerģijas galapatēriņa rādītāju izmaiņas kopš 2000. gada norādītas </w:t>
      </w:r>
      <w:r w:rsidR="00A8688F" w:rsidRPr="00D043A6">
        <w:rPr>
          <w:sz w:val="24"/>
          <w:szCs w:val="24"/>
          <w:lang w:eastAsia="lv-LV"/>
        </w:rPr>
        <w:t>4</w:t>
      </w:r>
      <w:r w:rsidR="001C5B50" w:rsidRPr="00D043A6">
        <w:rPr>
          <w:sz w:val="24"/>
          <w:szCs w:val="24"/>
          <w:lang w:eastAsia="lv-LV"/>
        </w:rPr>
        <w:t>. </w:t>
      </w:r>
      <w:r w:rsidRPr="00D043A6">
        <w:rPr>
          <w:sz w:val="24"/>
          <w:szCs w:val="24"/>
          <w:lang w:eastAsia="lv-LV"/>
        </w:rPr>
        <w:t>attēlā. Saskaņā ar CSP datiem par enerģijas patēriņu</w:t>
      </w:r>
      <w:r w:rsidR="00456E53" w:rsidRPr="00D043A6">
        <w:rPr>
          <w:sz w:val="24"/>
          <w:szCs w:val="24"/>
          <w:lang w:eastAsia="lv-LV"/>
        </w:rPr>
        <w:t xml:space="preserve"> </w:t>
      </w:r>
      <w:r w:rsidRPr="00D043A6">
        <w:rPr>
          <w:sz w:val="24"/>
          <w:szCs w:val="24"/>
          <w:lang w:eastAsia="lv-LV"/>
        </w:rPr>
        <w:t>un dzīvojamā fonda platību</w:t>
      </w:r>
      <w:r w:rsidR="00456E53" w:rsidRPr="00D043A6">
        <w:rPr>
          <w:sz w:val="24"/>
          <w:szCs w:val="24"/>
          <w:lang w:eastAsia="lv-LV"/>
        </w:rPr>
        <w:t xml:space="preserve"> 2009. gad</w:t>
      </w:r>
      <w:r w:rsidR="00960D4A" w:rsidRPr="00D043A6">
        <w:rPr>
          <w:sz w:val="24"/>
          <w:szCs w:val="24"/>
          <w:lang w:eastAsia="lv-LV"/>
        </w:rPr>
        <w:t>ā</w:t>
      </w:r>
      <w:r w:rsidRPr="00D043A6">
        <w:rPr>
          <w:sz w:val="24"/>
          <w:szCs w:val="24"/>
          <w:lang w:eastAsia="lv-LV"/>
        </w:rPr>
        <w:t xml:space="preserve"> aprēķināti šādi mājsaimniecību enerģijas galapatēriņa rādītāji:</w:t>
      </w:r>
    </w:p>
    <w:p w:rsidR="0019692B" w:rsidRPr="00D043A6" w:rsidRDefault="0019692B" w:rsidP="0019692B">
      <w:pPr>
        <w:pStyle w:val="ListParagraph"/>
        <w:numPr>
          <w:ilvl w:val="0"/>
          <w:numId w:val="8"/>
        </w:numPr>
        <w:jc w:val="both"/>
        <w:rPr>
          <w:sz w:val="24"/>
          <w:szCs w:val="24"/>
          <w:lang w:eastAsia="lv-LV"/>
        </w:rPr>
      </w:pPr>
      <w:r w:rsidRPr="00D043A6">
        <w:rPr>
          <w:sz w:val="24"/>
          <w:szCs w:val="24"/>
          <w:lang w:eastAsia="lv-LV"/>
        </w:rPr>
        <w:t>vidējais kopējais</w:t>
      </w:r>
      <w:r w:rsidR="00880F51" w:rsidRPr="00D043A6">
        <w:rPr>
          <w:rStyle w:val="FootnoteReference"/>
          <w:sz w:val="24"/>
          <w:szCs w:val="24"/>
          <w:lang w:eastAsia="lv-LV"/>
        </w:rPr>
        <w:footnoteReference w:id="7"/>
      </w:r>
      <w:r w:rsidRPr="00D043A6">
        <w:rPr>
          <w:sz w:val="24"/>
          <w:szCs w:val="24"/>
          <w:lang w:eastAsia="lv-LV"/>
        </w:rPr>
        <w:t xml:space="preserve"> patēriņš: </w:t>
      </w:r>
    </w:p>
    <w:p w:rsidR="00960D4A" w:rsidRPr="00D043A6" w:rsidRDefault="0019692B" w:rsidP="0019692B">
      <w:pPr>
        <w:pStyle w:val="ListParagraph"/>
        <w:numPr>
          <w:ilvl w:val="0"/>
          <w:numId w:val="8"/>
        </w:numPr>
        <w:ind w:left="1080"/>
        <w:jc w:val="both"/>
        <w:rPr>
          <w:sz w:val="24"/>
          <w:szCs w:val="24"/>
          <w:lang w:eastAsia="lv-LV"/>
        </w:rPr>
      </w:pPr>
      <w:r w:rsidRPr="00D043A6">
        <w:rPr>
          <w:sz w:val="24"/>
          <w:szCs w:val="24"/>
          <w:lang w:eastAsia="lv-LV"/>
        </w:rPr>
        <w:t>faktiski – 292 kWh/m</w:t>
      </w:r>
      <w:r w:rsidRPr="00D043A6">
        <w:rPr>
          <w:sz w:val="24"/>
          <w:szCs w:val="24"/>
          <w:vertAlign w:val="superscript"/>
          <w:lang w:eastAsia="lv-LV"/>
        </w:rPr>
        <w:t>2</w:t>
      </w:r>
      <w:r w:rsidRPr="00D043A6">
        <w:rPr>
          <w:sz w:val="24"/>
          <w:szCs w:val="24"/>
          <w:lang w:eastAsia="lv-LV"/>
        </w:rPr>
        <w:t xml:space="preserve">, </w:t>
      </w:r>
    </w:p>
    <w:p w:rsidR="0019692B" w:rsidRPr="00D043A6" w:rsidRDefault="0019692B" w:rsidP="0019692B">
      <w:pPr>
        <w:pStyle w:val="ListParagraph"/>
        <w:numPr>
          <w:ilvl w:val="0"/>
          <w:numId w:val="8"/>
        </w:numPr>
        <w:ind w:left="1080"/>
        <w:jc w:val="both"/>
        <w:rPr>
          <w:sz w:val="24"/>
          <w:szCs w:val="24"/>
          <w:lang w:eastAsia="lv-LV"/>
        </w:rPr>
      </w:pPr>
      <w:r w:rsidRPr="00D043A6">
        <w:rPr>
          <w:sz w:val="24"/>
          <w:szCs w:val="24"/>
          <w:lang w:eastAsia="lv-LV"/>
        </w:rPr>
        <w:t>koriģēts ar klimata korekciju – 287 kWh/m</w:t>
      </w:r>
      <w:r w:rsidRPr="00D043A6">
        <w:rPr>
          <w:sz w:val="24"/>
          <w:szCs w:val="24"/>
          <w:vertAlign w:val="superscript"/>
          <w:lang w:eastAsia="lv-LV"/>
        </w:rPr>
        <w:t>2</w:t>
      </w:r>
      <w:r w:rsidRPr="00D043A6">
        <w:rPr>
          <w:sz w:val="24"/>
          <w:szCs w:val="24"/>
          <w:lang w:eastAsia="lv-LV"/>
        </w:rPr>
        <w:t>;</w:t>
      </w:r>
    </w:p>
    <w:p w:rsidR="0019692B" w:rsidRPr="00D043A6" w:rsidRDefault="0019692B" w:rsidP="0019692B">
      <w:pPr>
        <w:pStyle w:val="ListParagraph"/>
        <w:numPr>
          <w:ilvl w:val="0"/>
          <w:numId w:val="8"/>
        </w:numPr>
        <w:jc w:val="both"/>
        <w:rPr>
          <w:sz w:val="24"/>
          <w:szCs w:val="24"/>
          <w:lang w:eastAsia="lv-LV"/>
        </w:rPr>
      </w:pPr>
      <w:r w:rsidRPr="00D043A6">
        <w:rPr>
          <w:sz w:val="24"/>
          <w:szCs w:val="24"/>
          <w:lang w:eastAsia="lv-LV"/>
        </w:rPr>
        <w:t xml:space="preserve">vidējais patēriņš apkurei un karstajam ūdenim uz dzīvojamo platību: </w:t>
      </w:r>
    </w:p>
    <w:p w:rsidR="00960D4A" w:rsidRPr="00D043A6" w:rsidRDefault="0019692B" w:rsidP="0019692B">
      <w:pPr>
        <w:pStyle w:val="ListParagraph"/>
        <w:numPr>
          <w:ilvl w:val="0"/>
          <w:numId w:val="8"/>
        </w:numPr>
        <w:ind w:left="1080"/>
        <w:jc w:val="both"/>
        <w:rPr>
          <w:sz w:val="24"/>
          <w:szCs w:val="24"/>
          <w:lang w:eastAsia="lv-LV"/>
        </w:rPr>
      </w:pPr>
      <w:r w:rsidRPr="00D043A6">
        <w:rPr>
          <w:sz w:val="24"/>
          <w:szCs w:val="24"/>
          <w:lang w:eastAsia="lv-LV"/>
        </w:rPr>
        <w:t>faktiski – 250 kWh/m</w:t>
      </w:r>
      <w:r w:rsidRPr="00D043A6">
        <w:rPr>
          <w:sz w:val="24"/>
          <w:szCs w:val="24"/>
          <w:vertAlign w:val="superscript"/>
          <w:lang w:eastAsia="lv-LV"/>
        </w:rPr>
        <w:t>2</w:t>
      </w:r>
      <w:r w:rsidRPr="00D043A6">
        <w:rPr>
          <w:sz w:val="24"/>
          <w:szCs w:val="24"/>
          <w:lang w:eastAsia="lv-LV"/>
        </w:rPr>
        <w:t xml:space="preserve">, </w:t>
      </w:r>
    </w:p>
    <w:p w:rsidR="0019692B" w:rsidRPr="00D043A6" w:rsidRDefault="0019692B" w:rsidP="0019692B">
      <w:pPr>
        <w:pStyle w:val="ListParagraph"/>
        <w:numPr>
          <w:ilvl w:val="0"/>
          <w:numId w:val="8"/>
        </w:numPr>
        <w:ind w:left="1080"/>
        <w:jc w:val="both"/>
        <w:rPr>
          <w:sz w:val="24"/>
          <w:szCs w:val="24"/>
          <w:lang w:eastAsia="lv-LV"/>
        </w:rPr>
      </w:pPr>
      <w:r w:rsidRPr="00D043A6">
        <w:rPr>
          <w:sz w:val="24"/>
          <w:szCs w:val="24"/>
          <w:lang w:eastAsia="lv-LV"/>
        </w:rPr>
        <w:t>koriģēts ar klimata korekciju – 244 kWh/m</w:t>
      </w:r>
      <w:r w:rsidRPr="00D043A6">
        <w:rPr>
          <w:sz w:val="24"/>
          <w:szCs w:val="24"/>
          <w:vertAlign w:val="superscript"/>
          <w:lang w:eastAsia="lv-LV"/>
        </w:rPr>
        <w:t>2</w:t>
      </w:r>
      <w:r w:rsidRPr="00D043A6">
        <w:rPr>
          <w:sz w:val="24"/>
          <w:szCs w:val="24"/>
          <w:lang w:eastAsia="lv-LV"/>
        </w:rPr>
        <w:t>;</w:t>
      </w:r>
    </w:p>
    <w:p w:rsidR="0019692B" w:rsidRPr="00D043A6" w:rsidRDefault="00677B12" w:rsidP="00677B12">
      <w:pPr>
        <w:pStyle w:val="ListParagraph"/>
        <w:numPr>
          <w:ilvl w:val="0"/>
          <w:numId w:val="8"/>
        </w:numPr>
        <w:jc w:val="both"/>
        <w:rPr>
          <w:sz w:val="24"/>
          <w:szCs w:val="24"/>
          <w:lang w:eastAsia="lv-LV"/>
        </w:rPr>
      </w:pPr>
      <w:r w:rsidRPr="00D043A6">
        <w:rPr>
          <w:sz w:val="24"/>
          <w:szCs w:val="24"/>
          <w:lang w:eastAsia="lv-LV"/>
        </w:rPr>
        <w:t xml:space="preserve">vidējais patēriņš apkurei uz dzīvojamo platību:  </w:t>
      </w:r>
    </w:p>
    <w:p w:rsidR="00960D4A" w:rsidRPr="00D043A6" w:rsidRDefault="00677B12" w:rsidP="003C7DD5">
      <w:pPr>
        <w:pStyle w:val="ListParagraph"/>
        <w:numPr>
          <w:ilvl w:val="0"/>
          <w:numId w:val="8"/>
        </w:numPr>
        <w:ind w:left="1080"/>
        <w:jc w:val="both"/>
        <w:rPr>
          <w:sz w:val="24"/>
          <w:szCs w:val="24"/>
          <w:lang w:eastAsia="lv-LV"/>
        </w:rPr>
      </w:pPr>
      <w:r w:rsidRPr="00D043A6">
        <w:rPr>
          <w:sz w:val="24"/>
          <w:szCs w:val="24"/>
          <w:lang w:eastAsia="lv-LV"/>
        </w:rPr>
        <w:t>faktiski – 197 kWh/m</w:t>
      </w:r>
      <w:r w:rsidRPr="00D043A6">
        <w:rPr>
          <w:sz w:val="24"/>
          <w:szCs w:val="24"/>
          <w:vertAlign w:val="superscript"/>
          <w:lang w:eastAsia="lv-LV"/>
        </w:rPr>
        <w:t>2</w:t>
      </w:r>
      <w:r w:rsidRPr="00D043A6">
        <w:rPr>
          <w:sz w:val="24"/>
          <w:szCs w:val="24"/>
          <w:lang w:eastAsia="lv-LV"/>
        </w:rPr>
        <w:t xml:space="preserve">, </w:t>
      </w:r>
    </w:p>
    <w:p w:rsidR="003C7DD5" w:rsidRPr="00D043A6" w:rsidRDefault="00677B12" w:rsidP="003C7DD5">
      <w:pPr>
        <w:pStyle w:val="ListParagraph"/>
        <w:numPr>
          <w:ilvl w:val="0"/>
          <w:numId w:val="8"/>
        </w:numPr>
        <w:ind w:left="1080"/>
        <w:jc w:val="both"/>
        <w:rPr>
          <w:sz w:val="24"/>
          <w:szCs w:val="24"/>
          <w:lang w:eastAsia="lv-LV"/>
        </w:rPr>
      </w:pPr>
      <w:r w:rsidRPr="00D043A6">
        <w:rPr>
          <w:sz w:val="24"/>
          <w:szCs w:val="24"/>
          <w:lang w:eastAsia="lv-LV"/>
        </w:rPr>
        <w:t>koriģēts ar klimata korekciju – 193 kWh/m</w:t>
      </w:r>
      <w:r w:rsidRPr="00D043A6">
        <w:rPr>
          <w:sz w:val="24"/>
          <w:szCs w:val="24"/>
          <w:vertAlign w:val="superscript"/>
          <w:lang w:eastAsia="lv-LV"/>
        </w:rPr>
        <w:t>2</w:t>
      </w:r>
      <w:r w:rsidR="0019692B" w:rsidRPr="00D043A6">
        <w:rPr>
          <w:sz w:val="24"/>
          <w:szCs w:val="24"/>
          <w:lang w:eastAsia="lv-LV"/>
        </w:rPr>
        <w:t>.</w:t>
      </w:r>
    </w:p>
    <w:p w:rsidR="003C7DD5" w:rsidRPr="00D043A6" w:rsidRDefault="00866DB8" w:rsidP="003C7DD5">
      <w:pPr>
        <w:jc w:val="center"/>
        <w:rPr>
          <w:sz w:val="24"/>
          <w:szCs w:val="24"/>
          <w:lang w:eastAsia="lv-LV"/>
        </w:rPr>
      </w:pPr>
      <w:r w:rsidRPr="00F30B0C">
        <w:rPr>
          <w:noProof/>
          <w:sz w:val="24"/>
          <w:szCs w:val="24"/>
          <w:lang w:eastAsia="lv-LV"/>
        </w:rPr>
        <w:lastRenderedPageBreak/>
        <w:drawing>
          <wp:inline distT="0" distB="0" distL="0" distR="0" wp14:anchorId="28BEC412" wp14:editId="3974B79D">
            <wp:extent cx="5486400" cy="2862469"/>
            <wp:effectExtent l="0" t="0" r="0" b="0"/>
            <wp:docPr id="7"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C7DD5" w:rsidRPr="00D043A6" w:rsidRDefault="00A8688F" w:rsidP="003C7DD5">
      <w:pPr>
        <w:pStyle w:val="Caption"/>
        <w:rPr>
          <w:i/>
          <w:szCs w:val="24"/>
          <w:lang w:eastAsia="lv-LV"/>
        </w:rPr>
      </w:pPr>
      <w:r w:rsidRPr="00D043A6">
        <w:rPr>
          <w:i/>
          <w:szCs w:val="24"/>
          <w:lang w:eastAsia="lv-LV"/>
        </w:rPr>
        <w:t>4</w:t>
      </w:r>
      <w:r w:rsidR="003C7DD5" w:rsidRPr="00D043A6">
        <w:rPr>
          <w:i/>
          <w:szCs w:val="24"/>
          <w:lang w:eastAsia="lv-LV"/>
        </w:rPr>
        <w:t>.</w:t>
      </w:r>
      <w:r w:rsidR="001C5B50" w:rsidRPr="00D043A6">
        <w:rPr>
          <w:i/>
          <w:szCs w:val="24"/>
          <w:lang w:eastAsia="lv-LV"/>
        </w:rPr>
        <w:t> </w:t>
      </w:r>
      <w:bookmarkStart w:id="7" w:name="_Ref308507862"/>
      <w:r w:rsidR="003C7DD5" w:rsidRPr="00D043A6">
        <w:rPr>
          <w:i/>
          <w:szCs w:val="24"/>
          <w:lang w:eastAsia="lv-LV"/>
        </w:rPr>
        <w:t>attēls</w:t>
      </w:r>
      <w:bookmarkEnd w:id="7"/>
      <w:r w:rsidR="003C7DD5" w:rsidRPr="00D043A6">
        <w:rPr>
          <w:i/>
          <w:szCs w:val="24"/>
          <w:lang w:eastAsia="lv-LV"/>
        </w:rPr>
        <w:t>. Mājsaimniecību enerģijas patēriņš uz dzīvojamo platību (kWh/m</w:t>
      </w:r>
      <w:r w:rsidR="003C7DD5" w:rsidRPr="00D043A6">
        <w:rPr>
          <w:i/>
          <w:szCs w:val="24"/>
          <w:vertAlign w:val="superscript"/>
          <w:lang w:eastAsia="lv-LV"/>
        </w:rPr>
        <w:t>2</w:t>
      </w:r>
      <w:r w:rsidR="00A25E11" w:rsidRPr="00D043A6">
        <w:rPr>
          <w:i/>
          <w:szCs w:val="24"/>
          <w:vertAlign w:val="superscript"/>
          <w:lang w:eastAsia="lv-LV"/>
        </w:rPr>
        <w:t xml:space="preserve"> </w:t>
      </w:r>
      <w:r w:rsidR="00A25E11" w:rsidRPr="00D043A6">
        <w:rPr>
          <w:i/>
          <w:szCs w:val="24"/>
          <w:lang w:eastAsia="lv-LV"/>
        </w:rPr>
        <w:t>gadā</w:t>
      </w:r>
      <w:r w:rsidR="003C7DD5" w:rsidRPr="00D043A6">
        <w:rPr>
          <w:i/>
          <w:szCs w:val="24"/>
          <w:lang w:eastAsia="lv-LV"/>
        </w:rPr>
        <w:t>)</w:t>
      </w:r>
    </w:p>
    <w:p w:rsidR="00C62657" w:rsidRPr="00D043A6" w:rsidRDefault="00C62657" w:rsidP="00C62657">
      <w:pPr>
        <w:ind w:firstLine="720"/>
        <w:jc w:val="both"/>
        <w:rPr>
          <w:lang w:eastAsia="lv-LV"/>
        </w:rPr>
      </w:pPr>
      <w:r w:rsidRPr="00D043A6">
        <w:rPr>
          <w:sz w:val="24"/>
        </w:rPr>
        <w:t>Kaut arī statistiskie dati norāda uz tendenci samazināties enerģijas patēriņa rādītājiem, ir skaidrs, ka politikas plānošanas dokumentos izvirzīto mērķu sasniegšanai samazinājuma temps ir nepietiekams</w:t>
      </w:r>
      <w:r w:rsidR="007F2587">
        <w:rPr>
          <w:sz w:val="24"/>
        </w:rPr>
        <w:t>, tādēļ ir nepieciešami papildu</w:t>
      </w:r>
      <w:r w:rsidRPr="00D043A6">
        <w:rPr>
          <w:sz w:val="24"/>
        </w:rPr>
        <w:t xml:space="preserve"> stimuli, kas veicinātu dzīvojamā fonda energoefektivitātes uzlabošanu.</w:t>
      </w:r>
    </w:p>
    <w:p w:rsidR="00D02802" w:rsidRPr="00D043A6" w:rsidRDefault="00D02802" w:rsidP="00023621">
      <w:pPr>
        <w:pStyle w:val="Heading2"/>
      </w:pPr>
      <w:bookmarkStart w:id="8" w:name="_Ref327544477"/>
      <w:bookmarkStart w:id="9" w:name="_Toc353811837"/>
      <w:bookmarkStart w:id="10" w:name="_Ref326845375"/>
      <w:r w:rsidRPr="00D043A6">
        <w:t>Dzīvojamā sektora renovācija</w:t>
      </w:r>
      <w:r w:rsidR="002852B8" w:rsidRPr="00D043A6">
        <w:t>i</w:t>
      </w:r>
      <w:r w:rsidRPr="00D043A6">
        <w:t xml:space="preserve"> nepieciešamo investīciju aplēses</w:t>
      </w:r>
      <w:bookmarkEnd w:id="8"/>
      <w:bookmarkEnd w:id="9"/>
    </w:p>
    <w:p w:rsidR="004F5542" w:rsidRPr="00D043A6" w:rsidRDefault="00A7502C" w:rsidP="00866DB8">
      <w:pPr>
        <w:ind w:firstLine="720"/>
        <w:jc w:val="both"/>
        <w:rPr>
          <w:sz w:val="24"/>
          <w:szCs w:val="24"/>
        </w:rPr>
      </w:pPr>
      <w:r w:rsidRPr="00D043A6">
        <w:rPr>
          <w:sz w:val="24"/>
        </w:rPr>
        <w:t>Pēc ekspertu vērtējuma</w:t>
      </w:r>
      <w:r w:rsidR="007F2587">
        <w:rPr>
          <w:sz w:val="24"/>
        </w:rPr>
        <w:t>,</w:t>
      </w:r>
      <w:r w:rsidRPr="00D043A6">
        <w:rPr>
          <w:sz w:val="24"/>
        </w:rPr>
        <w:t xml:space="preserve"> izmaksu efektīvā veidā var renovēt 60-70% no Latvijas ēku sektora, dzīvojamo ēku sektorā tie būtu ap 25 tūkstoši daudzdzīvokļu māju kopplatībā 38 milj.m</w:t>
      </w:r>
      <w:r w:rsidRPr="00D043A6">
        <w:rPr>
          <w:sz w:val="24"/>
          <w:vertAlign w:val="superscript"/>
        </w:rPr>
        <w:t>2</w:t>
      </w:r>
      <w:r w:rsidRPr="00D043A6">
        <w:rPr>
          <w:sz w:val="24"/>
        </w:rPr>
        <w:t>. Pieņemot vidējās</w:t>
      </w:r>
      <w:r w:rsidR="00CC0606" w:rsidRPr="00D043A6">
        <w:rPr>
          <w:rStyle w:val="FootnoteReference"/>
          <w:sz w:val="24"/>
        </w:rPr>
        <w:footnoteReference w:id="8"/>
      </w:r>
      <w:r w:rsidRPr="00D043A6">
        <w:rPr>
          <w:sz w:val="24"/>
        </w:rPr>
        <w:t xml:space="preserve"> renovācijas izmaksas 70</w:t>
      </w:r>
      <w:r w:rsidR="00D67F83" w:rsidRPr="00D043A6">
        <w:rPr>
          <w:sz w:val="24"/>
        </w:rPr>
        <w:t> </w:t>
      </w:r>
      <w:r w:rsidRPr="00D043A6">
        <w:rPr>
          <w:sz w:val="24"/>
        </w:rPr>
        <w:t xml:space="preserve">Ls </w:t>
      </w:r>
      <w:r w:rsidR="00D67F83" w:rsidRPr="00D043A6">
        <w:rPr>
          <w:sz w:val="24"/>
        </w:rPr>
        <w:t>uz</w:t>
      </w:r>
      <w:r w:rsidRPr="00D043A6">
        <w:rPr>
          <w:sz w:val="24"/>
        </w:rPr>
        <w:t xml:space="preserve"> 1</w:t>
      </w:r>
      <w:r w:rsidR="00D67F83" w:rsidRPr="00D043A6">
        <w:rPr>
          <w:sz w:val="24"/>
        </w:rPr>
        <w:t> </w:t>
      </w:r>
      <w:r w:rsidRPr="00D043A6">
        <w:rPr>
          <w:sz w:val="24"/>
        </w:rPr>
        <w:t>m</w:t>
      </w:r>
      <w:r w:rsidRPr="00D043A6">
        <w:rPr>
          <w:sz w:val="24"/>
          <w:vertAlign w:val="superscript"/>
        </w:rPr>
        <w:t>2</w:t>
      </w:r>
      <w:r w:rsidRPr="00D043A6">
        <w:rPr>
          <w:sz w:val="24"/>
        </w:rPr>
        <w:t xml:space="preserve">, </w:t>
      </w:r>
      <w:r w:rsidRPr="00D043A6">
        <w:rPr>
          <w:b/>
          <w:sz w:val="24"/>
        </w:rPr>
        <w:t xml:space="preserve">nepieciešamo investīciju apjoms </w:t>
      </w:r>
      <w:r w:rsidR="00D67F83" w:rsidRPr="00D043A6">
        <w:rPr>
          <w:b/>
          <w:sz w:val="24"/>
        </w:rPr>
        <w:t>veido</w:t>
      </w:r>
      <w:r w:rsidRPr="00D043A6">
        <w:rPr>
          <w:b/>
          <w:sz w:val="24"/>
        </w:rPr>
        <w:t xml:space="preserve"> 2.7 miljard</w:t>
      </w:r>
      <w:r w:rsidR="00D67F83" w:rsidRPr="00D043A6">
        <w:rPr>
          <w:b/>
          <w:sz w:val="24"/>
        </w:rPr>
        <w:t>us</w:t>
      </w:r>
      <w:r w:rsidRPr="00D043A6">
        <w:rPr>
          <w:b/>
          <w:sz w:val="24"/>
        </w:rPr>
        <w:t xml:space="preserve"> latu</w:t>
      </w:r>
      <w:r w:rsidRPr="00D043A6">
        <w:rPr>
          <w:sz w:val="24"/>
        </w:rPr>
        <w:t xml:space="preserve">. Viedokļi par renovējamo ēku daudzumu var atšķirties (50 – 80%), ir arī atšķirīgi viedokļi </w:t>
      </w:r>
      <w:r w:rsidR="00D67F83" w:rsidRPr="00D043A6">
        <w:rPr>
          <w:sz w:val="24"/>
        </w:rPr>
        <w:t>–</w:t>
      </w:r>
      <w:r w:rsidRPr="00D043A6">
        <w:rPr>
          <w:sz w:val="24"/>
        </w:rPr>
        <w:t xml:space="preserve"> siltināt</w:t>
      </w:r>
      <w:r w:rsidR="00D67F83" w:rsidRPr="00D043A6">
        <w:rPr>
          <w:sz w:val="24"/>
        </w:rPr>
        <w:t xml:space="preserve"> </w:t>
      </w:r>
      <w:r w:rsidRPr="00D043A6">
        <w:rPr>
          <w:sz w:val="24"/>
        </w:rPr>
        <w:t>visu vai arī ēku siltināšana nekad neatmaksāsies.  Tehniski jebkuru ēku var uzlabot, taču ir svarīgi, lai ieguldītās investīcijas atmaksātos (vismaz gadījumos, kad runa ir par publisku finansējumu). No iedzīvotāju viedokļa vēlams, lai investīcija atmaksātos ne vēlāk kā 10-15 gadu periodā, taču ēku tehniskās uzturēšanas kontekstā periods varētu būt arī ilgāks (20 gadi).</w:t>
      </w:r>
      <w:r w:rsidR="004F5542" w:rsidRPr="00D043A6">
        <w:rPr>
          <w:sz w:val="24"/>
        </w:rPr>
        <w:t xml:space="preserve"> </w:t>
      </w:r>
      <w:r w:rsidR="004F5542" w:rsidRPr="00D043A6">
        <w:rPr>
          <w:sz w:val="24"/>
          <w:szCs w:val="24"/>
        </w:rPr>
        <w:t xml:space="preserve">Energoefektivitātes pasākumu īstenošana var nebūt izmaksu efektīva, piemēram, ēkām ar salīdzinoši zemu enerģijas patēriņu un augstām renovācijas izmaksām. Relatīvi augstākas renovācijas izmaksas ir viena un divu stāvu ēkām, attiecīgi to renovācijai ir ilgāks izmaksu atmaksāšanās laiks. </w:t>
      </w:r>
      <w:r w:rsidR="00866DB8" w:rsidRPr="00D043A6">
        <w:rPr>
          <w:sz w:val="24"/>
          <w:szCs w:val="24"/>
        </w:rPr>
        <w:t xml:space="preserve">Energoefektivitātes pasākumu īstenošanas iespējas ir ierobežotas ēkām, kuras ir valsts aizsargājami kultūras pieminekļi vai kuras veido kultūrvēsturisko vidi. </w:t>
      </w:r>
    </w:p>
    <w:p w:rsidR="00D02802" w:rsidRPr="00D043A6" w:rsidRDefault="004F5542" w:rsidP="00A8688F">
      <w:pPr>
        <w:ind w:firstLine="720"/>
        <w:jc w:val="both"/>
        <w:rPr>
          <w:color w:val="000000" w:themeColor="text1"/>
          <w:sz w:val="24"/>
          <w:szCs w:val="24"/>
          <w:lang w:eastAsia="lv-LV"/>
        </w:rPr>
      </w:pPr>
      <w:r w:rsidRPr="00D043A6">
        <w:rPr>
          <w:sz w:val="24"/>
          <w:szCs w:val="24"/>
          <w:lang w:eastAsia="lv-LV"/>
        </w:rPr>
        <w:t>Ēkas energoefektivitātes uzlabošana ir komplekss darbs, kas ietver ne tikai siltuma pārvades zudumu samazināšanu ēku norobežojošām konstrukcijām, bet arī iespējami novēršot ventilācijas siltuma zudumus, kā arī veicot pasākumus ēkas inženiertehnisko sistēmu (apkures, karstā ūdens apgādes, elektroietaišu) pilnveidošanā. Individuāli katrai ēkai nepieciešamo investīciju apjoms var būt ļoti atšķirīgs, ņemot vērā</w:t>
      </w:r>
      <w:r w:rsidR="007F2587">
        <w:rPr>
          <w:sz w:val="24"/>
          <w:szCs w:val="24"/>
          <w:lang w:eastAsia="lv-LV"/>
        </w:rPr>
        <w:t xml:space="preserve"> gan</w:t>
      </w:r>
      <w:r w:rsidRPr="00D043A6">
        <w:rPr>
          <w:sz w:val="24"/>
          <w:szCs w:val="24"/>
          <w:lang w:eastAsia="lv-LV"/>
        </w:rPr>
        <w:t xml:space="preserve"> konkrētās ēkas norobežojošo konstrukciju, gan arī inženierkomunikāciju tehnisko stāvokli un nolietojumu. Tāpat atšķirīgas var </w:t>
      </w:r>
      <w:r w:rsidRPr="00D043A6">
        <w:rPr>
          <w:color w:val="000000" w:themeColor="text1"/>
          <w:sz w:val="24"/>
          <w:szCs w:val="24"/>
          <w:lang w:eastAsia="lv-LV"/>
        </w:rPr>
        <w:t>būt katras ēkas iedzīvotāju vēlmes un intereses.</w:t>
      </w:r>
    </w:p>
    <w:p w:rsidR="00D76A6E" w:rsidRPr="00D043A6" w:rsidRDefault="006A4418" w:rsidP="00A8688F">
      <w:pPr>
        <w:ind w:firstLine="720"/>
        <w:jc w:val="both"/>
        <w:rPr>
          <w:color w:val="000000" w:themeColor="text1"/>
          <w:sz w:val="24"/>
          <w:szCs w:val="24"/>
        </w:rPr>
      </w:pPr>
      <w:r w:rsidRPr="00D043A6">
        <w:rPr>
          <w:color w:val="000000" w:themeColor="text1"/>
          <w:sz w:val="24"/>
          <w:szCs w:val="24"/>
          <w:lang w:eastAsia="lv-LV"/>
        </w:rPr>
        <w:lastRenderedPageBreak/>
        <w:t xml:space="preserve">Aplūkojot </w:t>
      </w:r>
      <w:r w:rsidR="0056096B" w:rsidRPr="00D043A6">
        <w:rPr>
          <w:color w:val="000000" w:themeColor="text1"/>
          <w:sz w:val="24"/>
          <w:szCs w:val="24"/>
          <w:lang w:eastAsia="lv-LV"/>
        </w:rPr>
        <w:t>ēku energoefektivitātes uzlabošana</w:t>
      </w:r>
      <w:r w:rsidRPr="00D043A6">
        <w:rPr>
          <w:color w:val="000000" w:themeColor="text1"/>
          <w:sz w:val="24"/>
          <w:szCs w:val="24"/>
          <w:lang w:eastAsia="lv-LV"/>
        </w:rPr>
        <w:t>s pasākumu atmaksāšanos ilgtermiņā, ir secināms, ka pat bez valsts līdzfinansējuma šo pasākumu veikšana dzīvokļu īpašniekiem ir finansiāli izdevīga. T</w:t>
      </w:r>
      <w:r w:rsidR="00D02F5E" w:rsidRPr="00D043A6">
        <w:rPr>
          <w:color w:val="000000" w:themeColor="text1"/>
          <w:sz w:val="24"/>
          <w:szCs w:val="24"/>
          <w:lang w:eastAsia="lv-LV"/>
        </w:rPr>
        <w:t>omēr</w:t>
      </w:r>
      <w:r w:rsidR="00DE6050">
        <w:rPr>
          <w:color w:val="000000" w:themeColor="text1"/>
          <w:sz w:val="24"/>
          <w:szCs w:val="24"/>
          <w:lang w:eastAsia="lv-LV"/>
        </w:rPr>
        <w:t>,</w:t>
      </w:r>
      <w:r w:rsidRPr="00D043A6">
        <w:rPr>
          <w:color w:val="000000" w:themeColor="text1"/>
          <w:sz w:val="24"/>
          <w:szCs w:val="24"/>
          <w:lang w:eastAsia="lv-LV"/>
        </w:rPr>
        <w:t xml:space="preserve"> pat pastāvot lielam dzīvojamo māju skaitam, kurās ir iespējams </w:t>
      </w:r>
      <w:r w:rsidRPr="00D043A6">
        <w:rPr>
          <w:color w:val="000000" w:themeColor="text1"/>
          <w:sz w:val="24"/>
          <w:szCs w:val="24"/>
        </w:rPr>
        <w:t xml:space="preserve">ieguldīt investīcijas, kā arī pieejamiem finanšu līdzekļiem banku aizdevumu veidā, </w:t>
      </w:r>
      <w:r w:rsidR="00D76A6E" w:rsidRPr="00D043A6">
        <w:rPr>
          <w:color w:val="000000" w:themeColor="text1"/>
          <w:sz w:val="24"/>
          <w:szCs w:val="24"/>
        </w:rPr>
        <w:t>ir secināms, ka brīvais tirgus nespēj nodrošināt dzīvojamo māju siltināšanu pietiekamā daudzumā. Pastāvot šādai tirgus kļūdai</w:t>
      </w:r>
      <w:r w:rsidR="00DE6050">
        <w:rPr>
          <w:color w:val="000000" w:themeColor="text1"/>
          <w:sz w:val="24"/>
          <w:szCs w:val="24"/>
        </w:rPr>
        <w:t>,</w:t>
      </w:r>
      <w:r w:rsidR="00D76A6E" w:rsidRPr="00D043A6">
        <w:rPr>
          <w:color w:val="000000" w:themeColor="text1"/>
          <w:sz w:val="24"/>
          <w:szCs w:val="24"/>
        </w:rPr>
        <w:t xml:space="preserve"> ir </w:t>
      </w:r>
      <w:r w:rsidR="00DE6050">
        <w:rPr>
          <w:sz w:val="24"/>
          <w:szCs w:val="24"/>
          <w:lang w:eastAsia="lv-LV"/>
        </w:rPr>
        <w:t>nepieciešami papildu</w:t>
      </w:r>
      <w:r w:rsidR="00D76A6E" w:rsidRPr="00D043A6">
        <w:rPr>
          <w:sz w:val="24"/>
          <w:szCs w:val="24"/>
          <w:lang w:eastAsia="lv-LV"/>
        </w:rPr>
        <w:t xml:space="preserve"> stimuli </w:t>
      </w:r>
      <w:r w:rsidR="00D76A6E" w:rsidRPr="00D043A6">
        <w:rPr>
          <w:sz w:val="24"/>
          <w:szCs w:val="24"/>
        </w:rPr>
        <w:t>pazeminātu aizdevuma procentu likmju un/vai līdzfinansējuma veidā</w:t>
      </w:r>
      <w:r w:rsidR="00D76A6E" w:rsidRPr="00D043A6">
        <w:rPr>
          <w:sz w:val="24"/>
          <w:szCs w:val="24"/>
          <w:lang w:eastAsia="lv-LV"/>
        </w:rPr>
        <w:t>, kas palīdzētu novērst tirgus darbības nepilnības.</w:t>
      </w:r>
    </w:p>
    <w:p w:rsidR="008A50E7" w:rsidRPr="00D043A6" w:rsidRDefault="006A4418" w:rsidP="00A8688F">
      <w:pPr>
        <w:ind w:firstLine="720"/>
        <w:jc w:val="both"/>
      </w:pPr>
      <w:r w:rsidRPr="00D043A6">
        <w:rPr>
          <w:color w:val="000000" w:themeColor="text1"/>
          <w:sz w:val="24"/>
          <w:szCs w:val="24"/>
        </w:rPr>
        <w:t xml:space="preserve"> </w:t>
      </w:r>
      <w:r w:rsidR="008A50E7" w:rsidRPr="00D043A6">
        <w:rPr>
          <w:sz w:val="24"/>
          <w:szCs w:val="24"/>
          <w:lang w:eastAsia="lv-LV"/>
        </w:rPr>
        <w:t>Eiropas K</w:t>
      </w:r>
      <w:r w:rsidR="00094FBD" w:rsidRPr="00D043A6">
        <w:rPr>
          <w:sz w:val="24"/>
          <w:szCs w:val="24"/>
          <w:lang w:eastAsia="lv-LV"/>
        </w:rPr>
        <w:t>omisijas paziņojumā Eiropas Parl</w:t>
      </w:r>
      <w:r w:rsidR="008A50E7" w:rsidRPr="00D043A6">
        <w:rPr>
          <w:sz w:val="24"/>
          <w:szCs w:val="24"/>
          <w:lang w:eastAsia="lv-LV"/>
        </w:rPr>
        <w:t xml:space="preserve">amentam un Padomei par Būvniecības nozares un tās uzņēmumu ilgtspējīgas konkurētspējas </w:t>
      </w:r>
      <w:r w:rsidR="00D918A5" w:rsidRPr="00D043A6">
        <w:rPr>
          <w:sz w:val="24"/>
          <w:szCs w:val="24"/>
          <w:lang w:eastAsia="lv-LV"/>
        </w:rPr>
        <w:t>stratēģiju</w:t>
      </w:r>
      <w:r w:rsidR="008A50E7" w:rsidRPr="00D043A6">
        <w:rPr>
          <w:rStyle w:val="FootnoteReference"/>
          <w:sz w:val="24"/>
          <w:szCs w:val="24"/>
          <w:lang w:eastAsia="lv-LV"/>
        </w:rPr>
        <w:footnoteReference w:id="9"/>
      </w:r>
      <w:r w:rsidR="008A50E7" w:rsidRPr="00D043A6">
        <w:rPr>
          <w:sz w:val="24"/>
          <w:szCs w:val="24"/>
          <w:lang w:eastAsia="lv-LV"/>
        </w:rPr>
        <w:t xml:space="preserve"> minēts, ka tirgus dalībnieki pozitīvi vērtē fiskālās iniciatīvas (piemēram, pazeminātas PVN likmes, preferenciālas procentu likmes, CO2 un enerģijas nodokļ</w:t>
      </w:r>
      <w:r w:rsidR="00DE6050">
        <w:rPr>
          <w:sz w:val="24"/>
          <w:szCs w:val="24"/>
          <w:lang w:eastAsia="lv-LV"/>
        </w:rPr>
        <w:t>us</w:t>
      </w:r>
      <w:r w:rsidR="008A50E7" w:rsidRPr="00D043A6">
        <w:rPr>
          <w:sz w:val="24"/>
          <w:szCs w:val="24"/>
          <w:lang w:eastAsia="lv-LV"/>
        </w:rPr>
        <w:t>, mērķsubsīdijas u. c.) un finansiālās palīdzības pasākumus, kas sniedz atbalstu esošo ēku renovācijai. Lai optimizētu sviras efektu, būtu jācenšas nodrošināt valsts shēmu, no vienas puses, un ES un privāto fondu un finanšu instrumentu, no otras puses, savstarpēja papildināmība.</w:t>
      </w:r>
    </w:p>
    <w:p w:rsidR="0031531D" w:rsidRPr="00D043A6" w:rsidRDefault="00494B0E" w:rsidP="00023621">
      <w:pPr>
        <w:pStyle w:val="Heading2"/>
      </w:pPr>
      <w:bookmarkStart w:id="11" w:name="_Ref328996072"/>
      <w:bookmarkStart w:id="12" w:name="_Toc353811838"/>
      <w:r w:rsidRPr="00D043A6">
        <w:t>Iepriekš un šobrīd pieejamie atbalsta instrumenti</w:t>
      </w:r>
      <w:r w:rsidR="003C340D" w:rsidRPr="00D043A6">
        <w:t xml:space="preserve"> un</w:t>
      </w:r>
      <w:r w:rsidRPr="00D043A6">
        <w:t xml:space="preserve"> to ieviešanas gaita</w:t>
      </w:r>
      <w:bookmarkEnd w:id="10"/>
      <w:bookmarkEnd w:id="11"/>
      <w:bookmarkEnd w:id="12"/>
    </w:p>
    <w:p w:rsidR="00F90982" w:rsidRPr="00D043A6" w:rsidRDefault="00494B0E" w:rsidP="00A25E11">
      <w:pPr>
        <w:ind w:firstLine="720"/>
        <w:jc w:val="both"/>
        <w:rPr>
          <w:sz w:val="24"/>
        </w:rPr>
      </w:pPr>
      <w:r w:rsidRPr="00D043A6">
        <w:rPr>
          <w:sz w:val="24"/>
        </w:rPr>
        <w:t xml:space="preserve">Atsevišķu pilotprojektu līmenī atbalsts ēku energoefektivitātes novērtēšanai un pasākumu īstenošanai uzsākts pagājušā gadsimta deviņdesmito gadu </w:t>
      </w:r>
      <w:r w:rsidR="00002A15" w:rsidRPr="00D043A6">
        <w:rPr>
          <w:sz w:val="24"/>
        </w:rPr>
        <w:t>otrajā pusē</w:t>
      </w:r>
      <w:r w:rsidRPr="00D043A6">
        <w:rPr>
          <w:sz w:val="24"/>
        </w:rPr>
        <w:t xml:space="preserve">. Dažāda veida </w:t>
      </w:r>
      <w:r w:rsidR="006E1E91" w:rsidRPr="00D043A6">
        <w:rPr>
          <w:sz w:val="24"/>
        </w:rPr>
        <w:t>iniciatīvas</w:t>
      </w:r>
      <w:r w:rsidRPr="00D043A6">
        <w:rPr>
          <w:sz w:val="24"/>
        </w:rPr>
        <w:t xml:space="preserve">, ko īstenoja valsts un pašvaldību iestādes, </w:t>
      </w:r>
      <w:r w:rsidR="005370FD" w:rsidRPr="00D043A6">
        <w:rPr>
          <w:sz w:val="24"/>
        </w:rPr>
        <w:t>parasti tika realizētas starp</w:t>
      </w:r>
      <w:r w:rsidR="006E1E91" w:rsidRPr="00D043A6">
        <w:rPr>
          <w:sz w:val="24"/>
        </w:rPr>
        <w:t>valstu līgumu</w:t>
      </w:r>
      <w:r w:rsidR="005370FD" w:rsidRPr="00D043A6">
        <w:rPr>
          <w:sz w:val="24"/>
        </w:rPr>
        <w:t xml:space="preserve"> vai </w:t>
      </w:r>
      <w:r w:rsidR="00600F27" w:rsidRPr="00D043A6">
        <w:rPr>
          <w:sz w:val="24"/>
        </w:rPr>
        <w:t>divpusēju līgumu</w:t>
      </w:r>
      <w:r w:rsidR="006E1E91" w:rsidRPr="00D043A6">
        <w:rPr>
          <w:sz w:val="24"/>
        </w:rPr>
        <w:t xml:space="preserve"> </w:t>
      </w:r>
      <w:r w:rsidR="00CC0606" w:rsidRPr="00D043A6">
        <w:rPr>
          <w:sz w:val="24"/>
        </w:rPr>
        <w:t xml:space="preserve">ar </w:t>
      </w:r>
      <w:r w:rsidR="006E1E91" w:rsidRPr="00D043A6">
        <w:rPr>
          <w:sz w:val="24"/>
        </w:rPr>
        <w:t>ārvalstu partneriem par programmu īstenošanu</w:t>
      </w:r>
      <w:r w:rsidR="00600F27" w:rsidRPr="00D043A6">
        <w:rPr>
          <w:sz w:val="24"/>
        </w:rPr>
        <w:t xml:space="preserve"> ietvaros. </w:t>
      </w:r>
    </w:p>
    <w:p w:rsidR="00380174" w:rsidRPr="00D043A6" w:rsidRDefault="00F90982" w:rsidP="00F90982">
      <w:pPr>
        <w:ind w:firstLine="720"/>
        <w:jc w:val="both"/>
        <w:rPr>
          <w:sz w:val="24"/>
        </w:rPr>
      </w:pPr>
      <w:r w:rsidRPr="00D043A6">
        <w:rPr>
          <w:sz w:val="24"/>
        </w:rPr>
        <w:t xml:space="preserve">Kā viens no pirmajiem minams paraugprojekts, kas realizēts saskaņā ar 1999.gadā noslēgto sadarbības vienošanos starp Latvijas </w:t>
      </w:r>
      <w:r w:rsidR="00DE6050">
        <w:rPr>
          <w:sz w:val="24"/>
        </w:rPr>
        <w:t xml:space="preserve">Republikas </w:t>
      </w:r>
      <w:r w:rsidRPr="00D043A6">
        <w:rPr>
          <w:sz w:val="24"/>
        </w:rPr>
        <w:t>Vides aizsardzības un reģionālās attīstības ministriju un Berlīnes Senāta Pilsētas attīstības pārvaldi. Šīs sadarbības rezultātā pēc diviem gadiem 2001.gada 28.februārī tika prezentēts pilotprojekts „Enerģijas taupīšanas iniciatīva Rīga” – vienas 602.sērijas 9-stāvu daudzdzīvokļu mājas ar kopējo dzīvokļu platību 4000 m</w:t>
      </w:r>
      <w:r w:rsidRPr="00D043A6">
        <w:rPr>
          <w:sz w:val="24"/>
          <w:vertAlign w:val="superscript"/>
        </w:rPr>
        <w:t>2</w:t>
      </w:r>
      <w:r w:rsidRPr="00D043A6">
        <w:rPr>
          <w:sz w:val="24"/>
        </w:rPr>
        <w:t xml:space="preserve"> renovācija Ozolciema ielā 46/3, Rīgā.</w:t>
      </w:r>
      <w:r w:rsidR="00380174" w:rsidRPr="00D043A6">
        <w:rPr>
          <w:sz w:val="24"/>
        </w:rPr>
        <w:t xml:space="preserve"> </w:t>
      </w:r>
    </w:p>
    <w:p w:rsidR="00380174" w:rsidRPr="00D043A6" w:rsidRDefault="00380174" w:rsidP="00F90982">
      <w:pPr>
        <w:ind w:firstLine="720"/>
        <w:jc w:val="both"/>
        <w:rPr>
          <w:sz w:val="24"/>
        </w:rPr>
      </w:pPr>
      <w:r w:rsidRPr="00D043A6">
        <w:rPr>
          <w:sz w:val="24"/>
        </w:rPr>
        <w:t>Laika periodā no 2004. līdz 2005.gadam realizēti vairāku māju energoefektīvas renovācijas projekti – viens Rīgā (464. sērija) un četri Brocēnos (visi 103. sērija), kas īstenoti starpministriju līgum</w:t>
      </w:r>
      <w:r w:rsidR="00DE6050">
        <w:rPr>
          <w:sz w:val="24"/>
        </w:rPr>
        <w:t>ā</w:t>
      </w:r>
      <w:r w:rsidRPr="00D043A6">
        <w:rPr>
          <w:sz w:val="24"/>
        </w:rPr>
        <w:t xml:space="preserve">, ko noslēdza Latvijas Republikas Vides ministrija un Vācijas Federatīvās Republikas Vides, dabas aizsardzības un reaktoru drošības federālā ministrija, par pilotprojekta “Mājokļu sanācijas iniciatīva enerģijas taupīšanai” realizēšanu. </w:t>
      </w:r>
    </w:p>
    <w:p w:rsidR="00250C6C" w:rsidRPr="00D043A6" w:rsidRDefault="00380174" w:rsidP="00250C6C">
      <w:pPr>
        <w:ind w:firstLine="720"/>
        <w:jc w:val="both"/>
        <w:rPr>
          <w:sz w:val="24"/>
        </w:rPr>
      </w:pPr>
      <w:r w:rsidRPr="00D043A6">
        <w:rPr>
          <w:sz w:val="24"/>
        </w:rPr>
        <w:t>M</w:t>
      </w:r>
      <w:r w:rsidR="00250C6C" w:rsidRPr="00D043A6">
        <w:rPr>
          <w:sz w:val="24"/>
        </w:rPr>
        <w:t>inētie pilotprojekti kalpoja par labu piemēru, kā rezultātā vairākas pašvaldības aktīvi iesaistījās ēku energoefektivitātes pasākumu veicināšanā savās teritorijās. Ar pašvaldību atbalstu realizēti projekti Rīgā, Valmierā, Jelgavā u.c. pilsētās.</w:t>
      </w:r>
    </w:p>
    <w:p w:rsidR="00F67533" w:rsidRPr="00D043A6" w:rsidRDefault="00600F27" w:rsidP="00A8688F">
      <w:pPr>
        <w:ind w:firstLine="720"/>
        <w:jc w:val="both"/>
        <w:rPr>
          <w:sz w:val="24"/>
        </w:rPr>
      </w:pPr>
      <w:r w:rsidRPr="00D043A6">
        <w:rPr>
          <w:sz w:val="24"/>
        </w:rPr>
        <w:t>Tautsaimnieciski nozīmīgu finanšu instrumentu izmantošana ēku energoefektivitātes uzlabošanai uzsākta samērā nesen</w:t>
      </w:r>
      <w:r w:rsidR="000C79DD" w:rsidRPr="00D043A6">
        <w:rPr>
          <w:sz w:val="24"/>
        </w:rPr>
        <w:t>, kopš pieejami Eiropas Savienības struktūrfondu un Kioto protokola ietvaros par siltumnīcefekta gāzu emisijām iegūtie finanšu līdzekļi.</w:t>
      </w:r>
    </w:p>
    <w:p w:rsidR="00F67533" w:rsidRPr="00D043A6" w:rsidRDefault="00DE6050" w:rsidP="00A17D2E">
      <w:pPr>
        <w:pStyle w:val="Subtitle1"/>
      </w:pPr>
      <w:bookmarkStart w:id="13" w:name="_Ref326840792"/>
      <w:bookmarkStart w:id="14" w:name="_Toc353811839"/>
      <w:r>
        <w:t>Eiropas S</w:t>
      </w:r>
      <w:r w:rsidR="001941AF" w:rsidRPr="00D043A6">
        <w:t>avienības fondi (</w:t>
      </w:r>
      <w:r w:rsidR="00250C6C" w:rsidRPr="00D043A6">
        <w:t xml:space="preserve">ES </w:t>
      </w:r>
      <w:r w:rsidR="00F67533" w:rsidRPr="00D043A6">
        <w:t>fond</w:t>
      </w:r>
      <w:r w:rsidR="00D043A6" w:rsidRPr="00D043A6">
        <w:t>i</w:t>
      </w:r>
      <w:r w:rsidR="001941AF" w:rsidRPr="00D043A6">
        <w:t>)</w:t>
      </w:r>
      <w:bookmarkEnd w:id="13"/>
      <w:r w:rsidR="001941AF" w:rsidRPr="00D043A6">
        <w:rPr>
          <w:rStyle w:val="FootnoteReference"/>
        </w:rPr>
        <w:footnoteReference w:id="10"/>
      </w:r>
      <w:bookmarkEnd w:id="14"/>
    </w:p>
    <w:p w:rsidR="00D67F83" w:rsidRPr="00D043A6" w:rsidRDefault="00D67F83" w:rsidP="00D67F83">
      <w:pPr>
        <w:ind w:firstLine="720"/>
        <w:jc w:val="both"/>
        <w:rPr>
          <w:sz w:val="24"/>
        </w:rPr>
      </w:pPr>
      <w:r w:rsidRPr="00D043A6">
        <w:rPr>
          <w:sz w:val="24"/>
        </w:rPr>
        <w:t>Šobrīd tiek īstenotas 2007.-2013.gada ES fondu plānošanas perioda darbības programmas „Infrastruktūra un pakalpojumi” papildinājuma 3.4.4.</w:t>
      </w:r>
      <w:r w:rsidR="00800AFF" w:rsidRPr="00D043A6">
        <w:rPr>
          <w:sz w:val="24"/>
        </w:rPr>
        <w:t> </w:t>
      </w:r>
      <w:r w:rsidRPr="00D043A6">
        <w:rPr>
          <w:sz w:val="24"/>
        </w:rPr>
        <w:t xml:space="preserve">pasākuma „Mājokļa </w:t>
      </w:r>
      <w:r w:rsidRPr="00D043A6">
        <w:rPr>
          <w:sz w:val="24"/>
        </w:rPr>
        <w:lastRenderedPageBreak/>
        <w:t>energoefektivitāte” ietvaros Ekonomikas ministrija</w:t>
      </w:r>
      <w:r w:rsidR="00DE6050">
        <w:rPr>
          <w:sz w:val="24"/>
        </w:rPr>
        <w:t>s</w:t>
      </w:r>
      <w:r w:rsidRPr="00D043A6">
        <w:rPr>
          <w:sz w:val="24"/>
        </w:rPr>
        <w:t xml:space="preserve"> administrētās aktivitātes, kuru ieviešanu nodrošina Latvijas Investīciju un attīstības aģentūra (līdz 2010. gada maijam aktivitātes īstenoja likvidētā valsts aģentūra „Būvniecības, enerģētikas un mājokļu valsts aģentūra”) . Plānošanas periodā uzsāktas un tiek realizētas</w:t>
      </w:r>
      <w:r w:rsidR="00DE6050">
        <w:rPr>
          <w:sz w:val="24"/>
        </w:rPr>
        <w:t xml:space="preserve"> šādas</w:t>
      </w:r>
      <w:r w:rsidRPr="00D043A6">
        <w:rPr>
          <w:sz w:val="24"/>
        </w:rPr>
        <w:t xml:space="preserve"> Eiropas Reģionālās attīstības fonda aktivitātes:</w:t>
      </w:r>
    </w:p>
    <w:p w:rsidR="00F67533" w:rsidRPr="00D043A6" w:rsidRDefault="000C79DD" w:rsidP="00A25E11">
      <w:pPr>
        <w:pStyle w:val="ListParagraph"/>
        <w:numPr>
          <w:ilvl w:val="0"/>
          <w:numId w:val="4"/>
        </w:numPr>
        <w:ind w:left="780"/>
        <w:jc w:val="both"/>
        <w:rPr>
          <w:sz w:val="24"/>
        </w:rPr>
      </w:pPr>
      <w:r w:rsidRPr="00D043A6">
        <w:rPr>
          <w:sz w:val="24"/>
        </w:rPr>
        <w:t>3.4.4.1.</w:t>
      </w:r>
      <w:r w:rsidR="00800AFF" w:rsidRPr="00D043A6">
        <w:rPr>
          <w:sz w:val="24"/>
        </w:rPr>
        <w:t> </w:t>
      </w:r>
      <w:r w:rsidRPr="00D043A6">
        <w:rPr>
          <w:sz w:val="24"/>
        </w:rPr>
        <w:t>Daudzdzīvokļu māju siltumnoturības uzlabošanas pasākumi</w:t>
      </w:r>
      <w:r w:rsidR="000B56DB" w:rsidRPr="00D043A6">
        <w:rPr>
          <w:sz w:val="24"/>
        </w:rPr>
        <w:t>;</w:t>
      </w:r>
      <w:r w:rsidRPr="00D043A6">
        <w:rPr>
          <w:sz w:val="24"/>
        </w:rPr>
        <w:t xml:space="preserve"> </w:t>
      </w:r>
    </w:p>
    <w:p w:rsidR="00600F27" w:rsidRPr="00D043A6" w:rsidRDefault="000C79DD" w:rsidP="00A25E11">
      <w:pPr>
        <w:pStyle w:val="ListParagraph"/>
        <w:numPr>
          <w:ilvl w:val="0"/>
          <w:numId w:val="4"/>
        </w:numPr>
        <w:ind w:left="780"/>
        <w:jc w:val="both"/>
        <w:rPr>
          <w:sz w:val="24"/>
        </w:rPr>
      </w:pPr>
      <w:r w:rsidRPr="00D043A6">
        <w:rPr>
          <w:sz w:val="24"/>
        </w:rPr>
        <w:t>3.4.4.2.</w:t>
      </w:r>
      <w:r w:rsidR="00800AFF" w:rsidRPr="00D043A6">
        <w:rPr>
          <w:sz w:val="24"/>
        </w:rPr>
        <w:t> </w:t>
      </w:r>
      <w:r w:rsidR="00F67533" w:rsidRPr="00D043A6">
        <w:rPr>
          <w:sz w:val="24"/>
        </w:rPr>
        <w:t>Sociālo</w:t>
      </w:r>
      <w:r w:rsidR="00061348" w:rsidRPr="00D043A6">
        <w:rPr>
          <w:sz w:val="24"/>
        </w:rPr>
        <w:t xml:space="preserve"> dzīvojamo</w:t>
      </w:r>
      <w:r w:rsidR="00F67533" w:rsidRPr="00D043A6">
        <w:rPr>
          <w:sz w:val="24"/>
        </w:rPr>
        <w:t xml:space="preserve"> māju siltumnoturības uzlabošanas pasākumi.</w:t>
      </w:r>
    </w:p>
    <w:p w:rsidR="00353558" w:rsidRPr="00D043A6" w:rsidRDefault="00353558" w:rsidP="00353558">
      <w:pPr>
        <w:pStyle w:val="ListParagraph"/>
        <w:ind w:left="780"/>
        <w:jc w:val="both"/>
        <w:rPr>
          <w:sz w:val="24"/>
        </w:rPr>
      </w:pPr>
    </w:p>
    <w:p w:rsidR="00380174" w:rsidRPr="00D043A6" w:rsidRDefault="006938BF" w:rsidP="006938BF">
      <w:pPr>
        <w:ind w:firstLine="720"/>
        <w:jc w:val="both"/>
        <w:rPr>
          <w:sz w:val="24"/>
        </w:rPr>
      </w:pPr>
      <w:r w:rsidRPr="00D043A6">
        <w:rPr>
          <w:sz w:val="24"/>
        </w:rPr>
        <w:t xml:space="preserve">DMS aktivitātes mērķis ir energoefektivitātes paaugstināšana daudzdzīvokļu dzīvojamās mājās, lai nodrošinātu dzīvojamā fonda ilgtspēju un energoresursu efektīvu izmantošanu. </w:t>
      </w:r>
      <w:r w:rsidR="00EE6EAE" w:rsidRPr="00D043A6">
        <w:rPr>
          <w:sz w:val="24"/>
        </w:rPr>
        <w:t>Projekta iesniedzēji ir daudzdzīvokļu dzīvojamās mājas dzīvokļu īpašnieki (projektu iesniedz ar pilnvarotās personas starpniecību). Daudzdzīvokļu mājas būvniecībai jābūt uzsāktai līdz 1993.</w:t>
      </w:r>
      <w:r w:rsidR="00800AFF" w:rsidRPr="00D043A6">
        <w:rPr>
          <w:sz w:val="24"/>
        </w:rPr>
        <w:t> </w:t>
      </w:r>
      <w:r w:rsidR="00EE6EAE" w:rsidRPr="00D043A6">
        <w:rPr>
          <w:sz w:val="24"/>
        </w:rPr>
        <w:t>gadam (ieskaitot) un tai jābūt nodotai ekspluatācijā līdz 2002.gadam (ieskaitot).</w:t>
      </w:r>
    </w:p>
    <w:p w:rsidR="007131C9" w:rsidRPr="00D043A6" w:rsidRDefault="005C08E0" w:rsidP="005C08E0">
      <w:pPr>
        <w:ind w:firstLine="720"/>
        <w:jc w:val="both"/>
        <w:rPr>
          <w:sz w:val="24"/>
        </w:rPr>
      </w:pPr>
      <w:r w:rsidRPr="00D043A6">
        <w:rPr>
          <w:sz w:val="24"/>
        </w:rPr>
        <w:t xml:space="preserve">Vienam projekta iesniegumam DMS aktivitātes ietvaros maksimāli pieļaujamais ERAF finansējuma apjoms </w:t>
      </w:r>
      <w:r w:rsidR="007131C9" w:rsidRPr="00D043A6">
        <w:rPr>
          <w:sz w:val="24"/>
        </w:rPr>
        <w:t>ir</w:t>
      </w:r>
      <w:r w:rsidRPr="00D043A6">
        <w:rPr>
          <w:sz w:val="24"/>
        </w:rPr>
        <w:t xml:space="preserve"> 35 lat</w:t>
      </w:r>
      <w:r w:rsidR="007131C9" w:rsidRPr="00D043A6">
        <w:rPr>
          <w:sz w:val="24"/>
        </w:rPr>
        <w:t>i</w:t>
      </w:r>
      <w:r w:rsidRPr="00D043A6">
        <w:rPr>
          <w:sz w:val="24"/>
        </w:rPr>
        <w:t xml:space="preserve"> uz vienu dzīvojamās mājas kopējās platības kvadrātmetru. </w:t>
      </w:r>
      <w:r w:rsidR="007131C9" w:rsidRPr="00D043A6">
        <w:rPr>
          <w:sz w:val="24"/>
        </w:rPr>
        <w:t>Maksimālā ERAF finansējuma intensitāte ir 50</w:t>
      </w:r>
      <w:r w:rsidR="00951887" w:rsidRPr="00D043A6">
        <w:rPr>
          <w:sz w:val="24"/>
        </w:rPr>
        <w:t> </w:t>
      </w:r>
      <w:r w:rsidR="007131C9" w:rsidRPr="00D043A6">
        <w:rPr>
          <w:sz w:val="24"/>
        </w:rPr>
        <w:t>% no kopējām projekta attiecināmajām izmaksām (vai 60</w:t>
      </w:r>
      <w:r w:rsidR="00EE6EAE" w:rsidRPr="00D043A6">
        <w:rPr>
          <w:sz w:val="24"/>
        </w:rPr>
        <w:t> </w:t>
      </w:r>
      <w:r w:rsidR="007131C9" w:rsidRPr="00D043A6">
        <w:rPr>
          <w:sz w:val="24"/>
        </w:rPr>
        <w:t>%, ja uz projekta iesnieguma iesniegšanas dienu vismaz 10</w:t>
      </w:r>
      <w:r w:rsidR="00EE6EAE" w:rsidRPr="00D043A6">
        <w:rPr>
          <w:sz w:val="24"/>
        </w:rPr>
        <w:t> </w:t>
      </w:r>
      <w:r w:rsidR="007131C9" w:rsidRPr="00D043A6">
        <w:rPr>
          <w:sz w:val="24"/>
        </w:rPr>
        <w:t>% no daudzdzīvokļu mājas dzīvokļu īpašniekiem ir noteikts maznodrošinātas personas statuss).</w:t>
      </w:r>
    </w:p>
    <w:p w:rsidR="00BA23FB" w:rsidRPr="00D043A6" w:rsidRDefault="001920A6" w:rsidP="00EE6EAE">
      <w:pPr>
        <w:ind w:firstLine="720"/>
        <w:jc w:val="both"/>
        <w:rPr>
          <w:sz w:val="24"/>
        </w:rPr>
      </w:pPr>
      <w:r w:rsidRPr="00D043A6">
        <w:rPr>
          <w:sz w:val="24"/>
        </w:rPr>
        <w:t>DMS aktivitātē finansējumu piešķir projekta dokumentācijas sagatavošanai un projekta būvuzraudzībai un autoruzraudzībai, kā arī  būvdarbu veikšanai dzīvokļu īpašnieku kopīpašumā esošajās daļās.</w:t>
      </w:r>
      <w:r w:rsidR="00EE6EAE" w:rsidRPr="00D043A6">
        <w:rPr>
          <w:sz w:val="24"/>
        </w:rPr>
        <w:t xml:space="preserve"> </w:t>
      </w:r>
      <w:r w:rsidR="00C97BBC" w:rsidRPr="00D043A6">
        <w:rPr>
          <w:sz w:val="24"/>
        </w:rPr>
        <w:t>DMS aktivitāt</w:t>
      </w:r>
      <w:r w:rsidR="00EE6EAE" w:rsidRPr="00D043A6">
        <w:rPr>
          <w:sz w:val="24"/>
        </w:rPr>
        <w:t xml:space="preserve">ē </w:t>
      </w:r>
      <w:r w:rsidR="00BA23FB" w:rsidRPr="00D043A6">
        <w:rPr>
          <w:sz w:val="24"/>
        </w:rPr>
        <w:t>d</w:t>
      </w:r>
      <w:r w:rsidR="00C97BBC" w:rsidRPr="00D043A6">
        <w:rPr>
          <w:sz w:val="24"/>
        </w:rPr>
        <w:t xml:space="preserve">audzdzīvokļu dzīvojamai mājai </w:t>
      </w:r>
      <w:r w:rsidR="00EE6EAE" w:rsidRPr="00D043A6">
        <w:rPr>
          <w:sz w:val="24"/>
        </w:rPr>
        <w:t xml:space="preserve">pēc renovācijas jāsasniedz siltumenerģijas ietaupījums ne mazāk kā 20 % </w:t>
      </w:r>
      <w:r w:rsidR="00C97BBC" w:rsidRPr="00D043A6">
        <w:rPr>
          <w:sz w:val="24"/>
        </w:rPr>
        <w:t>gadā</w:t>
      </w:r>
      <w:r w:rsidR="00EE6EAE" w:rsidRPr="00D043A6">
        <w:rPr>
          <w:sz w:val="24"/>
        </w:rPr>
        <w:t xml:space="preserve">, kā arī </w:t>
      </w:r>
      <w:r w:rsidR="00BA23FB" w:rsidRPr="00D043A6">
        <w:rPr>
          <w:sz w:val="24"/>
        </w:rPr>
        <w:t xml:space="preserve">siltumenerģijas patēriņš apkurei </w:t>
      </w:r>
      <w:r w:rsidR="00EE6EAE" w:rsidRPr="00D043A6">
        <w:rPr>
          <w:sz w:val="24"/>
        </w:rPr>
        <w:t>100 kWh/m</w:t>
      </w:r>
      <w:r w:rsidR="00EE6EAE" w:rsidRPr="00D043A6">
        <w:rPr>
          <w:sz w:val="24"/>
          <w:vertAlign w:val="superscript"/>
        </w:rPr>
        <w:t>2</w:t>
      </w:r>
      <w:r w:rsidR="00EE6EAE" w:rsidRPr="00D043A6">
        <w:rPr>
          <w:sz w:val="24"/>
        </w:rPr>
        <w:t xml:space="preserve"> gadā, ja mājai ir trīs vai vairāk</w:t>
      </w:r>
      <w:r w:rsidR="00DE6050">
        <w:rPr>
          <w:sz w:val="24"/>
        </w:rPr>
        <w:t xml:space="preserve"> </w:t>
      </w:r>
      <w:r w:rsidR="00DE6050" w:rsidRPr="00D043A6">
        <w:rPr>
          <w:sz w:val="24"/>
        </w:rPr>
        <w:t>stāvi</w:t>
      </w:r>
      <w:r w:rsidR="00EE6EAE" w:rsidRPr="00D043A6">
        <w:rPr>
          <w:sz w:val="24"/>
        </w:rPr>
        <w:t xml:space="preserve">, </w:t>
      </w:r>
      <w:r w:rsidR="00BA23FB" w:rsidRPr="00D043A6">
        <w:rPr>
          <w:sz w:val="24"/>
        </w:rPr>
        <w:t>120 k</w:t>
      </w:r>
      <w:r w:rsidR="005C08E0" w:rsidRPr="00D043A6">
        <w:rPr>
          <w:sz w:val="24"/>
        </w:rPr>
        <w:t>Wh/m</w:t>
      </w:r>
      <w:r w:rsidR="005C08E0" w:rsidRPr="00D043A6">
        <w:rPr>
          <w:sz w:val="24"/>
          <w:vertAlign w:val="superscript"/>
        </w:rPr>
        <w:t>2</w:t>
      </w:r>
      <w:r w:rsidR="00BA23FB" w:rsidRPr="00D043A6">
        <w:rPr>
          <w:sz w:val="24"/>
        </w:rPr>
        <w:t xml:space="preserve"> gadā, ja mājai ir viens vai divi stāvi</w:t>
      </w:r>
      <w:r w:rsidR="00EE6EAE" w:rsidRPr="00D043A6">
        <w:rPr>
          <w:sz w:val="24"/>
        </w:rPr>
        <w:t>.</w:t>
      </w:r>
      <w:r w:rsidR="00BA23FB" w:rsidRPr="00D043A6">
        <w:rPr>
          <w:sz w:val="24"/>
        </w:rPr>
        <w:t xml:space="preserve"> </w:t>
      </w:r>
    </w:p>
    <w:p w:rsidR="00C97BBC" w:rsidRPr="00D043A6" w:rsidRDefault="005C08E0" w:rsidP="00FD47D7">
      <w:pPr>
        <w:ind w:firstLine="720"/>
        <w:jc w:val="both"/>
        <w:rPr>
          <w:sz w:val="24"/>
        </w:rPr>
      </w:pPr>
      <w:r w:rsidRPr="00D043A6">
        <w:rPr>
          <w:sz w:val="24"/>
        </w:rPr>
        <w:t xml:space="preserve">Pie citiem nosacījumiem </w:t>
      </w:r>
      <w:r w:rsidR="009C472D" w:rsidRPr="00D043A6">
        <w:rPr>
          <w:sz w:val="24"/>
        </w:rPr>
        <w:t xml:space="preserve">minama prasība, ka </w:t>
      </w:r>
      <w:r w:rsidRPr="00D043A6">
        <w:rPr>
          <w:sz w:val="24"/>
        </w:rPr>
        <w:t>projekts netiek un nav ticis finansēts vai līdzfinansēts no citiem Eiropas Savienības</w:t>
      </w:r>
      <w:r w:rsidR="009C472D" w:rsidRPr="00D043A6">
        <w:rPr>
          <w:sz w:val="24"/>
        </w:rPr>
        <w:t>,</w:t>
      </w:r>
      <w:r w:rsidRPr="00D043A6">
        <w:rPr>
          <w:sz w:val="24"/>
        </w:rPr>
        <w:t xml:space="preserve"> valsts </w:t>
      </w:r>
      <w:r w:rsidR="009C472D" w:rsidRPr="00D043A6">
        <w:rPr>
          <w:sz w:val="24"/>
        </w:rPr>
        <w:t>vai</w:t>
      </w:r>
      <w:r w:rsidRPr="00D043A6">
        <w:rPr>
          <w:sz w:val="24"/>
        </w:rPr>
        <w:t xml:space="preserve"> pašvaldību budžeta līdzekļiem, un projekta ietvaros plānotās darbības nepārklājas ar darbībām, kas tiek finansētas citu aktivitāšu un </w:t>
      </w:r>
      <w:r w:rsidR="009C472D" w:rsidRPr="00D043A6">
        <w:rPr>
          <w:sz w:val="24"/>
        </w:rPr>
        <w:t>finanšu instrumentu ietvaros.</w:t>
      </w:r>
      <w:r w:rsidR="00EE6EAE" w:rsidRPr="00D043A6">
        <w:rPr>
          <w:sz w:val="24"/>
        </w:rPr>
        <w:t xml:space="preserve"> </w:t>
      </w:r>
      <w:r w:rsidR="00180B41" w:rsidRPr="00D043A6">
        <w:rPr>
          <w:sz w:val="24"/>
        </w:rPr>
        <w:t>Lai ievērotu</w:t>
      </w:r>
      <w:r w:rsidR="009C472D" w:rsidRPr="00D043A6">
        <w:rPr>
          <w:sz w:val="24"/>
        </w:rPr>
        <w:t xml:space="preserve"> </w:t>
      </w:r>
      <w:r w:rsidR="00A0770F" w:rsidRPr="00D043A6">
        <w:rPr>
          <w:sz w:val="24"/>
        </w:rPr>
        <w:t>Regul</w:t>
      </w:r>
      <w:r w:rsidR="00180B41" w:rsidRPr="00D043A6">
        <w:rPr>
          <w:sz w:val="24"/>
        </w:rPr>
        <w:t>as</w:t>
      </w:r>
      <w:r w:rsidR="00A0770F" w:rsidRPr="00D043A6">
        <w:rPr>
          <w:rStyle w:val="FootnoteReference"/>
          <w:sz w:val="24"/>
        </w:rPr>
        <w:footnoteReference w:id="11"/>
      </w:r>
      <w:r w:rsidR="00A0770F" w:rsidRPr="00D043A6">
        <w:rPr>
          <w:sz w:val="24"/>
        </w:rPr>
        <w:t xml:space="preserve"> (EK) Nr.</w:t>
      </w:r>
      <w:r w:rsidR="00180B41" w:rsidRPr="00D043A6">
        <w:rPr>
          <w:sz w:val="24"/>
        </w:rPr>
        <w:t> </w:t>
      </w:r>
      <w:r w:rsidR="00A0770F" w:rsidRPr="00D043A6">
        <w:rPr>
          <w:sz w:val="24"/>
        </w:rPr>
        <w:t xml:space="preserve">1080/2006 </w:t>
      </w:r>
      <w:r w:rsidR="00180B41" w:rsidRPr="00D043A6">
        <w:rPr>
          <w:sz w:val="24"/>
        </w:rPr>
        <w:t xml:space="preserve">par Eiropas Reģionālās attīstības fondu prasības, </w:t>
      </w:r>
      <w:r w:rsidR="00A0770F" w:rsidRPr="00D043A6">
        <w:rPr>
          <w:sz w:val="24"/>
        </w:rPr>
        <w:t xml:space="preserve">viens no </w:t>
      </w:r>
      <w:r w:rsidR="00180B41" w:rsidRPr="00D043A6">
        <w:rPr>
          <w:sz w:val="24"/>
        </w:rPr>
        <w:t xml:space="preserve">DMS aktivitātes </w:t>
      </w:r>
      <w:r w:rsidR="00A0770F" w:rsidRPr="00D043A6">
        <w:rPr>
          <w:sz w:val="24"/>
        </w:rPr>
        <w:t>nosacījumiem</w:t>
      </w:r>
      <w:r w:rsidR="00180B41" w:rsidRPr="00D043A6">
        <w:rPr>
          <w:sz w:val="24"/>
        </w:rPr>
        <w:t xml:space="preserve"> nosaka, ka</w:t>
      </w:r>
      <w:r w:rsidR="00A0770F" w:rsidRPr="00D043A6">
        <w:rPr>
          <w:sz w:val="24"/>
        </w:rPr>
        <w:t xml:space="preserve"> </w:t>
      </w:r>
      <w:r w:rsidR="00BA23FB" w:rsidRPr="00D043A6">
        <w:rPr>
          <w:sz w:val="24"/>
        </w:rPr>
        <w:t xml:space="preserve">projekta īstenošanas vietā (pašvaldībā) </w:t>
      </w:r>
      <w:r w:rsidR="009C472D" w:rsidRPr="00D043A6">
        <w:rPr>
          <w:sz w:val="24"/>
        </w:rPr>
        <w:t>jābūt</w:t>
      </w:r>
      <w:r w:rsidR="00BA23FB" w:rsidRPr="00D043A6">
        <w:rPr>
          <w:sz w:val="24"/>
        </w:rPr>
        <w:t xml:space="preserve"> vismaz 2000 iedzīvotāju</w:t>
      </w:r>
      <w:r w:rsidR="009C472D" w:rsidRPr="00D043A6">
        <w:rPr>
          <w:sz w:val="24"/>
        </w:rPr>
        <w:t>.</w:t>
      </w:r>
      <w:r w:rsidR="00FD47D7" w:rsidRPr="00D043A6">
        <w:rPr>
          <w:sz w:val="24"/>
        </w:rPr>
        <w:t xml:space="preserve"> </w:t>
      </w:r>
      <w:r w:rsidR="00CB7262" w:rsidRPr="00D043A6">
        <w:rPr>
          <w:sz w:val="24"/>
        </w:rPr>
        <w:t>Saskaņā ar CSP datiem 2010.</w:t>
      </w:r>
      <w:r w:rsidR="00951887" w:rsidRPr="00D043A6">
        <w:rPr>
          <w:sz w:val="24"/>
        </w:rPr>
        <w:t> </w:t>
      </w:r>
      <w:r w:rsidR="00CB7262" w:rsidRPr="00D043A6">
        <w:rPr>
          <w:sz w:val="24"/>
        </w:rPr>
        <w:t xml:space="preserve">gadā mazāk par 2000 iedzīvotāju bija </w:t>
      </w:r>
      <w:r w:rsidR="00FD47D7" w:rsidRPr="00D043A6">
        <w:rPr>
          <w:sz w:val="24"/>
        </w:rPr>
        <w:t>Alsunga</w:t>
      </w:r>
      <w:r w:rsidR="00CB7262" w:rsidRPr="00D043A6">
        <w:rPr>
          <w:sz w:val="24"/>
        </w:rPr>
        <w:t>s, Baltinavas, Mērsraga un Rucavas novadā</w:t>
      </w:r>
      <w:r w:rsidR="00951887" w:rsidRPr="00D043A6">
        <w:rPr>
          <w:sz w:val="24"/>
        </w:rPr>
        <w:t>, 2011. gadā – arī Naukšēnu novadā</w:t>
      </w:r>
      <w:r w:rsidR="00FD47D7" w:rsidRPr="00D043A6">
        <w:rPr>
          <w:sz w:val="24"/>
        </w:rPr>
        <w:t>.</w:t>
      </w:r>
    </w:p>
    <w:p w:rsidR="00D36EE9" w:rsidRPr="00D043A6" w:rsidRDefault="00D36EE9" w:rsidP="00D36EE9">
      <w:pPr>
        <w:pStyle w:val="EnvelopeReturn"/>
        <w:spacing w:before="0"/>
        <w:ind w:firstLine="720"/>
        <w:jc w:val="both"/>
        <w:rPr>
          <w:sz w:val="24"/>
          <w:szCs w:val="28"/>
        </w:rPr>
      </w:pPr>
      <w:r w:rsidRPr="00D043A6">
        <w:rPr>
          <w:sz w:val="24"/>
          <w:szCs w:val="28"/>
        </w:rPr>
        <w:t xml:space="preserve">DMS aktivitātes statistika līdz </w:t>
      </w:r>
      <w:r w:rsidR="00BE69B8" w:rsidRPr="00D043A6">
        <w:rPr>
          <w:sz w:val="24"/>
          <w:szCs w:val="28"/>
        </w:rPr>
        <w:t>2013</w:t>
      </w:r>
      <w:r w:rsidRPr="00D043A6">
        <w:rPr>
          <w:sz w:val="24"/>
          <w:szCs w:val="28"/>
        </w:rPr>
        <w:t>. gada</w:t>
      </w:r>
      <w:r w:rsidR="00D043A6" w:rsidRPr="00D043A6">
        <w:rPr>
          <w:sz w:val="24"/>
          <w:szCs w:val="28"/>
        </w:rPr>
        <w:t xml:space="preserve"> </w:t>
      </w:r>
      <w:r w:rsidR="008D187A" w:rsidRPr="00D043A6">
        <w:rPr>
          <w:sz w:val="24"/>
          <w:szCs w:val="28"/>
        </w:rPr>
        <w:t>5</w:t>
      </w:r>
      <w:r w:rsidR="008A0078" w:rsidRPr="00D043A6">
        <w:rPr>
          <w:sz w:val="24"/>
          <w:szCs w:val="28"/>
        </w:rPr>
        <w:t>. </w:t>
      </w:r>
      <w:r w:rsidR="008D187A" w:rsidRPr="00D043A6">
        <w:rPr>
          <w:sz w:val="24"/>
          <w:szCs w:val="28"/>
        </w:rPr>
        <w:t>februārim</w:t>
      </w:r>
      <w:r w:rsidRPr="00D043A6">
        <w:rPr>
          <w:sz w:val="24"/>
          <w:szCs w:val="28"/>
        </w:rPr>
        <w:t xml:space="preserve"> pēc projekta statusa </w:t>
      </w:r>
      <w:r w:rsidR="0024122B" w:rsidRPr="00D043A6">
        <w:rPr>
          <w:sz w:val="24"/>
          <w:szCs w:val="28"/>
        </w:rPr>
        <w:t xml:space="preserve">un </w:t>
      </w:r>
      <w:r w:rsidRPr="00D043A6">
        <w:rPr>
          <w:sz w:val="24"/>
          <w:szCs w:val="28"/>
        </w:rPr>
        <w:t>pēc sadalītajiem</w:t>
      </w:r>
      <w:r w:rsidR="00B724D1" w:rsidRPr="00D043A6">
        <w:rPr>
          <w:sz w:val="24"/>
          <w:szCs w:val="28"/>
        </w:rPr>
        <w:t xml:space="preserve"> ERAF</w:t>
      </w:r>
      <w:r w:rsidRPr="00D043A6">
        <w:rPr>
          <w:sz w:val="24"/>
          <w:szCs w:val="28"/>
        </w:rPr>
        <w:t xml:space="preserve"> līdzekļiem </w:t>
      </w:r>
      <w:r w:rsidR="00D043A6" w:rsidRPr="00D043A6">
        <w:rPr>
          <w:sz w:val="24"/>
          <w:szCs w:val="28"/>
        </w:rPr>
        <w:t xml:space="preserve">apkopota  </w:t>
      </w:r>
      <w:r w:rsidR="00A8688F" w:rsidRPr="00D043A6">
        <w:rPr>
          <w:sz w:val="24"/>
          <w:szCs w:val="28"/>
        </w:rPr>
        <w:t>4</w:t>
      </w:r>
      <w:r w:rsidR="00371760" w:rsidRPr="00D043A6">
        <w:rPr>
          <w:sz w:val="24"/>
          <w:szCs w:val="28"/>
        </w:rPr>
        <w:t>.</w:t>
      </w:r>
      <w:r w:rsidR="0024122B" w:rsidRPr="00D043A6">
        <w:rPr>
          <w:sz w:val="24"/>
          <w:szCs w:val="28"/>
        </w:rPr>
        <w:t xml:space="preserve"> un </w:t>
      </w:r>
      <w:r w:rsidR="00A8688F" w:rsidRPr="00D043A6">
        <w:rPr>
          <w:sz w:val="24"/>
          <w:szCs w:val="28"/>
        </w:rPr>
        <w:t>5</w:t>
      </w:r>
      <w:r w:rsidR="00371760" w:rsidRPr="00D043A6">
        <w:rPr>
          <w:sz w:val="24"/>
          <w:szCs w:val="28"/>
        </w:rPr>
        <w:t>.</w:t>
      </w:r>
      <w:r w:rsidR="001C5B50" w:rsidRPr="00D043A6">
        <w:rPr>
          <w:sz w:val="24"/>
          <w:szCs w:val="28"/>
        </w:rPr>
        <w:t> </w:t>
      </w:r>
      <w:r w:rsidRPr="00D043A6">
        <w:rPr>
          <w:sz w:val="24"/>
          <w:szCs w:val="28"/>
        </w:rPr>
        <w:t>tabulā.</w:t>
      </w:r>
    </w:p>
    <w:p w:rsidR="00371760" w:rsidRPr="00D043A6" w:rsidRDefault="00371760" w:rsidP="00371760">
      <w:pPr>
        <w:rPr>
          <w:sz w:val="24"/>
        </w:rPr>
      </w:pPr>
    </w:p>
    <w:p w:rsidR="00D36EE9" w:rsidRPr="00D043A6" w:rsidRDefault="00A8688F" w:rsidP="001C5B50">
      <w:pPr>
        <w:spacing w:after="120"/>
        <w:rPr>
          <w:i/>
          <w:sz w:val="24"/>
        </w:rPr>
      </w:pPr>
      <w:r w:rsidRPr="00D043A6">
        <w:rPr>
          <w:i/>
          <w:sz w:val="24"/>
        </w:rPr>
        <w:t>4</w:t>
      </w:r>
      <w:r w:rsidR="00D36EE9" w:rsidRPr="00D043A6">
        <w:rPr>
          <w:i/>
          <w:sz w:val="24"/>
        </w:rPr>
        <w:t>.</w:t>
      </w:r>
      <w:r w:rsidR="001C5B50" w:rsidRPr="00D043A6">
        <w:rPr>
          <w:i/>
          <w:sz w:val="24"/>
        </w:rPr>
        <w:t> </w:t>
      </w:r>
      <w:r w:rsidR="00D36EE9" w:rsidRPr="00D043A6">
        <w:rPr>
          <w:i/>
          <w:sz w:val="24"/>
        </w:rPr>
        <w:t>tabula</w:t>
      </w:r>
      <w:r w:rsidR="001C5B50" w:rsidRPr="00D043A6">
        <w:rPr>
          <w:i/>
          <w:sz w:val="24"/>
        </w:rPr>
        <w:t>. DMS aktivitātes raksturojums pēc iesniegto projektu statusa</w:t>
      </w:r>
      <w:r w:rsidR="002024D2" w:rsidRPr="00D043A6">
        <w:rPr>
          <w:i/>
          <w:sz w:val="24"/>
        </w:rPr>
        <w:t>, skaits</w:t>
      </w:r>
      <w:r w:rsidR="001C5B50" w:rsidRPr="00D043A6">
        <w:rPr>
          <w:i/>
          <w:sz w:val="24"/>
        </w:rPr>
        <w:t>.</w:t>
      </w:r>
    </w:p>
    <w:tbl>
      <w:tblPr>
        <w:tblW w:w="5000" w:type="pct"/>
        <w:tblCellMar>
          <w:left w:w="0" w:type="dxa"/>
          <w:right w:w="0" w:type="dxa"/>
        </w:tblCellMar>
        <w:tblLook w:val="04A0" w:firstRow="1" w:lastRow="0" w:firstColumn="1" w:lastColumn="0" w:noHBand="0" w:noVBand="1"/>
      </w:tblPr>
      <w:tblGrid>
        <w:gridCol w:w="1910"/>
        <w:gridCol w:w="1126"/>
        <w:gridCol w:w="1182"/>
        <w:gridCol w:w="996"/>
        <w:gridCol w:w="958"/>
        <w:gridCol w:w="1061"/>
        <w:gridCol w:w="1027"/>
        <w:gridCol w:w="1027"/>
      </w:tblGrid>
      <w:tr w:rsidR="00D36EE9" w:rsidRPr="00D043A6" w:rsidTr="00713875">
        <w:tc>
          <w:tcPr>
            <w:tcW w:w="1910" w:type="dxa"/>
            <w:vMerge w:val="restar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36EE9" w:rsidRPr="00D043A6" w:rsidRDefault="00D36EE9">
            <w:pPr>
              <w:rPr>
                <w:rFonts w:ascii="Calibri" w:hAnsi="Calibri"/>
                <w:sz w:val="24"/>
                <w:szCs w:val="24"/>
              </w:rPr>
            </w:pPr>
            <w:r w:rsidRPr="00D043A6">
              <w:rPr>
                <w:sz w:val="24"/>
                <w:szCs w:val="24"/>
              </w:rPr>
              <w:t>Projekta statuss</w:t>
            </w:r>
          </w:p>
        </w:tc>
        <w:tc>
          <w:tcPr>
            <w:tcW w:w="6350" w:type="dxa"/>
            <w:gridSpan w:val="6"/>
            <w:tcBorders>
              <w:top w:val="nil"/>
              <w:left w:val="nil"/>
              <w:bottom w:val="single" w:sz="8" w:space="0" w:color="auto"/>
              <w:right w:val="single" w:sz="8" w:space="0" w:color="auto"/>
            </w:tcBorders>
            <w:tcMar>
              <w:top w:w="0" w:type="dxa"/>
              <w:left w:w="108" w:type="dxa"/>
              <w:bottom w:w="0" w:type="dxa"/>
              <w:right w:w="108" w:type="dxa"/>
            </w:tcMar>
            <w:vAlign w:val="center"/>
            <w:hideMark/>
          </w:tcPr>
          <w:p w:rsidR="00D36EE9" w:rsidRPr="00D043A6" w:rsidRDefault="00D36EE9">
            <w:pPr>
              <w:jc w:val="center"/>
              <w:rPr>
                <w:rFonts w:ascii="Calibri" w:hAnsi="Calibri"/>
                <w:sz w:val="24"/>
                <w:szCs w:val="24"/>
              </w:rPr>
            </w:pPr>
            <w:r w:rsidRPr="00D043A6">
              <w:rPr>
                <w:sz w:val="24"/>
                <w:szCs w:val="24"/>
              </w:rPr>
              <w:t>Plānošanas reģions</w:t>
            </w:r>
          </w:p>
        </w:tc>
        <w:tc>
          <w:tcPr>
            <w:tcW w:w="1027" w:type="dxa"/>
            <w:vMerge w:val="restart"/>
            <w:tcBorders>
              <w:top w:val="nil"/>
              <w:left w:val="nil"/>
              <w:bottom w:val="single" w:sz="8" w:space="0" w:color="auto"/>
              <w:right w:val="nil"/>
            </w:tcBorders>
            <w:noWrap/>
            <w:tcMar>
              <w:top w:w="0" w:type="dxa"/>
              <w:left w:w="108" w:type="dxa"/>
              <w:bottom w:w="0" w:type="dxa"/>
              <w:right w:w="108" w:type="dxa"/>
            </w:tcMar>
            <w:vAlign w:val="center"/>
            <w:hideMark/>
          </w:tcPr>
          <w:p w:rsidR="00D36EE9" w:rsidRPr="00D043A6" w:rsidRDefault="00D36EE9">
            <w:pPr>
              <w:jc w:val="center"/>
              <w:rPr>
                <w:rFonts w:ascii="Calibri" w:hAnsi="Calibri"/>
                <w:sz w:val="24"/>
                <w:szCs w:val="24"/>
              </w:rPr>
            </w:pPr>
            <w:r w:rsidRPr="00D043A6">
              <w:rPr>
                <w:sz w:val="24"/>
                <w:szCs w:val="24"/>
              </w:rPr>
              <w:t>Kopā</w:t>
            </w:r>
          </w:p>
        </w:tc>
      </w:tr>
      <w:tr w:rsidR="00D36EE9" w:rsidRPr="00D043A6" w:rsidTr="00713875">
        <w:tc>
          <w:tcPr>
            <w:tcW w:w="0" w:type="auto"/>
            <w:vMerge/>
            <w:tcBorders>
              <w:top w:val="nil"/>
              <w:left w:val="nil"/>
              <w:bottom w:val="single" w:sz="8" w:space="0" w:color="auto"/>
              <w:right w:val="single" w:sz="8" w:space="0" w:color="auto"/>
            </w:tcBorders>
            <w:vAlign w:val="center"/>
            <w:hideMark/>
          </w:tcPr>
          <w:p w:rsidR="00D36EE9" w:rsidRPr="00D043A6" w:rsidRDefault="00D36EE9">
            <w:pPr>
              <w:rPr>
                <w:rFonts w:ascii="Calibri" w:hAnsi="Calibri"/>
                <w:sz w:val="24"/>
                <w:szCs w:val="24"/>
              </w:rPr>
            </w:pPr>
          </w:p>
        </w:tc>
        <w:tc>
          <w:tcPr>
            <w:tcW w:w="1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36EE9" w:rsidRPr="00D043A6" w:rsidRDefault="00D36EE9">
            <w:pPr>
              <w:jc w:val="center"/>
              <w:rPr>
                <w:rFonts w:ascii="Calibri" w:hAnsi="Calibri"/>
                <w:sz w:val="24"/>
                <w:szCs w:val="24"/>
              </w:rPr>
            </w:pPr>
            <w:r w:rsidRPr="00D043A6">
              <w:rPr>
                <w:sz w:val="24"/>
                <w:szCs w:val="24"/>
              </w:rPr>
              <w:t>Kurzeme</w:t>
            </w:r>
          </w:p>
        </w:tc>
        <w:tc>
          <w:tcPr>
            <w:tcW w:w="11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36EE9" w:rsidRPr="00D043A6" w:rsidRDefault="00D36EE9">
            <w:pPr>
              <w:jc w:val="center"/>
              <w:rPr>
                <w:rFonts w:ascii="Calibri" w:hAnsi="Calibri"/>
                <w:sz w:val="24"/>
                <w:szCs w:val="24"/>
              </w:rPr>
            </w:pPr>
            <w:r w:rsidRPr="00D043A6">
              <w:rPr>
                <w:sz w:val="24"/>
                <w:szCs w:val="24"/>
              </w:rPr>
              <w:t>Vidzeme</w:t>
            </w:r>
          </w:p>
        </w:tc>
        <w:tc>
          <w:tcPr>
            <w:tcW w:w="9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36EE9" w:rsidRPr="00D043A6" w:rsidRDefault="00D36EE9">
            <w:pPr>
              <w:jc w:val="center"/>
              <w:rPr>
                <w:rFonts w:ascii="Calibri" w:hAnsi="Calibri"/>
                <w:sz w:val="24"/>
                <w:szCs w:val="24"/>
              </w:rPr>
            </w:pPr>
            <w:r w:rsidRPr="00D043A6">
              <w:rPr>
                <w:sz w:val="24"/>
                <w:szCs w:val="24"/>
              </w:rPr>
              <w:t>Rīgas reģions</w:t>
            </w:r>
          </w:p>
        </w:tc>
        <w:tc>
          <w:tcPr>
            <w:tcW w:w="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36EE9" w:rsidRPr="00D043A6" w:rsidRDefault="00D36EE9">
            <w:pPr>
              <w:jc w:val="center"/>
              <w:rPr>
                <w:rFonts w:ascii="Calibri" w:hAnsi="Calibri"/>
                <w:sz w:val="24"/>
                <w:szCs w:val="24"/>
              </w:rPr>
            </w:pPr>
            <w:r w:rsidRPr="00D043A6">
              <w:rPr>
                <w:sz w:val="24"/>
                <w:szCs w:val="24"/>
              </w:rPr>
              <w:t>Rīga</w:t>
            </w:r>
          </w:p>
        </w:tc>
        <w:tc>
          <w:tcPr>
            <w:tcW w:w="10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36EE9" w:rsidRPr="00D043A6" w:rsidRDefault="00D36EE9">
            <w:pPr>
              <w:jc w:val="center"/>
              <w:rPr>
                <w:rFonts w:ascii="Calibri" w:hAnsi="Calibri"/>
                <w:sz w:val="24"/>
                <w:szCs w:val="24"/>
              </w:rPr>
            </w:pPr>
            <w:r w:rsidRPr="00D043A6">
              <w:rPr>
                <w:sz w:val="24"/>
                <w:szCs w:val="24"/>
              </w:rPr>
              <w:t>Zemgale</w:t>
            </w:r>
          </w:p>
        </w:tc>
        <w:tc>
          <w:tcPr>
            <w:tcW w:w="10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36EE9" w:rsidRPr="00D043A6" w:rsidRDefault="00D36EE9">
            <w:pPr>
              <w:jc w:val="center"/>
              <w:rPr>
                <w:rFonts w:ascii="Calibri" w:hAnsi="Calibri"/>
                <w:sz w:val="24"/>
                <w:szCs w:val="24"/>
              </w:rPr>
            </w:pPr>
            <w:r w:rsidRPr="00D043A6">
              <w:rPr>
                <w:sz w:val="24"/>
                <w:szCs w:val="24"/>
              </w:rPr>
              <w:t>Latgale</w:t>
            </w:r>
          </w:p>
        </w:tc>
        <w:tc>
          <w:tcPr>
            <w:tcW w:w="0" w:type="auto"/>
            <w:vMerge/>
            <w:tcBorders>
              <w:top w:val="nil"/>
              <w:left w:val="nil"/>
              <w:bottom w:val="single" w:sz="8" w:space="0" w:color="auto"/>
              <w:right w:val="nil"/>
            </w:tcBorders>
            <w:vAlign w:val="center"/>
            <w:hideMark/>
          </w:tcPr>
          <w:p w:rsidR="00D36EE9" w:rsidRPr="00D043A6" w:rsidRDefault="00D36EE9">
            <w:pPr>
              <w:rPr>
                <w:rFonts w:ascii="Calibri" w:hAnsi="Calibri"/>
                <w:sz w:val="24"/>
                <w:szCs w:val="24"/>
              </w:rPr>
            </w:pPr>
          </w:p>
        </w:tc>
      </w:tr>
      <w:tr w:rsidR="00713875" w:rsidRPr="00D043A6" w:rsidTr="00713875">
        <w:trPr>
          <w:trHeight w:val="255"/>
        </w:trPr>
        <w:tc>
          <w:tcPr>
            <w:tcW w:w="1910" w:type="dxa"/>
            <w:tcBorders>
              <w:top w:val="single" w:sz="8" w:space="0" w:color="auto"/>
              <w:bottom w:val="single" w:sz="4" w:space="0" w:color="auto"/>
            </w:tcBorders>
            <w:noWrap/>
            <w:tcMar>
              <w:top w:w="0" w:type="dxa"/>
              <w:left w:w="108" w:type="dxa"/>
              <w:bottom w:w="0" w:type="dxa"/>
              <w:right w:w="108" w:type="dxa"/>
            </w:tcMar>
            <w:vAlign w:val="bottom"/>
            <w:hideMark/>
          </w:tcPr>
          <w:p w:rsidR="00713875" w:rsidRPr="00D043A6" w:rsidRDefault="00713875" w:rsidP="00713875">
            <w:pPr>
              <w:rPr>
                <w:rFonts w:ascii="Calibri" w:hAnsi="Calibri"/>
                <w:sz w:val="24"/>
                <w:szCs w:val="24"/>
              </w:rPr>
            </w:pPr>
            <w:r w:rsidRPr="00D043A6">
              <w:rPr>
                <w:sz w:val="24"/>
                <w:szCs w:val="24"/>
              </w:rPr>
              <w:t>Kopā iesniegti izvērtēšanai</w:t>
            </w:r>
          </w:p>
        </w:tc>
        <w:tc>
          <w:tcPr>
            <w:tcW w:w="1126" w:type="dxa"/>
            <w:tcBorders>
              <w:top w:val="single" w:sz="8" w:space="0" w:color="auto"/>
              <w:bottom w:val="single" w:sz="4" w:space="0" w:color="auto"/>
            </w:tcBorders>
            <w:noWrap/>
            <w:tcMar>
              <w:top w:w="0" w:type="dxa"/>
              <w:left w:w="108" w:type="dxa"/>
              <w:bottom w:w="0" w:type="dxa"/>
              <w:right w:w="108" w:type="dxa"/>
            </w:tcMar>
            <w:vAlign w:val="center"/>
            <w:hideMark/>
          </w:tcPr>
          <w:p w:rsidR="00713875" w:rsidRPr="00D043A6" w:rsidRDefault="008D187A" w:rsidP="00F42D60">
            <w:pPr>
              <w:jc w:val="center"/>
              <w:rPr>
                <w:rFonts w:ascii="Calibri" w:hAnsi="Calibri"/>
                <w:b/>
                <w:sz w:val="24"/>
                <w:szCs w:val="24"/>
              </w:rPr>
            </w:pPr>
            <w:r w:rsidRPr="00D043A6">
              <w:rPr>
                <w:b/>
                <w:sz w:val="24"/>
                <w:szCs w:val="24"/>
              </w:rPr>
              <w:t>322</w:t>
            </w:r>
          </w:p>
        </w:tc>
        <w:tc>
          <w:tcPr>
            <w:tcW w:w="1182" w:type="dxa"/>
            <w:tcBorders>
              <w:top w:val="single" w:sz="8" w:space="0" w:color="auto"/>
              <w:bottom w:val="single" w:sz="4" w:space="0" w:color="auto"/>
            </w:tcBorders>
            <w:noWrap/>
            <w:tcMar>
              <w:top w:w="0" w:type="dxa"/>
              <w:left w:w="108" w:type="dxa"/>
              <w:bottom w:w="0" w:type="dxa"/>
              <w:right w:w="108" w:type="dxa"/>
            </w:tcMar>
            <w:vAlign w:val="center"/>
            <w:hideMark/>
          </w:tcPr>
          <w:p w:rsidR="00713875" w:rsidRPr="00D043A6" w:rsidRDefault="008D187A" w:rsidP="00F42D60">
            <w:pPr>
              <w:jc w:val="center"/>
              <w:rPr>
                <w:rFonts w:ascii="Calibri" w:hAnsi="Calibri"/>
                <w:b/>
                <w:sz w:val="24"/>
                <w:szCs w:val="24"/>
              </w:rPr>
            </w:pPr>
            <w:r w:rsidRPr="00D043A6">
              <w:rPr>
                <w:b/>
                <w:sz w:val="24"/>
                <w:szCs w:val="24"/>
              </w:rPr>
              <w:t>285</w:t>
            </w:r>
          </w:p>
        </w:tc>
        <w:tc>
          <w:tcPr>
            <w:tcW w:w="996" w:type="dxa"/>
            <w:tcBorders>
              <w:top w:val="single" w:sz="8" w:space="0" w:color="auto"/>
              <w:bottom w:val="single" w:sz="4" w:space="0" w:color="auto"/>
            </w:tcBorders>
            <w:noWrap/>
            <w:tcMar>
              <w:top w:w="0" w:type="dxa"/>
              <w:left w:w="108" w:type="dxa"/>
              <w:bottom w:w="0" w:type="dxa"/>
              <w:right w:w="108" w:type="dxa"/>
            </w:tcMar>
            <w:vAlign w:val="center"/>
            <w:hideMark/>
          </w:tcPr>
          <w:p w:rsidR="00713875" w:rsidRPr="00D043A6" w:rsidRDefault="008D187A" w:rsidP="00F42D60">
            <w:pPr>
              <w:jc w:val="center"/>
              <w:rPr>
                <w:rFonts w:ascii="Calibri" w:hAnsi="Calibri"/>
                <w:b/>
                <w:sz w:val="24"/>
                <w:szCs w:val="24"/>
              </w:rPr>
            </w:pPr>
            <w:r w:rsidRPr="00D043A6">
              <w:rPr>
                <w:b/>
                <w:sz w:val="24"/>
                <w:szCs w:val="24"/>
              </w:rPr>
              <w:t>239</w:t>
            </w:r>
          </w:p>
        </w:tc>
        <w:tc>
          <w:tcPr>
            <w:tcW w:w="958" w:type="dxa"/>
            <w:tcBorders>
              <w:top w:val="single" w:sz="8" w:space="0" w:color="auto"/>
              <w:bottom w:val="single" w:sz="4" w:space="0" w:color="auto"/>
            </w:tcBorders>
            <w:noWrap/>
            <w:tcMar>
              <w:top w:w="0" w:type="dxa"/>
              <w:left w:w="108" w:type="dxa"/>
              <w:bottom w:w="0" w:type="dxa"/>
              <w:right w:w="108" w:type="dxa"/>
            </w:tcMar>
            <w:vAlign w:val="center"/>
            <w:hideMark/>
          </w:tcPr>
          <w:p w:rsidR="00713875" w:rsidRPr="00D043A6" w:rsidRDefault="008D187A" w:rsidP="00F42D60">
            <w:pPr>
              <w:jc w:val="center"/>
              <w:rPr>
                <w:rFonts w:ascii="Calibri" w:hAnsi="Calibri"/>
                <w:b/>
                <w:sz w:val="24"/>
                <w:szCs w:val="24"/>
              </w:rPr>
            </w:pPr>
            <w:r w:rsidRPr="00D043A6">
              <w:rPr>
                <w:b/>
                <w:sz w:val="24"/>
                <w:szCs w:val="24"/>
              </w:rPr>
              <w:t>114</w:t>
            </w:r>
          </w:p>
        </w:tc>
        <w:tc>
          <w:tcPr>
            <w:tcW w:w="1061" w:type="dxa"/>
            <w:tcBorders>
              <w:top w:val="single" w:sz="8" w:space="0" w:color="auto"/>
              <w:bottom w:val="single" w:sz="4" w:space="0" w:color="auto"/>
            </w:tcBorders>
            <w:noWrap/>
            <w:tcMar>
              <w:top w:w="0" w:type="dxa"/>
              <w:left w:w="108" w:type="dxa"/>
              <w:bottom w:w="0" w:type="dxa"/>
              <w:right w:w="108" w:type="dxa"/>
            </w:tcMar>
            <w:vAlign w:val="center"/>
            <w:hideMark/>
          </w:tcPr>
          <w:p w:rsidR="00713875" w:rsidRPr="00D043A6" w:rsidRDefault="008D187A" w:rsidP="00F42D60">
            <w:pPr>
              <w:jc w:val="center"/>
              <w:rPr>
                <w:rFonts w:ascii="Calibri" w:hAnsi="Calibri"/>
                <w:b/>
                <w:sz w:val="24"/>
                <w:szCs w:val="24"/>
              </w:rPr>
            </w:pPr>
            <w:r w:rsidRPr="00D043A6">
              <w:rPr>
                <w:b/>
                <w:sz w:val="24"/>
                <w:szCs w:val="24"/>
              </w:rPr>
              <w:t>198</w:t>
            </w:r>
          </w:p>
        </w:tc>
        <w:tc>
          <w:tcPr>
            <w:tcW w:w="1027" w:type="dxa"/>
            <w:tcBorders>
              <w:top w:val="single" w:sz="8" w:space="0" w:color="auto"/>
              <w:bottom w:val="single" w:sz="4" w:space="0" w:color="auto"/>
            </w:tcBorders>
            <w:noWrap/>
            <w:tcMar>
              <w:top w:w="0" w:type="dxa"/>
              <w:left w:w="108" w:type="dxa"/>
              <w:bottom w:w="0" w:type="dxa"/>
              <w:right w:w="108" w:type="dxa"/>
            </w:tcMar>
            <w:vAlign w:val="center"/>
            <w:hideMark/>
          </w:tcPr>
          <w:p w:rsidR="00713875" w:rsidRPr="00D043A6" w:rsidRDefault="008D187A" w:rsidP="00F42D60">
            <w:pPr>
              <w:jc w:val="center"/>
              <w:rPr>
                <w:rFonts w:ascii="Calibri" w:hAnsi="Calibri"/>
                <w:b/>
                <w:sz w:val="24"/>
                <w:szCs w:val="24"/>
              </w:rPr>
            </w:pPr>
            <w:r w:rsidRPr="00D043A6">
              <w:rPr>
                <w:b/>
                <w:sz w:val="24"/>
                <w:szCs w:val="24"/>
              </w:rPr>
              <w:t>51</w:t>
            </w:r>
          </w:p>
        </w:tc>
        <w:tc>
          <w:tcPr>
            <w:tcW w:w="1027" w:type="dxa"/>
            <w:tcBorders>
              <w:top w:val="single" w:sz="8" w:space="0" w:color="auto"/>
              <w:bottom w:val="single" w:sz="4" w:space="0" w:color="auto"/>
            </w:tcBorders>
            <w:noWrap/>
            <w:tcMar>
              <w:top w:w="0" w:type="dxa"/>
              <w:left w:w="108" w:type="dxa"/>
              <w:bottom w:w="0" w:type="dxa"/>
              <w:right w:w="108" w:type="dxa"/>
            </w:tcMar>
            <w:vAlign w:val="center"/>
            <w:hideMark/>
          </w:tcPr>
          <w:p w:rsidR="008A0078" w:rsidRPr="00D043A6" w:rsidRDefault="008D187A" w:rsidP="008A0078">
            <w:pPr>
              <w:jc w:val="center"/>
              <w:rPr>
                <w:rFonts w:ascii="Calibri" w:hAnsi="Calibri"/>
                <w:b/>
                <w:sz w:val="24"/>
                <w:szCs w:val="24"/>
              </w:rPr>
            </w:pPr>
            <w:r w:rsidRPr="00D043A6">
              <w:rPr>
                <w:rFonts w:ascii="Calibri" w:hAnsi="Calibri"/>
                <w:b/>
                <w:sz w:val="24"/>
                <w:szCs w:val="24"/>
              </w:rPr>
              <w:t>1209</w:t>
            </w:r>
          </w:p>
        </w:tc>
      </w:tr>
      <w:tr w:rsidR="00D36EE9" w:rsidRPr="00D043A6" w:rsidTr="00713875">
        <w:trPr>
          <w:trHeight w:val="255"/>
        </w:trPr>
        <w:tc>
          <w:tcPr>
            <w:tcW w:w="1910" w:type="dxa"/>
            <w:tcBorders>
              <w:top w:val="single" w:sz="4" w:space="0" w:color="auto"/>
            </w:tcBorders>
            <w:noWrap/>
            <w:tcMar>
              <w:top w:w="0" w:type="dxa"/>
              <w:left w:w="108" w:type="dxa"/>
              <w:bottom w:w="0" w:type="dxa"/>
              <w:right w:w="108" w:type="dxa"/>
            </w:tcMar>
            <w:vAlign w:val="bottom"/>
            <w:hideMark/>
          </w:tcPr>
          <w:p w:rsidR="00D36EE9" w:rsidRPr="00D043A6" w:rsidRDefault="00D36EE9" w:rsidP="00713875">
            <w:pPr>
              <w:rPr>
                <w:rFonts w:ascii="Calibri" w:hAnsi="Calibri"/>
                <w:sz w:val="24"/>
                <w:szCs w:val="24"/>
              </w:rPr>
            </w:pPr>
            <w:r w:rsidRPr="00D043A6">
              <w:rPr>
                <w:sz w:val="24"/>
                <w:szCs w:val="24"/>
              </w:rPr>
              <w:t>Pieteikt</w:t>
            </w:r>
            <w:r w:rsidR="00713875" w:rsidRPr="00D043A6">
              <w:rPr>
                <w:sz w:val="24"/>
                <w:szCs w:val="24"/>
              </w:rPr>
              <w:t>i</w:t>
            </w:r>
          </w:p>
        </w:tc>
        <w:tc>
          <w:tcPr>
            <w:tcW w:w="1126" w:type="dxa"/>
            <w:tcBorders>
              <w:top w:val="single" w:sz="4" w:space="0" w:color="auto"/>
            </w:tcBorders>
            <w:noWrap/>
            <w:tcMar>
              <w:top w:w="0" w:type="dxa"/>
              <w:left w:w="108" w:type="dxa"/>
              <w:bottom w:w="0" w:type="dxa"/>
              <w:right w:w="108" w:type="dxa"/>
            </w:tcMar>
            <w:vAlign w:val="bottom"/>
            <w:hideMark/>
          </w:tcPr>
          <w:p w:rsidR="00D36EE9" w:rsidRPr="00D043A6" w:rsidRDefault="008D187A" w:rsidP="00F42D60">
            <w:pPr>
              <w:jc w:val="center"/>
              <w:rPr>
                <w:rFonts w:ascii="Calibri" w:hAnsi="Calibri"/>
                <w:sz w:val="24"/>
                <w:szCs w:val="24"/>
              </w:rPr>
            </w:pPr>
            <w:r w:rsidRPr="00D043A6">
              <w:rPr>
                <w:sz w:val="24"/>
                <w:szCs w:val="24"/>
              </w:rPr>
              <w:t>4</w:t>
            </w:r>
          </w:p>
        </w:tc>
        <w:tc>
          <w:tcPr>
            <w:tcW w:w="1182" w:type="dxa"/>
            <w:tcBorders>
              <w:top w:val="single" w:sz="4" w:space="0" w:color="auto"/>
            </w:tcBorders>
            <w:noWrap/>
            <w:tcMar>
              <w:top w:w="0" w:type="dxa"/>
              <w:left w:w="108" w:type="dxa"/>
              <w:bottom w:w="0" w:type="dxa"/>
              <w:right w:w="108" w:type="dxa"/>
            </w:tcMar>
            <w:vAlign w:val="bottom"/>
            <w:hideMark/>
          </w:tcPr>
          <w:p w:rsidR="00D36EE9" w:rsidRPr="00D043A6" w:rsidRDefault="008D187A" w:rsidP="00F42D60">
            <w:pPr>
              <w:jc w:val="center"/>
              <w:rPr>
                <w:rFonts w:ascii="Calibri" w:hAnsi="Calibri"/>
                <w:sz w:val="24"/>
                <w:szCs w:val="24"/>
              </w:rPr>
            </w:pPr>
            <w:r w:rsidRPr="00D043A6">
              <w:rPr>
                <w:sz w:val="24"/>
                <w:szCs w:val="24"/>
              </w:rPr>
              <w:t>5</w:t>
            </w:r>
          </w:p>
        </w:tc>
        <w:tc>
          <w:tcPr>
            <w:tcW w:w="996" w:type="dxa"/>
            <w:tcBorders>
              <w:top w:val="single" w:sz="4" w:space="0" w:color="auto"/>
            </w:tcBorders>
            <w:noWrap/>
            <w:tcMar>
              <w:top w:w="0" w:type="dxa"/>
              <w:left w:w="108" w:type="dxa"/>
              <w:bottom w:w="0" w:type="dxa"/>
              <w:right w:w="108" w:type="dxa"/>
            </w:tcMar>
            <w:vAlign w:val="bottom"/>
            <w:hideMark/>
          </w:tcPr>
          <w:p w:rsidR="00D36EE9" w:rsidRPr="00D043A6" w:rsidRDefault="008D187A" w:rsidP="00F42D60">
            <w:pPr>
              <w:jc w:val="center"/>
              <w:rPr>
                <w:rFonts w:ascii="Calibri" w:hAnsi="Calibri"/>
                <w:sz w:val="24"/>
                <w:szCs w:val="24"/>
              </w:rPr>
            </w:pPr>
            <w:r w:rsidRPr="00D043A6">
              <w:rPr>
                <w:sz w:val="24"/>
                <w:szCs w:val="24"/>
              </w:rPr>
              <w:t>1</w:t>
            </w:r>
          </w:p>
        </w:tc>
        <w:tc>
          <w:tcPr>
            <w:tcW w:w="958" w:type="dxa"/>
            <w:tcBorders>
              <w:top w:val="single" w:sz="4" w:space="0" w:color="auto"/>
            </w:tcBorders>
            <w:noWrap/>
            <w:tcMar>
              <w:top w:w="0" w:type="dxa"/>
              <w:left w:w="108" w:type="dxa"/>
              <w:bottom w:w="0" w:type="dxa"/>
              <w:right w:w="108" w:type="dxa"/>
            </w:tcMar>
            <w:vAlign w:val="bottom"/>
            <w:hideMark/>
          </w:tcPr>
          <w:p w:rsidR="00D36EE9" w:rsidRPr="00D043A6" w:rsidRDefault="008D187A">
            <w:pPr>
              <w:jc w:val="center"/>
              <w:rPr>
                <w:rFonts w:ascii="Calibri" w:hAnsi="Calibri"/>
                <w:sz w:val="24"/>
                <w:szCs w:val="24"/>
              </w:rPr>
            </w:pPr>
            <w:r w:rsidRPr="00D043A6">
              <w:rPr>
                <w:sz w:val="24"/>
                <w:szCs w:val="24"/>
              </w:rPr>
              <w:t>4</w:t>
            </w:r>
          </w:p>
        </w:tc>
        <w:tc>
          <w:tcPr>
            <w:tcW w:w="1061" w:type="dxa"/>
            <w:tcBorders>
              <w:top w:val="single" w:sz="4" w:space="0" w:color="auto"/>
            </w:tcBorders>
            <w:noWrap/>
            <w:tcMar>
              <w:top w:w="0" w:type="dxa"/>
              <w:left w:w="108" w:type="dxa"/>
              <w:bottom w:w="0" w:type="dxa"/>
              <w:right w:w="108" w:type="dxa"/>
            </w:tcMar>
            <w:vAlign w:val="bottom"/>
            <w:hideMark/>
          </w:tcPr>
          <w:p w:rsidR="00D36EE9" w:rsidRPr="00D043A6" w:rsidRDefault="008D187A" w:rsidP="00F42D60">
            <w:pPr>
              <w:jc w:val="center"/>
              <w:rPr>
                <w:rFonts w:ascii="Calibri" w:hAnsi="Calibri"/>
                <w:sz w:val="24"/>
                <w:szCs w:val="24"/>
              </w:rPr>
            </w:pPr>
            <w:r w:rsidRPr="00D043A6">
              <w:rPr>
                <w:sz w:val="24"/>
                <w:szCs w:val="24"/>
              </w:rPr>
              <w:t>2</w:t>
            </w:r>
          </w:p>
        </w:tc>
        <w:tc>
          <w:tcPr>
            <w:tcW w:w="1027" w:type="dxa"/>
            <w:tcBorders>
              <w:top w:val="single" w:sz="4" w:space="0" w:color="auto"/>
            </w:tcBorders>
            <w:noWrap/>
            <w:tcMar>
              <w:top w:w="0" w:type="dxa"/>
              <w:left w:w="108" w:type="dxa"/>
              <w:bottom w:w="0" w:type="dxa"/>
              <w:right w:w="108" w:type="dxa"/>
            </w:tcMar>
            <w:vAlign w:val="bottom"/>
            <w:hideMark/>
          </w:tcPr>
          <w:p w:rsidR="00D36EE9" w:rsidRPr="00D043A6" w:rsidRDefault="008D187A">
            <w:pPr>
              <w:jc w:val="center"/>
              <w:rPr>
                <w:rFonts w:ascii="Calibri" w:hAnsi="Calibri"/>
                <w:sz w:val="24"/>
                <w:szCs w:val="24"/>
              </w:rPr>
            </w:pPr>
            <w:r w:rsidRPr="00D043A6">
              <w:rPr>
                <w:sz w:val="24"/>
                <w:szCs w:val="24"/>
              </w:rPr>
              <w:t>1</w:t>
            </w:r>
          </w:p>
        </w:tc>
        <w:tc>
          <w:tcPr>
            <w:tcW w:w="1027" w:type="dxa"/>
            <w:tcBorders>
              <w:top w:val="single" w:sz="4" w:space="0" w:color="auto"/>
            </w:tcBorders>
            <w:noWrap/>
            <w:tcMar>
              <w:top w:w="0" w:type="dxa"/>
              <w:left w:w="108" w:type="dxa"/>
              <w:bottom w:w="0" w:type="dxa"/>
              <w:right w:w="108" w:type="dxa"/>
            </w:tcMar>
            <w:vAlign w:val="bottom"/>
            <w:hideMark/>
          </w:tcPr>
          <w:p w:rsidR="00D36EE9" w:rsidRPr="00D043A6" w:rsidRDefault="008D187A" w:rsidP="00F42D60">
            <w:pPr>
              <w:jc w:val="center"/>
              <w:rPr>
                <w:rFonts w:ascii="Calibri" w:hAnsi="Calibri"/>
                <w:sz w:val="24"/>
                <w:szCs w:val="24"/>
              </w:rPr>
            </w:pPr>
            <w:r w:rsidRPr="00D043A6">
              <w:rPr>
                <w:rFonts w:ascii="Calibri" w:hAnsi="Calibri"/>
                <w:sz w:val="24"/>
                <w:szCs w:val="24"/>
              </w:rPr>
              <w:t>17</w:t>
            </w:r>
          </w:p>
        </w:tc>
      </w:tr>
      <w:tr w:rsidR="00D36EE9" w:rsidRPr="00D043A6" w:rsidTr="00713875">
        <w:trPr>
          <w:trHeight w:val="255"/>
        </w:trPr>
        <w:tc>
          <w:tcPr>
            <w:tcW w:w="1910" w:type="dxa"/>
            <w:noWrap/>
            <w:tcMar>
              <w:top w:w="0" w:type="dxa"/>
              <w:left w:w="108" w:type="dxa"/>
              <w:bottom w:w="0" w:type="dxa"/>
              <w:right w:w="108" w:type="dxa"/>
            </w:tcMar>
            <w:vAlign w:val="bottom"/>
            <w:hideMark/>
          </w:tcPr>
          <w:p w:rsidR="00D36EE9" w:rsidRPr="00D043A6" w:rsidRDefault="00D36EE9" w:rsidP="00713875">
            <w:pPr>
              <w:rPr>
                <w:rFonts w:ascii="Calibri" w:hAnsi="Calibri"/>
                <w:sz w:val="24"/>
                <w:szCs w:val="24"/>
              </w:rPr>
            </w:pPr>
            <w:r w:rsidRPr="00D043A6">
              <w:rPr>
                <w:sz w:val="24"/>
                <w:szCs w:val="24"/>
              </w:rPr>
              <w:t>Apstiprināt</w:t>
            </w:r>
            <w:r w:rsidR="00713875" w:rsidRPr="00D043A6">
              <w:rPr>
                <w:sz w:val="24"/>
                <w:szCs w:val="24"/>
              </w:rPr>
              <w:t>i</w:t>
            </w:r>
          </w:p>
        </w:tc>
        <w:tc>
          <w:tcPr>
            <w:tcW w:w="1126" w:type="dxa"/>
            <w:noWrap/>
            <w:tcMar>
              <w:top w:w="0" w:type="dxa"/>
              <w:left w:w="108" w:type="dxa"/>
              <w:bottom w:w="0" w:type="dxa"/>
              <w:right w:w="108" w:type="dxa"/>
            </w:tcMar>
            <w:vAlign w:val="center"/>
            <w:hideMark/>
          </w:tcPr>
          <w:p w:rsidR="00D36EE9" w:rsidRPr="00D043A6" w:rsidRDefault="008D187A" w:rsidP="00F42D60">
            <w:pPr>
              <w:jc w:val="center"/>
              <w:rPr>
                <w:rFonts w:ascii="Calibri" w:hAnsi="Calibri"/>
                <w:sz w:val="24"/>
                <w:szCs w:val="24"/>
              </w:rPr>
            </w:pPr>
            <w:r w:rsidRPr="00D043A6">
              <w:rPr>
                <w:sz w:val="24"/>
                <w:szCs w:val="24"/>
              </w:rPr>
              <w:t>13</w:t>
            </w:r>
          </w:p>
        </w:tc>
        <w:tc>
          <w:tcPr>
            <w:tcW w:w="1182" w:type="dxa"/>
            <w:noWrap/>
            <w:tcMar>
              <w:top w:w="0" w:type="dxa"/>
              <w:left w:w="108" w:type="dxa"/>
              <w:bottom w:w="0" w:type="dxa"/>
              <w:right w:w="108" w:type="dxa"/>
            </w:tcMar>
            <w:vAlign w:val="center"/>
            <w:hideMark/>
          </w:tcPr>
          <w:p w:rsidR="00D36EE9" w:rsidRPr="00D043A6" w:rsidRDefault="008D187A" w:rsidP="00F42D60">
            <w:pPr>
              <w:jc w:val="center"/>
              <w:rPr>
                <w:rFonts w:ascii="Calibri" w:hAnsi="Calibri"/>
                <w:sz w:val="24"/>
                <w:szCs w:val="24"/>
              </w:rPr>
            </w:pPr>
            <w:r w:rsidRPr="00D043A6">
              <w:rPr>
                <w:sz w:val="24"/>
                <w:szCs w:val="24"/>
              </w:rPr>
              <w:t>15</w:t>
            </w:r>
          </w:p>
        </w:tc>
        <w:tc>
          <w:tcPr>
            <w:tcW w:w="996" w:type="dxa"/>
            <w:noWrap/>
            <w:tcMar>
              <w:top w:w="0" w:type="dxa"/>
              <w:left w:w="108" w:type="dxa"/>
              <w:bottom w:w="0" w:type="dxa"/>
              <w:right w:w="108" w:type="dxa"/>
            </w:tcMar>
            <w:vAlign w:val="center"/>
            <w:hideMark/>
          </w:tcPr>
          <w:p w:rsidR="00D36EE9" w:rsidRPr="00D043A6" w:rsidRDefault="008D187A" w:rsidP="00F42D60">
            <w:pPr>
              <w:jc w:val="center"/>
              <w:rPr>
                <w:rFonts w:ascii="Calibri" w:hAnsi="Calibri"/>
                <w:sz w:val="24"/>
                <w:szCs w:val="24"/>
              </w:rPr>
            </w:pPr>
            <w:r w:rsidRPr="00D043A6">
              <w:rPr>
                <w:sz w:val="24"/>
                <w:szCs w:val="24"/>
              </w:rPr>
              <w:t>20</w:t>
            </w:r>
          </w:p>
        </w:tc>
        <w:tc>
          <w:tcPr>
            <w:tcW w:w="958" w:type="dxa"/>
            <w:noWrap/>
            <w:tcMar>
              <w:top w:w="0" w:type="dxa"/>
              <w:left w:w="108" w:type="dxa"/>
              <w:bottom w:w="0" w:type="dxa"/>
              <w:right w:w="108" w:type="dxa"/>
            </w:tcMar>
            <w:vAlign w:val="center"/>
            <w:hideMark/>
          </w:tcPr>
          <w:p w:rsidR="00D36EE9" w:rsidRPr="00D043A6" w:rsidRDefault="008D187A">
            <w:pPr>
              <w:jc w:val="center"/>
              <w:rPr>
                <w:rFonts w:ascii="Calibri" w:hAnsi="Calibri"/>
                <w:sz w:val="24"/>
                <w:szCs w:val="24"/>
              </w:rPr>
            </w:pPr>
            <w:r w:rsidRPr="00D043A6">
              <w:rPr>
                <w:sz w:val="24"/>
                <w:szCs w:val="24"/>
              </w:rPr>
              <w:t>9</w:t>
            </w:r>
          </w:p>
        </w:tc>
        <w:tc>
          <w:tcPr>
            <w:tcW w:w="1061" w:type="dxa"/>
            <w:noWrap/>
            <w:tcMar>
              <w:top w:w="0" w:type="dxa"/>
              <w:left w:w="108" w:type="dxa"/>
              <w:bottom w:w="0" w:type="dxa"/>
              <w:right w:w="108" w:type="dxa"/>
            </w:tcMar>
            <w:vAlign w:val="center"/>
            <w:hideMark/>
          </w:tcPr>
          <w:p w:rsidR="00D36EE9" w:rsidRPr="00D043A6" w:rsidRDefault="008D187A" w:rsidP="00F42D60">
            <w:pPr>
              <w:jc w:val="center"/>
              <w:rPr>
                <w:rFonts w:ascii="Calibri" w:hAnsi="Calibri"/>
                <w:sz w:val="24"/>
                <w:szCs w:val="24"/>
              </w:rPr>
            </w:pPr>
            <w:r w:rsidRPr="00D043A6">
              <w:rPr>
                <w:sz w:val="24"/>
                <w:szCs w:val="24"/>
              </w:rPr>
              <w:t>16</w:t>
            </w:r>
          </w:p>
        </w:tc>
        <w:tc>
          <w:tcPr>
            <w:tcW w:w="1027" w:type="dxa"/>
            <w:noWrap/>
            <w:tcMar>
              <w:top w:w="0" w:type="dxa"/>
              <w:left w:w="108" w:type="dxa"/>
              <w:bottom w:w="0" w:type="dxa"/>
              <w:right w:w="108" w:type="dxa"/>
            </w:tcMar>
            <w:vAlign w:val="center"/>
            <w:hideMark/>
          </w:tcPr>
          <w:p w:rsidR="00D36EE9" w:rsidRPr="00D043A6" w:rsidRDefault="008D187A">
            <w:pPr>
              <w:jc w:val="center"/>
              <w:rPr>
                <w:rFonts w:ascii="Calibri" w:hAnsi="Calibri"/>
                <w:sz w:val="24"/>
                <w:szCs w:val="24"/>
              </w:rPr>
            </w:pPr>
            <w:r w:rsidRPr="00D043A6">
              <w:rPr>
                <w:sz w:val="24"/>
                <w:szCs w:val="24"/>
              </w:rPr>
              <w:t>2</w:t>
            </w:r>
          </w:p>
        </w:tc>
        <w:tc>
          <w:tcPr>
            <w:tcW w:w="1027" w:type="dxa"/>
            <w:noWrap/>
            <w:tcMar>
              <w:top w:w="0" w:type="dxa"/>
              <w:left w:w="108" w:type="dxa"/>
              <w:bottom w:w="0" w:type="dxa"/>
              <w:right w:w="108" w:type="dxa"/>
            </w:tcMar>
            <w:vAlign w:val="center"/>
            <w:hideMark/>
          </w:tcPr>
          <w:p w:rsidR="00D36EE9" w:rsidRPr="00D043A6" w:rsidRDefault="008D187A" w:rsidP="00F42D60">
            <w:pPr>
              <w:jc w:val="center"/>
              <w:rPr>
                <w:rFonts w:ascii="Calibri" w:hAnsi="Calibri"/>
                <w:sz w:val="24"/>
                <w:szCs w:val="24"/>
              </w:rPr>
            </w:pPr>
            <w:r w:rsidRPr="00D043A6">
              <w:rPr>
                <w:sz w:val="24"/>
                <w:szCs w:val="24"/>
              </w:rPr>
              <w:t>75</w:t>
            </w:r>
          </w:p>
        </w:tc>
      </w:tr>
      <w:tr w:rsidR="00D36EE9" w:rsidRPr="00D043A6" w:rsidTr="00713875">
        <w:trPr>
          <w:trHeight w:val="255"/>
        </w:trPr>
        <w:tc>
          <w:tcPr>
            <w:tcW w:w="1910" w:type="dxa"/>
            <w:noWrap/>
            <w:tcMar>
              <w:top w:w="0" w:type="dxa"/>
              <w:left w:w="108" w:type="dxa"/>
              <w:bottom w:w="0" w:type="dxa"/>
              <w:right w:w="108" w:type="dxa"/>
            </w:tcMar>
            <w:vAlign w:val="bottom"/>
            <w:hideMark/>
          </w:tcPr>
          <w:p w:rsidR="00D36EE9" w:rsidRPr="00D043A6" w:rsidRDefault="00D36EE9" w:rsidP="00713875">
            <w:pPr>
              <w:rPr>
                <w:rFonts w:ascii="Calibri" w:hAnsi="Calibri"/>
                <w:sz w:val="24"/>
                <w:szCs w:val="24"/>
              </w:rPr>
            </w:pPr>
            <w:r w:rsidRPr="00D043A6">
              <w:rPr>
                <w:sz w:val="24"/>
                <w:szCs w:val="24"/>
              </w:rPr>
              <w:lastRenderedPageBreak/>
              <w:t>Noslēgts līgums par īstenošanu</w:t>
            </w:r>
          </w:p>
        </w:tc>
        <w:tc>
          <w:tcPr>
            <w:tcW w:w="1126" w:type="dxa"/>
            <w:noWrap/>
            <w:tcMar>
              <w:top w:w="0" w:type="dxa"/>
              <w:left w:w="108" w:type="dxa"/>
              <w:bottom w:w="0" w:type="dxa"/>
              <w:right w:w="108" w:type="dxa"/>
            </w:tcMar>
            <w:vAlign w:val="center"/>
            <w:hideMark/>
          </w:tcPr>
          <w:p w:rsidR="00D36EE9" w:rsidRPr="00D043A6" w:rsidRDefault="008D187A">
            <w:pPr>
              <w:jc w:val="center"/>
              <w:rPr>
                <w:rFonts w:ascii="Calibri" w:hAnsi="Calibri"/>
                <w:sz w:val="24"/>
                <w:szCs w:val="24"/>
              </w:rPr>
            </w:pPr>
            <w:r w:rsidRPr="00D043A6">
              <w:rPr>
                <w:sz w:val="24"/>
                <w:szCs w:val="24"/>
              </w:rPr>
              <w:t>154</w:t>
            </w:r>
          </w:p>
        </w:tc>
        <w:tc>
          <w:tcPr>
            <w:tcW w:w="1182" w:type="dxa"/>
            <w:noWrap/>
            <w:tcMar>
              <w:top w:w="0" w:type="dxa"/>
              <w:left w:w="108" w:type="dxa"/>
              <w:bottom w:w="0" w:type="dxa"/>
              <w:right w:w="108" w:type="dxa"/>
            </w:tcMar>
            <w:vAlign w:val="center"/>
            <w:hideMark/>
          </w:tcPr>
          <w:p w:rsidR="00D36EE9" w:rsidRPr="00D043A6" w:rsidRDefault="008D187A">
            <w:pPr>
              <w:jc w:val="center"/>
              <w:rPr>
                <w:rFonts w:ascii="Calibri" w:hAnsi="Calibri"/>
                <w:sz w:val="24"/>
                <w:szCs w:val="24"/>
              </w:rPr>
            </w:pPr>
            <w:r w:rsidRPr="00D043A6">
              <w:rPr>
                <w:sz w:val="24"/>
                <w:szCs w:val="24"/>
              </w:rPr>
              <w:t>115</w:t>
            </w:r>
          </w:p>
        </w:tc>
        <w:tc>
          <w:tcPr>
            <w:tcW w:w="996" w:type="dxa"/>
            <w:noWrap/>
            <w:tcMar>
              <w:top w:w="0" w:type="dxa"/>
              <w:left w:w="108" w:type="dxa"/>
              <w:bottom w:w="0" w:type="dxa"/>
              <w:right w:w="108" w:type="dxa"/>
            </w:tcMar>
            <w:vAlign w:val="center"/>
            <w:hideMark/>
          </w:tcPr>
          <w:p w:rsidR="00D36EE9" w:rsidRPr="00D043A6" w:rsidRDefault="008D187A">
            <w:pPr>
              <w:jc w:val="center"/>
              <w:rPr>
                <w:rFonts w:ascii="Calibri" w:hAnsi="Calibri"/>
                <w:sz w:val="24"/>
                <w:szCs w:val="24"/>
              </w:rPr>
            </w:pPr>
            <w:r w:rsidRPr="00D043A6">
              <w:rPr>
                <w:sz w:val="24"/>
                <w:szCs w:val="24"/>
              </w:rPr>
              <w:t>104</w:t>
            </w:r>
          </w:p>
        </w:tc>
        <w:tc>
          <w:tcPr>
            <w:tcW w:w="958" w:type="dxa"/>
            <w:noWrap/>
            <w:tcMar>
              <w:top w:w="0" w:type="dxa"/>
              <w:left w:w="108" w:type="dxa"/>
              <w:bottom w:w="0" w:type="dxa"/>
              <w:right w:w="108" w:type="dxa"/>
            </w:tcMar>
            <w:vAlign w:val="center"/>
            <w:hideMark/>
          </w:tcPr>
          <w:p w:rsidR="00D36EE9" w:rsidRPr="00D043A6" w:rsidRDefault="008D187A">
            <w:pPr>
              <w:jc w:val="center"/>
              <w:rPr>
                <w:rFonts w:ascii="Calibri" w:hAnsi="Calibri"/>
                <w:sz w:val="24"/>
                <w:szCs w:val="24"/>
              </w:rPr>
            </w:pPr>
            <w:r w:rsidRPr="00D043A6">
              <w:rPr>
                <w:sz w:val="24"/>
                <w:szCs w:val="24"/>
              </w:rPr>
              <w:t>43</w:t>
            </w:r>
          </w:p>
        </w:tc>
        <w:tc>
          <w:tcPr>
            <w:tcW w:w="1061" w:type="dxa"/>
            <w:noWrap/>
            <w:tcMar>
              <w:top w:w="0" w:type="dxa"/>
              <w:left w:w="108" w:type="dxa"/>
              <w:bottom w:w="0" w:type="dxa"/>
              <w:right w:w="108" w:type="dxa"/>
            </w:tcMar>
            <w:vAlign w:val="center"/>
            <w:hideMark/>
          </w:tcPr>
          <w:p w:rsidR="00D36EE9" w:rsidRPr="00D043A6" w:rsidRDefault="008D187A">
            <w:pPr>
              <w:jc w:val="center"/>
              <w:rPr>
                <w:rFonts w:ascii="Calibri" w:hAnsi="Calibri"/>
                <w:sz w:val="24"/>
                <w:szCs w:val="24"/>
              </w:rPr>
            </w:pPr>
            <w:r w:rsidRPr="00D043A6">
              <w:rPr>
                <w:sz w:val="24"/>
                <w:szCs w:val="24"/>
              </w:rPr>
              <w:t>89</w:t>
            </w:r>
          </w:p>
        </w:tc>
        <w:tc>
          <w:tcPr>
            <w:tcW w:w="1027" w:type="dxa"/>
            <w:noWrap/>
            <w:tcMar>
              <w:top w:w="0" w:type="dxa"/>
              <w:left w:w="108" w:type="dxa"/>
              <w:bottom w:w="0" w:type="dxa"/>
              <w:right w:w="108" w:type="dxa"/>
            </w:tcMar>
            <w:vAlign w:val="center"/>
            <w:hideMark/>
          </w:tcPr>
          <w:p w:rsidR="00D36EE9" w:rsidRPr="00D043A6" w:rsidRDefault="008D187A">
            <w:pPr>
              <w:jc w:val="center"/>
              <w:rPr>
                <w:rFonts w:ascii="Calibri" w:hAnsi="Calibri"/>
                <w:sz w:val="24"/>
                <w:szCs w:val="24"/>
              </w:rPr>
            </w:pPr>
            <w:r w:rsidRPr="00D043A6">
              <w:rPr>
                <w:sz w:val="24"/>
                <w:szCs w:val="24"/>
              </w:rPr>
              <w:t>24</w:t>
            </w:r>
          </w:p>
        </w:tc>
        <w:tc>
          <w:tcPr>
            <w:tcW w:w="1027" w:type="dxa"/>
            <w:noWrap/>
            <w:tcMar>
              <w:top w:w="0" w:type="dxa"/>
              <w:left w:w="108" w:type="dxa"/>
              <w:bottom w:w="0" w:type="dxa"/>
              <w:right w:w="108" w:type="dxa"/>
            </w:tcMar>
            <w:vAlign w:val="center"/>
            <w:hideMark/>
          </w:tcPr>
          <w:p w:rsidR="008A0078" w:rsidRPr="00D043A6" w:rsidRDefault="008D187A" w:rsidP="00F42D60">
            <w:pPr>
              <w:jc w:val="center"/>
              <w:rPr>
                <w:rFonts w:ascii="Calibri" w:hAnsi="Calibri"/>
                <w:sz w:val="24"/>
                <w:szCs w:val="24"/>
              </w:rPr>
            </w:pPr>
            <w:r w:rsidRPr="00D043A6">
              <w:rPr>
                <w:rFonts w:ascii="Calibri" w:hAnsi="Calibri"/>
                <w:sz w:val="24"/>
                <w:szCs w:val="24"/>
              </w:rPr>
              <w:t>529</w:t>
            </w:r>
          </w:p>
        </w:tc>
      </w:tr>
      <w:tr w:rsidR="00D36EE9" w:rsidRPr="00D043A6" w:rsidTr="00713875">
        <w:trPr>
          <w:trHeight w:val="255"/>
        </w:trPr>
        <w:tc>
          <w:tcPr>
            <w:tcW w:w="1910" w:type="dxa"/>
            <w:noWrap/>
            <w:tcMar>
              <w:top w:w="0" w:type="dxa"/>
              <w:left w:w="108" w:type="dxa"/>
              <w:bottom w:w="0" w:type="dxa"/>
              <w:right w:w="108" w:type="dxa"/>
            </w:tcMar>
            <w:vAlign w:val="bottom"/>
            <w:hideMark/>
          </w:tcPr>
          <w:p w:rsidR="00D36EE9" w:rsidRPr="00D043A6" w:rsidRDefault="00D36EE9">
            <w:pPr>
              <w:rPr>
                <w:rFonts w:ascii="Calibri" w:hAnsi="Calibri"/>
                <w:b/>
                <w:bCs/>
                <w:sz w:val="24"/>
                <w:szCs w:val="24"/>
              </w:rPr>
            </w:pPr>
            <w:r w:rsidRPr="00D043A6">
              <w:rPr>
                <w:b/>
                <w:bCs/>
                <w:sz w:val="24"/>
                <w:szCs w:val="24"/>
              </w:rPr>
              <w:t>Pabeigts</w:t>
            </w:r>
          </w:p>
        </w:tc>
        <w:tc>
          <w:tcPr>
            <w:tcW w:w="1126" w:type="dxa"/>
            <w:noWrap/>
            <w:tcMar>
              <w:top w:w="0" w:type="dxa"/>
              <w:left w:w="108" w:type="dxa"/>
              <w:bottom w:w="0" w:type="dxa"/>
              <w:right w:w="108" w:type="dxa"/>
            </w:tcMar>
            <w:vAlign w:val="bottom"/>
            <w:hideMark/>
          </w:tcPr>
          <w:p w:rsidR="00D36EE9" w:rsidRPr="00D043A6" w:rsidRDefault="008D187A" w:rsidP="00F42D60">
            <w:pPr>
              <w:jc w:val="center"/>
              <w:rPr>
                <w:rFonts w:ascii="Calibri" w:hAnsi="Calibri"/>
                <w:b/>
                <w:bCs/>
                <w:sz w:val="24"/>
                <w:szCs w:val="24"/>
              </w:rPr>
            </w:pPr>
            <w:r w:rsidRPr="00D043A6">
              <w:rPr>
                <w:b/>
                <w:bCs/>
                <w:sz w:val="24"/>
                <w:szCs w:val="24"/>
              </w:rPr>
              <w:t>45</w:t>
            </w:r>
          </w:p>
        </w:tc>
        <w:tc>
          <w:tcPr>
            <w:tcW w:w="1182" w:type="dxa"/>
            <w:noWrap/>
            <w:tcMar>
              <w:top w:w="0" w:type="dxa"/>
              <w:left w:w="108" w:type="dxa"/>
              <w:bottom w:w="0" w:type="dxa"/>
              <w:right w:w="108" w:type="dxa"/>
            </w:tcMar>
            <w:vAlign w:val="bottom"/>
            <w:hideMark/>
          </w:tcPr>
          <w:p w:rsidR="00D36EE9" w:rsidRPr="00D043A6" w:rsidRDefault="008D187A" w:rsidP="00F42D60">
            <w:pPr>
              <w:jc w:val="center"/>
              <w:rPr>
                <w:rFonts w:ascii="Calibri" w:hAnsi="Calibri"/>
                <w:b/>
                <w:bCs/>
                <w:sz w:val="24"/>
                <w:szCs w:val="24"/>
              </w:rPr>
            </w:pPr>
            <w:r w:rsidRPr="00D043A6">
              <w:rPr>
                <w:b/>
                <w:bCs/>
                <w:sz w:val="24"/>
                <w:szCs w:val="24"/>
              </w:rPr>
              <w:t>45</w:t>
            </w:r>
          </w:p>
        </w:tc>
        <w:tc>
          <w:tcPr>
            <w:tcW w:w="996" w:type="dxa"/>
            <w:noWrap/>
            <w:tcMar>
              <w:top w:w="0" w:type="dxa"/>
              <w:left w:w="108" w:type="dxa"/>
              <w:bottom w:w="0" w:type="dxa"/>
              <w:right w:w="108" w:type="dxa"/>
            </w:tcMar>
            <w:vAlign w:val="bottom"/>
            <w:hideMark/>
          </w:tcPr>
          <w:p w:rsidR="00D36EE9" w:rsidRPr="00D043A6" w:rsidRDefault="008D187A" w:rsidP="00F42D60">
            <w:pPr>
              <w:jc w:val="center"/>
              <w:rPr>
                <w:rFonts w:ascii="Calibri" w:hAnsi="Calibri"/>
                <w:b/>
                <w:bCs/>
                <w:sz w:val="24"/>
                <w:szCs w:val="24"/>
              </w:rPr>
            </w:pPr>
            <w:r w:rsidRPr="00D043A6">
              <w:rPr>
                <w:b/>
                <w:bCs/>
                <w:sz w:val="24"/>
                <w:szCs w:val="24"/>
              </w:rPr>
              <w:t>30</w:t>
            </w:r>
          </w:p>
        </w:tc>
        <w:tc>
          <w:tcPr>
            <w:tcW w:w="958" w:type="dxa"/>
            <w:noWrap/>
            <w:tcMar>
              <w:top w:w="0" w:type="dxa"/>
              <w:left w:w="108" w:type="dxa"/>
              <w:bottom w:w="0" w:type="dxa"/>
              <w:right w:w="108" w:type="dxa"/>
            </w:tcMar>
            <w:vAlign w:val="bottom"/>
            <w:hideMark/>
          </w:tcPr>
          <w:p w:rsidR="00D36EE9" w:rsidRPr="00D043A6" w:rsidRDefault="008D187A" w:rsidP="00F42D60">
            <w:pPr>
              <w:jc w:val="center"/>
              <w:rPr>
                <w:rFonts w:ascii="Calibri" w:hAnsi="Calibri"/>
                <w:b/>
                <w:bCs/>
                <w:sz w:val="24"/>
                <w:szCs w:val="24"/>
              </w:rPr>
            </w:pPr>
            <w:r w:rsidRPr="00D043A6">
              <w:rPr>
                <w:b/>
                <w:bCs/>
                <w:sz w:val="24"/>
                <w:szCs w:val="24"/>
              </w:rPr>
              <w:t>16</w:t>
            </w:r>
          </w:p>
        </w:tc>
        <w:tc>
          <w:tcPr>
            <w:tcW w:w="1061" w:type="dxa"/>
            <w:noWrap/>
            <w:tcMar>
              <w:top w:w="0" w:type="dxa"/>
              <w:left w:w="108" w:type="dxa"/>
              <w:bottom w:w="0" w:type="dxa"/>
              <w:right w:w="108" w:type="dxa"/>
            </w:tcMar>
            <w:vAlign w:val="bottom"/>
            <w:hideMark/>
          </w:tcPr>
          <w:p w:rsidR="00D36EE9" w:rsidRPr="00D043A6" w:rsidRDefault="008D187A">
            <w:pPr>
              <w:jc w:val="center"/>
              <w:rPr>
                <w:rFonts w:ascii="Calibri" w:hAnsi="Calibri"/>
                <w:b/>
                <w:bCs/>
                <w:sz w:val="24"/>
                <w:szCs w:val="24"/>
              </w:rPr>
            </w:pPr>
            <w:r w:rsidRPr="00D043A6">
              <w:rPr>
                <w:b/>
                <w:bCs/>
                <w:sz w:val="24"/>
                <w:szCs w:val="24"/>
              </w:rPr>
              <w:t>12</w:t>
            </w:r>
          </w:p>
        </w:tc>
        <w:tc>
          <w:tcPr>
            <w:tcW w:w="1027" w:type="dxa"/>
            <w:noWrap/>
            <w:tcMar>
              <w:top w:w="0" w:type="dxa"/>
              <w:left w:w="108" w:type="dxa"/>
              <w:bottom w:w="0" w:type="dxa"/>
              <w:right w:w="108" w:type="dxa"/>
            </w:tcMar>
            <w:vAlign w:val="bottom"/>
            <w:hideMark/>
          </w:tcPr>
          <w:p w:rsidR="00D36EE9" w:rsidRPr="00D043A6" w:rsidRDefault="008D187A">
            <w:pPr>
              <w:jc w:val="center"/>
              <w:rPr>
                <w:rFonts w:ascii="Calibri" w:hAnsi="Calibri"/>
                <w:b/>
                <w:bCs/>
                <w:sz w:val="24"/>
                <w:szCs w:val="24"/>
              </w:rPr>
            </w:pPr>
            <w:r w:rsidRPr="00D043A6">
              <w:rPr>
                <w:b/>
                <w:bCs/>
                <w:sz w:val="24"/>
                <w:szCs w:val="24"/>
              </w:rPr>
              <w:t>9</w:t>
            </w:r>
          </w:p>
        </w:tc>
        <w:tc>
          <w:tcPr>
            <w:tcW w:w="1027" w:type="dxa"/>
            <w:noWrap/>
            <w:tcMar>
              <w:top w:w="0" w:type="dxa"/>
              <w:left w:w="108" w:type="dxa"/>
              <w:bottom w:w="0" w:type="dxa"/>
              <w:right w:w="108" w:type="dxa"/>
            </w:tcMar>
            <w:vAlign w:val="bottom"/>
            <w:hideMark/>
          </w:tcPr>
          <w:p w:rsidR="008A0078" w:rsidRPr="00D043A6" w:rsidRDefault="008D187A" w:rsidP="00F42D60">
            <w:pPr>
              <w:jc w:val="center"/>
              <w:rPr>
                <w:rFonts w:ascii="Calibri" w:hAnsi="Calibri"/>
                <w:b/>
                <w:bCs/>
                <w:sz w:val="24"/>
                <w:szCs w:val="24"/>
              </w:rPr>
            </w:pPr>
            <w:r w:rsidRPr="00D043A6">
              <w:rPr>
                <w:rFonts w:ascii="Calibri" w:hAnsi="Calibri"/>
                <w:b/>
                <w:bCs/>
                <w:sz w:val="24"/>
                <w:szCs w:val="24"/>
              </w:rPr>
              <w:t>157</w:t>
            </w:r>
          </w:p>
        </w:tc>
      </w:tr>
    </w:tbl>
    <w:p w:rsidR="00D36EE9" w:rsidRPr="00D043A6" w:rsidRDefault="00D36EE9" w:rsidP="00D36EE9">
      <w:pPr>
        <w:pStyle w:val="EnvelopeReturn"/>
        <w:spacing w:before="0"/>
        <w:ind w:firstLine="720"/>
        <w:jc w:val="both"/>
        <w:rPr>
          <w:sz w:val="28"/>
          <w:szCs w:val="28"/>
        </w:rPr>
      </w:pPr>
    </w:p>
    <w:p w:rsidR="00D36EE9" w:rsidRPr="00D043A6" w:rsidRDefault="00A8688F" w:rsidP="001C5B50">
      <w:pPr>
        <w:spacing w:after="120"/>
        <w:rPr>
          <w:i/>
          <w:sz w:val="24"/>
        </w:rPr>
      </w:pPr>
      <w:r w:rsidRPr="00D043A6">
        <w:rPr>
          <w:i/>
          <w:sz w:val="24"/>
        </w:rPr>
        <w:t>5</w:t>
      </w:r>
      <w:r w:rsidR="00371760" w:rsidRPr="00D043A6">
        <w:rPr>
          <w:i/>
          <w:sz w:val="24"/>
        </w:rPr>
        <w:t>.</w:t>
      </w:r>
      <w:r w:rsidR="00D36EE9" w:rsidRPr="00D043A6">
        <w:rPr>
          <w:i/>
          <w:sz w:val="24"/>
        </w:rPr>
        <w:t xml:space="preserve"> tabula</w:t>
      </w:r>
      <w:r w:rsidR="001C5B50" w:rsidRPr="00D043A6">
        <w:rPr>
          <w:i/>
          <w:sz w:val="24"/>
        </w:rPr>
        <w:t>. DMS aktivitātes raksturojums pēc sadalīto ERAF līdzekļu apjoma</w:t>
      </w:r>
      <w:r w:rsidR="002024D2" w:rsidRPr="00D043A6">
        <w:rPr>
          <w:i/>
          <w:sz w:val="24"/>
        </w:rPr>
        <w:t>, milj. latu</w:t>
      </w:r>
      <w:r w:rsidR="001C5B50" w:rsidRPr="00D043A6">
        <w:rPr>
          <w:i/>
          <w:sz w:val="24"/>
        </w:rPr>
        <w:t>.</w:t>
      </w:r>
      <w:r w:rsidR="00D36EE9" w:rsidRPr="00D043A6">
        <w:rPr>
          <w:i/>
          <w:sz w:val="24"/>
        </w:rPr>
        <w:t xml:space="preserve"> </w:t>
      </w:r>
    </w:p>
    <w:tbl>
      <w:tblPr>
        <w:tblW w:w="5000" w:type="pct"/>
        <w:tblCellMar>
          <w:left w:w="0" w:type="dxa"/>
          <w:right w:w="0" w:type="dxa"/>
        </w:tblCellMar>
        <w:tblLook w:val="04A0" w:firstRow="1" w:lastRow="0" w:firstColumn="1" w:lastColumn="0" w:noHBand="0" w:noVBand="1"/>
      </w:tblPr>
      <w:tblGrid>
        <w:gridCol w:w="1910"/>
        <w:gridCol w:w="1126"/>
        <w:gridCol w:w="1182"/>
        <w:gridCol w:w="996"/>
        <w:gridCol w:w="958"/>
        <w:gridCol w:w="1061"/>
        <w:gridCol w:w="1027"/>
        <w:gridCol w:w="1027"/>
      </w:tblGrid>
      <w:tr w:rsidR="00043369" w:rsidRPr="00D043A6" w:rsidTr="00B724D1">
        <w:tc>
          <w:tcPr>
            <w:tcW w:w="1910" w:type="dxa"/>
            <w:vMerge w:val="restar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43369" w:rsidRPr="00D043A6" w:rsidRDefault="00043369" w:rsidP="00043369">
            <w:pPr>
              <w:rPr>
                <w:rFonts w:ascii="Calibri" w:hAnsi="Calibri"/>
                <w:sz w:val="24"/>
                <w:szCs w:val="24"/>
              </w:rPr>
            </w:pPr>
            <w:r w:rsidRPr="00D043A6">
              <w:rPr>
                <w:sz w:val="24"/>
                <w:szCs w:val="24"/>
              </w:rPr>
              <w:t>Projekta statuss</w:t>
            </w:r>
          </w:p>
        </w:tc>
        <w:tc>
          <w:tcPr>
            <w:tcW w:w="6350" w:type="dxa"/>
            <w:gridSpan w:val="6"/>
            <w:tcBorders>
              <w:top w:val="nil"/>
              <w:left w:val="nil"/>
              <w:bottom w:val="single" w:sz="8" w:space="0" w:color="auto"/>
              <w:right w:val="single" w:sz="8" w:space="0" w:color="auto"/>
            </w:tcBorders>
            <w:tcMar>
              <w:top w:w="0" w:type="dxa"/>
              <w:left w:w="108" w:type="dxa"/>
              <w:bottom w:w="0" w:type="dxa"/>
              <w:right w:w="108" w:type="dxa"/>
            </w:tcMar>
            <w:vAlign w:val="center"/>
            <w:hideMark/>
          </w:tcPr>
          <w:p w:rsidR="00043369" w:rsidRPr="00D043A6" w:rsidRDefault="00043369" w:rsidP="00043369">
            <w:pPr>
              <w:jc w:val="center"/>
              <w:rPr>
                <w:rFonts w:ascii="Calibri" w:hAnsi="Calibri"/>
                <w:sz w:val="24"/>
                <w:szCs w:val="24"/>
              </w:rPr>
            </w:pPr>
            <w:r w:rsidRPr="00D043A6">
              <w:rPr>
                <w:sz w:val="24"/>
                <w:szCs w:val="24"/>
              </w:rPr>
              <w:t>Plānošanas reģions</w:t>
            </w:r>
          </w:p>
        </w:tc>
        <w:tc>
          <w:tcPr>
            <w:tcW w:w="1027" w:type="dxa"/>
            <w:vMerge w:val="restart"/>
            <w:tcBorders>
              <w:top w:val="nil"/>
              <w:left w:val="nil"/>
              <w:bottom w:val="single" w:sz="8" w:space="0" w:color="auto"/>
              <w:right w:val="nil"/>
            </w:tcBorders>
            <w:noWrap/>
            <w:tcMar>
              <w:top w:w="0" w:type="dxa"/>
              <w:left w:w="108" w:type="dxa"/>
              <w:bottom w:w="0" w:type="dxa"/>
              <w:right w:w="108" w:type="dxa"/>
            </w:tcMar>
            <w:vAlign w:val="center"/>
            <w:hideMark/>
          </w:tcPr>
          <w:p w:rsidR="00043369" w:rsidRPr="00D043A6" w:rsidRDefault="00043369" w:rsidP="00043369">
            <w:pPr>
              <w:jc w:val="center"/>
              <w:rPr>
                <w:rFonts w:ascii="Calibri" w:hAnsi="Calibri"/>
                <w:sz w:val="24"/>
                <w:szCs w:val="24"/>
              </w:rPr>
            </w:pPr>
            <w:r w:rsidRPr="00D043A6">
              <w:rPr>
                <w:sz w:val="24"/>
                <w:szCs w:val="24"/>
              </w:rPr>
              <w:t>Kopā</w:t>
            </w:r>
          </w:p>
        </w:tc>
      </w:tr>
      <w:tr w:rsidR="00043369" w:rsidRPr="00D043A6" w:rsidTr="00043369">
        <w:tc>
          <w:tcPr>
            <w:tcW w:w="0" w:type="auto"/>
            <w:vMerge/>
            <w:tcBorders>
              <w:top w:val="nil"/>
              <w:left w:val="nil"/>
              <w:bottom w:val="single" w:sz="8" w:space="0" w:color="auto"/>
              <w:right w:val="single" w:sz="8" w:space="0" w:color="auto"/>
            </w:tcBorders>
            <w:vAlign w:val="center"/>
            <w:hideMark/>
          </w:tcPr>
          <w:p w:rsidR="00043369" w:rsidRPr="00D043A6" w:rsidRDefault="00043369" w:rsidP="00043369">
            <w:pPr>
              <w:rPr>
                <w:rFonts w:ascii="Calibri" w:hAnsi="Calibri"/>
                <w:sz w:val="24"/>
                <w:szCs w:val="24"/>
              </w:rPr>
            </w:pPr>
          </w:p>
        </w:tc>
        <w:tc>
          <w:tcPr>
            <w:tcW w:w="1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3369" w:rsidRPr="00D043A6" w:rsidRDefault="00043369" w:rsidP="00043369">
            <w:pPr>
              <w:jc w:val="center"/>
              <w:rPr>
                <w:rFonts w:ascii="Calibri" w:hAnsi="Calibri"/>
                <w:sz w:val="24"/>
                <w:szCs w:val="24"/>
              </w:rPr>
            </w:pPr>
            <w:r w:rsidRPr="00D043A6">
              <w:rPr>
                <w:sz w:val="24"/>
                <w:szCs w:val="24"/>
              </w:rPr>
              <w:t>Kurzeme</w:t>
            </w:r>
          </w:p>
        </w:tc>
        <w:tc>
          <w:tcPr>
            <w:tcW w:w="11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3369" w:rsidRPr="00D043A6" w:rsidRDefault="00043369" w:rsidP="00043369">
            <w:pPr>
              <w:jc w:val="center"/>
              <w:rPr>
                <w:rFonts w:ascii="Calibri" w:hAnsi="Calibri"/>
                <w:sz w:val="24"/>
                <w:szCs w:val="24"/>
              </w:rPr>
            </w:pPr>
            <w:r w:rsidRPr="00D043A6">
              <w:rPr>
                <w:sz w:val="24"/>
                <w:szCs w:val="24"/>
              </w:rPr>
              <w:t>Vidzeme</w:t>
            </w:r>
          </w:p>
        </w:tc>
        <w:tc>
          <w:tcPr>
            <w:tcW w:w="9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3369" w:rsidRPr="00D043A6" w:rsidRDefault="00043369" w:rsidP="00043369">
            <w:pPr>
              <w:jc w:val="center"/>
              <w:rPr>
                <w:rFonts w:ascii="Calibri" w:hAnsi="Calibri"/>
                <w:sz w:val="24"/>
                <w:szCs w:val="24"/>
              </w:rPr>
            </w:pPr>
            <w:r w:rsidRPr="00D043A6">
              <w:rPr>
                <w:sz w:val="24"/>
                <w:szCs w:val="24"/>
              </w:rPr>
              <w:t>Rīgas reģions</w:t>
            </w:r>
          </w:p>
        </w:tc>
        <w:tc>
          <w:tcPr>
            <w:tcW w:w="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3369" w:rsidRPr="00D043A6" w:rsidRDefault="00043369" w:rsidP="00043369">
            <w:pPr>
              <w:jc w:val="center"/>
              <w:rPr>
                <w:rFonts w:ascii="Calibri" w:hAnsi="Calibri"/>
                <w:sz w:val="24"/>
                <w:szCs w:val="24"/>
              </w:rPr>
            </w:pPr>
            <w:r w:rsidRPr="00D043A6">
              <w:rPr>
                <w:sz w:val="24"/>
                <w:szCs w:val="24"/>
              </w:rPr>
              <w:t>Rīga</w:t>
            </w:r>
          </w:p>
        </w:tc>
        <w:tc>
          <w:tcPr>
            <w:tcW w:w="10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3369" w:rsidRPr="00D043A6" w:rsidRDefault="00043369" w:rsidP="00043369">
            <w:pPr>
              <w:jc w:val="center"/>
              <w:rPr>
                <w:rFonts w:ascii="Calibri" w:hAnsi="Calibri"/>
                <w:sz w:val="24"/>
                <w:szCs w:val="24"/>
              </w:rPr>
            </w:pPr>
            <w:r w:rsidRPr="00D043A6">
              <w:rPr>
                <w:sz w:val="24"/>
                <w:szCs w:val="24"/>
              </w:rPr>
              <w:t>Zemgale</w:t>
            </w:r>
          </w:p>
        </w:tc>
        <w:tc>
          <w:tcPr>
            <w:tcW w:w="10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3369" w:rsidRPr="00D043A6" w:rsidRDefault="00043369" w:rsidP="00043369">
            <w:pPr>
              <w:jc w:val="center"/>
              <w:rPr>
                <w:rFonts w:ascii="Calibri" w:hAnsi="Calibri"/>
                <w:sz w:val="24"/>
                <w:szCs w:val="24"/>
              </w:rPr>
            </w:pPr>
            <w:r w:rsidRPr="00D043A6">
              <w:rPr>
                <w:sz w:val="24"/>
                <w:szCs w:val="24"/>
              </w:rPr>
              <w:t>Latgale</w:t>
            </w:r>
          </w:p>
        </w:tc>
        <w:tc>
          <w:tcPr>
            <w:tcW w:w="0" w:type="auto"/>
            <w:vMerge/>
            <w:tcBorders>
              <w:top w:val="nil"/>
              <w:left w:val="nil"/>
              <w:bottom w:val="single" w:sz="8" w:space="0" w:color="auto"/>
              <w:right w:val="nil"/>
            </w:tcBorders>
            <w:vAlign w:val="center"/>
            <w:hideMark/>
          </w:tcPr>
          <w:p w:rsidR="00043369" w:rsidRPr="00D043A6" w:rsidRDefault="00043369" w:rsidP="00043369">
            <w:pPr>
              <w:rPr>
                <w:rFonts w:ascii="Calibri" w:hAnsi="Calibri"/>
                <w:sz w:val="24"/>
                <w:szCs w:val="24"/>
              </w:rPr>
            </w:pPr>
          </w:p>
        </w:tc>
      </w:tr>
      <w:tr w:rsidR="00043369" w:rsidRPr="00D043A6" w:rsidTr="00B724D1">
        <w:trPr>
          <w:trHeight w:val="255"/>
        </w:trPr>
        <w:tc>
          <w:tcPr>
            <w:tcW w:w="1910" w:type="dxa"/>
            <w:noWrap/>
            <w:tcMar>
              <w:top w:w="0" w:type="dxa"/>
              <w:left w:w="108" w:type="dxa"/>
              <w:bottom w:w="0" w:type="dxa"/>
              <w:right w:w="108" w:type="dxa"/>
            </w:tcMar>
            <w:vAlign w:val="bottom"/>
            <w:hideMark/>
          </w:tcPr>
          <w:p w:rsidR="00043369" w:rsidRPr="00D043A6" w:rsidRDefault="00043369" w:rsidP="00043369">
            <w:pPr>
              <w:rPr>
                <w:rFonts w:ascii="Calibri" w:hAnsi="Calibri"/>
                <w:sz w:val="24"/>
                <w:szCs w:val="24"/>
              </w:rPr>
            </w:pPr>
            <w:r w:rsidRPr="00D043A6">
              <w:rPr>
                <w:sz w:val="24"/>
                <w:szCs w:val="24"/>
              </w:rPr>
              <w:t>Pieteikts</w:t>
            </w:r>
          </w:p>
        </w:tc>
        <w:tc>
          <w:tcPr>
            <w:tcW w:w="1126" w:type="dxa"/>
            <w:noWrap/>
            <w:tcMar>
              <w:top w:w="0" w:type="dxa"/>
              <w:left w:w="108" w:type="dxa"/>
              <w:bottom w:w="0" w:type="dxa"/>
              <w:right w:w="108" w:type="dxa"/>
            </w:tcMar>
            <w:vAlign w:val="bottom"/>
            <w:hideMark/>
          </w:tcPr>
          <w:p w:rsidR="00043369" w:rsidRPr="00D043A6" w:rsidRDefault="008D187A" w:rsidP="00F42D60">
            <w:pPr>
              <w:jc w:val="center"/>
              <w:rPr>
                <w:rFonts w:ascii="Calibri" w:hAnsi="Calibri"/>
                <w:sz w:val="24"/>
                <w:szCs w:val="24"/>
              </w:rPr>
            </w:pPr>
            <w:r w:rsidRPr="00D043A6">
              <w:rPr>
                <w:rFonts w:ascii="Calibri" w:hAnsi="Calibri"/>
                <w:sz w:val="24"/>
                <w:szCs w:val="24"/>
              </w:rPr>
              <w:t>0.35</w:t>
            </w:r>
          </w:p>
        </w:tc>
        <w:tc>
          <w:tcPr>
            <w:tcW w:w="1182" w:type="dxa"/>
            <w:noWrap/>
            <w:tcMar>
              <w:top w:w="0" w:type="dxa"/>
              <w:left w:w="108" w:type="dxa"/>
              <w:bottom w:w="0" w:type="dxa"/>
              <w:right w:w="108" w:type="dxa"/>
            </w:tcMar>
            <w:vAlign w:val="bottom"/>
            <w:hideMark/>
          </w:tcPr>
          <w:p w:rsidR="00043369" w:rsidRPr="00D043A6" w:rsidRDefault="008D187A" w:rsidP="00043369">
            <w:pPr>
              <w:jc w:val="center"/>
              <w:rPr>
                <w:rFonts w:ascii="Calibri" w:hAnsi="Calibri"/>
                <w:sz w:val="24"/>
                <w:szCs w:val="24"/>
              </w:rPr>
            </w:pPr>
            <w:r w:rsidRPr="00D043A6">
              <w:rPr>
                <w:rFonts w:ascii="Calibri" w:hAnsi="Calibri"/>
                <w:sz w:val="24"/>
                <w:szCs w:val="24"/>
              </w:rPr>
              <w:t>0.39</w:t>
            </w:r>
          </w:p>
        </w:tc>
        <w:tc>
          <w:tcPr>
            <w:tcW w:w="996" w:type="dxa"/>
            <w:noWrap/>
            <w:tcMar>
              <w:top w:w="0" w:type="dxa"/>
              <w:left w:w="108" w:type="dxa"/>
              <w:bottom w:w="0" w:type="dxa"/>
              <w:right w:w="108" w:type="dxa"/>
            </w:tcMar>
            <w:vAlign w:val="bottom"/>
            <w:hideMark/>
          </w:tcPr>
          <w:p w:rsidR="00043369" w:rsidRPr="00D043A6" w:rsidRDefault="008D187A" w:rsidP="00B724D1">
            <w:pPr>
              <w:jc w:val="center"/>
              <w:rPr>
                <w:rFonts w:ascii="Calibri" w:hAnsi="Calibri"/>
                <w:sz w:val="24"/>
                <w:szCs w:val="24"/>
              </w:rPr>
            </w:pPr>
            <w:r w:rsidRPr="00D043A6">
              <w:rPr>
                <w:rFonts w:ascii="Calibri" w:hAnsi="Calibri"/>
                <w:sz w:val="24"/>
                <w:szCs w:val="24"/>
              </w:rPr>
              <w:t>0.14</w:t>
            </w:r>
          </w:p>
        </w:tc>
        <w:tc>
          <w:tcPr>
            <w:tcW w:w="958" w:type="dxa"/>
            <w:noWrap/>
            <w:tcMar>
              <w:top w:w="0" w:type="dxa"/>
              <w:left w:w="108" w:type="dxa"/>
              <w:bottom w:w="0" w:type="dxa"/>
              <w:right w:w="108" w:type="dxa"/>
            </w:tcMar>
            <w:vAlign w:val="bottom"/>
            <w:hideMark/>
          </w:tcPr>
          <w:p w:rsidR="00043369" w:rsidRPr="00D043A6" w:rsidRDefault="008D187A" w:rsidP="00043369">
            <w:pPr>
              <w:jc w:val="center"/>
              <w:rPr>
                <w:rFonts w:ascii="Calibri" w:hAnsi="Calibri"/>
                <w:sz w:val="24"/>
                <w:szCs w:val="24"/>
              </w:rPr>
            </w:pPr>
            <w:r w:rsidRPr="00D043A6">
              <w:rPr>
                <w:rFonts w:ascii="Calibri" w:hAnsi="Calibri"/>
                <w:sz w:val="24"/>
                <w:szCs w:val="24"/>
              </w:rPr>
              <w:t>0.29</w:t>
            </w:r>
          </w:p>
        </w:tc>
        <w:tc>
          <w:tcPr>
            <w:tcW w:w="1061" w:type="dxa"/>
            <w:noWrap/>
            <w:tcMar>
              <w:top w:w="0" w:type="dxa"/>
              <w:left w:w="108" w:type="dxa"/>
              <w:bottom w:w="0" w:type="dxa"/>
              <w:right w:w="108" w:type="dxa"/>
            </w:tcMar>
            <w:vAlign w:val="bottom"/>
            <w:hideMark/>
          </w:tcPr>
          <w:p w:rsidR="00043369" w:rsidRPr="00D043A6" w:rsidRDefault="008D187A" w:rsidP="00043369">
            <w:pPr>
              <w:jc w:val="center"/>
              <w:rPr>
                <w:rFonts w:ascii="Calibri" w:hAnsi="Calibri"/>
                <w:sz w:val="24"/>
                <w:szCs w:val="24"/>
              </w:rPr>
            </w:pPr>
            <w:r w:rsidRPr="00D043A6">
              <w:rPr>
                <w:rFonts w:ascii="Calibri" w:hAnsi="Calibri"/>
                <w:sz w:val="24"/>
                <w:szCs w:val="24"/>
              </w:rPr>
              <w:t>0.15</w:t>
            </w:r>
          </w:p>
        </w:tc>
        <w:tc>
          <w:tcPr>
            <w:tcW w:w="1027" w:type="dxa"/>
            <w:noWrap/>
            <w:tcMar>
              <w:top w:w="0" w:type="dxa"/>
              <w:left w:w="108" w:type="dxa"/>
              <w:bottom w:w="0" w:type="dxa"/>
              <w:right w:w="108" w:type="dxa"/>
            </w:tcMar>
            <w:vAlign w:val="bottom"/>
            <w:hideMark/>
          </w:tcPr>
          <w:p w:rsidR="00043369" w:rsidRPr="00D043A6" w:rsidRDefault="008D187A" w:rsidP="00043369">
            <w:pPr>
              <w:jc w:val="center"/>
              <w:rPr>
                <w:rFonts w:ascii="Calibri" w:hAnsi="Calibri"/>
                <w:sz w:val="24"/>
                <w:szCs w:val="24"/>
              </w:rPr>
            </w:pPr>
            <w:r w:rsidRPr="00D043A6">
              <w:rPr>
                <w:rFonts w:ascii="Calibri" w:hAnsi="Calibri"/>
                <w:sz w:val="24"/>
                <w:szCs w:val="24"/>
              </w:rPr>
              <w:t>0.14</w:t>
            </w:r>
          </w:p>
        </w:tc>
        <w:tc>
          <w:tcPr>
            <w:tcW w:w="1027" w:type="dxa"/>
            <w:noWrap/>
            <w:tcMar>
              <w:top w:w="0" w:type="dxa"/>
              <w:left w:w="108" w:type="dxa"/>
              <w:bottom w:w="0" w:type="dxa"/>
              <w:right w:w="108" w:type="dxa"/>
            </w:tcMar>
            <w:vAlign w:val="bottom"/>
            <w:hideMark/>
          </w:tcPr>
          <w:p w:rsidR="00043369" w:rsidRPr="00D043A6" w:rsidRDefault="008D187A" w:rsidP="00043369">
            <w:pPr>
              <w:jc w:val="center"/>
              <w:rPr>
                <w:rFonts w:ascii="Calibri" w:hAnsi="Calibri"/>
                <w:b/>
                <w:sz w:val="24"/>
                <w:szCs w:val="24"/>
              </w:rPr>
            </w:pPr>
            <w:r w:rsidRPr="00D043A6">
              <w:rPr>
                <w:rFonts w:ascii="Calibri" w:hAnsi="Calibri"/>
                <w:b/>
                <w:sz w:val="24"/>
                <w:szCs w:val="24"/>
              </w:rPr>
              <w:t>1.33</w:t>
            </w:r>
          </w:p>
        </w:tc>
      </w:tr>
      <w:tr w:rsidR="00043369" w:rsidRPr="00D043A6" w:rsidTr="00B724D1">
        <w:trPr>
          <w:trHeight w:val="255"/>
        </w:trPr>
        <w:tc>
          <w:tcPr>
            <w:tcW w:w="1910" w:type="dxa"/>
            <w:noWrap/>
            <w:tcMar>
              <w:top w:w="0" w:type="dxa"/>
              <w:left w:w="108" w:type="dxa"/>
              <w:bottom w:w="0" w:type="dxa"/>
              <w:right w:w="108" w:type="dxa"/>
            </w:tcMar>
            <w:vAlign w:val="bottom"/>
            <w:hideMark/>
          </w:tcPr>
          <w:p w:rsidR="00043369" w:rsidRPr="00D043A6" w:rsidRDefault="00043369" w:rsidP="00043369">
            <w:pPr>
              <w:rPr>
                <w:rFonts w:ascii="Calibri" w:hAnsi="Calibri"/>
                <w:sz w:val="24"/>
                <w:szCs w:val="24"/>
              </w:rPr>
            </w:pPr>
            <w:r w:rsidRPr="00D043A6">
              <w:rPr>
                <w:sz w:val="24"/>
                <w:szCs w:val="24"/>
              </w:rPr>
              <w:t>Apstiprināts</w:t>
            </w:r>
          </w:p>
        </w:tc>
        <w:tc>
          <w:tcPr>
            <w:tcW w:w="1126" w:type="dxa"/>
            <w:noWrap/>
            <w:tcMar>
              <w:top w:w="0" w:type="dxa"/>
              <w:left w:w="108" w:type="dxa"/>
              <w:bottom w:w="0" w:type="dxa"/>
              <w:right w:w="108" w:type="dxa"/>
            </w:tcMar>
            <w:vAlign w:val="center"/>
            <w:hideMark/>
          </w:tcPr>
          <w:p w:rsidR="00043369" w:rsidRPr="00D043A6" w:rsidRDefault="008D187A" w:rsidP="00043369">
            <w:pPr>
              <w:jc w:val="center"/>
              <w:rPr>
                <w:rFonts w:ascii="Calibri" w:hAnsi="Calibri"/>
                <w:sz w:val="24"/>
                <w:szCs w:val="24"/>
              </w:rPr>
            </w:pPr>
            <w:r w:rsidRPr="00D043A6">
              <w:rPr>
                <w:rFonts w:ascii="Calibri" w:hAnsi="Calibri"/>
                <w:sz w:val="24"/>
                <w:szCs w:val="24"/>
              </w:rPr>
              <w:t>1.02</w:t>
            </w:r>
          </w:p>
        </w:tc>
        <w:tc>
          <w:tcPr>
            <w:tcW w:w="1182" w:type="dxa"/>
            <w:noWrap/>
            <w:tcMar>
              <w:top w:w="0" w:type="dxa"/>
              <w:left w:w="108" w:type="dxa"/>
              <w:bottom w:w="0" w:type="dxa"/>
              <w:right w:w="108" w:type="dxa"/>
            </w:tcMar>
            <w:vAlign w:val="center"/>
            <w:hideMark/>
          </w:tcPr>
          <w:p w:rsidR="00043369" w:rsidRPr="00D043A6" w:rsidRDefault="008D187A" w:rsidP="00043369">
            <w:pPr>
              <w:jc w:val="center"/>
              <w:rPr>
                <w:rFonts w:ascii="Calibri" w:hAnsi="Calibri"/>
                <w:sz w:val="24"/>
                <w:szCs w:val="24"/>
              </w:rPr>
            </w:pPr>
            <w:r w:rsidRPr="00D043A6">
              <w:rPr>
                <w:rFonts w:ascii="Calibri" w:hAnsi="Calibri"/>
                <w:sz w:val="24"/>
                <w:szCs w:val="24"/>
              </w:rPr>
              <w:t>1.39</w:t>
            </w:r>
          </w:p>
        </w:tc>
        <w:tc>
          <w:tcPr>
            <w:tcW w:w="996" w:type="dxa"/>
            <w:noWrap/>
            <w:tcMar>
              <w:top w:w="0" w:type="dxa"/>
              <w:left w:w="108" w:type="dxa"/>
              <w:bottom w:w="0" w:type="dxa"/>
              <w:right w:w="108" w:type="dxa"/>
            </w:tcMar>
            <w:vAlign w:val="center"/>
            <w:hideMark/>
          </w:tcPr>
          <w:p w:rsidR="00043369" w:rsidRPr="00D043A6" w:rsidRDefault="008D187A" w:rsidP="00043369">
            <w:pPr>
              <w:jc w:val="center"/>
              <w:rPr>
                <w:rFonts w:ascii="Calibri" w:hAnsi="Calibri"/>
                <w:sz w:val="24"/>
                <w:szCs w:val="24"/>
              </w:rPr>
            </w:pPr>
            <w:r w:rsidRPr="00D043A6">
              <w:rPr>
                <w:rFonts w:ascii="Calibri" w:hAnsi="Calibri"/>
                <w:sz w:val="24"/>
                <w:szCs w:val="24"/>
              </w:rPr>
              <w:t>1.59</w:t>
            </w:r>
          </w:p>
        </w:tc>
        <w:tc>
          <w:tcPr>
            <w:tcW w:w="958" w:type="dxa"/>
            <w:noWrap/>
            <w:tcMar>
              <w:top w:w="0" w:type="dxa"/>
              <w:left w:w="108" w:type="dxa"/>
              <w:bottom w:w="0" w:type="dxa"/>
              <w:right w:w="108" w:type="dxa"/>
            </w:tcMar>
            <w:vAlign w:val="center"/>
            <w:hideMark/>
          </w:tcPr>
          <w:p w:rsidR="00043369" w:rsidRPr="00D043A6" w:rsidRDefault="008D187A" w:rsidP="00043369">
            <w:pPr>
              <w:jc w:val="center"/>
              <w:rPr>
                <w:rFonts w:ascii="Calibri" w:hAnsi="Calibri"/>
                <w:sz w:val="24"/>
                <w:szCs w:val="24"/>
              </w:rPr>
            </w:pPr>
            <w:r w:rsidRPr="00D043A6">
              <w:rPr>
                <w:rFonts w:ascii="Calibri" w:hAnsi="Calibri"/>
                <w:sz w:val="24"/>
                <w:szCs w:val="24"/>
              </w:rPr>
              <w:t>0.61</w:t>
            </w:r>
          </w:p>
        </w:tc>
        <w:tc>
          <w:tcPr>
            <w:tcW w:w="1061" w:type="dxa"/>
            <w:noWrap/>
            <w:tcMar>
              <w:top w:w="0" w:type="dxa"/>
              <w:left w:w="108" w:type="dxa"/>
              <w:bottom w:w="0" w:type="dxa"/>
              <w:right w:w="108" w:type="dxa"/>
            </w:tcMar>
            <w:vAlign w:val="center"/>
            <w:hideMark/>
          </w:tcPr>
          <w:p w:rsidR="00043369" w:rsidRPr="00D043A6" w:rsidRDefault="008D187A" w:rsidP="00043369">
            <w:pPr>
              <w:jc w:val="center"/>
              <w:rPr>
                <w:rFonts w:ascii="Calibri" w:hAnsi="Calibri"/>
                <w:sz w:val="24"/>
                <w:szCs w:val="24"/>
              </w:rPr>
            </w:pPr>
            <w:r w:rsidRPr="00D043A6">
              <w:rPr>
                <w:rFonts w:ascii="Calibri" w:hAnsi="Calibri"/>
                <w:sz w:val="24"/>
                <w:szCs w:val="24"/>
              </w:rPr>
              <w:t>0.86</w:t>
            </w:r>
          </w:p>
        </w:tc>
        <w:tc>
          <w:tcPr>
            <w:tcW w:w="1027" w:type="dxa"/>
            <w:noWrap/>
            <w:tcMar>
              <w:top w:w="0" w:type="dxa"/>
              <w:left w:w="108" w:type="dxa"/>
              <w:bottom w:w="0" w:type="dxa"/>
              <w:right w:w="108" w:type="dxa"/>
            </w:tcMar>
            <w:vAlign w:val="center"/>
            <w:hideMark/>
          </w:tcPr>
          <w:p w:rsidR="00043369" w:rsidRPr="00D043A6" w:rsidRDefault="008D187A" w:rsidP="00043369">
            <w:pPr>
              <w:jc w:val="center"/>
              <w:rPr>
                <w:rFonts w:ascii="Calibri" w:hAnsi="Calibri"/>
                <w:sz w:val="24"/>
                <w:szCs w:val="24"/>
              </w:rPr>
            </w:pPr>
            <w:r w:rsidRPr="00D043A6">
              <w:rPr>
                <w:rFonts w:ascii="Calibri" w:hAnsi="Calibri"/>
                <w:sz w:val="24"/>
                <w:szCs w:val="24"/>
              </w:rPr>
              <w:t>0.21</w:t>
            </w:r>
          </w:p>
        </w:tc>
        <w:tc>
          <w:tcPr>
            <w:tcW w:w="1027" w:type="dxa"/>
            <w:noWrap/>
            <w:tcMar>
              <w:top w:w="0" w:type="dxa"/>
              <w:left w:w="108" w:type="dxa"/>
              <w:bottom w:w="0" w:type="dxa"/>
              <w:right w:w="108" w:type="dxa"/>
            </w:tcMar>
            <w:vAlign w:val="center"/>
            <w:hideMark/>
          </w:tcPr>
          <w:p w:rsidR="008A0078" w:rsidRPr="00D043A6" w:rsidRDefault="008D187A" w:rsidP="008D187A">
            <w:pPr>
              <w:jc w:val="center"/>
              <w:rPr>
                <w:rFonts w:ascii="Calibri" w:hAnsi="Calibri"/>
                <w:b/>
                <w:sz w:val="24"/>
                <w:szCs w:val="24"/>
              </w:rPr>
            </w:pPr>
            <w:r w:rsidRPr="00D043A6">
              <w:rPr>
                <w:rFonts w:ascii="Calibri" w:hAnsi="Calibri"/>
                <w:b/>
                <w:sz w:val="24"/>
                <w:szCs w:val="24"/>
              </w:rPr>
              <w:t>5.68</w:t>
            </w:r>
          </w:p>
        </w:tc>
      </w:tr>
      <w:tr w:rsidR="00043369" w:rsidRPr="00D043A6" w:rsidTr="00B724D1">
        <w:trPr>
          <w:trHeight w:val="255"/>
        </w:trPr>
        <w:tc>
          <w:tcPr>
            <w:tcW w:w="1910" w:type="dxa"/>
            <w:noWrap/>
            <w:tcMar>
              <w:top w:w="0" w:type="dxa"/>
              <w:left w:w="108" w:type="dxa"/>
              <w:bottom w:w="0" w:type="dxa"/>
              <w:right w:w="108" w:type="dxa"/>
            </w:tcMar>
            <w:vAlign w:val="bottom"/>
            <w:hideMark/>
          </w:tcPr>
          <w:p w:rsidR="00043369" w:rsidRPr="00D043A6" w:rsidRDefault="00043369" w:rsidP="00043369">
            <w:pPr>
              <w:rPr>
                <w:rFonts w:ascii="Calibri" w:hAnsi="Calibri"/>
                <w:sz w:val="24"/>
                <w:szCs w:val="24"/>
              </w:rPr>
            </w:pPr>
            <w:r w:rsidRPr="00D043A6">
              <w:rPr>
                <w:sz w:val="24"/>
                <w:szCs w:val="24"/>
              </w:rPr>
              <w:t>Noslēgts līgums par īstenošanu</w:t>
            </w:r>
          </w:p>
        </w:tc>
        <w:tc>
          <w:tcPr>
            <w:tcW w:w="1126" w:type="dxa"/>
            <w:noWrap/>
            <w:tcMar>
              <w:top w:w="0" w:type="dxa"/>
              <w:left w:w="108" w:type="dxa"/>
              <w:bottom w:w="0" w:type="dxa"/>
              <w:right w:w="108" w:type="dxa"/>
            </w:tcMar>
            <w:vAlign w:val="center"/>
            <w:hideMark/>
          </w:tcPr>
          <w:p w:rsidR="00043369" w:rsidRPr="00D043A6" w:rsidRDefault="008D187A" w:rsidP="00043369">
            <w:pPr>
              <w:jc w:val="center"/>
              <w:rPr>
                <w:rFonts w:ascii="Calibri" w:hAnsi="Calibri"/>
                <w:sz w:val="24"/>
                <w:szCs w:val="24"/>
              </w:rPr>
            </w:pPr>
            <w:r w:rsidRPr="00D043A6">
              <w:rPr>
                <w:rFonts w:ascii="Calibri" w:hAnsi="Calibri"/>
                <w:sz w:val="24"/>
                <w:szCs w:val="24"/>
              </w:rPr>
              <w:t>11.15</w:t>
            </w:r>
          </w:p>
        </w:tc>
        <w:tc>
          <w:tcPr>
            <w:tcW w:w="1182" w:type="dxa"/>
            <w:noWrap/>
            <w:tcMar>
              <w:top w:w="0" w:type="dxa"/>
              <w:left w:w="108" w:type="dxa"/>
              <w:bottom w:w="0" w:type="dxa"/>
              <w:right w:w="108" w:type="dxa"/>
            </w:tcMar>
            <w:vAlign w:val="center"/>
            <w:hideMark/>
          </w:tcPr>
          <w:p w:rsidR="00043369" w:rsidRPr="00D043A6" w:rsidRDefault="008D187A" w:rsidP="00043369">
            <w:pPr>
              <w:jc w:val="center"/>
              <w:rPr>
                <w:rFonts w:ascii="Calibri" w:hAnsi="Calibri"/>
                <w:sz w:val="24"/>
                <w:szCs w:val="24"/>
              </w:rPr>
            </w:pPr>
            <w:r w:rsidRPr="00D043A6">
              <w:rPr>
                <w:rFonts w:ascii="Calibri" w:hAnsi="Calibri"/>
                <w:sz w:val="24"/>
                <w:szCs w:val="24"/>
              </w:rPr>
              <w:t>8.52</w:t>
            </w:r>
          </w:p>
        </w:tc>
        <w:tc>
          <w:tcPr>
            <w:tcW w:w="996" w:type="dxa"/>
            <w:noWrap/>
            <w:tcMar>
              <w:top w:w="0" w:type="dxa"/>
              <w:left w:w="108" w:type="dxa"/>
              <w:bottom w:w="0" w:type="dxa"/>
              <w:right w:w="108" w:type="dxa"/>
            </w:tcMar>
            <w:vAlign w:val="center"/>
            <w:hideMark/>
          </w:tcPr>
          <w:p w:rsidR="00043369" w:rsidRPr="00D043A6" w:rsidRDefault="008D187A" w:rsidP="008D187A">
            <w:pPr>
              <w:jc w:val="center"/>
              <w:rPr>
                <w:rFonts w:ascii="Calibri" w:hAnsi="Calibri"/>
                <w:sz w:val="24"/>
                <w:szCs w:val="24"/>
              </w:rPr>
            </w:pPr>
            <w:r w:rsidRPr="00D043A6">
              <w:rPr>
                <w:rFonts w:ascii="Calibri" w:hAnsi="Calibri"/>
                <w:sz w:val="24"/>
                <w:szCs w:val="24"/>
              </w:rPr>
              <w:t>5.97</w:t>
            </w:r>
          </w:p>
        </w:tc>
        <w:tc>
          <w:tcPr>
            <w:tcW w:w="958" w:type="dxa"/>
            <w:noWrap/>
            <w:tcMar>
              <w:top w:w="0" w:type="dxa"/>
              <w:left w:w="108" w:type="dxa"/>
              <w:bottom w:w="0" w:type="dxa"/>
              <w:right w:w="108" w:type="dxa"/>
            </w:tcMar>
            <w:vAlign w:val="center"/>
            <w:hideMark/>
          </w:tcPr>
          <w:p w:rsidR="00043369" w:rsidRPr="00D043A6" w:rsidRDefault="008D187A" w:rsidP="00043369">
            <w:pPr>
              <w:jc w:val="center"/>
              <w:rPr>
                <w:rFonts w:ascii="Calibri" w:hAnsi="Calibri"/>
                <w:sz w:val="24"/>
                <w:szCs w:val="24"/>
              </w:rPr>
            </w:pPr>
            <w:r w:rsidRPr="00D043A6">
              <w:rPr>
                <w:rFonts w:ascii="Calibri" w:hAnsi="Calibri"/>
                <w:sz w:val="24"/>
                <w:szCs w:val="24"/>
              </w:rPr>
              <w:t>2.73</w:t>
            </w:r>
          </w:p>
        </w:tc>
        <w:tc>
          <w:tcPr>
            <w:tcW w:w="1061" w:type="dxa"/>
            <w:noWrap/>
            <w:tcMar>
              <w:top w:w="0" w:type="dxa"/>
              <w:left w:w="108" w:type="dxa"/>
              <w:bottom w:w="0" w:type="dxa"/>
              <w:right w:w="108" w:type="dxa"/>
            </w:tcMar>
            <w:vAlign w:val="center"/>
            <w:hideMark/>
          </w:tcPr>
          <w:p w:rsidR="00043369" w:rsidRPr="00D043A6" w:rsidRDefault="008D187A" w:rsidP="00043369">
            <w:pPr>
              <w:jc w:val="center"/>
              <w:rPr>
                <w:rFonts w:ascii="Calibri" w:hAnsi="Calibri"/>
                <w:sz w:val="24"/>
                <w:szCs w:val="24"/>
              </w:rPr>
            </w:pPr>
            <w:r w:rsidRPr="00D043A6">
              <w:rPr>
                <w:rFonts w:ascii="Calibri" w:hAnsi="Calibri"/>
                <w:sz w:val="24"/>
                <w:szCs w:val="24"/>
              </w:rPr>
              <w:t>5.09</w:t>
            </w:r>
          </w:p>
        </w:tc>
        <w:tc>
          <w:tcPr>
            <w:tcW w:w="1027" w:type="dxa"/>
            <w:noWrap/>
            <w:tcMar>
              <w:top w:w="0" w:type="dxa"/>
              <w:left w:w="108" w:type="dxa"/>
              <w:bottom w:w="0" w:type="dxa"/>
              <w:right w:w="108" w:type="dxa"/>
            </w:tcMar>
            <w:vAlign w:val="center"/>
            <w:hideMark/>
          </w:tcPr>
          <w:p w:rsidR="00043369" w:rsidRPr="00D043A6" w:rsidRDefault="008D187A" w:rsidP="00043369">
            <w:pPr>
              <w:jc w:val="center"/>
              <w:rPr>
                <w:rFonts w:ascii="Calibri" w:hAnsi="Calibri"/>
                <w:sz w:val="24"/>
                <w:szCs w:val="24"/>
              </w:rPr>
            </w:pPr>
            <w:r w:rsidRPr="00D043A6">
              <w:rPr>
                <w:rFonts w:ascii="Calibri" w:hAnsi="Calibri"/>
                <w:sz w:val="24"/>
                <w:szCs w:val="24"/>
              </w:rPr>
              <w:t>1.31</w:t>
            </w:r>
          </w:p>
        </w:tc>
        <w:tc>
          <w:tcPr>
            <w:tcW w:w="1027" w:type="dxa"/>
            <w:noWrap/>
            <w:tcMar>
              <w:top w:w="0" w:type="dxa"/>
              <w:left w:w="108" w:type="dxa"/>
              <w:bottom w:w="0" w:type="dxa"/>
              <w:right w:w="108" w:type="dxa"/>
            </w:tcMar>
            <w:vAlign w:val="center"/>
            <w:hideMark/>
          </w:tcPr>
          <w:p w:rsidR="008A0078" w:rsidRPr="00D043A6" w:rsidRDefault="008D187A" w:rsidP="00163DFC">
            <w:pPr>
              <w:jc w:val="center"/>
              <w:rPr>
                <w:rFonts w:ascii="Calibri" w:hAnsi="Calibri"/>
                <w:b/>
                <w:sz w:val="24"/>
                <w:szCs w:val="24"/>
              </w:rPr>
            </w:pPr>
            <w:r w:rsidRPr="00D043A6">
              <w:rPr>
                <w:rFonts w:ascii="Calibri" w:hAnsi="Calibri"/>
                <w:b/>
                <w:sz w:val="24"/>
                <w:szCs w:val="24"/>
              </w:rPr>
              <w:t>34.76</w:t>
            </w:r>
          </w:p>
        </w:tc>
      </w:tr>
      <w:tr w:rsidR="00B724D1" w:rsidRPr="00D043A6" w:rsidTr="00B724D1">
        <w:trPr>
          <w:trHeight w:val="255"/>
        </w:trPr>
        <w:tc>
          <w:tcPr>
            <w:tcW w:w="1910" w:type="dxa"/>
            <w:noWrap/>
            <w:tcMar>
              <w:top w:w="0" w:type="dxa"/>
              <w:left w:w="108" w:type="dxa"/>
              <w:bottom w:w="0" w:type="dxa"/>
              <w:right w:w="108" w:type="dxa"/>
            </w:tcMar>
            <w:vAlign w:val="bottom"/>
            <w:hideMark/>
          </w:tcPr>
          <w:p w:rsidR="00B724D1" w:rsidRPr="00D043A6" w:rsidRDefault="00B724D1" w:rsidP="00043369">
            <w:pPr>
              <w:rPr>
                <w:rFonts w:ascii="Calibri" w:hAnsi="Calibri"/>
                <w:b/>
                <w:bCs/>
                <w:sz w:val="24"/>
                <w:szCs w:val="24"/>
              </w:rPr>
            </w:pPr>
            <w:r w:rsidRPr="00D043A6">
              <w:rPr>
                <w:b/>
                <w:bCs/>
                <w:sz w:val="24"/>
                <w:szCs w:val="24"/>
              </w:rPr>
              <w:t>Pabeigts</w:t>
            </w:r>
          </w:p>
        </w:tc>
        <w:tc>
          <w:tcPr>
            <w:tcW w:w="1126" w:type="dxa"/>
            <w:noWrap/>
            <w:tcMar>
              <w:top w:w="0" w:type="dxa"/>
              <w:left w:w="108" w:type="dxa"/>
              <w:bottom w:w="0" w:type="dxa"/>
              <w:right w:w="108" w:type="dxa"/>
            </w:tcMar>
            <w:vAlign w:val="bottom"/>
            <w:hideMark/>
          </w:tcPr>
          <w:p w:rsidR="00B724D1" w:rsidRPr="00D043A6" w:rsidRDefault="008D187A" w:rsidP="00043369">
            <w:pPr>
              <w:jc w:val="center"/>
              <w:rPr>
                <w:rFonts w:ascii="Calibri" w:hAnsi="Calibri"/>
                <w:b/>
                <w:bCs/>
                <w:sz w:val="24"/>
                <w:szCs w:val="24"/>
              </w:rPr>
            </w:pPr>
            <w:r w:rsidRPr="00D043A6">
              <w:rPr>
                <w:rFonts w:ascii="Calibri" w:hAnsi="Calibri"/>
                <w:b/>
                <w:bCs/>
                <w:sz w:val="24"/>
                <w:szCs w:val="24"/>
              </w:rPr>
              <w:t>1.99</w:t>
            </w:r>
          </w:p>
        </w:tc>
        <w:tc>
          <w:tcPr>
            <w:tcW w:w="1182" w:type="dxa"/>
            <w:noWrap/>
            <w:tcMar>
              <w:top w:w="0" w:type="dxa"/>
              <w:left w:w="108" w:type="dxa"/>
              <w:bottom w:w="0" w:type="dxa"/>
              <w:right w:w="108" w:type="dxa"/>
            </w:tcMar>
            <w:vAlign w:val="bottom"/>
            <w:hideMark/>
          </w:tcPr>
          <w:p w:rsidR="00B724D1" w:rsidRPr="00D043A6" w:rsidRDefault="008D187A" w:rsidP="00B724D1">
            <w:pPr>
              <w:jc w:val="center"/>
              <w:rPr>
                <w:rFonts w:ascii="Calibri" w:hAnsi="Calibri"/>
                <w:b/>
                <w:bCs/>
                <w:sz w:val="24"/>
                <w:szCs w:val="24"/>
              </w:rPr>
            </w:pPr>
            <w:r w:rsidRPr="00D043A6">
              <w:rPr>
                <w:rFonts w:ascii="Calibri" w:hAnsi="Calibri"/>
                <w:b/>
                <w:bCs/>
                <w:sz w:val="24"/>
                <w:szCs w:val="24"/>
              </w:rPr>
              <w:t>2.16</w:t>
            </w:r>
          </w:p>
        </w:tc>
        <w:tc>
          <w:tcPr>
            <w:tcW w:w="996" w:type="dxa"/>
            <w:noWrap/>
            <w:tcMar>
              <w:top w:w="0" w:type="dxa"/>
              <w:left w:w="108" w:type="dxa"/>
              <w:bottom w:w="0" w:type="dxa"/>
              <w:right w:w="108" w:type="dxa"/>
            </w:tcMar>
            <w:vAlign w:val="bottom"/>
            <w:hideMark/>
          </w:tcPr>
          <w:p w:rsidR="00B724D1" w:rsidRPr="00D043A6" w:rsidRDefault="008D187A" w:rsidP="00163DFC">
            <w:pPr>
              <w:jc w:val="center"/>
              <w:rPr>
                <w:rFonts w:ascii="Calibri" w:hAnsi="Calibri"/>
                <w:b/>
                <w:bCs/>
                <w:sz w:val="24"/>
                <w:szCs w:val="24"/>
              </w:rPr>
            </w:pPr>
            <w:r w:rsidRPr="00D043A6">
              <w:rPr>
                <w:rFonts w:ascii="Calibri" w:hAnsi="Calibri"/>
                <w:b/>
                <w:bCs/>
                <w:sz w:val="24"/>
                <w:szCs w:val="24"/>
              </w:rPr>
              <w:t>1.20</w:t>
            </w:r>
          </w:p>
        </w:tc>
        <w:tc>
          <w:tcPr>
            <w:tcW w:w="958" w:type="dxa"/>
            <w:noWrap/>
            <w:tcMar>
              <w:top w:w="0" w:type="dxa"/>
              <w:left w:w="108" w:type="dxa"/>
              <w:bottom w:w="0" w:type="dxa"/>
              <w:right w:w="108" w:type="dxa"/>
            </w:tcMar>
            <w:vAlign w:val="bottom"/>
            <w:hideMark/>
          </w:tcPr>
          <w:p w:rsidR="00B724D1" w:rsidRPr="00D043A6" w:rsidRDefault="008D187A" w:rsidP="00B724D1">
            <w:pPr>
              <w:jc w:val="center"/>
              <w:rPr>
                <w:rFonts w:ascii="Calibri" w:hAnsi="Calibri"/>
                <w:b/>
                <w:bCs/>
                <w:sz w:val="24"/>
                <w:szCs w:val="24"/>
              </w:rPr>
            </w:pPr>
            <w:r w:rsidRPr="00D043A6">
              <w:rPr>
                <w:rFonts w:ascii="Calibri" w:hAnsi="Calibri"/>
                <w:b/>
                <w:bCs/>
                <w:sz w:val="24"/>
                <w:szCs w:val="24"/>
              </w:rPr>
              <w:t>0.65</w:t>
            </w:r>
          </w:p>
        </w:tc>
        <w:tc>
          <w:tcPr>
            <w:tcW w:w="1061" w:type="dxa"/>
            <w:noWrap/>
            <w:tcMar>
              <w:top w:w="0" w:type="dxa"/>
              <w:left w:w="108" w:type="dxa"/>
              <w:bottom w:w="0" w:type="dxa"/>
              <w:right w:w="108" w:type="dxa"/>
            </w:tcMar>
            <w:vAlign w:val="bottom"/>
            <w:hideMark/>
          </w:tcPr>
          <w:p w:rsidR="00B724D1" w:rsidRPr="00D043A6" w:rsidRDefault="008D187A" w:rsidP="00043369">
            <w:pPr>
              <w:jc w:val="center"/>
              <w:rPr>
                <w:rFonts w:ascii="Calibri" w:hAnsi="Calibri"/>
                <w:b/>
                <w:bCs/>
                <w:sz w:val="24"/>
                <w:szCs w:val="24"/>
              </w:rPr>
            </w:pPr>
            <w:r w:rsidRPr="00D043A6">
              <w:rPr>
                <w:rFonts w:ascii="Calibri" w:hAnsi="Calibri"/>
                <w:b/>
                <w:bCs/>
                <w:sz w:val="24"/>
                <w:szCs w:val="24"/>
              </w:rPr>
              <w:t>0.54</w:t>
            </w:r>
          </w:p>
        </w:tc>
        <w:tc>
          <w:tcPr>
            <w:tcW w:w="1027" w:type="dxa"/>
            <w:noWrap/>
            <w:tcMar>
              <w:top w:w="0" w:type="dxa"/>
              <w:left w:w="108" w:type="dxa"/>
              <w:bottom w:w="0" w:type="dxa"/>
              <w:right w:w="108" w:type="dxa"/>
            </w:tcMar>
            <w:vAlign w:val="bottom"/>
            <w:hideMark/>
          </w:tcPr>
          <w:p w:rsidR="00B724D1" w:rsidRPr="00D043A6" w:rsidRDefault="008D187A" w:rsidP="00043369">
            <w:pPr>
              <w:jc w:val="center"/>
              <w:rPr>
                <w:rFonts w:ascii="Calibri" w:hAnsi="Calibri"/>
                <w:b/>
                <w:bCs/>
                <w:sz w:val="24"/>
                <w:szCs w:val="24"/>
              </w:rPr>
            </w:pPr>
            <w:r w:rsidRPr="00D043A6">
              <w:rPr>
                <w:rFonts w:ascii="Calibri" w:hAnsi="Calibri"/>
                <w:b/>
                <w:bCs/>
                <w:sz w:val="24"/>
                <w:szCs w:val="24"/>
              </w:rPr>
              <w:t>0.32</w:t>
            </w:r>
          </w:p>
        </w:tc>
        <w:tc>
          <w:tcPr>
            <w:tcW w:w="1027" w:type="dxa"/>
            <w:noWrap/>
            <w:tcMar>
              <w:top w:w="0" w:type="dxa"/>
              <w:left w:w="108" w:type="dxa"/>
              <w:bottom w:w="0" w:type="dxa"/>
              <w:right w:w="108" w:type="dxa"/>
            </w:tcMar>
            <w:vAlign w:val="bottom"/>
            <w:hideMark/>
          </w:tcPr>
          <w:p w:rsidR="008A0078" w:rsidRPr="00D043A6" w:rsidRDefault="008D187A" w:rsidP="00043369">
            <w:pPr>
              <w:jc w:val="center"/>
              <w:rPr>
                <w:rFonts w:ascii="Calibri" w:hAnsi="Calibri"/>
                <w:b/>
                <w:bCs/>
                <w:sz w:val="24"/>
                <w:szCs w:val="24"/>
              </w:rPr>
            </w:pPr>
            <w:r w:rsidRPr="00D043A6">
              <w:rPr>
                <w:rFonts w:ascii="Calibri" w:hAnsi="Calibri"/>
                <w:b/>
                <w:bCs/>
                <w:sz w:val="24"/>
                <w:szCs w:val="24"/>
              </w:rPr>
              <w:t>6.87</w:t>
            </w:r>
          </w:p>
        </w:tc>
      </w:tr>
    </w:tbl>
    <w:p w:rsidR="00D36EE9" w:rsidRPr="00D043A6" w:rsidRDefault="00D36EE9" w:rsidP="00D36EE9">
      <w:pPr>
        <w:pStyle w:val="EnvelopeReturn"/>
        <w:spacing w:before="0"/>
        <w:ind w:firstLine="720"/>
        <w:jc w:val="both"/>
        <w:rPr>
          <w:sz w:val="28"/>
          <w:szCs w:val="28"/>
        </w:rPr>
      </w:pPr>
    </w:p>
    <w:p w:rsidR="00353558" w:rsidRPr="00D043A6" w:rsidRDefault="0024122B" w:rsidP="00353558">
      <w:pPr>
        <w:ind w:firstLine="720"/>
        <w:jc w:val="both"/>
        <w:rPr>
          <w:sz w:val="24"/>
        </w:rPr>
      </w:pPr>
      <w:r w:rsidRPr="00D043A6">
        <w:rPr>
          <w:sz w:val="24"/>
        </w:rPr>
        <w:t>DMS aktivitāte ir uzsākta 2009. gada aprīlī un tiks turpināta 2007.-2013.gada ES fondu plānošanas periodā</w:t>
      </w:r>
      <w:r w:rsidR="0054278F">
        <w:rPr>
          <w:sz w:val="24"/>
        </w:rPr>
        <w:t>,</w:t>
      </w:r>
      <w:r w:rsidRPr="00D043A6">
        <w:rPr>
          <w:sz w:val="24"/>
        </w:rPr>
        <w:t xml:space="preserve"> kamēr būs pieejams </w:t>
      </w:r>
      <w:r w:rsidR="00951887" w:rsidRPr="00D043A6">
        <w:rPr>
          <w:sz w:val="24"/>
        </w:rPr>
        <w:t xml:space="preserve">ERAF </w:t>
      </w:r>
      <w:r w:rsidRPr="00D043A6">
        <w:rPr>
          <w:sz w:val="24"/>
        </w:rPr>
        <w:t xml:space="preserve">finansējums. </w:t>
      </w:r>
    </w:p>
    <w:p w:rsidR="00CC34E6" w:rsidRPr="00D043A6" w:rsidRDefault="00353558" w:rsidP="00353558">
      <w:pPr>
        <w:ind w:firstLine="720"/>
        <w:jc w:val="both"/>
        <w:rPr>
          <w:sz w:val="24"/>
        </w:rPr>
      </w:pPr>
      <w:r w:rsidRPr="00D043A6">
        <w:rPr>
          <w:sz w:val="24"/>
        </w:rPr>
        <w:t xml:space="preserve">Lai </w:t>
      </w:r>
      <w:r w:rsidR="00D043A6" w:rsidRPr="00D043A6">
        <w:rPr>
          <w:sz w:val="24"/>
        </w:rPr>
        <w:t xml:space="preserve">gan </w:t>
      </w:r>
      <w:r w:rsidR="00322C0E" w:rsidRPr="00D043A6">
        <w:rPr>
          <w:sz w:val="24"/>
        </w:rPr>
        <w:t>sākotnēji DMS aktivitātē iesniegto projektu skaits bija neliels – 117 2009.gadā, tomēr jau 2011.gadā iesniegto projektu skaits bij</w:t>
      </w:r>
      <w:r w:rsidR="00A634C3" w:rsidRPr="00D043A6">
        <w:rPr>
          <w:sz w:val="24"/>
        </w:rPr>
        <w:t>a četras reizes lielāks (470). Šis pieaugums</w:t>
      </w:r>
      <w:r w:rsidR="00322C0E" w:rsidRPr="00D043A6">
        <w:rPr>
          <w:sz w:val="24"/>
        </w:rPr>
        <w:t xml:space="preserve"> </w:t>
      </w:r>
      <w:r w:rsidR="00A634C3" w:rsidRPr="00D043A6">
        <w:rPr>
          <w:sz w:val="24"/>
        </w:rPr>
        <w:t>ir</w:t>
      </w:r>
      <w:r w:rsidR="00322C0E" w:rsidRPr="00D043A6">
        <w:rPr>
          <w:sz w:val="24"/>
        </w:rPr>
        <w:t xml:space="preserve"> </w:t>
      </w:r>
      <w:r w:rsidR="00A634C3" w:rsidRPr="00D043A6">
        <w:rPr>
          <w:sz w:val="24"/>
        </w:rPr>
        <w:t xml:space="preserve">saistāms </w:t>
      </w:r>
      <w:r w:rsidR="00322C0E" w:rsidRPr="00D043A6">
        <w:rPr>
          <w:sz w:val="24"/>
        </w:rPr>
        <w:t>ar Ekonomikas ministrijas sekmīgo koordinējošo darbu DMS aktivitāt</w:t>
      </w:r>
      <w:r w:rsidR="009E23FB">
        <w:rPr>
          <w:sz w:val="24"/>
        </w:rPr>
        <w:t xml:space="preserve">es ieviešanā, </w:t>
      </w:r>
      <w:r w:rsidR="00A634C3" w:rsidRPr="00D043A6">
        <w:rPr>
          <w:sz w:val="24"/>
        </w:rPr>
        <w:t>kas ietvēra</w:t>
      </w:r>
      <w:r w:rsidR="00CC34E6" w:rsidRPr="00D043A6">
        <w:rPr>
          <w:sz w:val="24"/>
        </w:rPr>
        <w:t>:</w:t>
      </w:r>
    </w:p>
    <w:p w:rsidR="00CC34E6" w:rsidRPr="00D043A6" w:rsidRDefault="00CC34E6" w:rsidP="00353558">
      <w:pPr>
        <w:ind w:firstLine="720"/>
        <w:jc w:val="both"/>
        <w:rPr>
          <w:sz w:val="24"/>
        </w:rPr>
      </w:pPr>
      <w:r w:rsidRPr="00D043A6">
        <w:rPr>
          <w:sz w:val="24"/>
        </w:rPr>
        <w:t>- normatīvo aktu grozījumus. Normatīvo aktu grozījumi galvenokārt bija saistīti ar pretendentu loka paplašināšanu</w:t>
      </w:r>
      <w:r w:rsidR="00614EB3" w:rsidRPr="00D043A6">
        <w:rPr>
          <w:sz w:val="24"/>
        </w:rPr>
        <w:t>,</w:t>
      </w:r>
      <w:r w:rsidRPr="00D043A6">
        <w:rPr>
          <w:sz w:val="24"/>
        </w:rPr>
        <w:t xml:space="preserve"> aktivitātes administratīvo procedūru vienkāršošanu</w:t>
      </w:r>
      <w:r w:rsidR="00614EB3" w:rsidRPr="00D043A6">
        <w:rPr>
          <w:sz w:val="24"/>
        </w:rPr>
        <w:t xml:space="preserve"> un ar kvalitātes kontroli saistītu problēmu risināšanu</w:t>
      </w:r>
      <w:r w:rsidRPr="00D043A6">
        <w:rPr>
          <w:sz w:val="24"/>
        </w:rPr>
        <w:t>;</w:t>
      </w:r>
    </w:p>
    <w:p w:rsidR="00614EB3" w:rsidRPr="00D043A6" w:rsidRDefault="00CC34E6" w:rsidP="00353558">
      <w:pPr>
        <w:ind w:firstLine="720"/>
        <w:jc w:val="both"/>
        <w:rPr>
          <w:sz w:val="24"/>
        </w:rPr>
      </w:pPr>
      <w:r w:rsidRPr="00D043A6">
        <w:rPr>
          <w:sz w:val="24"/>
        </w:rPr>
        <w:t>- metodiskās palīdzības sniegšanu iedzīvotājiem, kas izpaudās kā semināru un citu informatīv</w:t>
      </w:r>
      <w:r w:rsidR="00D043A6" w:rsidRPr="00D043A6">
        <w:rPr>
          <w:sz w:val="24"/>
        </w:rPr>
        <w:t>u</w:t>
      </w:r>
      <w:r w:rsidRPr="00D043A6">
        <w:rPr>
          <w:sz w:val="24"/>
        </w:rPr>
        <w:t xml:space="preserve"> pasākumu organizēšana</w:t>
      </w:r>
      <w:r w:rsidR="00614EB3" w:rsidRPr="00D043A6">
        <w:rPr>
          <w:sz w:val="24"/>
        </w:rPr>
        <w:t xml:space="preserve"> gan par ES fondu apguves, gan arī par tādiem specifiskiem jautājumiem kā būvniecības iepirkumi</w:t>
      </w:r>
      <w:r w:rsidR="00D043A6" w:rsidRPr="00D043A6">
        <w:rPr>
          <w:sz w:val="24"/>
        </w:rPr>
        <w:t>,</w:t>
      </w:r>
      <w:r w:rsidR="00614EB3" w:rsidRPr="00D043A6">
        <w:rPr>
          <w:sz w:val="24"/>
        </w:rPr>
        <w:t xml:space="preserve"> dzīvokļu tiesības</w:t>
      </w:r>
      <w:r w:rsidRPr="00D043A6">
        <w:rPr>
          <w:sz w:val="24"/>
        </w:rPr>
        <w:t xml:space="preserve">, dokumentu paraugu </w:t>
      </w:r>
      <w:r w:rsidR="00614EB3" w:rsidRPr="00D043A6">
        <w:rPr>
          <w:sz w:val="24"/>
        </w:rPr>
        <w:t>sagatavošana, informatīva bukleta „soli pa solim līdz mājas atjaunošanai” izstrāde, kā arī citu</w:t>
      </w:r>
      <w:r w:rsidR="00D043A6" w:rsidRPr="00D043A6">
        <w:rPr>
          <w:sz w:val="24"/>
        </w:rPr>
        <w:t xml:space="preserve"> pasākumu</w:t>
      </w:r>
      <w:r w:rsidR="00614EB3" w:rsidRPr="00D043A6">
        <w:rPr>
          <w:sz w:val="24"/>
        </w:rPr>
        <w:t>, kas ir saistīti ar iedzīvotāju informēšanu</w:t>
      </w:r>
      <w:r w:rsidR="00D043A6" w:rsidRPr="00D043A6">
        <w:rPr>
          <w:sz w:val="24"/>
        </w:rPr>
        <w:t>, nodrošināšana;</w:t>
      </w:r>
    </w:p>
    <w:p w:rsidR="00353558" w:rsidRPr="00D043A6" w:rsidRDefault="00614EB3" w:rsidP="00353558">
      <w:pPr>
        <w:ind w:firstLine="720"/>
        <w:jc w:val="both"/>
        <w:rPr>
          <w:sz w:val="24"/>
        </w:rPr>
      </w:pPr>
      <w:r w:rsidRPr="00D043A6">
        <w:rPr>
          <w:sz w:val="24"/>
        </w:rPr>
        <w:t xml:space="preserve">- </w:t>
      </w:r>
      <w:r w:rsidR="00CC34E6" w:rsidRPr="00D043A6">
        <w:rPr>
          <w:sz w:val="24"/>
        </w:rPr>
        <w:t>s</w:t>
      </w:r>
      <w:r w:rsidRPr="00D043A6">
        <w:rPr>
          <w:sz w:val="24"/>
        </w:rPr>
        <w:t xml:space="preserve">adarbību ar </w:t>
      </w:r>
      <w:r w:rsidRPr="00D043A6">
        <w:rPr>
          <w:sz w:val="24"/>
          <w:szCs w:val="24"/>
        </w:rPr>
        <w:t xml:space="preserve">nevalstisko sektoru, </w:t>
      </w:r>
      <w:r w:rsidR="002640FE" w:rsidRPr="00D043A6">
        <w:rPr>
          <w:sz w:val="24"/>
          <w:szCs w:val="24"/>
        </w:rPr>
        <w:t>t.sk. informatīvās kampaņas „Dzīvo siltāk” ietvaros noslēgtā sadarbības memoranda par efektīvas un atklātas sadarbības veidošanu</w:t>
      </w:r>
      <w:r w:rsidRPr="00D043A6">
        <w:rPr>
          <w:sz w:val="24"/>
          <w:szCs w:val="24"/>
        </w:rPr>
        <w:t xml:space="preserve"> </w:t>
      </w:r>
      <w:r w:rsidR="002640FE" w:rsidRPr="00D043A6">
        <w:rPr>
          <w:sz w:val="24"/>
          <w:szCs w:val="24"/>
        </w:rPr>
        <w:t>(memorandu ir parakstīju</w:t>
      </w:r>
      <w:r w:rsidR="00D043A6" w:rsidRPr="00D043A6">
        <w:rPr>
          <w:sz w:val="24"/>
          <w:szCs w:val="24"/>
        </w:rPr>
        <w:t>si</w:t>
      </w:r>
      <w:r w:rsidR="002640FE" w:rsidRPr="00D043A6">
        <w:rPr>
          <w:sz w:val="24"/>
          <w:szCs w:val="24"/>
        </w:rPr>
        <w:t xml:space="preserve"> 31 organizācija). Sadarbība ar nevalstisko sektoru ietver visas renovācijas procesā iesaistītās puses – dzīvojamo māju pārvaldniekus, būvniekus, būvmateriālu ražotājus, komercbankas, apdrošinātājus un nozar</w:t>
      </w:r>
      <w:r w:rsidR="00D043A6" w:rsidRPr="00D043A6">
        <w:rPr>
          <w:sz w:val="24"/>
          <w:szCs w:val="24"/>
        </w:rPr>
        <w:t>u</w:t>
      </w:r>
      <w:r w:rsidR="002640FE" w:rsidRPr="00D043A6">
        <w:rPr>
          <w:sz w:val="24"/>
          <w:szCs w:val="24"/>
        </w:rPr>
        <w:t xml:space="preserve"> ekspertus.</w:t>
      </w:r>
      <w:r w:rsidR="00D043A6">
        <w:rPr>
          <w:sz w:val="24"/>
          <w:szCs w:val="24"/>
        </w:rPr>
        <w:t xml:space="preserve"> </w:t>
      </w:r>
    </w:p>
    <w:p w:rsidR="00CC34E6" w:rsidRPr="00D043A6" w:rsidRDefault="00CC34E6" w:rsidP="00353558">
      <w:pPr>
        <w:ind w:firstLine="720"/>
        <w:jc w:val="both"/>
        <w:rPr>
          <w:sz w:val="24"/>
        </w:rPr>
      </w:pPr>
    </w:p>
    <w:p w:rsidR="00353558" w:rsidRPr="00D043A6" w:rsidRDefault="00353558" w:rsidP="00353558">
      <w:pPr>
        <w:ind w:firstLine="720"/>
        <w:jc w:val="both"/>
        <w:rPr>
          <w:sz w:val="24"/>
        </w:rPr>
      </w:pPr>
      <w:r w:rsidRPr="00D043A6">
        <w:rPr>
          <w:sz w:val="24"/>
        </w:rPr>
        <w:t xml:space="preserve">DMS aktivitātes ietvaros renovēto daudzdzīvokļu dzīvojamo māju karte atrodama Ekonomikas ministrijas mājas lapas adresē </w:t>
      </w:r>
      <w:hyperlink r:id="rId16" w:history="1">
        <w:r w:rsidRPr="00D043A6">
          <w:rPr>
            <w:rStyle w:val="Hyperlink"/>
            <w:sz w:val="24"/>
          </w:rPr>
          <w:t>http://www.em.gov.lv/em/2nd/?cat=30321</w:t>
        </w:r>
      </w:hyperlink>
      <w:r w:rsidRPr="00D043A6">
        <w:rPr>
          <w:sz w:val="24"/>
        </w:rPr>
        <w:t>.</w:t>
      </w:r>
    </w:p>
    <w:p w:rsidR="00D36EE9" w:rsidRPr="00D043A6" w:rsidRDefault="00043369" w:rsidP="00163DFC">
      <w:pPr>
        <w:ind w:firstLine="720"/>
        <w:jc w:val="both"/>
        <w:rPr>
          <w:sz w:val="24"/>
        </w:rPr>
      </w:pPr>
      <w:r w:rsidRPr="00D043A6">
        <w:rPr>
          <w:sz w:val="24"/>
        </w:rPr>
        <w:t xml:space="preserve">Kopējais DMS aktivitātes ietvaros pieejamais </w:t>
      </w:r>
      <w:r w:rsidR="00951887" w:rsidRPr="00D043A6">
        <w:rPr>
          <w:sz w:val="24"/>
        </w:rPr>
        <w:t xml:space="preserve">ERAF </w:t>
      </w:r>
      <w:r w:rsidRPr="00D043A6">
        <w:rPr>
          <w:sz w:val="24"/>
        </w:rPr>
        <w:t xml:space="preserve">finansējums ir </w:t>
      </w:r>
      <w:r w:rsidR="00264730" w:rsidRPr="00D043A6">
        <w:rPr>
          <w:sz w:val="24"/>
        </w:rPr>
        <w:t>62,75</w:t>
      </w:r>
      <w:r w:rsidRPr="00D043A6">
        <w:rPr>
          <w:sz w:val="24"/>
        </w:rPr>
        <w:t xml:space="preserve"> miljoni latu</w:t>
      </w:r>
      <w:r w:rsidR="00C30308">
        <w:rPr>
          <w:sz w:val="24"/>
        </w:rPr>
        <w:t xml:space="preserve">, </w:t>
      </w:r>
      <w:r w:rsidR="00C30308" w:rsidRPr="00F30B0C">
        <w:rPr>
          <w:sz w:val="24"/>
        </w:rPr>
        <w:t>tajā skaitā ERAF finansējums 47,75 milj. latu un virssaistību finansējums 15,00 milj. latu</w:t>
      </w:r>
      <w:r w:rsidR="00C30308" w:rsidRPr="00C30308">
        <w:rPr>
          <w:sz w:val="24"/>
        </w:rPr>
        <w:t>.</w:t>
      </w:r>
      <w:r w:rsidRPr="00D043A6">
        <w:rPr>
          <w:sz w:val="24"/>
        </w:rPr>
        <w:t xml:space="preserve"> </w:t>
      </w:r>
      <w:r w:rsidR="00D36EE9" w:rsidRPr="00D043A6">
        <w:rPr>
          <w:sz w:val="24"/>
        </w:rPr>
        <w:t xml:space="preserve">Līdz </w:t>
      </w:r>
      <w:r w:rsidR="00BE69B8" w:rsidRPr="00D043A6">
        <w:rPr>
          <w:sz w:val="24"/>
        </w:rPr>
        <w:t>2013</w:t>
      </w:r>
      <w:r w:rsidR="00D36EE9" w:rsidRPr="00D043A6">
        <w:rPr>
          <w:sz w:val="24"/>
        </w:rPr>
        <w:t xml:space="preserve">. gada </w:t>
      </w:r>
      <w:r w:rsidR="00264730" w:rsidRPr="00D043A6">
        <w:rPr>
          <w:sz w:val="24"/>
        </w:rPr>
        <w:t xml:space="preserve"> 5. februārim</w:t>
      </w:r>
      <w:r w:rsidR="00D36EE9" w:rsidRPr="00D043A6">
        <w:rPr>
          <w:sz w:val="24"/>
        </w:rPr>
        <w:t xml:space="preserve"> </w:t>
      </w:r>
      <w:r w:rsidRPr="00D043A6">
        <w:rPr>
          <w:sz w:val="24"/>
        </w:rPr>
        <w:t>sadalīti</w:t>
      </w:r>
      <w:r w:rsidR="00163DFC" w:rsidRPr="00D043A6">
        <w:rPr>
          <w:sz w:val="24"/>
        </w:rPr>
        <w:t xml:space="preserve"> vai rezervēti </w:t>
      </w:r>
      <w:r w:rsidRPr="00D043A6">
        <w:rPr>
          <w:sz w:val="24"/>
        </w:rPr>
        <w:t xml:space="preserve">ir </w:t>
      </w:r>
      <w:r w:rsidR="008D187A" w:rsidRPr="00D043A6">
        <w:rPr>
          <w:sz w:val="24"/>
        </w:rPr>
        <w:t>48.64</w:t>
      </w:r>
      <w:r w:rsidR="00F42D60" w:rsidRPr="00D043A6">
        <w:rPr>
          <w:sz w:val="24"/>
        </w:rPr>
        <w:t xml:space="preserve"> </w:t>
      </w:r>
      <w:r w:rsidRPr="00D043A6">
        <w:rPr>
          <w:sz w:val="24"/>
        </w:rPr>
        <w:t>milj. latu (</w:t>
      </w:r>
      <w:r w:rsidR="002860C9" w:rsidRPr="00D043A6">
        <w:rPr>
          <w:sz w:val="24"/>
        </w:rPr>
        <w:t>78</w:t>
      </w:r>
      <w:r w:rsidRPr="00D043A6">
        <w:rPr>
          <w:sz w:val="24"/>
        </w:rPr>
        <w:t xml:space="preserve">%), atlikušais pieejamo līdzekļu apjoms ir </w:t>
      </w:r>
      <w:r w:rsidR="002860C9" w:rsidRPr="00D043A6">
        <w:rPr>
          <w:sz w:val="24"/>
        </w:rPr>
        <w:t>14.11</w:t>
      </w:r>
      <w:r w:rsidRPr="00D043A6">
        <w:rPr>
          <w:sz w:val="24"/>
        </w:rPr>
        <w:t xml:space="preserve"> milj. latu (</w:t>
      </w:r>
      <w:r w:rsidR="00430F38" w:rsidRPr="00D043A6">
        <w:rPr>
          <w:sz w:val="24"/>
        </w:rPr>
        <w:t>2</w:t>
      </w:r>
      <w:r w:rsidR="002860C9" w:rsidRPr="00D043A6">
        <w:rPr>
          <w:sz w:val="24"/>
        </w:rPr>
        <w:t>2</w:t>
      </w:r>
      <w:r w:rsidRPr="00D043A6">
        <w:rPr>
          <w:sz w:val="24"/>
        </w:rPr>
        <w:t>%)</w:t>
      </w:r>
      <w:r w:rsidR="00220C63" w:rsidRPr="00D043A6">
        <w:rPr>
          <w:rStyle w:val="FootnoteReference"/>
          <w:sz w:val="24"/>
        </w:rPr>
        <w:footnoteReference w:id="12"/>
      </w:r>
      <w:r w:rsidRPr="00D043A6">
        <w:rPr>
          <w:sz w:val="24"/>
        </w:rPr>
        <w:t>.</w:t>
      </w:r>
      <w:r w:rsidR="00163DFC" w:rsidRPr="00D043A6">
        <w:rPr>
          <w:sz w:val="24"/>
        </w:rPr>
        <w:t xml:space="preserve"> </w:t>
      </w:r>
      <w:r w:rsidR="00D043A6" w:rsidRPr="00D043A6">
        <w:rPr>
          <w:sz w:val="24"/>
        </w:rPr>
        <w:t xml:space="preserve"> </w:t>
      </w:r>
    </w:p>
    <w:p w:rsidR="001152DB" w:rsidRPr="00D043A6" w:rsidRDefault="001152DB" w:rsidP="00D36EE9">
      <w:pPr>
        <w:pStyle w:val="EnvelopeReturn"/>
        <w:spacing w:before="0"/>
        <w:ind w:firstLine="720"/>
        <w:jc w:val="both"/>
        <w:rPr>
          <w:sz w:val="24"/>
          <w:szCs w:val="28"/>
        </w:rPr>
      </w:pPr>
    </w:p>
    <w:p w:rsidR="00061348" w:rsidRPr="00D043A6" w:rsidRDefault="00061348" w:rsidP="00061348">
      <w:pPr>
        <w:ind w:firstLine="720"/>
        <w:jc w:val="both"/>
        <w:rPr>
          <w:sz w:val="24"/>
        </w:rPr>
      </w:pPr>
      <w:r w:rsidRPr="00D043A6">
        <w:rPr>
          <w:sz w:val="24"/>
        </w:rPr>
        <w:t xml:space="preserve">Aktivitāte 3.4.4.2. Sociālo dzīvojamo māju siltumnoturības uzlabošanas pasākumi tika </w:t>
      </w:r>
      <w:r w:rsidR="00951887" w:rsidRPr="00D043A6">
        <w:rPr>
          <w:sz w:val="24"/>
        </w:rPr>
        <w:t>uzsākta</w:t>
      </w:r>
      <w:r w:rsidRPr="00D043A6">
        <w:rPr>
          <w:sz w:val="24"/>
        </w:rPr>
        <w:t xml:space="preserve"> 2008. gada maij</w:t>
      </w:r>
      <w:r w:rsidR="00951887" w:rsidRPr="00D043A6">
        <w:rPr>
          <w:sz w:val="24"/>
        </w:rPr>
        <w:t xml:space="preserve">ā, </w:t>
      </w:r>
      <w:r w:rsidRPr="00D043A6">
        <w:rPr>
          <w:sz w:val="24"/>
        </w:rPr>
        <w:t>līdz 2010. gada aprīlim</w:t>
      </w:r>
      <w:r w:rsidR="00951887" w:rsidRPr="00D043A6">
        <w:rPr>
          <w:sz w:val="24"/>
        </w:rPr>
        <w:t xml:space="preserve"> tika pieņemti un izskatīti projektu iesniegumi un šobrīd turpinās uzsākto projektu īstenošana</w:t>
      </w:r>
      <w:r w:rsidRPr="00D043A6">
        <w:rPr>
          <w:sz w:val="24"/>
        </w:rPr>
        <w:t xml:space="preserve">. Aktivitātes mērķis ir palielināt </w:t>
      </w:r>
      <w:r w:rsidRPr="00D043A6">
        <w:rPr>
          <w:sz w:val="24"/>
        </w:rPr>
        <w:lastRenderedPageBreak/>
        <w:t xml:space="preserve">pašvaldības sociālā dzīvojamā fonda energoefektivitāti, vienlaikus ceļot tā kvalitāti un ilgtspēju un nodrošinot sociāli mazaizsargātas personu grupas ar adekvātu mājokli. </w:t>
      </w:r>
      <w:r w:rsidR="003D0E98" w:rsidRPr="00D043A6">
        <w:rPr>
          <w:sz w:val="24"/>
        </w:rPr>
        <w:t xml:space="preserve">Projektu iesniegumus finansējuma saņemšanai varēja iesniegt par sociālām dzīvojamām mājām, kas ir pašvaldības īpašumā un </w:t>
      </w:r>
      <w:r w:rsidR="009E23FB">
        <w:rPr>
          <w:sz w:val="24"/>
        </w:rPr>
        <w:t>kurām</w:t>
      </w:r>
      <w:r w:rsidR="003D0E98" w:rsidRPr="00D043A6">
        <w:rPr>
          <w:sz w:val="24"/>
        </w:rPr>
        <w:t xml:space="preserve"> ar pašvaldības lēmumu ir noteikts sociālās dzīvojamās mājas statuss. </w:t>
      </w:r>
      <w:r w:rsidRPr="00D043A6">
        <w:rPr>
          <w:sz w:val="24"/>
        </w:rPr>
        <w:t xml:space="preserve">Finansējums tika piešķirts projekta dokumentācijas sagatavošanai, projekta būvuzraudzībai un autoruzraudzībai, ēkas energoresursu patēriņa samazināšanai, kā arī ēkas renovācijai vai rekonstrukcijai </w:t>
      </w:r>
      <w:r w:rsidR="003D0E98" w:rsidRPr="00D043A6">
        <w:rPr>
          <w:sz w:val="24"/>
        </w:rPr>
        <w:t>(t.sk.</w:t>
      </w:r>
      <w:r w:rsidRPr="00D043A6">
        <w:rPr>
          <w:sz w:val="24"/>
        </w:rPr>
        <w:t>, ja nepieciešams, pielāgošanai personām ar funkcionāliem traucējumiem</w:t>
      </w:r>
      <w:r w:rsidR="003D0E98" w:rsidRPr="00D043A6">
        <w:rPr>
          <w:sz w:val="24"/>
        </w:rPr>
        <w:t>)</w:t>
      </w:r>
      <w:r w:rsidRPr="00D043A6">
        <w:rPr>
          <w:sz w:val="24"/>
        </w:rPr>
        <w:t>. Pēc renovācijas vai rekonstrukcijas darbu veikšanas jāsasniedz vi</w:t>
      </w:r>
      <w:r w:rsidR="00951887" w:rsidRPr="00D043A6">
        <w:rPr>
          <w:sz w:val="24"/>
        </w:rPr>
        <w:t>s</w:t>
      </w:r>
      <w:r w:rsidRPr="00D043A6">
        <w:rPr>
          <w:sz w:val="24"/>
        </w:rPr>
        <w:t>ma</w:t>
      </w:r>
      <w:r w:rsidR="00951887" w:rsidRPr="00D043A6">
        <w:rPr>
          <w:sz w:val="24"/>
        </w:rPr>
        <w:t>z</w:t>
      </w:r>
      <w:r w:rsidRPr="00D043A6">
        <w:rPr>
          <w:sz w:val="24"/>
        </w:rPr>
        <w:t xml:space="preserve"> 20</w:t>
      </w:r>
      <w:r w:rsidR="00B60BBF" w:rsidRPr="00D043A6">
        <w:rPr>
          <w:sz w:val="24"/>
        </w:rPr>
        <w:t> </w:t>
      </w:r>
      <w:r w:rsidRPr="00D043A6">
        <w:rPr>
          <w:sz w:val="24"/>
        </w:rPr>
        <w:t>% siltumenerģijas patēriņa ietaupījums.</w:t>
      </w:r>
    </w:p>
    <w:p w:rsidR="00250C6C" w:rsidRPr="00D043A6" w:rsidRDefault="00061348" w:rsidP="00250C6C">
      <w:pPr>
        <w:ind w:firstLine="720"/>
        <w:jc w:val="both"/>
        <w:rPr>
          <w:sz w:val="24"/>
        </w:rPr>
      </w:pPr>
      <w:r w:rsidRPr="00D043A6">
        <w:rPr>
          <w:sz w:val="24"/>
        </w:rPr>
        <w:t xml:space="preserve">Aktivitātes ietvaros maksimāli pieļaujamā </w:t>
      </w:r>
      <w:bookmarkStart w:id="15" w:name="OLE_LINK3"/>
      <w:bookmarkStart w:id="16" w:name="OLE_LINK4"/>
      <w:r w:rsidR="00B60BBF" w:rsidRPr="00D043A6">
        <w:rPr>
          <w:sz w:val="24"/>
        </w:rPr>
        <w:t xml:space="preserve">ERAF </w:t>
      </w:r>
      <w:bookmarkEnd w:id="15"/>
      <w:bookmarkEnd w:id="16"/>
      <w:r w:rsidRPr="00D043A6">
        <w:rPr>
          <w:sz w:val="24"/>
        </w:rPr>
        <w:t xml:space="preserve">finansējuma intensitāte </w:t>
      </w:r>
      <w:r w:rsidR="00133F70" w:rsidRPr="00D043A6">
        <w:rPr>
          <w:sz w:val="24"/>
        </w:rPr>
        <w:t>noteikta</w:t>
      </w:r>
      <w:r w:rsidRPr="00D043A6">
        <w:rPr>
          <w:sz w:val="24"/>
        </w:rPr>
        <w:t xml:space="preserve"> 75</w:t>
      </w:r>
      <w:r w:rsidR="00B60BBF" w:rsidRPr="00D043A6">
        <w:rPr>
          <w:sz w:val="24"/>
        </w:rPr>
        <w:t> </w:t>
      </w:r>
      <w:r w:rsidRPr="00D043A6">
        <w:rPr>
          <w:sz w:val="24"/>
        </w:rPr>
        <w:t xml:space="preserve">% no projekta kopējām attiecināmajām izmaksām. Vienam projekta iesniegumam aktivitātes ietvaros maksimāli pieļaujamais </w:t>
      </w:r>
      <w:r w:rsidR="00B60BBF" w:rsidRPr="00D043A6">
        <w:rPr>
          <w:sz w:val="24"/>
        </w:rPr>
        <w:t xml:space="preserve">ERAF </w:t>
      </w:r>
      <w:r w:rsidRPr="00D043A6">
        <w:rPr>
          <w:sz w:val="24"/>
        </w:rPr>
        <w:t>finansējuma apmērs ir 140</w:t>
      </w:r>
      <w:r w:rsidR="00B60BBF" w:rsidRPr="00D043A6">
        <w:rPr>
          <w:sz w:val="24"/>
        </w:rPr>
        <w:t> </w:t>
      </w:r>
      <w:r w:rsidRPr="00D043A6">
        <w:rPr>
          <w:sz w:val="24"/>
        </w:rPr>
        <w:t>000 latu.</w:t>
      </w:r>
      <w:r w:rsidR="003D0E98" w:rsidRPr="00D043A6">
        <w:rPr>
          <w:sz w:val="24"/>
        </w:rPr>
        <w:t xml:space="preserve"> </w:t>
      </w:r>
      <w:r w:rsidR="00250C6C" w:rsidRPr="00D043A6">
        <w:rPr>
          <w:sz w:val="24"/>
        </w:rPr>
        <w:t xml:space="preserve">Aktivitātes ietvaros pieejamais </w:t>
      </w:r>
      <w:r w:rsidR="00B60BBF" w:rsidRPr="00D043A6">
        <w:rPr>
          <w:sz w:val="24"/>
        </w:rPr>
        <w:t>ERAF</w:t>
      </w:r>
      <w:r w:rsidR="00250C6C" w:rsidRPr="00D043A6">
        <w:rPr>
          <w:sz w:val="24"/>
        </w:rPr>
        <w:t xml:space="preserve"> finansējums ir 4,85 milj. latu. Aktivitātes ietvaros apstiprināti 59</w:t>
      </w:r>
      <w:r w:rsidR="00931079" w:rsidRPr="00D043A6">
        <w:rPr>
          <w:sz w:val="24"/>
        </w:rPr>
        <w:t xml:space="preserve"> projekti</w:t>
      </w:r>
      <w:r w:rsidR="009E23FB">
        <w:rPr>
          <w:sz w:val="24"/>
        </w:rPr>
        <w:t>,</w:t>
      </w:r>
      <w:r w:rsidR="00250C6C" w:rsidRPr="00D043A6">
        <w:rPr>
          <w:sz w:val="24"/>
        </w:rPr>
        <w:t xml:space="preserve"> </w:t>
      </w:r>
      <w:r w:rsidR="00A844A8" w:rsidRPr="00D043A6">
        <w:rPr>
          <w:sz w:val="24"/>
        </w:rPr>
        <w:t xml:space="preserve">un pēc to pabeigšanas </w:t>
      </w:r>
      <w:r w:rsidR="00250C6C" w:rsidRPr="00D043A6">
        <w:rPr>
          <w:sz w:val="24"/>
        </w:rPr>
        <w:t xml:space="preserve">(līdz </w:t>
      </w:r>
      <w:r w:rsidR="00BE69B8" w:rsidRPr="00D043A6">
        <w:rPr>
          <w:sz w:val="24"/>
        </w:rPr>
        <w:t>2013</w:t>
      </w:r>
      <w:r w:rsidR="00250C6C" w:rsidRPr="00D043A6">
        <w:rPr>
          <w:sz w:val="24"/>
        </w:rPr>
        <w:t xml:space="preserve">. gada </w:t>
      </w:r>
      <w:r w:rsidR="00017DE7" w:rsidRPr="00D043A6">
        <w:rPr>
          <w:sz w:val="24"/>
        </w:rPr>
        <w:t xml:space="preserve">5. februārim 34 </w:t>
      </w:r>
      <w:r w:rsidR="00250C6C" w:rsidRPr="00D043A6">
        <w:rPr>
          <w:sz w:val="24"/>
        </w:rPr>
        <w:t>ir pabeigti)</w:t>
      </w:r>
      <w:r w:rsidR="00A844A8" w:rsidRPr="00D043A6">
        <w:rPr>
          <w:sz w:val="24"/>
        </w:rPr>
        <w:t xml:space="preserve"> </w:t>
      </w:r>
      <w:r w:rsidR="00814225" w:rsidRPr="00D043A6">
        <w:rPr>
          <w:sz w:val="24"/>
        </w:rPr>
        <w:t xml:space="preserve">tiks nodrošināts, ka renovēti </w:t>
      </w:r>
      <w:r w:rsidR="00B60BBF" w:rsidRPr="00D043A6">
        <w:rPr>
          <w:sz w:val="24"/>
        </w:rPr>
        <w:t>būs</w:t>
      </w:r>
      <w:r w:rsidR="00814225" w:rsidRPr="00D043A6">
        <w:rPr>
          <w:sz w:val="24"/>
        </w:rPr>
        <w:t xml:space="preserve"> </w:t>
      </w:r>
      <w:r w:rsidR="00951887" w:rsidRPr="00D043A6">
        <w:rPr>
          <w:sz w:val="24"/>
        </w:rPr>
        <w:t xml:space="preserve">aptuveni </w:t>
      </w:r>
      <w:r w:rsidR="00814225" w:rsidRPr="00D043A6">
        <w:rPr>
          <w:sz w:val="24"/>
        </w:rPr>
        <w:t>50% pašvaldībām piederošu sociālo māju</w:t>
      </w:r>
      <w:r w:rsidR="00931079" w:rsidRPr="00D043A6">
        <w:rPr>
          <w:sz w:val="24"/>
        </w:rPr>
        <w:t>.</w:t>
      </w:r>
    </w:p>
    <w:p w:rsidR="00F67533" w:rsidRPr="00D043A6" w:rsidRDefault="00F67533" w:rsidP="00A17D2E">
      <w:pPr>
        <w:pStyle w:val="Subtitle1"/>
      </w:pPr>
      <w:bookmarkStart w:id="17" w:name="_Ref326844352"/>
      <w:bookmarkStart w:id="18" w:name="_Toc353811840"/>
      <w:r w:rsidRPr="00D043A6">
        <w:t>Klimata pārmaiņu finanšu instruments (KPFI)</w:t>
      </w:r>
      <w:bookmarkEnd w:id="17"/>
      <w:bookmarkEnd w:id="18"/>
    </w:p>
    <w:p w:rsidR="006C6889" w:rsidRPr="00D043A6" w:rsidRDefault="006C6889" w:rsidP="006C6889">
      <w:pPr>
        <w:ind w:firstLine="720"/>
        <w:jc w:val="both"/>
        <w:rPr>
          <w:sz w:val="24"/>
          <w:szCs w:val="24"/>
        </w:rPr>
      </w:pPr>
      <w:r w:rsidRPr="00D043A6">
        <w:rPr>
          <w:sz w:val="24"/>
          <w:szCs w:val="24"/>
        </w:rPr>
        <w:t>„Klimata pārmaiņu finanšu instruments (turpmāk – KPFI) ir līdzekļi, kas iegūti, pārdodot valstij piederošās siltumnīcefekta gāzu emisijas vienības Apvienoto Nāciju Organizācijas Vispārējās konvencijas par klimata pārmaiņām Kioto protokola 17. pantā noteiktajā kārtībā, un kas tiek novirzīti klimata pārmaiņu novēršanai atbilstoši likumā „Par Latvijas Republikas dalību Kioto protokola elastīgajos mehānismos” noteiktajiem principiem un prioritātēm.</w:t>
      </w:r>
    </w:p>
    <w:p w:rsidR="006C6889" w:rsidRPr="00D043A6" w:rsidRDefault="006C6889" w:rsidP="006C6889">
      <w:pPr>
        <w:ind w:firstLine="709"/>
        <w:jc w:val="both"/>
        <w:rPr>
          <w:sz w:val="24"/>
          <w:szCs w:val="24"/>
        </w:rPr>
      </w:pPr>
      <w:r w:rsidRPr="00D043A6">
        <w:rPr>
          <w:sz w:val="24"/>
          <w:szCs w:val="24"/>
        </w:rPr>
        <w:t>KPFI mērķis ir veicināt globālo klimata pārmaiņu novēršanu, pielāgošanos klimata pārmaiņu radītajām sekām un sekmēt siltumnīcefekta gāzu emisijas samazināšanu (piemēram, īstenojot pasākumus ēku energoefektivitātes uzlabošanai gan sabiedriskajā, gan privātajā sektorā, tehnoloģiju, kurās izmanto atjaunojamos energoresursus attīstīšanu un ieviešanu, kā arī īstenojot integrētus risinājumus siltumnīcefekta gāzu emisijas samazināšanai).</w:t>
      </w:r>
    </w:p>
    <w:p w:rsidR="006C6889" w:rsidRPr="00D043A6" w:rsidRDefault="006C6889" w:rsidP="006C6889">
      <w:pPr>
        <w:ind w:firstLine="720"/>
        <w:jc w:val="both"/>
        <w:rPr>
          <w:sz w:val="24"/>
          <w:szCs w:val="24"/>
        </w:rPr>
      </w:pPr>
      <w:r w:rsidRPr="00D043A6">
        <w:rPr>
          <w:sz w:val="24"/>
          <w:szCs w:val="24"/>
        </w:rPr>
        <w:t>Vides aizsardzības un reģionālās attīstības ministrija ir KPFI budžeta programmas izpildītāja.</w:t>
      </w:r>
    </w:p>
    <w:p w:rsidR="006C6889" w:rsidRPr="00D043A6" w:rsidRDefault="006C6889" w:rsidP="006C6889">
      <w:pPr>
        <w:ind w:firstLine="720"/>
        <w:jc w:val="both"/>
        <w:rPr>
          <w:sz w:val="24"/>
          <w:szCs w:val="24"/>
        </w:rPr>
      </w:pPr>
    </w:p>
    <w:p w:rsidR="006C6889" w:rsidRPr="00D043A6" w:rsidRDefault="006C6889" w:rsidP="006C6889">
      <w:pPr>
        <w:ind w:firstLine="720"/>
        <w:jc w:val="both"/>
        <w:rPr>
          <w:sz w:val="24"/>
          <w:szCs w:val="24"/>
        </w:rPr>
      </w:pPr>
      <w:r w:rsidRPr="00D043A6">
        <w:rPr>
          <w:sz w:val="24"/>
          <w:szCs w:val="24"/>
        </w:rPr>
        <w:t>KPFI finansējums ir pārdalīts atbilstoši MK protokollēmumiem un izmantots</w:t>
      </w:r>
      <w:r w:rsidR="009E23FB">
        <w:rPr>
          <w:sz w:val="24"/>
          <w:szCs w:val="24"/>
        </w:rPr>
        <w:t>,</w:t>
      </w:r>
      <w:r w:rsidRPr="00D043A6">
        <w:rPr>
          <w:sz w:val="24"/>
          <w:szCs w:val="24"/>
        </w:rPr>
        <w:t xml:space="preserve"> organizējot projektu iesniegumu konkursus atbilstoši apstiprinātajiem MK noteikumiem. 2009. gadā KPFI finansējums tika pārdalīts 4 projektu iesniegumu konkursiem, 2010. gadā – 10 projektu iesniegumu konkursiem, bet 2012.gadā – 1 projektu iesniegumu konkursam. Tostarp 6 projektu iesniegumu konkursos ir sniegts atbalsts nedzīvojamo ēku un vienā projektu iesniegumu konkursā </w:t>
      </w:r>
      <w:r w:rsidR="009E23FB">
        <w:rPr>
          <w:sz w:val="24"/>
          <w:szCs w:val="24"/>
        </w:rPr>
        <w:t xml:space="preserve">- </w:t>
      </w:r>
      <w:r w:rsidRPr="00D043A6">
        <w:rPr>
          <w:sz w:val="24"/>
          <w:szCs w:val="24"/>
        </w:rPr>
        <w:t>dzīvojamo ēku energoefektivitātes pasākumu īstenošanai (skat. 6.tabulu).</w:t>
      </w:r>
    </w:p>
    <w:p w:rsidR="006C6889" w:rsidRPr="00D043A6" w:rsidRDefault="006C6889" w:rsidP="006C6889">
      <w:pPr>
        <w:ind w:firstLine="720"/>
        <w:jc w:val="both"/>
      </w:pPr>
    </w:p>
    <w:p w:rsidR="006C6889" w:rsidRPr="00D043A6" w:rsidRDefault="006C6889" w:rsidP="006C6889">
      <w:pPr>
        <w:rPr>
          <w:i/>
        </w:rPr>
      </w:pPr>
      <w:r w:rsidRPr="00D043A6">
        <w:rPr>
          <w:i/>
          <w:sz w:val="24"/>
          <w:szCs w:val="24"/>
        </w:rPr>
        <w:t>6. tabula. Ēku sektorā īstenotie KPFI projektu iesniegumu konkursi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3"/>
        <w:gridCol w:w="2358"/>
        <w:gridCol w:w="2392"/>
        <w:gridCol w:w="2138"/>
        <w:gridCol w:w="1796"/>
      </w:tblGrid>
      <w:tr w:rsidR="006C6889" w:rsidRPr="00D043A6" w:rsidTr="006C6889">
        <w:trPr>
          <w:tblHeader/>
          <w:jc w:val="center"/>
        </w:trPr>
        <w:tc>
          <w:tcPr>
            <w:tcW w:w="0" w:type="auto"/>
            <w:vAlign w:val="center"/>
          </w:tcPr>
          <w:p w:rsidR="006C6889" w:rsidRPr="00D043A6" w:rsidRDefault="006C6889" w:rsidP="006C6889">
            <w:pPr>
              <w:pStyle w:val="Tabletext"/>
              <w:spacing w:before="0" w:after="0" w:line="240" w:lineRule="auto"/>
              <w:jc w:val="center"/>
              <w:rPr>
                <w:rFonts w:ascii="Times New Roman" w:hAnsi="Times New Roman"/>
                <w:b/>
                <w:sz w:val="24"/>
                <w:szCs w:val="24"/>
                <w:lang w:val="lv-LV"/>
              </w:rPr>
            </w:pPr>
            <w:r w:rsidRPr="00D043A6">
              <w:rPr>
                <w:rFonts w:ascii="Times New Roman" w:hAnsi="Times New Roman"/>
                <w:b/>
                <w:sz w:val="24"/>
                <w:szCs w:val="24"/>
                <w:lang w:val="lv-LV"/>
              </w:rPr>
              <w:t>Nr.</w:t>
            </w:r>
          </w:p>
          <w:p w:rsidR="006C6889" w:rsidRPr="00D043A6" w:rsidRDefault="006C6889" w:rsidP="006C6889">
            <w:pPr>
              <w:pStyle w:val="Tabletext"/>
              <w:spacing w:before="0" w:after="0" w:line="240" w:lineRule="auto"/>
              <w:jc w:val="center"/>
              <w:rPr>
                <w:rFonts w:ascii="Times New Roman" w:hAnsi="Times New Roman"/>
                <w:b/>
                <w:sz w:val="24"/>
                <w:szCs w:val="24"/>
                <w:lang w:val="lv-LV"/>
              </w:rPr>
            </w:pPr>
            <w:r w:rsidRPr="00D043A6">
              <w:rPr>
                <w:rFonts w:ascii="Times New Roman" w:hAnsi="Times New Roman"/>
                <w:b/>
                <w:sz w:val="24"/>
                <w:szCs w:val="24"/>
                <w:lang w:val="lv-LV"/>
              </w:rPr>
              <w:t>p.k.</w:t>
            </w:r>
          </w:p>
        </w:tc>
        <w:tc>
          <w:tcPr>
            <w:tcW w:w="0" w:type="auto"/>
            <w:vAlign w:val="center"/>
          </w:tcPr>
          <w:p w:rsidR="006C6889" w:rsidRPr="00D043A6" w:rsidRDefault="006C6889" w:rsidP="006C6889">
            <w:pPr>
              <w:pStyle w:val="Tabletext"/>
              <w:spacing w:before="0" w:after="0" w:line="240" w:lineRule="auto"/>
              <w:jc w:val="center"/>
              <w:rPr>
                <w:rFonts w:ascii="Times New Roman" w:hAnsi="Times New Roman"/>
                <w:b/>
                <w:sz w:val="24"/>
                <w:szCs w:val="24"/>
                <w:lang w:val="lv-LV"/>
              </w:rPr>
            </w:pPr>
            <w:r w:rsidRPr="00D043A6">
              <w:rPr>
                <w:rFonts w:ascii="Times New Roman" w:hAnsi="Times New Roman"/>
                <w:b/>
                <w:sz w:val="24"/>
                <w:szCs w:val="24"/>
                <w:lang w:val="lv-LV"/>
              </w:rPr>
              <w:t>KPFI projektu iesniegumu konkursa nosaukums</w:t>
            </w:r>
          </w:p>
        </w:tc>
        <w:tc>
          <w:tcPr>
            <w:tcW w:w="1288" w:type="pct"/>
            <w:vAlign w:val="center"/>
          </w:tcPr>
          <w:p w:rsidR="006C6889" w:rsidRPr="00D043A6" w:rsidRDefault="006C6889" w:rsidP="006C6889">
            <w:pPr>
              <w:pStyle w:val="Tabletext"/>
              <w:spacing w:before="0" w:after="0" w:line="240" w:lineRule="auto"/>
              <w:jc w:val="center"/>
              <w:rPr>
                <w:rFonts w:ascii="Times New Roman" w:hAnsi="Times New Roman"/>
                <w:b/>
                <w:sz w:val="24"/>
                <w:szCs w:val="24"/>
                <w:lang w:val="lv-LV"/>
              </w:rPr>
            </w:pPr>
            <w:r w:rsidRPr="00D043A6">
              <w:rPr>
                <w:rFonts w:ascii="Times New Roman" w:hAnsi="Times New Roman"/>
                <w:b/>
                <w:sz w:val="24"/>
                <w:szCs w:val="24"/>
                <w:lang w:val="lv-LV"/>
              </w:rPr>
              <w:t>Mērķauditorija</w:t>
            </w:r>
          </w:p>
        </w:tc>
        <w:tc>
          <w:tcPr>
            <w:tcW w:w="1151" w:type="pct"/>
            <w:vAlign w:val="center"/>
          </w:tcPr>
          <w:p w:rsidR="006C6889" w:rsidRPr="00D043A6" w:rsidRDefault="006C6889" w:rsidP="006C6889">
            <w:pPr>
              <w:pStyle w:val="Tabletext"/>
              <w:spacing w:before="0" w:after="0" w:line="240" w:lineRule="auto"/>
              <w:jc w:val="center"/>
              <w:rPr>
                <w:rFonts w:ascii="Times New Roman" w:hAnsi="Times New Roman"/>
                <w:b/>
                <w:sz w:val="24"/>
                <w:szCs w:val="24"/>
                <w:lang w:val="lv-LV"/>
              </w:rPr>
            </w:pPr>
            <w:r w:rsidRPr="00D043A6">
              <w:rPr>
                <w:rFonts w:ascii="Times New Roman" w:hAnsi="Times New Roman"/>
                <w:b/>
                <w:sz w:val="24"/>
                <w:szCs w:val="24"/>
                <w:lang w:val="lv-LV"/>
              </w:rPr>
              <w:t>Projektu īstenošanas termiņš</w:t>
            </w:r>
          </w:p>
        </w:tc>
        <w:tc>
          <w:tcPr>
            <w:tcW w:w="967" w:type="pct"/>
            <w:vAlign w:val="center"/>
          </w:tcPr>
          <w:p w:rsidR="006C6889" w:rsidRPr="00D043A6" w:rsidRDefault="006C6889" w:rsidP="006C6889">
            <w:pPr>
              <w:pStyle w:val="Tabletext"/>
              <w:spacing w:before="0" w:after="0" w:line="240" w:lineRule="auto"/>
              <w:jc w:val="center"/>
              <w:rPr>
                <w:rFonts w:ascii="Times New Roman" w:hAnsi="Times New Roman"/>
                <w:b/>
                <w:sz w:val="24"/>
                <w:szCs w:val="24"/>
                <w:lang w:val="lv-LV"/>
              </w:rPr>
            </w:pPr>
            <w:r w:rsidRPr="00D043A6">
              <w:rPr>
                <w:rFonts w:ascii="Times New Roman" w:hAnsi="Times New Roman"/>
                <w:b/>
                <w:sz w:val="24"/>
                <w:szCs w:val="24"/>
                <w:lang w:val="lv-LV"/>
              </w:rPr>
              <w:t>Pieejamais KPFI finansējums, latos</w:t>
            </w:r>
          </w:p>
        </w:tc>
      </w:tr>
      <w:tr w:rsidR="006C6889" w:rsidRPr="00D043A6" w:rsidTr="006C6889">
        <w:trPr>
          <w:tblHeader/>
          <w:jc w:val="center"/>
        </w:trPr>
        <w:tc>
          <w:tcPr>
            <w:tcW w:w="0" w:type="auto"/>
            <w:vAlign w:val="center"/>
          </w:tcPr>
          <w:p w:rsidR="006C6889" w:rsidRPr="00D043A6" w:rsidRDefault="006C6889" w:rsidP="006C6889">
            <w:pPr>
              <w:pStyle w:val="Tabletext"/>
              <w:spacing w:before="0" w:after="0" w:line="240" w:lineRule="auto"/>
              <w:jc w:val="center"/>
              <w:rPr>
                <w:rFonts w:ascii="Times New Roman" w:hAnsi="Times New Roman"/>
                <w:sz w:val="24"/>
                <w:szCs w:val="24"/>
                <w:lang w:val="lv-LV"/>
              </w:rPr>
            </w:pPr>
            <w:r w:rsidRPr="00D043A6">
              <w:rPr>
                <w:rFonts w:ascii="Times New Roman" w:hAnsi="Times New Roman"/>
                <w:sz w:val="24"/>
                <w:szCs w:val="24"/>
                <w:lang w:val="lv-LV"/>
              </w:rPr>
              <w:lastRenderedPageBreak/>
              <w:t>1.</w:t>
            </w:r>
          </w:p>
        </w:tc>
        <w:tc>
          <w:tcPr>
            <w:tcW w:w="0" w:type="auto"/>
            <w:vAlign w:val="center"/>
          </w:tcPr>
          <w:p w:rsidR="006C6889" w:rsidRPr="00D043A6" w:rsidRDefault="006C6889" w:rsidP="006C6889">
            <w:pPr>
              <w:pStyle w:val="Tabletext"/>
              <w:spacing w:before="0" w:after="0" w:line="240" w:lineRule="auto"/>
              <w:jc w:val="left"/>
              <w:rPr>
                <w:rFonts w:ascii="Times New Roman" w:hAnsi="Times New Roman"/>
                <w:sz w:val="24"/>
                <w:szCs w:val="24"/>
                <w:lang w:val="lv-LV"/>
              </w:rPr>
            </w:pPr>
            <w:r w:rsidRPr="00D043A6">
              <w:rPr>
                <w:rFonts w:ascii="Times New Roman" w:hAnsi="Times New Roman"/>
                <w:color w:val="000000"/>
                <w:sz w:val="24"/>
                <w:szCs w:val="24"/>
                <w:lang w:val="lv-LV" w:eastAsia="lv-LV"/>
              </w:rPr>
              <w:t>Energoefektivitātes paaugstināšana pašvaldību ēkās</w:t>
            </w:r>
            <w:r w:rsidRPr="00D043A6">
              <w:rPr>
                <w:rStyle w:val="FootnoteReference"/>
                <w:rFonts w:ascii="Times New Roman" w:hAnsi="Times New Roman"/>
                <w:color w:val="000000"/>
                <w:sz w:val="24"/>
                <w:szCs w:val="24"/>
                <w:lang w:val="lv-LV" w:eastAsia="lv-LV"/>
              </w:rPr>
              <w:footnoteReference w:id="13"/>
            </w:r>
          </w:p>
        </w:tc>
        <w:tc>
          <w:tcPr>
            <w:tcW w:w="1288" w:type="pct"/>
            <w:vAlign w:val="center"/>
          </w:tcPr>
          <w:p w:rsidR="006C6889" w:rsidRPr="00D043A6" w:rsidRDefault="006C6889" w:rsidP="006C6889">
            <w:pPr>
              <w:pStyle w:val="Tabletext"/>
              <w:spacing w:before="0" w:after="0" w:line="240" w:lineRule="auto"/>
              <w:jc w:val="left"/>
              <w:rPr>
                <w:rFonts w:ascii="Times New Roman" w:hAnsi="Times New Roman"/>
                <w:sz w:val="24"/>
                <w:szCs w:val="24"/>
                <w:lang w:val="lv-LV"/>
              </w:rPr>
            </w:pPr>
            <w:r w:rsidRPr="00D043A6">
              <w:rPr>
                <w:rFonts w:ascii="Times New Roman" w:hAnsi="Times New Roman"/>
                <w:sz w:val="24"/>
                <w:szCs w:val="24"/>
                <w:lang w:val="lv-LV"/>
              </w:rPr>
              <w:t>Latvijas Republikas pilsētas vai novada pašvaldības</w:t>
            </w:r>
          </w:p>
        </w:tc>
        <w:tc>
          <w:tcPr>
            <w:tcW w:w="1151" w:type="pct"/>
            <w:vAlign w:val="center"/>
          </w:tcPr>
          <w:p w:rsidR="006C6889" w:rsidRPr="00D043A6" w:rsidRDefault="006C6889" w:rsidP="006C6889">
            <w:pPr>
              <w:pStyle w:val="Tabletext"/>
              <w:spacing w:before="0" w:after="0" w:line="240" w:lineRule="auto"/>
              <w:jc w:val="left"/>
              <w:rPr>
                <w:rFonts w:ascii="Times New Roman" w:hAnsi="Times New Roman"/>
                <w:sz w:val="24"/>
                <w:szCs w:val="24"/>
                <w:lang w:val="lv-LV"/>
              </w:rPr>
            </w:pPr>
            <w:r w:rsidRPr="00D043A6">
              <w:rPr>
                <w:rFonts w:ascii="Times New Roman" w:hAnsi="Times New Roman"/>
                <w:sz w:val="24"/>
                <w:szCs w:val="24"/>
                <w:lang w:val="lv-LV"/>
              </w:rPr>
              <w:t>līdz 2010.gada 1.decembrim (iespējams pagarinājums līdz 1 gadam)</w:t>
            </w:r>
          </w:p>
        </w:tc>
        <w:tc>
          <w:tcPr>
            <w:tcW w:w="967" w:type="pct"/>
            <w:vAlign w:val="center"/>
          </w:tcPr>
          <w:p w:rsidR="006C6889" w:rsidRPr="00D043A6" w:rsidRDefault="006C6889" w:rsidP="006C6889">
            <w:pPr>
              <w:pStyle w:val="Tabletext"/>
              <w:spacing w:line="240" w:lineRule="auto"/>
              <w:jc w:val="center"/>
              <w:rPr>
                <w:rFonts w:ascii="Times New Roman" w:hAnsi="Times New Roman"/>
                <w:sz w:val="24"/>
                <w:szCs w:val="24"/>
                <w:lang w:val="lv-LV"/>
              </w:rPr>
            </w:pPr>
            <w:r w:rsidRPr="00D043A6">
              <w:rPr>
                <w:rFonts w:ascii="Times New Roman" w:hAnsi="Times New Roman"/>
                <w:sz w:val="24"/>
                <w:szCs w:val="24"/>
                <w:lang w:val="lv-LV"/>
              </w:rPr>
              <w:t>23 762 461</w:t>
            </w:r>
          </w:p>
        </w:tc>
      </w:tr>
      <w:tr w:rsidR="006C6889" w:rsidRPr="00D043A6" w:rsidTr="006C6889">
        <w:trPr>
          <w:tblHeader/>
          <w:jc w:val="center"/>
        </w:trPr>
        <w:tc>
          <w:tcPr>
            <w:tcW w:w="0" w:type="auto"/>
            <w:vAlign w:val="center"/>
          </w:tcPr>
          <w:p w:rsidR="006C6889" w:rsidRPr="00D043A6" w:rsidRDefault="006C6889" w:rsidP="006C6889">
            <w:pPr>
              <w:pStyle w:val="Tabletext"/>
              <w:spacing w:before="0" w:after="0" w:line="240" w:lineRule="auto"/>
              <w:jc w:val="center"/>
              <w:rPr>
                <w:rFonts w:ascii="Times New Roman" w:hAnsi="Times New Roman"/>
                <w:sz w:val="24"/>
                <w:szCs w:val="24"/>
                <w:lang w:val="lv-LV"/>
              </w:rPr>
            </w:pPr>
            <w:r w:rsidRPr="00D043A6">
              <w:rPr>
                <w:rFonts w:ascii="Times New Roman" w:hAnsi="Times New Roman"/>
                <w:sz w:val="24"/>
                <w:szCs w:val="24"/>
                <w:lang w:val="lv-LV"/>
              </w:rPr>
              <w:t>2.</w:t>
            </w:r>
          </w:p>
        </w:tc>
        <w:tc>
          <w:tcPr>
            <w:tcW w:w="0" w:type="auto"/>
            <w:vAlign w:val="center"/>
          </w:tcPr>
          <w:p w:rsidR="006C6889" w:rsidRPr="00D043A6" w:rsidRDefault="006C6889" w:rsidP="006C6889">
            <w:pPr>
              <w:pStyle w:val="Tabletext"/>
              <w:spacing w:before="0" w:after="0" w:line="240" w:lineRule="auto"/>
              <w:jc w:val="left"/>
              <w:rPr>
                <w:rFonts w:ascii="Times New Roman" w:hAnsi="Times New Roman"/>
                <w:sz w:val="24"/>
                <w:szCs w:val="24"/>
                <w:lang w:val="lv-LV"/>
              </w:rPr>
            </w:pPr>
            <w:r w:rsidRPr="00D043A6">
              <w:rPr>
                <w:rFonts w:ascii="Times New Roman" w:hAnsi="Times New Roman"/>
                <w:color w:val="000000"/>
                <w:sz w:val="24"/>
                <w:szCs w:val="24"/>
                <w:lang w:val="lv-LV" w:eastAsia="lv-LV"/>
              </w:rPr>
              <w:t>Energoefektivitātes paaugstināšana augstākās izglītības iestāžu ēkās</w:t>
            </w:r>
            <w:r w:rsidRPr="00D043A6">
              <w:rPr>
                <w:rStyle w:val="FootnoteReference"/>
                <w:rFonts w:ascii="Times New Roman" w:hAnsi="Times New Roman"/>
                <w:color w:val="000000"/>
                <w:sz w:val="24"/>
                <w:szCs w:val="24"/>
                <w:lang w:val="lv-LV" w:eastAsia="lv-LV"/>
              </w:rPr>
              <w:footnoteReference w:id="14"/>
            </w:r>
          </w:p>
        </w:tc>
        <w:tc>
          <w:tcPr>
            <w:tcW w:w="1288" w:type="pct"/>
            <w:vAlign w:val="center"/>
          </w:tcPr>
          <w:p w:rsidR="006C6889" w:rsidRPr="00D043A6" w:rsidRDefault="006C6889" w:rsidP="006C6889">
            <w:pPr>
              <w:pStyle w:val="Tabletext"/>
              <w:spacing w:before="0" w:after="0" w:line="240" w:lineRule="auto"/>
              <w:jc w:val="left"/>
              <w:rPr>
                <w:rFonts w:ascii="Times New Roman" w:hAnsi="Times New Roman"/>
                <w:sz w:val="24"/>
                <w:szCs w:val="24"/>
                <w:lang w:val="lv-LV"/>
              </w:rPr>
            </w:pPr>
            <w:r w:rsidRPr="00D043A6">
              <w:rPr>
                <w:rFonts w:ascii="Times New Roman" w:hAnsi="Times New Roman"/>
                <w:sz w:val="24"/>
                <w:szCs w:val="24"/>
                <w:lang w:val="lv-LV"/>
              </w:rPr>
              <w:t>Latvijas Republikā akreditētas augstākās izglītības iestādes</w:t>
            </w:r>
          </w:p>
        </w:tc>
        <w:tc>
          <w:tcPr>
            <w:tcW w:w="1151" w:type="pct"/>
            <w:vAlign w:val="center"/>
          </w:tcPr>
          <w:p w:rsidR="006C6889" w:rsidRPr="00D043A6" w:rsidRDefault="006C6889" w:rsidP="006C6889">
            <w:pPr>
              <w:pStyle w:val="Tabletext"/>
              <w:spacing w:before="0" w:after="0" w:line="240" w:lineRule="auto"/>
              <w:jc w:val="left"/>
              <w:rPr>
                <w:rFonts w:ascii="Times New Roman" w:hAnsi="Times New Roman"/>
                <w:sz w:val="24"/>
                <w:szCs w:val="24"/>
                <w:lang w:val="lv-LV"/>
              </w:rPr>
            </w:pPr>
            <w:r w:rsidRPr="00D043A6">
              <w:rPr>
                <w:rFonts w:ascii="Times New Roman" w:hAnsi="Times New Roman"/>
                <w:sz w:val="24"/>
                <w:szCs w:val="24"/>
                <w:lang w:val="lv-LV"/>
              </w:rPr>
              <w:t>līdz 2011.gada 1.decembrim (iespējams pagarinājums līdz 1 gadam)</w:t>
            </w:r>
          </w:p>
        </w:tc>
        <w:tc>
          <w:tcPr>
            <w:tcW w:w="967" w:type="pct"/>
            <w:vAlign w:val="center"/>
          </w:tcPr>
          <w:p w:rsidR="006C6889" w:rsidRPr="00D043A6" w:rsidRDefault="006C6889" w:rsidP="006C6889">
            <w:pPr>
              <w:pStyle w:val="Tabletext"/>
              <w:spacing w:line="240" w:lineRule="auto"/>
              <w:jc w:val="center"/>
              <w:rPr>
                <w:rFonts w:ascii="Times New Roman" w:hAnsi="Times New Roman"/>
                <w:sz w:val="24"/>
                <w:szCs w:val="24"/>
                <w:lang w:val="lv-LV"/>
              </w:rPr>
            </w:pPr>
            <w:r w:rsidRPr="00D043A6">
              <w:rPr>
                <w:rFonts w:ascii="Times New Roman" w:hAnsi="Times New Roman"/>
                <w:color w:val="000000"/>
                <w:sz w:val="24"/>
                <w:szCs w:val="24"/>
                <w:lang w:val="lv-LV" w:eastAsia="lv-LV"/>
              </w:rPr>
              <w:t>7 028 040</w:t>
            </w:r>
          </w:p>
        </w:tc>
      </w:tr>
      <w:tr w:rsidR="006C6889" w:rsidRPr="00D043A6" w:rsidTr="006C6889">
        <w:trPr>
          <w:tblHeader/>
          <w:jc w:val="center"/>
        </w:trPr>
        <w:tc>
          <w:tcPr>
            <w:tcW w:w="0" w:type="auto"/>
            <w:vAlign w:val="center"/>
          </w:tcPr>
          <w:p w:rsidR="006C6889" w:rsidRPr="00D043A6" w:rsidRDefault="006C6889" w:rsidP="006C6889">
            <w:pPr>
              <w:pStyle w:val="Tabletext"/>
              <w:spacing w:before="0" w:after="0" w:line="240" w:lineRule="auto"/>
              <w:jc w:val="center"/>
              <w:rPr>
                <w:rFonts w:ascii="Times New Roman" w:hAnsi="Times New Roman"/>
                <w:sz w:val="24"/>
                <w:szCs w:val="24"/>
                <w:lang w:val="lv-LV"/>
              </w:rPr>
            </w:pPr>
            <w:r w:rsidRPr="00D043A6">
              <w:rPr>
                <w:rFonts w:ascii="Times New Roman" w:hAnsi="Times New Roman"/>
                <w:sz w:val="24"/>
                <w:szCs w:val="24"/>
                <w:lang w:val="lv-LV"/>
              </w:rPr>
              <w:t>3.</w:t>
            </w:r>
          </w:p>
        </w:tc>
        <w:tc>
          <w:tcPr>
            <w:tcW w:w="0" w:type="auto"/>
            <w:vAlign w:val="center"/>
          </w:tcPr>
          <w:p w:rsidR="006C6889" w:rsidRPr="00D043A6" w:rsidRDefault="006C6889" w:rsidP="006C6889">
            <w:pPr>
              <w:pStyle w:val="Tabletext"/>
              <w:spacing w:before="0" w:after="0" w:line="240" w:lineRule="auto"/>
              <w:jc w:val="left"/>
              <w:rPr>
                <w:rFonts w:ascii="Times New Roman" w:hAnsi="Times New Roman"/>
                <w:sz w:val="24"/>
                <w:szCs w:val="24"/>
                <w:lang w:val="lv-LV"/>
              </w:rPr>
            </w:pPr>
            <w:r w:rsidRPr="00D043A6">
              <w:rPr>
                <w:rFonts w:ascii="Times New Roman" w:hAnsi="Times New Roman"/>
                <w:color w:val="000000"/>
                <w:sz w:val="24"/>
                <w:szCs w:val="24"/>
                <w:lang w:val="lv-LV" w:eastAsia="lv-LV"/>
              </w:rPr>
              <w:t>Kompleksi risinājumi siltumnīcefekta gāzu emisiju samazināšanai profesionālās izglītības iestāžu ēkās</w:t>
            </w:r>
            <w:r w:rsidRPr="00D043A6">
              <w:rPr>
                <w:rStyle w:val="FootnoteReference"/>
                <w:rFonts w:ascii="Times New Roman" w:hAnsi="Times New Roman"/>
                <w:color w:val="000000"/>
                <w:sz w:val="24"/>
                <w:szCs w:val="24"/>
                <w:lang w:val="lv-LV" w:eastAsia="lv-LV"/>
              </w:rPr>
              <w:footnoteReference w:id="15"/>
            </w:r>
          </w:p>
        </w:tc>
        <w:tc>
          <w:tcPr>
            <w:tcW w:w="1288" w:type="pct"/>
            <w:vAlign w:val="center"/>
          </w:tcPr>
          <w:p w:rsidR="006C6889" w:rsidRPr="00D043A6" w:rsidRDefault="006C6889" w:rsidP="006C6889">
            <w:pPr>
              <w:pStyle w:val="Tabletext"/>
              <w:spacing w:before="0" w:after="0" w:line="240" w:lineRule="auto"/>
              <w:jc w:val="left"/>
              <w:rPr>
                <w:rFonts w:ascii="Times New Roman" w:hAnsi="Times New Roman"/>
                <w:sz w:val="24"/>
                <w:szCs w:val="24"/>
                <w:lang w:val="lv-LV"/>
              </w:rPr>
            </w:pPr>
            <w:r w:rsidRPr="00D043A6">
              <w:rPr>
                <w:rFonts w:ascii="Times New Roman" w:hAnsi="Times New Roman"/>
                <w:sz w:val="24"/>
                <w:szCs w:val="24"/>
                <w:lang w:val="lv-LV"/>
              </w:rPr>
              <w:t>Valsts vai pašvaldību profesionālās izglītības iestādes</w:t>
            </w:r>
          </w:p>
        </w:tc>
        <w:tc>
          <w:tcPr>
            <w:tcW w:w="1151" w:type="pct"/>
            <w:vAlign w:val="center"/>
          </w:tcPr>
          <w:p w:rsidR="006C6889" w:rsidRPr="00D043A6" w:rsidRDefault="006C6889" w:rsidP="006C6889">
            <w:pPr>
              <w:pStyle w:val="Tabletext"/>
              <w:spacing w:before="0" w:after="0" w:line="240" w:lineRule="auto"/>
              <w:jc w:val="left"/>
              <w:rPr>
                <w:rFonts w:ascii="Times New Roman" w:hAnsi="Times New Roman"/>
                <w:sz w:val="24"/>
                <w:szCs w:val="24"/>
                <w:lang w:val="lv-LV"/>
              </w:rPr>
            </w:pPr>
            <w:r w:rsidRPr="00D043A6">
              <w:rPr>
                <w:rFonts w:ascii="Times New Roman" w:hAnsi="Times New Roman"/>
                <w:sz w:val="24"/>
                <w:szCs w:val="24"/>
                <w:lang w:val="lv-LV"/>
              </w:rPr>
              <w:t>līdz 2011.gada 1.decembrim (iespējams pagarinājums līdz 1 gadam)</w:t>
            </w:r>
          </w:p>
        </w:tc>
        <w:tc>
          <w:tcPr>
            <w:tcW w:w="967" w:type="pct"/>
            <w:vAlign w:val="center"/>
          </w:tcPr>
          <w:p w:rsidR="006C6889" w:rsidRPr="00D043A6" w:rsidRDefault="006C6889" w:rsidP="006C6889">
            <w:pPr>
              <w:pStyle w:val="Tabletext"/>
              <w:spacing w:before="0" w:after="0" w:line="240" w:lineRule="auto"/>
              <w:jc w:val="center"/>
              <w:rPr>
                <w:rFonts w:ascii="Times New Roman" w:hAnsi="Times New Roman"/>
                <w:sz w:val="24"/>
                <w:szCs w:val="24"/>
                <w:lang w:val="lv-LV"/>
              </w:rPr>
            </w:pPr>
            <w:r w:rsidRPr="00D043A6">
              <w:rPr>
                <w:rFonts w:ascii="Times New Roman" w:hAnsi="Times New Roman"/>
                <w:sz w:val="24"/>
                <w:szCs w:val="24"/>
                <w:lang w:val="lv-LV"/>
              </w:rPr>
              <w:t>11 939 812</w:t>
            </w:r>
          </w:p>
        </w:tc>
      </w:tr>
      <w:tr w:rsidR="006C6889" w:rsidRPr="00D043A6" w:rsidTr="006C6889">
        <w:trPr>
          <w:tblHeader/>
          <w:jc w:val="center"/>
        </w:trPr>
        <w:tc>
          <w:tcPr>
            <w:tcW w:w="0" w:type="auto"/>
            <w:vAlign w:val="center"/>
          </w:tcPr>
          <w:p w:rsidR="006C6889" w:rsidRPr="00D043A6" w:rsidRDefault="006C6889" w:rsidP="006C6889">
            <w:pPr>
              <w:pStyle w:val="Tabletext"/>
              <w:spacing w:before="0" w:after="0" w:line="240" w:lineRule="auto"/>
              <w:jc w:val="center"/>
              <w:rPr>
                <w:rFonts w:ascii="Times New Roman" w:hAnsi="Times New Roman"/>
                <w:sz w:val="24"/>
                <w:szCs w:val="24"/>
                <w:lang w:val="lv-LV"/>
              </w:rPr>
            </w:pPr>
            <w:r w:rsidRPr="00D043A6">
              <w:rPr>
                <w:rFonts w:ascii="Times New Roman" w:hAnsi="Times New Roman"/>
                <w:sz w:val="24"/>
                <w:szCs w:val="24"/>
                <w:lang w:val="lv-LV"/>
              </w:rPr>
              <w:t>4.</w:t>
            </w:r>
          </w:p>
        </w:tc>
        <w:tc>
          <w:tcPr>
            <w:tcW w:w="0" w:type="auto"/>
            <w:vAlign w:val="center"/>
          </w:tcPr>
          <w:p w:rsidR="006C6889" w:rsidRPr="00D043A6" w:rsidRDefault="006C6889" w:rsidP="006C6889">
            <w:pPr>
              <w:pStyle w:val="Tabletext"/>
              <w:spacing w:before="0" w:after="0" w:line="240" w:lineRule="auto"/>
              <w:jc w:val="left"/>
              <w:rPr>
                <w:rFonts w:ascii="Times New Roman" w:hAnsi="Times New Roman"/>
                <w:sz w:val="24"/>
                <w:szCs w:val="24"/>
                <w:lang w:val="lv-LV"/>
              </w:rPr>
            </w:pPr>
            <w:r w:rsidRPr="00D043A6">
              <w:rPr>
                <w:rFonts w:ascii="Times New Roman" w:hAnsi="Times New Roman"/>
                <w:color w:val="000000"/>
                <w:sz w:val="24"/>
                <w:szCs w:val="24"/>
                <w:lang w:val="lv-LV" w:eastAsia="lv-LV"/>
              </w:rPr>
              <w:t>Kompleksi risinājumi siltumnīcefekta gāzu emisiju samazināšanai ražošanas ēkās</w:t>
            </w:r>
            <w:r w:rsidRPr="00D043A6">
              <w:rPr>
                <w:rStyle w:val="FootnoteReference"/>
                <w:rFonts w:ascii="Times New Roman" w:hAnsi="Times New Roman"/>
                <w:color w:val="000000"/>
                <w:sz w:val="24"/>
                <w:szCs w:val="24"/>
                <w:lang w:val="lv-LV" w:eastAsia="lv-LV"/>
              </w:rPr>
              <w:footnoteReference w:id="16"/>
            </w:r>
          </w:p>
        </w:tc>
        <w:tc>
          <w:tcPr>
            <w:tcW w:w="1288" w:type="pct"/>
            <w:vAlign w:val="center"/>
          </w:tcPr>
          <w:p w:rsidR="006C6889" w:rsidRPr="00D043A6" w:rsidRDefault="006C6889" w:rsidP="006C6889">
            <w:pPr>
              <w:pStyle w:val="Tabletext"/>
              <w:spacing w:before="0" w:after="0" w:line="240" w:lineRule="auto"/>
              <w:jc w:val="left"/>
              <w:rPr>
                <w:rFonts w:ascii="Times New Roman" w:hAnsi="Times New Roman"/>
                <w:sz w:val="24"/>
                <w:szCs w:val="24"/>
                <w:lang w:val="lv-LV"/>
              </w:rPr>
            </w:pPr>
            <w:r w:rsidRPr="00D043A6">
              <w:rPr>
                <w:rFonts w:ascii="Times New Roman" w:hAnsi="Times New Roman"/>
                <w:sz w:val="24"/>
                <w:szCs w:val="24"/>
                <w:lang w:val="lv-LV"/>
              </w:rPr>
              <w:t>Latvijas Republikā reģistrēti komersanti</w:t>
            </w:r>
          </w:p>
        </w:tc>
        <w:tc>
          <w:tcPr>
            <w:tcW w:w="1151" w:type="pct"/>
            <w:vAlign w:val="center"/>
          </w:tcPr>
          <w:p w:rsidR="006C6889" w:rsidRPr="00D043A6" w:rsidRDefault="006C6889" w:rsidP="006C6889">
            <w:pPr>
              <w:pStyle w:val="Tabletext"/>
              <w:spacing w:before="0" w:after="0" w:line="240" w:lineRule="auto"/>
              <w:jc w:val="left"/>
              <w:rPr>
                <w:rFonts w:ascii="Times New Roman" w:hAnsi="Times New Roman"/>
                <w:sz w:val="24"/>
                <w:szCs w:val="24"/>
                <w:lang w:val="lv-LV"/>
              </w:rPr>
            </w:pPr>
            <w:r w:rsidRPr="00D043A6">
              <w:rPr>
                <w:rFonts w:ascii="Times New Roman" w:hAnsi="Times New Roman"/>
                <w:sz w:val="24"/>
                <w:szCs w:val="24"/>
                <w:lang w:val="lv-LV"/>
              </w:rPr>
              <w:t>līdz 2011.gada 1.decembrim (iespējams pagarinājums līdz 1 gadam)</w:t>
            </w:r>
          </w:p>
        </w:tc>
        <w:tc>
          <w:tcPr>
            <w:tcW w:w="967" w:type="pct"/>
            <w:vAlign w:val="center"/>
          </w:tcPr>
          <w:p w:rsidR="006C6889" w:rsidRPr="00D043A6" w:rsidRDefault="006C6889" w:rsidP="006C6889">
            <w:pPr>
              <w:pStyle w:val="Tabletext"/>
              <w:spacing w:before="0" w:after="0" w:line="240" w:lineRule="auto"/>
              <w:jc w:val="center"/>
              <w:rPr>
                <w:rFonts w:ascii="Times New Roman" w:hAnsi="Times New Roman"/>
                <w:sz w:val="24"/>
                <w:szCs w:val="24"/>
                <w:lang w:val="lv-LV"/>
              </w:rPr>
            </w:pPr>
            <w:r w:rsidRPr="00D043A6">
              <w:rPr>
                <w:rFonts w:ascii="Times New Roman" w:hAnsi="Times New Roman"/>
                <w:sz w:val="24"/>
                <w:szCs w:val="24"/>
                <w:lang w:val="lv-LV"/>
              </w:rPr>
              <w:t>8 125 242</w:t>
            </w:r>
          </w:p>
        </w:tc>
      </w:tr>
      <w:tr w:rsidR="006C6889" w:rsidRPr="00D043A6" w:rsidTr="006C6889">
        <w:trPr>
          <w:tblHeader/>
          <w:jc w:val="center"/>
        </w:trPr>
        <w:tc>
          <w:tcPr>
            <w:tcW w:w="0" w:type="auto"/>
            <w:vAlign w:val="center"/>
          </w:tcPr>
          <w:p w:rsidR="006C6889" w:rsidRPr="00D043A6" w:rsidRDefault="006C6889" w:rsidP="006C6889">
            <w:pPr>
              <w:pStyle w:val="Tabletext"/>
              <w:spacing w:before="0" w:after="0" w:line="240" w:lineRule="auto"/>
              <w:jc w:val="center"/>
              <w:rPr>
                <w:rFonts w:ascii="Times New Roman" w:hAnsi="Times New Roman"/>
                <w:sz w:val="24"/>
                <w:szCs w:val="24"/>
                <w:lang w:val="lv-LV"/>
              </w:rPr>
            </w:pPr>
            <w:r w:rsidRPr="00D043A6">
              <w:rPr>
                <w:rFonts w:ascii="Times New Roman" w:hAnsi="Times New Roman"/>
                <w:sz w:val="24"/>
                <w:szCs w:val="24"/>
                <w:lang w:val="lv-LV"/>
              </w:rPr>
              <w:t>5.</w:t>
            </w:r>
          </w:p>
        </w:tc>
        <w:tc>
          <w:tcPr>
            <w:tcW w:w="0" w:type="auto"/>
            <w:vAlign w:val="center"/>
          </w:tcPr>
          <w:p w:rsidR="006C6889" w:rsidRPr="00D043A6" w:rsidRDefault="006C6889" w:rsidP="006C6889">
            <w:pPr>
              <w:pStyle w:val="Tabletext"/>
              <w:spacing w:before="0" w:after="0" w:line="240" w:lineRule="auto"/>
              <w:jc w:val="left"/>
              <w:rPr>
                <w:rFonts w:ascii="Times New Roman" w:hAnsi="Times New Roman"/>
                <w:sz w:val="24"/>
                <w:szCs w:val="24"/>
                <w:lang w:val="lv-LV"/>
              </w:rPr>
            </w:pPr>
            <w:r w:rsidRPr="00D043A6">
              <w:rPr>
                <w:rFonts w:ascii="Times New Roman" w:hAnsi="Times New Roman"/>
                <w:color w:val="000000"/>
                <w:sz w:val="24"/>
                <w:szCs w:val="24"/>
                <w:lang w:val="lv-LV" w:eastAsia="lv-LV"/>
              </w:rPr>
              <w:t>Kompleksi risinājumi siltumnīcefekta gāzu emisijas samazināšanai pašvaldību ēkās</w:t>
            </w:r>
            <w:r w:rsidRPr="00D043A6">
              <w:rPr>
                <w:rStyle w:val="FootnoteReference"/>
                <w:rFonts w:ascii="Times New Roman" w:hAnsi="Times New Roman"/>
                <w:color w:val="000000"/>
                <w:sz w:val="24"/>
                <w:szCs w:val="24"/>
                <w:lang w:val="lv-LV" w:eastAsia="lv-LV"/>
              </w:rPr>
              <w:footnoteReference w:id="17"/>
            </w:r>
          </w:p>
        </w:tc>
        <w:tc>
          <w:tcPr>
            <w:tcW w:w="1288" w:type="pct"/>
            <w:vAlign w:val="center"/>
          </w:tcPr>
          <w:p w:rsidR="006C6889" w:rsidRPr="00D043A6" w:rsidRDefault="006C6889" w:rsidP="006C6889">
            <w:pPr>
              <w:pStyle w:val="Tabletext"/>
              <w:spacing w:before="0" w:after="0" w:line="240" w:lineRule="auto"/>
              <w:jc w:val="left"/>
              <w:rPr>
                <w:rFonts w:ascii="Times New Roman" w:hAnsi="Times New Roman"/>
                <w:sz w:val="24"/>
                <w:szCs w:val="24"/>
                <w:lang w:val="lv-LV"/>
              </w:rPr>
            </w:pPr>
            <w:r w:rsidRPr="00D043A6">
              <w:rPr>
                <w:rFonts w:ascii="Times New Roman" w:hAnsi="Times New Roman"/>
                <w:sz w:val="24"/>
                <w:szCs w:val="24"/>
                <w:lang w:val="lv-LV"/>
              </w:rPr>
              <w:t>Latvijas Republikas pilsētas vai novada pašvaldības</w:t>
            </w:r>
          </w:p>
        </w:tc>
        <w:tc>
          <w:tcPr>
            <w:tcW w:w="1151" w:type="pct"/>
            <w:vAlign w:val="center"/>
          </w:tcPr>
          <w:p w:rsidR="006C6889" w:rsidRPr="00D043A6" w:rsidRDefault="006C6889" w:rsidP="006C6889">
            <w:pPr>
              <w:pStyle w:val="Tabletext"/>
              <w:spacing w:before="0" w:after="0" w:line="240" w:lineRule="auto"/>
              <w:jc w:val="left"/>
              <w:rPr>
                <w:rFonts w:ascii="Times New Roman" w:hAnsi="Times New Roman"/>
                <w:sz w:val="24"/>
                <w:szCs w:val="24"/>
                <w:lang w:val="lv-LV"/>
              </w:rPr>
            </w:pPr>
            <w:r w:rsidRPr="00D043A6">
              <w:rPr>
                <w:rFonts w:ascii="Times New Roman" w:hAnsi="Times New Roman"/>
                <w:sz w:val="24"/>
                <w:szCs w:val="24"/>
                <w:lang w:val="lv-LV"/>
              </w:rPr>
              <w:t>līdz 2011.gada 1.decembrim (iespējams pagarinājums līdz 1 gadam)</w:t>
            </w:r>
          </w:p>
        </w:tc>
        <w:tc>
          <w:tcPr>
            <w:tcW w:w="967" w:type="pct"/>
            <w:vAlign w:val="center"/>
          </w:tcPr>
          <w:p w:rsidR="006C6889" w:rsidRPr="00D043A6" w:rsidRDefault="006C6889" w:rsidP="006C6889">
            <w:pPr>
              <w:pStyle w:val="Tabletext"/>
              <w:spacing w:before="0" w:after="0" w:line="240" w:lineRule="auto"/>
              <w:jc w:val="center"/>
              <w:rPr>
                <w:rFonts w:ascii="Times New Roman" w:hAnsi="Times New Roman"/>
                <w:sz w:val="24"/>
                <w:szCs w:val="24"/>
                <w:lang w:val="lv-LV"/>
              </w:rPr>
            </w:pPr>
            <w:r w:rsidRPr="00D043A6">
              <w:rPr>
                <w:rFonts w:ascii="Times New Roman" w:hAnsi="Times New Roman"/>
                <w:sz w:val="24"/>
                <w:szCs w:val="24"/>
                <w:lang w:val="lv-LV"/>
              </w:rPr>
              <w:t>17 506 232</w:t>
            </w:r>
          </w:p>
        </w:tc>
      </w:tr>
      <w:tr w:rsidR="006C6889" w:rsidRPr="00D043A6" w:rsidTr="006C6889">
        <w:trPr>
          <w:tblHeader/>
          <w:jc w:val="center"/>
        </w:trPr>
        <w:tc>
          <w:tcPr>
            <w:tcW w:w="0" w:type="auto"/>
            <w:vAlign w:val="center"/>
          </w:tcPr>
          <w:p w:rsidR="006C6889" w:rsidRPr="00D043A6" w:rsidRDefault="006C6889" w:rsidP="006C6889">
            <w:pPr>
              <w:pStyle w:val="Tabletext"/>
              <w:spacing w:before="0" w:after="0" w:line="240" w:lineRule="auto"/>
              <w:jc w:val="center"/>
              <w:rPr>
                <w:rFonts w:ascii="Times New Roman" w:hAnsi="Times New Roman"/>
                <w:sz w:val="24"/>
                <w:szCs w:val="24"/>
                <w:lang w:val="lv-LV"/>
              </w:rPr>
            </w:pPr>
            <w:r w:rsidRPr="00D043A6">
              <w:rPr>
                <w:rFonts w:ascii="Times New Roman" w:hAnsi="Times New Roman"/>
                <w:sz w:val="24"/>
                <w:szCs w:val="24"/>
                <w:lang w:val="lv-LV"/>
              </w:rPr>
              <w:t>6.</w:t>
            </w:r>
          </w:p>
        </w:tc>
        <w:tc>
          <w:tcPr>
            <w:tcW w:w="0" w:type="auto"/>
            <w:vAlign w:val="center"/>
          </w:tcPr>
          <w:p w:rsidR="006C6889" w:rsidRPr="00D043A6" w:rsidRDefault="006C6889" w:rsidP="006C6889">
            <w:pPr>
              <w:pStyle w:val="Tabletext"/>
              <w:spacing w:before="0" w:after="0" w:line="240" w:lineRule="auto"/>
              <w:jc w:val="left"/>
              <w:rPr>
                <w:rFonts w:ascii="Times New Roman" w:hAnsi="Times New Roman"/>
                <w:sz w:val="24"/>
                <w:szCs w:val="24"/>
                <w:lang w:val="lv-LV"/>
              </w:rPr>
            </w:pPr>
            <w:r w:rsidRPr="00D043A6">
              <w:rPr>
                <w:rFonts w:ascii="Times New Roman" w:hAnsi="Times New Roman"/>
                <w:color w:val="000000"/>
                <w:sz w:val="24"/>
                <w:szCs w:val="24"/>
                <w:lang w:val="lv-LV" w:eastAsia="lv-LV"/>
              </w:rPr>
              <w:t>Zema enerģijas patēriņa ēkas</w:t>
            </w:r>
            <w:r w:rsidRPr="00D043A6">
              <w:rPr>
                <w:rStyle w:val="FootnoteReference"/>
                <w:rFonts w:ascii="Times New Roman" w:hAnsi="Times New Roman"/>
                <w:color w:val="000000"/>
                <w:sz w:val="24"/>
                <w:szCs w:val="24"/>
                <w:lang w:val="lv-LV" w:eastAsia="lv-LV"/>
              </w:rPr>
              <w:footnoteReference w:id="18"/>
            </w:r>
          </w:p>
        </w:tc>
        <w:tc>
          <w:tcPr>
            <w:tcW w:w="1288" w:type="pct"/>
            <w:vAlign w:val="center"/>
          </w:tcPr>
          <w:p w:rsidR="006C6889" w:rsidRPr="00D043A6" w:rsidRDefault="006C6889" w:rsidP="006C6889">
            <w:pPr>
              <w:pStyle w:val="Tabletext"/>
              <w:spacing w:before="0" w:after="0" w:line="240" w:lineRule="auto"/>
              <w:jc w:val="left"/>
              <w:rPr>
                <w:rFonts w:ascii="Times New Roman" w:hAnsi="Times New Roman"/>
                <w:sz w:val="24"/>
                <w:szCs w:val="24"/>
                <w:lang w:val="lv-LV"/>
              </w:rPr>
            </w:pPr>
            <w:r w:rsidRPr="00D043A6">
              <w:rPr>
                <w:rFonts w:ascii="Times New Roman" w:hAnsi="Times New Roman"/>
                <w:sz w:val="24"/>
                <w:szCs w:val="24"/>
                <w:lang w:val="lv-LV"/>
              </w:rPr>
              <w:t>Tiešās vai pastarpinātās pārvaldes iestādes, Latvijas Republikas pilsētas vai novada pašvaldības domes, Latvijas Republikā reģistrēti komersanti un fiziskas personas</w:t>
            </w:r>
          </w:p>
        </w:tc>
        <w:tc>
          <w:tcPr>
            <w:tcW w:w="1151" w:type="pct"/>
            <w:vAlign w:val="center"/>
          </w:tcPr>
          <w:p w:rsidR="006C6889" w:rsidRPr="00D043A6" w:rsidRDefault="006C6889" w:rsidP="006C6889">
            <w:pPr>
              <w:pStyle w:val="Tabletext"/>
              <w:spacing w:before="0" w:after="0" w:line="240" w:lineRule="auto"/>
              <w:jc w:val="left"/>
              <w:rPr>
                <w:rFonts w:ascii="Times New Roman" w:hAnsi="Times New Roman"/>
                <w:sz w:val="24"/>
                <w:szCs w:val="24"/>
                <w:lang w:val="lv-LV"/>
              </w:rPr>
            </w:pPr>
            <w:r w:rsidRPr="00D043A6">
              <w:rPr>
                <w:rFonts w:ascii="Times New Roman" w:hAnsi="Times New Roman"/>
                <w:sz w:val="24"/>
                <w:szCs w:val="24"/>
                <w:lang w:val="lv-LV"/>
              </w:rPr>
              <w:t>līdz 2012.gada 1.novembrim (iespējams pagarinājums līdz 1 gadam)</w:t>
            </w:r>
          </w:p>
        </w:tc>
        <w:tc>
          <w:tcPr>
            <w:tcW w:w="967" w:type="pct"/>
            <w:vAlign w:val="center"/>
          </w:tcPr>
          <w:p w:rsidR="006C6889" w:rsidRPr="00D043A6" w:rsidRDefault="006C6889" w:rsidP="006C6889">
            <w:pPr>
              <w:pStyle w:val="Tabletext"/>
              <w:spacing w:before="0" w:after="0" w:line="240" w:lineRule="auto"/>
              <w:jc w:val="center"/>
              <w:rPr>
                <w:rFonts w:ascii="Times New Roman" w:hAnsi="Times New Roman"/>
                <w:sz w:val="24"/>
                <w:szCs w:val="24"/>
                <w:lang w:val="lv-LV"/>
              </w:rPr>
            </w:pPr>
            <w:r w:rsidRPr="00D043A6">
              <w:rPr>
                <w:rFonts w:ascii="Times New Roman" w:hAnsi="Times New Roman"/>
                <w:sz w:val="24"/>
                <w:szCs w:val="24"/>
                <w:lang w:val="lv-LV"/>
              </w:rPr>
              <w:t>7 261 722</w:t>
            </w:r>
          </w:p>
        </w:tc>
      </w:tr>
      <w:tr w:rsidR="006C6889" w:rsidRPr="00D043A6" w:rsidTr="006C6889">
        <w:trPr>
          <w:tblHeader/>
          <w:jc w:val="center"/>
        </w:trPr>
        <w:tc>
          <w:tcPr>
            <w:tcW w:w="0" w:type="auto"/>
            <w:vAlign w:val="center"/>
          </w:tcPr>
          <w:p w:rsidR="006C6889" w:rsidRPr="00D043A6" w:rsidRDefault="006C6889" w:rsidP="006C6889">
            <w:pPr>
              <w:pStyle w:val="Tabletext"/>
              <w:spacing w:before="0" w:after="0" w:line="240" w:lineRule="auto"/>
              <w:jc w:val="center"/>
              <w:rPr>
                <w:rFonts w:ascii="Times New Roman" w:hAnsi="Times New Roman"/>
                <w:sz w:val="24"/>
                <w:szCs w:val="24"/>
                <w:lang w:val="lv-LV"/>
              </w:rPr>
            </w:pPr>
            <w:r w:rsidRPr="00D043A6">
              <w:rPr>
                <w:rFonts w:ascii="Times New Roman" w:hAnsi="Times New Roman"/>
                <w:sz w:val="24"/>
                <w:szCs w:val="24"/>
                <w:lang w:val="lv-LV"/>
              </w:rPr>
              <w:lastRenderedPageBreak/>
              <w:t>7.</w:t>
            </w:r>
          </w:p>
        </w:tc>
        <w:tc>
          <w:tcPr>
            <w:tcW w:w="0" w:type="auto"/>
            <w:vAlign w:val="center"/>
          </w:tcPr>
          <w:p w:rsidR="006C6889" w:rsidRPr="00D043A6" w:rsidRDefault="006C6889" w:rsidP="006C6889">
            <w:pPr>
              <w:pStyle w:val="Tabletext"/>
              <w:spacing w:before="0" w:after="0" w:line="240" w:lineRule="auto"/>
              <w:jc w:val="left"/>
              <w:rPr>
                <w:rFonts w:ascii="Times New Roman" w:hAnsi="Times New Roman"/>
                <w:sz w:val="24"/>
                <w:szCs w:val="24"/>
                <w:lang w:val="lv-LV"/>
              </w:rPr>
            </w:pPr>
            <w:r w:rsidRPr="00D043A6">
              <w:rPr>
                <w:rFonts w:ascii="Times New Roman" w:hAnsi="Times New Roman"/>
                <w:color w:val="000000"/>
                <w:sz w:val="24"/>
                <w:szCs w:val="24"/>
                <w:lang w:val="lv-LV" w:eastAsia="lv-LV"/>
              </w:rPr>
              <w:t>Siltumnīcefekta gāzu emisijas samazinošu tehnoloģiju attīstīšana un pilotprojektu īstenošana</w:t>
            </w:r>
            <w:r w:rsidRPr="00D043A6">
              <w:rPr>
                <w:rStyle w:val="FootnoteReference"/>
                <w:rFonts w:ascii="Times New Roman" w:hAnsi="Times New Roman"/>
                <w:color w:val="000000"/>
                <w:sz w:val="24"/>
                <w:szCs w:val="24"/>
                <w:lang w:val="lv-LV" w:eastAsia="lv-LV"/>
              </w:rPr>
              <w:footnoteReference w:id="19"/>
            </w:r>
          </w:p>
        </w:tc>
        <w:tc>
          <w:tcPr>
            <w:tcW w:w="1288" w:type="pct"/>
            <w:vAlign w:val="center"/>
          </w:tcPr>
          <w:p w:rsidR="006C6889" w:rsidRPr="00D043A6" w:rsidRDefault="006C6889" w:rsidP="006C6889">
            <w:pPr>
              <w:pStyle w:val="Tabletext"/>
              <w:spacing w:before="0" w:after="0" w:line="240" w:lineRule="auto"/>
              <w:jc w:val="left"/>
              <w:rPr>
                <w:rFonts w:ascii="Times New Roman" w:hAnsi="Times New Roman"/>
                <w:sz w:val="24"/>
                <w:szCs w:val="24"/>
                <w:lang w:val="lv-LV"/>
              </w:rPr>
            </w:pPr>
            <w:r w:rsidRPr="00D043A6">
              <w:rPr>
                <w:rFonts w:ascii="Times New Roman" w:hAnsi="Times New Roman"/>
                <w:sz w:val="24"/>
                <w:szCs w:val="24"/>
                <w:lang w:val="lv-LV"/>
              </w:rPr>
              <w:t xml:space="preserve">I kārtā – Latvijas Republikā reģistrēti komersanti. </w:t>
            </w:r>
          </w:p>
          <w:p w:rsidR="006C6889" w:rsidRPr="00D043A6" w:rsidRDefault="006C6889" w:rsidP="006C6889">
            <w:pPr>
              <w:pStyle w:val="Tabletext"/>
              <w:spacing w:before="0" w:after="0" w:line="240" w:lineRule="auto"/>
              <w:jc w:val="left"/>
              <w:rPr>
                <w:rFonts w:ascii="Times New Roman" w:hAnsi="Times New Roman"/>
                <w:sz w:val="24"/>
                <w:szCs w:val="24"/>
                <w:lang w:val="lv-LV"/>
              </w:rPr>
            </w:pPr>
            <w:r w:rsidRPr="00D043A6">
              <w:rPr>
                <w:rFonts w:ascii="Times New Roman" w:hAnsi="Times New Roman"/>
                <w:sz w:val="24"/>
                <w:szCs w:val="24"/>
                <w:lang w:val="lv-LV"/>
              </w:rPr>
              <w:t>II un turpmākajās kārtās, ja tādas tiek īstenotas –  komersanti un Latvijas Republikā reģistrētas valsts, pašvaldību vai citu juridisku vai fizisku personu dibinātas iestādes, kuras uzdevums ir izglītības programmu īstenošana, vai komercsabiedrība, kurai izglītības programmu īstenošana ir viens no darbības veidiem.</w:t>
            </w:r>
          </w:p>
        </w:tc>
        <w:tc>
          <w:tcPr>
            <w:tcW w:w="1151" w:type="pct"/>
            <w:vAlign w:val="center"/>
          </w:tcPr>
          <w:p w:rsidR="006C6889" w:rsidRPr="00D043A6" w:rsidRDefault="006C6889" w:rsidP="006C6889">
            <w:pPr>
              <w:pStyle w:val="Tabletext"/>
              <w:spacing w:before="0" w:after="0" w:line="240" w:lineRule="auto"/>
              <w:jc w:val="left"/>
              <w:rPr>
                <w:rFonts w:ascii="Times New Roman" w:hAnsi="Times New Roman"/>
                <w:sz w:val="24"/>
                <w:szCs w:val="24"/>
                <w:lang w:val="lv-LV"/>
              </w:rPr>
            </w:pPr>
            <w:r w:rsidRPr="00D043A6">
              <w:rPr>
                <w:rFonts w:ascii="Times New Roman" w:hAnsi="Times New Roman"/>
                <w:sz w:val="24"/>
                <w:szCs w:val="24"/>
                <w:lang w:val="lv-LV"/>
              </w:rPr>
              <w:t>līdz 2013.gada 30.aprīlim</w:t>
            </w:r>
          </w:p>
          <w:p w:rsidR="006C6889" w:rsidRPr="00D043A6" w:rsidRDefault="006C6889" w:rsidP="006C6889">
            <w:pPr>
              <w:pStyle w:val="Tabletext"/>
              <w:spacing w:before="0" w:after="0" w:line="240" w:lineRule="auto"/>
              <w:jc w:val="left"/>
              <w:rPr>
                <w:rFonts w:ascii="Times New Roman" w:hAnsi="Times New Roman"/>
                <w:sz w:val="24"/>
                <w:szCs w:val="24"/>
                <w:lang w:val="lv-LV"/>
              </w:rPr>
            </w:pPr>
            <w:r w:rsidRPr="00D043A6">
              <w:rPr>
                <w:rFonts w:ascii="Times New Roman" w:hAnsi="Times New Roman"/>
                <w:sz w:val="24"/>
                <w:szCs w:val="24"/>
                <w:lang w:val="lv-LV"/>
              </w:rPr>
              <w:t>līdz 2013.gada 31.oktobrim</w:t>
            </w:r>
          </w:p>
          <w:p w:rsidR="006C6889" w:rsidRPr="00D043A6" w:rsidRDefault="006C6889" w:rsidP="006C6889">
            <w:pPr>
              <w:pStyle w:val="Tabletext"/>
              <w:spacing w:before="0" w:after="0" w:line="240" w:lineRule="auto"/>
              <w:jc w:val="left"/>
              <w:rPr>
                <w:rFonts w:ascii="Times New Roman" w:hAnsi="Times New Roman"/>
                <w:sz w:val="24"/>
                <w:szCs w:val="24"/>
                <w:lang w:val="lv-LV"/>
              </w:rPr>
            </w:pPr>
          </w:p>
        </w:tc>
        <w:tc>
          <w:tcPr>
            <w:tcW w:w="967" w:type="pct"/>
            <w:vAlign w:val="center"/>
          </w:tcPr>
          <w:p w:rsidR="006C6889" w:rsidRPr="00D043A6" w:rsidRDefault="006C6889" w:rsidP="006C6889">
            <w:pPr>
              <w:pStyle w:val="Tabletext"/>
              <w:spacing w:before="0" w:after="0" w:line="240" w:lineRule="auto"/>
              <w:jc w:val="center"/>
              <w:rPr>
                <w:rFonts w:ascii="Times New Roman" w:hAnsi="Times New Roman"/>
                <w:bCs/>
                <w:color w:val="3F3F3F"/>
                <w:sz w:val="24"/>
                <w:szCs w:val="24"/>
                <w:lang w:val="lv-LV"/>
              </w:rPr>
            </w:pPr>
            <w:r w:rsidRPr="00D043A6">
              <w:rPr>
                <w:rFonts w:ascii="Times New Roman" w:hAnsi="Times New Roman"/>
                <w:bCs/>
                <w:color w:val="3F3F3F"/>
                <w:sz w:val="24"/>
                <w:szCs w:val="24"/>
                <w:lang w:val="lv-LV"/>
              </w:rPr>
              <w:t>I kārta - 3 164 617</w:t>
            </w:r>
          </w:p>
          <w:p w:rsidR="006C6889" w:rsidRPr="00D043A6" w:rsidRDefault="006C6889" w:rsidP="006C6889">
            <w:pPr>
              <w:pStyle w:val="Tabletext"/>
              <w:spacing w:before="0" w:after="0" w:line="240" w:lineRule="auto"/>
              <w:jc w:val="center"/>
              <w:rPr>
                <w:rFonts w:ascii="Times New Roman" w:hAnsi="Times New Roman"/>
                <w:sz w:val="24"/>
                <w:szCs w:val="24"/>
                <w:lang w:val="lv-LV"/>
              </w:rPr>
            </w:pPr>
            <w:r w:rsidRPr="00D043A6">
              <w:rPr>
                <w:rFonts w:ascii="Times New Roman" w:hAnsi="Times New Roman"/>
                <w:sz w:val="24"/>
                <w:szCs w:val="24"/>
                <w:lang w:val="lv-LV"/>
              </w:rPr>
              <w:t>II kārta - 31 189 255,51</w:t>
            </w:r>
          </w:p>
        </w:tc>
      </w:tr>
    </w:tbl>
    <w:p w:rsidR="006C6889" w:rsidRPr="00D043A6" w:rsidRDefault="006C6889" w:rsidP="006C6889">
      <w:pPr>
        <w:jc w:val="both"/>
      </w:pPr>
    </w:p>
    <w:p w:rsidR="006C6889" w:rsidRDefault="006C6889" w:rsidP="006C6889">
      <w:pPr>
        <w:ind w:firstLine="720"/>
        <w:jc w:val="both"/>
        <w:rPr>
          <w:sz w:val="24"/>
          <w:szCs w:val="24"/>
        </w:rPr>
      </w:pPr>
      <w:r w:rsidRPr="00D043A6">
        <w:rPr>
          <w:sz w:val="24"/>
          <w:szCs w:val="24"/>
        </w:rPr>
        <w:t>Papildus 6.tabulā minētajiem projektu iesniegumu konkursiem dzīvojamo ēku sektorā KPFI ietvaros tiek realizēts projektu iesniegumu konkurss „Atjaunojamo energoresursu izmantošana mājsaimniecību sektorā”, kura ietvaros varēja iegādāties un dzīvojamās mājās uzstādīt tehnoloģiskās iekārtas, lai nodrošinātu siltumenerģijas vai elektroenerģijas ražošanu no atjaunojamiem energoresursiem.”</w:t>
      </w:r>
    </w:p>
    <w:p w:rsidR="00C1159F" w:rsidRPr="00C1159F" w:rsidRDefault="004B6DFD" w:rsidP="00C1159F">
      <w:pPr>
        <w:ind w:firstLine="720"/>
        <w:jc w:val="both"/>
        <w:rPr>
          <w:sz w:val="26"/>
        </w:rPr>
      </w:pPr>
      <w:r>
        <w:rPr>
          <w:sz w:val="24"/>
          <w:szCs w:val="24"/>
        </w:rPr>
        <w:t>S</w:t>
      </w:r>
      <w:r w:rsidR="00601207">
        <w:rPr>
          <w:sz w:val="24"/>
          <w:szCs w:val="24"/>
        </w:rPr>
        <w:t>a</w:t>
      </w:r>
      <w:r w:rsidR="009B7068">
        <w:rPr>
          <w:sz w:val="24"/>
          <w:szCs w:val="24"/>
        </w:rPr>
        <w:t xml:space="preserve">līdzinot DMS aktivitātes un KPFI </w:t>
      </w:r>
      <w:r>
        <w:rPr>
          <w:sz w:val="24"/>
          <w:szCs w:val="24"/>
        </w:rPr>
        <w:t xml:space="preserve">projektu </w:t>
      </w:r>
      <w:r w:rsidR="009B7068">
        <w:rPr>
          <w:sz w:val="24"/>
          <w:szCs w:val="24"/>
        </w:rPr>
        <w:t>investīciju e</w:t>
      </w:r>
      <w:r w:rsidR="005742F5">
        <w:rPr>
          <w:sz w:val="24"/>
          <w:szCs w:val="24"/>
        </w:rPr>
        <w:t>fektivitāt</w:t>
      </w:r>
      <w:r w:rsidR="009B7068">
        <w:rPr>
          <w:sz w:val="24"/>
          <w:szCs w:val="24"/>
        </w:rPr>
        <w:t>i</w:t>
      </w:r>
      <w:r>
        <w:rPr>
          <w:sz w:val="24"/>
          <w:szCs w:val="24"/>
        </w:rPr>
        <w:t xml:space="preserve"> konstatēts, ka DMS aktivitātē uz ieguldīto finanšu apjoma vienību sasniegts gan lielāks enerģijas ietaupījums (kWh/Ls gadā), gan arī CO</w:t>
      </w:r>
      <w:r w:rsidRPr="00C57687">
        <w:rPr>
          <w:sz w:val="24"/>
          <w:szCs w:val="24"/>
          <w:vertAlign w:val="subscript"/>
        </w:rPr>
        <w:t>2</w:t>
      </w:r>
      <w:r>
        <w:rPr>
          <w:sz w:val="24"/>
          <w:szCs w:val="24"/>
        </w:rPr>
        <w:t xml:space="preserve"> samazinājums (kgCO</w:t>
      </w:r>
      <w:r w:rsidRPr="00C57687">
        <w:rPr>
          <w:sz w:val="24"/>
          <w:szCs w:val="24"/>
          <w:vertAlign w:val="subscript"/>
        </w:rPr>
        <w:t>2</w:t>
      </w:r>
      <w:r>
        <w:rPr>
          <w:sz w:val="24"/>
          <w:szCs w:val="24"/>
        </w:rPr>
        <w:t>/Ls gadā)</w:t>
      </w:r>
      <w:r w:rsidR="007C4A1C">
        <w:rPr>
          <w:sz w:val="24"/>
          <w:szCs w:val="24"/>
        </w:rPr>
        <w:t>.</w:t>
      </w:r>
      <w:r w:rsidR="00C1159F">
        <w:rPr>
          <w:sz w:val="24"/>
          <w:szCs w:val="24"/>
        </w:rPr>
        <w:t xml:space="preserve"> </w:t>
      </w:r>
      <w:r w:rsidR="00C1159F" w:rsidRPr="00C1159F">
        <w:rPr>
          <w:sz w:val="26"/>
        </w:rPr>
        <w:t>DMS aktivitātē minimālais nepieciešamais ietaupījuma rādītājs attiecībā pret līdzfinansējumu 0,528 kg CO</w:t>
      </w:r>
      <w:r w:rsidR="00C1159F" w:rsidRPr="00C1159F">
        <w:rPr>
          <w:sz w:val="26"/>
          <w:vertAlign w:val="subscript"/>
        </w:rPr>
        <w:t>2</w:t>
      </w:r>
      <w:r w:rsidR="00C1159F" w:rsidRPr="00C1159F">
        <w:rPr>
          <w:sz w:val="26"/>
        </w:rPr>
        <w:t>/LVL gadā ir ievērojami augstāks nekā KPFI energoefektivitātes konkursos noteiktais minimālais rādītājs 0,35 kg CO</w:t>
      </w:r>
      <w:r w:rsidR="00C1159F" w:rsidRPr="00C1159F">
        <w:rPr>
          <w:sz w:val="26"/>
          <w:vertAlign w:val="subscript"/>
        </w:rPr>
        <w:t>2</w:t>
      </w:r>
      <w:r w:rsidR="00C1159F" w:rsidRPr="00C1159F">
        <w:rPr>
          <w:sz w:val="26"/>
        </w:rPr>
        <w:t>/LVL gadā. KPFI konkursā „Energoefektivitātes paaugstināšana augstākās izglītības iestāžu ēkās”, kur minimālais ietaupījuma rādītājs noteikts 0,35 kg CO</w:t>
      </w:r>
      <w:r w:rsidR="00C1159F" w:rsidRPr="00C1159F">
        <w:rPr>
          <w:sz w:val="26"/>
          <w:vertAlign w:val="subscript"/>
        </w:rPr>
        <w:t>2</w:t>
      </w:r>
      <w:r w:rsidR="00C1159F" w:rsidRPr="00C1159F">
        <w:rPr>
          <w:sz w:val="26"/>
        </w:rPr>
        <w:t xml:space="preserve">/LVL gadā, vidējais rādītājs attiecībā pret </w:t>
      </w:r>
      <w:r w:rsidR="00C1159F" w:rsidRPr="00C1159F">
        <w:rPr>
          <w:b/>
          <w:sz w:val="26"/>
        </w:rPr>
        <w:t>kopējo</w:t>
      </w:r>
      <w:r w:rsidR="00C1159F" w:rsidRPr="00C1159F">
        <w:rPr>
          <w:sz w:val="26"/>
        </w:rPr>
        <w:t xml:space="preserve"> finansējumu 0,4 kg CO</w:t>
      </w:r>
      <w:r w:rsidR="00C1159F" w:rsidRPr="00C1159F">
        <w:rPr>
          <w:sz w:val="26"/>
          <w:vertAlign w:val="subscript"/>
        </w:rPr>
        <w:t>2</w:t>
      </w:r>
      <w:r w:rsidR="00C1159F" w:rsidRPr="00C1159F">
        <w:rPr>
          <w:sz w:val="26"/>
        </w:rPr>
        <w:t xml:space="preserve">/LVL gadā ir zemāks nekā DMS aktivitātē vidējais rādītājs attiecībā pret </w:t>
      </w:r>
      <w:r w:rsidR="00C1159F" w:rsidRPr="00C1159F">
        <w:rPr>
          <w:b/>
          <w:sz w:val="26"/>
        </w:rPr>
        <w:t>kopējo</w:t>
      </w:r>
      <w:r w:rsidR="00C1159F" w:rsidRPr="00C1159F">
        <w:rPr>
          <w:sz w:val="26"/>
        </w:rPr>
        <w:t xml:space="preserve"> finansējumu 0,436 kg CO</w:t>
      </w:r>
      <w:r w:rsidR="00C1159F" w:rsidRPr="00C1159F">
        <w:rPr>
          <w:sz w:val="26"/>
          <w:vertAlign w:val="subscript"/>
        </w:rPr>
        <w:t>2</w:t>
      </w:r>
      <w:r w:rsidR="00C1159F" w:rsidRPr="00C1159F">
        <w:rPr>
          <w:sz w:val="26"/>
        </w:rPr>
        <w:t xml:space="preserve">/LVL gadā. Citi KPFI projekti ir kompleksi risinājumi, tāpēc DMS aktivitāte ir salīdzināma tikai ar KPFI energoefektivitātes paaugstināšanas pasākumiem, piemēram, „Energoefektivitātes paaugstināšana pašvaldību ēkās” un „Energoefektivitātes paaugstināšana augstākās izglītības iestāžu ēkās”. KPFI komplekso risinājumu projektu konkursi nav salīdzināmi ar EM energoefektivitātes programmām, jo to ietvaros tiek uzstādītas iekārtas, kas ražo enerģiju no atjaunojamiem energoresursiem un tiem būtu jārada lielāks ietaupījums attiecībā pret finansējumu, tomēr DMS aktivitātē ietaupījuma rādītājs attiecībā pret </w:t>
      </w:r>
      <w:r w:rsidR="00C1159F" w:rsidRPr="00C1159F">
        <w:rPr>
          <w:b/>
          <w:sz w:val="26"/>
        </w:rPr>
        <w:t>kopējo</w:t>
      </w:r>
      <w:r w:rsidR="00C1159F" w:rsidRPr="00C1159F">
        <w:rPr>
          <w:sz w:val="26"/>
        </w:rPr>
        <w:t xml:space="preserve"> finansējumu 0,436 kg CO</w:t>
      </w:r>
      <w:r w:rsidR="00C1159F" w:rsidRPr="00C1159F">
        <w:rPr>
          <w:sz w:val="26"/>
          <w:vertAlign w:val="subscript"/>
        </w:rPr>
        <w:t>2</w:t>
      </w:r>
      <w:r w:rsidR="00C1159F" w:rsidRPr="00C1159F">
        <w:rPr>
          <w:sz w:val="26"/>
        </w:rPr>
        <w:t xml:space="preserve">/LVL ir lielāks nekā KPFI konkursā „Kompleksi </w:t>
      </w:r>
      <w:r w:rsidR="00C1159F" w:rsidRPr="00C1159F">
        <w:rPr>
          <w:sz w:val="26"/>
        </w:rPr>
        <w:lastRenderedPageBreak/>
        <w:t xml:space="preserve">risinājumi siltumnīcefekta gāzu emisiju samazināšanai valsts un pašvaldību profesionālās izglītības iestāžu ēkās” ietaupījuma rādītājs attiecībā pret </w:t>
      </w:r>
      <w:r w:rsidR="00C1159F" w:rsidRPr="00C1159F">
        <w:rPr>
          <w:b/>
          <w:sz w:val="26"/>
        </w:rPr>
        <w:t>kopējo</w:t>
      </w:r>
      <w:r w:rsidR="00C1159F" w:rsidRPr="00C1159F">
        <w:rPr>
          <w:sz w:val="26"/>
        </w:rPr>
        <w:t xml:space="preserve"> finansējumu 0,379 kg CO2/LVL.</w:t>
      </w:r>
    </w:p>
    <w:p w:rsidR="0024122B" w:rsidRPr="00C1159F" w:rsidRDefault="00C1159F" w:rsidP="00C1159F">
      <w:pPr>
        <w:ind w:firstLine="720"/>
        <w:jc w:val="both"/>
        <w:rPr>
          <w:sz w:val="22"/>
        </w:rPr>
      </w:pPr>
      <w:r w:rsidRPr="00C1159F">
        <w:rPr>
          <w:sz w:val="26"/>
        </w:rPr>
        <w:t>Rezultāts neefektīvai finansējuma izmantošanai ir tas, ka pat ar 85% lielu atbalsta intensitāti KPFI paliek neizmantots finansējums, kas tālāk ir jānovirza citiem pasākumiem, nevis sākotnēji plānotajiem. DMS aktivitātē ar 50% atbalsta intensitāti finansējums tiek apgūts pilnībā.</w:t>
      </w:r>
      <w:r>
        <w:rPr>
          <w:sz w:val="26"/>
        </w:rPr>
        <w:t xml:space="preserve"> </w:t>
      </w:r>
      <w:r w:rsidRPr="00C1159F">
        <w:rPr>
          <w:sz w:val="26"/>
        </w:rPr>
        <w:t>Nepieciešams, lai turpmāk KPFI piešķirtā finansējuma efektivitāte tiktu pārskatīta, sasniedzot lielāku vidējo CO</w:t>
      </w:r>
      <w:r w:rsidRPr="00C1159F">
        <w:rPr>
          <w:sz w:val="26"/>
          <w:vertAlign w:val="subscript"/>
        </w:rPr>
        <w:t>2</w:t>
      </w:r>
      <w:r w:rsidRPr="00C1159F">
        <w:rPr>
          <w:sz w:val="26"/>
        </w:rPr>
        <w:t xml:space="preserve"> un enerģijas ietaupījumu.</w:t>
      </w:r>
    </w:p>
    <w:p w:rsidR="0031531D" w:rsidRPr="00D043A6" w:rsidRDefault="005E1C7A" w:rsidP="00023621">
      <w:pPr>
        <w:pStyle w:val="Heading2"/>
      </w:pPr>
      <w:bookmarkStart w:id="19" w:name="_Toc353811841"/>
      <w:r w:rsidRPr="00D043A6">
        <w:t>Dzīvojamā fonda piederība un īpašuma tiesību aspekti</w:t>
      </w:r>
      <w:bookmarkEnd w:id="19"/>
    </w:p>
    <w:p w:rsidR="006E3320" w:rsidRPr="00D043A6" w:rsidRDefault="006426CB" w:rsidP="00A17D2E">
      <w:pPr>
        <w:pStyle w:val="Subtitle1"/>
      </w:pPr>
      <w:bookmarkStart w:id="20" w:name="_Toc353811842"/>
      <w:r w:rsidRPr="00D043A6">
        <w:t>Mājokļu struktūra un d</w:t>
      </w:r>
      <w:r w:rsidR="006E3320" w:rsidRPr="00D043A6">
        <w:t>zīvojamā fonda piederība</w:t>
      </w:r>
      <w:bookmarkEnd w:id="20"/>
      <w:r w:rsidR="006E3320" w:rsidRPr="00D043A6">
        <w:t xml:space="preserve"> </w:t>
      </w:r>
    </w:p>
    <w:p w:rsidR="00AD0099" w:rsidRPr="00D043A6" w:rsidRDefault="00AD0099" w:rsidP="006426CB">
      <w:pPr>
        <w:ind w:firstLine="720"/>
        <w:jc w:val="both"/>
        <w:rPr>
          <w:sz w:val="24"/>
        </w:rPr>
      </w:pPr>
      <w:r w:rsidRPr="00D043A6">
        <w:rPr>
          <w:sz w:val="24"/>
        </w:rPr>
        <w:t xml:space="preserve">Saskaņā ar provizoriskiem 2011. gada tautas skaitīšanas datiem Latvijā ir uzskaitīti 988 tūkstoši mājokļu, no kuriem 680 tūkstoši (68.8%) ir daudzdzīvokļu mājās, </w:t>
      </w:r>
      <w:r w:rsidR="00731E22" w:rsidRPr="00D043A6">
        <w:rPr>
          <w:sz w:val="24"/>
        </w:rPr>
        <w:t xml:space="preserve"> 285 tūkstoši (28.9%) ir individuālās mājās,  16 tūkstoši dvīņu vai rindu mājas. </w:t>
      </w:r>
      <w:r w:rsidR="006426CB" w:rsidRPr="00D043A6">
        <w:rPr>
          <w:sz w:val="24"/>
        </w:rPr>
        <w:t xml:space="preserve">Tautas skaitīšanā 5 tūkstošiem mājokļu nav noteikts ēkas tips un </w:t>
      </w:r>
      <w:r w:rsidR="00731E22" w:rsidRPr="00D043A6">
        <w:rPr>
          <w:sz w:val="24"/>
        </w:rPr>
        <w:t xml:space="preserve">1.5 tūkstoši </w:t>
      </w:r>
      <w:r w:rsidR="006426CB" w:rsidRPr="00D043A6">
        <w:rPr>
          <w:sz w:val="24"/>
        </w:rPr>
        <w:t>mājokļu uzskaitīti nedzīvojamās ēkās.</w:t>
      </w:r>
    </w:p>
    <w:p w:rsidR="00AD0099" w:rsidRPr="00D043A6" w:rsidRDefault="00AD0099" w:rsidP="006426CB">
      <w:pPr>
        <w:jc w:val="center"/>
        <w:rPr>
          <w:sz w:val="24"/>
        </w:rPr>
      </w:pPr>
      <w:r w:rsidRPr="00D043A6">
        <w:rPr>
          <w:noProof/>
          <w:sz w:val="24"/>
          <w:lang w:eastAsia="lv-LV"/>
        </w:rPr>
        <w:drawing>
          <wp:inline distT="0" distB="0" distL="0" distR="0" wp14:anchorId="7B4837CB" wp14:editId="1C9172DD">
            <wp:extent cx="4580626" cy="2286000"/>
            <wp:effectExtent l="0" t="0" r="0" b="0"/>
            <wp:docPr id="1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C5935" w:rsidRPr="00D043A6" w:rsidRDefault="003E533F" w:rsidP="00EA0A7D">
      <w:pPr>
        <w:rPr>
          <w:i/>
          <w:sz w:val="24"/>
        </w:rPr>
      </w:pPr>
      <w:r w:rsidRPr="00D043A6">
        <w:rPr>
          <w:i/>
          <w:sz w:val="24"/>
        </w:rPr>
        <w:t>5</w:t>
      </w:r>
      <w:r w:rsidR="000C5935" w:rsidRPr="00D043A6">
        <w:rPr>
          <w:i/>
          <w:sz w:val="24"/>
        </w:rPr>
        <w:t>. attēls. Mājokļu sadalījums pēc ēkas tipa</w:t>
      </w:r>
      <w:r w:rsidR="00EA0A7D" w:rsidRPr="00D043A6">
        <w:rPr>
          <w:i/>
          <w:sz w:val="24"/>
        </w:rPr>
        <w:t>.</w:t>
      </w:r>
    </w:p>
    <w:p w:rsidR="00AD0099" w:rsidRPr="00D043A6" w:rsidRDefault="00AD0099" w:rsidP="006E3320">
      <w:pPr>
        <w:rPr>
          <w:sz w:val="24"/>
        </w:rPr>
      </w:pPr>
    </w:p>
    <w:p w:rsidR="00771E7C" w:rsidRPr="00D043A6" w:rsidRDefault="000C5935" w:rsidP="00F92C6C">
      <w:pPr>
        <w:ind w:firstLine="720"/>
        <w:jc w:val="both"/>
        <w:rPr>
          <w:sz w:val="24"/>
        </w:rPr>
      </w:pPr>
      <w:r w:rsidRPr="00D043A6">
        <w:rPr>
          <w:sz w:val="24"/>
        </w:rPr>
        <w:t>Apskatot dzīvojamo māju skaita sadalījumu pēc to piederības, saskaņā ar NĪVK IS datiem</w:t>
      </w:r>
      <w:r w:rsidR="00F92C6C" w:rsidRPr="00D043A6">
        <w:rPr>
          <w:rStyle w:val="FootnoteReference"/>
          <w:sz w:val="24"/>
        </w:rPr>
        <w:footnoteReference w:id="20"/>
      </w:r>
      <w:r w:rsidR="00F92C6C" w:rsidRPr="00D043A6">
        <w:rPr>
          <w:sz w:val="24"/>
        </w:rPr>
        <w:t xml:space="preserve"> </w:t>
      </w:r>
      <w:r w:rsidR="005245C7" w:rsidRPr="00D043A6">
        <w:rPr>
          <w:sz w:val="24"/>
        </w:rPr>
        <w:t>lielāk</w:t>
      </w:r>
      <w:r w:rsidR="00771E7C" w:rsidRPr="00D043A6">
        <w:rPr>
          <w:sz w:val="24"/>
        </w:rPr>
        <w:t>ā</w:t>
      </w:r>
      <w:r w:rsidR="005245C7" w:rsidRPr="00D043A6">
        <w:rPr>
          <w:sz w:val="24"/>
        </w:rPr>
        <w:t xml:space="preserve"> </w:t>
      </w:r>
      <w:r w:rsidR="00771E7C" w:rsidRPr="00D043A6">
        <w:rPr>
          <w:sz w:val="24"/>
        </w:rPr>
        <w:t>daļa māju</w:t>
      </w:r>
      <w:r w:rsidRPr="00D043A6">
        <w:rPr>
          <w:sz w:val="24"/>
        </w:rPr>
        <w:t xml:space="preserve"> – 303 tūkstoši </w:t>
      </w:r>
      <w:r w:rsidR="00771E7C" w:rsidRPr="00D043A6">
        <w:rPr>
          <w:sz w:val="24"/>
        </w:rPr>
        <w:t>(86.1%)</w:t>
      </w:r>
      <w:r w:rsidRPr="00D043A6">
        <w:rPr>
          <w:sz w:val="24"/>
        </w:rPr>
        <w:t xml:space="preserve"> </w:t>
      </w:r>
      <w:r w:rsidR="009E23FB">
        <w:rPr>
          <w:sz w:val="24"/>
        </w:rPr>
        <w:t xml:space="preserve">- </w:t>
      </w:r>
      <w:r w:rsidRPr="00D043A6">
        <w:rPr>
          <w:sz w:val="24"/>
        </w:rPr>
        <w:t>pieder fiziskām personām</w:t>
      </w:r>
      <w:r w:rsidR="00771E7C" w:rsidRPr="00D043A6">
        <w:rPr>
          <w:sz w:val="24"/>
        </w:rPr>
        <w:t>, 25.6 tūkstoši (7.2%) dzīvojamo māju pieder dažāda statusa īpašniekiem (jaukta piederība), 7.7 tūkstoši pieder juridiskām personām, 5.4</w:t>
      </w:r>
      <w:r w:rsidR="005F0EDC" w:rsidRPr="00D043A6">
        <w:rPr>
          <w:sz w:val="24"/>
        </w:rPr>
        <w:t xml:space="preserve"> (1.5%)</w:t>
      </w:r>
      <w:r w:rsidR="00771E7C" w:rsidRPr="00D043A6">
        <w:rPr>
          <w:sz w:val="24"/>
        </w:rPr>
        <w:t xml:space="preserve"> tūkstoši pašvaldībām, 0.37 </w:t>
      </w:r>
      <w:r w:rsidR="005F0EDC" w:rsidRPr="00D043A6">
        <w:rPr>
          <w:sz w:val="24"/>
        </w:rPr>
        <w:t xml:space="preserve">(0.1%) </w:t>
      </w:r>
      <w:r w:rsidR="00771E7C" w:rsidRPr="00D043A6">
        <w:rPr>
          <w:sz w:val="24"/>
        </w:rPr>
        <w:t>tūkstoši valstij</w:t>
      </w:r>
      <w:r w:rsidR="005F0EDC" w:rsidRPr="00D043A6">
        <w:rPr>
          <w:sz w:val="24"/>
        </w:rPr>
        <w:t>,</w:t>
      </w:r>
      <w:r w:rsidR="00771E7C" w:rsidRPr="00D043A6">
        <w:rPr>
          <w:sz w:val="24"/>
        </w:rPr>
        <w:t xml:space="preserve"> 10.2 </w:t>
      </w:r>
      <w:r w:rsidR="005F0EDC" w:rsidRPr="00D043A6">
        <w:rPr>
          <w:sz w:val="24"/>
        </w:rPr>
        <w:t xml:space="preserve">(2.9%) </w:t>
      </w:r>
      <w:r w:rsidR="00771E7C" w:rsidRPr="00D043A6">
        <w:rPr>
          <w:sz w:val="24"/>
        </w:rPr>
        <w:t>tūkstošiem ēku piederības statuss nav noskaidrots.</w:t>
      </w:r>
    </w:p>
    <w:p w:rsidR="00A64C52" w:rsidRPr="00D043A6" w:rsidRDefault="00A64C52" w:rsidP="00A64C52">
      <w:pPr>
        <w:keepNext/>
        <w:rPr>
          <w:i/>
          <w:sz w:val="24"/>
        </w:rPr>
      </w:pPr>
    </w:p>
    <w:p w:rsidR="00771E7C" w:rsidRPr="00D043A6" w:rsidRDefault="003E533F" w:rsidP="00A64C52">
      <w:pPr>
        <w:keepNext/>
        <w:rPr>
          <w:i/>
          <w:sz w:val="24"/>
        </w:rPr>
      </w:pPr>
      <w:r w:rsidRPr="00D043A6">
        <w:rPr>
          <w:i/>
          <w:sz w:val="24"/>
        </w:rPr>
        <w:t>7</w:t>
      </w:r>
      <w:r w:rsidR="005F0EDC" w:rsidRPr="00D043A6">
        <w:rPr>
          <w:i/>
          <w:sz w:val="24"/>
        </w:rPr>
        <w:t>.</w:t>
      </w:r>
      <w:r w:rsidR="009D6B81" w:rsidRPr="00D043A6">
        <w:rPr>
          <w:i/>
          <w:sz w:val="24"/>
        </w:rPr>
        <w:t>t</w:t>
      </w:r>
      <w:r w:rsidR="005F0EDC" w:rsidRPr="00D043A6">
        <w:rPr>
          <w:i/>
          <w:sz w:val="24"/>
        </w:rPr>
        <w:t xml:space="preserve">abula. </w:t>
      </w:r>
      <w:r w:rsidR="00EA0A7D" w:rsidRPr="00D043A6">
        <w:rPr>
          <w:i/>
          <w:sz w:val="24"/>
        </w:rPr>
        <w:t>Dzīvojamo māju sadalījums pēc piederības statusa</w:t>
      </w:r>
      <w:r w:rsidR="002024D2" w:rsidRPr="00D043A6">
        <w:rPr>
          <w:i/>
          <w:sz w:val="24"/>
        </w:rPr>
        <w:t>, skaits</w:t>
      </w:r>
      <w:r w:rsidR="00EA0A7D" w:rsidRPr="00D043A6">
        <w:rPr>
          <w:i/>
          <w:sz w:val="24"/>
        </w:rPr>
        <w:t>.</w:t>
      </w:r>
    </w:p>
    <w:tbl>
      <w:tblPr>
        <w:tblW w:w="5000" w:type="pct"/>
        <w:tblInd w:w="94" w:type="dxa"/>
        <w:tblLook w:val="04A0" w:firstRow="1" w:lastRow="0" w:firstColumn="1" w:lastColumn="0" w:noHBand="0" w:noVBand="1"/>
      </w:tblPr>
      <w:tblGrid>
        <w:gridCol w:w="1998"/>
        <w:gridCol w:w="945"/>
        <w:gridCol w:w="1011"/>
        <w:gridCol w:w="1170"/>
        <w:gridCol w:w="766"/>
        <w:gridCol w:w="1186"/>
        <w:gridCol w:w="1335"/>
        <w:gridCol w:w="876"/>
      </w:tblGrid>
      <w:tr w:rsidR="00354D80" w:rsidRPr="00D043A6" w:rsidTr="00EA0A7D">
        <w:tc>
          <w:tcPr>
            <w:tcW w:w="1076" w:type="pct"/>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hideMark/>
          </w:tcPr>
          <w:p w:rsidR="00354D80" w:rsidRPr="00D043A6" w:rsidRDefault="00354D80" w:rsidP="00D251D3">
            <w:pPr>
              <w:jc w:val="right"/>
              <w:rPr>
                <w:rFonts w:eastAsia="Times New Roman"/>
                <w:color w:val="000000"/>
                <w:sz w:val="22"/>
                <w:szCs w:val="24"/>
                <w:lang w:eastAsia="lv-LV"/>
              </w:rPr>
            </w:pPr>
            <w:r w:rsidRPr="00D043A6">
              <w:rPr>
                <w:rFonts w:eastAsia="Times New Roman"/>
                <w:color w:val="000000"/>
                <w:sz w:val="22"/>
                <w:szCs w:val="24"/>
                <w:lang w:eastAsia="lv-LV"/>
              </w:rPr>
              <w:t>Īpašnieks</w:t>
            </w:r>
          </w:p>
          <w:p w:rsidR="00D251D3" w:rsidRPr="00D043A6" w:rsidRDefault="00D251D3" w:rsidP="00354D80">
            <w:pPr>
              <w:rPr>
                <w:rFonts w:eastAsia="Times New Roman"/>
                <w:color w:val="000000"/>
                <w:sz w:val="22"/>
                <w:szCs w:val="24"/>
                <w:lang w:eastAsia="lv-LV"/>
              </w:rPr>
            </w:pPr>
          </w:p>
          <w:p w:rsidR="00EA0A7D" w:rsidRPr="00D043A6" w:rsidRDefault="00EA0A7D" w:rsidP="00354D80">
            <w:pPr>
              <w:rPr>
                <w:rFonts w:eastAsia="Times New Roman"/>
                <w:color w:val="000000"/>
                <w:sz w:val="22"/>
                <w:szCs w:val="24"/>
                <w:lang w:eastAsia="lv-LV"/>
              </w:rPr>
            </w:pPr>
          </w:p>
          <w:p w:rsidR="00D251D3" w:rsidRPr="00D043A6" w:rsidRDefault="00354D80" w:rsidP="00354D80">
            <w:pPr>
              <w:rPr>
                <w:rFonts w:eastAsia="Times New Roman"/>
                <w:color w:val="000000"/>
                <w:sz w:val="22"/>
                <w:szCs w:val="24"/>
                <w:lang w:eastAsia="lv-LV"/>
              </w:rPr>
            </w:pPr>
            <w:r w:rsidRPr="00D043A6">
              <w:rPr>
                <w:rFonts w:eastAsia="Times New Roman"/>
                <w:color w:val="000000"/>
                <w:sz w:val="22"/>
                <w:szCs w:val="24"/>
                <w:lang w:eastAsia="lv-LV"/>
              </w:rPr>
              <w:t xml:space="preserve">Dzīvojamās </w:t>
            </w:r>
          </w:p>
          <w:p w:rsidR="00354D80" w:rsidRPr="00D043A6" w:rsidRDefault="00354D80" w:rsidP="00354D80">
            <w:pPr>
              <w:rPr>
                <w:rFonts w:eastAsia="Times New Roman"/>
                <w:color w:val="000000"/>
                <w:sz w:val="22"/>
                <w:szCs w:val="24"/>
                <w:lang w:eastAsia="lv-LV"/>
              </w:rPr>
            </w:pPr>
            <w:r w:rsidRPr="00D043A6">
              <w:rPr>
                <w:rFonts w:eastAsia="Times New Roman"/>
                <w:color w:val="000000"/>
                <w:sz w:val="22"/>
                <w:szCs w:val="24"/>
                <w:lang w:eastAsia="lv-LV"/>
              </w:rPr>
              <w:t>mājas tips</w:t>
            </w:r>
          </w:p>
        </w:tc>
        <w:tc>
          <w:tcPr>
            <w:tcW w:w="509" w:type="pct"/>
            <w:tcBorders>
              <w:top w:val="single" w:sz="4" w:space="0" w:color="auto"/>
              <w:left w:val="nil"/>
              <w:bottom w:val="single" w:sz="4" w:space="0" w:color="auto"/>
              <w:right w:val="nil"/>
            </w:tcBorders>
            <w:shd w:val="clear" w:color="auto" w:fill="auto"/>
            <w:vAlign w:val="center"/>
            <w:hideMark/>
          </w:tcPr>
          <w:p w:rsidR="00354D80" w:rsidRPr="00D043A6" w:rsidRDefault="00354D80" w:rsidP="00F92C6C">
            <w:pPr>
              <w:jc w:val="center"/>
              <w:rPr>
                <w:rFonts w:eastAsia="Times New Roman"/>
                <w:color w:val="000000"/>
                <w:sz w:val="22"/>
                <w:szCs w:val="24"/>
                <w:lang w:eastAsia="lv-LV"/>
              </w:rPr>
            </w:pPr>
            <w:r w:rsidRPr="00D043A6">
              <w:rPr>
                <w:rFonts w:eastAsia="Times New Roman"/>
                <w:color w:val="000000"/>
                <w:sz w:val="22"/>
                <w:szCs w:val="24"/>
                <w:lang w:eastAsia="lv-LV"/>
              </w:rPr>
              <w:t>Fiziska persona</w:t>
            </w:r>
          </w:p>
        </w:tc>
        <w:tc>
          <w:tcPr>
            <w:tcW w:w="544" w:type="pct"/>
            <w:tcBorders>
              <w:top w:val="single" w:sz="4" w:space="0" w:color="auto"/>
              <w:left w:val="single" w:sz="4" w:space="0" w:color="auto"/>
              <w:bottom w:val="single" w:sz="4" w:space="0" w:color="auto"/>
              <w:right w:val="nil"/>
            </w:tcBorders>
            <w:shd w:val="clear" w:color="auto" w:fill="auto"/>
            <w:vAlign w:val="center"/>
            <w:hideMark/>
          </w:tcPr>
          <w:p w:rsidR="00354D80" w:rsidRPr="00D043A6" w:rsidRDefault="00354D80" w:rsidP="00F92C6C">
            <w:pPr>
              <w:jc w:val="center"/>
              <w:rPr>
                <w:rFonts w:eastAsia="Times New Roman"/>
                <w:color w:val="000000"/>
                <w:sz w:val="22"/>
                <w:szCs w:val="24"/>
                <w:lang w:eastAsia="lv-LV"/>
              </w:rPr>
            </w:pPr>
            <w:r w:rsidRPr="00D043A6">
              <w:rPr>
                <w:rFonts w:eastAsia="Times New Roman"/>
                <w:color w:val="000000"/>
                <w:sz w:val="22"/>
                <w:szCs w:val="24"/>
                <w:lang w:eastAsia="lv-LV"/>
              </w:rPr>
              <w:t>Juridiska persona</w:t>
            </w:r>
          </w:p>
        </w:tc>
        <w:tc>
          <w:tcPr>
            <w:tcW w:w="0" w:type="auto"/>
            <w:tcBorders>
              <w:top w:val="single" w:sz="4" w:space="0" w:color="auto"/>
              <w:left w:val="single" w:sz="4" w:space="0" w:color="auto"/>
              <w:bottom w:val="single" w:sz="4" w:space="0" w:color="auto"/>
              <w:right w:val="nil"/>
            </w:tcBorders>
            <w:shd w:val="clear" w:color="auto" w:fill="auto"/>
            <w:vAlign w:val="center"/>
            <w:hideMark/>
          </w:tcPr>
          <w:p w:rsidR="00354D80" w:rsidRPr="00D043A6" w:rsidRDefault="00354D80" w:rsidP="00F92C6C">
            <w:pPr>
              <w:jc w:val="center"/>
              <w:rPr>
                <w:rFonts w:eastAsia="Times New Roman"/>
                <w:color w:val="000000"/>
                <w:sz w:val="22"/>
                <w:szCs w:val="24"/>
                <w:lang w:eastAsia="lv-LV"/>
              </w:rPr>
            </w:pPr>
            <w:r w:rsidRPr="00D043A6">
              <w:rPr>
                <w:rFonts w:eastAsia="Times New Roman"/>
                <w:color w:val="000000"/>
                <w:sz w:val="22"/>
                <w:szCs w:val="24"/>
                <w:lang w:eastAsia="lv-LV"/>
              </w:rPr>
              <w:t>Pašvaldība</w:t>
            </w:r>
          </w:p>
        </w:tc>
        <w:tc>
          <w:tcPr>
            <w:tcW w:w="0" w:type="auto"/>
            <w:tcBorders>
              <w:top w:val="single" w:sz="4" w:space="0" w:color="auto"/>
              <w:left w:val="single" w:sz="4" w:space="0" w:color="auto"/>
              <w:bottom w:val="single" w:sz="4" w:space="0" w:color="auto"/>
              <w:right w:val="nil"/>
            </w:tcBorders>
            <w:shd w:val="clear" w:color="auto" w:fill="auto"/>
            <w:vAlign w:val="center"/>
            <w:hideMark/>
          </w:tcPr>
          <w:p w:rsidR="00354D80" w:rsidRPr="00D043A6" w:rsidRDefault="00354D80" w:rsidP="00F92C6C">
            <w:pPr>
              <w:jc w:val="center"/>
              <w:rPr>
                <w:rFonts w:eastAsia="Times New Roman"/>
                <w:color w:val="000000"/>
                <w:sz w:val="22"/>
                <w:szCs w:val="24"/>
                <w:lang w:eastAsia="lv-LV"/>
              </w:rPr>
            </w:pPr>
            <w:r w:rsidRPr="00D043A6">
              <w:rPr>
                <w:rFonts w:eastAsia="Times New Roman"/>
                <w:color w:val="000000"/>
                <w:sz w:val="22"/>
                <w:szCs w:val="24"/>
                <w:lang w:eastAsia="lv-LV"/>
              </w:rPr>
              <w:t>Valsts</w:t>
            </w:r>
          </w:p>
        </w:tc>
        <w:tc>
          <w:tcPr>
            <w:tcW w:w="0" w:type="auto"/>
            <w:tcBorders>
              <w:top w:val="single" w:sz="4" w:space="0" w:color="auto"/>
              <w:left w:val="single" w:sz="4" w:space="0" w:color="auto"/>
              <w:bottom w:val="single" w:sz="4" w:space="0" w:color="auto"/>
              <w:right w:val="nil"/>
            </w:tcBorders>
            <w:shd w:val="clear" w:color="auto" w:fill="auto"/>
            <w:vAlign w:val="center"/>
            <w:hideMark/>
          </w:tcPr>
          <w:p w:rsidR="00354D80" w:rsidRPr="00D043A6" w:rsidRDefault="00354D80" w:rsidP="00F92C6C">
            <w:pPr>
              <w:jc w:val="center"/>
              <w:rPr>
                <w:rFonts w:eastAsia="Times New Roman"/>
                <w:color w:val="000000"/>
                <w:sz w:val="22"/>
                <w:szCs w:val="24"/>
                <w:lang w:eastAsia="lv-LV"/>
              </w:rPr>
            </w:pPr>
            <w:r w:rsidRPr="00D043A6">
              <w:rPr>
                <w:rFonts w:eastAsia="Times New Roman"/>
                <w:color w:val="000000"/>
                <w:sz w:val="22"/>
                <w:szCs w:val="24"/>
                <w:lang w:eastAsia="lv-LV"/>
              </w:rPr>
              <w:t>Jaukta piederība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92C6C" w:rsidRPr="00D043A6" w:rsidRDefault="00354D80" w:rsidP="00F92C6C">
            <w:pPr>
              <w:jc w:val="center"/>
              <w:rPr>
                <w:rFonts w:eastAsia="Times New Roman"/>
                <w:color w:val="000000"/>
                <w:sz w:val="22"/>
                <w:szCs w:val="24"/>
                <w:lang w:eastAsia="lv-LV"/>
              </w:rPr>
            </w:pPr>
            <w:r w:rsidRPr="00D043A6">
              <w:rPr>
                <w:rFonts w:eastAsia="Times New Roman"/>
                <w:color w:val="000000"/>
                <w:sz w:val="22"/>
                <w:szCs w:val="24"/>
                <w:lang w:eastAsia="lv-LV"/>
              </w:rPr>
              <w:t xml:space="preserve">Piederība </w:t>
            </w:r>
          </w:p>
          <w:p w:rsidR="00354D80" w:rsidRPr="00D043A6" w:rsidRDefault="00354D80" w:rsidP="00F92C6C">
            <w:pPr>
              <w:jc w:val="center"/>
              <w:rPr>
                <w:rFonts w:eastAsia="Times New Roman"/>
                <w:color w:val="000000"/>
                <w:sz w:val="22"/>
                <w:szCs w:val="24"/>
                <w:lang w:eastAsia="lv-LV"/>
              </w:rPr>
            </w:pPr>
            <w:r w:rsidRPr="00D043A6">
              <w:rPr>
                <w:rFonts w:eastAsia="Times New Roman"/>
                <w:color w:val="000000"/>
                <w:sz w:val="22"/>
                <w:szCs w:val="24"/>
                <w:lang w:eastAsia="lv-LV"/>
              </w:rPr>
              <w:t>nav noskaidrota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54D80" w:rsidRPr="00D043A6" w:rsidRDefault="00354D80" w:rsidP="00F92C6C">
            <w:pPr>
              <w:jc w:val="center"/>
              <w:rPr>
                <w:rFonts w:eastAsia="Times New Roman"/>
                <w:color w:val="000000"/>
                <w:sz w:val="22"/>
                <w:szCs w:val="24"/>
                <w:lang w:eastAsia="lv-LV"/>
              </w:rPr>
            </w:pPr>
            <w:r w:rsidRPr="00D043A6">
              <w:rPr>
                <w:rFonts w:eastAsia="Times New Roman"/>
                <w:color w:val="000000"/>
                <w:sz w:val="22"/>
                <w:szCs w:val="24"/>
                <w:lang w:eastAsia="lv-LV"/>
              </w:rPr>
              <w:t>Kopā</w:t>
            </w:r>
          </w:p>
        </w:tc>
      </w:tr>
      <w:tr w:rsidR="00354D80" w:rsidRPr="00D043A6" w:rsidTr="00EA0A7D">
        <w:trPr>
          <w:trHeight w:val="255"/>
        </w:trPr>
        <w:tc>
          <w:tcPr>
            <w:tcW w:w="1076" w:type="pct"/>
            <w:tcBorders>
              <w:top w:val="nil"/>
              <w:left w:val="single" w:sz="4" w:space="0" w:color="auto"/>
              <w:bottom w:val="single" w:sz="4" w:space="0" w:color="auto"/>
              <w:right w:val="single" w:sz="4" w:space="0" w:color="auto"/>
            </w:tcBorders>
            <w:shd w:val="clear" w:color="auto" w:fill="auto"/>
            <w:noWrap/>
            <w:vAlign w:val="bottom"/>
            <w:hideMark/>
          </w:tcPr>
          <w:p w:rsidR="00354D80" w:rsidRPr="00D043A6" w:rsidRDefault="00354D80" w:rsidP="00354D80">
            <w:pPr>
              <w:rPr>
                <w:rFonts w:eastAsia="Times New Roman"/>
                <w:color w:val="000000"/>
                <w:sz w:val="22"/>
                <w:szCs w:val="24"/>
                <w:lang w:eastAsia="lv-LV"/>
              </w:rPr>
            </w:pPr>
            <w:r w:rsidRPr="00D043A6">
              <w:rPr>
                <w:rFonts w:eastAsia="Times New Roman"/>
                <w:color w:val="000000"/>
                <w:sz w:val="22"/>
                <w:szCs w:val="24"/>
                <w:lang w:eastAsia="lv-LV"/>
              </w:rPr>
              <w:t xml:space="preserve">Viena dzīvokļa </w:t>
            </w:r>
          </w:p>
        </w:tc>
        <w:tc>
          <w:tcPr>
            <w:tcW w:w="509" w:type="pct"/>
            <w:tcBorders>
              <w:top w:val="nil"/>
              <w:left w:val="nil"/>
              <w:bottom w:val="single" w:sz="4" w:space="0" w:color="auto"/>
              <w:right w:val="single" w:sz="4" w:space="0" w:color="auto"/>
            </w:tcBorders>
            <w:shd w:val="clear" w:color="000000" w:fill="D99795"/>
            <w:noWrap/>
            <w:vAlign w:val="bottom"/>
            <w:hideMark/>
          </w:tcPr>
          <w:p w:rsidR="00354D80" w:rsidRPr="00D043A6" w:rsidRDefault="00354D80" w:rsidP="00354D80">
            <w:pPr>
              <w:jc w:val="right"/>
              <w:rPr>
                <w:rFonts w:eastAsia="Times New Roman"/>
                <w:b/>
                <w:bCs/>
                <w:color w:val="000000"/>
                <w:sz w:val="22"/>
                <w:szCs w:val="24"/>
                <w:lang w:eastAsia="lv-LV"/>
              </w:rPr>
            </w:pPr>
            <w:r w:rsidRPr="00D043A6">
              <w:rPr>
                <w:rFonts w:eastAsia="Times New Roman"/>
                <w:b/>
                <w:bCs/>
                <w:color w:val="000000"/>
                <w:sz w:val="22"/>
                <w:szCs w:val="24"/>
                <w:lang w:eastAsia="lv-LV"/>
              </w:rPr>
              <w:t>282380</w:t>
            </w:r>
          </w:p>
        </w:tc>
        <w:tc>
          <w:tcPr>
            <w:tcW w:w="544" w:type="pct"/>
            <w:tcBorders>
              <w:top w:val="single" w:sz="4" w:space="0" w:color="auto"/>
              <w:left w:val="single" w:sz="4" w:space="0" w:color="auto"/>
              <w:bottom w:val="single" w:sz="4" w:space="0" w:color="auto"/>
              <w:right w:val="single" w:sz="4" w:space="0" w:color="auto"/>
            </w:tcBorders>
            <w:shd w:val="clear" w:color="000000" w:fill="FFD282"/>
            <w:noWrap/>
            <w:vAlign w:val="bottom"/>
            <w:hideMark/>
          </w:tcPr>
          <w:p w:rsidR="00354D80" w:rsidRPr="00D043A6" w:rsidRDefault="00354D80" w:rsidP="00354D80">
            <w:pPr>
              <w:jc w:val="right"/>
              <w:rPr>
                <w:rFonts w:eastAsia="Times New Roman"/>
                <w:color w:val="000000"/>
                <w:sz w:val="22"/>
                <w:szCs w:val="24"/>
                <w:lang w:eastAsia="lv-LV"/>
              </w:rPr>
            </w:pPr>
            <w:r w:rsidRPr="00D043A6">
              <w:rPr>
                <w:rFonts w:eastAsia="Times New Roman"/>
                <w:color w:val="000000"/>
                <w:sz w:val="22"/>
                <w:szCs w:val="24"/>
                <w:lang w:eastAsia="lv-LV"/>
              </w:rPr>
              <w:t>5257</w:t>
            </w:r>
          </w:p>
        </w:tc>
        <w:tc>
          <w:tcPr>
            <w:tcW w:w="0" w:type="auto"/>
            <w:tcBorders>
              <w:top w:val="single" w:sz="4" w:space="0" w:color="auto"/>
              <w:left w:val="single" w:sz="4" w:space="0" w:color="auto"/>
              <w:bottom w:val="single" w:sz="4" w:space="0" w:color="auto"/>
              <w:right w:val="single" w:sz="4" w:space="0" w:color="auto"/>
            </w:tcBorders>
            <w:shd w:val="clear" w:color="000000" w:fill="FFE290"/>
            <w:noWrap/>
            <w:vAlign w:val="bottom"/>
            <w:hideMark/>
          </w:tcPr>
          <w:p w:rsidR="00354D80" w:rsidRPr="00D043A6" w:rsidRDefault="00354D80" w:rsidP="00354D80">
            <w:pPr>
              <w:jc w:val="right"/>
              <w:rPr>
                <w:rFonts w:eastAsia="Times New Roman"/>
                <w:color w:val="000000"/>
                <w:sz w:val="22"/>
                <w:szCs w:val="24"/>
                <w:lang w:eastAsia="lv-LV"/>
              </w:rPr>
            </w:pPr>
            <w:r w:rsidRPr="00D043A6">
              <w:rPr>
                <w:rFonts w:eastAsia="Times New Roman"/>
                <w:color w:val="000000"/>
                <w:sz w:val="22"/>
                <w:szCs w:val="24"/>
                <w:lang w:eastAsia="lv-LV"/>
              </w:rPr>
              <w:t>2447</w:t>
            </w:r>
          </w:p>
        </w:tc>
        <w:tc>
          <w:tcPr>
            <w:tcW w:w="0" w:type="auto"/>
            <w:tcBorders>
              <w:top w:val="single" w:sz="4" w:space="0" w:color="auto"/>
              <w:left w:val="single" w:sz="4" w:space="0" w:color="auto"/>
              <w:bottom w:val="single" w:sz="4" w:space="0" w:color="auto"/>
              <w:right w:val="single" w:sz="4" w:space="0" w:color="auto"/>
            </w:tcBorders>
            <w:shd w:val="clear" w:color="000000" w:fill="FFEF9C"/>
            <w:noWrap/>
            <w:vAlign w:val="bottom"/>
            <w:hideMark/>
          </w:tcPr>
          <w:p w:rsidR="00354D80" w:rsidRPr="00D043A6" w:rsidRDefault="00354D80" w:rsidP="00354D80">
            <w:pPr>
              <w:jc w:val="right"/>
              <w:rPr>
                <w:rFonts w:eastAsia="Times New Roman"/>
                <w:color w:val="000000"/>
                <w:sz w:val="22"/>
                <w:szCs w:val="24"/>
                <w:lang w:eastAsia="lv-LV"/>
              </w:rPr>
            </w:pPr>
            <w:r w:rsidRPr="00D043A6">
              <w:rPr>
                <w:rFonts w:eastAsia="Times New Roman"/>
                <w:color w:val="000000"/>
                <w:sz w:val="22"/>
                <w:szCs w:val="24"/>
                <w:lang w:eastAsia="lv-LV"/>
              </w:rPr>
              <w:t>163</w:t>
            </w:r>
          </w:p>
        </w:tc>
        <w:tc>
          <w:tcPr>
            <w:tcW w:w="0" w:type="auto"/>
            <w:tcBorders>
              <w:top w:val="single" w:sz="4" w:space="0" w:color="auto"/>
              <w:left w:val="single" w:sz="4" w:space="0" w:color="auto"/>
              <w:bottom w:val="single" w:sz="4" w:space="0" w:color="auto"/>
              <w:right w:val="single" w:sz="4" w:space="0" w:color="auto"/>
            </w:tcBorders>
            <w:shd w:val="clear" w:color="000000" w:fill="FFEB98"/>
            <w:noWrap/>
            <w:vAlign w:val="bottom"/>
            <w:hideMark/>
          </w:tcPr>
          <w:p w:rsidR="00354D80" w:rsidRPr="00D043A6" w:rsidRDefault="00354D80" w:rsidP="00354D80">
            <w:pPr>
              <w:jc w:val="right"/>
              <w:rPr>
                <w:rFonts w:eastAsia="Times New Roman"/>
                <w:color w:val="000000"/>
                <w:sz w:val="22"/>
                <w:szCs w:val="24"/>
                <w:lang w:eastAsia="lv-LV"/>
              </w:rPr>
            </w:pPr>
            <w:r w:rsidRPr="00D043A6">
              <w:rPr>
                <w:rFonts w:eastAsia="Times New Roman"/>
                <w:color w:val="000000"/>
                <w:sz w:val="22"/>
                <w:szCs w:val="24"/>
                <w:lang w:eastAsia="lv-LV"/>
              </w:rPr>
              <w:t>832</w:t>
            </w:r>
          </w:p>
        </w:tc>
        <w:tc>
          <w:tcPr>
            <w:tcW w:w="0" w:type="auto"/>
            <w:tcBorders>
              <w:top w:val="single" w:sz="4" w:space="0" w:color="auto"/>
              <w:left w:val="single" w:sz="4" w:space="0" w:color="auto"/>
              <w:bottom w:val="single" w:sz="4" w:space="0" w:color="auto"/>
              <w:right w:val="single" w:sz="4" w:space="0" w:color="auto"/>
            </w:tcBorders>
            <w:shd w:val="clear" w:color="000000" w:fill="FFBA6C"/>
            <w:noWrap/>
            <w:vAlign w:val="bottom"/>
            <w:hideMark/>
          </w:tcPr>
          <w:p w:rsidR="00354D80" w:rsidRPr="00D043A6" w:rsidRDefault="00354D80" w:rsidP="00354D80">
            <w:pPr>
              <w:jc w:val="right"/>
              <w:rPr>
                <w:rFonts w:eastAsia="Times New Roman"/>
                <w:color w:val="000000"/>
                <w:sz w:val="22"/>
                <w:szCs w:val="24"/>
                <w:lang w:eastAsia="lv-LV"/>
              </w:rPr>
            </w:pPr>
            <w:r w:rsidRPr="00D043A6">
              <w:rPr>
                <w:rFonts w:eastAsia="Times New Roman"/>
                <w:color w:val="000000"/>
                <w:sz w:val="22"/>
                <w:szCs w:val="24"/>
                <w:lang w:eastAsia="lv-LV"/>
              </w:rPr>
              <w:t>9617</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354D80" w:rsidRPr="00D043A6" w:rsidRDefault="00354D80" w:rsidP="00354D80">
            <w:pPr>
              <w:jc w:val="right"/>
              <w:rPr>
                <w:rFonts w:eastAsia="Times New Roman"/>
                <w:color w:val="000000"/>
                <w:sz w:val="22"/>
                <w:szCs w:val="24"/>
                <w:lang w:eastAsia="lv-LV"/>
              </w:rPr>
            </w:pPr>
            <w:r w:rsidRPr="00D043A6">
              <w:rPr>
                <w:rFonts w:eastAsia="Times New Roman"/>
                <w:color w:val="000000"/>
                <w:sz w:val="22"/>
                <w:szCs w:val="24"/>
                <w:lang w:eastAsia="lv-LV"/>
              </w:rPr>
              <w:t>300696</w:t>
            </w:r>
          </w:p>
        </w:tc>
      </w:tr>
      <w:tr w:rsidR="00354D80" w:rsidRPr="00D043A6" w:rsidTr="00EA0A7D">
        <w:trPr>
          <w:trHeight w:val="255"/>
        </w:trPr>
        <w:tc>
          <w:tcPr>
            <w:tcW w:w="1076" w:type="pct"/>
            <w:tcBorders>
              <w:top w:val="nil"/>
              <w:left w:val="single" w:sz="4" w:space="0" w:color="auto"/>
              <w:bottom w:val="single" w:sz="4" w:space="0" w:color="auto"/>
              <w:right w:val="single" w:sz="4" w:space="0" w:color="auto"/>
            </w:tcBorders>
            <w:shd w:val="clear" w:color="auto" w:fill="auto"/>
            <w:noWrap/>
            <w:vAlign w:val="bottom"/>
            <w:hideMark/>
          </w:tcPr>
          <w:p w:rsidR="00354D80" w:rsidRPr="00D043A6" w:rsidRDefault="00354D80" w:rsidP="00354D80">
            <w:pPr>
              <w:rPr>
                <w:rFonts w:eastAsia="Times New Roman"/>
                <w:color w:val="000000"/>
                <w:sz w:val="22"/>
                <w:szCs w:val="24"/>
                <w:lang w:eastAsia="lv-LV"/>
              </w:rPr>
            </w:pPr>
            <w:r w:rsidRPr="00D043A6">
              <w:rPr>
                <w:rFonts w:eastAsia="Times New Roman"/>
                <w:color w:val="000000"/>
                <w:sz w:val="22"/>
                <w:szCs w:val="24"/>
                <w:lang w:eastAsia="lv-LV"/>
              </w:rPr>
              <w:t xml:space="preserve">Divu dzīvokļu </w:t>
            </w:r>
          </w:p>
        </w:tc>
        <w:tc>
          <w:tcPr>
            <w:tcW w:w="509" w:type="pct"/>
            <w:tcBorders>
              <w:top w:val="single" w:sz="4" w:space="0" w:color="auto"/>
              <w:left w:val="single" w:sz="4" w:space="0" w:color="auto"/>
              <w:bottom w:val="single" w:sz="4" w:space="0" w:color="auto"/>
              <w:right w:val="single" w:sz="4" w:space="0" w:color="auto"/>
            </w:tcBorders>
            <w:shd w:val="clear" w:color="000000" w:fill="FFBB6C"/>
            <w:noWrap/>
            <w:vAlign w:val="bottom"/>
            <w:hideMark/>
          </w:tcPr>
          <w:p w:rsidR="00354D80" w:rsidRPr="00D043A6" w:rsidRDefault="00354D80" w:rsidP="00354D80">
            <w:pPr>
              <w:jc w:val="right"/>
              <w:rPr>
                <w:rFonts w:eastAsia="Times New Roman"/>
                <w:color w:val="000000"/>
                <w:sz w:val="22"/>
                <w:szCs w:val="24"/>
                <w:lang w:eastAsia="lv-LV"/>
              </w:rPr>
            </w:pPr>
            <w:r w:rsidRPr="00D043A6">
              <w:rPr>
                <w:rFonts w:eastAsia="Times New Roman"/>
                <w:color w:val="000000"/>
                <w:sz w:val="22"/>
                <w:szCs w:val="24"/>
                <w:lang w:eastAsia="lv-LV"/>
              </w:rPr>
              <w:t>9440</w:t>
            </w:r>
          </w:p>
        </w:tc>
        <w:tc>
          <w:tcPr>
            <w:tcW w:w="544" w:type="pct"/>
            <w:tcBorders>
              <w:top w:val="single" w:sz="4" w:space="0" w:color="auto"/>
              <w:left w:val="single" w:sz="4" w:space="0" w:color="auto"/>
              <w:bottom w:val="single" w:sz="4" w:space="0" w:color="auto"/>
              <w:right w:val="single" w:sz="4" w:space="0" w:color="auto"/>
            </w:tcBorders>
            <w:shd w:val="clear" w:color="000000" w:fill="FFED9A"/>
            <w:noWrap/>
            <w:vAlign w:val="bottom"/>
            <w:hideMark/>
          </w:tcPr>
          <w:p w:rsidR="00354D80" w:rsidRPr="00D043A6" w:rsidRDefault="00354D80" w:rsidP="00354D80">
            <w:pPr>
              <w:jc w:val="right"/>
              <w:rPr>
                <w:rFonts w:eastAsia="Times New Roman"/>
                <w:color w:val="000000"/>
                <w:sz w:val="22"/>
                <w:szCs w:val="24"/>
                <w:lang w:eastAsia="lv-LV"/>
              </w:rPr>
            </w:pPr>
            <w:r w:rsidRPr="00D043A6">
              <w:rPr>
                <w:rFonts w:eastAsia="Times New Roman"/>
                <w:color w:val="000000"/>
                <w:sz w:val="22"/>
                <w:szCs w:val="24"/>
                <w:lang w:eastAsia="lv-LV"/>
              </w:rPr>
              <w:t>427</w:t>
            </w:r>
          </w:p>
        </w:tc>
        <w:tc>
          <w:tcPr>
            <w:tcW w:w="0" w:type="auto"/>
            <w:tcBorders>
              <w:top w:val="single" w:sz="4" w:space="0" w:color="auto"/>
              <w:left w:val="single" w:sz="4" w:space="0" w:color="auto"/>
              <w:bottom w:val="single" w:sz="4" w:space="0" w:color="auto"/>
              <w:right w:val="single" w:sz="4" w:space="0" w:color="auto"/>
            </w:tcBorders>
            <w:shd w:val="clear" w:color="000000" w:fill="FFED9A"/>
            <w:noWrap/>
            <w:vAlign w:val="bottom"/>
            <w:hideMark/>
          </w:tcPr>
          <w:p w:rsidR="00354D80" w:rsidRPr="00D043A6" w:rsidRDefault="00354D80" w:rsidP="00354D80">
            <w:pPr>
              <w:jc w:val="right"/>
              <w:rPr>
                <w:rFonts w:eastAsia="Times New Roman"/>
                <w:color w:val="000000"/>
                <w:sz w:val="22"/>
                <w:szCs w:val="24"/>
                <w:lang w:eastAsia="lv-LV"/>
              </w:rPr>
            </w:pPr>
            <w:r w:rsidRPr="00D043A6">
              <w:rPr>
                <w:rFonts w:eastAsia="Times New Roman"/>
                <w:color w:val="000000"/>
                <w:sz w:val="22"/>
                <w:szCs w:val="24"/>
                <w:lang w:eastAsia="lv-LV"/>
              </w:rPr>
              <w:t>407</w:t>
            </w:r>
          </w:p>
        </w:tc>
        <w:tc>
          <w:tcPr>
            <w:tcW w:w="0" w:type="auto"/>
            <w:tcBorders>
              <w:top w:val="single" w:sz="4" w:space="0" w:color="auto"/>
              <w:left w:val="single" w:sz="4" w:space="0" w:color="auto"/>
              <w:bottom w:val="single" w:sz="4" w:space="0" w:color="auto"/>
              <w:right w:val="single" w:sz="4" w:space="0" w:color="auto"/>
            </w:tcBorders>
            <w:shd w:val="clear" w:color="000000" w:fill="FFEF9C"/>
            <w:noWrap/>
            <w:vAlign w:val="bottom"/>
            <w:hideMark/>
          </w:tcPr>
          <w:p w:rsidR="00354D80" w:rsidRPr="00D043A6" w:rsidRDefault="00354D80" w:rsidP="00354D80">
            <w:pPr>
              <w:jc w:val="right"/>
              <w:rPr>
                <w:rFonts w:eastAsia="Times New Roman"/>
                <w:color w:val="000000"/>
                <w:sz w:val="22"/>
                <w:szCs w:val="24"/>
                <w:lang w:eastAsia="lv-LV"/>
              </w:rPr>
            </w:pPr>
            <w:r w:rsidRPr="00D043A6">
              <w:rPr>
                <w:rFonts w:eastAsia="Times New Roman"/>
                <w:color w:val="000000"/>
                <w:sz w:val="22"/>
                <w:szCs w:val="24"/>
                <w:lang w:eastAsia="lv-LV"/>
              </w:rPr>
              <w:t>12</w:t>
            </w:r>
          </w:p>
        </w:tc>
        <w:tc>
          <w:tcPr>
            <w:tcW w:w="0" w:type="auto"/>
            <w:tcBorders>
              <w:top w:val="single" w:sz="4" w:space="0" w:color="auto"/>
              <w:left w:val="single" w:sz="4" w:space="0" w:color="auto"/>
              <w:bottom w:val="single" w:sz="4" w:space="0" w:color="auto"/>
              <w:right w:val="single" w:sz="4" w:space="0" w:color="auto"/>
            </w:tcBorders>
            <w:shd w:val="clear" w:color="000000" w:fill="FFE593"/>
            <w:noWrap/>
            <w:vAlign w:val="bottom"/>
            <w:hideMark/>
          </w:tcPr>
          <w:p w:rsidR="00354D80" w:rsidRPr="00D043A6" w:rsidRDefault="00354D80" w:rsidP="00354D80">
            <w:pPr>
              <w:jc w:val="right"/>
              <w:rPr>
                <w:rFonts w:eastAsia="Times New Roman"/>
                <w:color w:val="000000"/>
                <w:sz w:val="22"/>
                <w:szCs w:val="24"/>
                <w:lang w:eastAsia="lv-LV"/>
              </w:rPr>
            </w:pPr>
            <w:r w:rsidRPr="00D043A6">
              <w:rPr>
                <w:rFonts w:eastAsia="Times New Roman"/>
                <w:color w:val="000000"/>
                <w:sz w:val="22"/>
                <w:szCs w:val="24"/>
                <w:lang w:eastAsia="lv-LV"/>
              </w:rPr>
              <w:t>1919</w:t>
            </w:r>
          </w:p>
        </w:tc>
        <w:tc>
          <w:tcPr>
            <w:tcW w:w="0" w:type="auto"/>
            <w:tcBorders>
              <w:top w:val="single" w:sz="4" w:space="0" w:color="auto"/>
              <w:left w:val="single" w:sz="4" w:space="0" w:color="auto"/>
              <w:bottom w:val="single" w:sz="4" w:space="0" w:color="auto"/>
              <w:right w:val="single" w:sz="4" w:space="0" w:color="auto"/>
            </w:tcBorders>
            <w:shd w:val="clear" w:color="000000" w:fill="FFEF9C"/>
            <w:noWrap/>
            <w:vAlign w:val="bottom"/>
            <w:hideMark/>
          </w:tcPr>
          <w:p w:rsidR="00354D80" w:rsidRPr="00D043A6" w:rsidRDefault="00354D80" w:rsidP="00354D80">
            <w:pPr>
              <w:jc w:val="right"/>
              <w:rPr>
                <w:rFonts w:eastAsia="Times New Roman"/>
                <w:color w:val="000000"/>
                <w:sz w:val="22"/>
                <w:szCs w:val="24"/>
                <w:lang w:eastAsia="lv-LV"/>
              </w:rPr>
            </w:pPr>
            <w:r w:rsidRPr="00D043A6">
              <w:rPr>
                <w:rFonts w:eastAsia="Times New Roman"/>
                <w:color w:val="000000"/>
                <w:sz w:val="22"/>
                <w:szCs w:val="24"/>
                <w:lang w:eastAsia="lv-LV"/>
              </w:rPr>
              <w:t>160</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354D80" w:rsidRPr="00D043A6" w:rsidRDefault="00354D80" w:rsidP="00354D80">
            <w:pPr>
              <w:jc w:val="right"/>
              <w:rPr>
                <w:rFonts w:eastAsia="Times New Roman"/>
                <w:color w:val="000000"/>
                <w:sz w:val="22"/>
                <w:szCs w:val="24"/>
                <w:lang w:eastAsia="lv-LV"/>
              </w:rPr>
            </w:pPr>
            <w:r w:rsidRPr="00D043A6">
              <w:rPr>
                <w:rFonts w:eastAsia="Times New Roman"/>
                <w:color w:val="000000"/>
                <w:sz w:val="22"/>
                <w:szCs w:val="24"/>
                <w:lang w:eastAsia="lv-LV"/>
              </w:rPr>
              <w:t>12365</w:t>
            </w:r>
          </w:p>
        </w:tc>
      </w:tr>
      <w:tr w:rsidR="00354D80" w:rsidRPr="00D043A6" w:rsidTr="00EA0A7D">
        <w:trPr>
          <w:trHeight w:val="255"/>
        </w:trPr>
        <w:tc>
          <w:tcPr>
            <w:tcW w:w="1076" w:type="pct"/>
            <w:tcBorders>
              <w:top w:val="nil"/>
              <w:left w:val="single" w:sz="4" w:space="0" w:color="auto"/>
              <w:bottom w:val="single" w:sz="4" w:space="0" w:color="auto"/>
              <w:right w:val="single" w:sz="4" w:space="0" w:color="auto"/>
            </w:tcBorders>
            <w:shd w:val="clear" w:color="auto" w:fill="auto"/>
            <w:noWrap/>
            <w:vAlign w:val="bottom"/>
            <w:hideMark/>
          </w:tcPr>
          <w:p w:rsidR="0083239E" w:rsidRPr="00D043A6" w:rsidRDefault="00354D80" w:rsidP="00354D80">
            <w:pPr>
              <w:rPr>
                <w:rFonts w:eastAsia="Times New Roman"/>
                <w:color w:val="000000"/>
                <w:sz w:val="22"/>
                <w:szCs w:val="24"/>
                <w:lang w:eastAsia="lv-LV"/>
              </w:rPr>
            </w:pPr>
            <w:r w:rsidRPr="00D043A6">
              <w:rPr>
                <w:rFonts w:eastAsia="Times New Roman"/>
                <w:color w:val="000000"/>
                <w:sz w:val="22"/>
                <w:szCs w:val="24"/>
                <w:lang w:eastAsia="lv-LV"/>
              </w:rPr>
              <w:lastRenderedPageBreak/>
              <w:t xml:space="preserve">Triju vai vairāku </w:t>
            </w:r>
          </w:p>
          <w:p w:rsidR="00354D80" w:rsidRPr="00D043A6" w:rsidRDefault="00354D80" w:rsidP="00354D80">
            <w:pPr>
              <w:rPr>
                <w:rFonts w:eastAsia="Times New Roman"/>
                <w:color w:val="000000"/>
                <w:sz w:val="22"/>
                <w:szCs w:val="24"/>
                <w:lang w:eastAsia="lv-LV"/>
              </w:rPr>
            </w:pPr>
            <w:r w:rsidRPr="00D043A6">
              <w:rPr>
                <w:rFonts w:eastAsia="Times New Roman"/>
                <w:color w:val="000000"/>
                <w:sz w:val="22"/>
                <w:szCs w:val="24"/>
                <w:lang w:eastAsia="lv-LV"/>
              </w:rPr>
              <w:t xml:space="preserve">dzīvokļu </w:t>
            </w:r>
          </w:p>
        </w:tc>
        <w:tc>
          <w:tcPr>
            <w:tcW w:w="509" w:type="pct"/>
            <w:tcBorders>
              <w:top w:val="single" w:sz="4" w:space="0" w:color="auto"/>
              <w:left w:val="single" w:sz="4" w:space="0" w:color="auto"/>
              <w:bottom w:val="single" w:sz="4" w:space="0" w:color="auto"/>
              <w:right w:val="single" w:sz="4" w:space="0" w:color="auto"/>
            </w:tcBorders>
            <w:shd w:val="clear" w:color="000000" w:fill="FFB163"/>
            <w:noWrap/>
            <w:vAlign w:val="bottom"/>
            <w:hideMark/>
          </w:tcPr>
          <w:p w:rsidR="00354D80" w:rsidRPr="00D043A6" w:rsidRDefault="00354D80" w:rsidP="00354D80">
            <w:pPr>
              <w:jc w:val="right"/>
              <w:rPr>
                <w:rFonts w:eastAsia="Times New Roman"/>
                <w:color w:val="000000"/>
                <w:sz w:val="22"/>
                <w:szCs w:val="24"/>
                <w:lang w:eastAsia="lv-LV"/>
              </w:rPr>
            </w:pPr>
            <w:r w:rsidRPr="00D043A6">
              <w:rPr>
                <w:rFonts w:eastAsia="Times New Roman"/>
                <w:color w:val="000000"/>
                <w:sz w:val="22"/>
                <w:szCs w:val="24"/>
                <w:lang w:eastAsia="lv-LV"/>
              </w:rPr>
              <w:t>11348</w:t>
            </w:r>
          </w:p>
        </w:tc>
        <w:tc>
          <w:tcPr>
            <w:tcW w:w="544" w:type="pct"/>
            <w:tcBorders>
              <w:top w:val="single" w:sz="4" w:space="0" w:color="auto"/>
              <w:left w:val="single" w:sz="4" w:space="0" w:color="auto"/>
              <w:bottom w:val="single" w:sz="4" w:space="0" w:color="auto"/>
              <w:right w:val="single" w:sz="4" w:space="0" w:color="auto"/>
            </w:tcBorders>
            <w:shd w:val="clear" w:color="000000" w:fill="FFE593"/>
            <w:noWrap/>
            <w:vAlign w:val="bottom"/>
            <w:hideMark/>
          </w:tcPr>
          <w:p w:rsidR="00354D80" w:rsidRPr="00D043A6" w:rsidRDefault="00354D80" w:rsidP="00354D80">
            <w:pPr>
              <w:jc w:val="right"/>
              <w:rPr>
                <w:rFonts w:eastAsia="Times New Roman"/>
                <w:color w:val="000000"/>
                <w:sz w:val="22"/>
                <w:szCs w:val="24"/>
                <w:lang w:eastAsia="lv-LV"/>
              </w:rPr>
            </w:pPr>
            <w:r w:rsidRPr="00D043A6">
              <w:rPr>
                <w:rFonts w:eastAsia="Times New Roman"/>
                <w:color w:val="000000"/>
                <w:sz w:val="22"/>
                <w:szCs w:val="24"/>
                <w:lang w:eastAsia="lv-LV"/>
              </w:rPr>
              <w:t>1846</w:t>
            </w:r>
          </w:p>
        </w:tc>
        <w:tc>
          <w:tcPr>
            <w:tcW w:w="0" w:type="auto"/>
            <w:tcBorders>
              <w:top w:val="single" w:sz="4" w:space="0" w:color="auto"/>
              <w:left w:val="single" w:sz="4" w:space="0" w:color="auto"/>
              <w:bottom w:val="single" w:sz="4" w:space="0" w:color="auto"/>
              <w:right w:val="single" w:sz="4" w:space="0" w:color="auto"/>
            </w:tcBorders>
            <w:shd w:val="clear" w:color="000000" w:fill="FFE492"/>
            <w:noWrap/>
            <w:vAlign w:val="bottom"/>
            <w:hideMark/>
          </w:tcPr>
          <w:p w:rsidR="00354D80" w:rsidRPr="00D043A6" w:rsidRDefault="00354D80" w:rsidP="00354D80">
            <w:pPr>
              <w:jc w:val="right"/>
              <w:rPr>
                <w:rFonts w:eastAsia="Times New Roman"/>
                <w:color w:val="000000"/>
                <w:sz w:val="22"/>
                <w:szCs w:val="24"/>
                <w:lang w:eastAsia="lv-LV"/>
              </w:rPr>
            </w:pPr>
            <w:r w:rsidRPr="00D043A6">
              <w:rPr>
                <w:rFonts w:eastAsia="Times New Roman"/>
                <w:color w:val="000000"/>
                <w:sz w:val="22"/>
                <w:szCs w:val="24"/>
                <w:lang w:eastAsia="lv-LV"/>
              </w:rPr>
              <w:t>2170</w:t>
            </w:r>
          </w:p>
        </w:tc>
        <w:tc>
          <w:tcPr>
            <w:tcW w:w="0" w:type="auto"/>
            <w:tcBorders>
              <w:top w:val="single" w:sz="4" w:space="0" w:color="auto"/>
              <w:left w:val="single" w:sz="4" w:space="0" w:color="auto"/>
              <w:bottom w:val="single" w:sz="4" w:space="0" w:color="auto"/>
              <w:right w:val="single" w:sz="4" w:space="0" w:color="auto"/>
            </w:tcBorders>
            <w:shd w:val="clear" w:color="000000" w:fill="FFEF9C"/>
            <w:noWrap/>
            <w:vAlign w:val="bottom"/>
            <w:hideMark/>
          </w:tcPr>
          <w:p w:rsidR="00354D80" w:rsidRPr="00D043A6" w:rsidRDefault="00354D80" w:rsidP="00354D80">
            <w:pPr>
              <w:jc w:val="right"/>
              <w:rPr>
                <w:rFonts w:eastAsia="Times New Roman"/>
                <w:color w:val="000000"/>
                <w:sz w:val="22"/>
                <w:szCs w:val="24"/>
                <w:lang w:eastAsia="lv-LV"/>
              </w:rPr>
            </w:pPr>
            <w:r w:rsidRPr="00D043A6">
              <w:rPr>
                <w:rFonts w:eastAsia="Times New Roman"/>
                <w:color w:val="000000"/>
                <w:sz w:val="22"/>
                <w:szCs w:val="24"/>
                <w:lang w:eastAsia="lv-LV"/>
              </w:rPr>
              <w:t>73</w:t>
            </w:r>
          </w:p>
        </w:tc>
        <w:tc>
          <w:tcPr>
            <w:tcW w:w="0" w:type="auto"/>
            <w:tcBorders>
              <w:top w:val="single" w:sz="4" w:space="0" w:color="auto"/>
              <w:left w:val="single" w:sz="4" w:space="0" w:color="auto"/>
              <w:bottom w:val="single" w:sz="4" w:space="0" w:color="auto"/>
              <w:right w:val="single" w:sz="4" w:space="0" w:color="auto"/>
            </w:tcBorders>
            <w:shd w:val="clear" w:color="000000" w:fill="FF7128"/>
            <w:noWrap/>
            <w:vAlign w:val="bottom"/>
            <w:hideMark/>
          </w:tcPr>
          <w:p w:rsidR="00354D80" w:rsidRPr="00D043A6" w:rsidRDefault="00354D80" w:rsidP="00354D80">
            <w:pPr>
              <w:jc w:val="right"/>
              <w:rPr>
                <w:rFonts w:eastAsia="Times New Roman"/>
                <w:color w:val="000000"/>
                <w:sz w:val="22"/>
                <w:szCs w:val="24"/>
                <w:lang w:eastAsia="lv-LV"/>
              </w:rPr>
            </w:pPr>
            <w:r w:rsidRPr="00D043A6">
              <w:rPr>
                <w:rFonts w:eastAsia="Times New Roman"/>
                <w:color w:val="000000"/>
                <w:sz w:val="22"/>
                <w:szCs w:val="24"/>
                <w:lang w:eastAsia="lv-LV"/>
              </w:rPr>
              <w:t>22780</w:t>
            </w:r>
          </w:p>
        </w:tc>
        <w:tc>
          <w:tcPr>
            <w:tcW w:w="0" w:type="auto"/>
            <w:tcBorders>
              <w:top w:val="single" w:sz="4" w:space="0" w:color="auto"/>
              <w:left w:val="single" w:sz="4" w:space="0" w:color="auto"/>
              <w:bottom w:val="single" w:sz="4" w:space="0" w:color="auto"/>
              <w:right w:val="single" w:sz="4" w:space="0" w:color="auto"/>
            </w:tcBorders>
            <w:shd w:val="clear" w:color="000000" w:fill="FFED9B"/>
            <w:noWrap/>
            <w:vAlign w:val="bottom"/>
            <w:hideMark/>
          </w:tcPr>
          <w:p w:rsidR="00354D80" w:rsidRPr="00D043A6" w:rsidRDefault="00354D80" w:rsidP="00354D80">
            <w:pPr>
              <w:jc w:val="right"/>
              <w:rPr>
                <w:rFonts w:eastAsia="Times New Roman"/>
                <w:color w:val="000000"/>
                <w:sz w:val="22"/>
                <w:szCs w:val="24"/>
                <w:lang w:eastAsia="lv-LV"/>
              </w:rPr>
            </w:pPr>
            <w:r w:rsidRPr="00D043A6">
              <w:rPr>
                <w:rFonts w:eastAsia="Times New Roman"/>
                <w:color w:val="000000"/>
                <w:sz w:val="22"/>
                <w:szCs w:val="24"/>
                <w:lang w:eastAsia="lv-LV"/>
              </w:rPr>
              <w:t>382</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354D80" w:rsidRPr="00D043A6" w:rsidRDefault="00354D80" w:rsidP="00354D80">
            <w:pPr>
              <w:jc w:val="right"/>
              <w:rPr>
                <w:rFonts w:eastAsia="Times New Roman"/>
                <w:color w:val="000000"/>
                <w:sz w:val="22"/>
                <w:szCs w:val="24"/>
                <w:lang w:eastAsia="lv-LV"/>
              </w:rPr>
            </w:pPr>
            <w:r w:rsidRPr="00D043A6">
              <w:rPr>
                <w:rFonts w:eastAsia="Times New Roman"/>
                <w:color w:val="000000"/>
                <w:sz w:val="22"/>
                <w:szCs w:val="24"/>
                <w:lang w:eastAsia="lv-LV"/>
              </w:rPr>
              <w:t>38599</w:t>
            </w:r>
          </w:p>
        </w:tc>
      </w:tr>
      <w:tr w:rsidR="00354D80" w:rsidRPr="00D043A6" w:rsidTr="00EA0A7D">
        <w:trPr>
          <w:trHeight w:val="255"/>
        </w:trPr>
        <w:tc>
          <w:tcPr>
            <w:tcW w:w="1076" w:type="pct"/>
            <w:tcBorders>
              <w:top w:val="nil"/>
              <w:left w:val="single" w:sz="4" w:space="0" w:color="auto"/>
              <w:bottom w:val="single" w:sz="4" w:space="0" w:color="auto"/>
              <w:right w:val="single" w:sz="4" w:space="0" w:color="auto"/>
            </w:tcBorders>
            <w:shd w:val="clear" w:color="auto" w:fill="auto"/>
            <w:noWrap/>
            <w:vAlign w:val="bottom"/>
            <w:hideMark/>
          </w:tcPr>
          <w:p w:rsidR="0083239E" w:rsidRPr="00D043A6" w:rsidRDefault="00354D80" w:rsidP="00354D80">
            <w:pPr>
              <w:rPr>
                <w:rFonts w:eastAsia="Times New Roman"/>
                <w:color w:val="000000"/>
                <w:sz w:val="22"/>
                <w:szCs w:val="24"/>
                <w:lang w:eastAsia="lv-LV"/>
              </w:rPr>
            </w:pPr>
            <w:r w:rsidRPr="00D043A6">
              <w:rPr>
                <w:rFonts w:eastAsia="Times New Roman"/>
                <w:color w:val="000000"/>
                <w:sz w:val="22"/>
                <w:szCs w:val="24"/>
                <w:lang w:eastAsia="lv-LV"/>
              </w:rPr>
              <w:t xml:space="preserve">Dažādu sociālo </w:t>
            </w:r>
          </w:p>
          <w:p w:rsidR="00354D80" w:rsidRPr="00D043A6" w:rsidRDefault="00354D80" w:rsidP="0083239E">
            <w:pPr>
              <w:rPr>
                <w:rFonts w:eastAsia="Times New Roman"/>
                <w:color w:val="000000"/>
                <w:sz w:val="22"/>
                <w:szCs w:val="24"/>
                <w:lang w:eastAsia="lv-LV"/>
              </w:rPr>
            </w:pPr>
            <w:r w:rsidRPr="00D043A6">
              <w:rPr>
                <w:rFonts w:eastAsia="Times New Roman"/>
                <w:color w:val="000000"/>
                <w:sz w:val="22"/>
                <w:szCs w:val="24"/>
                <w:lang w:eastAsia="lv-LV"/>
              </w:rPr>
              <w:t xml:space="preserve">grupu </w:t>
            </w:r>
          </w:p>
        </w:tc>
        <w:tc>
          <w:tcPr>
            <w:tcW w:w="509" w:type="pct"/>
            <w:tcBorders>
              <w:top w:val="single" w:sz="4" w:space="0" w:color="auto"/>
              <w:left w:val="single" w:sz="4" w:space="0" w:color="auto"/>
              <w:bottom w:val="single" w:sz="4" w:space="0" w:color="auto"/>
              <w:right w:val="single" w:sz="4" w:space="0" w:color="auto"/>
            </w:tcBorders>
            <w:shd w:val="clear" w:color="000000" w:fill="FFEF9C"/>
            <w:noWrap/>
            <w:vAlign w:val="bottom"/>
            <w:hideMark/>
          </w:tcPr>
          <w:p w:rsidR="00354D80" w:rsidRPr="00D043A6" w:rsidRDefault="00354D80" w:rsidP="00354D80">
            <w:pPr>
              <w:jc w:val="right"/>
              <w:rPr>
                <w:rFonts w:eastAsia="Times New Roman"/>
                <w:color w:val="000000"/>
                <w:sz w:val="22"/>
                <w:szCs w:val="24"/>
                <w:lang w:eastAsia="lv-LV"/>
              </w:rPr>
            </w:pPr>
            <w:r w:rsidRPr="00D043A6">
              <w:rPr>
                <w:rFonts w:eastAsia="Times New Roman"/>
                <w:color w:val="000000"/>
                <w:sz w:val="22"/>
                <w:szCs w:val="24"/>
                <w:lang w:eastAsia="lv-LV"/>
              </w:rPr>
              <w:t>79</w:t>
            </w:r>
          </w:p>
        </w:tc>
        <w:tc>
          <w:tcPr>
            <w:tcW w:w="544" w:type="pct"/>
            <w:tcBorders>
              <w:top w:val="single" w:sz="4" w:space="0" w:color="auto"/>
              <w:left w:val="single" w:sz="4" w:space="0" w:color="auto"/>
              <w:bottom w:val="single" w:sz="4" w:space="0" w:color="auto"/>
              <w:right w:val="single" w:sz="4" w:space="0" w:color="auto"/>
            </w:tcBorders>
            <w:shd w:val="clear" w:color="000000" w:fill="FFEF9C"/>
            <w:noWrap/>
            <w:vAlign w:val="bottom"/>
            <w:hideMark/>
          </w:tcPr>
          <w:p w:rsidR="00354D80" w:rsidRPr="00D043A6" w:rsidRDefault="00354D80" w:rsidP="00354D80">
            <w:pPr>
              <w:jc w:val="right"/>
              <w:rPr>
                <w:rFonts w:eastAsia="Times New Roman"/>
                <w:color w:val="000000"/>
                <w:sz w:val="22"/>
                <w:szCs w:val="24"/>
                <w:lang w:eastAsia="lv-LV"/>
              </w:rPr>
            </w:pPr>
            <w:r w:rsidRPr="00D043A6">
              <w:rPr>
                <w:rFonts w:eastAsia="Times New Roman"/>
                <w:color w:val="000000"/>
                <w:sz w:val="22"/>
                <w:szCs w:val="24"/>
                <w:lang w:eastAsia="lv-LV"/>
              </w:rPr>
              <w:t>150</w:t>
            </w:r>
          </w:p>
        </w:tc>
        <w:tc>
          <w:tcPr>
            <w:tcW w:w="0" w:type="auto"/>
            <w:tcBorders>
              <w:top w:val="single" w:sz="4" w:space="0" w:color="auto"/>
              <w:left w:val="single" w:sz="4" w:space="0" w:color="auto"/>
              <w:bottom w:val="single" w:sz="4" w:space="0" w:color="auto"/>
              <w:right w:val="single" w:sz="4" w:space="0" w:color="auto"/>
            </w:tcBorders>
            <w:shd w:val="clear" w:color="000000" w:fill="FFEE9B"/>
            <w:noWrap/>
            <w:vAlign w:val="bottom"/>
            <w:hideMark/>
          </w:tcPr>
          <w:p w:rsidR="00354D80" w:rsidRPr="00D043A6" w:rsidRDefault="00354D80" w:rsidP="00354D80">
            <w:pPr>
              <w:jc w:val="right"/>
              <w:rPr>
                <w:rFonts w:eastAsia="Times New Roman"/>
                <w:color w:val="000000"/>
                <w:sz w:val="22"/>
                <w:szCs w:val="24"/>
                <w:lang w:eastAsia="lv-LV"/>
              </w:rPr>
            </w:pPr>
            <w:r w:rsidRPr="00D043A6">
              <w:rPr>
                <w:rFonts w:eastAsia="Times New Roman"/>
                <w:color w:val="000000"/>
                <w:sz w:val="22"/>
                <w:szCs w:val="24"/>
                <w:lang w:eastAsia="lv-LV"/>
              </w:rPr>
              <w:t>325</w:t>
            </w:r>
          </w:p>
        </w:tc>
        <w:tc>
          <w:tcPr>
            <w:tcW w:w="0" w:type="auto"/>
            <w:tcBorders>
              <w:top w:val="single" w:sz="4" w:space="0" w:color="auto"/>
              <w:left w:val="single" w:sz="4" w:space="0" w:color="auto"/>
              <w:bottom w:val="single" w:sz="4" w:space="0" w:color="auto"/>
              <w:right w:val="single" w:sz="4" w:space="0" w:color="auto"/>
            </w:tcBorders>
            <w:shd w:val="clear" w:color="000000" w:fill="FFEF9C"/>
            <w:noWrap/>
            <w:vAlign w:val="bottom"/>
            <w:hideMark/>
          </w:tcPr>
          <w:p w:rsidR="00354D80" w:rsidRPr="00D043A6" w:rsidRDefault="00354D80" w:rsidP="00354D80">
            <w:pPr>
              <w:jc w:val="right"/>
              <w:rPr>
                <w:rFonts w:eastAsia="Times New Roman"/>
                <w:color w:val="000000"/>
                <w:sz w:val="22"/>
                <w:szCs w:val="24"/>
                <w:lang w:eastAsia="lv-LV"/>
              </w:rPr>
            </w:pPr>
            <w:r w:rsidRPr="00D043A6">
              <w:rPr>
                <w:rFonts w:eastAsia="Times New Roman"/>
                <w:color w:val="000000"/>
                <w:sz w:val="22"/>
                <w:szCs w:val="24"/>
                <w:lang w:eastAsia="lv-LV"/>
              </w:rPr>
              <w:t>125</w:t>
            </w:r>
          </w:p>
        </w:tc>
        <w:tc>
          <w:tcPr>
            <w:tcW w:w="0" w:type="auto"/>
            <w:tcBorders>
              <w:top w:val="single" w:sz="4" w:space="0" w:color="auto"/>
              <w:left w:val="single" w:sz="4" w:space="0" w:color="auto"/>
              <w:bottom w:val="single" w:sz="4" w:space="0" w:color="auto"/>
              <w:right w:val="single" w:sz="4" w:space="0" w:color="auto"/>
            </w:tcBorders>
            <w:shd w:val="clear" w:color="000000" w:fill="FFEF9C"/>
            <w:noWrap/>
            <w:vAlign w:val="bottom"/>
            <w:hideMark/>
          </w:tcPr>
          <w:p w:rsidR="00354D80" w:rsidRPr="00D043A6" w:rsidRDefault="00354D80" w:rsidP="00354D80">
            <w:pPr>
              <w:jc w:val="right"/>
              <w:rPr>
                <w:rFonts w:eastAsia="Times New Roman"/>
                <w:color w:val="000000"/>
                <w:sz w:val="22"/>
                <w:szCs w:val="24"/>
                <w:lang w:eastAsia="lv-LV"/>
              </w:rPr>
            </w:pPr>
            <w:r w:rsidRPr="00D043A6">
              <w:rPr>
                <w:rFonts w:eastAsia="Times New Roman"/>
                <w:color w:val="000000"/>
                <w:sz w:val="22"/>
                <w:szCs w:val="24"/>
                <w:lang w:eastAsia="lv-LV"/>
              </w:rPr>
              <w:t>14</w:t>
            </w:r>
          </w:p>
        </w:tc>
        <w:tc>
          <w:tcPr>
            <w:tcW w:w="0" w:type="auto"/>
            <w:tcBorders>
              <w:top w:val="single" w:sz="4" w:space="0" w:color="auto"/>
              <w:left w:val="single" w:sz="4" w:space="0" w:color="auto"/>
              <w:bottom w:val="single" w:sz="4" w:space="0" w:color="auto"/>
              <w:right w:val="single" w:sz="4" w:space="0" w:color="auto"/>
            </w:tcBorders>
            <w:shd w:val="clear" w:color="000000" w:fill="FFEF9C"/>
            <w:noWrap/>
            <w:vAlign w:val="bottom"/>
            <w:hideMark/>
          </w:tcPr>
          <w:p w:rsidR="00354D80" w:rsidRPr="00D043A6" w:rsidRDefault="00354D80" w:rsidP="00354D80">
            <w:pPr>
              <w:jc w:val="right"/>
              <w:rPr>
                <w:rFonts w:eastAsia="Times New Roman"/>
                <w:color w:val="000000"/>
                <w:sz w:val="22"/>
                <w:szCs w:val="24"/>
                <w:lang w:eastAsia="lv-LV"/>
              </w:rPr>
            </w:pPr>
            <w:r w:rsidRPr="00D043A6">
              <w:rPr>
                <w:rFonts w:eastAsia="Times New Roman"/>
                <w:color w:val="000000"/>
                <w:sz w:val="22"/>
                <w:szCs w:val="24"/>
                <w:lang w:eastAsia="lv-LV"/>
              </w:rPr>
              <w:t>13</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354D80" w:rsidRPr="00D043A6" w:rsidRDefault="00354D80" w:rsidP="00354D80">
            <w:pPr>
              <w:jc w:val="right"/>
              <w:rPr>
                <w:rFonts w:eastAsia="Times New Roman"/>
                <w:color w:val="000000"/>
                <w:sz w:val="22"/>
                <w:szCs w:val="24"/>
                <w:lang w:eastAsia="lv-LV"/>
              </w:rPr>
            </w:pPr>
            <w:r w:rsidRPr="00D043A6">
              <w:rPr>
                <w:rFonts w:eastAsia="Times New Roman"/>
                <w:color w:val="000000"/>
                <w:sz w:val="22"/>
                <w:szCs w:val="24"/>
                <w:lang w:eastAsia="lv-LV"/>
              </w:rPr>
              <w:t>706</w:t>
            </w:r>
          </w:p>
        </w:tc>
      </w:tr>
      <w:tr w:rsidR="00354D80" w:rsidRPr="00D043A6" w:rsidTr="00EA0A7D">
        <w:trPr>
          <w:trHeight w:val="300"/>
        </w:trPr>
        <w:tc>
          <w:tcPr>
            <w:tcW w:w="1076" w:type="pct"/>
            <w:tcBorders>
              <w:top w:val="nil"/>
              <w:left w:val="single" w:sz="4" w:space="0" w:color="auto"/>
              <w:bottom w:val="single" w:sz="4" w:space="0" w:color="auto"/>
              <w:right w:val="single" w:sz="4" w:space="0" w:color="auto"/>
            </w:tcBorders>
            <w:shd w:val="clear" w:color="auto" w:fill="auto"/>
            <w:noWrap/>
            <w:vAlign w:val="bottom"/>
            <w:hideMark/>
          </w:tcPr>
          <w:p w:rsidR="00354D80" w:rsidRPr="00D043A6" w:rsidRDefault="00354D80" w:rsidP="00354D80">
            <w:pPr>
              <w:rPr>
                <w:rFonts w:eastAsia="Times New Roman"/>
                <w:b/>
                <w:bCs/>
                <w:color w:val="000000"/>
                <w:sz w:val="22"/>
                <w:szCs w:val="24"/>
                <w:lang w:eastAsia="lv-LV"/>
              </w:rPr>
            </w:pPr>
            <w:r w:rsidRPr="00D043A6">
              <w:rPr>
                <w:rFonts w:eastAsia="Times New Roman"/>
                <w:b/>
                <w:bCs/>
                <w:color w:val="000000"/>
                <w:sz w:val="22"/>
                <w:szCs w:val="24"/>
                <w:lang w:eastAsia="lv-LV"/>
              </w:rPr>
              <w:t>kopā</w:t>
            </w:r>
          </w:p>
        </w:tc>
        <w:tc>
          <w:tcPr>
            <w:tcW w:w="509" w:type="pct"/>
            <w:tcBorders>
              <w:top w:val="nil"/>
              <w:left w:val="nil"/>
              <w:bottom w:val="single" w:sz="4" w:space="0" w:color="auto"/>
              <w:right w:val="single" w:sz="4" w:space="0" w:color="auto"/>
            </w:tcBorders>
            <w:shd w:val="clear" w:color="auto" w:fill="auto"/>
            <w:noWrap/>
            <w:vAlign w:val="bottom"/>
            <w:hideMark/>
          </w:tcPr>
          <w:p w:rsidR="00354D80" w:rsidRPr="00D043A6" w:rsidRDefault="00354D80" w:rsidP="00354D80">
            <w:pPr>
              <w:jc w:val="right"/>
              <w:rPr>
                <w:rFonts w:eastAsia="Times New Roman"/>
                <w:b/>
                <w:bCs/>
                <w:color w:val="000000"/>
                <w:sz w:val="22"/>
                <w:szCs w:val="24"/>
                <w:lang w:eastAsia="lv-LV"/>
              </w:rPr>
            </w:pPr>
            <w:r w:rsidRPr="00D043A6">
              <w:rPr>
                <w:rFonts w:eastAsia="Times New Roman"/>
                <w:b/>
                <w:bCs/>
                <w:color w:val="000000"/>
                <w:sz w:val="22"/>
                <w:szCs w:val="24"/>
                <w:lang w:eastAsia="lv-LV"/>
              </w:rPr>
              <w:t>303247</w:t>
            </w:r>
          </w:p>
        </w:tc>
        <w:tc>
          <w:tcPr>
            <w:tcW w:w="544" w:type="pct"/>
            <w:tcBorders>
              <w:top w:val="nil"/>
              <w:left w:val="nil"/>
              <w:bottom w:val="single" w:sz="4" w:space="0" w:color="auto"/>
              <w:right w:val="single" w:sz="4" w:space="0" w:color="auto"/>
            </w:tcBorders>
            <w:shd w:val="clear" w:color="auto" w:fill="auto"/>
            <w:noWrap/>
            <w:vAlign w:val="bottom"/>
            <w:hideMark/>
          </w:tcPr>
          <w:p w:rsidR="00354D80" w:rsidRPr="00D043A6" w:rsidRDefault="00354D80" w:rsidP="00354D80">
            <w:pPr>
              <w:jc w:val="right"/>
              <w:rPr>
                <w:rFonts w:eastAsia="Times New Roman"/>
                <w:b/>
                <w:bCs/>
                <w:color w:val="000000"/>
                <w:sz w:val="22"/>
                <w:szCs w:val="24"/>
                <w:lang w:eastAsia="lv-LV"/>
              </w:rPr>
            </w:pPr>
            <w:r w:rsidRPr="00D043A6">
              <w:rPr>
                <w:rFonts w:eastAsia="Times New Roman"/>
                <w:b/>
                <w:bCs/>
                <w:color w:val="000000"/>
                <w:sz w:val="22"/>
                <w:szCs w:val="24"/>
                <w:lang w:eastAsia="lv-LV"/>
              </w:rPr>
              <w:t>7680</w:t>
            </w:r>
          </w:p>
        </w:tc>
        <w:tc>
          <w:tcPr>
            <w:tcW w:w="0" w:type="auto"/>
            <w:tcBorders>
              <w:top w:val="nil"/>
              <w:left w:val="nil"/>
              <w:bottom w:val="single" w:sz="4" w:space="0" w:color="auto"/>
              <w:right w:val="single" w:sz="4" w:space="0" w:color="auto"/>
            </w:tcBorders>
            <w:shd w:val="clear" w:color="auto" w:fill="auto"/>
            <w:noWrap/>
            <w:vAlign w:val="bottom"/>
            <w:hideMark/>
          </w:tcPr>
          <w:p w:rsidR="00354D80" w:rsidRPr="00D043A6" w:rsidRDefault="00354D80" w:rsidP="00354D80">
            <w:pPr>
              <w:jc w:val="right"/>
              <w:rPr>
                <w:rFonts w:eastAsia="Times New Roman"/>
                <w:b/>
                <w:bCs/>
                <w:color w:val="000000"/>
                <w:sz w:val="22"/>
                <w:szCs w:val="24"/>
                <w:lang w:eastAsia="lv-LV"/>
              </w:rPr>
            </w:pPr>
            <w:r w:rsidRPr="00D043A6">
              <w:rPr>
                <w:rFonts w:eastAsia="Times New Roman"/>
                <w:b/>
                <w:bCs/>
                <w:color w:val="000000"/>
                <w:sz w:val="22"/>
                <w:szCs w:val="24"/>
                <w:lang w:eastAsia="lv-LV"/>
              </w:rPr>
              <w:t>5349</w:t>
            </w:r>
          </w:p>
        </w:tc>
        <w:tc>
          <w:tcPr>
            <w:tcW w:w="0" w:type="auto"/>
            <w:tcBorders>
              <w:top w:val="nil"/>
              <w:left w:val="nil"/>
              <w:bottom w:val="single" w:sz="4" w:space="0" w:color="auto"/>
              <w:right w:val="single" w:sz="4" w:space="0" w:color="auto"/>
            </w:tcBorders>
            <w:shd w:val="clear" w:color="auto" w:fill="auto"/>
            <w:noWrap/>
            <w:vAlign w:val="bottom"/>
            <w:hideMark/>
          </w:tcPr>
          <w:p w:rsidR="00354D80" w:rsidRPr="00D043A6" w:rsidRDefault="00354D80" w:rsidP="00354D80">
            <w:pPr>
              <w:jc w:val="right"/>
              <w:rPr>
                <w:rFonts w:eastAsia="Times New Roman"/>
                <w:b/>
                <w:bCs/>
                <w:color w:val="000000"/>
                <w:sz w:val="22"/>
                <w:szCs w:val="24"/>
                <w:lang w:eastAsia="lv-LV"/>
              </w:rPr>
            </w:pPr>
            <w:r w:rsidRPr="00D043A6">
              <w:rPr>
                <w:rFonts w:eastAsia="Times New Roman"/>
                <w:b/>
                <w:bCs/>
                <w:color w:val="000000"/>
                <w:sz w:val="22"/>
                <w:szCs w:val="24"/>
                <w:lang w:eastAsia="lv-LV"/>
              </w:rPr>
              <w:t>373</w:t>
            </w:r>
          </w:p>
        </w:tc>
        <w:tc>
          <w:tcPr>
            <w:tcW w:w="0" w:type="auto"/>
            <w:tcBorders>
              <w:top w:val="nil"/>
              <w:left w:val="nil"/>
              <w:bottom w:val="single" w:sz="4" w:space="0" w:color="auto"/>
              <w:right w:val="single" w:sz="4" w:space="0" w:color="auto"/>
            </w:tcBorders>
            <w:shd w:val="clear" w:color="auto" w:fill="auto"/>
            <w:noWrap/>
            <w:vAlign w:val="bottom"/>
            <w:hideMark/>
          </w:tcPr>
          <w:p w:rsidR="00354D80" w:rsidRPr="00D043A6" w:rsidRDefault="00354D80" w:rsidP="00354D80">
            <w:pPr>
              <w:jc w:val="right"/>
              <w:rPr>
                <w:rFonts w:eastAsia="Times New Roman"/>
                <w:b/>
                <w:bCs/>
                <w:color w:val="000000"/>
                <w:sz w:val="22"/>
                <w:szCs w:val="24"/>
                <w:lang w:eastAsia="lv-LV"/>
              </w:rPr>
            </w:pPr>
            <w:r w:rsidRPr="00D043A6">
              <w:rPr>
                <w:rFonts w:eastAsia="Times New Roman"/>
                <w:b/>
                <w:bCs/>
                <w:color w:val="000000"/>
                <w:sz w:val="22"/>
                <w:szCs w:val="24"/>
                <w:lang w:eastAsia="lv-LV"/>
              </w:rPr>
              <w:t>25545</w:t>
            </w:r>
          </w:p>
        </w:tc>
        <w:tc>
          <w:tcPr>
            <w:tcW w:w="0" w:type="auto"/>
            <w:tcBorders>
              <w:top w:val="nil"/>
              <w:left w:val="nil"/>
              <w:bottom w:val="single" w:sz="4" w:space="0" w:color="auto"/>
              <w:right w:val="single" w:sz="4" w:space="0" w:color="auto"/>
            </w:tcBorders>
            <w:shd w:val="clear" w:color="auto" w:fill="auto"/>
            <w:noWrap/>
            <w:vAlign w:val="bottom"/>
            <w:hideMark/>
          </w:tcPr>
          <w:p w:rsidR="00354D80" w:rsidRPr="00D043A6" w:rsidRDefault="00354D80" w:rsidP="00354D80">
            <w:pPr>
              <w:jc w:val="right"/>
              <w:rPr>
                <w:rFonts w:eastAsia="Times New Roman"/>
                <w:b/>
                <w:bCs/>
                <w:color w:val="000000"/>
                <w:sz w:val="22"/>
                <w:szCs w:val="24"/>
                <w:lang w:eastAsia="lv-LV"/>
              </w:rPr>
            </w:pPr>
            <w:r w:rsidRPr="00D043A6">
              <w:rPr>
                <w:rFonts w:eastAsia="Times New Roman"/>
                <w:b/>
                <w:bCs/>
                <w:color w:val="000000"/>
                <w:sz w:val="22"/>
                <w:szCs w:val="24"/>
                <w:lang w:eastAsia="lv-LV"/>
              </w:rPr>
              <w:t>10172</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354D80" w:rsidRPr="00D043A6" w:rsidRDefault="00354D80" w:rsidP="00354D80">
            <w:pPr>
              <w:jc w:val="right"/>
              <w:rPr>
                <w:rFonts w:eastAsia="Times New Roman"/>
                <w:b/>
                <w:sz w:val="22"/>
                <w:szCs w:val="24"/>
                <w:lang w:eastAsia="lv-LV"/>
              </w:rPr>
            </w:pPr>
            <w:r w:rsidRPr="00D043A6">
              <w:rPr>
                <w:rFonts w:eastAsia="Times New Roman"/>
                <w:b/>
                <w:sz w:val="22"/>
                <w:szCs w:val="24"/>
                <w:lang w:eastAsia="lv-LV"/>
              </w:rPr>
              <w:t>352366</w:t>
            </w:r>
          </w:p>
        </w:tc>
      </w:tr>
    </w:tbl>
    <w:p w:rsidR="0083239E" w:rsidRPr="00D043A6" w:rsidRDefault="0083239E" w:rsidP="006E3320">
      <w:pPr>
        <w:rPr>
          <w:sz w:val="24"/>
        </w:rPr>
      </w:pPr>
    </w:p>
    <w:p w:rsidR="006E3320" w:rsidRPr="00D043A6" w:rsidRDefault="00B4073F" w:rsidP="00B60BBF">
      <w:pPr>
        <w:ind w:firstLine="720"/>
        <w:jc w:val="both"/>
        <w:rPr>
          <w:sz w:val="24"/>
        </w:rPr>
      </w:pPr>
      <w:r w:rsidRPr="00D043A6">
        <w:rPr>
          <w:sz w:val="24"/>
        </w:rPr>
        <w:t xml:space="preserve">Daudzdzīvokļu dzīvojamo </w:t>
      </w:r>
      <w:r w:rsidR="005F0EDC" w:rsidRPr="00D043A6">
        <w:rPr>
          <w:sz w:val="24"/>
        </w:rPr>
        <w:t xml:space="preserve">māju </w:t>
      </w:r>
      <w:r w:rsidRPr="00D043A6">
        <w:rPr>
          <w:sz w:val="24"/>
        </w:rPr>
        <w:t xml:space="preserve">sektorā lielāko īpatsvaru – 59.0% </w:t>
      </w:r>
      <w:r w:rsidR="009E23FB">
        <w:rPr>
          <w:sz w:val="24"/>
        </w:rPr>
        <w:t xml:space="preserve">- </w:t>
      </w:r>
      <w:r w:rsidRPr="00D043A6">
        <w:rPr>
          <w:sz w:val="24"/>
        </w:rPr>
        <w:t>veido ēkas ar jauk</w:t>
      </w:r>
      <w:r w:rsidR="00B60BBF" w:rsidRPr="00D043A6">
        <w:rPr>
          <w:sz w:val="24"/>
        </w:rPr>
        <w:t>t</w:t>
      </w:r>
      <w:r w:rsidRPr="00D043A6">
        <w:rPr>
          <w:sz w:val="24"/>
        </w:rPr>
        <w:t>u piederības statusu, 29.4</w:t>
      </w:r>
      <w:r w:rsidR="00B60BBF" w:rsidRPr="00D043A6">
        <w:rPr>
          <w:sz w:val="24"/>
        </w:rPr>
        <w:t> </w:t>
      </w:r>
      <w:r w:rsidRPr="00D043A6">
        <w:rPr>
          <w:sz w:val="24"/>
        </w:rPr>
        <w:t>% pieder fiziskām personām.</w:t>
      </w:r>
    </w:p>
    <w:p w:rsidR="005245C7" w:rsidRPr="00D043A6" w:rsidRDefault="005245C7" w:rsidP="00B4073F">
      <w:pPr>
        <w:widowControl w:val="0"/>
        <w:jc w:val="center"/>
        <w:rPr>
          <w:sz w:val="24"/>
        </w:rPr>
      </w:pPr>
      <w:r w:rsidRPr="00D043A6">
        <w:rPr>
          <w:noProof/>
          <w:sz w:val="24"/>
          <w:lang w:eastAsia="lv-LV"/>
        </w:rPr>
        <w:drawing>
          <wp:inline distT="0" distB="0" distL="0" distR="0" wp14:anchorId="12F05564" wp14:editId="29088D49">
            <wp:extent cx="4313207" cy="2467154"/>
            <wp:effectExtent l="0" t="0" r="0" b="0"/>
            <wp:docPr id="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83239E" w:rsidRPr="00D043A6">
        <w:rPr>
          <w:sz w:val="24"/>
        </w:rPr>
        <w:br w:type="textWrapping" w:clear="all"/>
      </w:r>
    </w:p>
    <w:p w:rsidR="006E3320" w:rsidRPr="00D043A6" w:rsidRDefault="003E533F" w:rsidP="006E3320">
      <w:pPr>
        <w:rPr>
          <w:i/>
          <w:sz w:val="24"/>
        </w:rPr>
      </w:pPr>
      <w:r w:rsidRPr="00D043A6">
        <w:rPr>
          <w:i/>
          <w:sz w:val="24"/>
        </w:rPr>
        <w:t>6</w:t>
      </w:r>
      <w:r w:rsidR="005245C7" w:rsidRPr="00D043A6">
        <w:rPr>
          <w:i/>
          <w:sz w:val="24"/>
        </w:rPr>
        <w:t>.  attēls. Daudzdzīvokļu dzīvojamo māju sadalījums pēc piederības</w:t>
      </w:r>
      <w:r w:rsidR="00EA0A7D" w:rsidRPr="00D043A6">
        <w:rPr>
          <w:i/>
          <w:sz w:val="24"/>
        </w:rPr>
        <w:t xml:space="preserve"> statusa</w:t>
      </w:r>
    </w:p>
    <w:p w:rsidR="003E533F" w:rsidRPr="00D043A6" w:rsidRDefault="003E533F" w:rsidP="006E3320"/>
    <w:p w:rsidR="006E3320" w:rsidRPr="00D043A6" w:rsidRDefault="006E3320" w:rsidP="00A17D2E">
      <w:pPr>
        <w:pStyle w:val="Subtitle1"/>
      </w:pPr>
      <w:bookmarkStart w:id="21" w:name="_Toc353811843"/>
      <w:r w:rsidRPr="00D043A6">
        <w:t>Īpašuma tiesību aspekti</w:t>
      </w:r>
      <w:bookmarkEnd w:id="21"/>
    </w:p>
    <w:p w:rsidR="006E3320" w:rsidRPr="00D043A6" w:rsidRDefault="006E3320" w:rsidP="006E3320">
      <w:pPr>
        <w:ind w:firstLine="720"/>
        <w:jc w:val="both"/>
        <w:rPr>
          <w:sz w:val="24"/>
          <w:szCs w:val="24"/>
        </w:rPr>
      </w:pPr>
      <w:r w:rsidRPr="00D043A6">
        <w:rPr>
          <w:sz w:val="24"/>
          <w:szCs w:val="24"/>
        </w:rPr>
        <w:t>Izvērtējot dzīvojamo māju sektora energoefektivitātes paaugstināšanas iespējas, ir jāaplūko ne vien šī fonda tehniskais stāvoklis, bet arī īpašuma tiesību aspekti, kas būtiski ietekmē lēmuma pieņemšanas iespējas par attiecīgas ēkas siltinā</w:t>
      </w:r>
      <w:r w:rsidR="009E23FB">
        <w:rPr>
          <w:sz w:val="24"/>
          <w:szCs w:val="24"/>
        </w:rPr>
        <w:t>šanu. Atbilstoši šim kritērijam</w:t>
      </w:r>
      <w:r w:rsidRPr="00D043A6">
        <w:rPr>
          <w:sz w:val="24"/>
          <w:szCs w:val="24"/>
        </w:rPr>
        <w:t xml:space="preserve"> daudzdzīvokļu dzīvojamās mājas var iedalīt divās grupās:</w:t>
      </w:r>
    </w:p>
    <w:p w:rsidR="006E3320" w:rsidRPr="00D043A6" w:rsidRDefault="006E3320" w:rsidP="00506A3C">
      <w:pPr>
        <w:pStyle w:val="ListParagraph"/>
        <w:numPr>
          <w:ilvl w:val="0"/>
          <w:numId w:val="19"/>
        </w:numPr>
        <w:jc w:val="both"/>
        <w:rPr>
          <w:sz w:val="24"/>
          <w:szCs w:val="24"/>
        </w:rPr>
      </w:pPr>
      <w:r w:rsidRPr="00D043A6">
        <w:rPr>
          <w:sz w:val="24"/>
          <w:szCs w:val="24"/>
        </w:rPr>
        <w:t>dzīvojamās mājas, kas ir vienots nekustamais īpašums.</w:t>
      </w:r>
    </w:p>
    <w:p w:rsidR="006E3320" w:rsidRPr="00D043A6" w:rsidRDefault="006E3320" w:rsidP="00506A3C">
      <w:pPr>
        <w:pStyle w:val="ListParagraph"/>
        <w:numPr>
          <w:ilvl w:val="0"/>
          <w:numId w:val="19"/>
        </w:numPr>
        <w:jc w:val="both"/>
        <w:rPr>
          <w:sz w:val="24"/>
          <w:szCs w:val="24"/>
        </w:rPr>
      </w:pPr>
      <w:r w:rsidRPr="00D043A6">
        <w:rPr>
          <w:sz w:val="24"/>
          <w:szCs w:val="24"/>
        </w:rPr>
        <w:t>dzīvokļu īpašumos sadalītās dzīvojamās mājas, kas nav vienots nekustamais īpašums.</w:t>
      </w:r>
    </w:p>
    <w:p w:rsidR="006E3320" w:rsidRPr="00D043A6" w:rsidRDefault="006E3320" w:rsidP="006E3320">
      <w:pPr>
        <w:ind w:firstLine="720"/>
        <w:jc w:val="both"/>
        <w:rPr>
          <w:sz w:val="24"/>
          <w:szCs w:val="24"/>
        </w:rPr>
      </w:pPr>
      <w:r w:rsidRPr="00D043A6">
        <w:rPr>
          <w:sz w:val="24"/>
          <w:szCs w:val="24"/>
        </w:rPr>
        <w:t>Dzīvojamā māja, kas ir vienots nekustamais īpašums</w:t>
      </w:r>
      <w:r w:rsidR="00B60BBF" w:rsidRPr="00D043A6">
        <w:rPr>
          <w:sz w:val="24"/>
          <w:szCs w:val="24"/>
        </w:rPr>
        <w:t>,</w:t>
      </w:r>
      <w:r w:rsidRPr="00D043A6">
        <w:rPr>
          <w:sz w:val="24"/>
          <w:szCs w:val="24"/>
        </w:rPr>
        <w:t xml:space="preserve"> var piederēt vienai personai, kurai ir pilnīgas varas tiesības p</w:t>
      </w:r>
      <w:r w:rsidR="00B60BBF" w:rsidRPr="00D043A6">
        <w:rPr>
          <w:sz w:val="24"/>
          <w:szCs w:val="24"/>
        </w:rPr>
        <w:t>ā</w:t>
      </w:r>
      <w:r w:rsidRPr="00D043A6">
        <w:rPr>
          <w:sz w:val="24"/>
          <w:szCs w:val="24"/>
        </w:rPr>
        <w:t>r to (Civillikuma 927.pants). Šādā gadījumā attiecīgais īpašnieks pats izlemj par energoefektivitātes pasākumu veikšan</w:t>
      </w:r>
      <w:r w:rsidR="009E23FB">
        <w:rPr>
          <w:sz w:val="24"/>
          <w:szCs w:val="24"/>
        </w:rPr>
        <w:t>u ēkā. Tomēr vairākumā gadījumu</w:t>
      </w:r>
      <w:r w:rsidRPr="00D043A6">
        <w:rPr>
          <w:sz w:val="24"/>
          <w:szCs w:val="24"/>
        </w:rPr>
        <w:t xml:space="preserve"> dzīvojamās mājas, kas ir vienots nekustamais īpašums</w:t>
      </w:r>
      <w:r w:rsidR="00B60BBF" w:rsidRPr="00D043A6">
        <w:rPr>
          <w:sz w:val="24"/>
          <w:szCs w:val="24"/>
        </w:rPr>
        <w:t>,</w:t>
      </w:r>
      <w:r w:rsidRPr="00D043A6">
        <w:rPr>
          <w:sz w:val="24"/>
          <w:szCs w:val="24"/>
        </w:rPr>
        <w:t xml:space="preserve"> pieder vairākām personām uz kopīpašuma tiesības pamata (Civillikuma 1067.pants). Tādēļ lēmumu pieņemšana par energoefektivitātes pasākumu veikšanu ir jāpieņem</w:t>
      </w:r>
      <w:r w:rsidR="009E23FB">
        <w:rPr>
          <w:sz w:val="24"/>
          <w:szCs w:val="24"/>
        </w:rPr>
        <w:t>,</w:t>
      </w:r>
      <w:r w:rsidRPr="00D043A6">
        <w:rPr>
          <w:sz w:val="24"/>
          <w:szCs w:val="24"/>
        </w:rPr>
        <w:t xml:space="preserve"> visiem kopīpašniekiem par to vienojoties (Civillikuma 1068.pants). Minēt</w:t>
      </w:r>
      <w:r w:rsidR="00B60BBF" w:rsidRPr="00D043A6">
        <w:rPr>
          <w:sz w:val="24"/>
          <w:szCs w:val="24"/>
        </w:rPr>
        <w:t>ā</w:t>
      </w:r>
      <w:r w:rsidRPr="00D043A6">
        <w:rPr>
          <w:sz w:val="24"/>
          <w:szCs w:val="24"/>
        </w:rPr>
        <w:t xml:space="preserve"> likuma </w:t>
      </w:r>
      <w:r w:rsidR="00B60BBF" w:rsidRPr="00D043A6">
        <w:rPr>
          <w:sz w:val="24"/>
          <w:szCs w:val="24"/>
        </w:rPr>
        <w:t>prasība</w:t>
      </w:r>
      <w:r w:rsidRPr="00D043A6">
        <w:rPr>
          <w:sz w:val="24"/>
          <w:szCs w:val="24"/>
        </w:rPr>
        <w:t xml:space="preserve"> būtiski apgrūtina šādu lēmumu pieņemšanu un pat, ja vairākums no kopīpašniekiem vēlas īstenot energoefektivitātes pasākumus</w:t>
      </w:r>
      <w:r w:rsidR="00B60BBF" w:rsidRPr="00D043A6">
        <w:rPr>
          <w:sz w:val="24"/>
          <w:szCs w:val="24"/>
        </w:rPr>
        <w:t>,</w:t>
      </w:r>
      <w:r w:rsidRPr="00D043A6">
        <w:rPr>
          <w:sz w:val="24"/>
          <w:szCs w:val="24"/>
        </w:rPr>
        <w:t xml:space="preserve"> tie nav realizējami bez pārējo kopīpašnieku akcepta. Kopīpašnieks, kurš nav apmierināts ar šādu kārtību</w:t>
      </w:r>
      <w:r w:rsidR="00B60BBF" w:rsidRPr="00D043A6">
        <w:rPr>
          <w:sz w:val="24"/>
          <w:szCs w:val="24"/>
        </w:rPr>
        <w:t>,</w:t>
      </w:r>
      <w:r w:rsidRPr="00D043A6">
        <w:rPr>
          <w:sz w:val="24"/>
          <w:szCs w:val="24"/>
        </w:rPr>
        <w:t xml:space="preserve"> var prasīt dzīvojamās mājas sadali dzīvokļu īpašumos (Civillikuma 1074.pants).</w:t>
      </w:r>
    </w:p>
    <w:p w:rsidR="00284CF2" w:rsidRPr="00D043A6" w:rsidRDefault="006E3320" w:rsidP="006E3320">
      <w:pPr>
        <w:ind w:firstLine="720"/>
        <w:jc w:val="both"/>
        <w:rPr>
          <w:sz w:val="24"/>
          <w:szCs w:val="24"/>
        </w:rPr>
      </w:pPr>
      <w:r w:rsidRPr="00D043A6">
        <w:rPr>
          <w:sz w:val="24"/>
          <w:szCs w:val="24"/>
        </w:rPr>
        <w:t>Vairākumā gadījumu dzīvojamās mājas, kas ir vienots nekustamais īpašums</w:t>
      </w:r>
      <w:r w:rsidR="006C796D" w:rsidRPr="00D043A6">
        <w:rPr>
          <w:sz w:val="24"/>
          <w:szCs w:val="24"/>
        </w:rPr>
        <w:t>,</w:t>
      </w:r>
      <w:r w:rsidRPr="00D043A6">
        <w:rPr>
          <w:sz w:val="24"/>
          <w:szCs w:val="24"/>
        </w:rPr>
        <w:t xml:space="preserve"> to īpašnieki ir ieguvuši namīpašumu denacionalizācijas (atdošanas likumīgajiem īpašniekiem) procesā (t.sk. arī ēkas, kurās dzīvokļi pēc tam ir pārdoti, neveidojot dzīvokļa īpašumus). Līdz ar to ir secināms, ka pie šīs grupas piederošo ēku vairākums </w:t>
      </w:r>
      <w:r w:rsidR="009E23FB">
        <w:rPr>
          <w:sz w:val="24"/>
          <w:szCs w:val="24"/>
        </w:rPr>
        <w:t xml:space="preserve">ir </w:t>
      </w:r>
      <w:r w:rsidRPr="00D043A6">
        <w:rPr>
          <w:sz w:val="24"/>
          <w:szCs w:val="24"/>
        </w:rPr>
        <w:t>būvētas pirms 1945.</w:t>
      </w:r>
      <w:r w:rsidR="0054046A" w:rsidRPr="00D043A6">
        <w:rPr>
          <w:sz w:val="24"/>
          <w:szCs w:val="24"/>
        </w:rPr>
        <w:t> </w:t>
      </w:r>
      <w:r w:rsidRPr="00D043A6">
        <w:rPr>
          <w:sz w:val="24"/>
          <w:szCs w:val="24"/>
        </w:rPr>
        <w:t>gada, šo ēku siltumnoturība</w:t>
      </w:r>
      <w:r w:rsidR="0085566C" w:rsidRPr="00D043A6">
        <w:rPr>
          <w:sz w:val="24"/>
          <w:szCs w:val="24"/>
        </w:rPr>
        <w:t xml:space="preserve"> bieži</w:t>
      </w:r>
      <w:r w:rsidRPr="00D043A6">
        <w:rPr>
          <w:sz w:val="24"/>
          <w:szCs w:val="24"/>
        </w:rPr>
        <w:t xml:space="preserve"> ir augstāka </w:t>
      </w:r>
      <w:r w:rsidR="009E23FB">
        <w:rPr>
          <w:sz w:val="24"/>
          <w:szCs w:val="24"/>
        </w:rPr>
        <w:t>ne</w:t>
      </w:r>
      <w:r w:rsidRPr="00D043A6">
        <w:rPr>
          <w:sz w:val="24"/>
          <w:szCs w:val="24"/>
        </w:rPr>
        <w:t>kā 1945.</w:t>
      </w:r>
      <w:r w:rsidR="0054046A" w:rsidRPr="00D043A6">
        <w:rPr>
          <w:sz w:val="24"/>
          <w:szCs w:val="24"/>
        </w:rPr>
        <w:t xml:space="preserve"> </w:t>
      </w:r>
      <w:r w:rsidRPr="00D043A6">
        <w:rPr>
          <w:sz w:val="24"/>
          <w:szCs w:val="24"/>
        </w:rPr>
        <w:t>-1991.</w:t>
      </w:r>
      <w:r w:rsidR="0054046A" w:rsidRPr="00D043A6">
        <w:rPr>
          <w:sz w:val="24"/>
          <w:szCs w:val="24"/>
        </w:rPr>
        <w:t> </w:t>
      </w:r>
      <w:r w:rsidR="009E23FB">
        <w:rPr>
          <w:sz w:val="24"/>
          <w:szCs w:val="24"/>
        </w:rPr>
        <w:t>gadā būvētajā</w:t>
      </w:r>
      <w:r w:rsidRPr="00D043A6">
        <w:rPr>
          <w:sz w:val="24"/>
          <w:szCs w:val="24"/>
        </w:rPr>
        <w:t>m</w:t>
      </w:r>
      <w:r w:rsidR="0085566C" w:rsidRPr="00D043A6">
        <w:rPr>
          <w:sz w:val="24"/>
          <w:szCs w:val="24"/>
        </w:rPr>
        <w:t xml:space="preserve">. Jānorāda, ka līdz </w:t>
      </w:r>
      <w:r w:rsidR="0085566C" w:rsidRPr="00D043A6">
        <w:rPr>
          <w:sz w:val="24"/>
          <w:szCs w:val="24"/>
        </w:rPr>
        <w:lastRenderedPageBreak/>
        <w:t xml:space="preserve">1945. gadam būvētu ēku renovācijā </w:t>
      </w:r>
      <w:r w:rsidR="001832B9" w:rsidRPr="00D043A6">
        <w:rPr>
          <w:sz w:val="24"/>
          <w:szCs w:val="24"/>
        </w:rPr>
        <w:t xml:space="preserve">jāņem vērā šo ēku kultūrvēsturiskās vērtības, tādēļ </w:t>
      </w:r>
      <w:r w:rsidRPr="00D043A6">
        <w:rPr>
          <w:sz w:val="24"/>
          <w:szCs w:val="24"/>
        </w:rPr>
        <w:t xml:space="preserve">šo ēku renovācija nav tik vienkārši realizējama kā vēlāka laika apbūvei </w:t>
      </w:r>
      <w:r w:rsidR="001832B9" w:rsidRPr="00D043A6">
        <w:rPr>
          <w:sz w:val="24"/>
          <w:szCs w:val="24"/>
        </w:rPr>
        <w:t>un</w:t>
      </w:r>
      <w:r w:rsidRPr="00D043A6">
        <w:rPr>
          <w:sz w:val="24"/>
          <w:szCs w:val="24"/>
        </w:rPr>
        <w:t xml:space="preserve"> šo ēku siltināšana, vērtējot no ieguldījumu </w:t>
      </w:r>
      <w:r w:rsidR="006C796D" w:rsidRPr="00D043A6">
        <w:rPr>
          <w:sz w:val="24"/>
          <w:szCs w:val="24"/>
        </w:rPr>
        <w:t xml:space="preserve">un </w:t>
      </w:r>
      <w:r w:rsidRPr="00D043A6">
        <w:rPr>
          <w:sz w:val="24"/>
          <w:szCs w:val="24"/>
        </w:rPr>
        <w:t>sasniegtā ieguvuma viedokļa</w:t>
      </w:r>
      <w:r w:rsidR="001832B9" w:rsidRPr="00D043A6">
        <w:rPr>
          <w:sz w:val="24"/>
          <w:szCs w:val="24"/>
        </w:rPr>
        <w:t>,</w:t>
      </w:r>
      <w:r w:rsidRPr="00D043A6">
        <w:rPr>
          <w:sz w:val="24"/>
          <w:szCs w:val="24"/>
        </w:rPr>
        <w:t xml:space="preserve"> nav uzskatāma par prioritāru. Pārējās dzīvojamās mājas, kas </w:t>
      </w:r>
      <w:r w:rsidR="00784BD7" w:rsidRPr="00D043A6">
        <w:rPr>
          <w:sz w:val="24"/>
          <w:szCs w:val="24"/>
        </w:rPr>
        <w:t xml:space="preserve">pārsvarā </w:t>
      </w:r>
      <w:r w:rsidRPr="00D043A6">
        <w:rPr>
          <w:sz w:val="24"/>
          <w:szCs w:val="24"/>
        </w:rPr>
        <w:t>ir vienots nekustamais īpašums</w:t>
      </w:r>
      <w:r w:rsidR="0067497B" w:rsidRPr="00D043A6">
        <w:rPr>
          <w:sz w:val="24"/>
          <w:szCs w:val="24"/>
        </w:rPr>
        <w:t>,</w:t>
      </w:r>
      <w:r w:rsidRPr="00D043A6">
        <w:rPr>
          <w:sz w:val="24"/>
          <w:szCs w:val="24"/>
        </w:rPr>
        <w:t xml:space="preserve"> ir būvētas salīdzinoši nesen</w:t>
      </w:r>
      <w:r w:rsidR="0085566C" w:rsidRPr="00D043A6">
        <w:rPr>
          <w:sz w:val="24"/>
          <w:szCs w:val="24"/>
        </w:rPr>
        <w:t>, tādēļ</w:t>
      </w:r>
      <w:r w:rsidRPr="00D043A6">
        <w:rPr>
          <w:sz w:val="24"/>
          <w:szCs w:val="24"/>
        </w:rPr>
        <w:t xml:space="preserve"> </w:t>
      </w:r>
      <w:r w:rsidR="0085566C" w:rsidRPr="00D043A6">
        <w:rPr>
          <w:sz w:val="24"/>
          <w:szCs w:val="24"/>
        </w:rPr>
        <w:t>šo ēku norobežojošo konstrukciju siltumtehniskajām īpašībām jāatbilst augstākām prasībām un šajās ēkās ir mazāks energoresursu patēriņš.</w:t>
      </w:r>
    </w:p>
    <w:p w:rsidR="00B937A6" w:rsidRDefault="00B937A6" w:rsidP="005F0EDC">
      <w:pPr>
        <w:pStyle w:val="naisf"/>
        <w:ind w:firstLine="720"/>
      </w:pPr>
    </w:p>
    <w:p w:rsidR="006E3320" w:rsidRPr="00D043A6" w:rsidRDefault="006E3320" w:rsidP="005F0EDC">
      <w:pPr>
        <w:pStyle w:val="naisf"/>
        <w:ind w:firstLine="720"/>
      </w:pPr>
      <w:r w:rsidRPr="00D043A6">
        <w:t xml:space="preserve">Sadalot dzīvojamo māju dzīvokļu īpašumos, dzīvojamā māja vairs nepastāv kā vienots nekustamais īpašums. Dzīvokļu īpašniekiem pieder īpašuma tiesības uz dzīvojamās mājas sadales rezultātā izveidotajiem dzīvokļu īpašumiem. Dzīvokļu īpašnieku tiesības un pienākumus, kā arī nepieciešamo balsu skaitu nosaka Dzīvokļa īpašuma likums. Atbilstoši šā </w:t>
      </w:r>
      <w:r w:rsidR="009E23FB">
        <w:t>likuma 17.panta astotajai daļai</w:t>
      </w:r>
      <w:r w:rsidRPr="00D043A6">
        <w:t xml:space="preserve"> lēmumu par cita pārvaldīšanas uzdevuma uzdošanu pārvaldniekam (t.i.</w:t>
      </w:r>
      <w:r w:rsidR="009E23FB">
        <w:t>,</w:t>
      </w:r>
      <w:r w:rsidRPr="00D043A6">
        <w:t xml:space="preserve"> mājas renovācijas organizēšanu) var pieņemt, ja “par” balsojuši dzīvokļu īpašnieki, kas pārstāv vairāk nekā pusi no dzīvojamā mājā esošajiem dzīvokļu īpašumiem. Tāpat Dzīvokļa īpašuma likuma 13.panta otrā daļa </w:t>
      </w:r>
      <w:bookmarkStart w:id="22" w:name="bkm10"/>
      <w:r w:rsidRPr="00D043A6">
        <w:t>nosaka dzīvokļa īpašnieka pienākumus dzīvojamās mājas pārvaldīšanas izdevumu s</w:t>
      </w:r>
      <w:r w:rsidR="009E23FB">
        <w:t>egšanā. Saskaņā ar minēto normu</w:t>
      </w:r>
      <w:r w:rsidRPr="00D043A6">
        <w:t xml:space="preserve"> dzīvokļa īpašnieks atbilstoši viņa dzīvokļa īpašumā ietilpstošās kopīpašuma domājamās daļas apmēram sedz uz dzīvokļu īpašnieku kopības lēmuma pamata noteiktos izdevumus citu dzīvojamās mājas pārvaldīšanas darbību veikšanai, kas nodrošina dzīvojamās mājas uzlabošanu un attīstīšanu, veicina optimālu tās pārvaldīšanas izdevumu veidošanu un attiecas uz pasākumiem, kuru rezultātā samazinās izdevumi par pakalpojumiem, kas saistīti ar dzīvokļa īpašuma lietošanu, t.i.</w:t>
      </w:r>
      <w:r w:rsidR="009E23FB">
        <w:t>,</w:t>
      </w:r>
      <w:r w:rsidRPr="00D043A6">
        <w:t xml:space="preserve"> arī uz energoefektivitātes pasākumiem, kas ir vērsti uz mājas uzlabošanu un normatīvajos aktos nav noteikti par tādiem, kas veicami obligāti.</w:t>
      </w:r>
    </w:p>
    <w:p w:rsidR="006E3320" w:rsidRPr="00D043A6" w:rsidRDefault="006E3320" w:rsidP="005F0EDC">
      <w:pPr>
        <w:pStyle w:val="naisf"/>
        <w:ind w:firstLine="720"/>
      </w:pPr>
      <w:r w:rsidRPr="00D043A6">
        <w:t xml:space="preserve">Aplūkojot lēmumu pieņemšanas tiesisko regulējumu dzīvokļu īpašumos sadalītās dzīvojamās mājās, ir secināms, ka tas nodrošina dzīvokļu īpašnieku vairākuma iespēju dzīvojamo māju uzlabot, vienlaikus aizsargājot arī mazākumu, jo paredz pienākumu segt tikai tādus izdevumus, kas veicina optimālu tās pārvaldīšanas izdevumu veidošanu. </w:t>
      </w:r>
    </w:p>
    <w:p w:rsidR="006E3320" w:rsidRPr="00D043A6" w:rsidRDefault="006E3320" w:rsidP="005F0EDC">
      <w:pPr>
        <w:pStyle w:val="naisf"/>
        <w:ind w:firstLine="720"/>
      </w:pPr>
      <w:r w:rsidRPr="00D043A6">
        <w:t>Vienlaikus lielāko risku izvirzīto energoefektivitātes mērķu sasniegšanai rada apstāklis, ka vairums no privatizācijai nodotajām dzīvojamām mājām ir tādas, kuru pārvaldīšanas tiesības dzīvokļu īpašnieki nav pārņēmuši. Tas nozīmē, ka dzīvokļu īpašnieki paši vēl nepiedalās lēmumu pieņemšanā un dzīvokļu īpašnieku vietā māju pārvalda pārvaldnieks, kuru izvēlējusies pašvaldība. Risks, ka dzīvokļu īpašnieki, kuri vēlas veikt energoefektivitātes pasākumus</w:t>
      </w:r>
      <w:r w:rsidR="009E23FB">
        <w:t>,</w:t>
      </w:r>
      <w:r w:rsidRPr="00D043A6">
        <w:t xml:space="preserve"> būs mazākumā</w:t>
      </w:r>
      <w:r w:rsidR="009E23FB">
        <w:t>,</w:t>
      </w:r>
      <w:r w:rsidRPr="00D043A6">
        <w:t xml:space="preserve"> pastāv arī tādās dzīvojamās mājās, kuru pārvaldīšanas tiesības dzīvokļu īpašnieki ir pārņēmuši.</w:t>
      </w:r>
    </w:p>
    <w:bookmarkEnd w:id="22"/>
    <w:p w:rsidR="000501CB" w:rsidRDefault="00250C6C" w:rsidP="00A17D2E">
      <w:pPr>
        <w:pStyle w:val="naisf"/>
        <w:ind w:firstLine="720"/>
      </w:pPr>
      <w:r w:rsidRPr="00D043A6">
        <w:t xml:space="preserve">Dzīvokļu īpašumos sadalīto dzīvojamo māju lielāko daļu veido </w:t>
      </w:r>
      <w:r w:rsidR="0011409C" w:rsidRPr="00D043A6">
        <w:t xml:space="preserve">laika periodā no </w:t>
      </w:r>
      <w:r w:rsidRPr="00D043A6">
        <w:t>1945.</w:t>
      </w:r>
      <w:r w:rsidR="0011409C" w:rsidRPr="00D043A6">
        <w:t xml:space="preserve"> līdz </w:t>
      </w:r>
      <w:r w:rsidRPr="00D043A6">
        <w:t>1991.</w:t>
      </w:r>
      <w:r w:rsidR="00723894" w:rsidRPr="00D043A6">
        <w:t> </w:t>
      </w:r>
      <w:r w:rsidRPr="00D043A6">
        <w:t>gad</w:t>
      </w:r>
      <w:r w:rsidR="0011409C" w:rsidRPr="00D043A6">
        <w:t>am</w:t>
      </w:r>
      <w:r w:rsidRPr="00D043A6">
        <w:t xml:space="preserve"> </w:t>
      </w:r>
      <w:r w:rsidR="0011409C" w:rsidRPr="00D043A6">
        <w:t>būvētās</w:t>
      </w:r>
      <w:r w:rsidRPr="00D043A6">
        <w:t xml:space="preserve"> ēkas. Tāpat ievērojams skaits šādu dzīvojamo māju ir būvētas pirms 1945.</w:t>
      </w:r>
      <w:r w:rsidR="00723894" w:rsidRPr="00D043A6">
        <w:t> </w:t>
      </w:r>
      <w:r w:rsidRPr="00D043A6">
        <w:t xml:space="preserve">gada. </w:t>
      </w:r>
      <w:r w:rsidR="0011409C" w:rsidRPr="00D043A6">
        <w:t xml:space="preserve">Ņemot vērā šajā laika periodā būvēto ēku lielo īpatsvaru, kā arī šo ēku zemo siltumtehnisko kvalitāti, </w:t>
      </w:r>
      <w:r w:rsidR="0081135A" w:rsidRPr="00D043A6">
        <w:t xml:space="preserve">kā arī faktu, ka būtiskākais dzīvojamo māju renovācijas šķērslis ir problēmas dzīvokļu īpašnieku lēmuma pieņemšanā, </w:t>
      </w:r>
      <w:r w:rsidR="00413DDB" w:rsidRPr="00D043A6">
        <w:t xml:space="preserve">Dzīvokļu īpašuma likumā </w:t>
      </w:r>
      <w:r w:rsidRPr="00D043A6">
        <w:t xml:space="preserve">būtu </w:t>
      </w:r>
      <w:r w:rsidR="00413DDB" w:rsidRPr="00D043A6">
        <w:t xml:space="preserve">jāredz jauns lēmumu pieņemšanas veids </w:t>
      </w:r>
      <w:r w:rsidR="00795592" w:rsidRPr="00D043A6">
        <w:t>–</w:t>
      </w:r>
      <w:r w:rsidR="00413DDB" w:rsidRPr="00D043A6">
        <w:t xml:space="preserve"> elektroniskā</w:t>
      </w:r>
      <w:r w:rsidR="00795592" w:rsidRPr="00D043A6">
        <w:t xml:space="preserve"> </w:t>
      </w:r>
      <w:r w:rsidR="00413DDB" w:rsidRPr="00D043A6">
        <w:t>balsošana</w:t>
      </w:r>
      <w:r w:rsidR="009E23FB">
        <w:t xml:space="preserve"> ar drošu elektronisko parakstu</w:t>
      </w:r>
      <w:r w:rsidR="00413DDB" w:rsidRPr="00D043A6">
        <w:t xml:space="preserve"> vai arī internetbankas identifikatoru.</w:t>
      </w:r>
    </w:p>
    <w:p w:rsidR="00B937A6" w:rsidRPr="00D043A6" w:rsidRDefault="00B937A6" w:rsidP="00A17D2E">
      <w:pPr>
        <w:pStyle w:val="naisf"/>
        <w:ind w:firstLine="720"/>
      </w:pPr>
    </w:p>
    <w:p w:rsidR="009D6B81" w:rsidRPr="00D043A6" w:rsidRDefault="001778F9" w:rsidP="009D6B81">
      <w:pPr>
        <w:pStyle w:val="Heading2"/>
      </w:pPr>
      <w:bookmarkStart w:id="23" w:name="_Toc353811844"/>
      <w:r w:rsidRPr="00D043A6">
        <w:t>Nedzīvojamās</w:t>
      </w:r>
      <w:r w:rsidR="009D6B81" w:rsidRPr="00D043A6">
        <w:t xml:space="preserve"> ēk</w:t>
      </w:r>
      <w:r w:rsidRPr="00D043A6">
        <w:t>as</w:t>
      </w:r>
      <w:bookmarkEnd w:id="23"/>
      <w:r w:rsidR="009D6B81" w:rsidRPr="00D043A6">
        <w:t xml:space="preserve"> </w:t>
      </w:r>
    </w:p>
    <w:p w:rsidR="00AD4730" w:rsidRPr="00D043A6" w:rsidRDefault="00AD4730" w:rsidP="00CF60C2">
      <w:pPr>
        <w:ind w:firstLine="720"/>
        <w:jc w:val="both"/>
        <w:rPr>
          <w:iCs/>
          <w:sz w:val="24"/>
          <w:szCs w:val="24"/>
        </w:rPr>
      </w:pPr>
      <w:r w:rsidRPr="00D043A6">
        <w:rPr>
          <w:iCs/>
          <w:sz w:val="24"/>
          <w:szCs w:val="24"/>
        </w:rPr>
        <w:t>Nekustamā īpašuma valsts kadastra informācijas sistēmā (NĪVK IS) reģistrēt</w:t>
      </w:r>
      <w:r w:rsidR="00CF60C2" w:rsidRPr="00D043A6">
        <w:rPr>
          <w:iCs/>
          <w:sz w:val="24"/>
          <w:szCs w:val="24"/>
        </w:rPr>
        <w:t>i</w:t>
      </w:r>
      <w:r w:rsidRPr="00D043A6">
        <w:rPr>
          <w:iCs/>
          <w:sz w:val="24"/>
          <w:szCs w:val="24"/>
        </w:rPr>
        <w:t xml:space="preserve"> 997 tūkstoši</w:t>
      </w:r>
      <w:r w:rsidR="00525DFE" w:rsidRPr="00D043A6">
        <w:rPr>
          <w:iCs/>
          <w:sz w:val="24"/>
          <w:szCs w:val="24"/>
        </w:rPr>
        <w:t xml:space="preserve"> nedzīvojamo ēku, t.sk. 934 tūkstoš</w:t>
      </w:r>
      <w:r w:rsidR="00CF60C2" w:rsidRPr="00D043A6">
        <w:rPr>
          <w:iCs/>
          <w:sz w:val="24"/>
          <w:szCs w:val="24"/>
        </w:rPr>
        <w:t>i</w:t>
      </w:r>
      <w:r w:rsidR="00525DFE" w:rsidRPr="00D043A6">
        <w:rPr>
          <w:iCs/>
          <w:sz w:val="24"/>
          <w:szCs w:val="24"/>
        </w:rPr>
        <w:t xml:space="preserve"> ēk</w:t>
      </w:r>
      <w:r w:rsidR="00CF60C2" w:rsidRPr="00D043A6">
        <w:rPr>
          <w:iCs/>
          <w:sz w:val="24"/>
          <w:szCs w:val="24"/>
        </w:rPr>
        <w:t>u</w:t>
      </w:r>
      <w:r w:rsidR="00525DFE" w:rsidRPr="00D043A6">
        <w:rPr>
          <w:sz w:val="24"/>
        </w:rPr>
        <w:t>, kurās enerģijas patēriņš ir nebūtisks – dažāda tipa palīgēkas (560 tūkst.) un lauku saimniecību nedzīvojamās ēkas (317 tūkst.)</w:t>
      </w:r>
      <w:r w:rsidR="00083807" w:rsidRPr="00D043A6">
        <w:rPr>
          <w:sz w:val="24"/>
        </w:rPr>
        <w:t>, kā arī garāžas, noliktavas, rezervuāri un bunkuri</w:t>
      </w:r>
      <w:r w:rsidR="00525DFE" w:rsidRPr="00D043A6">
        <w:rPr>
          <w:sz w:val="24"/>
        </w:rPr>
        <w:t>.</w:t>
      </w:r>
      <w:r w:rsidR="00CF60C2" w:rsidRPr="00D043A6">
        <w:rPr>
          <w:sz w:val="24"/>
        </w:rPr>
        <w:t xml:space="preserve"> </w:t>
      </w:r>
      <w:r w:rsidR="00525DFE" w:rsidRPr="00D043A6">
        <w:rPr>
          <w:sz w:val="24"/>
        </w:rPr>
        <w:t xml:space="preserve">Ēku </w:t>
      </w:r>
      <w:r w:rsidR="00525DFE" w:rsidRPr="00D043A6">
        <w:rPr>
          <w:iCs/>
          <w:sz w:val="24"/>
          <w:szCs w:val="24"/>
        </w:rPr>
        <w:t xml:space="preserve">energoefektivitātes kontekstā </w:t>
      </w:r>
      <w:r w:rsidR="00083807" w:rsidRPr="00D043A6">
        <w:rPr>
          <w:iCs/>
          <w:sz w:val="24"/>
          <w:szCs w:val="24"/>
        </w:rPr>
        <w:t>izdalāmas</w:t>
      </w:r>
      <w:r w:rsidR="00C43ACE" w:rsidRPr="00D043A6">
        <w:rPr>
          <w:iCs/>
          <w:sz w:val="24"/>
          <w:szCs w:val="24"/>
        </w:rPr>
        <w:t xml:space="preserve"> </w:t>
      </w:r>
      <w:r w:rsidR="009F5E65" w:rsidRPr="00D043A6">
        <w:rPr>
          <w:iCs/>
          <w:sz w:val="24"/>
          <w:szCs w:val="24"/>
        </w:rPr>
        <w:t>34</w:t>
      </w:r>
      <w:r w:rsidR="00CF60C2" w:rsidRPr="00D043A6">
        <w:rPr>
          <w:iCs/>
          <w:sz w:val="24"/>
          <w:szCs w:val="24"/>
        </w:rPr>
        <w:t>,</w:t>
      </w:r>
      <w:r w:rsidR="009F5E65" w:rsidRPr="00D043A6">
        <w:rPr>
          <w:iCs/>
          <w:sz w:val="24"/>
          <w:szCs w:val="24"/>
        </w:rPr>
        <w:t>3</w:t>
      </w:r>
      <w:r w:rsidR="00C43ACE" w:rsidRPr="00D043A6">
        <w:rPr>
          <w:iCs/>
          <w:sz w:val="24"/>
          <w:szCs w:val="24"/>
        </w:rPr>
        <w:t xml:space="preserve"> </w:t>
      </w:r>
      <w:r w:rsidR="00C43ACE" w:rsidRPr="00D043A6">
        <w:rPr>
          <w:iCs/>
          <w:sz w:val="24"/>
          <w:szCs w:val="24"/>
        </w:rPr>
        <w:lastRenderedPageBreak/>
        <w:t>tūkstoši</w:t>
      </w:r>
      <w:r w:rsidR="009F5E65" w:rsidRPr="00D043A6">
        <w:rPr>
          <w:iCs/>
          <w:sz w:val="24"/>
          <w:szCs w:val="24"/>
        </w:rPr>
        <w:t xml:space="preserve"> ar kopējo platību 27 milj. m</w:t>
      </w:r>
      <w:r w:rsidR="009F5E65" w:rsidRPr="00D043A6">
        <w:rPr>
          <w:iCs/>
          <w:sz w:val="24"/>
          <w:szCs w:val="24"/>
          <w:vertAlign w:val="superscript"/>
        </w:rPr>
        <w:t>2</w:t>
      </w:r>
      <w:r w:rsidR="00083807" w:rsidRPr="00D043A6">
        <w:rPr>
          <w:iCs/>
          <w:sz w:val="24"/>
          <w:szCs w:val="24"/>
        </w:rPr>
        <w:t xml:space="preserve"> </w:t>
      </w:r>
      <w:r w:rsidR="009F5E65" w:rsidRPr="00D043A6">
        <w:rPr>
          <w:iCs/>
          <w:sz w:val="24"/>
          <w:szCs w:val="24"/>
        </w:rPr>
        <w:t xml:space="preserve">nedzīvojamās </w:t>
      </w:r>
      <w:r w:rsidR="00083807" w:rsidRPr="00D043A6">
        <w:rPr>
          <w:iCs/>
          <w:sz w:val="24"/>
          <w:szCs w:val="24"/>
        </w:rPr>
        <w:t>ēkas</w:t>
      </w:r>
      <w:r w:rsidR="009B0CCC" w:rsidRPr="00D043A6">
        <w:rPr>
          <w:iCs/>
          <w:sz w:val="24"/>
          <w:szCs w:val="24"/>
        </w:rPr>
        <w:t xml:space="preserve"> (</w:t>
      </w:r>
      <w:r w:rsidR="003E533F" w:rsidRPr="00D043A6">
        <w:rPr>
          <w:iCs/>
          <w:sz w:val="24"/>
          <w:szCs w:val="24"/>
        </w:rPr>
        <w:t>8</w:t>
      </w:r>
      <w:r w:rsidR="009B0CCC" w:rsidRPr="00D043A6">
        <w:rPr>
          <w:iCs/>
          <w:sz w:val="24"/>
          <w:szCs w:val="24"/>
        </w:rPr>
        <w:t>. tabula)</w:t>
      </w:r>
      <w:r w:rsidR="00083807" w:rsidRPr="00D043A6">
        <w:rPr>
          <w:iCs/>
          <w:sz w:val="24"/>
          <w:szCs w:val="24"/>
        </w:rPr>
        <w:t xml:space="preserve">, kurās </w:t>
      </w:r>
      <w:r w:rsidR="00C43ACE" w:rsidRPr="00D043A6">
        <w:rPr>
          <w:iCs/>
          <w:sz w:val="24"/>
          <w:szCs w:val="24"/>
        </w:rPr>
        <w:t>enerģija nepieciešama telpu mikroklimata uzturēšanai</w:t>
      </w:r>
      <w:r w:rsidR="009F5E65" w:rsidRPr="00D043A6">
        <w:rPr>
          <w:iCs/>
          <w:sz w:val="24"/>
          <w:szCs w:val="24"/>
        </w:rPr>
        <w:t>, kā ar 27,5 tūkstoši ar kopējo platību 17,2 milj. m</w:t>
      </w:r>
      <w:r w:rsidR="009F5E65" w:rsidRPr="00D043A6">
        <w:rPr>
          <w:iCs/>
          <w:sz w:val="24"/>
          <w:szCs w:val="24"/>
          <w:vertAlign w:val="superscript"/>
        </w:rPr>
        <w:t>2</w:t>
      </w:r>
      <w:r w:rsidR="009F5E65" w:rsidRPr="00D043A6">
        <w:rPr>
          <w:iCs/>
          <w:sz w:val="24"/>
          <w:szCs w:val="24"/>
        </w:rPr>
        <w:t xml:space="preserve"> rūpniecības ēku, kurās arī</w:t>
      </w:r>
      <w:r w:rsidR="00CF60C2" w:rsidRPr="00D043A6">
        <w:rPr>
          <w:iCs/>
          <w:sz w:val="24"/>
          <w:szCs w:val="24"/>
        </w:rPr>
        <w:t xml:space="preserve"> tiek patērēta enerģija, vienlaikus šajās ēkās </w:t>
      </w:r>
      <w:r w:rsidR="00795592" w:rsidRPr="00D043A6">
        <w:rPr>
          <w:iCs/>
          <w:sz w:val="24"/>
          <w:szCs w:val="24"/>
        </w:rPr>
        <w:t xml:space="preserve">raksturīgas būtiskas </w:t>
      </w:r>
      <w:r w:rsidR="00CF60C2" w:rsidRPr="00D043A6">
        <w:rPr>
          <w:iCs/>
          <w:sz w:val="24"/>
          <w:szCs w:val="24"/>
        </w:rPr>
        <w:t xml:space="preserve">enerģijas </w:t>
      </w:r>
      <w:r w:rsidR="00795592" w:rsidRPr="00D043A6">
        <w:rPr>
          <w:iCs/>
          <w:sz w:val="24"/>
          <w:szCs w:val="24"/>
        </w:rPr>
        <w:t>patēriņa atšķirības, ko ietekmē dažādās</w:t>
      </w:r>
      <w:r w:rsidR="00CF60C2" w:rsidRPr="00D043A6">
        <w:rPr>
          <w:iCs/>
          <w:sz w:val="24"/>
          <w:szCs w:val="24"/>
        </w:rPr>
        <w:t xml:space="preserve"> ražošanas proces</w:t>
      </w:r>
      <w:r w:rsidR="00795592" w:rsidRPr="00D043A6">
        <w:rPr>
          <w:iCs/>
          <w:sz w:val="24"/>
          <w:szCs w:val="24"/>
        </w:rPr>
        <w:t>u tehnoloģijas.</w:t>
      </w:r>
    </w:p>
    <w:p w:rsidR="00C37142" w:rsidRPr="00D043A6" w:rsidRDefault="00C37142" w:rsidP="00C43ACE">
      <w:pPr>
        <w:ind w:firstLine="720"/>
        <w:rPr>
          <w:iCs/>
          <w:sz w:val="24"/>
          <w:szCs w:val="24"/>
        </w:rPr>
      </w:pPr>
    </w:p>
    <w:p w:rsidR="00B937A6" w:rsidRDefault="00B937A6" w:rsidP="009B0CCC">
      <w:pPr>
        <w:keepNext/>
        <w:rPr>
          <w:i/>
          <w:iCs/>
          <w:sz w:val="24"/>
          <w:szCs w:val="24"/>
        </w:rPr>
      </w:pPr>
    </w:p>
    <w:p w:rsidR="00CF60C2" w:rsidRPr="00D043A6" w:rsidRDefault="003E533F" w:rsidP="009B0CCC">
      <w:pPr>
        <w:keepNext/>
        <w:rPr>
          <w:i/>
          <w:iCs/>
          <w:sz w:val="24"/>
          <w:szCs w:val="24"/>
        </w:rPr>
      </w:pPr>
      <w:r w:rsidRPr="00D043A6">
        <w:rPr>
          <w:i/>
          <w:iCs/>
          <w:sz w:val="24"/>
          <w:szCs w:val="24"/>
        </w:rPr>
        <w:t>8</w:t>
      </w:r>
      <w:r w:rsidR="009B0CCC" w:rsidRPr="00D043A6">
        <w:rPr>
          <w:i/>
          <w:iCs/>
          <w:sz w:val="24"/>
          <w:szCs w:val="24"/>
        </w:rPr>
        <w:t>. </w:t>
      </w:r>
      <w:r w:rsidR="00CF60C2" w:rsidRPr="00D043A6">
        <w:rPr>
          <w:i/>
          <w:iCs/>
          <w:sz w:val="24"/>
          <w:szCs w:val="24"/>
        </w:rPr>
        <w:t xml:space="preserve">tabula. </w:t>
      </w:r>
      <w:r w:rsidR="009B0CCC" w:rsidRPr="00D043A6">
        <w:rPr>
          <w:i/>
          <w:iCs/>
          <w:sz w:val="24"/>
          <w:szCs w:val="24"/>
        </w:rPr>
        <w:t>Enerģiju patērējošu nedzīvojamo ēku skaits un platība.</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19"/>
        <w:gridCol w:w="1453"/>
        <w:gridCol w:w="1615"/>
      </w:tblGrid>
      <w:tr w:rsidR="00FE2BD3" w:rsidRPr="00D043A6" w:rsidTr="001832B9">
        <w:trPr>
          <w:trHeight w:val="315"/>
        </w:trPr>
        <w:tc>
          <w:tcPr>
            <w:tcW w:w="6067" w:type="dxa"/>
            <w:shd w:val="clear" w:color="auto" w:fill="auto"/>
            <w:vAlign w:val="center"/>
            <w:hideMark/>
          </w:tcPr>
          <w:p w:rsidR="00FE2BD3" w:rsidRPr="00D043A6" w:rsidRDefault="00FE2BD3" w:rsidP="0058190F">
            <w:pPr>
              <w:jc w:val="center"/>
              <w:rPr>
                <w:rFonts w:eastAsia="Times New Roman"/>
                <w:bCs/>
                <w:color w:val="000000"/>
                <w:sz w:val="24"/>
                <w:szCs w:val="24"/>
                <w:lang w:eastAsia="lv-LV"/>
              </w:rPr>
            </w:pPr>
            <w:r w:rsidRPr="00D043A6">
              <w:rPr>
                <w:rFonts w:eastAsia="Times New Roman"/>
                <w:bCs/>
                <w:color w:val="000000"/>
                <w:sz w:val="24"/>
                <w:szCs w:val="24"/>
                <w:lang w:eastAsia="lv-LV"/>
              </w:rPr>
              <w:t>Galvenais lietošanas veids</w:t>
            </w:r>
          </w:p>
        </w:tc>
        <w:tc>
          <w:tcPr>
            <w:tcW w:w="1417" w:type="dxa"/>
            <w:shd w:val="clear" w:color="auto" w:fill="auto"/>
            <w:noWrap/>
            <w:vAlign w:val="center"/>
            <w:hideMark/>
          </w:tcPr>
          <w:p w:rsidR="00FE2BD3" w:rsidRPr="00D043A6" w:rsidRDefault="00FE2BD3" w:rsidP="00CF60C2">
            <w:pPr>
              <w:jc w:val="center"/>
              <w:rPr>
                <w:rFonts w:eastAsia="Times New Roman"/>
                <w:color w:val="000000"/>
                <w:sz w:val="24"/>
                <w:szCs w:val="24"/>
                <w:lang w:eastAsia="lv-LV"/>
              </w:rPr>
            </w:pPr>
            <w:r w:rsidRPr="00D043A6">
              <w:rPr>
                <w:rFonts w:eastAsia="Times New Roman"/>
                <w:color w:val="000000"/>
                <w:sz w:val="24"/>
                <w:szCs w:val="24"/>
                <w:lang w:eastAsia="lv-LV"/>
              </w:rPr>
              <w:t>Skaits,</w:t>
            </w:r>
          </w:p>
          <w:p w:rsidR="00FE2BD3" w:rsidRPr="00D043A6" w:rsidRDefault="00FE2BD3" w:rsidP="00CF60C2">
            <w:pPr>
              <w:jc w:val="center"/>
              <w:rPr>
                <w:rFonts w:eastAsia="Times New Roman"/>
                <w:color w:val="000000"/>
                <w:sz w:val="24"/>
                <w:szCs w:val="24"/>
                <w:lang w:eastAsia="lv-LV"/>
              </w:rPr>
            </w:pPr>
            <w:r w:rsidRPr="00D043A6">
              <w:rPr>
                <w:rFonts w:eastAsia="Times New Roman"/>
                <w:color w:val="000000"/>
                <w:sz w:val="24"/>
                <w:szCs w:val="24"/>
                <w:lang w:eastAsia="lv-LV"/>
              </w:rPr>
              <w:t>tūkstoši</w:t>
            </w:r>
          </w:p>
        </w:tc>
        <w:tc>
          <w:tcPr>
            <w:tcW w:w="1576" w:type="dxa"/>
            <w:shd w:val="clear" w:color="auto" w:fill="auto"/>
            <w:noWrap/>
            <w:vAlign w:val="center"/>
            <w:hideMark/>
          </w:tcPr>
          <w:p w:rsidR="00FE2BD3" w:rsidRPr="00D043A6" w:rsidRDefault="00FE2BD3" w:rsidP="00CF60C2">
            <w:pPr>
              <w:jc w:val="center"/>
              <w:rPr>
                <w:rFonts w:eastAsia="Times New Roman"/>
                <w:color w:val="000000"/>
                <w:sz w:val="24"/>
                <w:szCs w:val="24"/>
                <w:lang w:eastAsia="lv-LV"/>
              </w:rPr>
            </w:pPr>
            <w:r w:rsidRPr="00D043A6">
              <w:rPr>
                <w:rFonts w:eastAsia="Times New Roman"/>
                <w:color w:val="000000"/>
                <w:sz w:val="24"/>
                <w:szCs w:val="24"/>
                <w:lang w:eastAsia="lv-LV"/>
              </w:rPr>
              <w:t>Platība,</w:t>
            </w:r>
          </w:p>
          <w:p w:rsidR="00FE2BD3" w:rsidRPr="00D043A6" w:rsidRDefault="00FE2BD3" w:rsidP="00CF60C2">
            <w:pPr>
              <w:jc w:val="center"/>
              <w:rPr>
                <w:rFonts w:eastAsia="Times New Roman"/>
                <w:color w:val="000000"/>
                <w:sz w:val="24"/>
                <w:szCs w:val="24"/>
                <w:lang w:eastAsia="lv-LV"/>
              </w:rPr>
            </w:pPr>
            <w:r w:rsidRPr="00D043A6">
              <w:rPr>
                <w:rFonts w:eastAsia="Times New Roman"/>
                <w:color w:val="000000"/>
                <w:sz w:val="24"/>
                <w:szCs w:val="24"/>
                <w:lang w:eastAsia="lv-LV"/>
              </w:rPr>
              <w:t>milj. m</w:t>
            </w:r>
            <w:r w:rsidRPr="00D043A6">
              <w:rPr>
                <w:rFonts w:eastAsia="Times New Roman"/>
                <w:color w:val="000000"/>
                <w:sz w:val="24"/>
                <w:szCs w:val="24"/>
                <w:vertAlign w:val="superscript"/>
                <w:lang w:eastAsia="lv-LV"/>
              </w:rPr>
              <w:t>2</w:t>
            </w:r>
          </w:p>
        </w:tc>
      </w:tr>
      <w:tr w:rsidR="00FE2BD3" w:rsidRPr="00D043A6" w:rsidTr="001832B9">
        <w:trPr>
          <w:trHeight w:val="315"/>
        </w:trPr>
        <w:tc>
          <w:tcPr>
            <w:tcW w:w="6067" w:type="dxa"/>
            <w:shd w:val="clear" w:color="auto" w:fill="auto"/>
            <w:noWrap/>
            <w:vAlign w:val="bottom"/>
            <w:hideMark/>
          </w:tcPr>
          <w:p w:rsidR="00FE2BD3" w:rsidRPr="00D043A6" w:rsidRDefault="00FE2BD3" w:rsidP="00A73755">
            <w:pPr>
              <w:rPr>
                <w:rFonts w:eastAsia="Times New Roman"/>
                <w:color w:val="000000"/>
                <w:sz w:val="24"/>
                <w:szCs w:val="24"/>
                <w:lang w:eastAsia="lv-LV"/>
              </w:rPr>
            </w:pPr>
            <w:r w:rsidRPr="00D043A6">
              <w:rPr>
                <w:rFonts w:eastAsia="Times New Roman"/>
                <w:color w:val="000000"/>
                <w:sz w:val="24"/>
                <w:szCs w:val="24"/>
                <w:lang w:eastAsia="lv-LV"/>
              </w:rPr>
              <w:t>Vairumtirdzniecības un mazumtirdzniecības ēkas</w:t>
            </w:r>
          </w:p>
        </w:tc>
        <w:tc>
          <w:tcPr>
            <w:tcW w:w="1417" w:type="dxa"/>
            <w:shd w:val="clear" w:color="auto" w:fill="auto"/>
            <w:noWrap/>
            <w:vAlign w:val="bottom"/>
            <w:hideMark/>
          </w:tcPr>
          <w:p w:rsidR="00FE2BD3" w:rsidRPr="00D043A6" w:rsidRDefault="00FE2BD3" w:rsidP="009F5E65">
            <w:pPr>
              <w:jc w:val="center"/>
              <w:rPr>
                <w:rFonts w:eastAsia="Times New Roman"/>
                <w:color w:val="000000"/>
                <w:sz w:val="24"/>
                <w:szCs w:val="24"/>
                <w:lang w:eastAsia="lv-LV"/>
              </w:rPr>
            </w:pPr>
            <w:r w:rsidRPr="00D043A6">
              <w:rPr>
                <w:rFonts w:eastAsia="Times New Roman"/>
                <w:color w:val="000000"/>
                <w:sz w:val="24"/>
                <w:szCs w:val="24"/>
                <w:lang w:eastAsia="lv-LV"/>
              </w:rPr>
              <w:t>11</w:t>
            </w:r>
            <w:r w:rsidR="009F5E65" w:rsidRPr="00D043A6">
              <w:rPr>
                <w:rFonts w:eastAsia="Times New Roman"/>
                <w:color w:val="000000"/>
                <w:sz w:val="24"/>
                <w:szCs w:val="24"/>
                <w:lang w:eastAsia="lv-LV"/>
              </w:rPr>
              <w:t>,</w:t>
            </w:r>
            <w:r w:rsidRPr="00D043A6">
              <w:rPr>
                <w:rFonts w:eastAsia="Times New Roman"/>
                <w:color w:val="000000"/>
                <w:sz w:val="24"/>
                <w:szCs w:val="24"/>
                <w:lang w:eastAsia="lv-LV"/>
              </w:rPr>
              <w:t>4</w:t>
            </w:r>
          </w:p>
        </w:tc>
        <w:tc>
          <w:tcPr>
            <w:tcW w:w="1576" w:type="dxa"/>
            <w:shd w:val="clear" w:color="000000" w:fill="FFFFFF"/>
            <w:noWrap/>
            <w:vAlign w:val="bottom"/>
            <w:hideMark/>
          </w:tcPr>
          <w:p w:rsidR="00FE2BD3" w:rsidRPr="00D043A6" w:rsidRDefault="00FE2BD3" w:rsidP="009F5E65">
            <w:pPr>
              <w:jc w:val="center"/>
              <w:rPr>
                <w:rFonts w:eastAsia="Times New Roman"/>
                <w:color w:val="000000"/>
                <w:sz w:val="24"/>
                <w:szCs w:val="24"/>
                <w:lang w:eastAsia="lv-LV"/>
              </w:rPr>
            </w:pPr>
            <w:r w:rsidRPr="00D043A6">
              <w:rPr>
                <w:rFonts w:eastAsia="Times New Roman"/>
                <w:color w:val="000000"/>
                <w:sz w:val="24"/>
                <w:szCs w:val="24"/>
                <w:lang w:eastAsia="lv-LV"/>
              </w:rPr>
              <w:t>6</w:t>
            </w:r>
            <w:r w:rsidR="009F5E65" w:rsidRPr="00D043A6">
              <w:rPr>
                <w:rFonts w:eastAsia="Times New Roman"/>
                <w:color w:val="000000"/>
                <w:sz w:val="24"/>
                <w:szCs w:val="24"/>
                <w:lang w:eastAsia="lv-LV"/>
              </w:rPr>
              <w:t>,</w:t>
            </w:r>
            <w:r w:rsidRPr="00D043A6">
              <w:rPr>
                <w:rFonts w:eastAsia="Times New Roman"/>
                <w:color w:val="000000"/>
                <w:sz w:val="24"/>
                <w:szCs w:val="24"/>
                <w:lang w:eastAsia="lv-LV"/>
              </w:rPr>
              <w:t>1</w:t>
            </w:r>
          </w:p>
        </w:tc>
      </w:tr>
      <w:tr w:rsidR="00FE2BD3" w:rsidRPr="00D043A6" w:rsidTr="001832B9">
        <w:trPr>
          <w:trHeight w:val="315"/>
        </w:trPr>
        <w:tc>
          <w:tcPr>
            <w:tcW w:w="6067" w:type="dxa"/>
            <w:shd w:val="clear" w:color="auto" w:fill="auto"/>
            <w:noWrap/>
            <w:vAlign w:val="bottom"/>
            <w:hideMark/>
          </w:tcPr>
          <w:p w:rsidR="00FE2BD3" w:rsidRPr="00D043A6" w:rsidRDefault="00FE2BD3" w:rsidP="00A73755">
            <w:pPr>
              <w:rPr>
                <w:rFonts w:eastAsia="Times New Roman"/>
                <w:color w:val="000000"/>
                <w:sz w:val="24"/>
                <w:szCs w:val="24"/>
                <w:lang w:eastAsia="lv-LV"/>
              </w:rPr>
            </w:pPr>
            <w:r w:rsidRPr="00D043A6">
              <w:rPr>
                <w:rFonts w:eastAsia="Times New Roman"/>
                <w:color w:val="000000"/>
                <w:sz w:val="24"/>
                <w:szCs w:val="24"/>
                <w:lang w:eastAsia="lv-LV"/>
              </w:rPr>
              <w:t>Biroju ēkas</w:t>
            </w:r>
          </w:p>
        </w:tc>
        <w:tc>
          <w:tcPr>
            <w:tcW w:w="1417" w:type="dxa"/>
            <w:shd w:val="clear" w:color="auto" w:fill="auto"/>
            <w:noWrap/>
            <w:vAlign w:val="bottom"/>
            <w:hideMark/>
          </w:tcPr>
          <w:p w:rsidR="00FE2BD3" w:rsidRPr="00D043A6" w:rsidRDefault="00FE2BD3" w:rsidP="009F5E65">
            <w:pPr>
              <w:jc w:val="center"/>
              <w:rPr>
                <w:rFonts w:eastAsia="Times New Roman"/>
                <w:color w:val="000000"/>
                <w:sz w:val="24"/>
                <w:szCs w:val="24"/>
                <w:lang w:eastAsia="lv-LV"/>
              </w:rPr>
            </w:pPr>
            <w:r w:rsidRPr="00D043A6">
              <w:rPr>
                <w:rFonts w:eastAsia="Times New Roman"/>
                <w:color w:val="000000"/>
                <w:sz w:val="24"/>
                <w:szCs w:val="24"/>
                <w:lang w:eastAsia="lv-LV"/>
              </w:rPr>
              <w:t>7</w:t>
            </w:r>
            <w:r w:rsidR="009F5E65" w:rsidRPr="00D043A6">
              <w:rPr>
                <w:rFonts w:eastAsia="Times New Roman"/>
                <w:color w:val="000000"/>
                <w:sz w:val="24"/>
                <w:szCs w:val="24"/>
                <w:lang w:eastAsia="lv-LV"/>
              </w:rPr>
              <w:t>,</w:t>
            </w:r>
            <w:r w:rsidRPr="00D043A6">
              <w:rPr>
                <w:rFonts w:eastAsia="Times New Roman"/>
                <w:color w:val="000000"/>
                <w:sz w:val="24"/>
                <w:szCs w:val="24"/>
                <w:lang w:eastAsia="lv-LV"/>
              </w:rPr>
              <w:t>3</w:t>
            </w:r>
          </w:p>
        </w:tc>
        <w:tc>
          <w:tcPr>
            <w:tcW w:w="1576" w:type="dxa"/>
            <w:shd w:val="clear" w:color="000000" w:fill="FFFFFF"/>
            <w:noWrap/>
            <w:vAlign w:val="bottom"/>
            <w:hideMark/>
          </w:tcPr>
          <w:p w:rsidR="00FE2BD3" w:rsidRPr="00D043A6" w:rsidRDefault="00FE2BD3" w:rsidP="009F5E65">
            <w:pPr>
              <w:jc w:val="center"/>
              <w:rPr>
                <w:rFonts w:eastAsia="Times New Roman"/>
                <w:color w:val="000000"/>
                <w:sz w:val="24"/>
                <w:szCs w:val="24"/>
                <w:lang w:eastAsia="lv-LV"/>
              </w:rPr>
            </w:pPr>
            <w:r w:rsidRPr="00D043A6">
              <w:rPr>
                <w:rFonts w:eastAsia="Times New Roman"/>
                <w:color w:val="000000"/>
                <w:sz w:val="24"/>
                <w:szCs w:val="24"/>
                <w:lang w:eastAsia="lv-LV"/>
              </w:rPr>
              <w:t>6</w:t>
            </w:r>
            <w:r w:rsidR="009F5E65" w:rsidRPr="00D043A6">
              <w:rPr>
                <w:rFonts w:eastAsia="Times New Roman"/>
                <w:color w:val="000000"/>
                <w:sz w:val="24"/>
                <w:szCs w:val="24"/>
                <w:lang w:eastAsia="lv-LV"/>
              </w:rPr>
              <w:t>,</w:t>
            </w:r>
            <w:r w:rsidRPr="00D043A6">
              <w:rPr>
                <w:rFonts w:eastAsia="Times New Roman"/>
                <w:color w:val="000000"/>
                <w:sz w:val="24"/>
                <w:szCs w:val="24"/>
                <w:lang w:eastAsia="lv-LV"/>
              </w:rPr>
              <w:t>6</w:t>
            </w:r>
          </w:p>
        </w:tc>
      </w:tr>
      <w:tr w:rsidR="00C43ACE" w:rsidRPr="00D043A6" w:rsidTr="001832B9">
        <w:trPr>
          <w:trHeight w:val="315"/>
        </w:trPr>
        <w:tc>
          <w:tcPr>
            <w:tcW w:w="6067" w:type="dxa"/>
            <w:shd w:val="clear" w:color="auto" w:fill="auto"/>
            <w:noWrap/>
            <w:vAlign w:val="bottom"/>
            <w:hideMark/>
          </w:tcPr>
          <w:p w:rsidR="00C43ACE" w:rsidRPr="00D043A6" w:rsidRDefault="00C43ACE" w:rsidP="00A73755">
            <w:pPr>
              <w:rPr>
                <w:rFonts w:eastAsia="Times New Roman"/>
                <w:color w:val="000000"/>
                <w:sz w:val="24"/>
                <w:szCs w:val="24"/>
                <w:lang w:eastAsia="lv-LV"/>
              </w:rPr>
            </w:pPr>
            <w:r w:rsidRPr="00D043A6">
              <w:rPr>
                <w:rFonts w:eastAsia="Times New Roman"/>
                <w:color w:val="000000"/>
                <w:sz w:val="24"/>
                <w:szCs w:val="24"/>
                <w:lang w:eastAsia="lv-LV"/>
              </w:rPr>
              <w:t>Viesnīcu ēkas un citas īslaicīgas apmešanās ēkas</w:t>
            </w:r>
          </w:p>
        </w:tc>
        <w:tc>
          <w:tcPr>
            <w:tcW w:w="1417" w:type="dxa"/>
            <w:shd w:val="clear" w:color="auto" w:fill="auto"/>
            <w:noWrap/>
            <w:vAlign w:val="bottom"/>
            <w:hideMark/>
          </w:tcPr>
          <w:p w:rsidR="00C43ACE" w:rsidRPr="00D043A6" w:rsidRDefault="00C43ACE" w:rsidP="009F5E65">
            <w:pPr>
              <w:jc w:val="center"/>
              <w:rPr>
                <w:rFonts w:eastAsia="Times New Roman"/>
                <w:color w:val="000000"/>
                <w:sz w:val="24"/>
                <w:szCs w:val="24"/>
                <w:lang w:eastAsia="lv-LV"/>
              </w:rPr>
            </w:pPr>
            <w:r w:rsidRPr="00D043A6">
              <w:rPr>
                <w:rFonts w:eastAsia="Times New Roman"/>
                <w:color w:val="000000"/>
                <w:sz w:val="24"/>
                <w:szCs w:val="24"/>
                <w:lang w:eastAsia="lv-LV"/>
              </w:rPr>
              <w:t>4</w:t>
            </w:r>
            <w:r w:rsidR="009F5E65" w:rsidRPr="00D043A6">
              <w:rPr>
                <w:rFonts w:eastAsia="Times New Roman"/>
                <w:color w:val="000000"/>
                <w:sz w:val="24"/>
                <w:szCs w:val="24"/>
                <w:lang w:eastAsia="lv-LV"/>
              </w:rPr>
              <w:t>,</w:t>
            </w:r>
            <w:r w:rsidRPr="00D043A6">
              <w:rPr>
                <w:rFonts w:eastAsia="Times New Roman"/>
                <w:color w:val="000000"/>
                <w:sz w:val="24"/>
                <w:szCs w:val="24"/>
                <w:lang w:eastAsia="lv-LV"/>
              </w:rPr>
              <w:t>8</w:t>
            </w:r>
          </w:p>
        </w:tc>
        <w:tc>
          <w:tcPr>
            <w:tcW w:w="1576" w:type="dxa"/>
            <w:shd w:val="clear" w:color="000000" w:fill="FFFFFF"/>
            <w:noWrap/>
            <w:vAlign w:val="bottom"/>
            <w:hideMark/>
          </w:tcPr>
          <w:p w:rsidR="00C43ACE" w:rsidRPr="00D043A6" w:rsidRDefault="00C43ACE" w:rsidP="009F5E65">
            <w:pPr>
              <w:jc w:val="center"/>
              <w:rPr>
                <w:rFonts w:eastAsia="Times New Roman"/>
                <w:color w:val="000000"/>
                <w:sz w:val="24"/>
                <w:szCs w:val="24"/>
                <w:lang w:eastAsia="lv-LV"/>
              </w:rPr>
            </w:pPr>
            <w:r w:rsidRPr="00D043A6">
              <w:rPr>
                <w:rFonts w:eastAsia="Times New Roman"/>
                <w:color w:val="000000"/>
                <w:sz w:val="24"/>
                <w:szCs w:val="24"/>
                <w:lang w:eastAsia="lv-LV"/>
              </w:rPr>
              <w:t>2</w:t>
            </w:r>
            <w:r w:rsidR="009F5E65" w:rsidRPr="00D043A6">
              <w:rPr>
                <w:rFonts w:eastAsia="Times New Roman"/>
                <w:color w:val="000000"/>
                <w:sz w:val="24"/>
                <w:szCs w:val="24"/>
                <w:lang w:eastAsia="lv-LV"/>
              </w:rPr>
              <w:t>,</w:t>
            </w:r>
            <w:r w:rsidRPr="00D043A6">
              <w:rPr>
                <w:rFonts w:eastAsia="Times New Roman"/>
                <w:color w:val="000000"/>
                <w:sz w:val="24"/>
                <w:szCs w:val="24"/>
                <w:lang w:eastAsia="lv-LV"/>
              </w:rPr>
              <w:t>3</w:t>
            </w:r>
          </w:p>
        </w:tc>
      </w:tr>
      <w:tr w:rsidR="00FE2BD3" w:rsidRPr="00D043A6" w:rsidTr="001832B9">
        <w:trPr>
          <w:trHeight w:val="315"/>
        </w:trPr>
        <w:tc>
          <w:tcPr>
            <w:tcW w:w="6067" w:type="dxa"/>
            <w:shd w:val="clear" w:color="auto" w:fill="auto"/>
            <w:noWrap/>
            <w:vAlign w:val="bottom"/>
            <w:hideMark/>
          </w:tcPr>
          <w:p w:rsidR="00FE2BD3" w:rsidRPr="00D043A6" w:rsidRDefault="00FE2BD3" w:rsidP="00A73755">
            <w:pPr>
              <w:rPr>
                <w:rFonts w:eastAsia="Times New Roman"/>
                <w:color w:val="000000"/>
                <w:sz w:val="24"/>
                <w:szCs w:val="24"/>
                <w:lang w:eastAsia="lv-LV"/>
              </w:rPr>
            </w:pPr>
            <w:r w:rsidRPr="00D043A6">
              <w:rPr>
                <w:rFonts w:eastAsia="Times New Roman"/>
                <w:color w:val="000000"/>
                <w:sz w:val="24"/>
                <w:szCs w:val="24"/>
                <w:lang w:eastAsia="lv-LV"/>
              </w:rPr>
              <w:t>Skolas, universitātes un zinātniskās pētniecības ēkas</w:t>
            </w:r>
          </w:p>
        </w:tc>
        <w:tc>
          <w:tcPr>
            <w:tcW w:w="1417" w:type="dxa"/>
            <w:shd w:val="clear" w:color="auto" w:fill="auto"/>
            <w:noWrap/>
            <w:vAlign w:val="bottom"/>
            <w:hideMark/>
          </w:tcPr>
          <w:p w:rsidR="00FE2BD3" w:rsidRPr="00D043A6" w:rsidRDefault="00FE2BD3" w:rsidP="009F5E65">
            <w:pPr>
              <w:jc w:val="center"/>
              <w:rPr>
                <w:rFonts w:eastAsia="Times New Roman"/>
                <w:color w:val="000000"/>
                <w:sz w:val="24"/>
                <w:szCs w:val="24"/>
                <w:lang w:eastAsia="lv-LV"/>
              </w:rPr>
            </w:pPr>
            <w:r w:rsidRPr="00D043A6">
              <w:rPr>
                <w:rFonts w:eastAsia="Times New Roman"/>
                <w:color w:val="000000"/>
                <w:sz w:val="24"/>
                <w:szCs w:val="24"/>
                <w:lang w:eastAsia="lv-LV"/>
              </w:rPr>
              <w:t>3</w:t>
            </w:r>
            <w:r w:rsidR="009F5E65" w:rsidRPr="00D043A6">
              <w:rPr>
                <w:rFonts w:eastAsia="Times New Roman"/>
                <w:color w:val="000000"/>
                <w:sz w:val="24"/>
                <w:szCs w:val="24"/>
                <w:lang w:eastAsia="lv-LV"/>
              </w:rPr>
              <w:t>,</w:t>
            </w:r>
            <w:r w:rsidRPr="00D043A6">
              <w:rPr>
                <w:rFonts w:eastAsia="Times New Roman"/>
                <w:color w:val="000000"/>
                <w:sz w:val="24"/>
                <w:szCs w:val="24"/>
                <w:lang w:eastAsia="lv-LV"/>
              </w:rPr>
              <w:t>9</w:t>
            </w:r>
          </w:p>
        </w:tc>
        <w:tc>
          <w:tcPr>
            <w:tcW w:w="1576" w:type="dxa"/>
            <w:shd w:val="clear" w:color="000000" w:fill="FFFFFF"/>
            <w:noWrap/>
            <w:vAlign w:val="bottom"/>
            <w:hideMark/>
          </w:tcPr>
          <w:p w:rsidR="00FE2BD3" w:rsidRPr="00D043A6" w:rsidRDefault="00FE2BD3" w:rsidP="009F5E65">
            <w:pPr>
              <w:jc w:val="center"/>
              <w:rPr>
                <w:rFonts w:eastAsia="Times New Roman"/>
                <w:color w:val="000000"/>
                <w:sz w:val="24"/>
                <w:szCs w:val="24"/>
                <w:lang w:eastAsia="lv-LV"/>
              </w:rPr>
            </w:pPr>
            <w:r w:rsidRPr="00D043A6">
              <w:rPr>
                <w:rFonts w:eastAsia="Times New Roman"/>
                <w:color w:val="000000"/>
                <w:sz w:val="24"/>
                <w:szCs w:val="24"/>
                <w:lang w:eastAsia="lv-LV"/>
              </w:rPr>
              <w:t>6</w:t>
            </w:r>
            <w:r w:rsidR="009F5E65" w:rsidRPr="00D043A6">
              <w:rPr>
                <w:rFonts w:eastAsia="Times New Roman"/>
                <w:color w:val="000000"/>
                <w:sz w:val="24"/>
                <w:szCs w:val="24"/>
                <w:lang w:eastAsia="lv-LV"/>
              </w:rPr>
              <w:t>,</w:t>
            </w:r>
            <w:r w:rsidRPr="00D043A6">
              <w:rPr>
                <w:rFonts w:eastAsia="Times New Roman"/>
                <w:color w:val="000000"/>
                <w:sz w:val="24"/>
                <w:szCs w:val="24"/>
                <w:lang w:eastAsia="lv-LV"/>
              </w:rPr>
              <w:t>6</w:t>
            </w:r>
          </w:p>
        </w:tc>
      </w:tr>
      <w:tr w:rsidR="00FE2BD3" w:rsidRPr="00D043A6" w:rsidTr="001832B9">
        <w:trPr>
          <w:trHeight w:val="315"/>
        </w:trPr>
        <w:tc>
          <w:tcPr>
            <w:tcW w:w="6067" w:type="dxa"/>
            <w:shd w:val="clear" w:color="auto" w:fill="auto"/>
            <w:noWrap/>
            <w:vAlign w:val="bottom"/>
            <w:hideMark/>
          </w:tcPr>
          <w:p w:rsidR="00FE2BD3" w:rsidRPr="00D043A6" w:rsidRDefault="00FE2BD3" w:rsidP="00A73755">
            <w:pPr>
              <w:rPr>
                <w:rFonts w:eastAsia="Times New Roman"/>
                <w:color w:val="000000"/>
                <w:sz w:val="24"/>
                <w:szCs w:val="24"/>
                <w:lang w:eastAsia="lv-LV"/>
              </w:rPr>
            </w:pPr>
            <w:r w:rsidRPr="00D043A6">
              <w:rPr>
                <w:rFonts w:eastAsia="Times New Roman"/>
                <w:color w:val="000000"/>
                <w:sz w:val="24"/>
                <w:szCs w:val="24"/>
                <w:lang w:eastAsia="lv-LV"/>
              </w:rPr>
              <w:t>Sakaru ēkas, stacijas, termināļi un ar tām saistītās ēkas</w:t>
            </w:r>
          </w:p>
        </w:tc>
        <w:tc>
          <w:tcPr>
            <w:tcW w:w="1417" w:type="dxa"/>
            <w:shd w:val="clear" w:color="auto" w:fill="auto"/>
            <w:noWrap/>
            <w:vAlign w:val="bottom"/>
            <w:hideMark/>
          </w:tcPr>
          <w:p w:rsidR="00FE2BD3" w:rsidRPr="00D043A6" w:rsidRDefault="00FE2BD3" w:rsidP="009F5E65">
            <w:pPr>
              <w:jc w:val="center"/>
              <w:rPr>
                <w:rFonts w:eastAsia="Times New Roman"/>
                <w:color w:val="000000"/>
                <w:sz w:val="24"/>
                <w:szCs w:val="24"/>
                <w:lang w:eastAsia="lv-LV"/>
              </w:rPr>
            </w:pPr>
            <w:r w:rsidRPr="00D043A6">
              <w:rPr>
                <w:rFonts w:eastAsia="Times New Roman"/>
                <w:color w:val="000000"/>
                <w:sz w:val="24"/>
                <w:szCs w:val="24"/>
                <w:lang w:eastAsia="lv-LV"/>
              </w:rPr>
              <w:t>2</w:t>
            </w:r>
            <w:r w:rsidR="009F5E65" w:rsidRPr="00D043A6">
              <w:rPr>
                <w:rFonts w:eastAsia="Times New Roman"/>
                <w:color w:val="000000"/>
                <w:sz w:val="24"/>
                <w:szCs w:val="24"/>
                <w:lang w:eastAsia="lv-LV"/>
              </w:rPr>
              <w:t>,</w:t>
            </w:r>
            <w:r w:rsidRPr="00D043A6">
              <w:rPr>
                <w:rFonts w:eastAsia="Times New Roman"/>
                <w:color w:val="000000"/>
                <w:sz w:val="24"/>
                <w:szCs w:val="24"/>
                <w:lang w:eastAsia="lv-LV"/>
              </w:rPr>
              <w:t>9</w:t>
            </w:r>
          </w:p>
        </w:tc>
        <w:tc>
          <w:tcPr>
            <w:tcW w:w="1576" w:type="dxa"/>
            <w:shd w:val="clear" w:color="000000" w:fill="FFFFFF"/>
            <w:noWrap/>
            <w:vAlign w:val="bottom"/>
            <w:hideMark/>
          </w:tcPr>
          <w:p w:rsidR="00FE2BD3" w:rsidRPr="00D043A6" w:rsidRDefault="00FE2BD3" w:rsidP="009F5E65">
            <w:pPr>
              <w:jc w:val="center"/>
              <w:rPr>
                <w:rFonts w:eastAsia="Times New Roman"/>
                <w:color w:val="000000"/>
                <w:sz w:val="24"/>
                <w:szCs w:val="24"/>
                <w:lang w:eastAsia="lv-LV"/>
              </w:rPr>
            </w:pPr>
            <w:r w:rsidRPr="00D043A6">
              <w:rPr>
                <w:rFonts w:eastAsia="Times New Roman"/>
                <w:color w:val="000000"/>
                <w:sz w:val="24"/>
                <w:szCs w:val="24"/>
                <w:lang w:eastAsia="lv-LV"/>
              </w:rPr>
              <w:t>0</w:t>
            </w:r>
            <w:r w:rsidR="009F5E65" w:rsidRPr="00D043A6">
              <w:rPr>
                <w:rFonts w:eastAsia="Times New Roman"/>
                <w:color w:val="000000"/>
                <w:sz w:val="24"/>
                <w:szCs w:val="24"/>
                <w:lang w:eastAsia="lv-LV"/>
              </w:rPr>
              <w:t>,</w:t>
            </w:r>
            <w:r w:rsidR="00C43ACE" w:rsidRPr="00D043A6">
              <w:rPr>
                <w:rFonts w:eastAsia="Times New Roman"/>
                <w:color w:val="000000"/>
                <w:sz w:val="24"/>
                <w:szCs w:val="24"/>
                <w:lang w:eastAsia="lv-LV"/>
              </w:rPr>
              <w:t>9</w:t>
            </w:r>
          </w:p>
        </w:tc>
      </w:tr>
      <w:tr w:rsidR="00FE2BD3" w:rsidRPr="00D043A6" w:rsidTr="001832B9">
        <w:trPr>
          <w:trHeight w:val="315"/>
        </w:trPr>
        <w:tc>
          <w:tcPr>
            <w:tcW w:w="6067" w:type="dxa"/>
            <w:shd w:val="clear" w:color="auto" w:fill="auto"/>
            <w:noWrap/>
            <w:vAlign w:val="bottom"/>
            <w:hideMark/>
          </w:tcPr>
          <w:p w:rsidR="00FE2BD3" w:rsidRPr="00D043A6" w:rsidRDefault="00FE2BD3" w:rsidP="00A73755">
            <w:pPr>
              <w:rPr>
                <w:rFonts w:eastAsia="Times New Roman"/>
                <w:color w:val="000000"/>
                <w:sz w:val="24"/>
                <w:szCs w:val="24"/>
                <w:lang w:eastAsia="lv-LV"/>
              </w:rPr>
            </w:pPr>
            <w:r w:rsidRPr="00D043A6">
              <w:rPr>
                <w:rFonts w:eastAsia="Times New Roman"/>
                <w:color w:val="000000"/>
                <w:sz w:val="24"/>
                <w:szCs w:val="24"/>
                <w:lang w:eastAsia="lv-LV"/>
              </w:rPr>
              <w:t>Ārstniecības vai veselības aprūpes iestāžu ēkas</w:t>
            </w:r>
          </w:p>
        </w:tc>
        <w:tc>
          <w:tcPr>
            <w:tcW w:w="1417" w:type="dxa"/>
            <w:shd w:val="clear" w:color="auto" w:fill="auto"/>
            <w:noWrap/>
            <w:vAlign w:val="bottom"/>
            <w:hideMark/>
          </w:tcPr>
          <w:p w:rsidR="00FE2BD3" w:rsidRPr="00D043A6" w:rsidRDefault="00FE2BD3" w:rsidP="009F5E65">
            <w:pPr>
              <w:jc w:val="center"/>
              <w:rPr>
                <w:rFonts w:eastAsia="Times New Roman"/>
                <w:color w:val="000000"/>
                <w:sz w:val="24"/>
                <w:szCs w:val="24"/>
                <w:lang w:eastAsia="lv-LV"/>
              </w:rPr>
            </w:pPr>
            <w:r w:rsidRPr="00D043A6">
              <w:rPr>
                <w:rFonts w:eastAsia="Times New Roman"/>
                <w:color w:val="000000"/>
                <w:sz w:val="24"/>
                <w:szCs w:val="24"/>
                <w:lang w:eastAsia="lv-LV"/>
              </w:rPr>
              <w:t>1</w:t>
            </w:r>
            <w:r w:rsidR="009F5E65" w:rsidRPr="00D043A6">
              <w:rPr>
                <w:rFonts w:eastAsia="Times New Roman"/>
                <w:color w:val="000000"/>
                <w:sz w:val="24"/>
                <w:szCs w:val="24"/>
                <w:lang w:eastAsia="lv-LV"/>
              </w:rPr>
              <w:t>,</w:t>
            </w:r>
            <w:r w:rsidRPr="00D043A6">
              <w:rPr>
                <w:rFonts w:eastAsia="Times New Roman"/>
                <w:color w:val="000000"/>
                <w:sz w:val="24"/>
                <w:szCs w:val="24"/>
                <w:lang w:eastAsia="lv-LV"/>
              </w:rPr>
              <w:t>3</w:t>
            </w:r>
          </w:p>
        </w:tc>
        <w:tc>
          <w:tcPr>
            <w:tcW w:w="1576" w:type="dxa"/>
            <w:shd w:val="clear" w:color="000000" w:fill="FFFFFF"/>
            <w:noWrap/>
            <w:vAlign w:val="bottom"/>
            <w:hideMark/>
          </w:tcPr>
          <w:p w:rsidR="00FE2BD3" w:rsidRPr="00D043A6" w:rsidRDefault="00FE2BD3" w:rsidP="009F5E65">
            <w:pPr>
              <w:jc w:val="center"/>
              <w:rPr>
                <w:rFonts w:eastAsia="Times New Roman"/>
                <w:color w:val="000000"/>
                <w:sz w:val="24"/>
                <w:szCs w:val="24"/>
                <w:lang w:eastAsia="lv-LV"/>
              </w:rPr>
            </w:pPr>
            <w:r w:rsidRPr="00D043A6">
              <w:rPr>
                <w:rFonts w:eastAsia="Times New Roman"/>
                <w:color w:val="000000"/>
                <w:sz w:val="24"/>
                <w:szCs w:val="24"/>
                <w:lang w:eastAsia="lv-LV"/>
              </w:rPr>
              <w:t>2</w:t>
            </w:r>
            <w:r w:rsidR="009F5E65" w:rsidRPr="00D043A6">
              <w:rPr>
                <w:rFonts w:eastAsia="Times New Roman"/>
                <w:color w:val="000000"/>
                <w:sz w:val="24"/>
                <w:szCs w:val="24"/>
                <w:lang w:eastAsia="lv-LV"/>
              </w:rPr>
              <w:t>,</w:t>
            </w:r>
            <w:r w:rsidRPr="00D043A6">
              <w:rPr>
                <w:rFonts w:eastAsia="Times New Roman"/>
                <w:color w:val="000000"/>
                <w:sz w:val="24"/>
                <w:szCs w:val="24"/>
                <w:lang w:eastAsia="lv-LV"/>
              </w:rPr>
              <w:t>0</w:t>
            </w:r>
          </w:p>
        </w:tc>
      </w:tr>
      <w:tr w:rsidR="00FE2BD3" w:rsidRPr="00D043A6" w:rsidTr="001832B9">
        <w:trPr>
          <w:trHeight w:val="315"/>
        </w:trPr>
        <w:tc>
          <w:tcPr>
            <w:tcW w:w="6067" w:type="dxa"/>
            <w:shd w:val="clear" w:color="auto" w:fill="auto"/>
            <w:noWrap/>
            <w:vAlign w:val="bottom"/>
            <w:hideMark/>
          </w:tcPr>
          <w:p w:rsidR="00FE2BD3" w:rsidRPr="00D043A6" w:rsidRDefault="00FE2BD3" w:rsidP="00A73755">
            <w:pPr>
              <w:rPr>
                <w:rFonts w:eastAsia="Times New Roman"/>
                <w:color w:val="000000"/>
                <w:sz w:val="24"/>
                <w:szCs w:val="24"/>
                <w:lang w:eastAsia="lv-LV"/>
              </w:rPr>
            </w:pPr>
            <w:r w:rsidRPr="00D043A6">
              <w:rPr>
                <w:rFonts w:eastAsia="Times New Roman"/>
                <w:color w:val="000000"/>
                <w:sz w:val="24"/>
                <w:szCs w:val="24"/>
                <w:lang w:eastAsia="lv-LV"/>
              </w:rPr>
              <w:t>Plašizklaides pasākumu ēkas</w:t>
            </w:r>
          </w:p>
        </w:tc>
        <w:tc>
          <w:tcPr>
            <w:tcW w:w="1417" w:type="dxa"/>
            <w:shd w:val="clear" w:color="auto" w:fill="auto"/>
            <w:noWrap/>
            <w:vAlign w:val="bottom"/>
            <w:hideMark/>
          </w:tcPr>
          <w:p w:rsidR="00FE2BD3" w:rsidRPr="00D043A6" w:rsidRDefault="00FE2BD3" w:rsidP="009F5E65">
            <w:pPr>
              <w:jc w:val="center"/>
              <w:rPr>
                <w:rFonts w:eastAsia="Times New Roman"/>
                <w:color w:val="000000"/>
                <w:sz w:val="24"/>
                <w:szCs w:val="24"/>
                <w:lang w:eastAsia="lv-LV"/>
              </w:rPr>
            </w:pPr>
            <w:r w:rsidRPr="00D043A6">
              <w:rPr>
                <w:rFonts w:eastAsia="Times New Roman"/>
                <w:color w:val="000000"/>
                <w:sz w:val="24"/>
                <w:szCs w:val="24"/>
                <w:lang w:eastAsia="lv-LV"/>
              </w:rPr>
              <w:t>1</w:t>
            </w:r>
            <w:r w:rsidR="009F5E65" w:rsidRPr="00D043A6">
              <w:rPr>
                <w:rFonts w:eastAsia="Times New Roman"/>
                <w:color w:val="000000"/>
                <w:sz w:val="24"/>
                <w:szCs w:val="24"/>
                <w:lang w:eastAsia="lv-LV"/>
              </w:rPr>
              <w:t>,</w:t>
            </w:r>
            <w:r w:rsidRPr="00D043A6">
              <w:rPr>
                <w:rFonts w:eastAsia="Times New Roman"/>
                <w:color w:val="000000"/>
                <w:sz w:val="24"/>
                <w:szCs w:val="24"/>
                <w:lang w:eastAsia="lv-LV"/>
              </w:rPr>
              <w:t>3</w:t>
            </w:r>
          </w:p>
        </w:tc>
        <w:tc>
          <w:tcPr>
            <w:tcW w:w="1576" w:type="dxa"/>
            <w:shd w:val="clear" w:color="000000" w:fill="FFFFFF"/>
            <w:noWrap/>
            <w:vAlign w:val="bottom"/>
            <w:hideMark/>
          </w:tcPr>
          <w:p w:rsidR="00FE2BD3" w:rsidRPr="00D043A6" w:rsidRDefault="00FE2BD3" w:rsidP="009F5E65">
            <w:pPr>
              <w:jc w:val="center"/>
              <w:rPr>
                <w:rFonts w:eastAsia="Times New Roman"/>
                <w:color w:val="000000"/>
                <w:sz w:val="24"/>
                <w:szCs w:val="24"/>
                <w:lang w:eastAsia="lv-LV"/>
              </w:rPr>
            </w:pPr>
            <w:r w:rsidRPr="00D043A6">
              <w:rPr>
                <w:rFonts w:eastAsia="Times New Roman"/>
                <w:color w:val="000000"/>
                <w:sz w:val="24"/>
                <w:szCs w:val="24"/>
                <w:lang w:eastAsia="lv-LV"/>
              </w:rPr>
              <w:t>1</w:t>
            </w:r>
            <w:r w:rsidR="009F5E65" w:rsidRPr="00D043A6">
              <w:rPr>
                <w:rFonts w:eastAsia="Times New Roman"/>
                <w:color w:val="000000"/>
                <w:sz w:val="24"/>
                <w:szCs w:val="24"/>
                <w:lang w:eastAsia="lv-LV"/>
              </w:rPr>
              <w:t>,</w:t>
            </w:r>
            <w:r w:rsidRPr="00D043A6">
              <w:rPr>
                <w:rFonts w:eastAsia="Times New Roman"/>
                <w:color w:val="000000"/>
                <w:sz w:val="24"/>
                <w:szCs w:val="24"/>
                <w:lang w:eastAsia="lv-LV"/>
              </w:rPr>
              <w:t>1</w:t>
            </w:r>
          </w:p>
        </w:tc>
      </w:tr>
      <w:tr w:rsidR="00FE2BD3" w:rsidRPr="00D043A6" w:rsidTr="001832B9">
        <w:trPr>
          <w:trHeight w:val="315"/>
        </w:trPr>
        <w:tc>
          <w:tcPr>
            <w:tcW w:w="6067" w:type="dxa"/>
            <w:shd w:val="clear" w:color="auto" w:fill="auto"/>
            <w:noWrap/>
            <w:vAlign w:val="bottom"/>
            <w:hideMark/>
          </w:tcPr>
          <w:p w:rsidR="00FE2BD3" w:rsidRPr="00D043A6" w:rsidRDefault="00FE2BD3" w:rsidP="00A73755">
            <w:pPr>
              <w:rPr>
                <w:rFonts w:eastAsia="Times New Roman"/>
                <w:color w:val="000000"/>
                <w:sz w:val="24"/>
                <w:szCs w:val="24"/>
                <w:lang w:eastAsia="lv-LV"/>
              </w:rPr>
            </w:pPr>
            <w:r w:rsidRPr="00D043A6">
              <w:rPr>
                <w:rFonts w:eastAsia="Times New Roman"/>
                <w:color w:val="000000"/>
                <w:sz w:val="24"/>
                <w:szCs w:val="24"/>
                <w:lang w:eastAsia="lv-LV"/>
              </w:rPr>
              <w:t>Sporta ēkas</w:t>
            </w:r>
          </w:p>
        </w:tc>
        <w:tc>
          <w:tcPr>
            <w:tcW w:w="1417" w:type="dxa"/>
            <w:shd w:val="clear" w:color="auto" w:fill="auto"/>
            <w:noWrap/>
            <w:vAlign w:val="bottom"/>
            <w:hideMark/>
          </w:tcPr>
          <w:p w:rsidR="00FE2BD3" w:rsidRPr="00D043A6" w:rsidRDefault="00FE2BD3" w:rsidP="009F5E65">
            <w:pPr>
              <w:jc w:val="center"/>
              <w:rPr>
                <w:rFonts w:eastAsia="Times New Roman"/>
                <w:color w:val="000000"/>
                <w:sz w:val="24"/>
                <w:szCs w:val="24"/>
                <w:lang w:eastAsia="lv-LV"/>
              </w:rPr>
            </w:pPr>
            <w:r w:rsidRPr="00D043A6">
              <w:rPr>
                <w:rFonts w:eastAsia="Times New Roman"/>
                <w:color w:val="000000"/>
                <w:sz w:val="24"/>
                <w:szCs w:val="24"/>
                <w:lang w:eastAsia="lv-LV"/>
              </w:rPr>
              <w:t>1</w:t>
            </w:r>
            <w:r w:rsidR="009F5E65" w:rsidRPr="00D043A6">
              <w:rPr>
                <w:rFonts w:eastAsia="Times New Roman"/>
                <w:color w:val="000000"/>
                <w:sz w:val="24"/>
                <w:szCs w:val="24"/>
                <w:lang w:eastAsia="lv-LV"/>
              </w:rPr>
              <w:t>,</w:t>
            </w:r>
            <w:r w:rsidRPr="00D043A6">
              <w:rPr>
                <w:rFonts w:eastAsia="Times New Roman"/>
                <w:color w:val="000000"/>
                <w:sz w:val="24"/>
                <w:szCs w:val="24"/>
                <w:lang w:eastAsia="lv-LV"/>
              </w:rPr>
              <w:t>0</w:t>
            </w:r>
          </w:p>
        </w:tc>
        <w:tc>
          <w:tcPr>
            <w:tcW w:w="1576" w:type="dxa"/>
            <w:shd w:val="clear" w:color="000000" w:fill="FFFFFF"/>
            <w:noWrap/>
            <w:vAlign w:val="bottom"/>
            <w:hideMark/>
          </w:tcPr>
          <w:p w:rsidR="00FE2BD3" w:rsidRPr="00D043A6" w:rsidRDefault="00FE2BD3" w:rsidP="009F5E65">
            <w:pPr>
              <w:jc w:val="center"/>
              <w:rPr>
                <w:rFonts w:eastAsia="Times New Roman"/>
                <w:color w:val="000000"/>
                <w:sz w:val="24"/>
                <w:szCs w:val="24"/>
                <w:lang w:eastAsia="lv-LV"/>
              </w:rPr>
            </w:pPr>
            <w:r w:rsidRPr="00D043A6">
              <w:rPr>
                <w:rFonts w:eastAsia="Times New Roman"/>
                <w:color w:val="000000"/>
                <w:sz w:val="24"/>
                <w:szCs w:val="24"/>
                <w:lang w:eastAsia="lv-LV"/>
              </w:rPr>
              <w:t>1</w:t>
            </w:r>
            <w:r w:rsidR="009F5E65" w:rsidRPr="00D043A6">
              <w:rPr>
                <w:rFonts w:eastAsia="Times New Roman"/>
                <w:color w:val="000000"/>
                <w:sz w:val="24"/>
                <w:szCs w:val="24"/>
                <w:lang w:eastAsia="lv-LV"/>
              </w:rPr>
              <w:t>,</w:t>
            </w:r>
            <w:r w:rsidRPr="00D043A6">
              <w:rPr>
                <w:rFonts w:eastAsia="Times New Roman"/>
                <w:color w:val="000000"/>
                <w:sz w:val="24"/>
                <w:szCs w:val="24"/>
                <w:lang w:eastAsia="lv-LV"/>
              </w:rPr>
              <w:t>1</w:t>
            </w:r>
          </w:p>
        </w:tc>
      </w:tr>
      <w:tr w:rsidR="00FE2BD3" w:rsidRPr="00D043A6" w:rsidTr="001832B9">
        <w:trPr>
          <w:trHeight w:val="315"/>
        </w:trPr>
        <w:tc>
          <w:tcPr>
            <w:tcW w:w="6067" w:type="dxa"/>
            <w:shd w:val="clear" w:color="auto" w:fill="auto"/>
            <w:noWrap/>
            <w:vAlign w:val="bottom"/>
            <w:hideMark/>
          </w:tcPr>
          <w:p w:rsidR="00FE2BD3" w:rsidRPr="00D043A6" w:rsidRDefault="00FE2BD3" w:rsidP="00A73755">
            <w:pPr>
              <w:rPr>
                <w:rFonts w:eastAsia="Times New Roman"/>
                <w:color w:val="000000"/>
                <w:sz w:val="24"/>
                <w:szCs w:val="24"/>
                <w:lang w:eastAsia="lv-LV"/>
              </w:rPr>
            </w:pPr>
            <w:r w:rsidRPr="00D043A6">
              <w:rPr>
                <w:rFonts w:eastAsia="Times New Roman"/>
                <w:color w:val="000000"/>
                <w:sz w:val="24"/>
                <w:szCs w:val="24"/>
                <w:lang w:eastAsia="lv-LV"/>
              </w:rPr>
              <w:t>Muzeji un bibliotēkas</w:t>
            </w:r>
            <w:r w:rsidR="003B0D3C">
              <w:rPr>
                <w:rStyle w:val="FootnoteReference"/>
                <w:rFonts w:eastAsia="Times New Roman"/>
                <w:color w:val="000000"/>
                <w:sz w:val="24"/>
                <w:szCs w:val="24"/>
                <w:lang w:eastAsia="lv-LV"/>
              </w:rPr>
              <w:footnoteReference w:id="21"/>
            </w:r>
          </w:p>
        </w:tc>
        <w:tc>
          <w:tcPr>
            <w:tcW w:w="1417" w:type="dxa"/>
            <w:shd w:val="clear" w:color="auto" w:fill="auto"/>
            <w:noWrap/>
            <w:vAlign w:val="bottom"/>
            <w:hideMark/>
          </w:tcPr>
          <w:p w:rsidR="00FE2BD3" w:rsidRPr="00D043A6" w:rsidRDefault="00FE2BD3" w:rsidP="009F5E65">
            <w:pPr>
              <w:jc w:val="center"/>
              <w:rPr>
                <w:rFonts w:eastAsia="Times New Roman"/>
                <w:color w:val="000000"/>
                <w:sz w:val="24"/>
                <w:szCs w:val="24"/>
                <w:lang w:eastAsia="lv-LV"/>
              </w:rPr>
            </w:pPr>
            <w:r w:rsidRPr="00D043A6">
              <w:rPr>
                <w:rFonts w:eastAsia="Times New Roman"/>
                <w:color w:val="000000"/>
                <w:sz w:val="24"/>
                <w:szCs w:val="24"/>
                <w:lang w:eastAsia="lv-LV"/>
              </w:rPr>
              <w:t>0</w:t>
            </w:r>
            <w:r w:rsidR="009F5E65" w:rsidRPr="00D043A6">
              <w:rPr>
                <w:rFonts w:eastAsia="Times New Roman"/>
                <w:color w:val="000000"/>
                <w:sz w:val="24"/>
                <w:szCs w:val="24"/>
                <w:lang w:eastAsia="lv-LV"/>
              </w:rPr>
              <w:t>,5</w:t>
            </w:r>
          </w:p>
        </w:tc>
        <w:tc>
          <w:tcPr>
            <w:tcW w:w="1576" w:type="dxa"/>
            <w:shd w:val="clear" w:color="000000" w:fill="FFFFFF"/>
            <w:noWrap/>
            <w:vAlign w:val="bottom"/>
            <w:hideMark/>
          </w:tcPr>
          <w:p w:rsidR="00FE2BD3" w:rsidRPr="00D043A6" w:rsidRDefault="00FE2BD3" w:rsidP="009F5E65">
            <w:pPr>
              <w:jc w:val="center"/>
              <w:rPr>
                <w:rFonts w:eastAsia="Times New Roman"/>
                <w:color w:val="000000"/>
                <w:sz w:val="24"/>
                <w:szCs w:val="24"/>
                <w:lang w:eastAsia="lv-LV"/>
              </w:rPr>
            </w:pPr>
            <w:r w:rsidRPr="00D043A6">
              <w:rPr>
                <w:rFonts w:eastAsia="Times New Roman"/>
                <w:color w:val="000000"/>
                <w:sz w:val="24"/>
                <w:szCs w:val="24"/>
                <w:lang w:eastAsia="lv-LV"/>
              </w:rPr>
              <w:t>0</w:t>
            </w:r>
            <w:r w:rsidR="009F5E65" w:rsidRPr="00D043A6">
              <w:rPr>
                <w:rFonts w:eastAsia="Times New Roman"/>
                <w:color w:val="000000"/>
                <w:sz w:val="24"/>
                <w:szCs w:val="24"/>
                <w:lang w:eastAsia="lv-LV"/>
              </w:rPr>
              <w:t>,</w:t>
            </w:r>
            <w:r w:rsidRPr="00D043A6">
              <w:rPr>
                <w:rFonts w:eastAsia="Times New Roman"/>
                <w:color w:val="000000"/>
                <w:sz w:val="24"/>
                <w:szCs w:val="24"/>
                <w:lang w:eastAsia="lv-LV"/>
              </w:rPr>
              <w:t>3</w:t>
            </w:r>
          </w:p>
        </w:tc>
      </w:tr>
      <w:tr w:rsidR="00FE2BD3" w:rsidRPr="00D043A6" w:rsidTr="001832B9">
        <w:trPr>
          <w:trHeight w:val="315"/>
        </w:trPr>
        <w:tc>
          <w:tcPr>
            <w:tcW w:w="6067" w:type="dxa"/>
            <w:shd w:val="clear" w:color="auto" w:fill="auto"/>
            <w:noWrap/>
            <w:vAlign w:val="bottom"/>
            <w:hideMark/>
          </w:tcPr>
          <w:p w:rsidR="00FE2BD3" w:rsidRPr="00D043A6" w:rsidRDefault="00FE2BD3" w:rsidP="00A73755">
            <w:pPr>
              <w:rPr>
                <w:rFonts w:eastAsia="Times New Roman"/>
                <w:b/>
                <w:color w:val="000000"/>
                <w:sz w:val="24"/>
                <w:szCs w:val="24"/>
                <w:lang w:eastAsia="lv-LV"/>
              </w:rPr>
            </w:pPr>
            <w:r w:rsidRPr="00D043A6">
              <w:rPr>
                <w:rFonts w:eastAsia="Times New Roman"/>
                <w:b/>
                <w:color w:val="000000"/>
                <w:sz w:val="24"/>
                <w:szCs w:val="24"/>
                <w:lang w:eastAsia="lv-LV"/>
              </w:rPr>
              <w:t>kopā</w:t>
            </w:r>
          </w:p>
        </w:tc>
        <w:tc>
          <w:tcPr>
            <w:tcW w:w="1417" w:type="dxa"/>
            <w:shd w:val="clear" w:color="auto" w:fill="auto"/>
            <w:noWrap/>
            <w:vAlign w:val="bottom"/>
            <w:hideMark/>
          </w:tcPr>
          <w:p w:rsidR="00FE2BD3" w:rsidRPr="00D043A6" w:rsidRDefault="009F5E65" w:rsidP="005742F5">
            <w:pPr>
              <w:ind w:firstLineChars="100" w:firstLine="241"/>
              <w:jc w:val="center"/>
              <w:rPr>
                <w:rFonts w:eastAsia="Times New Roman"/>
                <w:b/>
                <w:bCs/>
                <w:color w:val="000000"/>
                <w:sz w:val="24"/>
                <w:szCs w:val="24"/>
                <w:lang w:eastAsia="lv-LV"/>
              </w:rPr>
            </w:pPr>
            <w:r w:rsidRPr="00D043A6">
              <w:rPr>
                <w:rFonts w:eastAsia="Times New Roman"/>
                <w:b/>
                <w:bCs/>
                <w:color w:val="000000"/>
                <w:sz w:val="24"/>
                <w:szCs w:val="24"/>
                <w:lang w:eastAsia="lv-LV"/>
              </w:rPr>
              <w:t>34,3</w:t>
            </w:r>
          </w:p>
        </w:tc>
        <w:tc>
          <w:tcPr>
            <w:tcW w:w="1576" w:type="dxa"/>
            <w:shd w:val="clear" w:color="000000" w:fill="FFFFFF"/>
            <w:noWrap/>
            <w:vAlign w:val="bottom"/>
            <w:hideMark/>
          </w:tcPr>
          <w:p w:rsidR="00FE2BD3" w:rsidRPr="00D043A6" w:rsidRDefault="00A11EBA" w:rsidP="009F5E65">
            <w:pPr>
              <w:jc w:val="center"/>
              <w:rPr>
                <w:rFonts w:eastAsia="Times New Roman"/>
                <w:b/>
                <w:bCs/>
                <w:color w:val="000000"/>
                <w:sz w:val="24"/>
                <w:szCs w:val="24"/>
                <w:lang w:eastAsia="lv-LV"/>
              </w:rPr>
            </w:pPr>
            <w:r w:rsidRPr="00D043A6">
              <w:rPr>
                <w:rFonts w:eastAsia="Times New Roman"/>
                <w:b/>
                <w:bCs/>
                <w:color w:val="000000"/>
                <w:sz w:val="24"/>
                <w:szCs w:val="24"/>
                <w:lang w:eastAsia="lv-LV"/>
              </w:rPr>
              <w:t xml:space="preserve">   </w:t>
            </w:r>
            <w:r w:rsidR="009B0CCC" w:rsidRPr="00D043A6">
              <w:rPr>
                <w:rFonts w:eastAsia="Times New Roman"/>
                <w:b/>
                <w:bCs/>
                <w:color w:val="000000"/>
                <w:sz w:val="24"/>
                <w:szCs w:val="24"/>
                <w:lang w:eastAsia="lv-LV"/>
              </w:rPr>
              <w:t xml:space="preserve">  </w:t>
            </w:r>
            <w:r w:rsidR="009F5E65" w:rsidRPr="00D043A6">
              <w:rPr>
                <w:rFonts w:eastAsia="Times New Roman"/>
                <w:b/>
                <w:bCs/>
                <w:color w:val="000000"/>
                <w:sz w:val="24"/>
                <w:szCs w:val="24"/>
                <w:lang w:eastAsia="lv-LV"/>
              </w:rPr>
              <w:t>27,0</w:t>
            </w:r>
          </w:p>
        </w:tc>
      </w:tr>
    </w:tbl>
    <w:p w:rsidR="00525DFE" w:rsidRPr="00D043A6" w:rsidRDefault="00525DFE" w:rsidP="00952DAD">
      <w:pPr>
        <w:rPr>
          <w:iCs/>
          <w:sz w:val="24"/>
          <w:szCs w:val="24"/>
        </w:rPr>
      </w:pPr>
    </w:p>
    <w:p w:rsidR="00A11EBA" w:rsidRPr="00D043A6" w:rsidRDefault="00C37142" w:rsidP="00C37142">
      <w:pPr>
        <w:ind w:firstLine="720"/>
        <w:jc w:val="both"/>
        <w:rPr>
          <w:iCs/>
          <w:sz w:val="24"/>
          <w:szCs w:val="24"/>
        </w:rPr>
      </w:pPr>
      <w:r w:rsidRPr="00D043A6">
        <w:rPr>
          <w:iCs/>
          <w:sz w:val="24"/>
          <w:szCs w:val="24"/>
        </w:rPr>
        <w:t xml:space="preserve">Ēku energoefektivitātes direktīvas kontekstā (skatīt ziņojuma </w:t>
      </w:r>
      <w:r w:rsidR="00C44B1A" w:rsidRPr="00D043A6">
        <w:fldChar w:fldCharType="begin"/>
      </w:r>
      <w:r w:rsidR="00C44B1A" w:rsidRPr="00D043A6">
        <w:instrText xml:space="preserve"> REF _Ref331685261 \r \h  \* MERGEFORMAT </w:instrText>
      </w:r>
      <w:r w:rsidR="00C44B1A" w:rsidRPr="00D043A6">
        <w:fldChar w:fldCharType="separate"/>
      </w:r>
      <w:r w:rsidR="005D13C5">
        <w:t>2.6</w:t>
      </w:r>
      <w:r w:rsidR="00C44B1A" w:rsidRPr="00D043A6">
        <w:fldChar w:fldCharType="end"/>
      </w:r>
      <w:r w:rsidRPr="00D043A6">
        <w:rPr>
          <w:iCs/>
          <w:sz w:val="24"/>
          <w:szCs w:val="24"/>
        </w:rPr>
        <w:t>. nodaļu) izdalāma 7141 publiska, t.sk. 2174 valsts un 4967 pašvaldību ēka</w:t>
      </w:r>
      <w:r w:rsidR="0058190F" w:rsidRPr="00D043A6">
        <w:rPr>
          <w:iCs/>
          <w:sz w:val="24"/>
          <w:szCs w:val="24"/>
        </w:rPr>
        <w:t xml:space="preserve"> (sadalījums redzams </w:t>
      </w:r>
      <w:r w:rsidR="003E533F" w:rsidRPr="00D043A6">
        <w:rPr>
          <w:iCs/>
          <w:sz w:val="24"/>
          <w:szCs w:val="24"/>
        </w:rPr>
        <w:t>9</w:t>
      </w:r>
      <w:r w:rsidR="0058190F" w:rsidRPr="00D043A6">
        <w:rPr>
          <w:iCs/>
          <w:sz w:val="24"/>
          <w:szCs w:val="24"/>
        </w:rPr>
        <w:t>. tabulā)</w:t>
      </w:r>
      <w:r w:rsidRPr="00D043A6">
        <w:rPr>
          <w:iCs/>
          <w:sz w:val="24"/>
          <w:szCs w:val="24"/>
        </w:rPr>
        <w:t>.</w:t>
      </w:r>
    </w:p>
    <w:p w:rsidR="00C37142" w:rsidRPr="00D043A6" w:rsidRDefault="00C37142" w:rsidP="00952DAD">
      <w:pPr>
        <w:rPr>
          <w:iCs/>
          <w:sz w:val="24"/>
          <w:szCs w:val="24"/>
        </w:rPr>
      </w:pPr>
    </w:p>
    <w:p w:rsidR="00C37142" w:rsidRPr="00D043A6" w:rsidRDefault="003E533F" w:rsidP="00952DAD">
      <w:pPr>
        <w:rPr>
          <w:i/>
          <w:iCs/>
          <w:sz w:val="24"/>
          <w:szCs w:val="24"/>
        </w:rPr>
      </w:pPr>
      <w:r w:rsidRPr="00D043A6">
        <w:rPr>
          <w:i/>
          <w:iCs/>
          <w:sz w:val="24"/>
          <w:szCs w:val="24"/>
        </w:rPr>
        <w:t>9</w:t>
      </w:r>
      <w:r w:rsidR="00C37142" w:rsidRPr="00D043A6">
        <w:rPr>
          <w:i/>
          <w:iCs/>
          <w:sz w:val="24"/>
          <w:szCs w:val="24"/>
        </w:rPr>
        <w:t>. tabula. Pub</w:t>
      </w:r>
      <w:r w:rsidR="0058190F" w:rsidRPr="00D043A6">
        <w:rPr>
          <w:i/>
          <w:iCs/>
          <w:sz w:val="24"/>
          <w:szCs w:val="24"/>
        </w:rPr>
        <w:t xml:space="preserve">lisko valsts un pašvaldību ēku skaits </w:t>
      </w:r>
      <w:r w:rsidR="004D73B7" w:rsidRPr="00D043A6">
        <w:rPr>
          <w:i/>
          <w:iCs/>
          <w:sz w:val="24"/>
          <w:szCs w:val="24"/>
        </w:rPr>
        <w:t>pēc piederības statusa.</w:t>
      </w:r>
    </w:p>
    <w:tbl>
      <w:tblPr>
        <w:tblW w:w="4949"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1"/>
        <w:gridCol w:w="851"/>
        <w:gridCol w:w="1276"/>
        <w:gridCol w:w="851"/>
        <w:gridCol w:w="1278"/>
        <w:gridCol w:w="991"/>
        <w:gridCol w:w="1524"/>
      </w:tblGrid>
      <w:tr w:rsidR="002954E7" w:rsidRPr="00D043A6" w:rsidTr="002954E7">
        <w:tc>
          <w:tcPr>
            <w:tcW w:w="1317" w:type="pct"/>
            <w:vMerge w:val="restart"/>
            <w:shd w:val="clear" w:color="auto" w:fill="auto"/>
            <w:noWrap/>
            <w:vAlign w:val="bottom"/>
            <w:hideMark/>
          </w:tcPr>
          <w:p w:rsidR="002954E7" w:rsidRPr="00D043A6" w:rsidRDefault="002954E7" w:rsidP="002954E7">
            <w:pPr>
              <w:spacing w:before="120" w:after="120"/>
              <w:rPr>
                <w:rFonts w:eastAsia="Times New Roman"/>
                <w:color w:val="000000"/>
                <w:sz w:val="24"/>
                <w:szCs w:val="22"/>
                <w:lang w:eastAsia="lv-LV"/>
              </w:rPr>
            </w:pPr>
            <w:r w:rsidRPr="00D043A6">
              <w:rPr>
                <w:rFonts w:eastAsia="Times New Roman"/>
                <w:bCs/>
                <w:color w:val="000000"/>
                <w:sz w:val="24"/>
                <w:szCs w:val="24"/>
                <w:lang w:eastAsia="lv-LV"/>
              </w:rPr>
              <w:t>Galvenais lietošanas veids</w:t>
            </w:r>
          </w:p>
        </w:tc>
        <w:tc>
          <w:tcPr>
            <w:tcW w:w="1157" w:type="pct"/>
            <w:gridSpan w:val="2"/>
            <w:vAlign w:val="center"/>
          </w:tcPr>
          <w:p w:rsidR="002954E7" w:rsidRPr="00D043A6" w:rsidRDefault="002954E7" w:rsidP="002954E7">
            <w:pPr>
              <w:spacing w:before="120"/>
              <w:jc w:val="center"/>
              <w:rPr>
                <w:rFonts w:eastAsia="Times New Roman"/>
                <w:color w:val="000000"/>
                <w:sz w:val="24"/>
                <w:szCs w:val="22"/>
                <w:lang w:eastAsia="lv-LV"/>
              </w:rPr>
            </w:pPr>
            <w:r w:rsidRPr="00D043A6">
              <w:rPr>
                <w:rFonts w:eastAsia="Times New Roman"/>
                <w:color w:val="000000"/>
                <w:sz w:val="24"/>
                <w:szCs w:val="22"/>
                <w:lang w:eastAsia="lv-LV"/>
              </w:rPr>
              <w:t>Pieder valstij</w:t>
            </w:r>
          </w:p>
        </w:tc>
        <w:tc>
          <w:tcPr>
            <w:tcW w:w="1158" w:type="pct"/>
            <w:gridSpan w:val="2"/>
            <w:shd w:val="clear" w:color="auto" w:fill="auto"/>
            <w:noWrap/>
            <w:vAlign w:val="center"/>
            <w:hideMark/>
          </w:tcPr>
          <w:p w:rsidR="002954E7" w:rsidRPr="00D043A6" w:rsidRDefault="002954E7" w:rsidP="002954E7">
            <w:pPr>
              <w:spacing w:before="120"/>
              <w:jc w:val="center"/>
              <w:rPr>
                <w:rFonts w:eastAsia="Times New Roman"/>
                <w:color w:val="000000"/>
                <w:sz w:val="24"/>
                <w:szCs w:val="22"/>
                <w:lang w:eastAsia="lv-LV"/>
              </w:rPr>
            </w:pPr>
            <w:r w:rsidRPr="00D043A6">
              <w:rPr>
                <w:rFonts w:eastAsia="Times New Roman"/>
                <w:color w:val="000000"/>
                <w:sz w:val="24"/>
                <w:szCs w:val="22"/>
                <w:lang w:eastAsia="lv-LV"/>
              </w:rPr>
              <w:t>Pieder pašvaldībai</w:t>
            </w:r>
          </w:p>
        </w:tc>
        <w:tc>
          <w:tcPr>
            <w:tcW w:w="1368" w:type="pct"/>
            <w:gridSpan w:val="2"/>
            <w:vAlign w:val="center"/>
          </w:tcPr>
          <w:p w:rsidR="002954E7" w:rsidRPr="00D043A6" w:rsidRDefault="00693375" w:rsidP="002954E7">
            <w:pPr>
              <w:spacing w:before="120"/>
              <w:jc w:val="center"/>
              <w:rPr>
                <w:rFonts w:eastAsia="Times New Roman"/>
                <w:color w:val="000000"/>
                <w:sz w:val="24"/>
                <w:szCs w:val="22"/>
                <w:lang w:eastAsia="lv-LV"/>
              </w:rPr>
            </w:pPr>
            <w:r w:rsidRPr="00D043A6">
              <w:rPr>
                <w:rFonts w:eastAsia="Times New Roman"/>
                <w:color w:val="000000"/>
                <w:sz w:val="24"/>
                <w:szCs w:val="22"/>
                <w:lang w:eastAsia="lv-LV"/>
              </w:rPr>
              <w:t>K</w:t>
            </w:r>
            <w:r w:rsidR="002954E7" w:rsidRPr="00D043A6">
              <w:rPr>
                <w:rFonts w:eastAsia="Times New Roman"/>
                <w:color w:val="000000"/>
                <w:sz w:val="24"/>
                <w:szCs w:val="22"/>
                <w:lang w:eastAsia="lv-LV"/>
              </w:rPr>
              <w:t>opā</w:t>
            </w:r>
          </w:p>
        </w:tc>
      </w:tr>
      <w:tr w:rsidR="002954E7" w:rsidRPr="00D043A6" w:rsidTr="002954E7">
        <w:tc>
          <w:tcPr>
            <w:tcW w:w="1317" w:type="pct"/>
            <w:vMerge/>
            <w:shd w:val="clear" w:color="auto" w:fill="auto"/>
            <w:noWrap/>
            <w:vAlign w:val="bottom"/>
            <w:hideMark/>
          </w:tcPr>
          <w:p w:rsidR="002954E7" w:rsidRPr="00D043A6" w:rsidRDefault="002954E7" w:rsidP="0058190F">
            <w:pPr>
              <w:spacing w:before="120" w:after="120"/>
              <w:jc w:val="center"/>
              <w:rPr>
                <w:rFonts w:eastAsia="Times New Roman"/>
                <w:color w:val="000000"/>
                <w:sz w:val="24"/>
                <w:szCs w:val="22"/>
                <w:lang w:eastAsia="lv-LV"/>
              </w:rPr>
            </w:pPr>
          </w:p>
        </w:tc>
        <w:tc>
          <w:tcPr>
            <w:tcW w:w="463" w:type="pct"/>
            <w:vAlign w:val="center"/>
          </w:tcPr>
          <w:p w:rsidR="002954E7" w:rsidRPr="00D043A6" w:rsidRDefault="002954E7" w:rsidP="002954E7">
            <w:pPr>
              <w:jc w:val="center"/>
              <w:rPr>
                <w:rFonts w:eastAsia="Times New Roman"/>
                <w:color w:val="000000"/>
                <w:sz w:val="24"/>
                <w:szCs w:val="22"/>
                <w:lang w:eastAsia="lv-LV"/>
              </w:rPr>
            </w:pPr>
            <w:r w:rsidRPr="00D043A6">
              <w:rPr>
                <w:rFonts w:eastAsia="Times New Roman"/>
                <w:color w:val="000000"/>
                <w:sz w:val="24"/>
                <w:szCs w:val="22"/>
                <w:lang w:eastAsia="lv-LV"/>
              </w:rPr>
              <w:t>skaits</w:t>
            </w:r>
          </w:p>
        </w:tc>
        <w:tc>
          <w:tcPr>
            <w:tcW w:w="694" w:type="pct"/>
            <w:shd w:val="clear" w:color="auto" w:fill="F2F2F2" w:themeFill="background1" w:themeFillShade="F2"/>
            <w:vAlign w:val="center"/>
          </w:tcPr>
          <w:p w:rsidR="002954E7" w:rsidRPr="00D043A6" w:rsidRDefault="002954E7" w:rsidP="002954E7">
            <w:pPr>
              <w:jc w:val="center"/>
              <w:rPr>
                <w:rFonts w:eastAsia="Times New Roman"/>
                <w:color w:val="000000"/>
                <w:sz w:val="24"/>
                <w:szCs w:val="22"/>
                <w:lang w:eastAsia="lv-LV"/>
              </w:rPr>
            </w:pPr>
            <w:r w:rsidRPr="00D043A6">
              <w:rPr>
                <w:rFonts w:eastAsia="Times New Roman"/>
                <w:color w:val="000000"/>
                <w:sz w:val="24"/>
                <w:szCs w:val="22"/>
                <w:lang w:eastAsia="lv-LV"/>
              </w:rPr>
              <w:t>m</w:t>
            </w:r>
            <w:r w:rsidRPr="00D043A6">
              <w:rPr>
                <w:rFonts w:eastAsia="Times New Roman"/>
                <w:color w:val="000000"/>
                <w:sz w:val="24"/>
                <w:szCs w:val="22"/>
                <w:vertAlign w:val="superscript"/>
                <w:lang w:eastAsia="lv-LV"/>
              </w:rPr>
              <w:t>2</w:t>
            </w:r>
          </w:p>
        </w:tc>
        <w:tc>
          <w:tcPr>
            <w:tcW w:w="463" w:type="pct"/>
            <w:shd w:val="clear" w:color="auto" w:fill="auto"/>
            <w:noWrap/>
            <w:vAlign w:val="center"/>
            <w:hideMark/>
          </w:tcPr>
          <w:p w:rsidR="002954E7" w:rsidRPr="00D043A6" w:rsidRDefault="002954E7" w:rsidP="002954E7">
            <w:pPr>
              <w:jc w:val="center"/>
              <w:rPr>
                <w:rFonts w:eastAsia="Times New Roman"/>
                <w:color w:val="000000"/>
                <w:sz w:val="24"/>
                <w:szCs w:val="22"/>
                <w:lang w:eastAsia="lv-LV"/>
              </w:rPr>
            </w:pPr>
            <w:r w:rsidRPr="00D043A6">
              <w:rPr>
                <w:rFonts w:eastAsia="Times New Roman"/>
                <w:color w:val="000000"/>
                <w:sz w:val="24"/>
                <w:szCs w:val="22"/>
                <w:lang w:eastAsia="lv-LV"/>
              </w:rPr>
              <w:t>skaits</w:t>
            </w:r>
          </w:p>
        </w:tc>
        <w:tc>
          <w:tcPr>
            <w:tcW w:w="695" w:type="pct"/>
            <w:shd w:val="clear" w:color="auto" w:fill="F2F2F2" w:themeFill="background1" w:themeFillShade="F2"/>
            <w:vAlign w:val="center"/>
          </w:tcPr>
          <w:p w:rsidR="002954E7" w:rsidRPr="00D043A6" w:rsidRDefault="002954E7" w:rsidP="002954E7">
            <w:pPr>
              <w:spacing w:after="100" w:afterAutospacing="1"/>
              <w:jc w:val="center"/>
              <w:rPr>
                <w:rFonts w:eastAsia="Times New Roman"/>
                <w:color w:val="000000"/>
                <w:sz w:val="24"/>
                <w:szCs w:val="22"/>
                <w:lang w:eastAsia="lv-LV"/>
              </w:rPr>
            </w:pPr>
            <w:r w:rsidRPr="00D043A6">
              <w:rPr>
                <w:rFonts w:eastAsia="Times New Roman"/>
                <w:color w:val="000000"/>
                <w:sz w:val="24"/>
                <w:szCs w:val="22"/>
                <w:lang w:eastAsia="lv-LV"/>
              </w:rPr>
              <w:t>m</w:t>
            </w:r>
            <w:r w:rsidRPr="00D043A6">
              <w:rPr>
                <w:rFonts w:eastAsia="Times New Roman"/>
                <w:color w:val="000000"/>
                <w:sz w:val="24"/>
                <w:szCs w:val="22"/>
                <w:vertAlign w:val="superscript"/>
                <w:lang w:eastAsia="lv-LV"/>
              </w:rPr>
              <w:t>2</w:t>
            </w:r>
          </w:p>
        </w:tc>
        <w:tc>
          <w:tcPr>
            <w:tcW w:w="539" w:type="pct"/>
            <w:vAlign w:val="center"/>
          </w:tcPr>
          <w:p w:rsidR="002954E7" w:rsidRPr="00D043A6" w:rsidRDefault="002954E7" w:rsidP="002954E7">
            <w:pPr>
              <w:spacing w:after="100" w:afterAutospacing="1"/>
              <w:jc w:val="center"/>
              <w:rPr>
                <w:rFonts w:eastAsia="Times New Roman"/>
                <w:color w:val="000000"/>
                <w:sz w:val="24"/>
                <w:szCs w:val="22"/>
                <w:lang w:eastAsia="lv-LV"/>
              </w:rPr>
            </w:pPr>
            <w:r w:rsidRPr="00D043A6">
              <w:rPr>
                <w:rFonts w:eastAsia="Times New Roman"/>
                <w:color w:val="000000"/>
                <w:sz w:val="24"/>
                <w:szCs w:val="22"/>
                <w:lang w:eastAsia="lv-LV"/>
              </w:rPr>
              <w:t>skaits</w:t>
            </w:r>
          </w:p>
        </w:tc>
        <w:tc>
          <w:tcPr>
            <w:tcW w:w="829" w:type="pct"/>
            <w:shd w:val="clear" w:color="auto" w:fill="F2F2F2" w:themeFill="background1" w:themeFillShade="F2"/>
            <w:vAlign w:val="center"/>
          </w:tcPr>
          <w:p w:rsidR="002954E7" w:rsidRPr="00D043A6" w:rsidRDefault="002954E7" w:rsidP="002954E7">
            <w:pPr>
              <w:spacing w:after="100" w:afterAutospacing="1"/>
              <w:jc w:val="center"/>
              <w:rPr>
                <w:rFonts w:eastAsia="Times New Roman"/>
                <w:color w:val="000000"/>
                <w:sz w:val="24"/>
                <w:szCs w:val="22"/>
                <w:lang w:eastAsia="lv-LV"/>
              </w:rPr>
            </w:pPr>
            <w:r w:rsidRPr="00D043A6">
              <w:rPr>
                <w:rFonts w:eastAsia="Times New Roman"/>
                <w:color w:val="000000"/>
                <w:sz w:val="24"/>
                <w:szCs w:val="22"/>
                <w:lang w:eastAsia="lv-LV"/>
              </w:rPr>
              <w:t>m</w:t>
            </w:r>
            <w:r w:rsidRPr="00D043A6">
              <w:rPr>
                <w:rFonts w:eastAsia="Times New Roman"/>
                <w:color w:val="000000"/>
                <w:sz w:val="24"/>
                <w:szCs w:val="22"/>
                <w:vertAlign w:val="superscript"/>
                <w:lang w:eastAsia="lv-LV"/>
              </w:rPr>
              <w:t>2</w:t>
            </w:r>
          </w:p>
        </w:tc>
      </w:tr>
      <w:tr w:rsidR="00E249F4" w:rsidRPr="00D043A6" w:rsidTr="002954E7">
        <w:trPr>
          <w:trHeight w:val="300"/>
        </w:trPr>
        <w:tc>
          <w:tcPr>
            <w:tcW w:w="1317" w:type="pct"/>
            <w:shd w:val="clear" w:color="auto" w:fill="auto"/>
            <w:noWrap/>
            <w:vAlign w:val="bottom"/>
            <w:hideMark/>
          </w:tcPr>
          <w:p w:rsidR="0067497B" w:rsidRPr="00D043A6" w:rsidRDefault="0067497B" w:rsidP="00C37142">
            <w:pPr>
              <w:rPr>
                <w:rFonts w:eastAsia="Times New Roman"/>
                <w:color w:val="000000"/>
                <w:sz w:val="24"/>
                <w:szCs w:val="22"/>
                <w:lang w:eastAsia="lv-LV"/>
              </w:rPr>
            </w:pPr>
            <w:r w:rsidRPr="00D043A6">
              <w:rPr>
                <w:rFonts w:eastAsia="Times New Roman"/>
                <w:color w:val="000000"/>
                <w:sz w:val="24"/>
                <w:szCs w:val="22"/>
                <w:lang w:eastAsia="lv-LV"/>
              </w:rPr>
              <w:t>Izglītības un zinātnes ēkas</w:t>
            </w:r>
          </w:p>
        </w:tc>
        <w:tc>
          <w:tcPr>
            <w:tcW w:w="463" w:type="pct"/>
            <w:vAlign w:val="center"/>
          </w:tcPr>
          <w:p w:rsidR="0067497B" w:rsidRPr="00D043A6" w:rsidRDefault="0067497B" w:rsidP="002954E7">
            <w:pPr>
              <w:jc w:val="right"/>
              <w:rPr>
                <w:rFonts w:eastAsia="Times New Roman"/>
                <w:color w:val="000000"/>
                <w:sz w:val="24"/>
                <w:szCs w:val="22"/>
                <w:lang w:eastAsia="lv-LV"/>
              </w:rPr>
            </w:pPr>
            <w:r w:rsidRPr="00D043A6">
              <w:rPr>
                <w:rFonts w:eastAsia="Times New Roman"/>
                <w:color w:val="000000"/>
                <w:sz w:val="24"/>
                <w:szCs w:val="22"/>
                <w:lang w:eastAsia="lv-LV"/>
              </w:rPr>
              <w:t>638</w:t>
            </w:r>
          </w:p>
        </w:tc>
        <w:tc>
          <w:tcPr>
            <w:tcW w:w="694" w:type="pct"/>
            <w:shd w:val="clear" w:color="auto" w:fill="F2F2F2" w:themeFill="background1" w:themeFillShade="F2"/>
            <w:vAlign w:val="center"/>
          </w:tcPr>
          <w:p w:rsidR="0067497B" w:rsidRPr="00D043A6" w:rsidRDefault="001D7D23" w:rsidP="00E249F4">
            <w:pPr>
              <w:jc w:val="center"/>
              <w:rPr>
                <w:rFonts w:eastAsia="Times New Roman"/>
                <w:color w:val="000000"/>
                <w:sz w:val="22"/>
                <w:szCs w:val="22"/>
                <w:lang w:eastAsia="lv-LV"/>
              </w:rPr>
            </w:pPr>
            <w:r w:rsidRPr="00D043A6">
              <w:rPr>
                <w:rFonts w:eastAsia="Times New Roman"/>
                <w:color w:val="000000"/>
                <w:sz w:val="22"/>
                <w:szCs w:val="22"/>
                <w:lang w:eastAsia="lv-LV"/>
              </w:rPr>
              <w:t>1</w:t>
            </w:r>
            <w:r w:rsidR="00E249F4" w:rsidRPr="00D043A6">
              <w:rPr>
                <w:rFonts w:eastAsia="Times New Roman"/>
                <w:color w:val="000000"/>
                <w:sz w:val="22"/>
                <w:szCs w:val="22"/>
                <w:lang w:eastAsia="lv-LV"/>
              </w:rPr>
              <w:t> </w:t>
            </w:r>
            <w:r w:rsidRPr="00D043A6">
              <w:rPr>
                <w:rFonts w:eastAsia="Times New Roman"/>
                <w:color w:val="000000"/>
                <w:sz w:val="22"/>
                <w:szCs w:val="22"/>
                <w:lang w:eastAsia="lv-LV"/>
              </w:rPr>
              <w:t>333</w:t>
            </w:r>
            <w:r w:rsidR="00E249F4" w:rsidRPr="00D043A6">
              <w:rPr>
                <w:rFonts w:eastAsia="Times New Roman"/>
                <w:color w:val="000000"/>
                <w:sz w:val="22"/>
                <w:szCs w:val="22"/>
                <w:lang w:eastAsia="lv-LV"/>
              </w:rPr>
              <w:t> </w:t>
            </w:r>
            <w:r w:rsidRPr="00D043A6">
              <w:rPr>
                <w:rFonts w:eastAsia="Times New Roman"/>
                <w:color w:val="000000"/>
                <w:sz w:val="22"/>
                <w:szCs w:val="22"/>
                <w:lang w:eastAsia="lv-LV"/>
              </w:rPr>
              <w:t>617</w:t>
            </w:r>
          </w:p>
        </w:tc>
        <w:tc>
          <w:tcPr>
            <w:tcW w:w="463" w:type="pct"/>
            <w:shd w:val="clear" w:color="auto" w:fill="auto"/>
            <w:noWrap/>
            <w:vAlign w:val="center"/>
            <w:hideMark/>
          </w:tcPr>
          <w:p w:rsidR="0067497B" w:rsidRPr="00D043A6" w:rsidRDefault="0067497B" w:rsidP="002954E7">
            <w:pPr>
              <w:jc w:val="right"/>
              <w:rPr>
                <w:rFonts w:eastAsia="Times New Roman"/>
                <w:color w:val="000000"/>
                <w:sz w:val="24"/>
                <w:szCs w:val="22"/>
                <w:lang w:eastAsia="lv-LV"/>
              </w:rPr>
            </w:pPr>
            <w:r w:rsidRPr="00D043A6">
              <w:rPr>
                <w:rFonts w:eastAsia="Times New Roman"/>
                <w:color w:val="000000"/>
                <w:sz w:val="24"/>
                <w:szCs w:val="22"/>
                <w:lang w:eastAsia="lv-LV"/>
              </w:rPr>
              <w:t>2571</w:t>
            </w:r>
          </w:p>
        </w:tc>
        <w:tc>
          <w:tcPr>
            <w:tcW w:w="695" w:type="pct"/>
            <w:shd w:val="clear" w:color="auto" w:fill="F2F2F2" w:themeFill="background1" w:themeFillShade="F2"/>
            <w:vAlign w:val="center"/>
          </w:tcPr>
          <w:p w:rsidR="0067497B" w:rsidRPr="00D043A6" w:rsidRDefault="00E249F4" w:rsidP="00E249F4">
            <w:pPr>
              <w:jc w:val="center"/>
              <w:rPr>
                <w:rFonts w:eastAsia="Times New Roman"/>
                <w:color w:val="000000"/>
                <w:sz w:val="22"/>
                <w:szCs w:val="22"/>
                <w:lang w:eastAsia="lv-LV"/>
              </w:rPr>
            </w:pPr>
            <w:r w:rsidRPr="00D043A6">
              <w:rPr>
                <w:iCs/>
                <w:sz w:val="22"/>
                <w:szCs w:val="24"/>
              </w:rPr>
              <w:t>4 500 547</w:t>
            </w:r>
          </w:p>
        </w:tc>
        <w:tc>
          <w:tcPr>
            <w:tcW w:w="539" w:type="pct"/>
            <w:vAlign w:val="center"/>
          </w:tcPr>
          <w:p w:rsidR="0067497B" w:rsidRPr="00D043A6" w:rsidRDefault="0067497B" w:rsidP="002954E7">
            <w:pPr>
              <w:jc w:val="right"/>
              <w:rPr>
                <w:rFonts w:eastAsia="Times New Roman"/>
                <w:color w:val="000000"/>
                <w:sz w:val="24"/>
                <w:szCs w:val="22"/>
                <w:lang w:eastAsia="lv-LV"/>
              </w:rPr>
            </w:pPr>
            <w:r w:rsidRPr="00D043A6">
              <w:rPr>
                <w:rFonts w:eastAsia="Times New Roman"/>
                <w:color w:val="000000"/>
                <w:sz w:val="24"/>
                <w:szCs w:val="22"/>
                <w:lang w:eastAsia="lv-LV"/>
              </w:rPr>
              <w:t>3209</w:t>
            </w:r>
          </w:p>
        </w:tc>
        <w:tc>
          <w:tcPr>
            <w:tcW w:w="829" w:type="pct"/>
            <w:shd w:val="clear" w:color="auto" w:fill="F2F2F2" w:themeFill="background1" w:themeFillShade="F2"/>
            <w:vAlign w:val="center"/>
          </w:tcPr>
          <w:p w:rsidR="0067497B" w:rsidRPr="00D043A6" w:rsidRDefault="002954E7" w:rsidP="00E249F4">
            <w:pPr>
              <w:jc w:val="center"/>
              <w:rPr>
                <w:rFonts w:eastAsia="Times New Roman"/>
                <w:color w:val="000000"/>
                <w:sz w:val="22"/>
                <w:szCs w:val="22"/>
                <w:lang w:eastAsia="lv-LV"/>
              </w:rPr>
            </w:pPr>
            <w:r w:rsidRPr="00D043A6">
              <w:rPr>
                <w:iCs/>
                <w:sz w:val="22"/>
                <w:szCs w:val="24"/>
              </w:rPr>
              <w:t>5 834 164</w:t>
            </w:r>
          </w:p>
        </w:tc>
      </w:tr>
      <w:tr w:rsidR="00E249F4" w:rsidRPr="00D043A6" w:rsidTr="002954E7">
        <w:trPr>
          <w:trHeight w:val="300"/>
        </w:trPr>
        <w:tc>
          <w:tcPr>
            <w:tcW w:w="1317" w:type="pct"/>
            <w:shd w:val="clear" w:color="auto" w:fill="auto"/>
            <w:noWrap/>
            <w:vAlign w:val="bottom"/>
            <w:hideMark/>
          </w:tcPr>
          <w:p w:rsidR="0067497B" w:rsidRPr="00D043A6" w:rsidRDefault="0067497B" w:rsidP="00C37142">
            <w:pPr>
              <w:rPr>
                <w:rFonts w:eastAsia="Times New Roman"/>
                <w:color w:val="000000"/>
                <w:sz w:val="24"/>
                <w:szCs w:val="22"/>
                <w:lang w:eastAsia="lv-LV"/>
              </w:rPr>
            </w:pPr>
            <w:r w:rsidRPr="00D043A6">
              <w:rPr>
                <w:rFonts w:eastAsia="Times New Roman"/>
                <w:color w:val="000000"/>
                <w:sz w:val="24"/>
                <w:szCs w:val="22"/>
                <w:lang w:eastAsia="lv-LV"/>
              </w:rPr>
              <w:t>Biroju ēkas</w:t>
            </w:r>
          </w:p>
        </w:tc>
        <w:tc>
          <w:tcPr>
            <w:tcW w:w="463" w:type="pct"/>
            <w:vAlign w:val="center"/>
          </w:tcPr>
          <w:p w:rsidR="0067497B" w:rsidRPr="00D043A6" w:rsidRDefault="0067497B" w:rsidP="002954E7">
            <w:pPr>
              <w:jc w:val="right"/>
              <w:rPr>
                <w:rFonts w:eastAsia="Times New Roman"/>
                <w:color w:val="000000"/>
                <w:sz w:val="24"/>
                <w:szCs w:val="22"/>
                <w:lang w:eastAsia="lv-LV"/>
              </w:rPr>
            </w:pPr>
            <w:r w:rsidRPr="00D043A6">
              <w:rPr>
                <w:rFonts w:eastAsia="Times New Roman"/>
                <w:color w:val="000000"/>
                <w:sz w:val="24"/>
                <w:szCs w:val="22"/>
                <w:lang w:eastAsia="lv-LV"/>
              </w:rPr>
              <w:t>633</w:t>
            </w:r>
          </w:p>
        </w:tc>
        <w:tc>
          <w:tcPr>
            <w:tcW w:w="694" w:type="pct"/>
            <w:shd w:val="clear" w:color="auto" w:fill="F2F2F2" w:themeFill="background1" w:themeFillShade="F2"/>
            <w:vAlign w:val="center"/>
          </w:tcPr>
          <w:p w:rsidR="0067497B" w:rsidRPr="00D043A6" w:rsidRDefault="001D7D23" w:rsidP="00E249F4">
            <w:pPr>
              <w:jc w:val="center"/>
              <w:rPr>
                <w:rFonts w:eastAsia="Times New Roman"/>
                <w:color w:val="000000"/>
                <w:sz w:val="22"/>
                <w:szCs w:val="22"/>
                <w:lang w:eastAsia="lv-LV"/>
              </w:rPr>
            </w:pPr>
            <w:r w:rsidRPr="00D043A6">
              <w:rPr>
                <w:rFonts w:eastAsia="Times New Roman"/>
                <w:color w:val="000000"/>
                <w:sz w:val="22"/>
                <w:szCs w:val="22"/>
                <w:lang w:eastAsia="lv-LV"/>
              </w:rPr>
              <w:t>694</w:t>
            </w:r>
            <w:r w:rsidR="00E249F4" w:rsidRPr="00D043A6">
              <w:rPr>
                <w:rFonts w:eastAsia="Times New Roman"/>
                <w:color w:val="000000"/>
                <w:sz w:val="22"/>
                <w:szCs w:val="22"/>
                <w:lang w:eastAsia="lv-LV"/>
              </w:rPr>
              <w:t> </w:t>
            </w:r>
            <w:r w:rsidRPr="00D043A6">
              <w:rPr>
                <w:rFonts w:eastAsia="Times New Roman"/>
                <w:color w:val="000000"/>
                <w:sz w:val="22"/>
                <w:szCs w:val="22"/>
                <w:lang w:eastAsia="lv-LV"/>
              </w:rPr>
              <w:t>188</w:t>
            </w:r>
          </w:p>
        </w:tc>
        <w:tc>
          <w:tcPr>
            <w:tcW w:w="463" w:type="pct"/>
            <w:shd w:val="clear" w:color="auto" w:fill="auto"/>
            <w:noWrap/>
            <w:vAlign w:val="center"/>
            <w:hideMark/>
          </w:tcPr>
          <w:p w:rsidR="0067497B" w:rsidRPr="00D043A6" w:rsidRDefault="0067497B" w:rsidP="002954E7">
            <w:pPr>
              <w:jc w:val="right"/>
              <w:rPr>
                <w:rFonts w:eastAsia="Times New Roman"/>
                <w:color w:val="000000"/>
                <w:sz w:val="24"/>
                <w:szCs w:val="22"/>
                <w:lang w:eastAsia="lv-LV"/>
              </w:rPr>
            </w:pPr>
            <w:r w:rsidRPr="00D043A6">
              <w:rPr>
                <w:rFonts w:eastAsia="Times New Roman"/>
                <w:color w:val="000000"/>
                <w:sz w:val="24"/>
                <w:szCs w:val="22"/>
                <w:lang w:eastAsia="lv-LV"/>
              </w:rPr>
              <w:t>1055</w:t>
            </w:r>
          </w:p>
        </w:tc>
        <w:tc>
          <w:tcPr>
            <w:tcW w:w="695" w:type="pct"/>
            <w:shd w:val="clear" w:color="auto" w:fill="F2F2F2" w:themeFill="background1" w:themeFillShade="F2"/>
            <w:vAlign w:val="center"/>
          </w:tcPr>
          <w:p w:rsidR="0067497B" w:rsidRPr="00D043A6" w:rsidRDefault="00E249F4" w:rsidP="00E249F4">
            <w:pPr>
              <w:jc w:val="center"/>
              <w:rPr>
                <w:rFonts w:eastAsia="Times New Roman"/>
                <w:color w:val="000000"/>
                <w:sz w:val="22"/>
                <w:szCs w:val="22"/>
                <w:lang w:eastAsia="lv-LV"/>
              </w:rPr>
            </w:pPr>
            <w:r w:rsidRPr="00D043A6">
              <w:rPr>
                <w:iCs/>
                <w:sz w:val="22"/>
                <w:szCs w:val="24"/>
              </w:rPr>
              <w:t>741 035</w:t>
            </w:r>
          </w:p>
        </w:tc>
        <w:tc>
          <w:tcPr>
            <w:tcW w:w="539" w:type="pct"/>
            <w:vAlign w:val="center"/>
          </w:tcPr>
          <w:p w:rsidR="0067497B" w:rsidRPr="00D043A6" w:rsidRDefault="0067497B" w:rsidP="002954E7">
            <w:pPr>
              <w:jc w:val="right"/>
              <w:rPr>
                <w:rFonts w:eastAsia="Times New Roman"/>
                <w:color w:val="000000"/>
                <w:sz w:val="24"/>
                <w:szCs w:val="22"/>
                <w:lang w:eastAsia="lv-LV"/>
              </w:rPr>
            </w:pPr>
            <w:r w:rsidRPr="00D043A6">
              <w:rPr>
                <w:rFonts w:eastAsia="Times New Roman"/>
                <w:color w:val="000000"/>
                <w:sz w:val="24"/>
                <w:szCs w:val="22"/>
                <w:lang w:eastAsia="lv-LV"/>
              </w:rPr>
              <w:t>1688</w:t>
            </w:r>
          </w:p>
        </w:tc>
        <w:tc>
          <w:tcPr>
            <w:tcW w:w="829" w:type="pct"/>
            <w:shd w:val="clear" w:color="auto" w:fill="F2F2F2" w:themeFill="background1" w:themeFillShade="F2"/>
            <w:vAlign w:val="center"/>
          </w:tcPr>
          <w:p w:rsidR="0067497B" w:rsidRPr="00D043A6" w:rsidRDefault="002954E7" w:rsidP="00E249F4">
            <w:pPr>
              <w:jc w:val="center"/>
              <w:rPr>
                <w:rFonts w:eastAsia="Times New Roman"/>
                <w:color w:val="000000"/>
                <w:sz w:val="22"/>
                <w:szCs w:val="22"/>
                <w:lang w:eastAsia="lv-LV"/>
              </w:rPr>
            </w:pPr>
            <w:r w:rsidRPr="00D043A6">
              <w:rPr>
                <w:iCs/>
                <w:sz w:val="22"/>
                <w:szCs w:val="24"/>
              </w:rPr>
              <w:t>1 435 223</w:t>
            </w:r>
          </w:p>
        </w:tc>
      </w:tr>
      <w:tr w:rsidR="00E249F4" w:rsidRPr="00D043A6" w:rsidTr="002954E7">
        <w:trPr>
          <w:trHeight w:val="300"/>
        </w:trPr>
        <w:tc>
          <w:tcPr>
            <w:tcW w:w="1317" w:type="pct"/>
            <w:shd w:val="clear" w:color="auto" w:fill="auto"/>
            <w:noWrap/>
            <w:vAlign w:val="bottom"/>
            <w:hideMark/>
          </w:tcPr>
          <w:p w:rsidR="0067497B" w:rsidRPr="00D043A6" w:rsidRDefault="0067497B" w:rsidP="00C37142">
            <w:pPr>
              <w:rPr>
                <w:rFonts w:eastAsia="Times New Roman"/>
                <w:color w:val="000000"/>
                <w:sz w:val="24"/>
                <w:szCs w:val="22"/>
                <w:lang w:eastAsia="lv-LV"/>
              </w:rPr>
            </w:pPr>
            <w:r w:rsidRPr="00D043A6">
              <w:rPr>
                <w:rFonts w:eastAsia="Times New Roman"/>
                <w:color w:val="000000"/>
                <w:sz w:val="24"/>
                <w:szCs w:val="22"/>
                <w:lang w:eastAsia="lv-LV"/>
              </w:rPr>
              <w:t>Ārstniecības vai veselības aprūpes iestāžu ēkas</w:t>
            </w:r>
          </w:p>
        </w:tc>
        <w:tc>
          <w:tcPr>
            <w:tcW w:w="463" w:type="pct"/>
            <w:vAlign w:val="center"/>
          </w:tcPr>
          <w:p w:rsidR="0067497B" w:rsidRPr="00D043A6" w:rsidRDefault="0067497B" w:rsidP="002954E7">
            <w:pPr>
              <w:jc w:val="right"/>
              <w:rPr>
                <w:rFonts w:eastAsia="Times New Roman"/>
                <w:color w:val="000000"/>
                <w:sz w:val="24"/>
                <w:szCs w:val="22"/>
                <w:lang w:eastAsia="lv-LV"/>
              </w:rPr>
            </w:pPr>
            <w:r w:rsidRPr="00D043A6">
              <w:rPr>
                <w:rFonts w:eastAsia="Times New Roman"/>
                <w:color w:val="000000"/>
                <w:sz w:val="24"/>
                <w:szCs w:val="22"/>
                <w:lang w:eastAsia="lv-LV"/>
              </w:rPr>
              <w:t>310</w:t>
            </w:r>
          </w:p>
        </w:tc>
        <w:tc>
          <w:tcPr>
            <w:tcW w:w="694" w:type="pct"/>
            <w:shd w:val="clear" w:color="auto" w:fill="F2F2F2" w:themeFill="background1" w:themeFillShade="F2"/>
            <w:vAlign w:val="center"/>
          </w:tcPr>
          <w:p w:rsidR="0067497B" w:rsidRPr="00D043A6" w:rsidRDefault="001D7D23" w:rsidP="00E249F4">
            <w:pPr>
              <w:jc w:val="center"/>
              <w:rPr>
                <w:rFonts w:eastAsia="Times New Roman"/>
                <w:color w:val="000000"/>
                <w:sz w:val="22"/>
                <w:szCs w:val="22"/>
                <w:lang w:eastAsia="lv-LV"/>
              </w:rPr>
            </w:pPr>
            <w:r w:rsidRPr="00D043A6">
              <w:rPr>
                <w:rFonts w:eastAsia="Times New Roman"/>
                <w:color w:val="000000"/>
                <w:sz w:val="22"/>
                <w:szCs w:val="22"/>
                <w:lang w:eastAsia="lv-LV"/>
              </w:rPr>
              <w:t>601</w:t>
            </w:r>
            <w:r w:rsidR="00E249F4" w:rsidRPr="00D043A6">
              <w:rPr>
                <w:rFonts w:eastAsia="Times New Roman"/>
                <w:color w:val="000000"/>
                <w:sz w:val="22"/>
                <w:szCs w:val="22"/>
                <w:lang w:eastAsia="lv-LV"/>
              </w:rPr>
              <w:t> </w:t>
            </w:r>
            <w:r w:rsidRPr="00D043A6">
              <w:rPr>
                <w:rFonts w:eastAsia="Times New Roman"/>
                <w:color w:val="000000"/>
                <w:sz w:val="22"/>
                <w:szCs w:val="22"/>
                <w:lang w:eastAsia="lv-LV"/>
              </w:rPr>
              <w:t>290</w:t>
            </w:r>
          </w:p>
        </w:tc>
        <w:tc>
          <w:tcPr>
            <w:tcW w:w="463" w:type="pct"/>
            <w:shd w:val="clear" w:color="auto" w:fill="auto"/>
            <w:noWrap/>
            <w:vAlign w:val="center"/>
            <w:hideMark/>
          </w:tcPr>
          <w:p w:rsidR="0067497B" w:rsidRPr="00D043A6" w:rsidRDefault="0067497B" w:rsidP="002954E7">
            <w:pPr>
              <w:jc w:val="right"/>
              <w:rPr>
                <w:rFonts w:eastAsia="Times New Roman"/>
                <w:color w:val="000000"/>
                <w:sz w:val="24"/>
                <w:szCs w:val="22"/>
                <w:lang w:eastAsia="lv-LV"/>
              </w:rPr>
            </w:pPr>
            <w:r w:rsidRPr="00D043A6">
              <w:rPr>
                <w:rFonts w:eastAsia="Times New Roman"/>
                <w:color w:val="000000"/>
                <w:sz w:val="24"/>
                <w:szCs w:val="22"/>
                <w:lang w:eastAsia="lv-LV"/>
              </w:rPr>
              <w:t>375</w:t>
            </w:r>
          </w:p>
        </w:tc>
        <w:tc>
          <w:tcPr>
            <w:tcW w:w="695" w:type="pct"/>
            <w:shd w:val="clear" w:color="auto" w:fill="F2F2F2" w:themeFill="background1" w:themeFillShade="F2"/>
            <w:vAlign w:val="center"/>
          </w:tcPr>
          <w:p w:rsidR="0067497B" w:rsidRPr="00D043A6" w:rsidRDefault="00E249F4" w:rsidP="00E249F4">
            <w:pPr>
              <w:jc w:val="center"/>
              <w:rPr>
                <w:rFonts w:eastAsia="Times New Roman"/>
                <w:color w:val="000000"/>
                <w:sz w:val="22"/>
                <w:szCs w:val="22"/>
                <w:lang w:eastAsia="lv-LV"/>
              </w:rPr>
            </w:pPr>
            <w:r w:rsidRPr="00D043A6">
              <w:rPr>
                <w:iCs/>
                <w:sz w:val="22"/>
                <w:szCs w:val="24"/>
              </w:rPr>
              <w:t>349</w:t>
            </w:r>
            <w:r w:rsidR="002954E7" w:rsidRPr="00D043A6">
              <w:rPr>
                <w:iCs/>
                <w:sz w:val="22"/>
                <w:szCs w:val="24"/>
              </w:rPr>
              <w:t> </w:t>
            </w:r>
            <w:r w:rsidRPr="00D043A6">
              <w:rPr>
                <w:iCs/>
                <w:sz w:val="22"/>
                <w:szCs w:val="24"/>
              </w:rPr>
              <w:t>618</w:t>
            </w:r>
          </w:p>
        </w:tc>
        <w:tc>
          <w:tcPr>
            <w:tcW w:w="539" w:type="pct"/>
            <w:vAlign w:val="center"/>
          </w:tcPr>
          <w:p w:rsidR="0067497B" w:rsidRPr="00D043A6" w:rsidRDefault="0067497B" w:rsidP="002954E7">
            <w:pPr>
              <w:jc w:val="right"/>
              <w:rPr>
                <w:rFonts w:eastAsia="Times New Roman"/>
                <w:color w:val="000000"/>
                <w:sz w:val="24"/>
                <w:szCs w:val="22"/>
                <w:lang w:eastAsia="lv-LV"/>
              </w:rPr>
            </w:pPr>
            <w:r w:rsidRPr="00D043A6">
              <w:rPr>
                <w:rFonts w:eastAsia="Times New Roman"/>
                <w:color w:val="000000"/>
                <w:sz w:val="24"/>
                <w:szCs w:val="22"/>
                <w:lang w:eastAsia="lv-LV"/>
              </w:rPr>
              <w:t>685</w:t>
            </w:r>
          </w:p>
        </w:tc>
        <w:tc>
          <w:tcPr>
            <w:tcW w:w="829" w:type="pct"/>
            <w:shd w:val="clear" w:color="auto" w:fill="F2F2F2" w:themeFill="background1" w:themeFillShade="F2"/>
            <w:vAlign w:val="center"/>
          </w:tcPr>
          <w:p w:rsidR="0067497B" w:rsidRPr="00D043A6" w:rsidRDefault="00E249F4" w:rsidP="002954E7">
            <w:pPr>
              <w:jc w:val="center"/>
              <w:rPr>
                <w:rFonts w:eastAsia="Times New Roman"/>
                <w:color w:val="000000"/>
                <w:sz w:val="22"/>
                <w:szCs w:val="22"/>
                <w:lang w:eastAsia="lv-LV"/>
              </w:rPr>
            </w:pPr>
            <w:r w:rsidRPr="00D043A6">
              <w:rPr>
                <w:iCs/>
                <w:sz w:val="22"/>
                <w:szCs w:val="24"/>
              </w:rPr>
              <w:t>950 908</w:t>
            </w:r>
          </w:p>
        </w:tc>
      </w:tr>
      <w:tr w:rsidR="00E249F4" w:rsidRPr="00D043A6" w:rsidTr="002954E7">
        <w:trPr>
          <w:trHeight w:val="300"/>
        </w:trPr>
        <w:tc>
          <w:tcPr>
            <w:tcW w:w="1317" w:type="pct"/>
            <w:shd w:val="clear" w:color="auto" w:fill="auto"/>
            <w:noWrap/>
            <w:vAlign w:val="bottom"/>
            <w:hideMark/>
          </w:tcPr>
          <w:p w:rsidR="0067497B" w:rsidRPr="00D043A6" w:rsidRDefault="0067497B" w:rsidP="00C37142">
            <w:pPr>
              <w:rPr>
                <w:rFonts w:eastAsia="Times New Roman"/>
                <w:color w:val="000000"/>
                <w:sz w:val="24"/>
                <w:szCs w:val="22"/>
                <w:lang w:eastAsia="lv-LV"/>
              </w:rPr>
            </w:pPr>
            <w:r w:rsidRPr="00D043A6">
              <w:rPr>
                <w:rFonts w:eastAsia="Times New Roman"/>
                <w:color w:val="000000"/>
                <w:sz w:val="24"/>
                <w:szCs w:val="22"/>
                <w:lang w:eastAsia="lv-LV"/>
              </w:rPr>
              <w:t>Sporta ēkas</w:t>
            </w:r>
          </w:p>
        </w:tc>
        <w:tc>
          <w:tcPr>
            <w:tcW w:w="463" w:type="pct"/>
            <w:vAlign w:val="center"/>
          </w:tcPr>
          <w:p w:rsidR="0067497B" w:rsidRPr="00D043A6" w:rsidRDefault="0067497B" w:rsidP="002954E7">
            <w:pPr>
              <w:jc w:val="right"/>
              <w:rPr>
                <w:rFonts w:eastAsia="Times New Roman"/>
                <w:color w:val="000000"/>
                <w:sz w:val="24"/>
                <w:szCs w:val="22"/>
                <w:lang w:eastAsia="lv-LV"/>
              </w:rPr>
            </w:pPr>
            <w:r w:rsidRPr="00D043A6">
              <w:rPr>
                <w:rFonts w:eastAsia="Times New Roman"/>
                <w:color w:val="000000"/>
                <w:sz w:val="24"/>
                <w:szCs w:val="22"/>
                <w:lang w:eastAsia="lv-LV"/>
              </w:rPr>
              <w:t>136</w:t>
            </w:r>
          </w:p>
        </w:tc>
        <w:tc>
          <w:tcPr>
            <w:tcW w:w="694" w:type="pct"/>
            <w:shd w:val="clear" w:color="auto" w:fill="F2F2F2" w:themeFill="background1" w:themeFillShade="F2"/>
            <w:vAlign w:val="center"/>
          </w:tcPr>
          <w:p w:rsidR="0067497B" w:rsidRPr="00D043A6" w:rsidRDefault="001D7D23" w:rsidP="00E249F4">
            <w:pPr>
              <w:jc w:val="center"/>
              <w:rPr>
                <w:rFonts w:eastAsia="Times New Roman"/>
                <w:color w:val="000000"/>
                <w:sz w:val="22"/>
                <w:szCs w:val="22"/>
                <w:lang w:eastAsia="lv-LV"/>
              </w:rPr>
            </w:pPr>
            <w:r w:rsidRPr="00D043A6">
              <w:rPr>
                <w:rFonts w:eastAsia="Times New Roman"/>
                <w:color w:val="000000"/>
                <w:sz w:val="22"/>
                <w:szCs w:val="22"/>
                <w:lang w:eastAsia="lv-LV"/>
              </w:rPr>
              <w:t>134</w:t>
            </w:r>
            <w:r w:rsidR="00E249F4" w:rsidRPr="00D043A6">
              <w:rPr>
                <w:rFonts w:eastAsia="Times New Roman"/>
                <w:color w:val="000000"/>
                <w:sz w:val="22"/>
                <w:szCs w:val="22"/>
                <w:lang w:eastAsia="lv-LV"/>
              </w:rPr>
              <w:t> </w:t>
            </w:r>
            <w:r w:rsidRPr="00D043A6">
              <w:rPr>
                <w:rFonts w:eastAsia="Times New Roman"/>
                <w:color w:val="000000"/>
                <w:sz w:val="22"/>
                <w:szCs w:val="22"/>
                <w:lang w:eastAsia="lv-LV"/>
              </w:rPr>
              <w:t>322</w:t>
            </w:r>
          </w:p>
        </w:tc>
        <w:tc>
          <w:tcPr>
            <w:tcW w:w="463" w:type="pct"/>
            <w:shd w:val="clear" w:color="auto" w:fill="auto"/>
            <w:noWrap/>
            <w:vAlign w:val="center"/>
            <w:hideMark/>
          </w:tcPr>
          <w:p w:rsidR="0067497B" w:rsidRPr="00D043A6" w:rsidRDefault="0067497B" w:rsidP="002954E7">
            <w:pPr>
              <w:jc w:val="right"/>
              <w:rPr>
                <w:rFonts w:eastAsia="Times New Roman"/>
                <w:color w:val="000000"/>
                <w:sz w:val="24"/>
                <w:szCs w:val="22"/>
                <w:lang w:eastAsia="lv-LV"/>
              </w:rPr>
            </w:pPr>
            <w:r w:rsidRPr="00D043A6">
              <w:rPr>
                <w:rFonts w:eastAsia="Times New Roman"/>
                <w:color w:val="000000"/>
                <w:sz w:val="24"/>
                <w:szCs w:val="22"/>
                <w:lang w:eastAsia="lv-LV"/>
              </w:rPr>
              <w:t>394</w:t>
            </w:r>
          </w:p>
        </w:tc>
        <w:tc>
          <w:tcPr>
            <w:tcW w:w="695" w:type="pct"/>
            <w:shd w:val="clear" w:color="auto" w:fill="F2F2F2" w:themeFill="background1" w:themeFillShade="F2"/>
            <w:vAlign w:val="center"/>
          </w:tcPr>
          <w:p w:rsidR="0067497B" w:rsidRPr="00D043A6" w:rsidRDefault="00E249F4" w:rsidP="00E249F4">
            <w:pPr>
              <w:jc w:val="center"/>
              <w:rPr>
                <w:rFonts w:eastAsia="Times New Roman"/>
                <w:color w:val="000000"/>
                <w:sz w:val="22"/>
                <w:szCs w:val="22"/>
                <w:lang w:eastAsia="lv-LV"/>
              </w:rPr>
            </w:pPr>
            <w:r w:rsidRPr="00D043A6">
              <w:rPr>
                <w:iCs/>
                <w:sz w:val="22"/>
                <w:szCs w:val="24"/>
              </w:rPr>
              <w:t>434 416</w:t>
            </w:r>
          </w:p>
        </w:tc>
        <w:tc>
          <w:tcPr>
            <w:tcW w:w="539" w:type="pct"/>
            <w:vAlign w:val="center"/>
          </w:tcPr>
          <w:p w:rsidR="0067497B" w:rsidRPr="00D043A6" w:rsidRDefault="0067497B" w:rsidP="002954E7">
            <w:pPr>
              <w:jc w:val="right"/>
              <w:rPr>
                <w:rFonts w:eastAsia="Times New Roman"/>
                <w:color w:val="000000"/>
                <w:sz w:val="24"/>
                <w:szCs w:val="22"/>
                <w:lang w:eastAsia="lv-LV"/>
              </w:rPr>
            </w:pPr>
            <w:r w:rsidRPr="00D043A6">
              <w:rPr>
                <w:rFonts w:eastAsia="Times New Roman"/>
                <w:color w:val="000000"/>
                <w:sz w:val="24"/>
                <w:szCs w:val="22"/>
                <w:lang w:eastAsia="lv-LV"/>
              </w:rPr>
              <w:t>530</w:t>
            </w:r>
          </w:p>
        </w:tc>
        <w:tc>
          <w:tcPr>
            <w:tcW w:w="829" w:type="pct"/>
            <w:shd w:val="clear" w:color="auto" w:fill="F2F2F2" w:themeFill="background1" w:themeFillShade="F2"/>
            <w:vAlign w:val="center"/>
          </w:tcPr>
          <w:p w:rsidR="0067497B" w:rsidRPr="00D043A6" w:rsidRDefault="002954E7" w:rsidP="00E249F4">
            <w:pPr>
              <w:jc w:val="center"/>
              <w:rPr>
                <w:rFonts w:eastAsia="Times New Roman"/>
                <w:color w:val="000000"/>
                <w:sz w:val="22"/>
                <w:szCs w:val="22"/>
                <w:lang w:eastAsia="lv-LV"/>
              </w:rPr>
            </w:pPr>
            <w:r w:rsidRPr="00D043A6">
              <w:rPr>
                <w:iCs/>
                <w:sz w:val="22"/>
                <w:szCs w:val="24"/>
              </w:rPr>
              <w:t>568 737</w:t>
            </w:r>
          </w:p>
        </w:tc>
      </w:tr>
      <w:tr w:rsidR="00E249F4" w:rsidRPr="00D043A6" w:rsidTr="002954E7">
        <w:trPr>
          <w:trHeight w:val="300"/>
        </w:trPr>
        <w:tc>
          <w:tcPr>
            <w:tcW w:w="1317" w:type="pct"/>
            <w:shd w:val="clear" w:color="auto" w:fill="auto"/>
            <w:noWrap/>
            <w:vAlign w:val="bottom"/>
            <w:hideMark/>
          </w:tcPr>
          <w:p w:rsidR="0067497B" w:rsidRPr="00D043A6" w:rsidRDefault="0067497B" w:rsidP="00C37142">
            <w:pPr>
              <w:rPr>
                <w:rFonts w:eastAsia="Times New Roman"/>
                <w:color w:val="000000"/>
                <w:sz w:val="24"/>
                <w:szCs w:val="22"/>
                <w:lang w:eastAsia="lv-LV"/>
              </w:rPr>
            </w:pPr>
            <w:r w:rsidRPr="00D043A6">
              <w:rPr>
                <w:rFonts w:eastAsia="Times New Roman"/>
                <w:color w:val="000000"/>
                <w:sz w:val="24"/>
                <w:szCs w:val="22"/>
                <w:lang w:eastAsia="lv-LV"/>
              </w:rPr>
              <w:t>Viesnīcas un citas īslaicīgas apmešanās ēkas</w:t>
            </w:r>
          </w:p>
        </w:tc>
        <w:tc>
          <w:tcPr>
            <w:tcW w:w="463" w:type="pct"/>
            <w:vAlign w:val="center"/>
          </w:tcPr>
          <w:p w:rsidR="0067497B" w:rsidRPr="00D043A6" w:rsidRDefault="0067497B" w:rsidP="002954E7">
            <w:pPr>
              <w:jc w:val="right"/>
              <w:rPr>
                <w:rFonts w:eastAsia="Times New Roman"/>
                <w:color w:val="000000"/>
                <w:sz w:val="24"/>
                <w:szCs w:val="22"/>
                <w:lang w:eastAsia="lv-LV"/>
              </w:rPr>
            </w:pPr>
            <w:r w:rsidRPr="00D043A6">
              <w:rPr>
                <w:rFonts w:eastAsia="Times New Roman"/>
                <w:color w:val="000000"/>
                <w:sz w:val="24"/>
                <w:szCs w:val="22"/>
                <w:lang w:eastAsia="lv-LV"/>
              </w:rPr>
              <w:t>267</w:t>
            </w:r>
          </w:p>
        </w:tc>
        <w:tc>
          <w:tcPr>
            <w:tcW w:w="694" w:type="pct"/>
            <w:shd w:val="clear" w:color="auto" w:fill="F2F2F2" w:themeFill="background1" w:themeFillShade="F2"/>
            <w:vAlign w:val="center"/>
          </w:tcPr>
          <w:p w:rsidR="0067497B" w:rsidRPr="00D043A6" w:rsidRDefault="00E249F4" w:rsidP="00E249F4">
            <w:pPr>
              <w:jc w:val="center"/>
              <w:rPr>
                <w:rFonts w:eastAsia="Times New Roman"/>
                <w:color w:val="000000"/>
                <w:sz w:val="22"/>
                <w:szCs w:val="22"/>
                <w:lang w:eastAsia="lv-LV"/>
              </w:rPr>
            </w:pPr>
            <w:r w:rsidRPr="00D043A6">
              <w:rPr>
                <w:rFonts w:eastAsia="Times New Roman"/>
                <w:color w:val="000000"/>
                <w:sz w:val="22"/>
                <w:szCs w:val="22"/>
                <w:lang w:eastAsia="lv-LV"/>
              </w:rPr>
              <w:t>441 999</w:t>
            </w:r>
          </w:p>
        </w:tc>
        <w:tc>
          <w:tcPr>
            <w:tcW w:w="463" w:type="pct"/>
            <w:shd w:val="clear" w:color="auto" w:fill="auto"/>
            <w:noWrap/>
            <w:vAlign w:val="center"/>
            <w:hideMark/>
          </w:tcPr>
          <w:p w:rsidR="0067497B" w:rsidRPr="00D043A6" w:rsidRDefault="0067497B" w:rsidP="002954E7">
            <w:pPr>
              <w:jc w:val="right"/>
              <w:rPr>
                <w:rFonts w:eastAsia="Times New Roman"/>
                <w:color w:val="000000"/>
                <w:sz w:val="24"/>
                <w:szCs w:val="22"/>
                <w:lang w:eastAsia="lv-LV"/>
              </w:rPr>
            </w:pPr>
            <w:r w:rsidRPr="00D043A6">
              <w:rPr>
                <w:rFonts w:eastAsia="Times New Roman"/>
                <w:color w:val="000000"/>
                <w:sz w:val="24"/>
                <w:szCs w:val="22"/>
                <w:lang w:eastAsia="lv-LV"/>
              </w:rPr>
              <w:t>201</w:t>
            </w:r>
          </w:p>
        </w:tc>
        <w:tc>
          <w:tcPr>
            <w:tcW w:w="695" w:type="pct"/>
            <w:shd w:val="clear" w:color="auto" w:fill="F2F2F2" w:themeFill="background1" w:themeFillShade="F2"/>
            <w:vAlign w:val="center"/>
          </w:tcPr>
          <w:p w:rsidR="0067497B" w:rsidRPr="00D043A6" w:rsidRDefault="00E249F4" w:rsidP="00E249F4">
            <w:pPr>
              <w:jc w:val="center"/>
              <w:rPr>
                <w:rFonts w:eastAsia="Times New Roman"/>
                <w:color w:val="000000"/>
                <w:sz w:val="22"/>
                <w:szCs w:val="22"/>
                <w:lang w:eastAsia="lv-LV"/>
              </w:rPr>
            </w:pPr>
            <w:r w:rsidRPr="00D043A6">
              <w:rPr>
                <w:iCs/>
                <w:sz w:val="22"/>
                <w:szCs w:val="24"/>
              </w:rPr>
              <w:t>111 740</w:t>
            </w:r>
          </w:p>
        </w:tc>
        <w:tc>
          <w:tcPr>
            <w:tcW w:w="539" w:type="pct"/>
            <w:vAlign w:val="center"/>
          </w:tcPr>
          <w:p w:rsidR="0067497B" w:rsidRPr="00D043A6" w:rsidRDefault="0067497B" w:rsidP="002954E7">
            <w:pPr>
              <w:jc w:val="right"/>
              <w:rPr>
                <w:rFonts w:eastAsia="Times New Roman"/>
                <w:color w:val="000000"/>
                <w:sz w:val="24"/>
                <w:szCs w:val="22"/>
                <w:lang w:eastAsia="lv-LV"/>
              </w:rPr>
            </w:pPr>
            <w:r w:rsidRPr="00D043A6">
              <w:rPr>
                <w:rFonts w:eastAsia="Times New Roman"/>
                <w:color w:val="000000"/>
                <w:sz w:val="24"/>
                <w:szCs w:val="22"/>
                <w:lang w:eastAsia="lv-LV"/>
              </w:rPr>
              <w:t>468</w:t>
            </w:r>
          </w:p>
        </w:tc>
        <w:tc>
          <w:tcPr>
            <w:tcW w:w="829" w:type="pct"/>
            <w:shd w:val="clear" w:color="auto" w:fill="F2F2F2" w:themeFill="background1" w:themeFillShade="F2"/>
            <w:vAlign w:val="center"/>
          </w:tcPr>
          <w:p w:rsidR="0067497B" w:rsidRPr="00D043A6" w:rsidRDefault="002954E7" w:rsidP="00E249F4">
            <w:pPr>
              <w:jc w:val="center"/>
              <w:rPr>
                <w:rFonts w:eastAsia="Times New Roman"/>
                <w:color w:val="000000"/>
                <w:sz w:val="22"/>
                <w:szCs w:val="22"/>
                <w:lang w:eastAsia="lv-LV"/>
              </w:rPr>
            </w:pPr>
            <w:r w:rsidRPr="00D043A6">
              <w:rPr>
                <w:iCs/>
                <w:sz w:val="22"/>
                <w:szCs w:val="24"/>
              </w:rPr>
              <w:t>553 738</w:t>
            </w:r>
          </w:p>
        </w:tc>
      </w:tr>
      <w:tr w:rsidR="00E249F4" w:rsidRPr="00D043A6" w:rsidTr="002954E7">
        <w:trPr>
          <w:trHeight w:val="300"/>
        </w:trPr>
        <w:tc>
          <w:tcPr>
            <w:tcW w:w="1317" w:type="pct"/>
            <w:shd w:val="clear" w:color="auto" w:fill="auto"/>
            <w:noWrap/>
            <w:vAlign w:val="bottom"/>
            <w:hideMark/>
          </w:tcPr>
          <w:p w:rsidR="0067497B" w:rsidRPr="00D043A6" w:rsidRDefault="0067497B" w:rsidP="00C37142">
            <w:pPr>
              <w:rPr>
                <w:rFonts w:eastAsia="Times New Roman"/>
                <w:color w:val="000000"/>
                <w:sz w:val="24"/>
                <w:szCs w:val="22"/>
                <w:lang w:eastAsia="lv-LV"/>
              </w:rPr>
            </w:pPr>
            <w:r w:rsidRPr="00D043A6">
              <w:rPr>
                <w:rFonts w:eastAsia="Times New Roman"/>
                <w:color w:val="000000"/>
                <w:sz w:val="24"/>
                <w:szCs w:val="22"/>
                <w:lang w:eastAsia="lv-LV"/>
              </w:rPr>
              <w:t>Muzeji un bibliotēkas</w:t>
            </w:r>
          </w:p>
        </w:tc>
        <w:tc>
          <w:tcPr>
            <w:tcW w:w="463" w:type="pct"/>
            <w:vAlign w:val="center"/>
          </w:tcPr>
          <w:p w:rsidR="0067497B" w:rsidRPr="00D043A6" w:rsidRDefault="0067497B" w:rsidP="002954E7">
            <w:pPr>
              <w:jc w:val="right"/>
              <w:rPr>
                <w:rFonts w:eastAsia="Times New Roman"/>
                <w:color w:val="000000"/>
                <w:sz w:val="24"/>
                <w:szCs w:val="22"/>
                <w:lang w:eastAsia="lv-LV"/>
              </w:rPr>
            </w:pPr>
            <w:r w:rsidRPr="00D043A6">
              <w:rPr>
                <w:rFonts w:eastAsia="Times New Roman"/>
                <w:color w:val="000000"/>
                <w:sz w:val="24"/>
                <w:szCs w:val="22"/>
                <w:lang w:eastAsia="lv-LV"/>
              </w:rPr>
              <w:t>104</w:t>
            </w:r>
          </w:p>
        </w:tc>
        <w:tc>
          <w:tcPr>
            <w:tcW w:w="694" w:type="pct"/>
            <w:shd w:val="clear" w:color="auto" w:fill="F2F2F2" w:themeFill="background1" w:themeFillShade="F2"/>
            <w:vAlign w:val="center"/>
          </w:tcPr>
          <w:p w:rsidR="0067497B" w:rsidRPr="00D043A6" w:rsidRDefault="00E249F4" w:rsidP="00E249F4">
            <w:pPr>
              <w:jc w:val="center"/>
              <w:rPr>
                <w:rFonts w:eastAsia="Times New Roman"/>
                <w:color w:val="000000"/>
                <w:sz w:val="22"/>
                <w:szCs w:val="22"/>
                <w:lang w:eastAsia="lv-LV"/>
              </w:rPr>
            </w:pPr>
            <w:r w:rsidRPr="00D043A6">
              <w:rPr>
                <w:rFonts w:eastAsia="Times New Roman"/>
                <w:color w:val="000000"/>
                <w:sz w:val="22"/>
                <w:szCs w:val="22"/>
                <w:lang w:eastAsia="lv-LV"/>
              </w:rPr>
              <w:t>103 193</w:t>
            </w:r>
          </w:p>
        </w:tc>
        <w:tc>
          <w:tcPr>
            <w:tcW w:w="463" w:type="pct"/>
            <w:shd w:val="clear" w:color="auto" w:fill="auto"/>
            <w:noWrap/>
            <w:vAlign w:val="center"/>
            <w:hideMark/>
          </w:tcPr>
          <w:p w:rsidR="0067497B" w:rsidRPr="00D043A6" w:rsidRDefault="0067497B" w:rsidP="002954E7">
            <w:pPr>
              <w:jc w:val="right"/>
              <w:rPr>
                <w:rFonts w:eastAsia="Times New Roman"/>
                <w:color w:val="000000"/>
                <w:sz w:val="24"/>
                <w:szCs w:val="22"/>
                <w:lang w:eastAsia="lv-LV"/>
              </w:rPr>
            </w:pPr>
            <w:r w:rsidRPr="00D043A6">
              <w:rPr>
                <w:rFonts w:eastAsia="Times New Roman"/>
                <w:color w:val="000000"/>
                <w:sz w:val="24"/>
                <w:szCs w:val="22"/>
                <w:lang w:eastAsia="lv-LV"/>
              </w:rPr>
              <w:t>244</w:t>
            </w:r>
          </w:p>
        </w:tc>
        <w:tc>
          <w:tcPr>
            <w:tcW w:w="695" w:type="pct"/>
            <w:shd w:val="clear" w:color="auto" w:fill="F2F2F2" w:themeFill="background1" w:themeFillShade="F2"/>
            <w:vAlign w:val="center"/>
          </w:tcPr>
          <w:p w:rsidR="0067497B" w:rsidRPr="00D043A6" w:rsidRDefault="00E249F4" w:rsidP="00E249F4">
            <w:pPr>
              <w:jc w:val="center"/>
              <w:rPr>
                <w:rFonts w:eastAsia="Times New Roman"/>
                <w:color w:val="000000"/>
                <w:sz w:val="22"/>
                <w:szCs w:val="22"/>
                <w:lang w:eastAsia="lv-LV"/>
              </w:rPr>
            </w:pPr>
            <w:r w:rsidRPr="00D043A6">
              <w:rPr>
                <w:iCs/>
                <w:sz w:val="22"/>
                <w:szCs w:val="24"/>
              </w:rPr>
              <w:t>123 026</w:t>
            </w:r>
          </w:p>
        </w:tc>
        <w:tc>
          <w:tcPr>
            <w:tcW w:w="539" w:type="pct"/>
            <w:vAlign w:val="center"/>
          </w:tcPr>
          <w:p w:rsidR="0067497B" w:rsidRPr="00D043A6" w:rsidRDefault="0067497B" w:rsidP="002954E7">
            <w:pPr>
              <w:jc w:val="right"/>
              <w:rPr>
                <w:rFonts w:eastAsia="Times New Roman"/>
                <w:color w:val="000000"/>
                <w:sz w:val="24"/>
                <w:szCs w:val="22"/>
                <w:lang w:eastAsia="lv-LV"/>
              </w:rPr>
            </w:pPr>
            <w:r w:rsidRPr="00D043A6">
              <w:rPr>
                <w:rFonts w:eastAsia="Times New Roman"/>
                <w:color w:val="000000"/>
                <w:sz w:val="24"/>
                <w:szCs w:val="22"/>
                <w:lang w:eastAsia="lv-LV"/>
              </w:rPr>
              <w:t>348</w:t>
            </w:r>
          </w:p>
        </w:tc>
        <w:tc>
          <w:tcPr>
            <w:tcW w:w="829" w:type="pct"/>
            <w:shd w:val="clear" w:color="auto" w:fill="F2F2F2" w:themeFill="background1" w:themeFillShade="F2"/>
            <w:vAlign w:val="center"/>
          </w:tcPr>
          <w:p w:rsidR="0067497B" w:rsidRPr="00D043A6" w:rsidRDefault="002954E7" w:rsidP="00E249F4">
            <w:pPr>
              <w:jc w:val="center"/>
              <w:rPr>
                <w:rFonts w:eastAsia="Times New Roman"/>
                <w:color w:val="000000"/>
                <w:sz w:val="22"/>
                <w:szCs w:val="22"/>
                <w:lang w:eastAsia="lv-LV"/>
              </w:rPr>
            </w:pPr>
            <w:r w:rsidRPr="00D043A6">
              <w:rPr>
                <w:iCs/>
                <w:sz w:val="22"/>
                <w:szCs w:val="24"/>
              </w:rPr>
              <w:t>226 218</w:t>
            </w:r>
          </w:p>
        </w:tc>
      </w:tr>
      <w:tr w:rsidR="00E249F4" w:rsidRPr="00D043A6" w:rsidTr="002954E7">
        <w:trPr>
          <w:trHeight w:val="300"/>
        </w:trPr>
        <w:tc>
          <w:tcPr>
            <w:tcW w:w="1317" w:type="pct"/>
            <w:shd w:val="clear" w:color="auto" w:fill="auto"/>
            <w:noWrap/>
            <w:vAlign w:val="bottom"/>
            <w:hideMark/>
          </w:tcPr>
          <w:p w:rsidR="0067497B" w:rsidRPr="00D043A6" w:rsidRDefault="0067497B" w:rsidP="00C37142">
            <w:pPr>
              <w:rPr>
                <w:rFonts w:eastAsia="Times New Roman"/>
                <w:color w:val="000000"/>
                <w:sz w:val="24"/>
                <w:szCs w:val="22"/>
                <w:lang w:eastAsia="lv-LV"/>
              </w:rPr>
            </w:pPr>
            <w:r w:rsidRPr="00D043A6">
              <w:rPr>
                <w:rFonts w:eastAsia="Times New Roman"/>
                <w:color w:val="000000"/>
                <w:sz w:val="24"/>
                <w:szCs w:val="22"/>
                <w:lang w:eastAsia="lv-LV"/>
              </w:rPr>
              <w:t>Sakaru ēkas, stacijas, termināļi un ar tiem saistītās ēkas</w:t>
            </w:r>
          </w:p>
        </w:tc>
        <w:tc>
          <w:tcPr>
            <w:tcW w:w="463" w:type="pct"/>
            <w:vAlign w:val="center"/>
          </w:tcPr>
          <w:p w:rsidR="0067497B" w:rsidRPr="00D043A6" w:rsidRDefault="0067497B" w:rsidP="002954E7">
            <w:pPr>
              <w:jc w:val="right"/>
              <w:rPr>
                <w:rFonts w:eastAsia="Times New Roman"/>
                <w:color w:val="000000"/>
                <w:sz w:val="24"/>
                <w:szCs w:val="22"/>
                <w:lang w:eastAsia="lv-LV"/>
              </w:rPr>
            </w:pPr>
            <w:r w:rsidRPr="00D043A6">
              <w:rPr>
                <w:rFonts w:eastAsia="Times New Roman"/>
                <w:color w:val="000000"/>
                <w:sz w:val="24"/>
                <w:szCs w:val="22"/>
                <w:lang w:eastAsia="lv-LV"/>
              </w:rPr>
              <w:t>86</w:t>
            </w:r>
          </w:p>
        </w:tc>
        <w:tc>
          <w:tcPr>
            <w:tcW w:w="694" w:type="pct"/>
            <w:shd w:val="clear" w:color="auto" w:fill="F2F2F2" w:themeFill="background1" w:themeFillShade="F2"/>
            <w:vAlign w:val="center"/>
          </w:tcPr>
          <w:p w:rsidR="0067497B" w:rsidRPr="00D043A6" w:rsidRDefault="00E249F4" w:rsidP="00E249F4">
            <w:pPr>
              <w:jc w:val="center"/>
              <w:rPr>
                <w:rFonts w:eastAsia="Times New Roman"/>
                <w:color w:val="000000"/>
                <w:sz w:val="22"/>
                <w:szCs w:val="22"/>
                <w:lang w:eastAsia="lv-LV"/>
              </w:rPr>
            </w:pPr>
            <w:r w:rsidRPr="00D043A6">
              <w:rPr>
                <w:rFonts w:eastAsia="Times New Roman"/>
                <w:color w:val="000000"/>
                <w:sz w:val="22"/>
                <w:szCs w:val="22"/>
                <w:lang w:eastAsia="lv-LV"/>
              </w:rPr>
              <w:t>25 377</w:t>
            </w:r>
          </w:p>
        </w:tc>
        <w:tc>
          <w:tcPr>
            <w:tcW w:w="463" w:type="pct"/>
            <w:shd w:val="clear" w:color="auto" w:fill="auto"/>
            <w:noWrap/>
            <w:vAlign w:val="center"/>
            <w:hideMark/>
          </w:tcPr>
          <w:p w:rsidR="0067497B" w:rsidRPr="00D043A6" w:rsidRDefault="0067497B" w:rsidP="002954E7">
            <w:pPr>
              <w:jc w:val="right"/>
              <w:rPr>
                <w:rFonts w:eastAsia="Times New Roman"/>
                <w:color w:val="000000"/>
                <w:sz w:val="24"/>
                <w:szCs w:val="22"/>
                <w:lang w:eastAsia="lv-LV"/>
              </w:rPr>
            </w:pPr>
            <w:r w:rsidRPr="00D043A6">
              <w:rPr>
                <w:rFonts w:eastAsia="Times New Roman"/>
                <w:color w:val="000000"/>
                <w:sz w:val="24"/>
                <w:szCs w:val="22"/>
                <w:lang w:eastAsia="lv-LV"/>
              </w:rPr>
              <w:t>127</w:t>
            </w:r>
          </w:p>
        </w:tc>
        <w:tc>
          <w:tcPr>
            <w:tcW w:w="695" w:type="pct"/>
            <w:shd w:val="clear" w:color="auto" w:fill="F2F2F2" w:themeFill="background1" w:themeFillShade="F2"/>
            <w:vAlign w:val="center"/>
          </w:tcPr>
          <w:p w:rsidR="0067497B" w:rsidRPr="00D043A6" w:rsidRDefault="00E249F4" w:rsidP="00E249F4">
            <w:pPr>
              <w:jc w:val="center"/>
              <w:rPr>
                <w:rFonts w:eastAsia="Times New Roman"/>
                <w:color w:val="000000"/>
                <w:sz w:val="22"/>
                <w:szCs w:val="22"/>
                <w:lang w:eastAsia="lv-LV"/>
              </w:rPr>
            </w:pPr>
            <w:r w:rsidRPr="00D043A6">
              <w:rPr>
                <w:iCs/>
                <w:sz w:val="22"/>
                <w:szCs w:val="24"/>
              </w:rPr>
              <w:t>33 701</w:t>
            </w:r>
          </w:p>
        </w:tc>
        <w:tc>
          <w:tcPr>
            <w:tcW w:w="539" w:type="pct"/>
            <w:vAlign w:val="center"/>
          </w:tcPr>
          <w:p w:rsidR="0067497B" w:rsidRPr="00D043A6" w:rsidRDefault="0067497B" w:rsidP="002954E7">
            <w:pPr>
              <w:jc w:val="right"/>
              <w:rPr>
                <w:rFonts w:eastAsia="Times New Roman"/>
                <w:color w:val="000000"/>
                <w:sz w:val="24"/>
                <w:szCs w:val="22"/>
                <w:lang w:eastAsia="lv-LV"/>
              </w:rPr>
            </w:pPr>
            <w:r w:rsidRPr="00D043A6">
              <w:rPr>
                <w:rFonts w:eastAsia="Times New Roman"/>
                <w:color w:val="000000"/>
                <w:sz w:val="24"/>
                <w:szCs w:val="22"/>
                <w:lang w:eastAsia="lv-LV"/>
              </w:rPr>
              <w:t>213</w:t>
            </w:r>
          </w:p>
        </w:tc>
        <w:tc>
          <w:tcPr>
            <w:tcW w:w="829" w:type="pct"/>
            <w:shd w:val="clear" w:color="auto" w:fill="F2F2F2" w:themeFill="background1" w:themeFillShade="F2"/>
            <w:vAlign w:val="center"/>
          </w:tcPr>
          <w:p w:rsidR="0067497B" w:rsidRPr="00D043A6" w:rsidRDefault="002954E7" w:rsidP="002954E7">
            <w:pPr>
              <w:jc w:val="center"/>
              <w:rPr>
                <w:rFonts w:eastAsia="Times New Roman"/>
                <w:color w:val="000000"/>
                <w:sz w:val="22"/>
                <w:szCs w:val="22"/>
                <w:lang w:eastAsia="lv-LV"/>
              </w:rPr>
            </w:pPr>
            <w:r w:rsidRPr="00D043A6">
              <w:rPr>
                <w:iCs/>
                <w:sz w:val="22"/>
                <w:szCs w:val="24"/>
              </w:rPr>
              <w:t>59 078</w:t>
            </w:r>
          </w:p>
        </w:tc>
      </w:tr>
      <w:tr w:rsidR="00E249F4" w:rsidRPr="00D043A6" w:rsidTr="002954E7">
        <w:trPr>
          <w:trHeight w:val="315"/>
        </w:trPr>
        <w:tc>
          <w:tcPr>
            <w:tcW w:w="1317" w:type="pct"/>
            <w:shd w:val="clear" w:color="auto" w:fill="auto"/>
            <w:noWrap/>
            <w:vAlign w:val="bottom"/>
            <w:hideMark/>
          </w:tcPr>
          <w:p w:rsidR="0067497B" w:rsidRPr="00D043A6" w:rsidRDefault="0067497B" w:rsidP="00C37142">
            <w:pPr>
              <w:jc w:val="right"/>
              <w:rPr>
                <w:rFonts w:eastAsia="Times New Roman"/>
                <w:b/>
                <w:bCs/>
                <w:color w:val="000000"/>
                <w:sz w:val="24"/>
                <w:szCs w:val="22"/>
                <w:lang w:eastAsia="lv-LV"/>
              </w:rPr>
            </w:pPr>
            <w:r w:rsidRPr="00D043A6">
              <w:rPr>
                <w:rFonts w:eastAsia="Times New Roman"/>
                <w:b/>
                <w:bCs/>
                <w:color w:val="000000"/>
                <w:sz w:val="24"/>
                <w:szCs w:val="22"/>
                <w:lang w:eastAsia="lv-LV"/>
              </w:rPr>
              <w:t>kopā</w:t>
            </w:r>
          </w:p>
        </w:tc>
        <w:tc>
          <w:tcPr>
            <w:tcW w:w="463" w:type="pct"/>
            <w:vAlign w:val="center"/>
          </w:tcPr>
          <w:p w:rsidR="0067497B" w:rsidRPr="00D043A6" w:rsidRDefault="0067497B" w:rsidP="002954E7">
            <w:pPr>
              <w:jc w:val="right"/>
              <w:rPr>
                <w:rFonts w:eastAsia="Times New Roman"/>
                <w:b/>
                <w:bCs/>
                <w:color w:val="000000"/>
                <w:sz w:val="24"/>
                <w:szCs w:val="22"/>
                <w:lang w:eastAsia="lv-LV"/>
              </w:rPr>
            </w:pPr>
            <w:r w:rsidRPr="00D043A6">
              <w:rPr>
                <w:rFonts w:eastAsia="Times New Roman"/>
                <w:b/>
                <w:bCs/>
                <w:color w:val="000000"/>
                <w:sz w:val="24"/>
                <w:szCs w:val="22"/>
                <w:lang w:eastAsia="lv-LV"/>
              </w:rPr>
              <w:t>2174</w:t>
            </w:r>
          </w:p>
        </w:tc>
        <w:tc>
          <w:tcPr>
            <w:tcW w:w="694" w:type="pct"/>
            <w:shd w:val="clear" w:color="auto" w:fill="F2F2F2" w:themeFill="background1" w:themeFillShade="F2"/>
            <w:vAlign w:val="center"/>
          </w:tcPr>
          <w:p w:rsidR="0067497B" w:rsidRPr="00D043A6" w:rsidRDefault="00E249F4" w:rsidP="00E249F4">
            <w:pPr>
              <w:jc w:val="center"/>
              <w:rPr>
                <w:rFonts w:eastAsia="Times New Roman"/>
                <w:b/>
                <w:bCs/>
                <w:color w:val="000000"/>
                <w:sz w:val="22"/>
                <w:szCs w:val="22"/>
                <w:lang w:eastAsia="lv-LV"/>
              </w:rPr>
            </w:pPr>
            <w:r w:rsidRPr="00D043A6">
              <w:rPr>
                <w:rFonts w:eastAsia="Times New Roman"/>
                <w:b/>
                <w:bCs/>
                <w:color w:val="000000"/>
                <w:sz w:val="22"/>
                <w:szCs w:val="22"/>
                <w:lang w:eastAsia="lv-LV"/>
              </w:rPr>
              <w:t>3 333 984</w:t>
            </w:r>
          </w:p>
        </w:tc>
        <w:tc>
          <w:tcPr>
            <w:tcW w:w="463" w:type="pct"/>
            <w:shd w:val="clear" w:color="auto" w:fill="auto"/>
            <w:noWrap/>
            <w:vAlign w:val="center"/>
            <w:hideMark/>
          </w:tcPr>
          <w:p w:rsidR="0067497B" w:rsidRPr="00D043A6" w:rsidRDefault="0067497B" w:rsidP="002954E7">
            <w:pPr>
              <w:jc w:val="right"/>
              <w:rPr>
                <w:rFonts w:eastAsia="Times New Roman"/>
                <w:b/>
                <w:bCs/>
                <w:color w:val="000000"/>
                <w:sz w:val="24"/>
                <w:szCs w:val="22"/>
                <w:lang w:eastAsia="lv-LV"/>
              </w:rPr>
            </w:pPr>
            <w:r w:rsidRPr="00D043A6">
              <w:rPr>
                <w:rFonts w:eastAsia="Times New Roman"/>
                <w:b/>
                <w:bCs/>
                <w:color w:val="000000"/>
                <w:sz w:val="24"/>
                <w:szCs w:val="22"/>
                <w:lang w:eastAsia="lv-LV"/>
              </w:rPr>
              <w:t>4967</w:t>
            </w:r>
          </w:p>
        </w:tc>
        <w:tc>
          <w:tcPr>
            <w:tcW w:w="695" w:type="pct"/>
            <w:shd w:val="clear" w:color="auto" w:fill="F2F2F2" w:themeFill="background1" w:themeFillShade="F2"/>
            <w:vAlign w:val="center"/>
          </w:tcPr>
          <w:p w:rsidR="0067497B" w:rsidRPr="00D043A6" w:rsidRDefault="00E249F4" w:rsidP="00E249F4">
            <w:pPr>
              <w:jc w:val="center"/>
              <w:rPr>
                <w:rFonts w:eastAsia="Times New Roman"/>
                <w:b/>
                <w:bCs/>
                <w:color w:val="000000"/>
                <w:sz w:val="22"/>
                <w:szCs w:val="22"/>
                <w:lang w:eastAsia="lv-LV"/>
              </w:rPr>
            </w:pPr>
            <w:r w:rsidRPr="00D043A6">
              <w:rPr>
                <w:rFonts w:eastAsia="Times New Roman"/>
                <w:b/>
                <w:bCs/>
                <w:color w:val="000000"/>
                <w:sz w:val="22"/>
                <w:szCs w:val="22"/>
                <w:lang w:eastAsia="lv-LV"/>
              </w:rPr>
              <w:t>6 294</w:t>
            </w:r>
            <w:r w:rsidR="002954E7" w:rsidRPr="00D043A6">
              <w:rPr>
                <w:rFonts w:eastAsia="Times New Roman"/>
                <w:b/>
                <w:bCs/>
                <w:color w:val="000000"/>
                <w:sz w:val="22"/>
                <w:szCs w:val="22"/>
                <w:lang w:eastAsia="lv-LV"/>
              </w:rPr>
              <w:t> </w:t>
            </w:r>
            <w:r w:rsidRPr="00D043A6">
              <w:rPr>
                <w:rFonts w:eastAsia="Times New Roman"/>
                <w:b/>
                <w:bCs/>
                <w:color w:val="000000"/>
                <w:sz w:val="22"/>
                <w:szCs w:val="22"/>
                <w:lang w:eastAsia="lv-LV"/>
              </w:rPr>
              <w:t>081</w:t>
            </w:r>
          </w:p>
        </w:tc>
        <w:tc>
          <w:tcPr>
            <w:tcW w:w="539" w:type="pct"/>
            <w:vAlign w:val="center"/>
          </w:tcPr>
          <w:p w:rsidR="0067497B" w:rsidRPr="00D043A6" w:rsidRDefault="0067497B" w:rsidP="002954E7">
            <w:pPr>
              <w:jc w:val="right"/>
              <w:rPr>
                <w:rFonts w:eastAsia="Times New Roman"/>
                <w:b/>
                <w:bCs/>
                <w:color w:val="000000"/>
                <w:sz w:val="24"/>
                <w:szCs w:val="22"/>
                <w:lang w:eastAsia="lv-LV"/>
              </w:rPr>
            </w:pPr>
            <w:r w:rsidRPr="00D043A6">
              <w:rPr>
                <w:rFonts w:eastAsia="Times New Roman"/>
                <w:b/>
                <w:bCs/>
                <w:color w:val="000000"/>
                <w:sz w:val="24"/>
                <w:szCs w:val="22"/>
                <w:lang w:eastAsia="lv-LV"/>
              </w:rPr>
              <w:t>7141</w:t>
            </w:r>
          </w:p>
        </w:tc>
        <w:tc>
          <w:tcPr>
            <w:tcW w:w="829" w:type="pct"/>
            <w:shd w:val="clear" w:color="auto" w:fill="F2F2F2" w:themeFill="background1" w:themeFillShade="F2"/>
            <w:vAlign w:val="center"/>
          </w:tcPr>
          <w:p w:rsidR="0067497B" w:rsidRPr="00D043A6" w:rsidRDefault="002954E7" w:rsidP="00E249F4">
            <w:pPr>
              <w:jc w:val="center"/>
              <w:rPr>
                <w:rFonts w:eastAsia="Times New Roman"/>
                <w:b/>
                <w:bCs/>
                <w:color w:val="000000"/>
                <w:sz w:val="22"/>
                <w:szCs w:val="22"/>
                <w:lang w:eastAsia="lv-LV"/>
              </w:rPr>
            </w:pPr>
            <w:r w:rsidRPr="00D043A6">
              <w:rPr>
                <w:b/>
                <w:iCs/>
                <w:sz w:val="22"/>
                <w:szCs w:val="24"/>
              </w:rPr>
              <w:t>9 628 066</w:t>
            </w:r>
          </w:p>
        </w:tc>
      </w:tr>
    </w:tbl>
    <w:p w:rsidR="00C37142" w:rsidRPr="00D043A6" w:rsidRDefault="00C37142" w:rsidP="00952DAD">
      <w:pPr>
        <w:rPr>
          <w:iCs/>
          <w:sz w:val="24"/>
          <w:szCs w:val="24"/>
        </w:rPr>
      </w:pPr>
    </w:p>
    <w:p w:rsidR="009D6B81" w:rsidRPr="00D043A6" w:rsidRDefault="0058190F" w:rsidP="0058190F">
      <w:pPr>
        <w:ind w:firstLine="720"/>
        <w:jc w:val="both"/>
        <w:rPr>
          <w:sz w:val="24"/>
        </w:rPr>
      </w:pPr>
      <w:r w:rsidRPr="00D043A6">
        <w:rPr>
          <w:sz w:val="24"/>
        </w:rPr>
        <w:lastRenderedPageBreak/>
        <w:t>Apraksts par energoefektivitātes paaugstināšanu valsts iestāžu ēkās sniegts informatīvā ziņojumā „Par energoefektivitātes paaugstināšanu valsts iestādēs”, kas pieņemts zināšanai Ministru kabineta 2011.</w:t>
      </w:r>
      <w:r w:rsidR="002954E7" w:rsidRPr="00D043A6">
        <w:rPr>
          <w:sz w:val="24"/>
        </w:rPr>
        <w:t> </w:t>
      </w:r>
      <w:r w:rsidRPr="00D043A6">
        <w:rPr>
          <w:sz w:val="24"/>
        </w:rPr>
        <w:t>gada 5.</w:t>
      </w:r>
      <w:r w:rsidR="002954E7" w:rsidRPr="00D043A6">
        <w:rPr>
          <w:sz w:val="24"/>
        </w:rPr>
        <w:t> </w:t>
      </w:r>
      <w:r w:rsidRPr="00D043A6">
        <w:rPr>
          <w:sz w:val="24"/>
        </w:rPr>
        <w:t>aprīļa sēdē</w:t>
      </w:r>
      <w:r w:rsidR="009E23FB">
        <w:rPr>
          <w:sz w:val="24"/>
        </w:rPr>
        <w:t xml:space="preserve"> </w:t>
      </w:r>
      <w:r w:rsidR="009E23FB" w:rsidRPr="00D043A6">
        <w:rPr>
          <w:sz w:val="24"/>
        </w:rPr>
        <w:t>(protokola Nr.22 26.§ 2. punkts)</w:t>
      </w:r>
      <w:r w:rsidRPr="00D043A6">
        <w:rPr>
          <w:sz w:val="24"/>
        </w:rPr>
        <w:t>, kurā nolemts</w:t>
      </w:r>
      <w:r w:rsidR="004D73B7" w:rsidRPr="00D043A6">
        <w:rPr>
          <w:sz w:val="24"/>
        </w:rPr>
        <w:t>, ka</w:t>
      </w:r>
      <w:r w:rsidR="009E23FB">
        <w:rPr>
          <w:sz w:val="24"/>
        </w:rPr>
        <w:t xml:space="preserve"> </w:t>
      </w:r>
      <w:r w:rsidRPr="00D043A6">
        <w:rPr>
          <w:sz w:val="24"/>
        </w:rPr>
        <w:t xml:space="preserve">Vides aizsardzības un reģionālās attīstības ministrijai starptautisko līgumu sarunās par noteiktā daudzuma vienību pārdošanu </w:t>
      </w:r>
      <w:r w:rsidR="009E23FB">
        <w:rPr>
          <w:sz w:val="24"/>
        </w:rPr>
        <w:t>jāietver nosacījumi</w:t>
      </w:r>
      <w:r w:rsidRPr="00D043A6">
        <w:rPr>
          <w:sz w:val="24"/>
        </w:rPr>
        <w:t xml:space="preserve"> par finansējuma piesaistīšanu valsts īpašumā esošo ēku, kurās izvietotas valsts pārvaldes vadošās (augstākās) iestādes, energoefektivitātes pasākumu īstenošanai no klimata pārmaiņu finanšu instrumenta līdzekļiem. Informācija par </w:t>
      </w:r>
      <w:r w:rsidR="004D73B7" w:rsidRPr="00D043A6">
        <w:rPr>
          <w:sz w:val="24"/>
        </w:rPr>
        <w:t xml:space="preserve">KPFI pasākumiem sniegta šī ziņojuma </w:t>
      </w:r>
      <w:r w:rsidR="00C44B1A" w:rsidRPr="00D043A6">
        <w:fldChar w:fldCharType="begin"/>
      </w:r>
      <w:r w:rsidR="00C44B1A" w:rsidRPr="00D043A6">
        <w:instrText xml:space="preserve"> REF _Ref328996072 \r \h  \* MERGEFORMAT </w:instrText>
      </w:r>
      <w:r w:rsidR="00C44B1A" w:rsidRPr="00D043A6">
        <w:fldChar w:fldCharType="separate"/>
      </w:r>
      <w:r w:rsidR="005D13C5" w:rsidRPr="005D13C5">
        <w:rPr>
          <w:sz w:val="24"/>
        </w:rPr>
        <w:t>2.3</w:t>
      </w:r>
      <w:r w:rsidR="00C44B1A" w:rsidRPr="00D043A6">
        <w:fldChar w:fldCharType="end"/>
      </w:r>
      <w:r w:rsidR="004D73B7" w:rsidRPr="00D043A6">
        <w:rPr>
          <w:sz w:val="24"/>
        </w:rPr>
        <w:t>. sadaļā.</w:t>
      </w:r>
    </w:p>
    <w:p w:rsidR="00A85FF1" w:rsidRPr="00D043A6" w:rsidRDefault="00A85FF1">
      <w:pPr>
        <w:rPr>
          <w:sz w:val="24"/>
        </w:rPr>
      </w:pPr>
    </w:p>
    <w:p w:rsidR="00A85FF1" w:rsidRPr="00D043A6" w:rsidRDefault="00A85FF1" w:rsidP="00A85FF1">
      <w:pPr>
        <w:pStyle w:val="Heading2"/>
      </w:pPr>
      <w:bookmarkStart w:id="24" w:name="_Ref331685259"/>
      <w:bookmarkStart w:id="25" w:name="_Ref331685261"/>
      <w:bookmarkStart w:id="26" w:name="_Toc353811845"/>
      <w:r w:rsidRPr="00D043A6">
        <w:t>Pasākumi publisko ēku sektorā</w:t>
      </w:r>
      <w:bookmarkEnd w:id="24"/>
      <w:bookmarkEnd w:id="25"/>
      <w:bookmarkEnd w:id="26"/>
    </w:p>
    <w:p w:rsidR="00A85FF1" w:rsidRPr="00D043A6" w:rsidRDefault="00A85FF1" w:rsidP="00A85FF1">
      <w:pPr>
        <w:ind w:firstLine="720"/>
        <w:jc w:val="both"/>
        <w:rPr>
          <w:sz w:val="24"/>
        </w:rPr>
      </w:pPr>
      <w:r w:rsidRPr="00D043A6">
        <w:rPr>
          <w:sz w:val="24"/>
        </w:rPr>
        <w:t>Publisko ēku sektora vadošā loma labā piemēra rādīšanā ēku energoefektivitātes jomā noteikta direktīvā 2010/31/ES</w:t>
      </w:r>
      <w:r w:rsidR="001945FC" w:rsidRPr="00D043A6">
        <w:rPr>
          <w:rStyle w:val="FootnoteReference"/>
          <w:sz w:val="24"/>
        </w:rPr>
        <w:footnoteReference w:id="22"/>
      </w:r>
      <w:r w:rsidRPr="00D043A6">
        <w:rPr>
          <w:sz w:val="24"/>
        </w:rPr>
        <w:t xml:space="preserve"> par ēku energoefektivitāti</w:t>
      </w:r>
      <w:r w:rsidR="00A103BF" w:rsidRPr="00D043A6">
        <w:rPr>
          <w:sz w:val="24"/>
        </w:rPr>
        <w:t xml:space="preserve"> (turpmāk – direktīva 2010/31/ES)</w:t>
      </w:r>
      <w:r w:rsidR="003E4808" w:rsidRPr="00D043A6">
        <w:rPr>
          <w:sz w:val="24"/>
        </w:rPr>
        <w:t xml:space="preserve"> un direktīvas 2012/27/ES</w:t>
      </w:r>
      <w:r w:rsidR="003E4808" w:rsidRPr="00D043A6">
        <w:rPr>
          <w:rStyle w:val="FootnoteReference"/>
          <w:sz w:val="24"/>
        </w:rPr>
        <w:footnoteReference w:id="23"/>
      </w:r>
      <w:r w:rsidR="003E4808" w:rsidRPr="00D043A6">
        <w:rPr>
          <w:sz w:val="24"/>
        </w:rPr>
        <w:t xml:space="preserve"> par energoefektivitāti (turpmāk – direktīva 2012/27/ES) atsevišķos pantos</w:t>
      </w:r>
      <w:r w:rsidRPr="00D043A6">
        <w:rPr>
          <w:sz w:val="24"/>
        </w:rPr>
        <w:t>. Direktīvas 2010/31/ES pamatojuma daļas 21. punktā ir noteikts „Katrā dalībvalstī vadošā loma  ēku energoefektivitātes jomā  būtu jāuzņemas publiskajam sektoram, un tādēļ valsts plānos būtu jānosaka tālejošāki mērķi attiecībā uz  ēkām, ko izmanto valsts iestādes.”</w:t>
      </w:r>
    </w:p>
    <w:p w:rsidR="00A85FF1" w:rsidRPr="00D043A6" w:rsidRDefault="00A85FF1" w:rsidP="00A85FF1">
      <w:pPr>
        <w:ind w:firstLine="720"/>
        <w:jc w:val="both"/>
        <w:rPr>
          <w:sz w:val="24"/>
        </w:rPr>
      </w:pPr>
      <w:r w:rsidRPr="00D043A6">
        <w:rPr>
          <w:sz w:val="24"/>
        </w:rPr>
        <w:t>Direktīvā 2010/31/ES noteiktas prasības attiecībā uz ēku energosertificēšanu, kas ietver ēkas energoefektivitātes novērtēšanu, kā arī rentablu ēkas energoefektivitāti uzlabojošu ieteikumu sagatavošanu. Vispārīgā gadījumā šo ieteikumu īstenošana ir īpašnieka brīva izvēle, taču direktīvas 2010/31/ES pamatojuma 23. un 24. punktā noteikts, ka „Valsts iestādēm būtu jārāda piemērs un jācenšas ieviest energoefektivitātes sertifikātā minētie ieteikumi. Dalībvalstīm savos valsts plānos būtu jāparedz pasākumi valsts iestāžu atbalstam, lai tās būtu vienas no pirmajām, kas veic energoefektivitātes uzlabojumus un ievieš energoefektivitātes sertifikātā minētos ieteikumus, cik drīz vien iespējams. Ēkām, kurās atrodas valsts iestādes, un sabiedrības bieži apmeklētām ēkām vajadzētu būt par paraugu, demonstrējot, ka tiek  ņemti vērā vides aizsardzības un enerģētikas apsvērumi, un tāpēc būtu jāveic šādu  ēku regulāra energosertificēšana. Energoefektivitātes sertifikāti būtu izvietojami redzamā vietā, lai sabiedrība būtu labāk informēta, jo īpaši ēkās, kurās atrodas valsts iestādes vai bieži apmeklētās sabiedriskās vietās. Saskaņā ar Direktīvas 2010/31/ES 12. panta pirmās daļas b) punktu dalībvalstis nodrošina, ka energoefektivitātes sertifikātu izsniedz ēkām, kurās telpas vairāk kā 500 m</w:t>
      </w:r>
      <w:r w:rsidRPr="00D043A6">
        <w:rPr>
          <w:sz w:val="24"/>
          <w:vertAlign w:val="superscript"/>
        </w:rPr>
        <w:t>2</w:t>
      </w:r>
      <w:r w:rsidRPr="00D043A6">
        <w:rPr>
          <w:sz w:val="24"/>
        </w:rPr>
        <w:t xml:space="preserve"> platībā izmanto valsts iestāde un</w:t>
      </w:r>
      <w:r w:rsidR="009E23FB">
        <w:rPr>
          <w:sz w:val="24"/>
        </w:rPr>
        <w:t xml:space="preserve"> kuras</w:t>
      </w:r>
      <w:r w:rsidRPr="00D043A6">
        <w:rPr>
          <w:sz w:val="24"/>
        </w:rPr>
        <w:t xml:space="preserve"> ir sabiedrības bieži apmeklētas. 2015. gada 9. jūlijā šo 500 m</w:t>
      </w:r>
      <w:r w:rsidRPr="00D043A6">
        <w:rPr>
          <w:sz w:val="24"/>
          <w:vertAlign w:val="superscript"/>
        </w:rPr>
        <w:t>2</w:t>
      </w:r>
      <w:r w:rsidRPr="00D043A6">
        <w:rPr>
          <w:sz w:val="24"/>
        </w:rPr>
        <w:t xml:space="preserve"> robežvērtību samazina līdz 250 m</w:t>
      </w:r>
      <w:r w:rsidRPr="00D043A6">
        <w:rPr>
          <w:sz w:val="24"/>
          <w:vertAlign w:val="superscript"/>
        </w:rPr>
        <w:t>2</w:t>
      </w:r>
      <w:r w:rsidRPr="00D043A6">
        <w:rPr>
          <w:sz w:val="24"/>
        </w:rPr>
        <w:t>.</w:t>
      </w:r>
    </w:p>
    <w:p w:rsidR="00A85FF1" w:rsidRPr="00D043A6" w:rsidRDefault="00A85FF1" w:rsidP="00A85FF1">
      <w:pPr>
        <w:ind w:firstLine="720"/>
        <w:jc w:val="both"/>
        <w:rPr>
          <w:sz w:val="24"/>
        </w:rPr>
      </w:pPr>
      <w:r w:rsidRPr="00D043A6">
        <w:rPr>
          <w:sz w:val="24"/>
        </w:rPr>
        <w:t xml:space="preserve">Direktīvas 2010/31/ES prasības ir </w:t>
      </w:r>
      <w:r w:rsidR="0095242F" w:rsidRPr="00D043A6">
        <w:rPr>
          <w:sz w:val="24"/>
        </w:rPr>
        <w:t>daļēji pārņemtas ar 2012. gada</w:t>
      </w:r>
      <w:r w:rsidR="00367ECA" w:rsidRPr="00D043A6">
        <w:rPr>
          <w:sz w:val="24"/>
        </w:rPr>
        <w:t xml:space="preserve"> 6. decembra likumu</w:t>
      </w:r>
      <w:r w:rsidR="0095242F" w:rsidRPr="00D043A6">
        <w:rPr>
          <w:sz w:val="24"/>
        </w:rPr>
        <w:t xml:space="preserve"> </w:t>
      </w:r>
      <w:r w:rsidRPr="00D043A6">
        <w:rPr>
          <w:sz w:val="24"/>
        </w:rPr>
        <w:t>„Ēku energoefektivitātes likums”</w:t>
      </w:r>
      <w:r w:rsidR="00367ECA" w:rsidRPr="00D043A6">
        <w:rPr>
          <w:sz w:val="24"/>
        </w:rPr>
        <w:t>, kas</w:t>
      </w:r>
      <w:r w:rsidRPr="00D043A6">
        <w:rPr>
          <w:sz w:val="24"/>
        </w:rPr>
        <w:t xml:space="preserve"> </w:t>
      </w:r>
      <w:r w:rsidR="00367ECA" w:rsidRPr="00D043A6">
        <w:rPr>
          <w:sz w:val="24"/>
        </w:rPr>
        <w:t xml:space="preserve">aizstāj </w:t>
      </w:r>
      <w:r w:rsidRPr="00D043A6">
        <w:rPr>
          <w:sz w:val="24"/>
        </w:rPr>
        <w:t xml:space="preserve">2008. gada 13. marta likumu. </w:t>
      </w:r>
      <w:r w:rsidR="00367ECA" w:rsidRPr="00D043A6">
        <w:rPr>
          <w:sz w:val="24"/>
        </w:rPr>
        <w:t xml:space="preserve">Jaunais </w:t>
      </w:r>
      <w:r w:rsidRPr="00D043A6">
        <w:rPr>
          <w:sz w:val="24"/>
        </w:rPr>
        <w:t xml:space="preserve">Ēku energoefektivitātes likums </w:t>
      </w:r>
      <w:r w:rsidR="009E23FB">
        <w:rPr>
          <w:sz w:val="24"/>
        </w:rPr>
        <w:t>stājā</w:t>
      </w:r>
      <w:r w:rsidR="00367ECA" w:rsidRPr="00D043A6">
        <w:rPr>
          <w:sz w:val="24"/>
        </w:rPr>
        <w:t xml:space="preserve">s </w:t>
      </w:r>
      <w:r w:rsidRPr="00D043A6">
        <w:rPr>
          <w:sz w:val="24"/>
        </w:rPr>
        <w:t>spēkā 2013. gada 9. janvārī.</w:t>
      </w:r>
      <w:r w:rsidR="00367ECA" w:rsidRPr="00D043A6">
        <w:rPr>
          <w:sz w:val="24"/>
        </w:rPr>
        <w:t xml:space="preserve"> Likuma izpildei nepieciešamos Ministru kabineta noteikumus </w:t>
      </w:r>
      <w:r w:rsidR="00D918A5" w:rsidRPr="00D043A6">
        <w:rPr>
          <w:sz w:val="24"/>
        </w:rPr>
        <w:t>plānots</w:t>
      </w:r>
      <w:r w:rsidR="00367ECA" w:rsidRPr="00D043A6">
        <w:rPr>
          <w:sz w:val="24"/>
        </w:rPr>
        <w:t xml:space="preserve"> apstiprināt līdz 2013. gada 30. jūnijam.</w:t>
      </w:r>
      <w:r w:rsidRPr="00D043A6">
        <w:rPr>
          <w:sz w:val="24"/>
        </w:rPr>
        <w:t xml:space="preserve"> </w:t>
      </w:r>
    </w:p>
    <w:p w:rsidR="00A85FF1" w:rsidRPr="00D043A6" w:rsidRDefault="00A85FF1" w:rsidP="00A85FF1">
      <w:pPr>
        <w:ind w:firstLine="720"/>
        <w:jc w:val="both"/>
        <w:rPr>
          <w:sz w:val="24"/>
        </w:rPr>
      </w:pPr>
      <w:r w:rsidRPr="00D043A6">
        <w:rPr>
          <w:sz w:val="24"/>
        </w:rPr>
        <w:t>Prasība izsniegt ēkas energosertifikātu valstij un pašvaldībām piederošām ekspluatējamām publiskām ēkām, kuru platība pārsniedz 250 m</w:t>
      </w:r>
      <w:r w:rsidRPr="00D043A6">
        <w:rPr>
          <w:sz w:val="24"/>
          <w:vertAlign w:val="superscript"/>
        </w:rPr>
        <w:t>2</w:t>
      </w:r>
      <w:r w:rsidRPr="00D043A6">
        <w:rPr>
          <w:sz w:val="24"/>
        </w:rPr>
        <w:t>, attiecināma uz 8250 (2250 valsts, 6000 pašvaldību) ēkām, no tām divām trešdaļām ēku platība pārsniedz 500 kvadrātmetrus, t.i.</w:t>
      </w:r>
      <w:r w:rsidR="009E23FB">
        <w:rPr>
          <w:sz w:val="24"/>
        </w:rPr>
        <w:t>,</w:t>
      </w:r>
      <w:r w:rsidRPr="00D043A6">
        <w:rPr>
          <w:sz w:val="24"/>
        </w:rPr>
        <w:t xml:space="preserve"> šīs ēkas jāsertificē līdz 2015. gada 9. jūlijam, attiecīgi 1500 valsts ēkas un 4000 pašvaldību ēkas. Viena ēkas energosertifikāta izmaksas ir no 250 līdz 500 Ls.</w:t>
      </w:r>
    </w:p>
    <w:p w:rsidR="00A85FF1" w:rsidRPr="00D043A6" w:rsidRDefault="00A85FF1" w:rsidP="00A85FF1">
      <w:pPr>
        <w:ind w:firstLine="720"/>
        <w:jc w:val="both"/>
        <w:rPr>
          <w:sz w:val="24"/>
        </w:rPr>
      </w:pPr>
      <w:r w:rsidRPr="00D043A6">
        <w:rPr>
          <w:sz w:val="24"/>
        </w:rPr>
        <w:lastRenderedPageBreak/>
        <w:t>Pieņemot</w:t>
      </w:r>
      <w:r w:rsidR="009E23FB">
        <w:rPr>
          <w:sz w:val="24"/>
        </w:rPr>
        <w:t>, ka</w:t>
      </w:r>
      <w:r w:rsidRPr="00D043A6">
        <w:rPr>
          <w:sz w:val="24"/>
        </w:rPr>
        <w:t xml:space="preserve"> viena sertifikāta sagatavošanas izmaksas </w:t>
      </w:r>
      <w:r w:rsidR="009E23FB">
        <w:rPr>
          <w:sz w:val="24"/>
        </w:rPr>
        <w:t>ir</w:t>
      </w:r>
      <w:r w:rsidR="00325877">
        <w:rPr>
          <w:sz w:val="24"/>
        </w:rPr>
        <w:t xml:space="preserve"> </w:t>
      </w:r>
      <w:r w:rsidRPr="00D043A6">
        <w:rPr>
          <w:sz w:val="24"/>
        </w:rPr>
        <w:t>375 Ls, līdz 2015. gada 9. jūlijam valsts un pašvaldību ēku energosertifikācijas kopējās izmaksas ir 2.1 miljons latu. Valsts un pašvaldību ēku energosertifikācija būtu jānodrošina ministrijām un citām centrālām budžeta iestādēm un pašvaldībām piešķirto valsts budžeta līdzekļu ietvaros, neprasot papildu līdzekļus. Līdzekļu ekonomija būs iespējama</w:t>
      </w:r>
      <w:r w:rsidR="009E23FB">
        <w:rPr>
          <w:sz w:val="24"/>
        </w:rPr>
        <w:t>,</w:t>
      </w:r>
      <w:r w:rsidRPr="00D043A6">
        <w:rPr>
          <w:sz w:val="24"/>
        </w:rPr>
        <w:t xml:space="preserve"> realizējot konkrētās ēkas energosertifikātā pielikumā norādītos ekonomiski pamatotos energoefektivitāti uzlabojošus pasākumus, kuru realizācijas izmaksas ir rentablas paredzamajā (plānotajā) kalpošanas laikā.</w:t>
      </w:r>
    </w:p>
    <w:p w:rsidR="00A85FF1" w:rsidRPr="00D043A6" w:rsidRDefault="00A85FF1" w:rsidP="00A85FF1">
      <w:pPr>
        <w:rPr>
          <w:sz w:val="24"/>
        </w:rPr>
      </w:pPr>
    </w:p>
    <w:p w:rsidR="00A85FF1" w:rsidRPr="00D043A6" w:rsidRDefault="00A85FF1" w:rsidP="00A85FF1">
      <w:pPr>
        <w:ind w:firstLine="720"/>
        <w:jc w:val="both"/>
        <w:rPr>
          <w:sz w:val="24"/>
        </w:rPr>
      </w:pPr>
      <w:r w:rsidRPr="00D043A6">
        <w:rPr>
          <w:sz w:val="24"/>
        </w:rPr>
        <w:t>Vidējā termiņā jauns izaicinājums ne tikai Latvijai, bet arī visai Eiropai ir direktīvas 2010/31/ES noteikumi par gandrīz nulles enerģijas ēk</w:t>
      </w:r>
      <w:r w:rsidR="00693375" w:rsidRPr="00D043A6">
        <w:rPr>
          <w:sz w:val="24"/>
        </w:rPr>
        <w:t>ām</w:t>
      </w:r>
      <w:r w:rsidR="003A1288" w:rsidRPr="00D043A6">
        <w:rPr>
          <w:rStyle w:val="FootnoteReference"/>
          <w:sz w:val="24"/>
        </w:rPr>
        <w:footnoteReference w:id="24"/>
      </w:r>
      <w:r w:rsidR="00693375" w:rsidRPr="00D043A6">
        <w:rPr>
          <w:sz w:val="24"/>
        </w:rPr>
        <w:t>, kas piemērojami gan attiecībā uz jaunu ēku</w:t>
      </w:r>
      <w:r w:rsidRPr="00D043A6">
        <w:rPr>
          <w:sz w:val="24"/>
        </w:rPr>
        <w:t xml:space="preserve"> būvniecību</w:t>
      </w:r>
      <w:r w:rsidR="00693375" w:rsidRPr="00D043A6">
        <w:rPr>
          <w:sz w:val="24"/>
        </w:rPr>
        <w:t>, gan arī uz esošu ēku re</w:t>
      </w:r>
      <w:r w:rsidR="00E27C0E" w:rsidRPr="00D043A6">
        <w:rPr>
          <w:sz w:val="24"/>
        </w:rPr>
        <w:t>k</w:t>
      </w:r>
      <w:r w:rsidR="00693375" w:rsidRPr="00D043A6">
        <w:rPr>
          <w:sz w:val="24"/>
        </w:rPr>
        <w:t>onstrukciju</w:t>
      </w:r>
      <w:r w:rsidR="00E27C0E" w:rsidRPr="00D043A6">
        <w:rPr>
          <w:sz w:val="24"/>
        </w:rPr>
        <w:t xml:space="preserve">, </w:t>
      </w:r>
      <w:r w:rsidR="005645FF" w:rsidRPr="00D043A6">
        <w:rPr>
          <w:sz w:val="24"/>
        </w:rPr>
        <w:t>turklāt no dalībvalstīm tiek prasīta mērķtiecīga politika gandrīz nulles enerģijas ēku skaita palielināšanai.</w:t>
      </w:r>
    </w:p>
    <w:p w:rsidR="00A85FF1" w:rsidRPr="00D043A6" w:rsidRDefault="00A85FF1" w:rsidP="00A85FF1">
      <w:pPr>
        <w:ind w:firstLine="720"/>
        <w:jc w:val="both"/>
        <w:rPr>
          <w:sz w:val="24"/>
        </w:rPr>
      </w:pPr>
      <w:r w:rsidRPr="00D043A6">
        <w:rPr>
          <w:sz w:val="24"/>
        </w:rPr>
        <w:t>Saskaņā ar direktīvas 2010/31/ES 9. pantu dalībvalstis nodrošina, lai gandrīz nulles enerģijas ēkas būtu: no 2019. gada jaunās ēk</w:t>
      </w:r>
      <w:r w:rsidR="009E23FB">
        <w:rPr>
          <w:sz w:val="24"/>
        </w:rPr>
        <w:t>a</w:t>
      </w:r>
      <w:r w:rsidRPr="00D043A6">
        <w:rPr>
          <w:sz w:val="24"/>
        </w:rPr>
        <w:t>s, kurās atrodas valsts iestādes un kuru  īpašnieces ir valsts iestādes, no 2021. gada – visas jaunās ēkas. Šo prasības izpildei jau tagad dalībvalstīm jāizstrādā valsts plāni, kuros jānosaka, kā palielināt gandrīz nulles enerģijas ēku skaitu. Turklāt dalībvalstis, ņemot vērā valsts sektora labo piemēru, izstrādā politikas jomas un īsteno pasākumus, piemēram, mērķu noteikšanu, lai veicinātu, ka ēkas atjaunojot pārveido par gandrīz nulles enerģijas patēriņa ēkām.</w:t>
      </w:r>
    </w:p>
    <w:p w:rsidR="00A85FF1" w:rsidRPr="00D043A6" w:rsidRDefault="00A85FF1" w:rsidP="00A85FF1">
      <w:pPr>
        <w:ind w:firstLine="720"/>
        <w:jc w:val="both"/>
        <w:rPr>
          <w:sz w:val="24"/>
        </w:rPr>
      </w:pPr>
      <w:r w:rsidRPr="00D043A6">
        <w:rPr>
          <w:sz w:val="24"/>
        </w:rPr>
        <w:t>Vienlaikus jānorāda uz būtisku atrunu direktīvas 2010/31/ES 9. pant</w:t>
      </w:r>
      <w:r w:rsidR="009E23FB">
        <w:rPr>
          <w:sz w:val="24"/>
        </w:rPr>
        <w:t>a sestajā daļā, saskaņā ar kuru</w:t>
      </w:r>
      <w:r w:rsidRPr="00D043A6">
        <w:rPr>
          <w:sz w:val="24"/>
        </w:rPr>
        <w:t xml:space="preserve"> dalībvalstis var nolemt nepiemērot prasības par gandrīz nulles enerģijas ēku būvniecību konkrētos un pamatotos gadījumos, ja izmaksu un ieguvumu analīze attiecībā uz  ēkas kalpošanas laiku norāda uz zaudējumiem. </w:t>
      </w:r>
    </w:p>
    <w:p w:rsidR="00A85FF1" w:rsidRPr="00D043A6" w:rsidRDefault="00A85FF1" w:rsidP="00A85FF1">
      <w:pPr>
        <w:ind w:firstLine="720"/>
        <w:jc w:val="both"/>
        <w:rPr>
          <w:sz w:val="20"/>
        </w:rPr>
      </w:pPr>
      <w:r w:rsidRPr="00D043A6">
        <w:rPr>
          <w:sz w:val="24"/>
        </w:rPr>
        <w:t>Šajā sadaļā minēto direktīvas 2010/</w:t>
      </w:r>
      <w:r w:rsidR="009E23FB">
        <w:rPr>
          <w:sz w:val="24"/>
        </w:rPr>
        <w:t>31/ES prasību sekmīgai izpildei</w:t>
      </w:r>
      <w:r w:rsidRPr="00D043A6">
        <w:rPr>
          <w:sz w:val="24"/>
        </w:rPr>
        <w:t xml:space="preserve"> būtiski ir gan nākamajā </w:t>
      </w:r>
      <w:r w:rsidRPr="00D043A6">
        <w:rPr>
          <w:sz w:val="24"/>
          <w:szCs w:val="23"/>
        </w:rPr>
        <w:t>2014. – 2020. gada plānošanas perioda programmās, gan ikgadējos valsts un pašvaldību budžetos paredzēt attiecīgus finanšu līdzekļus.</w:t>
      </w:r>
    </w:p>
    <w:p w:rsidR="00BC6D5B" w:rsidRPr="00D043A6" w:rsidRDefault="00A85FF1" w:rsidP="00BC6D5B">
      <w:pPr>
        <w:ind w:firstLine="720"/>
        <w:jc w:val="both"/>
        <w:rPr>
          <w:sz w:val="24"/>
        </w:rPr>
      </w:pPr>
      <w:r w:rsidRPr="00D043A6">
        <w:rPr>
          <w:sz w:val="24"/>
        </w:rPr>
        <w:t>Papildus minētajām direktīvas 2010/31/ES prasībām jāņem vērā</w:t>
      </w:r>
      <w:r w:rsidR="00D918A5">
        <w:rPr>
          <w:sz w:val="24"/>
        </w:rPr>
        <w:t xml:space="preserve"> </w:t>
      </w:r>
      <w:r w:rsidRPr="00D043A6">
        <w:rPr>
          <w:sz w:val="24"/>
        </w:rPr>
        <w:t>Direktīva</w:t>
      </w:r>
      <w:r w:rsidR="003E4808" w:rsidRPr="00D043A6">
        <w:rPr>
          <w:sz w:val="24"/>
        </w:rPr>
        <w:t>s</w:t>
      </w:r>
      <w:r w:rsidRPr="00D043A6">
        <w:rPr>
          <w:sz w:val="24"/>
        </w:rPr>
        <w:t xml:space="preserve"> </w:t>
      </w:r>
      <w:r w:rsidR="00367ECA" w:rsidRPr="00D043A6">
        <w:rPr>
          <w:sz w:val="24"/>
        </w:rPr>
        <w:t xml:space="preserve">2012/27/ES </w:t>
      </w:r>
      <w:r w:rsidRPr="00D043A6">
        <w:rPr>
          <w:sz w:val="24"/>
        </w:rPr>
        <w:t>par energoefektivitāti</w:t>
      </w:r>
      <w:r w:rsidR="003E4808" w:rsidRPr="00D043A6">
        <w:rPr>
          <w:sz w:val="24"/>
        </w:rPr>
        <w:t xml:space="preserve"> prasības attiecībā uz ēkām</w:t>
      </w:r>
      <w:r w:rsidR="00F46407">
        <w:rPr>
          <w:sz w:val="24"/>
        </w:rPr>
        <w:t xml:space="preserve"> –</w:t>
      </w:r>
      <w:r w:rsidRPr="00D043A6">
        <w:rPr>
          <w:sz w:val="24"/>
        </w:rPr>
        <w:t xml:space="preserve"> </w:t>
      </w:r>
      <w:r w:rsidR="00F46407">
        <w:rPr>
          <w:sz w:val="24"/>
        </w:rPr>
        <w:t>s</w:t>
      </w:r>
      <w:r w:rsidRPr="00D043A6">
        <w:rPr>
          <w:sz w:val="24"/>
        </w:rPr>
        <w:t>askaņā</w:t>
      </w:r>
      <w:r w:rsidR="00F46407">
        <w:rPr>
          <w:sz w:val="24"/>
        </w:rPr>
        <w:t xml:space="preserve"> </w:t>
      </w:r>
      <w:r w:rsidRPr="00D043A6">
        <w:rPr>
          <w:sz w:val="24"/>
        </w:rPr>
        <w:t xml:space="preserve">ar </w:t>
      </w:r>
      <w:r w:rsidR="00EE1165" w:rsidRPr="00D043A6">
        <w:rPr>
          <w:sz w:val="24"/>
        </w:rPr>
        <w:t>Direktīva</w:t>
      </w:r>
      <w:r w:rsidR="00F46407">
        <w:rPr>
          <w:sz w:val="24"/>
        </w:rPr>
        <w:t>s</w:t>
      </w:r>
      <w:r w:rsidR="00EE1165" w:rsidRPr="00D043A6">
        <w:rPr>
          <w:sz w:val="24"/>
        </w:rPr>
        <w:t xml:space="preserve"> 2012/27/ES </w:t>
      </w:r>
      <w:r w:rsidRPr="00D043A6">
        <w:rPr>
          <w:sz w:val="24"/>
        </w:rPr>
        <w:t xml:space="preserve">4. pantu </w:t>
      </w:r>
      <w:r w:rsidR="00BC6D5B" w:rsidRPr="00D043A6">
        <w:rPr>
          <w:sz w:val="24"/>
        </w:rPr>
        <w:t xml:space="preserve">dalībvalstis izstrādā ilgtermiņa stratēģiju, lai mobilizētu ieguldījumus gan valsts, gan privāto dzīvojamo ēku un komercplatību fonda renovācijā. Šajā stratēģijā iekļauj: </w:t>
      </w:r>
    </w:p>
    <w:p w:rsidR="00BC6D5B" w:rsidRPr="00D043A6" w:rsidRDefault="00BC6D5B" w:rsidP="00BC6D5B">
      <w:pPr>
        <w:ind w:firstLine="720"/>
        <w:jc w:val="both"/>
        <w:rPr>
          <w:sz w:val="24"/>
        </w:rPr>
      </w:pPr>
      <w:r w:rsidRPr="00D043A6">
        <w:rPr>
          <w:sz w:val="24"/>
        </w:rPr>
        <w:t xml:space="preserve">a) pārskatu par valsts ēku fondu; </w:t>
      </w:r>
    </w:p>
    <w:p w:rsidR="00BC6D5B" w:rsidRPr="00D043A6" w:rsidRDefault="00BC6D5B" w:rsidP="00BC6D5B">
      <w:pPr>
        <w:ind w:firstLine="720"/>
        <w:jc w:val="both"/>
        <w:rPr>
          <w:sz w:val="24"/>
        </w:rPr>
      </w:pPr>
      <w:r w:rsidRPr="00D043A6">
        <w:rPr>
          <w:sz w:val="24"/>
        </w:rPr>
        <w:t xml:space="preserve">b) </w:t>
      </w:r>
      <w:r w:rsidR="00506639" w:rsidRPr="00D043A6">
        <w:rPr>
          <w:sz w:val="24"/>
        </w:rPr>
        <w:t>rentablu (</w:t>
      </w:r>
      <w:r w:rsidRPr="00D043A6">
        <w:rPr>
          <w:sz w:val="24"/>
        </w:rPr>
        <w:t>izmaksu efektīvu</w:t>
      </w:r>
      <w:r w:rsidR="00506639" w:rsidRPr="00D043A6">
        <w:rPr>
          <w:sz w:val="24"/>
        </w:rPr>
        <w:t xml:space="preserve">) </w:t>
      </w:r>
      <w:r w:rsidRPr="00D043A6">
        <w:rPr>
          <w:sz w:val="24"/>
        </w:rPr>
        <w:t>renovācijas</w:t>
      </w:r>
      <w:r w:rsidR="00506639" w:rsidRPr="00D043A6">
        <w:rPr>
          <w:sz w:val="24"/>
        </w:rPr>
        <w:t xml:space="preserve"> pasākumu</w:t>
      </w:r>
      <w:r w:rsidRPr="00D043A6">
        <w:rPr>
          <w:sz w:val="24"/>
        </w:rPr>
        <w:t xml:space="preserve"> identificēšanu atkarībā no ēku </w:t>
      </w:r>
      <w:r w:rsidR="00506639" w:rsidRPr="00D043A6">
        <w:rPr>
          <w:sz w:val="24"/>
        </w:rPr>
        <w:t>tipa</w:t>
      </w:r>
      <w:r w:rsidRPr="00D043A6">
        <w:rPr>
          <w:sz w:val="24"/>
        </w:rPr>
        <w:t xml:space="preserve">; </w:t>
      </w:r>
    </w:p>
    <w:p w:rsidR="00BC6D5B" w:rsidRPr="00D043A6" w:rsidRDefault="00BC6D5B" w:rsidP="00BC6D5B">
      <w:pPr>
        <w:ind w:firstLine="720"/>
        <w:jc w:val="both"/>
        <w:rPr>
          <w:sz w:val="24"/>
        </w:rPr>
      </w:pPr>
      <w:r w:rsidRPr="00D043A6">
        <w:rPr>
          <w:sz w:val="24"/>
        </w:rPr>
        <w:t>c) politikas jomas un pasākum</w:t>
      </w:r>
      <w:r w:rsidR="00506639" w:rsidRPr="00D043A6">
        <w:rPr>
          <w:sz w:val="24"/>
        </w:rPr>
        <w:t>us</w:t>
      </w:r>
      <w:r w:rsidRPr="00D043A6">
        <w:rPr>
          <w:sz w:val="24"/>
        </w:rPr>
        <w:t>, lai veicinātu ēku pilnīgu renovāciju</w:t>
      </w:r>
      <w:r w:rsidR="00506639" w:rsidRPr="00D043A6">
        <w:rPr>
          <w:sz w:val="24"/>
        </w:rPr>
        <w:t xml:space="preserve"> rentablā veidā</w:t>
      </w:r>
      <w:r w:rsidRPr="00D043A6">
        <w:rPr>
          <w:sz w:val="24"/>
        </w:rPr>
        <w:t xml:space="preserve">, tostarp pakāpenisku pilnīgu renovāciju; </w:t>
      </w:r>
    </w:p>
    <w:p w:rsidR="00BC6D5B" w:rsidRPr="00D043A6" w:rsidRDefault="00BC6D5B" w:rsidP="00BC6D5B">
      <w:pPr>
        <w:ind w:firstLine="720"/>
        <w:jc w:val="both"/>
        <w:rPr>
          <w:sz w:val="24"/>
        </w:rPr>
      </w:pPr>
      <w:r w:rsidRPr="00D043A6">
        <w:rPr>
          <w:sz w:val="24"/>
        </w:rPr>
        <w:t xml:space="preserve">d) ilgtermiņa perspektīvas, kas privātpersonām, būvniecības nozarei un finanšu iestādēm palīdzētu pieņemt lēmumus par ieguldījumiem; </w:t>
      </w:r>
    </w:p>
    <w:p w:rsidR="00BC6D5B" w:rsidRPr="00D043A6" w:rsidRDefault="00BC6D5B" w:rsidP="00BC6D5B">
      <w:pPr>
        <w:ind w:firstLine="720"/>
        <w:jc w:val="both"/>
        <w:rPr>
          <w:sz w:val="24"/>
        </w:rPr>
      </w:pPr>
      <w:r w:rsidRPr="00D043A6">
        <w:rPr>
          <w:sz w:val="24"/>
        </w:rPr>
        <w:t xml:space="preserve">e) ar pierādījumiem pamatotas aplēses par paredzēto enerģijas ietaupījumu un plašākiem ieguvumiem. </w:t>
      </w:r>
    </w:p>
    <w:p w:rsidR="00BC6D5B" w:rsidRPr="00D043A6" w:rsidRDefault="00BC6D5B" w:rsidP="00BC6D5B">
      <w:pPr>
        <w:ind w:firstLine="720"/>
        <w:jc w:val="both"/>
        <w:rPr>
          <w:sz w:val="24"/>
        </w:rPr>
      </w:pPr>
      <w:r w:rsidRPr="00D043A6">
        <w:rPr>
          <w:sz w:val="24"/>
        </w:rPr>
        <w:t>Stratēģijas pirmo versiju dalībvalstis publicē līdz 2014. gada 30. aprīlim. Pēc tam ik pēc trim gadiem dalībvalstis stratēģiju atjaunina un katru versiju iesniedz Komisijai kā daļu no valstu energoefektivitātes rīcības plāniem.</w:t>
      </w:r>
    </w:p>
    <w:p w:rsidR="00D67839" w:rsidRPr="00D043A6" w:rsidRDefault="00BB17CF" w:rsidP="00A85FF1">
      <w:pPr>
        <w:ind w:firstLine="720"/>
        <w:jc w:val="both"/>
        <w:rPr>
          <w:sz w:val="24"/>
        </w:rPr>
      </w:pPr>
      <w:r w:rsidRPr="00D043A6">
        <w:rPr>
          <w:sz w:val="24"/>
        </w:rPr>
        <w:lastRenderedPageBreak/>
        <w:t>Saskaņā ar Direktīva</w:t>
      </w:r>
      <w:r w:rsidR="009E23FB">
        <w:rPr>
          <w:sz w:val="24"/>
        </w:rPr>
        <w:t>s</w:t>
      </w:r>
      <w:r w:rsidRPr="00D043A6">
        <w:rPr>
          <w:sz w:val="24"/>
        </w:rPr>
        <w:t xml:space="preserve"> 2012/27/ES 5. pantu </w:t>
      </w:r>
      <w:r w:rsidR="00A85FF1" w:rsidRPr="00D043A6">
        <w:rPr>
          <w:sz w:val="24"/>
        </w:rPr>
        <w:t>dalībvalstis nodrošina, lai, sākot ar 2014. gada 1. janvāri, katru gadu tiktu renovēti 3 % kopējās platības centrālās valdības</w:t>
      </w:r>
      <w:r w:rsidR="00260F2D" w:rsidRPr="00D043A6">
        <w:rPr>
          <w:rStyle w:val="FootnoteReference"/>
          <w:sz w:val="24"/>
        </w:rPr>
        <w:footnoteReference w:id="25"/>
      </w:r>
      <w:r w:rsidR="00A85FF1" w:rsidRPr="00D043A6">
        <w:rPr>
          <w:sz w:val="24"/>
        </w:rPr>
        <w:t xml:space="preserve"> īpašumā esošās un izmantotās ēkās, kuras apsilda un/vai dzesē, </w:t>
      </w:r>
      <w:r w:rsidRPr="00D043A6">
        <w:rPr>
          <w:sz w:val="24"/>
        </w:rPr>
        <w:t>lai</w:t>
      </w:r>
      <w:r w:rsidR="00A85FF1" w:rsidRPr="00D043A6">
        <w:rPr>
          <w:sz w:val="24"/>
        </w:rPr>
        <w:t xml:space="preserve"> izpildītu vismaz minimālās energoefektivitātes prasības, kuras attiecīgā dalībvalsts ir noteikusi, piemērojot Direktīvas 2010/31/ES 4. pantu</w:t>
      </w:r>
      <w:r w:rsidR="00A85FF1" w:rsidRPr="00D043A6">
        <w:rPr>
          <w:rStyle w:val="FootnoteReference"/>
          <w:sz w:val="24"/>
        </w:rPr>
        <w:footnoteReference w:id="26"/>
      </w:r>
      <w:r w:rsidR="00A85FF1" w:rsidRPr="00D043A6">
        <w:rPr>
          <w:sz w:val="24"/>
        </w:rPr>
        <w:t>. 3 % normu aprēķina, pamatojoties uz attiecīgās dalībvalsts centrālās valdības īpašumā esošo un izmantoto ēku</w:t>
      </w:r>
      <w:r w:rsidR="00D67839" w:rsidRPr="00D043A6">
        <w:rPr>
          <w:rFonts w:cs="EUAlbertina"/>
          <w:color w:val="19161B"/>
          <w:sz w:val="24"/>
          <w:szCs w:val="19"/>
        </w:rPr>
        <w:t>, kuru kopējā izmantojamā platība ir lielāka par 500 m</w:t>
      </w:r>
      <w:r w:rsidR="00D67839" w:rsidRPr="00D043A6">
        <w:rPr>
          <w:rFonts w:cs="EUAlbertina"/>
          <w:color w:val="19161B"/>
          <w:sz w:val="24"/>
          <w:szCs w:val="14"/>
          <w:vertAlign w:val="superscript"/>
        </w:rPr>
        <w:t>2</w:t>
      </w:r>
      <w:r w:rsidR="00D67839" w:rsidRPr="00D043A6">
        <w:rPr>
          <w:rFonts w:cs="EUAlbertina"/>
          <w:color w:val="19161B"/>
          <w:sz w:val="24"/>
          <w:szCs w:val="19"/>
        </w:rPr>
        <w:t>,</w:t>
      </w:r>
      <w:r w:rsidR="00A85FF1" w:rsidRPr="00D043A6">
        <w:rPr>
          <w:sz w:val="24"/>
        </w:rPr>
        <w:t xml:space="preserve"> kopējo platību, kura katra gada 1. janvārī neatbilst valstī noteiktajām minimālajām energoefektivitātes prasībām</w:t>
      </w:r>
      <w:r w:rsidR="00D67839" w:rsidRPr="00D043A6">
        <w:rPr>
          <w:rFonts w:cs="EUAlbertina"/>
          <w:color w:val="19161B"/>
          <w:sz w:val="24"/>
          <w:szCs w:val="19"/>
        </w:rPr>
        <w:t xml:space="preserve">. Sākot ar 2015. gada 9. </w:t>
      </w:r>
      <w:r w:rsidR="009E23FB">
        <w:rPr>
          <w:rFonts w:cs="EUAlbertina"/>
          <w:color w:val="19161B"/>
          <w:sz w:val="24"/>
          <w:szCs w:val="19"/>
        </w:rPr>
        <w:t>j</w:t>
      </w:r>
      <w:r w:rsidR="00D67839" w:rsidRPr="00D043A6">
        <w:rPr>
          <w:rFonts w:cs="EUAlbertina"/>
          <w:color w:val="19161B"/>
          <w:sz w:val="24"/>
          <w:szCs w:val="19"/>
        </w:rPr>
        <w:t>ūliju</w:t>
      </w:r>
      <w:r w:rsidR="009E23FB">
        <w:rPr>
          <w:rFonts w:cs="EUAlbertina"/>
          <w:color w:val="19161B"/>
          <w:sz w:val="24"/>
          <w:szCs w:val="19"/>
        </w:rPr>
        <w:t>,</w:t>
      </w:r>
      <w:r w:rsidR="00D67839" w:rsidRPr="00D043A6">
        <w:rPr>
          <w:rFonts w:cs="EUAlbertina"/>
          <w:color w:val="19161B"/>
          <w:sz w:val="24"/>
          <w:szCs w:val="19"/>
        </w:rPr>
        <w:t xml:space="preserve"> </w:t>
      </w:r>
      <w:r w:rsidR="00555AEE" w:rsidRPr="00D043A6">
        <w:rPr>
          <w:rFonts w:cs="EUAlbertina"/>
          <w:color w:val="19161B"/>
          <w:sz w:val="24"/>
          <w:szCs w:val="19"/>
        </w:rPr>
        <w:t>500m</w:t>
      </w:r>
      <w:r w:rsidR="00555AEE" w:rsidRPr="00D043A6">
        <w:rPr>
          <w:rFonts w:cs="EUAlbertina"/>
          <w:color w:val="19161B"/>
          <w:sz w:val="24"/>
          <w:szCs w:val="19"/>
          <w:vertAlign w:val="superscript"/>
        </w:rPr>
        <w:t>2</w:t>
      </w:r>
      <w:r w:rsidR="00D67839" w:rsidRPr="00D043A6">
        <w:rPr>
          <w:rFonts w:cs="EUAlbertina"/>
          <w:color w:val="19161B"/>
          <w:sz w:val="24"/>
          <w:szCs w:val="19"/>
        </w:rPr>
        <w:t xml:space="preserve"> robežvērtību samazina līdz 250m</w:t>
      </w:r>
      <w:r w:rsidR="00D67839" w:rsidRPr="00D043A6">
        <w:rPr>
          <w:rFonts w:cs="EUAlbertina"/>
          <w:color w:val="19161B"/>
          <w:sz w:val="24"/>
          <w:szCs w:val="14"/>
          <w:vertAlign w:val="superscript"/>
        </w:rPr>
        <w:t>2</w:t>
      </w:r>
      <w:r w:rsidR="00D67839" w:rsidRPr="00D043A6">
        <w:rPr>
          <w:rFonts w:cs="EUAlbertina"/>
          <w:color w:val="19161B"/>
          <w:sz w:val="24"/>
          <w:szCs w:val="19"/>
        </w:rPr>
        <w:t xml:space="preserve">. </w:t>
      </w:r>
      <w:r w:rsidR="00D918A5" w:rsidRPr="00D043A6">
        <w:rPr>
          <w:rFonts w:cs="EUAlbertina"/>
          <w:color w:val="19161B"/>
          <w:sz w:val="24"/>
          <w:szCs w:val="19"/>
        </w:rPr>
        <w:t>Dalībvalsts</w:t>
      </w:r>
      <w:r w:rsidR="00D67839" w:rsidRPr="00D043A6">
        <w:rPr>
          <w:rFonts w:cs="EUAlbertina"/>
          <w:color w:val="19161B"/>
          <w:sz w:val="24"/>
          <w:szCs w:val="19"/>
        </w:rPr>
        <w:t xml:space="preserve"> pienākumu ik gadu renovēt 3%  no </w:t>
      </w:r>
      <w:r w:rsidR="00D67839" w:rsidRPr="00D043A6">
        <w:rPr>
          <w:sz w:val="24"/>
        </w:rPr>
        <w:t>centrālās valdības īpašumā esošu un izmant</w:t>
      </w:r>
      <w:r w:rsidR="00D918A5">
        <w:rPr>
          <w:sz w:val="24"/>
        </w:rPr>
        <w:t>ot</w:t>
      </w:r>
      <w:r w:rsidR="00D67839" w:rsidRPr="00D043A6">
        <w:rPr>
          <w:sz w:val="24"/>
        </w:rPr>
        <w:t xml:space="preserve">u ēku platībām var attiecināt arī uz ēku platībām, kuras atrodas </w:t>
      </w:r>
      <w:r w:rsidR="00555AEE" w:rsidRPr="00D043A6">
        <w:rPr>
          <w:rFonts w:cs="EUAlbertina"/>
          <w:color w:val="19161B"/>
          <w:sz w:val="24"/>
          <w:szCs w:val="19"/>
        </w:rPr>
        <w:t xml:space="preserve">īpašumā un lietošanā </w:t>
      </w:r>
      <w:r w:rsidR="00D67839" w:rsidRPr="00D043A6">
        <w:rPr>
          <w:rFonts w:cs="EUAlbertina"/>
          <w:color w:val="19161B"/>
          <w:sz w:val="24"/>
          <w:szCs w:val="19"/>
        </w:rPr>
        <w:t>tād</w:t>
      </w:r>
      <w:r w:rsidR="00555AEE" w:rsidRPr="00D043A6">
        <w:rPr>
          <w:rFonts w:cs="EUAlbertina"/>
          <w:color w:val="19161B"/>
          <w:sz w:val="24"/>
          <w:szCs w:val="19"/>
        </w:rPr>
        <w:t>ās</w:t>
      </w:r>
      <w:r w:rsidR="00D67839" w:rsidRPr="00D043A6">
        <w:rPr>
          <w:rFonts w:cs="EUAlbertina"/>
          <w:color w:val="19161B"/>
          <w:sz w:val="24"/>
          <w:szCs w:val="19"/>
        </w:rPr>
        <w:t xml:space="preserve"> administratīvās pārvaldes iestā</w:t>
      </w:r>
      <w:r w:rsidR="00555AEE" w:rsidRPr="00D043A6">
        <w:rPr>
          <w:rFonts w:cs="EUAlbertina"/>
          <w:color w:val="19161B"/>
          <w:sz w:val="24"/>
          <w:szCs w:val="19"/>
        </w:rPr>
        <w:t>dēs</w:t>
      </w:r>
      <w:r w:rsidR="00D67839" w:rsidRPr="00D043A6">
        <w:rPr>
          <w:rFonts w:cs="EUAlbertina"/>
          <w:color w:val="19161B"/>
          <w:sz w:val="24"/>
          <w:szCs w:val="19"/>
        </w:rPr>
        <w:t>, kuras pārstāv par centrālo valdību zemāku līmeni.</w:t>
      </w:r>
      <w:r w:rsidR="00555AEE" w:rsidRPr="00D043A6">
        <w:rPr>
          <w:rFonts w:cs="EUAlbertina"/>
          <w:color w:val="19161B"/>
          <w:sz w:val="24"/>
          <w:szCs w:val="19"/>
        </w:rPr>
        <w:t xml:space="preserve"> Dalībvalsts nosaka, ka energoefektivitātes pasākumos prioritāte ir tām centrālās valdības ēkām, kurām ir viszemākā energoefektivitāte, ja minēto pasākumu īstenošana ir rentabla un tehniski iespējama.</w:t>
      </w:r>
    </w:p>
    <w:p w:rsidR="00555AEE" w:rsidRPr="00D043A6" w:rsidRDefault="00555AEE" w:rsidP="00B27A06">
      <w:pPr>
        <w:ind w:firstLine="720"/>
        <w:jc w:val="both"/>
        <w:rPr>
          <w:rFonts w:cs="EUAlbertina"/>
          <w:color w:val="19161B"/>
          <w:sz w:val="24"/>
          <w:szCs w:val="19"/>
        </w:rPr>
      </w:pPr>
      <w:r w:rsidRPr="00D043A6">
        <w:rPr>
          <w:sz w:val="24"/>
        </w:rPr>
        <w:t xml:space="preserve">Direktīvas 2012/27/ES 5. panta piemērošanai noteikts, ka </w:t>
      </w:r>
      <w:r w:rsidRPr="00D043A6">
        <w:rPr>
          <w:rFonts w:cs="EUAlbertina"/>
          <w:color w:val="19161B"/>
          <w:sz w:val="24"/>
          <w:szCs w:val="19"/>
        </w:rPr>
        <w:t>dalībvalstis līdz 2013. gada 31. decembrim sagatavo un publisko to centrālās valdības apsildāmo un/vai dzesējamo ēku sarakstu, kuru kopējā izmantojamā platība ir lielāka par 500 m</w:t>
      </w:r>
      <w:r w:rsidRPr="00D043A6">
        <w:rPr>
          <w:rFonts w:cs="EUAlbertina"/>
          <w:color w:val="19161B"/>
          <w:sz w:val="24"/>
          <w:szCs w:val="14"/>
          <w:vertAlign w:val="superscript"/>
        </w:rPr>
        <w:t>2</w:t>
      </w:r>
      <w:r w:rsidRPr="00D043A6">
        <w:rPr>
          <w:rFonts w:cs="EUAlbertina"/>
          <w:color w:val="19161B"/>
          <w:sz w:val="24"/>
          <w:szCs w:val="19"/>
        </w:rPr>
        <w:t>, un, sākot ar 2015.</w:t>
      </w:r>
      <w:r w:rsidR="00B27A06" w:rsidRPr="00D043A6">
        <w:rPr>
          <w:rFonts w:cs="EUAlbertina"/>
          <w:color w:val="19161B"/>
          <w:sz w:val="24"/>
          <w:szCs w:val="19"/>
        </w:rPr>
        <w:t> </w:t>
      </w:r>
      <w:r w:rsidRPr="00D043A6">
        <w:rPr>
          <w:rFonts w:cs="EUAlbertina"/>
          <w:color w:val="19161B"/>
          <w:sz w:val="24"/>
          <w:szCs w:val="19"/>
        </w:rPr>
        <w:t>gada 9.</w:t>
      </w:r>
      <w:r w:rsidR="00B27A06" w:rsidRPr="00D043A6">
        <w:rPr>
          <w:rFonts w:cs="EUAlbertina"/>
          <w:color w:val="19161B"/>
          <w:sz w:val="24"/>
          <w:szCs w:val="19"/>
        </w:rPr>
        <w:t> </w:t>
      </w:r>
      <w:r w:rsidR="009E23FB" w:rsidRPr="00D043A6">
        <w:rPr>
          <w:rFonts w:cs="EUAlbertina"/>
          <w:color w:val="19161B"/>
          <w:sz w:val="24"/>
          <w:szCs w:val="19"/>
        </w:rPr>
        <w:t>J</w:t>
      </w:r>
      <w:r w:rsidRPr="00D043A6">
        <w:rPr>
          <w:rFonts w:cs="EUAlbertina"/>
          <w:color w:val="19161B"/>
          <w:sz w:val="24"/>
          <w:szCs w:val="19"/>
        </w:rPr>
        <w:t>ūliju</w:t>
      </w:r>
      <w:r w:rsidR="009E23FB">
        <w:rPr>
          <w:rFonts w:cs="EUAlbertina"/>
          <w:color w:val="19161B"/>
          <w:sz w:val="24"/>
          <w:szCs w:val="19"/>
        </w:rPr>
        <w:t>,</w:t>
      </w:r>
      <w:r w:rsidRPr="00D043A6">
        <w:rPr>
          <w:rFonts w:cs="EUAlbertina"/>
          <w:color w:val="19161B"/>
          <w:sz w:val="24"/>
          <w:szCs w:val="19"/>
        </w:rPr>
        <w:t xml:space="preserve"> – to ēku sarakstu, kuru kopējā izmantojamā platība ir lielāka par 250 m</w:t>
      </w:r>
      <w:r w:rsidRPr="00D043A6">
        <w:rPr>
          <w:rFonts w:cs="EUAlbertina"/>
          <w:color w:val="19161B"/>
          <w:sz w:val="24"/>
          <w:szCs w:val="14"/>
          <w:vertAlign w:val="superscript"/>
        </w:rPr>
        <w:t>2</w:t>
      </w:r>
      <w:r w:rsidRPr="00D043A6">
        <w:rPr>
          <w:rFonts w:cs="EUAlbertina"/>
          <w:color w:val="19161B"/>
          <w:sz w:val="24"/>
          <w:szCs w:val="19"/>
        </w:rPr>
        <w:t xml:space="preserve">. Sarakstā norāda šādus datus: </w:t>
      </w:r>
    </w:p>
    <w:p w:rsidR="00555AEE" w:rsidRPr="00D043A6" w:rsidRDefault="00555AEE" w:rsidP="00555AEE">
      <w:pPr>
        <w:pStyle w:val="CM4"/>
        <w:ind w:firstLine="720"/>
        <w:jc w:val="both"/>
        <w:rPr>
          <w:rFonts w:ascii="Times New Roman" w:hAnsi="Times New Roman" w:cs="EUAlbertina"/>
          <w:color w:val="19161B"/>
          <w:szCs w:val="19"/>
        </w:rPr>
      </w:pPr>
      <w:r w:rsidRPr="00D043A6">
        <w:rPr>
          <w:rFonts w:ascii="Times New Roman" w:hAnsi="Times New Roman" w:cs="EUAlbertina"/>
          <w:color w:val="19161B"/>
          <w:szCs w:val="19"/>
        </w:rPr>
        <w:t>a) platību m</w:t>
      </w:r>
      <w:r w:rsidRPr="00D043A6">
        <w:rPr>
          <w:rFonts w:ascii="Times New Roman" w:hAnsi="Times New Roman" w:cs="EUAlbertina"/>
          <w:color w:val="19161B"/>
          <w:szCs w:val="14"/>
          <w:vertAlign w:val="superscript"/>
        </w:rPr>
        <w:t>2</w:t>
      </w:r>
      <w:r w:rsidRPr="00D043A6">
        <w:rPr>
          <w:rFonts w:ascii="Times New Roman" w:hAnsi="Times New Roman" w:cs="EUAlbertina"/>
          <w:color w:val="19161B"/>
          <w:szCs w:val="19"/>
        </w:rPr>
        <w:t xml:space="preserve">;  </w:t>
      </w:r>
    </w:p>
    <w:p w:rsidR="00555AEE" w:rsidRPr="00D043A6" w:rsidRDefault="00555AEE" w:rsidP="00555AEE">
      <w:pPr>
        <w:ind w:firstLine="720"/>
        <w:jc w:val="both"/>
        <w:rPr>
          <w:sz w:val="24"/>
        </w:rPr>
      </w:pPr>
      <w:r w:rsidRPr="00D043A6">
        <w:rPr>
          <w:rFonts w:cs="EUAlbertina"/>
          <w:color w:val="19161B"/>
          <w:sz w:val="24"/>
          <w:szCs w:val="19"/>
        </w:rPr>
        <w:t>b) katras ēkas energoefektivitāti vai atbilstīgos datus par enerģijas patēriņu.</w:t>
      </w:r>
    </w:p>
    <w:p w:rsidR="00CE1DB4" w:rsidRPr="00D043A6" w:rsidRDefault="00CE1DB4" w:rsidP="00B27A06">
      <w:pPr>
        <w:ind w:firstLine="720"/>
        <w:jc w:val="both"/>
        <w:rPr>
          <w:sz w:val="24"/>
        </w:rPr>
      </w:pPr>
    </w:p>
    <w:p w:rsidR="00CE1DB4" w:rsidRPr="00D043A6" w:rsidRDefault="00260F2D" w:rsidP="00B27A06">
      <w:pPr>
        <w:ind w:firstLine="720"/>
        <w:jc w:val="both"/>
        <w:rPr>
          <w:sz w:val="24"/>
        </w:rPr>
      </w:pPr>
      <w:r w:rsidRPr="00D043A6">
        <w:rPr>
          <w:sz w:val="24"/>
        </w:rPr>
        <w:t>Papildus jānorāda uz Direktīvas 2012/27/ES 6. panta</w:t>
      </w:r>
      <w:r w:rsidR="00CA215C" w:rsidRPr="00D043A6">
        <w:rPr>
          <w:sz w:val="24"/>
        </w:rPr>
        <w:t xml:space="preserve"> </w:t>
      </w:r>
      <w:r w:rsidRPr="00D043A6">
        <w:rPr>
          <w:sz w:val="24"/>
        </w:rPr>
        <w:t xml:space="preserve">prasībām, kas attiecas </w:t>
      </w:r>
      <w:r w:rsidR="009E23FB">
        <w:rPr>
          <w:sz w:val="24"/>
        </w:rPr>
        <w:t xml:space="preserve">uz </w:t>
      </w:r>
      <w:r w:rsidRPr="00D043A6">
        <w:rPr>
          <w:sz w:val="24"/>
        </w:rPr>
        <w:t>centrālo valdību publiskajiem iepirkumiem, tostarp attiecībā uz ēkām (to iegādi</w:t>
      </w:r>
      <w:r w:rsidR="00CA215C" w:rsidRPr="00D043A6">
        <w:rPr>
          <w:sz w:val="24"/>
        </w:rPr>
        <w:t xml:space="preserve"> vai nomu</w:t>
      </w:r>
      <w:r w:rsidRPr="00D043A6">
        <w:rPr>
          <w:sz w:val="24"/>
        </w:rPr>
        <w:t>)</w:t>
      </w:r>
      <w:r w:rsidR="00CA215C" w:rsidRPr="00D043A6">
        <w:rPr>
          <w:sz w:val="24"/>
        </w:rPr>
        <w:t>. Saskaņā ar Direktīvas 2012/27/ES III pielikuma f) punktu dalībvalstis tiek mudinātas:</w:t>
      </w:r>
    </w:p>
    <w:p w:rsidR="00CA215C" w:rsidRPr="00D043A6" w:rsidRDefault="00CA215C" w:rsidP="00CA215C">
      <w:pPr>
        <w:ind w:firstLine="720"/>
        <w:jc w:val="both"/>
        <w:rPr>
          <w:sz w:val="24"/>
        </w:rPr>
      </w:pPr>
      <w:r w:rsidRPr="00D043A6">
        <w:rPr>
          <w:sz w:val="24"/>
        </w:rPr>
        <w:t>„f) iegādāties vienīgi tādas ēkas vai slēgt jaunus nomas līgumus vienīgi par tādām ēkām, kas atbilst vismaz minimālajām energoefektivitātes prasībām, ja vien pirkuma mērķis nav:</w:t>
      </w:r>
    </w:p>
    <w:p w:rsidR="00CA215C" w:rsidRPr="00D043A6" w:rsidRDefault="00CA215C" w:rsidP="00CA215C">
      <w:pPr>
        <w:ind w:firstLine="720"/>
        <w:jc w:val="both"/>
        <w:rPr>
          <w:sz w:val="24"/>
        </w:rPr>
      </w:pPr>
      <w:r w:rsidRPr="00D043A6">
        <w:rPr>
          <w:sz w:val="24"/>
        </w:rPr>
        <w:t>i) veikt pilnīgu renovāciju vai nojaukšanu;</w:t>
      </w:r>
    </w:p>
    <w:p w:rsidR="00CA215C" w:rsidRPr="00D043A6" w:rsidRDefault="00CA215C" w:rsidP="00CA215C">
      <w:pPr>
        <w:ind w:firstLine="720"/>
        <w:jc w:val="both"/>
        <w:rPr>
          <w:sz w:val="24"/>
        </w:rPr>
      </w:pPr>
      <w:r w:rsidRPr="00D043A6">
        <w:rPr>
          <w:sz w:val="24"/>
        </w:rPr>
        <w:t xml:space="preserve">ii) publisko struktūru gadījumā – pārdot ēku, neizmantojot to pašas publiskās struktūras mērķiem; </w:t>
      </w:r>
    </w:p>
    <w:p w:rsidR="00CA215C" w:rsidRPr="00D043A6" w:rsidRDefault="00CA215C" w:rsidP="00CA215C">
      <w:pPr>
        <w:ind w:firstLine="720"/>
        <w:jc w:val="both"/>
        <w:rPr>
          <w:sz w:val="24"/>
        </w:rPr>
      </w:pPr>
      <w:r w:rsidRPr="00D043A6">
        <w:rPr>
          <w:sz w:val="24"/>
        </w:rPr>
        <w:t>iii) saglabāt ēku, ko oficiāli aizsargā kā daļu no klasificētas vides vai tās īpašās arhitektūras vai vēsturiskās vērtības dēļ.</w:t>
      </w:r>
    </w:p>
    <w:p w:rsidR="00B27A06" w:rsidRPr="00D043A6" w:rsidRDefault="00B27A06" w:rsidP="00B27A06">
      <w:pPr>
        <w:ind w:firstLine="720"/>
        <w:jc w:val="both"/>
        <w:rPr>
          <w:sz w:val="24"/>
        </w:rPr>
      </w:pPr>
      <w:r w:rsidRPr="00D043A6">
        <w:rPr>
          <w:sz w:val="24"/>
        </w:rPr>
        <w:t>Normatīvie</w:t>
      </w:r>
      <w:r w:rsidR="00664432" w:rsidRPr="00D043A6">
        <w:rPr>
          <w:sz w:val="24"/>
        </w:rPr>
        <w:t>m</w:t>
      </w:r>
      <w:r w:rsidRPr="00D043A6">
        <w:rPr>
          <w:sz w:val="24"/>
        </w:rPr>
        <w:t xml:space="preserve"> un administratīvie</w:t>
      </w:r>
      <w:r w:rsidR="00664432" w:rsidRPr="00D043A6">
        <w:rPr>
          <w:sz w:val="24"/>
        </w:rPr>
        <w:t>m</w:t>
      </w:r>
      <w:r w:rsidRPr="00D043A6">
        <w:rPr>
          <w:sz w:val="24"/>
        </w:rPr>
        <w:t xml:space="preserve"> akti</w:t>
      </w:r>
      <w:r w:rsidR="00664432" w:rsidRPr="00D043A6">
        <w:rPr>
          <w:sz w:val="24"/>
        </w:rPr>
        <w:t>em</w:t>
      </w:r>
      <w:r w:rsidRPr="00D043A6">
        <w:rPr>
          <w:sz w:val="24"/>
        </w:rPr>
        <w:t>, kas vajadzīgi, lai izpildītu direktīvas 2012/27/ES prasības, dalībvalstīs jāstājas spēkā līdz 2014. gada 5. jūnijam.</w:t>
      </w:r>
    </w:p>
    <w:p w:rsidR="00B27A06" w:rsidRDefault="00325877" w:rsidP="00A85FF1">
      <w:pPr>
        <w:ind w:firstLine="720"/>
        <w:jc w:val="both"/>
        <w:rPr>
          <w:sz w:val="24"/>
        </w:rPr>
      </w:pPr>
      <w:r w:rsidRPr="00325877">
        <w:rPr>
          <w:sz w:val="24"/>
        </w:rPr>
        <w:t>Ekonomikas ministrija līdz 2013.</w:t>
      </w:r>
      <w:r>
        <w:rPr>
          <w:sz w:val="24"/>
        </w:rPr>
        <w:t> </w:t>
      </w:r>
      <w:r w:rsidRPr="00325877">
        <w:rPr>
          <w:sz w:val="24"/>
        </w:rPr>
        <w:t>gada 15.</w:t>
      </w:r>
      <w:r>
        <w:rPr>
          <w:sz w:val="24"/>
        </w:rPr>
        <w:t> </w:t>
      </w:r>
      <w:r w:rsidRPr="00325877">
        <w:rPr>
          <w:sz w:val="24"/>
        </w:rPr>
        <w:t>jūnijam plāno izstādāt un iesniegt Ministru kabinetā koncepciju par Direktīvas 2012/27/ES prasību pārņemšan</w:t>
      </w:r>
      <w:r w:rsidR="00FF0E7C">
        <w:rPr>
          <w:sz w:val="24"/>
        </w:rPr>
        <w:t>u</w:t>
      </w:r>
      <w:r w:rsidRPr="00325877">
        <w:rPr>
          <w:sz w:val="24"/>
        </w:rPr>
        <w:t xml:space="preserve"> normatīvajos aktos.</w:t>
      </w:r>
    </w:p>
    <w:p w:rsidR="00FC6020" w:rsidRPr="00D043A6" w:rsidRDefault="00FC6020" w:rsidP="00FC6020">
      <w:pPr>
        <w:pStyle w:val="Heading2"/>
      </w:pPr>
      <w:bookmarkStart w:id="27" w:name="_Toc353811846"/>
      <w:r w:rsidRPr="00D043A6">
        <w:t>Energoefektivitātes prasības ēkām</w:t>
      </w:r>
      <w:bookmarkEnd w:id="27"/>
    </w:p>
    <w:p w:rsidR="003D0D78" w:rsidRPr="00D043A6" w:rsidRDefault="003D0D78" w:rsidP="00FC6020">
      <w:pPr>
        <w:ind w:firstLine="720"/>
        <w:jc w:val="both"/>
        <w:rPr>
          <w:sz w:val="24"/>
        </w:rPr>
      </w:pPr>
      <w:r w:rsidRPr="00D043A6">
        <w:rPr>
          <w:color w:val="000000"/>
          <w:sz w:val="24"/>
          <w:lang w:eastAsia="lv-LV"/>
        </w:rPr>
        <w:t xml:space="preserve">Ēkas energoefektivitāti raksturo relatīvs enerģijas daudzums (izteikts kilovatstundās uz telpas platības kvadrātmetru), kas raksturo konkrētās ēkas apkurei, ventilācijai, dzesēšanai, </w:t>
      </w:r>
      <w:r w:rsidRPr="00D043A6">
        <w:rPr>
          <w:color w:val="000000"/>
          <w:sz w:val="24"/>
          <w:lang w:eastAsia="lv-LV"/>
        </w:rPr>
        <w:lastRenderedPageBreak/>
        <w:t>apgaismojumam un karstā ūdens apgādei n</w:t>
      </w:r>
      <w:r w:rsidR="004C1FFE">
        <w:rPr>
          <w:color w:val="000000"/>
          <w:sz w:val="24"/>
          <w:lang w:eastAsia="lv-LV"/>
        </w:rPr>
        <w:t>epieciešamās enerģijas patēriņu</w:t>
      </w:r>
      <w:r w:rsidRPr="00D043A6">
        <w:rPr>
          <w:color w:val="000000"/>
          <w:sz w:val="24"/>
          <w:lang w:eastAsia="lv-LV"/>
        </w:rPr>
        <w:t xml:space="preserve"> ēkas tipam raksturīgos ekspluatācijas apstākļos.</w:t>
      </w:r>
    </w:p>
    <w:p w:rsidR="00FC6020" w:rsidRPr="00D043A6" w:rsidRDefault="003D0D78" w:rsidP="00FC6020">
      <w:pPr>
        <w:ind w:firstLine="720"/>
        <w:jc w:val="both"/>
        <w:rPr>
          <w:sz w:val="24"/>
        </w:rPr>
      </w:pPr>
      <w:r w:rsidRPr="00D043A6">
        <w:rPr>
          <w:sz w:val="24"/>
        </w:rPr>
        <w:t>Projektējamām, rekonstruējamām un renovējamām ēkām energoefektivitātes prasības noteiktas normatīvos aktos būvniecības jomā:</w:t>
      </w:r>
    </w:p>
    <w:p w:rsidR="003D0D78" w:rsidRPr="00D043A6" w:rsidRDefault="003D0D78" w:rsidP="003D0D78">
      <w:pPr>
        <w:pStyle w:val="ListParagraph"/>
        <w:numPr>
          <w:ilvl w:val="0"/>
          <w:numId w:val="4"/>
        </w:numPr>
        <w:jc w:val="both"/>
        <w:rPr>
          <w:sz w:val="24"/>
        </w:rPr>
      </w:pPr>
      <w:r w:rsidRPr="00D043A6">
        <w:rPr>
          <w:sz w:val="24"/>
        </w:rPr>
        <w:t>ēkas ārējo norobežojošo konstrukciju būvelementiem – Ministru kabineta 2001.</w:t>
      </w:r>
      <w:r w:rsidR="00341D93" w:rsidRPr="00D043A6">
        <w:rPr>
          <w:sz w:val="24"/>
        </w:rPr>
        <w:t> </w:t>
      </w:r>
      <w:r w:rsidRPr="00D043A6">
        <w:rPr>
          <w:sz w:val="24"/>
        </w:rPr>
        <w:t>gada 27.</w:t>
      </w:r>
      <w:r w:rsidR="00341D93" w:rsidRPr="00D043A6">
        <w:rPr>
          <w:sz w:val="24"/>
        </w:rPr>
        <w:t> </w:t>
      </w:r>
      <w:r w:rsidRPr="00D043A6">
        <w:rPr>
          <w:sz w:val="24"/>
        </w:rPr>
        <w:t>novembra noteikumos Nr.</w:t>
      </w:r>
      <w:r w:rsidR="00341D93" w:rsidRPr="00D043A6">
        <w:rPr>
          <w:sz w:val="24"/>
        </w:rPr>
        <w:t> </w:t>
      </w:r>
      <w:r w:rsidRPr="00D043A6">
        <w:rPr>
          <w:sz w:val="24"/>
        </w:rPr>
        <w:t>495 “Noteikumi par Latvijas būvnormatīvu LBN 002-01 „Ēku norobežojošo konstrukciju siltumtehnika</w:t>
      </w:r>
      <w:r w:rsidR="004C1FFE">
        <w:rPr>
          <w:sz w:val="24"/>
        </w:rPr>
        <w:t>”</w:t>
      </w:r>
      <w:r w:rsidRPr="00D043A6">
        <w:rPr>
          <w:sz w:val="24"/>
        </w:rPr>
        <w:t>”;</w:t>
      </w:r>
    </w:p>
    <w:p w:rsidR="00FC6020" w:rsidRPr="00D043A6" w:rsidRDefault="003D0D78" w:rsidP="003D0D78">
      <w:pPr>
        <w:pStyle w:val="ListParagraph"/>
        <w:numPr>
          <w:ilvl w:val="0"/>
          <w:numId w:val="4"/>
        </w:numPr>
        <w:jc w:val="both"/>
        <w:rPr>
          <w:sz w:val="24"/>
        </w:rPr>
      </w:pPr>
      <w:r w:rsidRPr="00D043A6">
        <w:rPr>
          <w:sz w:val="24"/>
        </w:rPr>
        <w:t>ēkas inženiertehniskajām sistēmām – Ministru kabineta 2003.</w:t>
      </w:r>
      <w:r w:rsidR="00341D93" w:rsidRPr="00D043A6">
        <w:rPr>
          <w:sz w:val="24"/>
        </w:rPr>
        <w:t> </w:t>
      </w:r>
      <w:r w:rsidRPr="00D043A6">
        <w:rPr>
          <w:sz w:val="24"/>
        </w:rPr>
        <w:t>gada 23.</w:t>
      </w:r>
      <w:r w:rsidR="00341D93" w:rsidRPr="00D043A6">
        <w:rPr>
          <w:sz w:val="24"/>
        </w:rPr>
        <w:t> </w:t>
      </w:r>
      <w:r w:rsidRPr="00D043A6">
        <w:rPr>
          <w:sz w:val="24"/>
        </w:rPr>
        <w:t>septembra noteikumos Nr.</w:t>
      </w:r>
      <w:r w:rsidR="00341D93" w:rsidRPr="00D043A6">
        <w:rPr>
          <w:sz w:val="24"/>
        </w:rPr>
        <w:t> </w:t>
      </w:r>
      <w:r w:rsidRPr="00D043A6">
        <w:rPr>
          <w:sz w:val="24"/>
        </w:rPr>
        <w:t>534 „Noteikumi par Latvijas būvnormatīvu LBN 231-03 „Dzīvojamo un publisko ēku apkure un ventilācija””.</w:t>
      </w:r>
    </w:p>
    <w:p w:rsidR="003D0D78" w:rsidRPr="00D043A6" w:rsidRDefault="007D551C" w:rsidP="00FC6020">
      <w:pPr>
        <w:ind w:firstLine="720"/>
        <w:jc w:val="both"/>
        <w:rPr>
          <w:sz w:val="24"/>
        </w:rPr>
      </w:pPr>
      <w:r w:rsidRPr="00D043A6">
        <w:rPr>
          <w:sz w:val="24"/>
        </w:rPr>
        <w:t>E</w:t>
      </w:r>
      <w:r w:rsidR="003D0D78" w:rsidRPr="00D043A6">
        <w:rPr>
          <w:sz w:val="24"/>
        </w:rPr>
        <w:t>sošās ēku energoefektivitātes prasības ir spēkā jau 10 gadus</w:t>
      </w:r>
      <w:r w:rsidR="004C1FFE">
        <w:rPr>
          <w:sz w:val="24"/>
        </w:rPr>
        <w:t>,</w:t>
      </w:r>
      <w:r w:rsidR="003D0D78" w:rsidRPr="00D043A6">
        <w:rPr>
          <w:sz w:val="24"/>
        </w:rPr>
        <w:t xml:space="preserve"> un ir nepieciešama to pārskatīšana. Saskaņā ar direktīvu 2010/31/ES dalībvalstu pienākums ir regulāri pārskatīt minimālās ēku energoefektivitātes prasības laikposmos, kas nav ilgāki par pieciem gadiem, un vajadzības gadījumā, lai ņemtu vērā būvniecības nozares tehnisko attīstību. Jāņem vērā, ka minimālās ēku energoefektivitātes prasības jānosaka tā, lai panāktu izmaksu ziņā optimālu līdzsvaru starp finanšu ieguldījumiem un ēkas aprites cikla laikā ietaupītajām enerģijas izmaksām. Vienlaikus ES atbalsta dalībvalstu tiesības noteikt minimālās prasības, kas ir augstākas par izmaksu ziņā optimāliem energoefektivitātes līmeņiem.</w:t>
      </w:r>
    </w:p>
    <w:p w:rsidR="00341D93" w:rsidRPr="00D043A6" w:rsidRDefault="00341D93" w:rsidP="00341D93">
      <w:pPr>
        <w:ind w:firstLine="720"/>
        <w:jc w:val="both"/>
        <w:rPr>
          <w:sz w:val="24"/>
        </w:rPr>
      </w:pPr>
      <w:r w:rsidRPr="00D043A6">
        <w:rPr>
          <w:sz w:val="24"/>
        </w:rPr>
        <w:t xml:space="preserve">Izmaksu </w:t>
      </w:r>
      <w:r w:rsidR="00D918A5" w:rsidRPr="00D043A6">
        <w:rPr>
          <w:sz w:val="24"/>
        </w:rPr>
        <w:t>ziņā</w:t>
      </w:r>
      <w:r w:rsidRPr="00D043A6">
        <w:rPr>
          <w:sz w:val="24"/>
        </w:rPr>
        <w:t xml:space="preserve"> optimālu energoefektivitātes līmeņu noteikšanu dalībvalstis veic dažādiem ēku tipiem, ņemot vērā aplēsto primārās enerģijas patēriņu ēkas dzīves ciklā un aprēķin</w:t>
      </w:r>
      <w:r w:rsidR="004C1FFE">
        <w:rPr>
          <w:sz w:val="24"/>
        </w:rPr>
        <w:t>us</w:t>
      </w:r>
      <w:r w:rsidRPr="00D043A6">
        <w:rPr>
          <w:sz w:val="24"/>
        </w:rPr>
        <w:t xml:space="preserve"> par izmaksām saistībā ar dažādiem pasākumiem</w:t>
      </w:r>
      <w:r w:rsidR="00685B52" w:rsidRPr="00D043A6">
        <w:rPr>
          <w:sz w:val="24"/>
        </w:rPr>
        <w:t xml:space="preserve"> (</w:t>
      </w:r>
      <w:r w:rsidRPr="00D043A6">
        <w:rPr>
          <w:sz w:val="24"/>
        </w:rPr>
        <w:t>to kopumiem</w:t>
      </w:r>
      <w:r w:rsidR="00685B52" w:rsidRPr="00D043A6">
        <w:rPr>
          <w:sz w:val="24"/>
        </w:rPr>
        <w:t>)</w:t>
      </w:r>
      <w:r w:rsidRPr="00D043A6">
        <w:rPr>
          <w:sz w:val="24"/>
        </w:rPr>
        <w:t xml:space="preserve"> un variantiem, kas izvērtēti attiecībā uz konkrēto ēku tipu. </w:t>
      </w:r>
      <w:r w:rsidR="00685B52" w:rsidRPr="00D043A6">
        <w:rPr>
          <w:sz w:val="24"/>
        </w:rPr>
        <w:t xml:space="preserve">Dažādo variantu salīdzināšana attēlojama </w:t>
      </w:r>
      <w:r w:rsidR="00833F01" w:rsidRPr="00D043A6">
        <w:rPr>
          <w:sz w:val="24"/>
        </w:rPr>
        <w:t xml:space="preserve">izmaksu līknes </w:t>
      </w:r>
      <w:r w:rsidR="00685B52" w:rsidRPr="00D043A6">
        <w:rPr>
          <w:sz w:val="24"/>
        </w:rPr>
        <w:t>diagramm</w:t>
      </w:r>
      <w:r w:rsidR="00833F01" w:rsidRPr="00D043A6">
        <w:rPr>
          <w:sz w:val="24"/>
        </w:rPr>
        <w:t>ā</w:t>
      </w:r>
      <w:r w:rsidR="00685B52" w:rsidRPr="00D043A6">
        <w:rPr>
          <w:sz w:val="24"/>
        </w:rPr>
        <w:t xml:space="preserve"> </w:t>
      </w:r>
      <w:r w:rsidR="00833F01" w:rsidRPr="00D043A6">
        <w:rPr>
          <w:sz w:val="24"/>
        </w:rPr>
        <w:t>atkarībā no</w:t>
      </w:r>
      <w:r w:rsidR="00394A09" w:rsidRPr="00D043A6">
        <w:rPr>
          <w:sz w:val="24"/>
        </w:rPr>
        <w:t xml:space="preserve"> primārās enerģijas </w:t>
      </w:r>
      <w:r w:rsidR="00833F01" w:rsidRPr="00D043A6">
        <w:rPr>
          <w:sz w:val="24"/>
        </w:rPr>
        <w:t>patēriņa</w:t>
      </w:r>
      <w:r w:rsidR="00394A09" w:rsidRPr="00D043A6">
        <w:rPr>
          <w:sz w:val="24"/>
        </w:rPr>
        <w:t xml:space="preserve"> (kWh uz m</w:t>
      </w:r>
      <w:r w:rsidR="00394A09" w:rsidRPr="00D043A6">
        <w:rPr>
          <w:sz w:val="24"/>
          <w:vertAlign w:val="superscript"/>
        </w:rPr>
        <w:t>2</w:t>
      </w:r>
      <w:r w:rsidR="00394A09" w:rsidRPr="00D043A6">
        <w:rPr>
          <w:sz w:val="24"/>
        </w:rPr>
        <w:t xml:space="preserve"> lietderīgās platības gadā) un </w:t>
      </w:r>
      <w:r w:rsidR="00833F01" w:rsidRPr="00D043A6">
        <w:rPr>
          <w:sz w:val="24"/>
        </w:rPr>
        <w:t>vispārējām</w:t>
      </w:r>
      <w:r w:rsidR="00394A09" w:rsidRPr="00D043A6">
        <w:rPr>
          <w:sz w:val="24"/>
        </w:rPr>
        <w:t xml:space="preserve"> izmaksām (latos vai eiro uz m</w:t>
      </w:r>
      <w:r w:rsidR="00394A09" w:rsidRPr="00D043A6">
        <w:rPr>
          <w:sz w:val="24"/>
          <w:vertAlign w:val="superscript"/>
        </w:rPr>
        <w:t>2</w:t>
      </w:r>
      <w:r w:rsidR="00394A09" w:rsidRPr="00D043A6">
        <w:rPr>
          <w:sz w:val="24"/>
        </w:rPr>
        <w:t xml:space="preserve"> lietderīgās platības gadā) (7. attēls).</w:t>
      </w:r>
    </w:p>
    <w:p w:rsidR="00685B52" w:rsidRPr="00D043A6" w:rsidRDefault="00685B52" w:rsidP="00394A09">
      <w:pPr>
        <w:jc w:val="center"/>
        <w:rPr>
          <w:sz w:val="30"/>
        </w:rPr>
      </w:pPr>
      <w:r w:rsidRPr="00D043A6">
        <w:rPr>
          <w:noProof/>
          <w:lang w:eastAsia="lv-LV"/>
        </w:rPr>
        <w:drawing>
          <wp:inline distT="0" distB="0" distL="0" distR="0" wp14:anchorId="4820E696" wp14:editId="313AE3C2">
            <wp:extent cx="3771900" cy="308209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9" cstate="print">
                      <a:extLst>
                        <a:ext uri="{28A0092B-C50C-407E-A947-70E740481C1C}">
                          <a14:useLocalDpi xmlns:a14="http://schemas.microsoft.com/office/drawing/2010/main" val="0"/>
                        </a:ext>
                      </a:extLst>
                    </a:blip>
                    <a:srcRect/>
                    <a:stretch/>
                  </pic:blipFill>
                  <pic:spPr bwMode="auto">
                    <a:xfrm>
                      <a:off x="0" y="0"/>
                      <a:ext cx="3777312" cy="3086515"/>
                    </a:xfrm>
                    <a:prstGeom prst="rect">
                      <a:avLst/>
                    </a:prstGeom>
                    <a:ln>
                      <a:noFill/>
                    </a:ln>
                    <a:extLst>
                      <a:ext uri="{53640926-AAD7-44D8-BBD7-CCE9431645EC}">
                        <a14:shadowObscured xmlns:a14="http://schemas.microsoft.com/office/drawing/2010/main"/>
                      </a:ext>
                    </a:extLst>
                  </pic:spPr>
                </pic:pic>
              </a:graphicData>
            </a:graphic>
          </wp:inline>
        </w:drawing>
      </w:r>
    </w:p>
    <w:p w:rsidR="00685B52" w:rsidRPr="00D043A6" w:rsidRDefault="00685B52" w:rsidP="00833F01">
      <w:pPr>
        <w:jc w:val="both"/>
        <w:rPr>
          <w:i/>
          <w:sz w:val="24"/>
        </w:rPr>
      </w:pPr>
      <w:r w:rsidRPr="00D043A6">
        <w:rPr>
          <w:i/>
          <w:sz w:val="24"/>
        </w:rPr>
        <w:t xml:space="preserve">7. attēls. </w:t>
      </w:r>
      <w:r w:rsidR="00394A09" w:rsidRPr="00D043A6">
        <w:rPr>
          <w:i/>
          <w:sz w:val="24"/>
        </w:rPr>
        <w:t>Enerģijas patēriņa un i</w:t>
      </w:r>
      <w:r w:rsidRPr="00D043A6">
        <w:rPr>
          <w:i/>
          <w:sz w:val="24"/>
        </w:rPr>
        <w:t>zmaksu</w:t>
      </w:r>
      <w:r w:rsidR="00394A09" w:rsidRPr="00D043A6">
        <w:rPr>
          <w:i/>
          <w:sz w:val="24"/>
        </w:rPr>
        <w:t xml:space="preserve"> attēlojums</w:t>
      </w:r>
      <w:r w:rsidRPr="00D043A6">
        <w:rPr>
          <w:i/>
          <w:sz w:val="24"/>
        </w:rPr>
        <w:t xml:space="preserve"> dažādiem pasākumu variantiem</w:t>
      </w:r>
    </w:p>
    <w:p w:rsidR="00341D93" w:rsidRPr="00D043A6" w:rsidRDefault="00341D93" w:rsidP="00341D93">
      <w:pPr>
        <w:ind w:firstLine="720"/>
        <w:jc w:val="both"/>
        <w:rPr>
          <w:sz w:val="24"/>
        </w:rPr>
      </w:pPr>
    </w:p>
    <w:p w:rsidR="00833F01" w:rsidRPr="00D043A6" w:rsidRDefault="004C1FFE" w:rsidP="00341D93">
      <w:pPr>
        <w:ind w:firstLine="720"/>
        <w:jc w:val="both"/>
        <w:rPr>
          <w:sz w:val="24"/>
        </w:rPr>
      </w:pPr>
      <w:r>
        <w:rPr>
          <w:sz w:val="24"/>
        </w:rPr>
        <w:t>Iepriekš</w:t>
      </w:r>
      <w:r w:rsidR="00817C53" w:rsidRPr="00D043A6">
        <w:rPr>
          <w:sz w:val="24"/>
        </w:rPr>
        <w:t xml:space="preserve"> minētie aprēķini jāveic gan attiecībā uz jaunām ēkām, gan rekonstruējamām un renovējamām ēkām. </w:t>
      </w:r>
      <w:r w:rsidR="00394A09" w:rsidRPr="00D043A6">
        <w:rPr>
          <w:sz w:val="24"/>
        </w:rPr>
        <w:t>Kā papildu nosacījums</w:t>
      </w:r>
      <w:r w:rsidR="00833F01" w:rsidRPr="00D043A6">
        <w:rPr>
          <w:sz w:val="24"/>
        </w:rPr>
        <w:t xml:space="preserve"> jāņem vērā, ka</w:t>
      </w:r>
      <w:r w:rsidR="00B12DD8" w:rsidRPr="00D043A6">
        <w:rPr>
          <w:sz w:val="24"/>
        </w:rPr>
        <w:t xml:space="preserve"> </w:t>
      </w:r>
      <w:r w:rsidR="00833F01" w:rsidRPr="00D043A6">
        <w:rPr>
          <w:sz w:val="24"/>
        </w:rPr>
        <w:t xml:space="preserve">obligātās energoefektivitātes </w:t>
      </w:r>
      <w:r w:rsidR="00833F01" w:rsidRPr="00D043A6">
        <w:rPr>
          <w:sz w:val="24"/>
        </w:rPr>
        <w:lastRenderedPageBreak/>
        <w:t>prasības apkures katliem un citām uzstādītām iekārtām un ierīcēm noteiktas direktīvā 2009/125/EK</w:t>
      </w:r>
      <w:r w:rsidR="00833F01" w:rsidRPr="00D043A6">
        <w:rPr>
          <w:rStyle w:val="FootnoteReference"/>
          <w:sz w:val="24"/>
        </w:rPr>
        <w:footnoteReference w:id="27"/>
      </w:r>
      <w:r w:rsidR="00833F01" w:rsidRPr="00D043A6">
        <w:rPr>
          <w:sz w:val="24"/>
        </w:rPr>
        <w:t>.</w:t>
      </w:r>
    </w:p>
    <w:p w:rsidR="002551F1" w:rsidRPr="00D043A6" w:rsidRDefault="00B12DD8" w:rsidP="00341D93">
      <w:pPr>
        <w:ind w:firstLine="720"/>
        <w:jc w:val="both"/>
        <w:rPr>
          <w:sz w:val="24"/>
        </w:rPr>
      </w:pPr>
      <w:r w:rsidRPr="00D043A6">
        <w:rPr>
          <w:sz w:val="24"/>
        </w:rPr>
        <w:t xml:space="preserve">Minimālo ēku energoefektivitātes prasību pārskatīšanas </w:t>
      </w:r>
      <w:r w:rsidR="00D918A5" w:rsidRPr="00D043A6">
        <w:rPr>
          <w:sz w:val="24"/>
        </w:rPr>
        <w:t>rezultātā</w:t>
      </w:r>
      <w:r w:rsidRPr="00D043A6">
        <w:rPr>
          <w:sz w:val="24"/>
        </w:rPr>
        <w:t xml:space="preserve"> būtu jāgroza vai jāizdod no jauna normatīvie akti būvniecības jomā, kuri nosaka prasības ēkas ārējo norobežojošo konstrukciju būvelementiem un ēku inženiertehniskajām sistēmām. </w:t>
      </w:r>
      <w:r w:rsidR="002551F1" w:rsidRPr="00D043A6">
        <w:rPr>
          <w:sz w:val="24"/>
        </w:rPr>
        <w:t>Attiecībā uz inženiertehniskajām sistēmām jāveic būtiski papildinājumi attiecībā uz alternatīvu apkures sistēmu</w:t>
      </w:r>
      <w:r w:rsidR="00801AA7" w:rsidRPr="00D043A6">
        <w:rPr>
          <w:sz w:val="24"/>
        </w:rPr>
        <w:t xml:space="preserve">, t.sk. tādām, kas izmanto atjaunojamos energoresursus, pielietošanu. </w:t>
      </w:r>
      <w:r w:rsidR="00817C53" w:rsidRPr="00D043A6">
        <w:rPr>
          <w:sz w:val="24"/>
        </w:rPr>
        <w:t xml:space="preserve">Vienlaikus, ņemot vērā direktīvā 2010/31/ES izvirzītos mērķus vecināt gandrīz nulles enerģijas ēku būvniecību, šīm ēkām būtu jādefinē gan Latvijas klimatiskajiem apstākļiem piemērotas tehniskās prasības, gan atbalsta nosacījumi, kas varētu atšķirties no vispārējiem gadījumiem, kuros tiek sasniegtas minimālās </w:t>
      </w:r>
      <w:r w:rsidR="00D918A5" w:rsidRPr="00D043A6">
        <w:rPr>
          <w:sz w:val="24"/>
        </w:rPr>
        <w:t>energoefektivitātes</w:t>
      </w:r>
      <w:r w:rsidR="00817C53" w:rsidRPr="00D043A6">
        <w:rPr>
          <w:sz w:val="24"/>
        </w:rPr>
        <w:t xml:space="preserve"> prasības.</w:t>
      </w:r>
      <w:r w:rsidR="002551F1" w:rsidRPr="00D043A6">
        <w:rPr>
          <w:sz w:val="24"/>
        </w:rPr>
        <w:t xml:space="preserve"> </w:t>
      </w:r>
    </w:p>
    <w:p w:rsidR="00C1159F" w:rsidRDefault="00924032" w:rsidP="00341D93">
      <w:pPr>
        <w:ind w:firstLine="720"/>
        <w:jc w:val="both"/>
        <w:rPr>
          <w:sz w:val="24"/>
        </w:rPr>
      </w:pPr>
      <w:r>
        <w:rPr>
          <w:sz w:val="24"/>
        </w:rPr>
        <w:t>Lai nodrošinātu direktīvas 2010/31/ES prasību izpildi</w:t>
      </w:r>
      <w:r w:rsidR="00C1159F">
        <w:rPr>
          <w:sz w:val="24"/>
        </w:rPr>
        <w:t xml:space="preserve"> Ekonomikas ministrija </w:t>
      </w:r>
      <w:r>
        <w:rPr>
          <w:sz w:val="24"/>
        </w:rPr>
        <w:t xml:space="preserve">2013. gada laikā </w:t>
      </w:r>
      <w:r w:rsidR="00C1159F">
        <w:rPr>
          <w:sz w:val="24"/>
        </w:rPr>
        <w:t>plān</w:t>
      </w:r>
      <w:r>
        <w:rPr>
          <w:sz w:val="24"/>
        </w:rPr>
        <w:t>o pārskatīt</w:t>
      </w:r>
      <w:r w:rsidR="00C1159F">
        <w:rPr>
          <w:sz w:val="24"/>
        </w:rPr>
        <w:t xml:space="preserve"> minimālās ēku energoefektivitātes prasības</w:t>
      </w:r>
      <w:r>
        <w:rPr>
          <w:sz w:val="24"/>
        </w:rPr>
        <w:t>, lai noteiktu tās optimālu izmaksu līmenī</w:t>
      </w:r>
      <w:r w:rsidR="00C1159F">
        <w:rPr>
          <w:sz w:val="24"/>
        </w:rPr>
        <w:t>.</w:t>
      </w:r>
    </w:p>
    <w:p w:rsidR="007B43CA" w:rsidRPr="00D043A6" w:rsidRDefault="007B43CA" w:rsidP="00341D93">
      <w:pPr>
        <w:ind w:firstLine="720"/>
        <w:jc w:val="both"/>
        <w:rPr>
          <w:sz w:val="24"/>
        </w:rPr>
      </w:pPr>
      <w:r w:rsidRPr="00D043A6">
        <w:rPr>
          <w:sz w:val="24"/>
        </w:rPr>
        <w:t>Ēku energoefektivitātes valsts politika, būtu jāveido</w:t>
      </w:r>
      <w:r w:rsidR="004C1FFE">
        <w:rPr>
          <w:sz w:val="24"/>
        </w:rPr>
        <w:t>,</w:t>
      </w:r>
      <w:r w:rsidRPr="00D043A6">
        <w:rPr>
          <w:sz w:val="24"/>
        </w:rPr>
        <w:t xml:space="preserve"> balstoties uz ekonomiskajiem apsvērumiem, primāri sekmējot minimālo ēku </w:t>
      </w:r>
      <w:r w:rsidR="00D918A5" w:rsidRPr="00D043A6">
        <w:rPr>
          <w:sz w:val="24"/>
        </w:rPr>
        <w:t>energoefektivitātes</w:t>
      </w:r>
      <w:r w:rsidRPr="00D043A6">
        <w:rPr>
          <w:sz w:val="24"/>
        </w:rPr>
        <w:t xml:space="preserve"> prasību izpildi optimālu izmaksu līmenī, sekundāri sekmējot arī ilgtspējīgas būvniecības faktoru darbspēju. Ēku energoefektivitātes prasību izpildi optimālu izmaksu līmenī pamatā būtu jānodrošina tirgus instrumentiem, kas tikai pamatotos gadījumos varētu tikt sekmēta ar valsts atbalsta instrumentiem atsevišķos </w:t>
      </w:r>
      <w:r w:rsidR="00D918A5" w:rsidRPr="00D043A6">
        <w:rPr>
          <w:sz w:val="24"/>
        </w:rPr>
        <w:t>segmentos</w:t>
      </w:r>
      <w:r w:rsidRPr="00D043A6">
        <w:rPr>
          <w:sz w:val="24"/>
        </w:rPr>
        <w:t xml:space="preserve"> (piemēram, dzīvokļa īpašumos sadalītām daudzdzīvokļu dzīvojamām mājām). </w:t>
      </w:r>
    </w:p>
    <w:p w:rsidR="007B43CA" w:rsidRPr="00D043A6" w:rsidRDefault="007B43CA" w:rsidP="00341D93">
      <w:pPr>
        <w:ind w:firstLine="720"/>
        <w:jc w:val="both"/>
        <w:rPr>
          <w:sz w:val="24"/>
        </w:rPr>
      </w:pPr>
      <w:r w:rsidRPr="00D043A6">
        <w:rPr>
          <w:sz w:val="24"/>
        </w:rPr>
        <w:t xml:space="preserve">Gandrīz nulles enerģijas ēku būvniecība, kā arī pārejas uz </w:t>
      </w:r>
      <w:r w:rsidR="00D918A5" w:rsidRPr="00D043A6">
        <w:rPr>
          <w:sz w:val="24"/>
        </w:rPr>
        <w:t>atjaunojamo</w:t>
      </w:r>
      <w:r w:rsidRPr="00D043A6">
        <w:rPr>
          <w:sz w:val="24"/>
        </w:rPr>
        <w:t xml:space="preserve"> energor</w:t>
      </w:r>
      <w:r w:rsidR="004C1FFE">
        <w:rPr>
          <w:sz w:val="24"/>
        </w:rPr>
        <w:t>esursu izmantošanas veicināšana</w:t>
      </w:r>
      <w:r w:rsidRPr="00D043A6">
        <w:rPr>
          <w:sz w:val="24"/>
        </w:rPr>
        <w:t xml:space="preserve"> prasa lielākus sākotnējos ieguldījumus un, kaut arī </w:t>
      </w:r>
      <w:r w:rsidR="00D918A5" w:rsidRPr="00D043A6">
        <w:rPr>
          <w:sz w:val="24"/>
        </w:rPr>
        <w:t>ilgākā</w:t>
      </w:r>
      <w:r w:rsidRPr="00D043A6">
        <w:rPr>
          <w:sz w:val="24"/>
        </w:rPr>
        <w:t xml:space="preserve"> termiņā var būt </w:t>
      </w:r>
      <w:r w:rsidR="00D918A5" w:rsidRPr="00D043A6">
        <w:rPr>
          <w:sz w:val="24"/>
        </w:rPr>
        <w:t>makroekonomiski</w:t>
      </w:r>
      <w:r w:rsidRPr="00D043A6">
        <w:rPr>
          <w:sz w:val="24"/>
        </w:rPr>
        <w:t xml:space="preserve"> izdevīga, tirgus </w:t>
      </w:r>
      <w:r w:rsidR="00D918A5" w:rsidRPr="00D043A6">
        <w:rPr>
          <w:sz w:val="24"/>
        </w:rPr>
        <w:t>instrumenti</w:t>
      </w:r>
      <w:r w:rsidRPr="00D043A6">
        <w:rPr>
          <w:sz w:val="24"/>
        </w:rPr>
        <w:t xml:space="preserve"> šobrīd nenodrošina šo produktu konkurētspēju privātajā sektorā. Nekustamā īpašuma būvniecības „bums” Latvijā parādīja, ka nekustamā īpašuma attīstītājus vairumā gadījumu interesē ātra peļņa</w:t>
      </w:r>
      <w:r w:rsidR="004C1FFE">
        <w:rPr>
          <w:sz w:val="24"/>
        </w:rPr>
        <w:t>,</w:t>
      </w:r>
      <w:r w:rsidRPr="00D043A6">
        <w:rPr>
          <w:sz w:val="24"/>
        </w:rPr>
        <w:t xml:space="preserve"> nevis </w:t>
      </w:r>
      <w:r w:rsidR="00D918A5" w:rsidRPr="00D043A6">
        <w:rPr>
          <w:sz w:val="24"/>
        </w:rPr>
        <w:t>ilgtspējīgi</w:t>
      </w:r>
      <w:r w:rsidRPr="00D043A6">
        <w:rPr>
          <w:sz w:val="24"/>
        </w:rPr>
        <w:t xml:space="preserve"> risinājumi, tādēļ, lai nodrošinātu augstāku prasību sasniegšanu ēkās, kā arī lai veicinātu atjaunojamo energoresursu izmantošanu ēku energopatēriņa nodrošināšanai, nepieciešama papildus </w:t>
      </w:r>
      <w:r w:rsidR="00D918A5" w:rsidRPr="00D043A6">
        <w:rPr>
          <w:sz w:val="24"/>
        </w:rPr>
        <w:t>finansiālu</w:t>
      </w:r>
      <w:r w:rsidRPr="00D043A6">
        <w:rPr>
          <w:sz w:val="24"/>
        </w:rPr>
        <w:t xml:space="preserve"> stimulu ieviešana. </w:t>
      </w:r>
    </w:p>
    <w:p w:rsidR="00B073E4" w:rsidRPr="00D043A6" w:rsidRDefault="00B073E4">
      <w:pPr>
        <w:rPr>
          <w:sz w:val="24"/>
        </w:rPr>
      </w:pPr>
      <w:r w:rsidRPr="00D043A6">
        <w:rPr>
          <w:sz w:val="24"/>
        </w:rPr>
        <w:br w:type="page"/>
      </w:r>
    </w:p>
    <w:p w:rsidR="0031531D" w:rsidRPr="00D043A6" w:rsidRDefault="00B073E4" w:rsidP="005B18FB">
      <w:pPr>
        <w:pStyle w:val="Heading1"/>
        <w:rPr>
          <w:sz w:val="24"/>
        </w:rPr>
      </w:pPr>
      <w:bookmarkStart w:id="28" w:name="_Ref333226433"/>
      <w:bookmarkStart w:id="29" w:name="_Toc353811847"/>
      <w:r w:rsidRPr="00D043A6">
        <w:rPr>
          <w:sz w:val="24"/>
        </w:rPr>
        <w:lastRenderedPageBreak/>
        <w:t>Iespējamie atbalsta instrumenti ēku energoefektivitātes uzlabošanas pasākumu īstenošanai</w:t>
      </w:r>
      <w:bookmarkEnd w:id="28"/>
      <w:bookmarkEnd w:id="29"/>
    </w:p>
    <w:p w:rsidR="00F11988" w:rsidRPr="00D043A6" w:rsidRDefault="0058153C" w:rsidP="00F11988">
      <w:pPr>
        <w:ind w:firstLine="714"/>
        <w:jc w:val="both"/>
        <w:rPr>
          <w:sz w:val="24"/>
          <w:szCs w:val="24"/>
        </w:rPr>
      </w:pPr>
      <w:r w:rsidRPr="00D043A6">
        <w:rPr>
          <w:sz w:val="24"/>
          <w:szCs w:val="24"/>
        </w:rPr>
        <w:t xml:space="preserve">Lai novērtētu iespējamos atbalsta instrumentus un finanšu </w:t>
      </w:r>
      <w:r w:rsidR="00F11988" w:rsidRPr="00D043A6">
        <w:rPr>
          <w:sz w:val="24"/>
          <w:szCs w:val="24"/>
        </w:rPr>
        <w:t xml:space="preserve">avotus (skat. </w:t>
      </w:r>
      <w:r w:rsidR="00C44B1A" w:rsidRPr="00D043A6">
        <w:fldChar w:fldCharType="begin"/>
      </w:r>
      <w:r w:rsidR="00C44B1A" w:rsidRPr="00D043A6">
        <w:instrText xml:space="preserve"> REF _Ref332035090 \r \h  \* MERGEFORMAT </w:instrText>
      </w:r>
      <w:r w:rsidR="00C44B1A" w:rsidRPr="00D043A6">
        <w:fldChar w:fldCharType="separate"/>
      </w:r>
      <w:r w:rsidR="005D13C5">
        <w:t>4</w:t>
      </w:r>
      <w:r w:rsidR="00C44B1A" w:rsidRPr="00D043A6">
        <w:fldChar w:fldCharType="end"/>
      </w:r>
      <w:r w:rsidR="004C1FFE">
        <w:rPr>
          <w:sz w:val="24"/>
          <w:szCs w:val="24"/>
        </w:rPr>
        <w:t>. nodaļu</w:t>
      </w:r>
      <w:r w:rsidR="00F11988" w:rsidRPr="00D043A6">
        <w:rPr>
          <w:sz w:val="24"/>
          <w:szCs w:val="24"/>
        </w:rPr>
        <w:t>) un to piemērotību</w:t>
      </w:r>
      <w:r w:rsidR="004C1FFE">
        <w:rPr>
          <w:sz w:val="24"/>
          <w:szCs w:val="24"/>
        </w:rPr>
        <w:t>,</w:t>
      </w:r>
      <w:r w:rsidR="00F11988" w:rsidRPr="00D043A6">
        <w:rPr>
          <w:sz w:val="24"/>
          <w:szCs w:val="24"/>
        </w:rPr>
        <w:t xml:space="preserve"> izmantoti ieteikumi mājokļu sektora energoefektivitātes uzlabošanai, kas  sniegti Apvienoto </w:t>
      </w:r>
      <w:r w:rsidR="002954E7" w:rsidRPr="00D043A6">
        <w:rPr>
          <w:sz w:val="24"/>
          <w:szCs w:val="24"/>
        </w:rPr>
        <w:t>N</w:t>
      </w:r>
      <w:r w:rsidR="00F11988" w:rsidRPr="00D043A6">
        <w:rPr>
          <w:sz w:val="24"/>
          <w:szCs w:val="24"/>
        </w:rPr>
        <w:t>āciju Eiropas ekonomikas komisijas (UNECE</w:t>
      </w:r>
      <w:r w:rsidR="00F11988" w:rsidRPr="00D043A6">
        <w:rPr>
          <w:rStyle w:val="FootnoteReference"/>
          <w:sz w:val="24"/>
          <w:szCs w:val="24"/>
        </w:rPr>
        <w:footnoteReference w:id="28"/>
      </w:r>
      <w:r w:rsidR="00F11988" w:rsidRPr="00D043A6">
        <w:rPr>
          <w:sz w:val="24"/>
          <w:szCs w:val="24"/>
        </w:rPr>
        <w:t>) izstrādātajā rīcības plānā „</w:t>
      </w:r>
      <w:r w:rsidR="00F11988" w:rsidRPr="00D043A6">
        <w:rPr>
          <w:i/>
          <w:sz w:val="24"/>
          <w:szCs w:val="24"/>
        </w:rPr>
        <w:t>Action plan for energy-efficient housing in UNECE region</w:t>
      </w:r>
      <w:r w:rsidR="00F11988" w:rsidRPr="00D043A6">
        <w:rPr>
          <w:sz w:val="24"/>
          <w:szCs w:val="24"/>
        </w:rPr>
        <w:t>”</w:t>
      </w:r>
      <w:r w:rsidR="005D54E2" w:rsidRPr="00D043A6">
        <w:rPr>
          <w:rStyle w:val="FootnoteReference"/>
          <w:sz w:val="24"/>
          <w:szCs w:val="24"/>
        </w:rPr>
        <w:footnoteReference w:id="29"/>
      </w:r>
      <w:r w:rsidR="005D54E2" w:rsidRPr="00D043A6">
        <w:rPr>
          <w:sz w:val="24"/>
          <w:szCs w:val="24"/>
        </w:rPr>
        <w:t>.</w:t>
      </w:r>
    </w:p>
    <w:p w:rsidR="00D8145B" w:rsidRPr="00D043A6" w:rsidRDefault="00EB39B4" w:rsidP="00023621">
      <w:pPr>
        <w:pStyle w:val="Heading2"/>
      </w:pPr>
      <w:bookmarkStart w:id="30" w:name="_Toc353811848"/>
      <w:r w:rsidRPr="00D043A6">
        <w:t>Līdzfinansējums</w:t>
      </w:r>
      <w:bookmarkEnd w:id="30"/>
      <w:r w:rsidRPr="00D043A6">
        <w:t xml:space="preserve"> </w:t>
      </w:r>
    </w:p>
    <w:p w:rsidR="001D39DE" w:rsidRPr="00D043A6" w:rsidRDefault="00CF40FD" w:rsidP="004D4622">
      <w:pPr>
        <w:ind w:firstLine="720"/>
        <w:jc w:val="both"/>
        <w:rPr>
          <w:sz w:val="24"/>
        </w:rPr>
      </w:pPr>
      <w:r w:rsidRPr="00D043A6">
        <w:rPr>
          <w:sz w:val="24"/>
        </w:rPr>
        <w:t>Līdzfinansējum</w:t>
      </w:r>
      <w:r w:rsidR="00897EAF" w:rsidRPr="00D043A6">
        <w:rPr>
          <w:sz w:val="24"/>
        </w:rPr>
        <w:t>a modelis</w:t>
      </w:r>
      <w:r w:rsidRPr="00D043A6">
        <w:rPr>
          <w:sz w:val="24"/>
        </w:rPr>
        <w:t xml:space="preserve"> </w:t>
      </w:r>
      <w:r w:rsidR="004D4622" w:rsidRPr="00D043A6">
        <w:rPr>
          <w:sz w:val="24"/>
        </w:rPr>
        <w:t>ēku energoefektivitātes</w:t>
      </w:r>
      <w:r w:rsidR="009A5C2C" w:rsidRPr="00D043A6">
        <w:rPr>
          <w:sz w:val="24"/>
        </w:rPr>
        <w:t xml:space="preserve"> pasākumu īstenošanai līdz šim </w:t>
      </w:r>
      <w:r w:rsidR="004D4622" w:rsidRPr="00D043A6">
        <w:rPr>
          <w:sz w:val="24"/>
        </w:rPr>
        <w:t>plaši pielietots no valsts un pašvaldību līdzekļiem</w:t>
      </w:r>
      <w:r w:rsidR="00860DA9" w:rsidRPr="00D043A6">
        <w:rPr>
          <w:sz w:val="24"/>
        </w:rPr>
        <w:t>.</w:t>
      </w:r>
      <w:r w:rsidR="004D4622" w:rsidRPr="00D043A6">
        <w:rPr>
          <w:sz w:val="24"/>
        </w:rPr>
        <w:t xml:space="preserve"> ES fondu </w:t>
      </w:r>
      <w:r w:rsidR="00860DA9" w:rsidRPr="00D043A6">
        <w:rPr>
          <w:sz w:val="24"/>
        </w:rPr>
        <w:t xml:space="preserve">DMS aktivitāte </w:t>
      </w:r>
      <w:r w:rsidR="00897EAF" w:rsidRPr="00D043A6">
        <w:rPr>
          <w:sz w:val="24"/>
        </w:rPr>
        <w:t xml:space="preserve">ar līdzfinansējuma atbalstu līdz 60% </w:t>
      </w:r>
      <w:r w:rsidR="004C1FFE">
        <w:rPr>
          <w:sz w:val="24"/>
        </w:rPr>
        <w:t>ir līdz šim liel</w:t>
      </w:r>
      <w:r w:rsidR="00860DA9" w:rsidRPr="00D043A6">
        <w:rPr>
          <w:sz w:val="24"/>
        </w:rPr>
        <w:t>ākā iniciatīva mājokļu sektora atjaunošanā</w:t>
      </w:r>
      <w:r w:rsidR="001D39DE" w:rsidRPr="00D043A6">
        <w:rPr>
          <w:sz w:val="24"/>
        </w:rPr>
        <w:t xml:space="preserve">. </w:t>
      </w:r>
    </w:p>
    <w:p w:rsidR="00952DAD" w:rsidRPr="00D043A6" w:rsidRDefault="001D39DE" w:rsidP="004D4622">
      <w:pPr>
        <w:ind w:firstLine="720"/>
        <w:jc w:val="both"/>
        <w:rPr>
          <w:sz w:val="24"/>
        </w:rPr>
      </w:pPr>
      <w:r w:rsidRPr="00D043A6">
        <w:rPr>
          <w:sz w:val="24"/>
        </w:rPr>
        <w:t xml:space="preserve">Līdzšinējā pieredze ar DMS aktivitāti pierādīja, ka, neskatoties uz sākotnēji </w:t>
      </w:r>
      <w:r w:rsidR="00D361E5" w:rsidRPr="00D043A6">
        <w:rPr>
          <w:sz w:val="24"/>
        </w:rPr>
        <w:t>gauso aktivitātes uzsākšanu,</w:t>
      </w:r>
      <w:r w:rsidRPr="00D043A6">
        <w:rPr>
          <w:sz w:val="24"/>
        </w:rPr>
        <w:t xml:space="preserve"> iedzīvotājiem ir liela interese </w:t>
      </w:r>
      <w:r w:rsidR="00F87342" w:rsidRPr="00D043A6">
        <w:rPr>
          <w:sz w:val="24"/>
        </w:rPr>
        <w:t xml:space="preserve">par </w:t>
      </w:r>
      <w:r w:rsidRPr="00D043A6">
        <w:rPr>
          <w:sz w:val="24"/>
        </w:rPr>
        <w:t>līdzfinansējum</w:t>
      </w:r>
      <w:r w:rsidR="00D361E5" w:rsidRPr="00D043A6">
        <w:rPr>
          <w:sz w:val="24"/>
        </w:rPr>
        <w:t>a saņemšanu un 2007.-2013.g. plānošanas periodā paredzētie līdzekļi tiks apgūti.</w:t>
      </w:r>
    </w:p>
    <w:p w:rsidR="00D361E5" w:rsidRPr="00D043A6" w:rsidRDefault="00B86B1B" w:rsidP="004D4622">
      <w:pPr>
        <w:ind w:firstLine="720"/>
        <w:jc w:val="both"/>
        <w:rPr>
          <w:sz w:val="24"/>
        </w:rPr>
      </w:pPr>
      <w:r w:rsidRPr="00D043A6">
        <w:rPr>
          <w:sz w:val="24"/>
        </w:rPr>
        <w:t xml:space="preserve">Plānojot </w:t>
      </w:r>
      <w:r w:rsidR="00D361E5" w:rsidRPr="00D043A6">
        <w:rPr>
          <w:sz w:val="24"/>
        </w:rPr>
        <w:t>nākamo</w:t>
      </w:r>
      <w:r w:rsidRPr="00D043A6">
        <w:rPr>
          <w:sz w:val="24"/>
        </w:rPr>
        <w:t xml:space="preserve"> 2014.-2020.gada plānošanas</w:t>
      </w:r>
      <w:r w:rsidR="00D361E5" w:rsidRPr="00D043A6">
        <w:rPr>
          <w:sz w:val="24"/>
        </w:rPr>
        <w:t xml:space="preserve"> periodu</w:t>
      </w:r>
      <w:r w:rsidR="004C1FFE">
        <w:rPr>
          <w:sz w:val="24"/>
        </w:rPr>
        <w:t>,</w:t>
      </w:r>
      <w:r w:rsidR="00D361E5" w:rsidRPr="00D043A6">
        <w:rPr>
          <w:sz w:val="24"/>
        </w:rPr>
        <w:t xml:space="preserve"> būtu jāizvērtē līdzfinansējuma daļas apjoms, jo kaimiņvalstīs Lietuvā un Igaunijā tiek īstenota ēku renovācija ar mazāku atbalsta intensitāti. Turklāt mazāks līdzfinansējuma apjoms ļautu to sadalīt lielākam ēku skaitam.</w:t>
      </w:r>
    </w:p>
    <w:p w:rsidR="00897EAF" w:rsidRPr="00D043A6" w:rsidRDefault="00897EAF" w:rsidP="00897EAF">
      <w:pPr>
        <w:ind w:firstLine="720"/>
        <w:jc w:val="both"/>
        <w:rPr>
          <w:sz w:val="24"/>
        </w:rPr>
      </w:pPr>
      <w:r w:rsidRPr="00D043A6">
        <w:rPr>
          <w:sz w:val="24"/>
        </w:rPr>
        <w:t>Citi avo</w:t>
      </w:r>
      <w:r w:rsidR="004C1FFE">
        <w:rPr>
          <w:sz w:val="24"/>
        </w:rPr>
        <w:t>ti, tostarp KPFI</w:t>
      </w:r>
      <w:r w:rsidRPr="00D043A6">
        <w:rPr>
          <w:sz w:val="24"/>
        </w:rPr>
        <w:t xml:space="preserve"> daudzdzīvokļu dzīvojamo ēku energoefektivitātes uzlabošanai līdz šim nav izmantoti, izņemot atsevišķus pilotprojektus.</w:t>
      </w:r>
    </w:p>
    <w:p w:rsidR="00DA5DD0" w:rsidRPr="00D043A6" w:rsidRDefault="00205150" w:rsidP="00D361E5">
      <w:pPr>
        <w:ind w:firstLine="720"/>
        <w:jc w:val="both"/>
        <w:rPr>
          <w:sz w:val="24"/>
        </w:rPr>
      </w:pPr>
      <w:r w:rsidRPr="00D043A6">
        <w:rPr>
          <w:sz w:val="24"/>
        </w:rPr>
        <w:t>Nākotnē</w:t>
      </w:r>
      <w:r w:rsidR="00D361E5" w:rsidRPr="00D043A6">
        <w:rPr>
          <w:sz w:val="24"/>
        </w:rPr>
        <w:t xml:space="preserve"> KPFI, ņemot vērā šī instrumenta ierobežotās finanšu iespējas, </w:t>
      </w:r>
      <w:r w:rsidRPr="00D043A6">
        <w:rPr>
          <w:sz w:val="24"/>
        </w:rPr>
        <w:t xml:space="preserve">varētu tikt </w:t>
      </w:r>
      <w:r w:rsidR="00D361E5" w:rsidRPr="00D043A6">
        <w:rPr>
          <w:sz w:val="24"/>
        </w:rPr>
        <w:t>pielieto</w:t>
      </w:r>
      <w:r w:rsidRPr="00D043A6">
        <w:rPr>
          <w:sz w:val="24"/>
        </w:rPr>
        <w:t>ts</w:t>
      </w:r>
      <w:r w:rsidR="00D361E5" w:rsidRPr="00D043A6">
        <w:rPr>
          <w:sz w:val="24"/>
        </w:rPr>
        <w:t xml:space="preserve"> tikai </w:t>
      </w:r>
      <w:r w:rsidRPr="00D043A6">
        <w:rPr>
          <w:sz w:val="24"/>
        </w:rPr>
        <w:t>ierobežotu</w:t>
      </w:r>
      <w:r w:rsidR="00D361E5" w:rsidRPr="00D043A6">
        <w:rPr>
          <w:sz w:val="24"/>
        </w:rPr>
        <w:t xml:space="preserve"> pasākumu īstenošanai</w:t>
      </w:r>
      <w:r w:rsidR="00B86B1B" w:rsidRPr="00D043A6">
        <w:rPr>
          <w:sz w:val="24"/>
        </w:rPr>
        <w:t xml:space="preserve">. </w:t>
      </w:r>
    </w:p>
    <w:p w:rsidR="00CF40FD" w:rsidRPr="00D043A6" w:rsidRDefault="00DA5DD0" w:rsidP="00D361E5">
      <w:pPr>
        <w:ind w:firstLine="720"/>
        <w:jc w:val="both"/>
        <w:rPr>
          <w:sz w:val="24"/>
        </w:rPr>
      </w:pPr>
      <w:r w:rsidRPr="00D043A6">
        <w:rPr>
          <w:sz w:val="24"/>
        </w:rPr>
        <w:t xml:space="preserve">Līdz šim īstenotie KPFI konkursi </w:t>
      </w:r>
      <w:r w:rsidR="00E153D1" w:rsidRPr="00D043A6">
        <w:rPr>
          <w:sz w:val="24"/>
        </w:rPr>
        <w:t>aptvēra mazu dzīvojamo ēku segmentu (</w:t>
      </w:r>
      <w:r w:rsidR="00B86B1B" w:rsidRPr="00D043A6">
        <w:rPr>
          <w:sz w:val="24"/>
        </w:rPr>
        <w:t>īstenoti konkursi atjaunojamo energoresursu  izmantošanai privātmājās</w:t>
      </w:r>
      <w:r w:rsidR="00E153D1" w:rsidRPr="00D043A6">
        <w:rPr>
          <w:sz w:val="24"/>
        </w:rPr>
        <w:t>)</w:t>
      </w:r>
      <w:r w:rsidR="00B86B1B" w:rsidRPr="00D043A6">
        <w:rPr>
          <w:sz w:val="24"/>
        </w:rPr>
        <w:t xml:space="preserve">, </w:t>
      </w:r>
      <w:r w:rsidR="00E153D1" w:rsidRPr="00D043A6">
        <w:rPr>
          <w:sz w:val="24"/>
        </w:rPr>
        <w:t>taču</w:t>
      </w:r>
      <w:r w:rsidR="002C68C0" w:rsidRPr="00D043A6">
        <w:rPr>
          <w:sz w:val="24"/>
        </w:rPr>
        <w:t xml:space="preserve"> NAP rīcības virziena „Energoefektivitāte un enerģijas ražošana” minēt</w:t>
      </w:r>
      <w:r w:rsidR="00743CD7" w:rsidRPr="00D043A6">
        <w:rPr>
          <w:sz w:val="24"/>
        </w:rPr>
        <w:t>ā</w:t>
      </w:r>
      <w:r w:rsidR="002C68C0" w:rsidRPr="00D043A6">
        <w:rPr>
          <w:sz w:val="24"/>
        </w:rPr>
        <w:t xml:space="preserve"> mērķ</w:t>
      </w:r>
      <w:r w:rsidR="00743CD7" w:rsidRPr="00D043A6">
        <w:rPr>
          <w:sz w:val="24"/>
        </w:rPr>
        <w:t>a – no atjaunojamiem energoresursiem saražotās enerģijas īpatsvara palielināšanai galapatēriņā – sasniegšanai svarīga ir pasākumu īstenošana visos ēku sektoros (gan publiskās, komercpakalpojumu, ražošanas ēkās, gan arī dzīvojamās, t.s</w:t>
      </w:r>
      <w:r w:rsidR="004C1FFE">
        <w:rPr>
          <w:sz w:val="24"/>
        </w:rPr>
        <w:t>k.</w:t>
      </w:r>
      <w:r w:rsidR="00743CD7" w:rsidRPr="00D043A6">
        <w:rPr>
          <w:sz w:val="24"/>
        </w:rPr>
        <w:t xml:space="preserve"> </w:t>
      </w:r>
      <w:r w:rsidR="00B86B1B" w:rsidRPr="00D043A6">
        <w:rPr>
          <w:sz w:val="24"/>
        </w:rPr>
        <w:t>daudzdzīvokļu mājās</w:t>
      </w:r>
      <w:r w:rsidR="00743CD7" w:rsidRPr="00D043A6">
        <w:rPr>
          <w:sz w:val="24"/>
        </w:rPr>
        <w:t>)</w:t>
      </w:r>
      <w:r w:rsidR="00B86B1B" w:rsidRPr="00D043A6">
        <w:rPr>
          <w:sz w:val="24"/>
        </w:rPr>
        <w:t>.</w:t>
      </w:r>
    </w:p>
    <w:p w:rsidR="00897EAF" w:rsidRPr="00D043A6" w:rsidRDefault="00897EAF" w:rsidP="00F97373">
      <w:pPr>
        <w:ind w:firstLine="720"/>
        <w:jc w:val="both"/>
        <w:rPr>
          <w:sz w:val="24"/>
        </w:rPr>
      </w:pPr>
      <w:r w:rsidRPr="00D043A6">
        <w:rPr>
          <w:sz w:val="24"/>
        </w:rPr>
        <w:t>Ņemot vērā, ka līdzfinansējumu modeļi šobrīd veiksmīgi darbojas, nav</w:t>
      </w:r>
      <w:r w:rsidR="00F97373" w:rsidRPr="00D043A6">
        <w:rPr>
          <w:sz w:val="24"/>
        </w:rPr>
        <w:t xml:space="preserve"> juridisku</w:t>
      </w:r>
      <w:r w:rsidRPr="00D043A6">
        <w:rPr>
          <w:sz w:val="24"/>
        </w:rPr>
        <w:t xml:space="preserve"> šķēršļu to </w:t>
      </w:r>
      <w:r w:rsidR="00F97373" w:rsidRPr="00D043A6">
        <w:rPr>
          <w:sz w:val="24"/>
        </w:rPr>
        <w:t>izmantošanai nākotnē.</w:t>
      </w:r>
    </w:p>
    <w:p w:rsidR="003C340D" w:rsidRPr="00D043A6" w:rsidRDefault="00D02802" w:rsidP="00677718">
      <w:pPr>
        <w:ind w:firstLine="720"/>
        <w:jc w:val="both"/>
        <w:rPr>
          <w:sz w:val="24"/>
        </w:rPr>
      </w:pPr>
      <w:r w:rsidRPr="00D043A6">
        <w:rPr>
          <w:sz w:val="24"/>
        </w:rPr>
        <w:t xml:space="preserve">Izvērtējot </w:t>
      </w:r>
      <w:r w:rsidR="009360C6" w:rsidRPr="00D043A6">
        <w:rPr>
          <w:sz w:val="24"/>
        </w:rPr>
        <w:t>ēku</w:t>
      </w:r>
      <w:r w:rsidRPr="00D043A6">
        <w:rPr>
          <w:sz w:val="24"/>
        </w:rPr>
        <w:t xml:space="preserve"> sektora renovācijai nepieciešamo līdzekļu apjomu (skatīt </w:t>
      </w:r>
      <w:r w:rsidR="00C44B1A" w:rsidRPr="00D043A6">
        <w:fldChar w:fldCharType="begin"/>
      </w:r>
      <w:r w:rsidR="00C44B1A" w:rsidRPr="00D043A6">
        <w:instrText xml:space="preserve"> REF _Ref327544477 \r \h  \* MERGEFORMAT </w:instrText>
      </w:r>
      <w:r w:rsidR="00C44B1A" w:rsidRPr="00D043A6">
        <w:fldChar w:fldCharType="separate"/>
      </w:r>
      <w:r w:rsidR="005D13C5" w:rsidRPr="005D13C5">
        <w:rPr>
          <w:sz w:val="24"/>
        </w:rPr>
        <w:t>2.2</w:t>
      </w:r>
      <w:r w:rsidR="00C44B1A" w:rsidRPr="00D043A6">
        <w:fldChar w:fldCharType="end"/>
      </w:r>
      <w:r w:rsidR="0092055E" w:rsidRPr="00D043A6">
        <w:rPr>
          <w:sz w:val="24"/>
        </w:rPr>
        <w:t>. </w:t>
      </w:r>
      <w:r w:rsidRPr="00D043A6">
        <w:rPr>
          <w:sz w:val="24"/>
        </w:rPr>
        <w:t xml:space="preserve">nodaļu), </w:t>
      </w:r>
      <w:r w:rsidR="0092055E" w:rsidRPr="00D043A6">
        <w:rPr>
          <w:sz w:val="24"/>
        </w:rPr>
        <w:t>ir skaidrs, ka pieejamais finansējuma apjoms nevar nodrošināt ēku renovācijai aplēstās vajadzības, lai sasniegtu energoefektivitātes politikas izvirzītos mērķus</w:t>
      </w:r>
      <w:r w:rsidR="00D242B4" w:rsidRPr="00D043A6">
        <w:rPr>
          <w:sz w:val="24"/>
        </w:rPr>
        <w:t>, vienlaikus līdzfinansējuma komponente var kalpot par stimulu energoefektivitātes pasākumu īstenošanai, īpaši sektoros, kur tirgus instrumenti nevar nodrošināt aktīvu interesi,  galvenokārt tas attiecas uz dzīvojamo māju sektoru (īpaši daudzdzīvokļu māju, kas sadalītas dzīvojamos īpašumos), kā arī līdzfinansējuma komponente var būt stimuls papildu pasākumu ieviešanai, lai sasniegtu augstāku ēkas energoefektivitātes līmeni</w:t>
      </w:r>
      <w:r w:rsidR="004C1FFE">
        <w:rPr>
          <w:sz w:val="24"/>
        </w:rPr>
        <w:t>,</w:t>
      </w:r>
      <w:r w:rsidR="00D242B4" w:rsidRPr="00D043A6">
        <w:rPr>
          <w:sz w:val="24"/>
        </w:rPr>
        <w:t xml:space="preserve"> vai pārejai uz atjaunojamo energoresursu izmantošanu ēkas enerģijas pieprasījuma nodrošināšanai.</w:t>
      </w:r>
    </w:p>
    <w:p w:rsidR="00F23133" w:rsidRPr="00D043A6" w:rsidRDefault="00F23133" w:rsidP="00677718">
      <w:pPr>
        <w:ind w:firstLine="720"/>
        <w:jc w:val="both"/>
        <w:rPr>
          <w:sz w:val="24"/>
        </w:rPr>
      </w:pPr>
      <w:r w:rsidRPr="00D043A6">
        <w:rPr>
          <w:sz w:val="24"/>
        </w:rPr>
        <w:t>Attie</w:t>
      </w:r>
      <w:r w:rsidR="004C1FFE">
        <w:rPr>
          <w:sz w:val="24"/>
        </w:rPr>
        <w:t>cībā uz nedzīvojamo ēku sektoru</w:t>
      </w:r>
      <w:r w:rsidRPr="00D043A6">
        <w:rPr>
          <w:sz w:val="24"/>
        </w:rPr>
        <w:t xml:space="preserve"> jānorāda, ka finansējuma un citu ekonomisku priekšrocību paredzēšana saimnieciskās darbības veicējiem to saimnieciskā darbībā </w:t>
      </w:r>
      <w:r w:rsidRPr="00D043A6">
        <w:rPr>
          <w:sz w:val="24"/>
        </w:rPr>
        <w:lastRenderedPageBreak/>
        <w:t>izmantojamo ēku energoefektivitātes uzlabošanai ir kvalificējama kā komercdarbības atbalsts, līdz ar to, plānojot šādus pasākumus, ir jāņem vērā komercdarbības atbalsta kontroles normas. Atbalstu energoefektivitātes nodrošināšanai var sniegt saskaņā ar Kopienas pamatnostādnēm par valsts atbalstu vides aizsardzībai (2008/C 82/01) vai Komisijas Regulu (EK) Nr. 800/2008 (2008. gada 6. augusts), kas atzīst noteiktas atbalsta kategorijas par saderīgām ar kopējo tirgu, piemērojot Līguma 87. un 88. pantu (vispārējā grupu atbrīvojuma regula). Šo tiesību aktu  termiņš beigsies 2013. gada 31. decembrī, pēc kura spēkā būs jauns tiesiskais regulējums. Līdz ar to atbalsta programmas, kuras būs spēkā pēc 2013. gada 31. decembra, tiks pārskatītas atbil</w:t>
      </w:r>
      <w:r w:rsidR="004C1FFE">
        <w:rPr>
          <w:sz w:val="24"/>
        </w:rPr>
        <w:t>stoši</w:t>
      </w:r>
      <w:r w:rsidRPr="00D043A6">
        <w:rPr>
          <w:sz w:val="24"/>
        </w:rPr>
        <w:t xml:space="preserve"> jaunajam tiesiskajam regulējumam.</w:t>
      </w:r>
    </w:p>
    <w:p w:rsidR="00627865" w:rsidRPr="00D043A6" w:rsidRDefault="00233221" w:rsidP="00023621">
      <w:pPr>
        <w:pStyle w:val="Heading2"/>
      </w:pPr>
      <w:bookmarkStart w:id="31" w:name="_Toc353811849"/>
      <w:r w:rsidRPr="00D043A6">
        <w:t xml:space="preserve">Pazeminātas aizdevuma procentu </w:t>
      </w:r>
      <w:r w:rsidR="00F71A08" w:rsidRPr="00D043A6">
        <w:t>likmes</w:t>
      </w:r>
      <w:bookmarkEnd w:id="31"/>
      <w:r w:rsidR="00F71A08" w:rsidRPr="00D043A6">
        <w:t xml:space="preserve"> </w:t>
      </w:r>
    </w:p>
    <w:p w:rsidR="005400C3" w:rsidRPr="00D043A6" w:rsidRDefault="00F71A08" w:rsidP="005400C3">
      <w:pPr>
        <w:ind w:firstLine="720"/>
        <w:jc w:val="both"/>
        <w:rPr>
          <w:sz w:val="24"/>
        </w:rPr>
      </w:pPr>
      <w:r w:rsidRPr="00D043A6">
        <w:rPr>
          <w:sz w:val="24"/>
        </w:rPr>
        <w:t xml:space="preserve">Aplūkojot </w:t>
      </w:r>
      <w:r w:rsidR="00B96344" w:rsidRPr="00D043A6">
        <w:rPr>
          <w:sz w:val="24"/>
        </w:rPr>
        <w:t xml:space="preserve">līdzšinējo pieredzi saistībā ar </w:t>
      </w:r>
      <w:r w:rsidRPr="00D043A6">
        <w:rPr>
          <w:sz w:val="24"/>
        </w:rPr>
        <w:t xml:space="preserve">dzīvojamo ēku </w:t>
      </w:r>
      <w:r w:rsidR="00B96344" w:rsidRPr="00D043A6">
        <w:rPr>
          <w:sz w:val="24"/>
        </w:rPr>
        <w:t>siltināšanu Latvijā</w:t>
      </w:r>
      <w:r w:rsidR="004C1FFE">
        <w:rPr>
          <w:sz w:val="24"/>
        </w:rPr>
        <w:t>,</w:t>
      </w:r>
      <w:r w:rsidR="00B96344" w:rsidRPr="00D043A6">
        <w:rPr>
          <w:sz w:val="24"/>
        </w:rPr>
        <w:t xml:space="preserve"> </w:t>
      </w:r>
      <w:r w:rsidRPr="00D043A6">
        <w:rPr>
          <w:sz w:val="24"/>
        </w:rPr>
        <w:t>v</w:t>
      </w:r>
      <w:r w:rsidR="00B96344" w:rsidRPr="00D043A6">
        <w:rPr>
          <w:sz w:val="24"/>
        </w:rPr>
        <w:t>ar secināt, ka praktiski visos gadījumos ir bijis nepieciešams bankas aizdevums ar ēkas renovāciju saistīto izdevumu segšanai. Atkarībā no dažādiem faktoriem, piemēram</w:t>
      </w:r>
      <w:r w:rsidR="004C1FFE">
        <w:rPr>
          <w:sz w:val="24"/>
        </w:rPr>
        <w:t>,</w:t>
      </w:r>
      <w:r w:rsidR="00B96344" w:rsidRPr="00D043A6">
        <w:rPr>
          <w:sz w:val="24"/>
        </w:rPr>
        <w:t xml:space="preserve"> dzīvokļu īpašnieku maksātspējas, kredītresursu cenas u.t.t., aizdevumu </w:t>
      </w:r>
      <w:r w:rsidR="005400C3" w:rsidRPr="00D043A6">
        <w:rPr>
          <w:sz w:val="24"/>
        </w:rPr>
        <w:t xml:space="preserve">procentu gada </w:t>
      </w:r>
      <w:r w:rsidR="00B96344" w:rsidRPr="00D043A6">
        <w:rPr>
          <w:sz w:val="24"/>
        </w:rPr>
        <w:t xml:space="preserve">likme </w:t>
      </w:r>
      <w:r w:rsidR="00F87342" w:rsidRPr="00D043A6">
        <w:rPr>
          <w:sz w:val="24"/>
        </w:rPr>
        <w:t xml:space="preserve">šobrīd </w:t>
      </w:r>
      <w:r w:rsidR="00B96344" w:rsidRPr="00D043A6">
        <w:rPr>
          <w:sz w:val="24"/>
        </w:rPr>
        <w:t xml:space="preserve">var būt aptuveni </w:t>
      </w:r>
      <w:r w:rsidR="00233221" w:rsidRPr="00D043A6">
        <w:rPr>
          <w:sz w:val="24"/>
        </w:rPr>
        <w:t>5</w:t>
      </w:r>
      <w:r w:rsidR="00B96344" w:rsidRPr="00D043A6">
        <w:rPr>
          <w:sz w:val="24"/>
        </w:rPr>
        <w:t>-</w:t>
      </w:r>
      <w:r w:rsidR="00233221" w:rsidRPr="00D043A6">
        <w:rPr>
          <w:sz w:val="24"/>
        </w:rPr>
        <w:t>7</w:t>
      </w:r>
      <w:r w:rsidR="00B96344" w:rsidRPr="00D043A6">
        <w:rPr>
          <w:sz w:val="24"/>
        </w:rPr>
        <w:t>%.</w:t>
      </w:r>
      <w:r w:rsidR="005400C3" w:rsidRPr="00D043A6">
        <w:rPr>
          <w:sz w:val="24"/>
        </w:rPr>
        <w:t xml:space="preserve"> Tādēļ procentu maksa par aizdevumu veido būtisku ēkas īpašnieka maksājuma daļu.</w:t>
      </w:r>
    </w:p>
    <w:p w:rsidR="00233221" w:rsidRPr="00D043A6" w:rsidRDefault="00736C3B" w:rsidP="0058153C">
      <w:pPr>
        <w:ind w:firstLine="720"/>
        <w:jc w:val="both"/>
        <w:rPr>
          <w:sz w:val="24"/>
        </w:rPr>
      </w:pPr>
      <w:r w:rsidRPr="00D043A6">
        <w:rPr>
          <w:sz w:val="24"/>
        </w:rPr>
        <w:t>8</w:t>
      </w:r>
      <w:r w:rsidR="00233221" w:rsidRPr="00D043A6">
        <w:rPr>
          <w:sz w:val="24"/>
        </w:rPr>
        <w:t xml:space="preserve">. attēlā parādīts investīciju sadārdzinājums atkarībā no līdzfinansējuma daļas (D), kredīta daļas (K) un kredīta procentu gada likmes (P) aizdevumam. Attēlā redzams, ka 10 gadu periodā aizdevumam ar 5 procentu likmi un līdzfinansējuma daļu 50 procentu apmērā līdzvērtīgs ir aizdevums ar kredīta procentu likmi 2,77, savukārt aizdevumam ar 7 procentu likmi un līdzfinansējuma daļu 50 procentu apmērā līdzvērtīgs ir aizdevums ar kredīta procentu likmi 4.025. Pie minētajiem finansēšanas nosacījumiem par 10 gadiem </w:t>
      </w:r>
      <w:r w:rsidR="004C1FFE" w:rsidRPr="00D043A6">
        <w:rPr>
          <w:sz w:val="24"/>
        </w:rPr>
        <w:t xml:space="preserve">ilgākā </w:t>
      </w:r>
      <w:r w:rsidR="004C1FFE">
        <w:rPr>
          <w:sz w:val="24"/>
        </w:rPr>
        <w:t>periodā izdevīgāka ir zemāka</w:t>
      </w:r>
      <w:r w:rsidR="00233221" w:rsidRPr="00D043A6">
        <w:rPr>
          <w:sz w:val="24"/>
        </w:rPr>
        <w:t xml:space="preserve"> procentu likme, bet īsākā periodā </w:t>
      </w:r>
      <w:r w:rsidR="004C1FFE">
        <w:rPr>
          <w:sz w:val="24"/>
        </w:rPr>
        <w:t xml:space="preserve">- </w:t>
      </w:r>
      <w:r w:rsidR="00233221" w:rsidRPr="00D043A6">
        <w:rPr>
          <w:sz w:val="24"/>
        </w:rPr>
        <w:t>augstāka procentu likme ar līdzfinansējuma daļas komponenti.</w:t>
      </w:r>
    </w:p>
    <w:p w:rsidR="0058153C" w:rsidRPr="00D043A6" w:rsidRDefault="0058153C" w:rsidP="00897EAF">
      <w:pPr>
        <w:ind w:firstLine="720"/>
        <w:jc w:val="both"/>
        <w:rPr>
          <w:sz w:val="24"/>
        </w:rPr>
      </w:pPr>
      <w:r w:rsidRPr="00D043A6">
        <w:rPr>
          <w:sz w:val="24"/>
        </w:rPr>
        <w:t>Lai izvēlētos optimālāko risinājumu, jāizvērtē faktiskās iespējas, t.i.</w:t>
      </w:r>
      <w:r w:rsidR="004C1FFE">
        <w:rPr>
          <w:sz w:val="24"/>
        </w:rPr>
        <w:t>,</w:t>
      </w:r>
      <w:r w:rsidRPr="00D043A6">
        <w:rPr>
          <w:sz w:val="24"/>
        </w:rPr>
        <w:t xml:space="preserve"> ar kādiem nosacījumiem iespējams piesaistīt kredītresursus.</w:t>
      </w:r>
    </w:p>
    <w:p w:rsidR="00897EAF" w:rsidRPr="00D043A6" w:rsidRDefault="00F87342" w:rsidP="00C35221">
      <w:pPr>
        <w:jc w:val="center"/>
        <w:rPr>
          <w:sz w:val="24"/>
        </w:rPr>
      </w:pPr>
      <w:r w:rsidRPr="00F30B0C">
        <w:rPr>
          <w:noProof/>
          <w:sz w:val="24"/>
          <w:lang w:eastAsia="lv-LV"/>
        </w:rPr>
        <w:drawing>
          <wp:inline distT="0" distB="0" distL="0" distR="0" wp14:anchorId="37E008F3" wp14:editId="28C42659">
            <wp:extent cx="5581935" cy="3766782"/>
            <wp:effectExtent l="0" t="0" r="0" b="5715"/>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F11988" w:rsidRPr="00D043A6" w:rsidRDefault="00736C3B" w:rsidP="00233221">
      <w:pPr>
        <w:rPr>
          <w:i/>
          <w:sz w:val="24"/>
        </w:rPr>
      </w:pPr>
      <w:r w:rsidRPr="00D043A6">
        <w:rPr>
          <w:i/>
          <w:sz w:val="24"/>
        </w:rPr>
        <w:lastRenderedPageBreak/>
        <w:t>8</w:t>
      </w:r>
      <w:r w:rsidR="0028092A" w:rsidRPr="00D043A6">
        <w:rPr>
          <w:i/>
          <w:sz w:val="24"/>
        </w:rPr>
        <w:t>.</w:t>
      </w:r>
      <w:r w:rsidR="00EA0A7D" w:rsidRPr="00D043A6">
        <w:rPr>
          <w:i/>
          <w:sz w:val="24"/>
        </w:rPr>
        <w:t> </w:t>
      </w:r>
      <w:r w:rsidR="0028092A" w:rsidRPr="00D043A6">
        <w:rPr>
          <w:i/>
          <w:sz w:val="24"/>
        </w:rPr>
        <w:t>attēls.</w:t>
      </w:r>
      <w:r w:rsidR="00EA0A7D" w:rsidRPr="00D043A6">
        <w:rPr>
          <w:i/>
          <w:sz w:val="24"/>
        </w:rPr>
        <w:t xml:space="preserve"> Investīciju sadārdzinājums</w:t>
      </w:r>
      <w:r w:rsidR="00F87342" w:rsidRPr="00D043A6">
        <w:rPr>
          <w:i/>
          <w:sz w:val="24"/>
        </w:rPr>
        <w:t xml:space="preserve"> procentos</w:t>
      </w:r>
      <w:r w:rsidR="00EA0A7D" w:rsidRPr="00D043A6">
        <w:rPr>
          <w:i/>
          <w:sz w:val="24"/>
        </w:rPr>
        <w:t xml:space="preserve"> atkarībā no līdzfinansējuma daļas (D), kredīta daļas (K) un kredīta procentu gada likmes (P) aizdevumam.</w:t>
      </w:r>
    </w:p>
    <w:p w:rsidR="00602E3D" w:rsidRPr="00D043A6" w:rsidRDefault="00250C6C" w:rsidP="005E1DF5">
      <w:pPr>
        <w:pStyle w:val="Subtitle1"/>
      </w:pPr>
      <w:bookmarkStart w:id="32" w:name="_Toc353811850"/>
      <w:r w:rsidRPr="00D043A6">
        <w:t>Rotācijas fonds</w:t>
      </w:r>
      <w:bookmarkEnd w:id="32"/>
    </w:p>
    <w:p w:rsidR="004275D4" w:rsidRPr="00D043A6" w:rsidRDefault="004275D4" w:rsidP="004275D4">
      <w:pPr>
        <w:ind w:firstLine="720"/>
        <w:jc w:val="both"/>
        <w:rPr>
          <w:sz w:val="24"/>
        </w:rPr>
      </w:pPr>
      <w:r w:rsidRPr="00D043A6">
        <w:rPr>
          <w:sz w:val="24"/>
        </w:rPr>
        <w:t>Rotācijas fondu attīstība ir viena no pašreiz redzamākajām</w:t>
      </w:r>
      <w:r w:rsidR="00250C6C" w:rsidRPr="00D043A6">
        <w:rPr>
          <w:sz w:val="24"/>
        </w:rPr>
        <w:t xml:space="preserve"> energoefektivitātes finansēšanas modeļa</w:t>
      </w:r>
      <w:r w:rsidRPr="00D043A6">
        <w:rPr>
          <w:sz w:val="24"/>
        </w:rPr>
        <w:t xml:space="preserve"> tendencēm Eiropas Savienībā – īpaši ES dalībvalstīs, kuras iestājās pēc 200</w:t>
      </w:r>
      <w:r w:rsidR="00F87342" w:rsidRPr="00D043A6">
        <w:rPr>
          <w:sz w:val="24"/>
        </w:rPr>
        <w:t>4</w:t>
      </w:r>
      <w:r w:rsidRPr="00D043A6">
        <w:rPr>
          <w:sz w:val="24"/>
        </w:rPr>
        <w:t>.gada.</w:t>
      </w:r>
    </w:p>
    <w:p w:rsidR="004275D4" w:rsidRPr="00D043A6" w:rsidRDefault="004275D4" w:rsidP="004275D4">
      <w:pPr>
        <w:ind w:firstLine="720"/>
        <w:jc w:val="both"/>
        <w:rPr>
          <w:sz w:val="24"/>
        </w:rPr>
      </w:pPr>
      <w:r w:rsidRPr="00D043A6">
        <w:rPr>
          <w:sz w:val="24"/>
        </w:rPr>
        <w:t>Rotācijas fonds ir ilgtermiņa finan</w:t>
      </w:r>
      <w:r w:rsidR="00F87342" w:rsidRPr="00D043A6">
        <w:rPr>
          <w:sz w:val="24"/>
        </w:rPr>
        <w:t>š</w:t>
      </w:r>
      <w:r w:rsidRPr="00D043A6">
        <w:rPr>
          <w:sz w:val="24"/>
        </w:rPr>
        <w:t xml:space="preserve">u instruments, kas tiek izveidots rentablu finanšu investīciju projektu īstenošanai, nodrošinot to finansēšanu ar zemiem procentiem. Šādu fondu pamatkapitālu veido </w:t>
      </w:r>
      <w:r w:rsidR="00B43303" w:rsidRPr="00D043A6">
        <w:rPr>
          <w:sz w:val="24"/>
        </w:rPr>
        <w:t>līdzfinansējums</w:t>
      </w:r>
      <w:r w:rsidRPr="00D043A6">
        <w:rPr>
          <w:sz w:val="24"/>
        </w:rPr>
        <w:t xml:space="preserve"> no atbilstošās valsts un tās pašvaldībām, donoru institūciju līdzekļi, kā arī atsevišķos gadījumos – finansējums no Eiropas Savienības atbalsta līdzekļiem. Rotācijas fonda ietvaros </w:t>
      </w:r>
      <w:r w:rsidR="00F87342" w:rsidRPr="00D043A6">
        <w:rPr>
          <w:sz w:val="24"/>
        </w:rPr>
        <w:t xml:space="preserve">tiek </w:t>
      </w:r>
      <w:r w:rsidRPr="00D043A6">
        <w:rPr>
          <w:sz w:val="24"/>
        </w:rPr>
        <w:t>finansēti tikai tādi projekti, kas var nodrošināt līdzekļu atmaksāšanos noteiktā laika periodā, atmaksātos līdzekļus izmantojot nāk</w:t>
      </w:r>
      <w:r w:rsidR="0066572D" w:rsidRPr="00D043A6">
        <w:rPr>
          <w:sz w:val="24"/>
        </w:rPr>
        <w:t>am</w:t>
      </w:r>
      <w:r w:rsidRPr="00D043A6">
        <w:rPr>
          <w:sz w:val="24"/>
        </w:rPr>
        <w:t>o projektu kreditēšanai. Tā ir pasaulē plaši izmantota finanšu shēma dažādu aktivitāšu veicināšanai (piemēram, mazo un vidējo uzņēmumu attīstībai, ūdens apgādes vai atkritumu apsaimniekošanas sistēmas modernizācijai), tomēr viens no redzamākajiem virzieniem ir energoefektivitātes veicināšana valsts un pašvaldības īpašumos, kā arī privātīpašumos.</w:t>
      </w:r>
    </w:p>
    <w:p w:rsidR="00627865" w:rsidRPr="00D043A6" w:rsidRDefault="00627865" w:rsidP="0078351E">
      <w:pPr>
        <w:ind w:firstLine="720"/>
        <w:jc w:val="both"/>
        <w:rPr>
          <w:sz w:val="24"/>
        </w:rPr>
      </w:pPr>
      <w:r w:rsidRPr="00D043A6">
        <w:rPr>
          <w:sz w:val="24"/>
        </w:rPr>
        <w:t xml:space="preserve">Daudzdzīvokļu dzīvojamās ēkas renovācijas gadījumā fonda piešķirtā kredīta saņēmējs var būt </w:t>
      </w:r>
      <w:r w:rsidR="0078351E" w:rsidRPr="00D043A6">
        <w:rPr>
          <w:sz w:val="24"/>
        </w:rPr>
        <w:t xml:space="preserve">gan </w:t>
      </w:r>
      <w:r w:rsidR="003A3DD7" w:rsidRPr="00D043A6">
        <w:rPr>
          <w:sz w:val="24"/>
        </w:rPr>
        <w:t>dzīvokļu īpašnieki</w:t>
      </w:r>
      <w:r w:rsidRPr="00D043A6">
        <w:rPr>
          <w:sz w:val="24"/>
        </w:rPr>
        <w:t xml:space="preserve">, kas izmanto kredītu savas līdzfinansējuma daļas segšanai mājas renovācijā, </w:t>
      </w:r>
      <w:r w:rsidR="0078351E" w:rsidRPr="00D043A6">
        <w:rPr>
          <w:sz w:val="24"/>
        </w:rPr>
        <w:t xml:space="preserve">gan ESKO vai </w:t>
      </w:r>
      <w:r w:rsidRPr="00D043A6">
        <w:rPr>
          <w:sz w:val="24"/>
        </w:rPr>
        <w:t>PEKO</w:t>
      </w:r>
      <w:r w:rsidR="0066572D" w:rsidRPr="00D043A6">
        <w:rPr>
          <w:rStyle w:val="FootnoteReference"/>
          <w:sz w:val="24"/>
        </w:rPr>
        <w:footnoteReference w:id="30"/>
      </w:r>
      <w:r w:rsidRPr="00D043A6">
        <w:rPr>
          <w:sz w:val="24"/>
        </w:rPr>
        <w:t xml:space="preserve"> – renovācijas projekta īstenošanai. Kredīti tiek izsniegti uz noteiktu laiku un ar fiksētu </w:t>
      </w:r>
      <w:r w:rsidR="0066572D" w:rsidRPr="00D043A6">
        <w:rPr>
          <w:sz w:val="24"/>
        </w:rPr>
        <w:t>procentu</w:t>
      </w:r>
      <w:r w:rsidRPr="00D043A6">
        <w:rPr>
          <w:sz w:val="24"/>
        </w:rPr>
        <w:t xml:space="preserve"> likmi. Kredīta atmaks</w:t>
      </w:r>
      <w:r w:rsidR="0066572D" w:rsidRPr="00D043A6">
        <w:rPr>
          <w:sz w:val="24"/>
        </w:rPr>
        <w:t>a</w:t>
      </w:r>
      <w:r w:rsidRPr="00D043A6">
        <w:rPr>
          <w:sz w:val="24"/>
        </w:rPr>
        <w:t xml:space="preserve"> tiek veikta pēc renovācijas beigām, veidojoties līdzekļu ekonomijai.  </w:t>
      </w:r>
    </w:p>
    <w:p w:rsidR="00627865" w:rsidRPr="00D043A6" w:rsidRDefault="00627865" w:rsidP="008F0082">
      <w:pPr>
        <w:ind w:firstLine="720"/>
        <w:jc w:val="both"/>
        <w:rPr>
          <w:sz w:val="24"/>
        </w:rPr>
      </w:pPr>
      <w:r w:rsidRPr="00D043A6">
        <w:rPr>
          <w:sz w:val="24"/>
        </w:rPr>
        <w:t xml:space="preserve">Kā </w:t>
      </w:r>
      <w:r w:rsidR="00E57A22" w:rsidRPr="00D043A6">
        <w:rPr>
          <w:sz w:val="24"/>
        </w:rPr>
        <w:t xml:space="preserve">piemērs </w:t>
      </w:r>
      <w:r w:rsidRPr="00D043A6">
        <w:rPr>
          <w:sz w:val="24"/>
        </w:rPr>
        <w:t xml:space="preserve">Rotācijas fonda </w:t>
      </w:r>
      <w:r w:rsidR="00E57A22" w:rsidRPr="00D043A6">
        <w:rPr>
          <w:sz w:val="24"/>
        </w:rPr>
        <w:t xml:space="preserve">darbībai </w:t>
      </w:r>
      <w:r w:rsidRPr="00D043A6">
        <w:rPr>
          <w:sz w:val="24"/>
        </w:rPr>
        <w:t>valsts līmenī ir minama Igaunij</w:t>
      </w:r>
      <w:r w:rsidR="00EA1369" w:rsidRPr="00D043A6">
        <w:rPr>
          <w:sz w:val="24"/>
        </w:rPr>
        <w:t>a</w:t>
      </w:r>
      <w:r w:rsidRPr="00D043A6">
        <w:rPr>
          <w:sz w:val="24"/>
        </w:rPr>
        <w:t xml:space="preserve"> un Lietuv</w:t>
      </w:r>
      <w:r w:rsidR="00EA1369" w:rsidRPr="00D043A6">
        <w:rPr>
          <w:sz w:val="24"/>
        </w:rPr>
        <w:t>a</w:t>
      </w:r>
      <w:r w:rsidR="00790D72" w:rsidRPr="00D043A6">
        <w:rPr>
          <w:sz w:val="24"/>
        </w:rPr>
        <w:t xml:space="preserve">, kur šādi fondi </w:t>
      </w:r>
      <w:r w:rsidR="00E57A22" w:rsidRPr="00D043A6">
        <w:rPr>
          <w:sz w:val="24"/>
        </w:rPr>
        <w:t>darbojas</w:t>
      </w:r>
      <w:r w:rsidRPr="00D043A6">
        <w:rPr>
          <w:sz w:val="24"/>
        </w:rPr>
        <w:t xml:space="preserve">, piesaistot bez valsts budžeta līdzekļiem arī struktūrfondu </w:t>
      </w:r>
      <w:r w:rsidR="00EA1369" w:rsidRPr="00D043A6">
        <w:rPr>
          <w:sz w:val="24"/>
        </w:rPr>
        <w:t xml:space="preserve">finansējumu </w:t>
      </w:r>
      <w:r w:rsidRPr="00D043A6">
        <w:rPr>
          <w:sz w:val="24"/>
        </w:rPr>
        <w:t>un starptautisko banku ilgtermiņa kredītus ar zemiem procentiem. Lietuvā kredītus izsniedz uz</w:t>
      </w:r>
      <w:r w:rsidR="006F3213" w:rsidRPr="00D043A6">
        <w:rPr>
          <w:sz w:val="24"/>
        </w:rPr>
        <w:t xml:space="preserve"> termiņu līdz</w:t>
      </w:r>
      <w:r w:rsidRPr="00D043A6">
        <w:rPr>
          <w:sz w:val="24"/>
        </w:rPr>
        <w:t xml:space="preserve"> </w:t>
      </w:r>
      <w:r w:rsidR="00405A04" w:rsidRPr="00D043A6">
        <w:rPr>
          <w:sz w:val="24"/>
        </w:rPr>
        <w:t>20</w:t>
      </w:r>
      <w:r w:rsidRPr="00D043A6">
        <w:rPr>
          <w:sz w:val="24"/>
        </w:rPr>
        <w:t xml:space="preserve"> gadiem ar </w:t>
      </w:r>
      <w:r w:rsidR="006F3213" w:rsidRPr="00D043A6">
        <w:rPr>
          <w:sz w:val="24"/>
        </w:rPr>
        <w:t xml:space="preserve">fiksētu </w:t>
      </w:r>
      <w:r w:rsidRPr="00D043A6">
        <w:rPr>
          <w:sz w:val="24"/>
        </w:rPr>
        <w:t>procentu likmi 3</w:t>
      </w:r>
      <w:r w:rsidR="006F3213" w:rsidRPr="00D043A6">
        <w:rPr>
          <w:sz w:val="24"/>
        </w:rPr>
        <w:t> </w:t>
      </w:r>
      <w:r w:rsidRPr="00D043A6">
        <w:rPr>
          <w:sz w:val="24"/>
        </w:rPr>
        <w:t>%</w:t>
      </w:r>
      <w:r w:rsidR="006F3213" w:rsidRPr="00D043A6">
        <w:rPr>
          <w:sz w:val="24"/>
        </w:rPr>
        <w:t>, atsevišķos gadījumos papildus tiek nodrošināta  līdzfinansējuma daļa 15</w:t>
      </w:r>
      <w:r w:rsidR="00405A04" w:rsidRPr="00D043A6">
        <w:rPr>
          <w:sz w:val="24"/>
        </w:rPr>
        <w:t> % apmērā no valsts budžeta vai no Klimata pārmaiņu programmām.</w:t>
      </w:r>
      <w:r w:rsidRPr="00D043A6">
        <w:rPr>
          <w:sz w:val="24"/>
        </w:rPr>
        <w:t xml:space="preserve"> Igaunijā Rotācijas fonda menedžmentu nodrošina KredEx</w:t>
      </w:r>
      <w:r w:rsidR="006F3213" w:rsidRPr="00D043A6">
        <w:rPr>
          <w:rStyle w:val="FootnoteReference"/>
          <w:sz w:val="24"/>
        </w:rPr>
        <w:footnoteReference w:id="31"/>
      </w:r>
      <w:r w:rsidRPr="00D043A6">
        <w:rPr>
          <w:sz w:val="24"/>
        </w:rPr>
        <w:t xml:space="preserve"> ar fiksēto likmi</w:t>
      </w:r>
      <w:r w:rsidR="006F3213" w:rsidRPr="00D043A6">
        <w:rPr>
          <w:sz w:val="24"/>
        </w:rPr>
        <w:t xml:space="preserve"> līdz</w:t>
      </w:r>
      <w:r w:rsidRPr="00D043A6">
        <w:rPr>
          <w:sz w:val="24"/>
        </w:rPr>
        <w:t xml:space="preserve"> 4,</w:t>
      </w:r>
      <w:r w:rsidR="006F3213" w:rsidRPr="00D043A6">
        <w:rPr>
          <w:sz w:val="24"/>
        </w:rPr>
        <w:t>4</w:t>
      </w:r>
      <w:r w:rsidRPr="00D043A6">
        <w:rPr>
          <w:sz w:val="24"/>
        </w:rPr>
        <w:t>% uz 10 gadiem, izsniedzot kredītus ar vietējo banku starpniecību uz laiku līdz 20 gadiem. Kā mērķis renovācijas rezultātā ir izvirzīts uzlabot energoefektivitātes rādītājus par vismaz 20%</w:t>
      </w:r>
      <w:r w:rsidR="00405A04" w:rsidRPr="00D043A6">
        <w:rPr>
          <w:sz w:val="24"/>
        </w:rPr>
        <w:t xml:space="preserve">. Arī Igaunijā iespējama līdzfinansējuma saņemšana no 25 līdz 35 % apmērā </w:t>
      </w:r>
      <w:r w:rsidR="001D5AB4" w:rsidRPr="00D043A6">
        <w:rPr>
          <w:sz w:val="24"/>
        </w:rPr>
        <w:t>(</w:t>
      </w:r>
      <w:r w:rsidR="00405A04" w:rsidRPr="00D043A6">
        <w:rPr>
          <w:sz w:val="24"/>
        </w:rPr>
        <w:t>procentu likme ir atkarīga no sasniegtā enerģijas ietaupījuma līmeņa</w:t>
      </w:r>
      <w:r w:rsidR="001D5AB4" w:rsidRPr="00D043A6">
        <w:rPr>
          <w:sz w:val="24"/>
        </w:rPr>
        <w:t>)</w:t>
      </w:r>
      <w:r w:rsidRPr="00D043A6">
        <w:rPr>
          <w:sz w:val="24"/>
        </w:rPr>
        <w:t xml:space="preserve">. </w:t>
      </w:r>
      <w:r w:rsidR="001D5AB4" w:rsidRPr="00D043A6">
        <w:rPr>
          <w:sz w:val="24"/>
        </w:rPr>
        <w:t xml:space="preserve">Laika periodā no </w:t>
      </w:r>
      <w:r w:rsidR="00405A04" w:rsidRPr="00D043A6">
        <w:rPr>
          <w:sz w:val="24"/>
        </w:rPr>
        <w:t>2009.</w:t>
      </w:r>
      <w:r w:rsidR="001D5AB4" w:rsidRPr="00D043A6">
        <w:rPr>
          <w:sz w:val="24"/>
        </w:rPr>
        <w:t> </w:t>
      </w:r>
      <w:r w:rsidR="00405A04" w:rsidRPr="00D043A6">
        <w:rPr>
          <w:sz w:val="24"/>
        </w:rPr>
        <w:t>gada jūnija līdz</w:t>
      </w:r>
      <w:r w:rsidR="001D5AB4" w:rsidRPr="00D043A6">
        <w:rPr>
          <w:sz w:val="24"/>
        </w:rPr>
        <w:t xml:space="preserve"> 2011. gada beigām</w:t>
      </w:r>
      <w:r w:rsidR="00405A04" w:rsidRPr="00D043A6">
        <w:rPr>
          <w:sz w:val="24"/>
        </w:rPr>
        <w:t xml:space="preserve"> </w:t>
      </w:r>
      <w:r w:rsidR="001D5AB4" w:rsidRPr="00D043A6">
        <w:rPr>
          <w:sz w:val="24"/>
        </w:rPr>
        <w:t>KredEx noslēdza</w:t>
      </w:r>
      <w:r w:rsidRPr="00D043A6">
        <w:rPr>
          <w:sz w:val="24"/>
        </w:rPr>
        <w:t xml:space="preserve"> </w:t>
      </w:r>
      <w:r w:rsidR="001D5AB4" w:rsidRPr="00D043A6">
        <w:rPr>
          <w:sz w:val="24"/>
        </w:rPr>
        <w:t>230</w:t>
      </w:r>
      <w:r w:rsidRPr="00D043A6">
        <w:rPr>
          <w:sz w:val="24"/>
        </w:rPr>
        <w:t xml:space="preserve"> līgum</w:t>
      </w:r>
      <w:r w:rsidR="001D5AB4" w:rsidRPr="00D043A6">
        <w:rPr>
          <w:sz w:val="24"/>
        </w:rPr>
        <w:t>us</w:t>
      </w:r>
      <w:r w:rsidRPr="00D043A6">
        <w:rPr>
          <w:sz w:val="24"/>
        </w:rPr>
        <w:t xml:space="preserve"> par </w:t>
      </w:r>
      <w:r w:rsidR="001D5AB4" w:rsidRPr="00D043A6">
        <w:rPr>
          <w:sz w:val="24"/>
        </w:rPr>
        <w:t>aizdevumu piešķiršanu ēku renovācijai</w:t>
      </w:r>
      <w:r w:rsidRPr="00D043A6">
        <w:rPr>
          <w:sz w:val="24"/>
        </w:rPr>
        <w:t xml:space="preserve">. </w:t>
      </w:r>
    </w:p>
    <w:p w:rsidR="00627865" w:rsidRPr="00D043A6" w:rsidRDefault="00A50DBF" w:rsidP="004275D4">
      <w:pPr>
        <w:ind w:firstLine="720"/>
        <w:jc w:val="both"/>
        <w:rPr>
          <w:sz w:val="24"/>
        </w:rPr>
      </w:pPr>
      <w:r w:rsidRPr="00D043A6">
        <w:rPr>
          <w:sz w:val="24"/>
        </w:rPr>
        <w:t xml:space="preserve">Bulgārijā </w:t>
      </w:r>
      <w:r w:rsidR="002A3C1F" w:rsidRPr="00D043A6">
        <w:rPr>
          <w:sz w:val="24"/>
        </w:rPr>
        <w:t xml:space="preserve">rotācijas </w:t>
      </w:r>
      <w:r w:rsidR="00627865" w:rsidRPr="00D043A6">
        <w:rPr>
          <w:sz w:val="24"/>
        </w:rPr>
        <w:t xml:space="preserve">fonds </w:t>
      </w:r>
      <w:r w:rsidRPr="00D043A6">
        <w:rPr>
          <w:sz w:val="24"/>
        </w:rPr>
        <w:t xml:space="preserve">(Enerģijas efektivitātes fonds) </w:t>
      </w:r>
      <w:r w:rsidR="00627865" w:rsidRPr="00D043A6">
        <w:rPr>
          <w:sz w:val="24"/>
        </w:rPr>
        <w:t xml:space="preserve">izveidots </w:t>
      </w:r>
      <w:r w:rsidRPr="00D043A6">
        <w:rPr>
          <w:sz w:val="24"/>
        </w:rPr>
        <w:t>2004. gadā</w:t>
      </w:r>
      <w:r w:rsidR="00627865" w:rsidRPr="00D043A6">
        <w:rPr>
          <w:sz w:val="24"/>
        </w:rPr>
        <w:t xml:space="preserve">. </w:t>
      </w:r>
      <w:r w:rsidRPr="00D043A6">
        <w:rPr>
          <w:sz w:val="24"/>
        </w:rPr>
        <w:t>Fonda</w:t>
      </w:r>
      <w:r w:rsidR="00627865" w:rsidRPr="00D043A6">
        <w:rPr>
          <w:sz w:val="24"/>
        </w:rPr>
        <w:t xml:space="preserve"> dibinātāji ir Bulgārijas valdība, Pasaules Banka un Austrijas va</w:t>
      </w:r>
      <w:r w:rsidR="004C1FFE">
        <w:rPr>
          <w:sz w:val="24"/>
        </w:rPr>
        <w:t>ldība. Fonds nodrošina Bulgārijā</w:t>
      </w:r>
      <w:r w:rsidR="00627865" w:rsidRPr="00D043A6">
        <w:rPr>
          <w:sz w:val="24"/>
        </w:rPr>
        <w:t xml:space="preserve"> izvietotos uzņēmumus, pašvaldības un privātpersonas ar aizdevumiem ar pazeminātām procentu likmēm, kā arī daļējām kredītgarantijām, ja aizdevums tiek ņemts no komercbankas. Pašvaldībām un sabiedriskām institūcijām piedāvātā aizdevuma procentu likme ir 5-9</w:t>
      </w:r>
      <w:r w:rsidRPr="00D043A6">
        <w:rPr>
          <w:sz w:val="24"/>
        </w:rPr>
        <w:t> </w:t>
      </w:r>
      <w:r w:rsidR="00627865" w:rsidRPr="00D043A6">
        <w:rPr>
          <w:sz w:val="24"/>
        </w:rPr>
        <w:t>%, bet privātinstitūcijām un privātpersonām 6-10</w:t>
      </w:r>
      <w:r w:rsidRPr="00D043A6">
        <w:rPr>
          <w:sz w:val="24"/>
        </w:rPr>
        <w:t> </w:t>
      </w:r>
      <w:r w:rsidR="00627865" w:rsidRPr="00D043A6">
        <w:rPr>
          <w:sz w:val="24"/>
        </w:rPr>
        <w:t>%. Finanšu atmaksa notiek ne mazāk kā 5 gados. Līdz 2009.</w:t>
      </w:r>
      <w:r w:rsidRPr="00D043A6">
        <w:rPr>
          <w:sz w:val="24"/>
        </w:rPr>
        <w:t> </w:t>
      </w:r>
      <w:r w:rsidR="00627865" w:rsidRPr="00D043A6">
        <w:rPr>
          <w:sz w:val="24"/>
        </w:rPr>
        <w:t>gadam</w:t>
      </w:r>
      <w:r w:rsidRPr="00D043A6">
        <w:rPr>
          <w:sz w:val="24"/>
        </w:rPr>
        <w:t xml:space="preserve"> no fonda</w:t>
      </w:r>
      <w:r w:rsidR="00627865" w:rsidRPr="00D043A6">
        <w:rPr>
          <w:sz w:val="24"/>
        </w:rPr>
        <w:t xml:space="preserve"> </w:t>
      </w:r>
      <w:r w:rsidRPr="00D043A6">
        <w:rPr>
          <w:sz w:val="24"/>
        </w:rPr>
        <w:t>bija</w:t>
      </w:r>
      <w:r w:rsidR="00627865" w:rsidRPr="00D043A6">
        <w:rPr>
          <w:sz w:val="24"/>
        </w:rPr>
        <w:t xml:space="preserve"> finansēti 77 projekti, no kuriem lielākā daļa (72) ir saistīta ar ēku energoefektivitātes uzlabošanu. </w:t>
      </w:r>
    </w:p>
    <w:p w:rsidR="00627865" w:rsidRPr="00D043A6" w:rsidRDefault="004C1FFE" w:rsidP="003A3DD7">
      <w:pPr>
        <w:ind w:firstLine="720"/>
        <w:jc w:val="both"/>
        <w:rPr>
          <w:sz w:val="24"/>
        </w:rPr>
      </w:pPr>
      <w:r>
        <w:rPr>
          <w:sz w:val="24"/>
        </w:rPr>
        <w:t>Savukārt</w:t>
      </w:r>
      <w:r w:rsidR="00627865" w:rsidRPr="00D043A6">
        <w:rPr>
          <w:sz w:val="24"/>
        </w:rPr>
        <w:t xml:space="preserve"> Ungārijā šāds fonds (Enerģijas taupības kredīta fonds) darbojas jau kopš 1991.gada, kad tika piesaistīti 18 </w:t>
      </w:r>
      <w:r w:rsidR="00FF57D5" w:rsidRPr="00D043A6">
        <w:rPr>
          <w:sz w:val="24"/>
        </w:rPr>
        <w:t xml:space="preserve">miljoni </w:t>
      </w:r>
      <w:r w:rsidR="00627865" w:rsidRPr="00D043A6">
        <w:rPr>
          <w:sz w:val="24"/>
        </w:rPr>
        <w:t xml:space="preserve">USD no Vācijas Ogļu palīdzības instrumenta. </w:t>
      </w:r>
      <w:r w:rsidR="00627865" w:rsidRPr="00D043A6">
        <w:rPr>
          <w:sz w:val="24"/>
        </w:rPr>
        <w:lastRenderedPageBreak/>
        <w:t xml:space="preserve">Vācijas valdība katru gadu piešķir 700 </w:t>
      </w:r>
      <w:r w:rsidR="00753A3D" w:rsidRPr="00D043A6">
        <w:rPr>
          <w:sz w:val="24"/>
        </w:rPr>
        <w:t xml:space="preserve">miljonus </w:t>
      </w:r>
      <w:r w:rsidR="00627865" w:rsidRPr="00D043A6">
        <w:rPr>
          <w:sz w:val="24"/>
        </w:rPr>
        <w:t>HUF</w:t>
      </w:r>
      <w:r w:rsidR="0019692B" w:rsidRPr="00D043A6">
        <w:rPr>
          <w:rStyle w:val="FootnoteReference"/>
          <w:sz w:val="24"/>
        </w:rPr>
        <w:footnoteReference w:id="32"/>
      </w:r>
      <w:r w:rsidR="00627865" w:rsidRPr="00D043A6">
        <w:rPr>
          <w:sz w:val="24"/>
        </w:rPr>
        <w:t xml:space="preserve"> (~2,5 </w:t>
      </w:r>
      <w:r w:rsidR="00753A3D" w:rsidRPr="00D043A6">
        <w:rPr>
          <w:sz w:val="24"/>
        </w:rPr>
        <w:t xml:space="preserve">miljoni </w:t>
      </w:r>
      <w:r w:rsidR="00627865" w:rsidRPr="00D043A6">
        <w:rPr>
          <w:sz w:val="24"/>
        </w:rPr>
        <w:t xml:space="preserve">EUR) fonda darbībai. Finansējums tiek piešķirts ar </w:t>
      </w:r>
      <w:r w:rsidR="0073640F" w:rsidRPr="00D043A6">
        <w:rPr>
          <w:sz w:val="24"/>
        </w:rPr>
        <w:t>procentu</w:t>
      </w:r>
      <w:r w:rsidR="00627865" w:rsidRPr="00D043A6">
        <w:rPr>
          <w:sz w:val="24"/>
        </w:rPr>
        <w:t xml:space="preserve"> likmi, kuru veido 1/3 no Ungārijas centrālās bankas pamatlikmes +</w:t>
      </w:r>
      <w:r w:rsidR="0073640F" w:rsidRPr="00D043A6">
        <w:rPr>
          <w:sz w:val="24"/>
        </w:rPr>
        <w:t> </w:t>
      </w:r>
      <w:r w:rsidR="00627865" w:rsidRPr="00D043A6">
        <w:rPr>
          <w:sz w:val="24"/>
        </w:rPr>
        <w:t>2,5</w:t>
      </w:r>
      <w:r w:rsidR="0073640F" w:rsidRPr="00D043A6">
        <w:rPr>
          <w:sz w:val="24"/>
        </w:rPr>
        <w:t> </w:t>
      </w:r>
      <w:r w:rsidR="00627865" w:rsidRPr="00D043A6">
        <w:rPr>
          <w:sz w:val="24"/>
        </w:rPr>
        <w:t>% (2010.</w:t>
      </w:r>
      <w:r w:rsidR="0073640F" w:rsidRPr="00D043A6">
        <w:rPr>
          <w:sz w:val="24"/>
        </w:rPr>
        <w:t> </w:t>
      </w:r>
      <w:r w:rsidR="00627865" w:rsidRPr="00D043A6">
        <w:rPr>
          <w:sz w:val="24"/>
        </w:rPr>
        <w:t xml:space="preserve">gada maijā </w:t>
      </w:r>
      <w:r w:rsidR="0073640F" w:rsidRPr="00D043A6">
        <w:rPr>
          <w:sz w:val="24"/>
        </w:rPr>
        <w:t>–</w:t>
      </w:r>
      <w:r w:rsidR="00627865" w:rsidRPr="00D043A6">
        <w:rPr>
          <w:sz w:val="24"/>
        </w:rPr>
        <w:t xml:space="preserve"> 4,25</w:t>
      </w:r>
      <w:r w:rsidR="0073640F" w:rsidRPr="00D043A6">
        <w:rPr>
          <w:sz w:val="24"/>
        </w:rPr>
        <w:t> </w:t>
      </w:r>
      <w:r w:rsidR="00627865" w:rsidRPr="00D043A6">
        <w:rPr>
          <w:sz w:val="24"/>
        </w:rPr>
        <w:t xml:space="preserve">%). Fondu apsaimnieko Enerģētikas un informācijas aģentūra, kas atrodas Transporta ministrijas pārraudzībā. </w:t>
      </w:r>
    </w:p>
    <w:p w:rsidR="00DD7BFD" w:rsidRPr="00D043A6" w:rsidRDefault="00DD7BFD" w:rsidP="003A3DD7">
      <w:pPr>
        <w:ind w:firstLine="720"/>
        <w:jc w:val="both"/>
        <w:rPr>
          <w:sz w:val="24"/>
        </w:rPr>
      </w:pPr>
      <w:r w:rsidRPr="00D043A6">
        <w:rPr>
          <w:sz w:val="24"/>
        </w:rPr>
        <w:t>Ekonomikas ministrijas ir uzsākusi darbu pie juridisko aspektu izvērtējuma par vienotas attīstības</w:t>
      </w:r>
      <w:r w:rsidR="005B08B3" w:rsidRPr="00D043A6">
        <w:rPr>
          <w:sz w:val="24"/>
        </w:rPr>
        <w:t xml:space="preserve"> finanšu</w:t>
      </w:r>
      <w:r w:rsidRPr="00D043A6">
        <w:rPr>
          <w:sz w:val="24"/>
        </w:rPr>
        <w:t xml:space="preserve"> institūcijas izveidi</w:t>
      </w:r>
      <w:r w:rsidR="005B08B3" w:rsidRPr="00D043A6">
        <w:rPr>
          <w:rStyle w:val="FootnoteReference"/>
          <w:sz w:val="24"/>
        </w:rPr>
        <w:footnoteReference w:id="33"/>
      </w:r>
      <w:r w:rsidR="00BF41C0" w:rsidRPr="00D043A6">
        <w:rPr>
          <w:sz w:val="24"/>
        </w:rPr>
        <w:t>. Šādas attīstības</w:t>
      </w:r>
      <w:r w:rsidR="00DC5F94" w:rsidRPr="00D043A6">
        <w:rPr>
          <w:sz w:val="24"/>
        </w:rPr>
        <w:t xml:space="preserve"> finanšu</w:t>
      </w:r>
      <w:r w:rsidR="00BF41C0" w:rsidRPr="00D043A6">
        <w:rPr>
          <w:sz w:val="24"/>
        </w:rPr>
        <w:t xml:space="preserve"> institūcijas ietvaros varētu darboties arī iepriekš aprakstītais rotācijas fonds.</w:t>
      </w:r>
      <w:r w:rsidRPr="00D043A6">
        <w:rPr>
          <w:sz w:val="24"/>
        </w:rPr>
        <w:t xml:space="preserve"> </w:t>
      </w:r>
    </w:p>
    <w:p w:rsidR="00E40B61" w:rsidRPr="00D043A6" w:rsidRDefault="00E40B61" w:rsidP="00E40B61">
      <w:pPr>
        <w:ind w:firstLine="720"/>
        <w:jc w:val="both"/>
        <w:rPr>
          <w:sz w:val="24"/>
        </w:rPr>
      </w:pPr>
      <w:r w:rsidRPr="00D043A6">
        <w:rPr>
          <w:sz w:val="24"/>
        </w:rPr>
        <w:t xml:space="preserve">Jānorāda, ka direktīvas 2012/27/ES 20. panta (Valsts energoefektivitātes fonds, finansēšana un tehnisks atbalsts) 4. punktā noteikts, ka dalībvalstis var izveidot valsts energoefektivitātes fondu, kura mērķis ir atbalstīt valsts iniciatīvas energoefektivitātes jomā. </w:t>
      </w:r>
    </w:p>
    <w:p w:rsidR="00E40B61" w:rsidRPr="00D043A6" w:rsidRDefault="00E40B61" w:rsidP="00E40B61">
      <w:pPr>
        <w:ind w:firstLine="720"/>
        <w:jc w:val="both"/>
        <w:rPr>
          <w:sz w:val="24"/>
        </w:rPr>
      </w:pPr>
      <w:r w:rsidRPr="00D043A6">
        <w:rPr>
          <w:sz w:val="24"/>
        </w:rPr>
        <w:t>Saskaņā ar direktīvas 2012/27/ES 20. panta 5. punktu dalībvalstis var ļaut 5. panta 1. punktā izklāstītos pienākumus (katru gadu renovēt 3% no kopējās platības ce</w:t>
      </w:r>
      <w:r w:rsidR="004C1FFE">
        <w:rPr>
          <w:sz w:val="24"/>
        </w:rPr>
        <w:t>ntrālās valdības īpašumā esošās</w:t>
      </w:r>
      <w:r w:rsidRPr="00D043A6">
        <w:rPr>
          <w:sz w:val="24"/>
        </w:rPr>
        <w:t xml:space="preserve"> un izmantotajā</w:t>
      </w:r>
      <w:r w:rsidR="004C1FFE">
        <w:rPr>
          <w:sz w:val="24"/>
        </w:rPr>
        <w:t>s</w:t>
      </w:r>
      <w:r w:rsidRPr="00D043A6">
        <w:rPr>
          <w:sz w:val="24"/>
        </w:rPr>
        <w:t xml:space="preserve"> apsildāmā</w:t>
      </w:r>
      <w:r w:rsidR="004C1FFE">
        <w:rPr>
          <w:sz w:val="24"/>
        </w:rPr>
        <w:t>s</w:t>
      </w:r>
      <w:r w:rsidRPr="00D043A6">
        <w:rPr>
          <w:sz w:val="24"/>
        </w:rPr>
        <w:t xml:space="preserve"> (un/vai dzesējamā</w:t>
      </w:r>
      <w:r w:rsidR="004C1FFE">
        <w:rPr>
          <w:sz w:val="24"/>
        </w:rPr>
        <w:t>s</w:t>
      </w:r>
      <w:r w:rsidRPr="00D043A6">
        <w:rPr>
          <w:sz w:val="24"/>
        </w:rPr>
        <w:t xml:space="preserve">) ēkās, lai izpildītu vismaz minimālās energoefektivitātes prasības) izpildīt, katru gadu valsts energoefektivitātes fondā iemaksājot summu, kas ir līdzvērtīga ieguldījumiem, kuri būtu nepieciešami, lai izpildītu minētos pienākumus. </w:t>
      </w:r>
    </w:p>
    <w:p w:rsidR="00627865" w:rsidRPr="00D043A6" w:rsidRDefault="00E40B61" w:rsidP="00E40B61">
      <w:pPr>
        <w:ind w:firstLine="720"/>
        <w:jc w:val="both"/>
        <w:rPr>
          <w:sz w:val="24"/>
        </w:rPr>
      </w:pPr>
      <w:r w:rsidRPr="00D043A6">
        <w:rPr>
          <w:sz w:val="24"/>
        </w:rPr>
        <w:t>Direktīvas 20. panta 6. punkts nosaka, ka dalībvalstis var noteikt, ka atbildīgās puses savus 7. panta 1. punktā paredzētos pienākumus (enerģijas sadales uzņēmumiem un enerģijas mazumtirdzniecības uzņēmumiem sasniegt enerģijas galapatēriņa ietaupījumu) var izpildīt, katru gadu valsts energoefektivitātes fondā iemaksājot summu, kas ir līdzvērtīga ieguldījumiem, kuri būtu nepieciešami, lai izpildītu minētos pienākumus.</w:t>
      </w:r>
    </w:p>
    <w:p w:rsidR="0078351E" w:rsidRPr="00D043A6" w:rsidRDefault="001C2CF5" w:rsidP="0078351E">
      <w:pPr>
        <w:pStyle w:val="Heading2"/>
      </w:pPr>
      <w:bookmarkStart w:id="33" w:name="_Toc353811851"/>
      <w:r w:rsidRPr="00D043A6">
        <w:t>N</w:t>
      </w:r>
      <w:r w:rsidR="00250C6C" w:rsidRPr="00D043A6">
        <w:t>odokļu</w:t>
      </w:r>
      <w:r w:rsidRPr="00D043A6">
        <w:t xml:space="preserve"> politika un</w:t>
      </w:r>
      <w:r w:rsidR="00250C6C" w:rsidRPr="00D043A6">
        <w:t xml:space="preserve"> atvieglojumi</w:t>
      </w:r>
      <w:bookmarkEnd w:id="33"/>
    </w:p>
    <w:p w:rsidR="000B4F5C" w:rsidRPr="00D043A6" w:rsidRDefault="00FF57D5" w:rsidP="000B4F5C">
      <w:pPr>
        <w:ind w:firstLine="720"/>
        <w:jc w:val="both"/>
        <w:rPr>
          <w:sz w:val="24"/>
        </w:rPr>
      </w:pPr>
      <w:r w:rsidRPr="00D043A6">
        <w:rPr>
          <w:sz w:val="24"/>
        </w:rPr>
        <w:t>R</w:t>
      </w:r>
      <w:r w:rsidR="004C1FFE">
        <w:rPr>
          <w:sz w:val="24"/>
        </w:rPr>
        <w:t>egulējumu nekustamā īpašuma</w:t>
      </w:r>
      <w:r w:rsidRPr="00D043A6">
        <w:rPr>
          <w:sz w:val="24"/>
        </w:rPr>
        <w:t xml:space="preserve"> </w:t>
      </w:r>
      <w:r w:rsidR="004C1FFE">
        <w:rPr>
          <w:sz w:val="24"/>
        </w:rPr>
        <w:t>(t.sk. ēku) nodokļa</w:t>
      </w:r>
      <w:r w:rsidRPr="00D043A6">
        <w:rPr>
          <w:sz w:val="24"/>
        </w:rPr>
        <w:t xml:space="preserve"> piemērošanai nosaka likums </w:t>
      </w:r>
      <w:r w:rsidR="00E57A22" w:rsidRPr="00D043A6">
        <w:rPr>
          <w:sz w:val="24"/>
        </w:rPr>
        <w:t>„</w:t>
      </w:r>
      <w:r w:rsidRPr="00D043A6">
        <w:rPr>
          <w:sz w:val="24"/>
        </w:rPr>
        <w:t>Par nekustamā īpašuma nodokli</w:t>
      </w:r>
      <w:r w:rsidR="00E57A22" w:rsidRPr="00D043A6">
        <w:rPr>
          <w:sz w:val="24"/>
        </w:rPr>
        <w:t>”</w:t>
      </w:r>
      <w:r w:rsidRPr="00D043A6">
        <w:rPr>
          <w:sz w:val="24"/>
        </w:rPr>
        <w:t>.</w:t>
      </w:r>
      <w:r w:rsidR="00753A3D" w:rsidRPr="00D043A6">
        <w:rPr>
          <w:sz w:val="24"/>
        </w:rPr>
        <w:t xml:space="preserve"> </w:t>
      </w:r>
    </w:p>
    <w:p w:rsidR="00A245E5" w:rsidRPr="00A245E5" w:rsidRDefault="005E6473" w:rsidP="00A245E5">
      <w:pPr>
        <w:ind w:firstLine="720"/>
        <w:jc w:val="both"/>
        <w:rPr>
          <w:sz w:val="24"/>
        </w:rPr>
      </w:pPr>
      <w:r w:rsidRPr="00D043A6">
        <w:rPr>
          <w:sz w:val="24"/>
        </w:rPr>
        <w:t xml:space="preserve">No 2013. gada 1. janvāra stājas spēkā grozījumi </w:t>
      </w:r>
      <w:r w:rsidR="00E57A22" w:rsidRPr="00D043A6">
        <w:rPr>
          <w:sz w:val="24"/>
        </w:rPr>
        <w:t>likumā „Par nekustamā īpašuma nodokli”</w:t>
      </w:r>
      <w:r w:rsidR="004C1FFE">
        <w:rPr>
          <w:sz w:val="24"/>
        </w:rPr>
        <w:t>,</w:t>
      </w:r>
      <w:r w:rsidR="00E57A22" w:rsidRPr="00D043A6">
        <w:rPr>
          <w:sz w:val="24"/>
        </w:rPr>
        <w:t xml:space="preserve"> </w:t>
      </w:r>
      <w:r w:rsidR="00A245E5" w:rsidRPr="00A245E5">
        <w:rPr>
          <w:sz w:val="24"/>
        </w:rPr>
        <w:t xml:space="preserve">kas nosaka, ka </w:t>
      </w:r>
      <w:r w:rsidR="00A245E5" w:rsidRPr="00461E72">
        <w:rPr>
          <w:sz w:val="24"/>
        </w:rPr>
        <w:t>nekustamā īpašuma nodokļa likmi vai likmes no 0,2 līdz 3 procentiem no nekustamā īpašuma kadastrālās vērtības nosaka pašvaldība savos saistošajos noteikumos, kurus tā publicē līdz pirmstaksācijas gada 1.novembrim, kā arī paredz nekustamā īpašuma nodokļa likmju un nodokļa atvieglojumu noteikšanas principus pašvaldību saistošajos noteikumos</w:t>
      </w:r>
      <w:r w:rsidR="00A245E5" w:rsidRPr="00A245E5">
        <w:rPr>
          <w:sz w:val="24"/>
        </w:rPr>
        <w:t>.</w:t>
      </w:r>
    </w:p>
    <w:p w:rsidR="00A245E5" w:rsidRPr="00A245E5" w:rsidRDefault="00A245E5" w:rsidP="00A245E5">
      <w:pPr>
        <w:ind w:firstLine="720"/>
        <w:jc w:val="both"/>
        <w:rPr>
          <w:sz w:val="24"/>
        </w:rPr>
      </w:pPr>
      <w:r w:rsidRPr="00A245E5">
        <w:rPr>
          <w:sz w:val="24"/>
        </w:rPr>
        <w:t xml:space="preserve">Nosakot nekustamā īpašuma nodokļa likmi vai likmes, pašvaldībai ir jāievēro šādi principi: </w:t>
      </w:r>
    </w:p>
    <w:p w:rsidR="00A245E5" w:rsidRPr="00A245E5" w:rsidRDefault="00A245E5" w:rsidP="00A245E5">
      <w:pPr>
        <w:ind w:firstLine="720"/>
        <w:jc w:val="both"/>
        <w:rPr>
          <w:sz w:val="24"/>
        </w:rPr>
      </w:pPr>
      <w:r w:rsidRPr="00A245E5">
        <w:rPr>
          <w:sz w:val="24"/>
        </w:rPr>
        <w:t xml:space="preserve">1) objektīva grupējuma princips, saskaņā ar kuru nodokļa maksātāji vai nodokļa objekti tiek grupēti atbilstoši objektīviem kritērijiem; </w:t>
      </w:r>
    </w:p>
    <w:p w:rsidR="00A245E5" w:rsidRPr="00A245E5" w:rsidRDefault="00A245E5" w:rsidP="00A245E5">
      <w:pPr>
        <w:ind w:firstLine="720"/>
        <w:jc w:val="both"/>
        <w:rPr>
          <w:sz w:val="24"/>
        </w:rPr>
      </w:pPr>
      <w:r w:rsidRPr="00A245E5">
        <w:rPr>
          <w:sz w:val="24"/>
        </w:rPr>
        <w:t xml:space="preserve">2) efektivitātes princips, saskaņā ar kuru pašvaldība samēro nodokļa administrēšanas izdevumus ar nodokļa ieņēmumiem; </w:t>
      </w:r>
    </w:p>
    <w:p w:rsidR="00A245E5" w:rsidRPr="00A245E5" w:rsidRDefault="00A245E5" w:rsidP="00A245E5">
      <w:pPr>
        <w:ind w:firstLine="720"/>
        <w:jc w:val="both"/>
        <w:rPr>
          <w:sz w:val="24"/>
        </w:rPr>
      </w:pPr>
      <w:r w:rsidRPr="00A245E5">
        <w:rPr>
          <w:sz w:val="24"/>
        </w:rPr>
        <w:t xml:space="preserve">3) atbildīgas budžeta plānošanas princips, saskaņā ar kuru pašvaldība salāgo savus pienākumus ar to izpildei nepieciešamajiem līdzekļiem; </w:t>
      </w:r>
    </w:p>
    <w:p w:rsidR="00A245E5" w:rsidRPr="00A245E5" w:rsidRDefault="00A245E5" w:rsidP="00A245E5">
      <w:pPr>
        <w:ind w:firstLine="720"/>
        <w:jc w:val="both"/>
        <w:rPr>
          <w:sz w:val="24"/>
        </w:rPr>
      </w:pPr>
      <w:r w:rsidRPr="00A245E5">
        <w:rPr>
          <w:sz w:val="24"/>
        </w:rPr>
        <w:t xml:space="preserve">4) prognozējamības un stabilitātes princips, saskaņā ar kuru nodokļa likmes laikus tiek noteiktas vismaz divu taksācijas gadu periodam, ja nekustamā īpašuma bāzes vērtības palielinājums vai samazinājums, salīdzinot bāzes vērtības taksācijas gadā un pirmstaksācijas gadā, ir mazāks par 20 procentiem. </w:t>
      </w:r>
    </w:p>
    <w:p w:rsidR="00A245E5" w:rsidRPr="00A245E5" w:rsidRDefault="00A245E5" w:rsidP="00A245E5">
      <w:pPr>
        <w:ind w:firstLine="720"/>
        <w:jc w:val="both"/>
        <w:rPr>
          <w:sz w:val="24"/>
        </w:rPr>
      </w:pPr>
      <w:r w:rsidRPr="00A245E5">
        <w:rPr>
          <w:sz w:val="24"/>
        </w:rPr>
        <w:lastRenderedPageBreak/>
        <w:t xml:space="preserve">Savukārt, nosakot nekustamā īpašuma nodokļa likmi vai likmes, pašvaldība vēl pēc izvēles var piemērot arī šādus principus: </w:t>
      </w:r>
    </w:p>
    <w:p w:rsidR="00A245E5" w:rsidRPr="00A245E5" w:rsidRDefault="00A245E5" w:rsidP="00A245E5">
      <w:pPr>
        <w:ind w:firstLine="720"/>
        <w:jc w:val="both"/>
        <w:rPr>
          <w:sz w:val="24"/>
        </w:rPr>
      </w:pPr>
      <w:r w:rsidRPr="00A245E5">
        <w:rPr>
          <w:sz w:val="24"/>
        </w:rPr>
        <w:t xml:space="preserve">1) uzņēmējdarbības atbalsta princips, saskaņā ar kuru pašvaldība izmanto nodokļa likmi kā līdzekli savas teritorijas uzņēmēju vai noteiktu uzņēmējdarbības veidu konkurētspējas paaugstināšanai, ievērojot Komisijas 2006.gada 15.decembra regulas (EK) Nr. 1998/2006 par Līguma 87. un 88.panta piemērošanu de minimis atbalstam nosacījumus; </w:t>
      </w:r>
    </w:p>
    <w:p w:rsidR="00A245E5" w:rsidRPr="00A245E5" w:rsidRDefault="00A245E5" w:rsidP="00A245E5">
      <w:pPr>
        <w:ind w:firstLine="720"/>
        <w:jc w:val="both"/>
        <w:rPr>
          <w:sz w:val="24"/>
        </w:rPr>
      </w:pPr>
      <w:r w:rsidRPr="00A245E5">
        <w:rPr>
          <w:sz w:val="24"/>
        </w:rPr>
        <w:t xml:space="preserve">2) teritorijas attīstības un teritorijas sakārtošanas princips, saskaņā ar kuru pašvaldība izmanto nodokļa likmi savas teritorijas attīstības veicināšanai un sakārtošanai. </w:t>
      </w:r>
    </w:p>
    <w:p w:rsidR="00A245E5" w:rsidRPr="00A245E5" w:rsidRDefault="00A245E5" w:rsidP="00A245E5">
      <w:pPr>
        <w:ind w:firstLine="720"/>
        <w:jc w:val="both"/>
        <w:rPr>
          <w:sz w:val="24"/>
        </w:rPr>
      </w:pPr>
      <w:r w:rsidRPr="00A245E5">
        <w:rPr>
          <w:sz w:val="24"/>
        </w:rPr>
        <w:t>Likumā „Par nekustamā īpašuma nodokli” ir paredzēts, ka</w:t>
      </w:r>
      <w:r>
        <w:rPr>
          <w:sz w:val="24"/>
        </w:rPr>
        <w:t>,</w:t>
      </w:r>
      <w:r w:rsidRPr="00A245E5">
        <w:rPr>
          <w:sz w:val="24"/>
        </w:rPr>
        <w:t xml:space="preserve"> nosakot nekustamā īpašuma nodokļa atvieglojumus kopsakarā ar nodokļa likmi vai likmēm, pašvaldība ievēro sociālās atbildības principu, saskaņā ar kuru tā it īpaši ņem vērā nodokļa ietekmi uz sociāli mazaizsargāto un trūcīgo iedzīvotāju grupām.</w:t>
      </w:r>
    </w:p>
    <w:p w:rsidR="00A245E5" w:rsidRDefault="00A245E5" w:rsidP="00A245E5">
      <w:pPr>
        <w:ind w:firstLine="720"/>
        <w:jc w:val="both"/>
        <w:rPr>
          <w:sz w:val="24"/>
        </w:rPr>
      </w:pPr>
      <w:r>
        <w:rPr>
          <w:sz w:val="24"/>
        </w:rPr>
        <w:t>Līdz ar to n</w:t>
      </w:r>
      <w:r w:rsidRPr="00A245E5">
        <w:rPr>
          <w:sz w:val="24"/>
        </w:rPr>
        <w:t>ekustamā īpašuma nodokļa atvieglojumu piešķiršanas tiesības ir nodotas pašvaldību kompetencē. Pašvaldībām</w:t>
      </w:r>
      <w:r>
        <w:rPr>
          <w:sz w:val="24"/>
        </w:rPr>
        <w:t>,</w:t>
      </w:r>
      <w:r w:rsidRPr="00A245E5">
        <w:rPr>
          <w:sz w:val="24"/>
        </w:rPr>
        <w:t xml:space="preserve"> izdodot savus saistošos noteikumus un piemērojot likumā „Par nekustamā īpašuma nodokli” noteiktos principus, ir tiesības piešķirt nekustamā īpašuma atvieglojumus savā teritorijā dzīvojošām personām.</w:t>
      </w:r>
    </w:p>
    <w:p w:rsidR="00FF57D5" w:rsidRPr="00D043A6" w:rsidRDefault="005E6473" w:rsidP="000B4F5C">
      <w:pPr>
        <w:ind w:firstLine="720"/>
        <w:jc w:val="both"/>
        <w:rPr>
          <w:sz w:val="24"/>
        </w:rPr>
      </w:pPr>
      <w:r w:rsidRPr="00D043A6">
        <w:rPr>
          <w:sz w:val="24"/>
        </w:rPr>
        <w:t>Ja pašvaldība līdz noteiktajam termiņam saistošos noteikumus nav izdevusi, d</w:t>
      </w:r>
      <w:r w:rsidR="00FF57D5" w:rsidRPr="00D043A6">
        <w:rPr>
          <w:sz w:val="24"/>
        </w:rPr>
        <w:t xml:space="preserve">zīvojamām mājām </w:t>
      </w:r>
      <w:r w:rsidR="00753A3D" w:rsidRPr="00D043A6">
        <w:rPr>
          <w:sz w:val="24"/>
        </w:rPr>
        <w:t>un dzīvojamo māju daļām nekustamā īpašuma nodokļa likme ir:</w:t>
      </w:r>
    </w:p>
    <w:p w:rsidR="00753A3D" w:rsidRPr="00D043A6" w:rsidRDefault="00753A3D" w:rsidP="00753A3D">
      <w:pPr>
        <w:pStyle w:val="ListParagraph"/>
        <w:numPr>
          <w:ilvl w:val="0"/>
          <w:numId w:val="17"/>
        </w:numPr>
        <w:jc w:val="both"/>
        <w:rPr>
          <w:sz w:val="24"/>
        </w:rPr>
      </w:pPr>
      <w:r w:rsidRPr="00D043A6">
        <w:rPr>
          <w:sz w:val="24"/>
        </w:rPr>
        <w:t>0,2 procenti no kadastrālās vērtības, kas nepārsniedz 40</w:t>
      </w:r>
      <w:r w:rsidR="00BA3EE3" w:rsidRPr="00D043A6">
        <w:rPr>
          <w:sz w:val="24"/>
        </w:rPr>
        <w:t> </w:t>
      </w:r>
      <w:r w:rsidRPr="00D043A6">
        <w:rPr>
          <w:sz w:val="24"/>
        </w:rPr>
        <w:t xml:space="preserve">000 latu, </w:t>
      </w:r>
    </w:p>
    <w:p w:rsidR="00753A3D" w:rsidRPr="00D043A6" w:rsidRDefault="00753A3D" w:rsidP="00753A3D">
      <w:pPr>
        <w:pStyle w:val="ListParagraph"/>
        <w:numPr>
          <w:ilvl w:val="0"/>
          <w:numId w:val="17"/>
        </w:numPr>
        <w:jc w:val="both"/>
        <w:rPr>
          <w:sz w:val="24"/>
        </w:rPr>
      </w:pPr>
      <w:r w:rsidRPr="00D043A6">
        <w:rPr>
          <w:sz w:val="24"/>
        </w:rPr>
        <w:t>0,4 procenti no kadastrālās vērtības daļas, kas pārsniedz 40</w:t>
      </w:r>
      <w:r w:rsidR="00BA3EE3" w:rsidRPr="00D043A6">
        <w:rPr>
          <w:sz w:val="24"/>
        </w:rPr>
        <w:t> </w:t>
      </w:r>
      <w:r w:rsidRPr="00D043A6">
        <w:rPr>
          <w:sz w:val="24"/>
        </w:rPr>
        <w:t xml:space="preserve">000 latu, bet nepārsniedz 75 000 latu, </w:t>
      </w:r>
    </w:p>
    <w:p w:rsidR="00753A3D" w:rsidRPr="00D043A6" w:rsidRDefault="00753A3D" w:rsidP="00753A3D">
      <w:pPr>
        <w:pStyle w:val="ListParagraph"/>
        <w:numPr>
          <w:ilvl w:val="0"/>
          <w:numId w:val="17"/>
        </w:numPr>
        <w:jc w:val="both"/>
        <w:rPr>
          <w:sz w:val="24"/>
        </w:rPr>
      </w:pPr>
      <w:r w:rsidRPr="00D043A6">
        <w:rPr>
          <w:sz w:val="24"/>
        </w:rPr>
        <w:t>0,6 procenti no kadastrālās vērtības daļas, kas pārsniedz 75</w:t>
      </w:r>
      <w:r w:rsidR="00BA3EE3" w:rsidRPr="00D043A6">
        <w:rPr>
          <w:sz w:val="24"/>
        </w:rPr>
        <w:t> </w:t>
      </w:r>
      <w:r w:rsidRPr="00D043A6">
        <w:rPr>
          <w:sz w:val="24"/>
        </w:rPr>
        <w:t>000 latu.</w:t>
      </w:r>
    </w:p>
    <w:p w:rsidR="00753A3D" w:rsidRPr="00D043A6" w:rsidRDefault="005F25A0" w:rsidP="000B4F5C">
      <w:pPr>
        <w:ind w:firstLine="720"/>
        <w:jc w:val="both"/>
        <w:rPr>
          <w:sz w:val="24"/>
        </w:rPr>
      </w:pPr>
      <w:r w:rsidRPr="00D043A6">
        <w:rPr>
          <w:sz w:val="24"/>
        </w:rPr>
        <w:t>Nekustamā īpašuma nodokli aprēķina no nekustamā īpašuma nodokļa objekta kadastrālās vērtības pēc stāvokļa taksācijas gada 1.janvārī. Ja nekustamā īpašuma nodokļa objekts Nekustamā īpašuma valsts kadastra informācijas sistēmā reģistrēts taksācijas gada laikā, nodokli aprēķina no kadastrālās vērtības objekta reģistrācijas brīdī. Minimālais nekustamā īpašuma nodokļa maksājums katram nodokļa maksātājam katrā pašvaldībā ir 5 lati.</w:t>
      </w:r>
    </w:p>
    <w:p w:rsidR="00886BF8" w:rsidRPr="00D043A6" w:rsidRDefault="000A341F" w:rsidP="000A341F">
      <w:pPr>
        <w:ind w:firstLine="720"/>
        <w:jc w:val="both"/>
        <w:rPr>
          <w:sz w:val="24"/>
        </w:rPr>
      </w:pPr>
      <w:r w:rsidRPr="00D043A6">
        <w:rPr>
          <w:sz w:val="24"/>
        </w:rPr>
        <w:t>Pie esošās nekustamā īpašuma nodokļu politikas, rekonstruējot vai renovējot ēku, pieaug tās kadastrālā vērtība un līdz ar to nekustamā īpašuma nodokļa likme. Ēku rekonst</w:t>
      </w:r>
      <w:r w:rsidR="00D918A5">
        <w:rPr>
          <w:sz w:val="24"/>
        </w:rPr>
        <w:t>ruk</w:t>
      </w:r>
      <w:r w:rsidRPr="00D043A6">
        <w:rPr>
          <w:sz w:val="24"/>
        </w:rPr>
        <w:t xml:space="preserve">cija un renovācija </w:t>
      </w:r>
      <w:r w:rsidR="00886BF8" w:rsidRPr="00D043A6">
        <w:rPr>
          <w:sz w:val="24"/>
        </w:rPr>
        <w:t>prasa ievērojamas investīcijas, kā arī vairumā gadījumu nepieciešamību uzņemties finansiālas saistības pret kreditoriem.</w:t>
      </w:r>
    </w:p>
    <w:p w:rsidR="005B0145" w:rsidRDefault="00D077FB" w:rsidP="00032ECE">
      <w:pPr>
        <w:ind w:firstLine="720"/>
        <w:jc w:val="both"/>
        <w:rPr>
          <w:sz w:val="24"/>
        </w:rPr>
      </w:pPr>
      <w:r w:rsidRPr="00D043A6">
        <w:rPr>
          <w:sz w:val="24"/>
        </w:rPr>
        <w:t>Normatīv</w:t>
      </w:r>
      <w:r w:rsidR="001676A0">
        <w:rPr>
          <w:sz w:val="24"/>
        </w:rPr>
        <w:t>ajos</w:t>
      </w:r>
      <w:r w:rsidRPr="00D043A6">
        <w:rPr>
          <w:sz w:val="24"/>
        </w:rPr>
        <w:t xml:space="preserve"> aktos nav </w:t>
      </w:r>
      <w:r w:rsidR="00A8648A" w:rsidRPr="00D043A6">
        <w:rPr>
          <w:sz w:val="24"/>
        </w:rPr>
        <w:t xml:space="preserve">atsevišķi </w:t>
      </w:r>
      <w:r w:rsidRPr="00D043A6">
        <w:rPr>
          <w:sz w:val="24"/>
        </w:rPr>
        <w:t>noteikti nodokļu atvieglojumi</w:t>
      </w:r>
      <w:r w:rsidR="00A8648A" w:rsidRPr="00D043A6">
        <w:rPr>
          <w:sz w:val="24"/>
        </w:rPr>
        <w:t xml:space="preserve"> attiecībā uz rekonstruētām vai renovētām</w:t>
      </w:r>
      <w:r w:rsidRPr="00D043A6">
        <w:rPr>
          <w:sz w:val="24"/>
        </w:rPr>
        <w:t xml:space="preserve"> ēk</w:t>
      </w:r>
      <w:r w:rsidR="00A8648A" w:rsidRPr="00D043A6">
        <w:rPr>
          <w:sz w:val="24"/>
        </w:rPr>
        <w:t>ām</w:t>
      </w:r>
      <w:r w:rsidR="00EB0DE3" w:rsidRPr="00D043A6">
        <w:rPr>
          <w:sz w:val="24"/>
        </w:rPr>
        <w:t xml:space="preserve">, taču nekustamā īpašuma nodokļu politika var kalpot par </w:t>
      </w:r>
      <w:r w:rsidR="00035DBC" w:rsidRPr="00D043A6">
        <w:rPr>
          <w:sz w:val="24"/>
        </w:rPr>
        <w:t xml:space="preserve">instrumentu gan ēku energoefektivitātes </w:t>
      </w:r>
      <w:r w:rsidR="005B0145">
        <w:rPr>
          <w:sz w:val="24"/>
        </w:rPr>
        <w:t xml:space="preserve">veicināšanai, kā </w:t>
      </w:r>
      <w:r w:rsidR="00035DBC" w:rsidRPr="00D043A6">
        <w:rPr>
          <w:sz w:val="24"/>
        </w:rPr>
        <w:t>arī no atjaunojamiem energoresursiem iegūtas enerģijas izmantošanai ēkās.</w:t>
      </w:r>
      <w:r w:rsidR="005B0145">
        <w:rPr>
          <w:sz w:val="24"/>
        </w:rPr>
        <w:t xml:space="preserve"> </w:t>
      </w:r>
    </w:p>
    <w:p w:rsidR="00724806" w:rsidRDefault="005F1478" w:rsidP="00032ECE">
      <w:pPr>
        <w:ind w:firstLine="720"/>
        <w:jc w:val="both"/>
        <w:rPr>
          <w:sz w:val="24"/>
        </w:rPr>
      </w:pPr>
      <w:r>
        <w:rPr>
          <w:sz w:val="24"/>
        </w:rPr>
        <w:t xml:space="preserve">Likuma </w:t>
      </w:r>
      <w:r w:rsidR="004C1FFE">
        <w:rPr>
          <w:sz w:val="24"/>
        </w:rPr>
        <w:t>„</w:t>
      </w:r>
      <w:r w:rsidRPr="005B0145">
        <w:rPr>
          <w:sz w:val="24"/>
        </w:rPr>
        <w:t>Par nekustamā īpašuma nodokli</w:t>
      </w:r>
      <w:r w:rsidR="004C1FFE">
        <w:rPr>
          <w:sz w:val="24"/>
        </w:rPr>
        <w:t>” 5. panta</w:t>
      </w:r>
      <w:r>
        <w:rPr>
          <w:sz w:val="24"/>
        </w:rPr>
        <w:t xml:space="preserve"> </w:t>
      </w:r>
      <w:r w:rsidR="004C1FFE">
        <w:rPr>
          <w:sz w:val="24"/>
        </w:rPr>
        <w:t>trešajā līdz piektajā daļā</w:t>
      </w:r>
      <w:r w:rsidR="00724806">
        <w:rPr>
          <w:sz w:val="24"/>
        </w:rPr>
        <w:t xml:space="preserve"> noteikti nosacījumi, kādā</w:t>
      </w:r>
      <w:r w:rsidRPr="005F1478">
        <w:rPr>
          <w:sz w:val="24"/>
        </w:rPr>
        <w:t xml:space="preserve"> </w:t>
      </w:r>
      <w:r>
        <w:rPr>
          <w:sz w:val="24"/>
        </w:rPr>
        <w:t>p</w:t>
      </w:r>
      <w:r w:rsidRPr="005F1478">
        <w:rPr>
          <w:sz w:val="24"/>
        </w:rPr>
        <w:t>ašvaldības</w:t>
      </w:r>
      <w:r w:rsidR="00724806">
        <w:rPr>
          <w:sz w:val="24"/>
        </w:rPr>
        <w:t xml:space="preserve"> ar saistošiem noteikumiem var noteikt </w:t>
      </w:r>
      <w:r w:rsidR="00724806" w:rsidRPr="005F1478">
        <w:rPr>
          <w:sz w:val="24"/>
        </w:rPr>
        <w:t>atvieglojum</w:t>
      </w:r>
      <w:r w:rsidR="00724806">
        <w:rPr>
          <w:sz w:val="24"/>
        </w:rPr>
        <w:t>us</w:t>
      </w:r>
      <w:r w:rsidR="00724806" w:rsidRPr="005F1478">
        <w:rPr>
          <w:sz w:val="24"/>
        </w:rPr>
        <w:t xml:space="preserve"> atsevišķām nekustamā īpašuma nodokļa maksātāju kategorijām</w:t>
      </w:r>
      <w:r w:rsidR="00724806">
        <w:rPr>
          <w:sz w:val="24"/>
        </w:rPr>
        <w:t>. Pašvaldību</w:t>
      </w:r>
      <w:r w:rsidRPr="005F1478">
        <w:rPr>
          <w:sz w:val="24"/>
        </w:rPr>
        <w:t xml:space="preserve"> saistoši</w:t>
      </w:r>
      <w:r w:rsidR="004C1FFE">
        <w:rPr>
          <w:sz w:val="24"/>
        </w:rPr>
        <w:t>e</w:t>
      </w:r>
      <w:r w:rsidRPr="005F1478">
        <w:rPr>
          <w:sz w:val="24"/>
        </w:rPr>
        <w:t xml:space="preserve"> noteikumi stājas spēkā likumā </w:t>
      </w:r>
      <w:r>
        <w:rPr>
          <w:sz w:val="24"/>
        </w:rPr>
        <w:t>„</w:t>
      </w:r>
      <w:r w:rsidRPr="005F1478">
        <w:rPr>
          <w:sz w:val="24"/>
        </w:rPr>
        <w:t>Par pašvaldībām</w:t>
      </w:r>
      <w:r>
        <w:rPr>
          <w:sz w:val="24"/>
        </w:rPr>
        <w:t>”</w:t>
      </w:r>
      <w:r w:rsidRPr="005F1478">
        <w:rPr>
          <w:sz w:val="24"/>
        </w:rPr>
        <w:t xml:space="preserve"> noteiktajā kārtībā.</w:t>
      </w:r>
      <w:r w:rsidR="00724806">
        <w:rPr>
          <w:sz w:val="24"/>
        </w:rPr>
        <w:t xml:space="preserve"> A</w:t>
      </w:r>
      <w:r w:rsidR="005B0145" w:rsidRPr="005F1478">
        <w:rPr>
          <w:sz w:val="24"/>
        </w:rPr>
        <w:t>tvieglojumus atsevišķām nekustamā īpašuma nodokļa maksātāju kategorijām pašvaldības var noteikt 90, 70, 50 vai 25 procentu apmērā no nekustamā īpašuma nodokļa summas.</w:t>
      </w:r>
      <w:r w:rsidR="005B0145" w:rsidRPr="005B0145">
        <w:rPr>
          <w:sz w:val="24"/>
        </w:rPr>
        <w:t xml:space="preserve"> </w:t>
      </w:r>
    </w:p>
    <w:p w:rsidR="00D36DDB" w:rsidRDefault="00D36DDB" w:rsidP="00032ECE">
      <w:pPr>
        <w:ind w:firstLine="720"/>
        <w:jc w:val="both"/>
        <w:rPr>
          <w:sz w:val="24"/>
        </w:rPr>
      </w:pPr>
      <w:r w:rsidRPr="00D043A6">
        <w:rPr>
          <w:sz w:val="24"/>
        </w:rPr>
        <w:t xml:space="preserve">Efektīva nekustamā īpašuma nodokļa politika varētu veicināt ēku rekonstrukciju un renovāciju, tādējādi sekmējot nodokļu ieņēmumus no </w:t>
      </w:r>
      <w:r w:rsidR="00D918A5" w:rsidRPr="00D043A6">
        <w:rPr>
          <w:sz w:val="24"/>
        </w:rPr>
        <w:t>komercdarbības</w:t>
      </w:r>
      <w:r w:rsidRPr="00D043A6">
        <w:rPr>
          <w:sz w:val="24"/>
        </w:rPr>
        <w:t>.</w:t>
      </w:r>
      <w:r w:rsidR="001676A0">
        <w:rPr>
          <w:sz w:val="24"/>
        </w:rPr>
        <w:t xml:space="preserve"> Papildus jāņem vērā, ka </w:t>
      </w:r>
      <w:r w:rsidR="001676A0" w:rsidRPr="00461E72">
        <w:rPr>
          <w:sz w:val="24"/>
        </w:rPr>
        <w:t>pašvaldībām</w:t>
      </w:r>
      <w:r w:rsidR="00461E72" w:rsidRPr="00461E72">
        <w:rPr>
          <w:sz w:val="24"/>
        </w:rPr>
        <w:t xml:space="preserve"> savos saistošajos noteikumos ir tiesības noteikt tādus nekustamā īpašuma nodokļa atvieglojumus vai piemērojamo likmi, kas palielinātu ēku īpašnieku interesi veikt ēkas energoefektivitātes uzlabošanas pasākumus</w:t>
      </w:r>
      <w:r w:rsidR="001676A0">
        <w:rPr>
          <w:sz w:val="24"/>
        </w:rPr>
        <w:t>.</w:t>
      </w:r>
    </w:p>
    <w:p w:rsidR="00F165AF" w:rsidRPr="00F165AF" w:rsidRDefault="00EC1907" w:rsidP="00F165AF">
      <w:pPr>
        <w:ind w:firstLine="720"/>
        <w:jc w:val="both"/>
        <w:rPr>
          <w:sz w:val="24"/>
        </w:rPr>
      </w:pPr>
      <w:r w:rsidRPr="00F30B0C">
        <w:rPr>
          <w:sz w:val="24"/>
        </w:rPr>
        <w:t>Papildus attiecībā uz nodokļu politiku ēku energoefektivitātes pasākumu veicināšanai Latvijas Pašvaldību savienība uzskata, ka, lai nodrošinātu budžeta līdzekļu pieejamību ēku energoefektivitātes paaugstināšanai, jāizstrādā nosacījumi nodokļu ieņēmumu (piemēram, akcīze</w:t>
      </w:r>
      <w:r w:rsidR="00F165AF" w:rsidRPr="00F30B0C">
        <w:rPr>
          <w:sz w:val="24"/>
        </w:rPr>
        <w:t>s nodokļa</w:t>
      </w:r>
      <w:r w:rsidRPr="00F30B0C">
        <w:rPr>
          <w:sz w:val="24"/>
        </w:rPr>
        <w:t xml:space="preserve"> fosiliem energoresu</w:t>
      </w:r>
      <w:r w:rsidR="00F165AF" w:rsidRPr="00F30B0C">
        <w:rPr>
          <w:sz w:val="24"/>
        </w:rPr>
        <w:t xml:space="preserve">rsiem, nekustamā īpašuma nodokļa, dabas resursu </w:t>
      </w:r>
      <w:r w:rsidR="00F165AF" w:rsidRPr="00F30B0C">
        <w:rPr>
          <w:sz w:val="24"/>
        </w:rPr>
        <w:lastRenderedPageBreak/>
        <w:t>nodokļa</w:t>
      </w:r>
      <w:r w:rsidRPr="00F30B0C">
        <w:rPr>
          <w:sz w:val="24"/>
        </w:rPr>
        <w:t>) novirzīšanai ēku energoefektivitātes uzlabošanai un atjaunojamo energoresursu izmantošanai ēkām</w:t>
      </w:r>
      <w:r w:rsidR="00F165AF" w:rsidRPr="00F30B0C">
        <w:rPr>
          <w:sz w:val="24"/>
        </w:rPr>
        <w:t>. Tomēr Finanšu ministrija neatbalsta šādu ierosinājumu un uzskata, ka izdevumi, kas paredzēti ēku energoefektivitātes uzlabošanai, ir finansējami no valsts budžeta vispārējā kārtībā, nevis tos tieši saistot ar akcīzes nodokļa ieņēmumiem par fosilajiem energoresursiem.</w:t>
      </w:r>
      <w:r w:rsidR="00F165AF" w:rsidRPr="00F165AF">
        <w:rPr>
          <w:sz w:val="24"/>
        </w:rPr>
        <w:t xml:space="preserve"> </w:t>
      </w:r>
    </w:p>
    <w:p w:rsidR="00137F51" w:rsidRPr="00D043A6" w:rsidRDefault="00137F51" w:rsidP="00023621">
      <w:pPr>
        <w:pStyle w:val="Heading2"/>
      </w:pPr>
      <w:bookmarkStart w:id="34" w:name="_Toc353811852"/>
      <w:r w:rsidRPr="00D043A6">
        <w:t>Energoservisa pakalpojumi</w:t>
      </w:r>
      <w:bookmarkEnd w:id="34"/>
    </w:p>
    <w:p w:rsidR="00D8145B" w:rsidRPr="00D043A6" w:rsidRDefault="007E1270" w:rsidP="005E1DF5">
      <w:pPr>
        <w:pStyle w:val="Subtitle1"/>
      </w:pPr>
      <w:bookmarkStart w:id="35" w:name="_Toc353811853"/>
      <w:r w:rsidRPr="00D043A6">
        <w:t>Energoservisa kompānija (ESKO)</w:t>
      </w:r>
      <w:bookmarkEnd w:id="35"/>
      <w:r w:rsidRPr="00D043A6">
        <w:t xml:space="preserve"> </w:t>
      </w:r>
      <w:r w:rsidR="00D8145B" w:rsidRPr="00D043A6">
        <w:t xml:space="preserve"> </w:t>
      </w:r>
    </w:p>
    <w:p w:rsidR="00FD55AF" w:rsidRPr="00D043A6" w:rsidRDefault="00D11146" w:rsidP="00FD55AF">
      <w:pPr>
        <w:ind w:firstLine="720"/>
        <w:jc w:val="both"/>
        <w:rPr>
          <w:sz w:val="24"/>
        </w:rPr>
      </w:pPr>
      <w:r w:rsidRPr="00D043A6">
        <w:rPr>
          <w:sz w:val="24"/>
        </w:rPr>
        <w:t xml:space="preserve">Energoservisa pakalpojumu sniegšana </w:t>
      </w:r>
      <w:r w:rsidR="00FD55AF" w:rsidRPr="00D043A6">
        <w:rPr>
          <w:sz w:val="24"/>
        </w:rPr>
        <w:t>kā komercdarbības nozare ir izplatīta</w:t>
      </w:r>
      <w:r w:rsidR="004C1FFE">
        <w:rPr>
          <w:sz w:val="24"/>
        </w:rPr>
        <w:t>,</w:t>
      </w:r>
      <w:r w:rsidR="00FD55AF" w:rsidRPr="00D043A6">
        <w:rPr>
          <w:sz w:val="24"/>
        </w:rPr>
        <w:t xml:space="preserve"> t.s.</w:t>
      </w:r>
      <w:r w:rsidR="004C1FFE">
        <w:rPr>
          <w:sz w:val="24"/>
        </w:rPr>
        <w:t>,</w:t>
      </w:r>
      <w:r w:rsidR="00FD55AF" w:rsidRPr="00D043A6">
        <w:rPr>
          <w:sz w:val="24"/>
        </w:rPr>
        <w:t xml:space="preserve"> vecajās ES valstīs, ASV un citur pasaulē</w:t>
      </w:r>
      <w:r w:rsidR="00B27AA2" w:rsidRPr="00D043A6">
        <w:rPr>
          <w:sz w:val="24"/>
        </w:rPr>
        <w:t xml:space="preserve">, vienlaikus tā joprojām attīstās un ne visās valstīs ir plaši izplatīta. </w:t>
      </w:r>
      <w:r w:rsidR="004B6DFD">
        <w:rPr>
          <w:sz w:val="24"/>
        </w:rPr>
        <w:t xml:space="preserve">Būtiski norādīt, ka šī prakse galvenokārt ir </w:t>
      </w:r>
      <w:r w:rsidR="004003FD">
        <w:rPr>
          <w:sz w:val="24"/>
        </w:rPr>
        <w:t xml:space="preserve">piemērota </w:t>
      </w:r>
      <w:r w:rsidR="004B6DFD">
        <w:rPr>
          <w:sz w:val="24"/>
        </w:rPr>
        <w:t>nedzīvojamo ēku (publisko un komerciālu) sektoros</w:t>
      </w:r>
      <w:r w:rsidR="004003FD">
        <w:rPr>
          <w:sz w:val="24"/>
        </w:rPr>
        <w:t xml:space="preserve"> un dzīvojamo māju sektoros līdz šim</w:t>
      </w:r>
      <w:r w:rsidR="004B6DFD">
        <w:rPr>
          <w:sz w:val="24"/>
        </w:rPr>
        <w:t xml:space="preserve"> </w:t>
      </w:r>
      <w:r w:rsidR="004003FD">
        <w:rPr>
          <w:sz w:val="24"/>
        </w:rPr>
        <w:t>ir maz izplatīta.</w:t>
      </w:r>
    </w:p>
    <w:p w:rsidR="0073640F" w:rsidRPr="00D043A6" w:rsidRDefault="007E1270" w:rsidP="007E1270">
      <w:pPr>
        <w:ind w:firstLine="720"/>
        <w:jc w:val="both"/>
        <w:rPr>
          <w:sz w:val="24"/>
        </w:rPr>
      </w:pPr>
      <w:r w:rsidRPr="00D043A6">
        <w:rPr>
          <w:sz w:val="24"/>
        </w:rPr>
        <w:t xml:space="preserve">Energoservisa kompānija (ESKO) ir uzņēmējdarbības veids, </w:t>
      </w:r>
      <w:r w:rsidR="006313F0" w:rsidRPr="00D043A6">
        <w:rPr>
          <w:sz w:val="24"/>
        </w:rPr>
        <w:t xml:space="preserve">kas piesaistot </w:t>
      </w:r>
      <w:r w:rsidR="00415E8C" w:rsidRPr="00D043A6">
        <w:rPr>
          <w:sz w:val="24"/>
        </w:rPr>
        <w:t xml:space="preserve">privātā sektora, piemēram, komercbanku līdzekļus, </w:t>
      </w:r>
      <w:r w:rsidRPr="00D043A6">
        <w:rPr>
          <w:sz w:val="24"/>
        </w:rPr>
        <w:t>sniedz</w:t>
      </w:r>
      <w:r w:rsidR="00415E8C" w:rsidRPr="00D043A6">
        <w:rPr>
          <w:sz w:val="24"/>
        </w:rPr>
        <w:t xml:space="preserve"> </w:t>
      </w:r>
      <w:r w:rsidRPr="00D043A6">
        <w:rPr>
          <w:sz w:val="24"/>
        </w:rPr>
        <w:t>plašu ar enerģētikas nozari saistītu paka</w:t>
      </w:r>
      <w:r w:rsidR="00415E8C" w:rsidRPr="00D043A6">
        <w:rPr>
          <w:sz w:val="24"/>
        </w:rPr>
        <w:t xml:space="preserve">lpojumu klāstu, t.sk., </w:t>
      </w:r>
      <w:r w:rsidR="00D918A5" w:rsidRPr="00D043A6">
        <w:rPr>
          <w:sz w:val="24"/>
        </w:rPr>
        <w:t>īstenojot</w:t>
      </w:r>
      <w:r w:rsidRPr="00D043A6">
        <w:rPr>
          <w:sz w:val="24"/>
        </w:rPr>
        <w:t xml:space="preserve"> energotaupības projektus, enerģētikas infrastruktūras ārpakalpojumus, enerģijas ražošanu un piegādi, kā arī risku pārvaldību. </w:t>
      </w:r>
      <w:r w:rsidR="00415E8C" w:rsidRPr="00D043A6">
        <w:rPr>
          <w:sz w:val="24"/>
        </w:rPr>
        <w:t xml:space="preserve">Tādēļ </w:t>
      </w:r>
      <w:r w:rsidRPr="00D043A6">
        <w:rPr>
          <w:sz w:val="24"/>
        </w:rPr>
        <w:t xml:space="preserve">ESKO darbība ļauj atjaunot nekustamos īpašumus, kuru renovācijai </w:t>
      </w:r>
      <w:r w:rsidR="00B358DC" w:rsidRPr="00D043A6">
        <w:rPr>
          <w:sz w:val="24"/>
        </w:rPr>
        <w:t xml:space="preserve">valstij vai </w:t>
      </w:r>
      <w:r w:rsidRPr="00D043A6">
        <w:rPr>
          <w:sz w:val="24"/>
        </w:rPr>
        <w:t>pašvaldībai nepietiek līdzekļu. Tā kā ESKO finansiāli ir ieinteresēta pēc iespējas labāku energoefektivitātes rādītāju sasniegšanā, pa</w:t>
      </w:r>
      <w:r w:rsidR="00B2197F" w:rsidRPr="00D043A6">
        <w:rPr>
          <w:sz w:val="24"/>
        </w:rPr>
        <w:t>sūtītājam</w:t>
      </w:r>
      <w:r w:rsidRPr="00D043A6">
        <w:rPr>
          <w:sz w:val="24"/>
        </w:rPr>
        <w:t xml:space="preserve"> tā darbība nav saistīta ar būtisku risku. ESKO veiktās dzīvojamās mājas renovācijas rezultātā pilsēta iegūst sakoptu pilsētvidi ar atjaunotu dzīvojamo fondu, bet iedzīvotāji </w:t>
      </w:r>
      <w:r w:rsidR="0073640F" w:rsidRPr="00D043A6">
        <w:rPr>
          <w:sz w:val="24"/>
        </w:rPr>
        <w:t>–</w:t>
      </w:r>
      <w:r w:rsidRPr="00D043A6">
        <w:rPr>
          <w:sz w:val="24"/>
        </w:rPr>
        <w:t xml:space="preserve"> renovētu</w:t>
      </w:r>
      <w:r w:rsidR="0073640F" w:rsidRPr="00D043A6">
        <w:rPr>
          <w:sz w:val="24"/>
        </w:rPr>
        <w:t xml:space="preserve"> </w:t>
      </w:r>
      <w:r w:rsidRPr="00D043A6">
        <w:rPr>
          <w:sz w:val="24"/>
        </w:rPr>
        <w:t>nekustamo īpašumu, kam ir palielinājusies tirgus vērtība. Š</w:t>
      </w:r>
      <w:r w:rsidR="003926D3" w:rsidRPr="00D043A6">
        <w:rPr>
          <w:sz w:val="24"/>
        </w:rPr>
        <w:t>o</w:t>
      </w:r>
      <w:r w:rsidRPr="00D043A6">
        <w:rPr>
          <w:sz w:val="24"/>
        </w:rPr>
        <w:t xml:space="preserve"> iemesl</w:t>
      </w:r>
      <w:r w:rsidR="003926D3" w:rsidRPr="00D043A6">
        <w:rPr>
          <w:sz w:val="24"/>
        </w:rPr>
        <w:t>u</w:t>
      </w:r>
      <w:r w:rsidRPr="00D043A6">
        <w:rPr>
          <w:sz w:val="24"/>
        </w:rPr>
        <w:t xml:space="preserve"> dēļ </w:t>
      </w:r>
      <w:r w:rsidR="0073640F" w:rsidRPr="00D043A6">
        <w:rPr>
          <w:sz w:val="24"/>
        </w:rPr>
        <w:t xml:space="preserve">ES </w:t>
      </w:r>
      <w:r w:rsidR="00E527ED" w:rsidRPr="00D043A6">
        <w:rPr>
          <w:sz w:val="24"/>
        </w:rPr>
        <w:t>izrāda centienus</w:t>
      </w:r>
      <w:r w:rsidR="0073640F" w:rsidRPr="00D043A6">
        <w:rPr>
          <w:sz w:val="24"/>
        </w:rPr>
        <w:t xml:space="preserve">, </w:t>
      </w:r>
      <w:r w:rsidR="00E527ED" w:rsidRPr="00D043A6">
        <w:rPr>
          <w:sz w:val="24"/>
        </w:rPr>
        <w:t>kas</w:t>
      </w:r>
      <w:r w:rsidR="0073640F" w:rsidRPr="00D043A6">
        <w:rPr>
          <w:sz w:val="24"/>
        </w:rPr>
        <w:t xml:space="preserve"> stimulētu plašāku ESKO </w:t>
      </w:r>
      <w:r w:rsidR="003926D3" w:rsidRPr="00D043A6">
        <w:rPr>
          <w:sz w:val="24"/>
        </w:rPr>
        <w:t xml:space="preserve">iesaisti energoefektivitātes projektu īstenošanā, </w:t>
      </w:r>
      <w:r w:rsidR="00E527ED" w:rsidRPr="00D043A6">
        <w:rPr>
          <w:sz w:val="24"/>
        </w:rPr>
        <w:t>lai</w:t>
      </w:r>
      <w:r w:rsidR="003926D3" w:rsidRPr="00D043A6">
        <w:rPr>
          <w:sz w:val="24"/>
        </w:rPr>
        <w:t xml:space="preserve"> </w:t>
      </w:r>
      <w:r w:rsidR="004C1FFE">
        <w:rPr>
          <w:sz w:val="24"/>
        </w:rPr>
        <w:t>nodrošinātu papildu</w:t>
      </w:r>
      <w:r w:rsidR="00017DE7" w:rsidRPr="00D043A6">
        <w:rPr>
          <w:sz w:val="24"/>
        </w:rPr>
        <w:t xml:space="preserve"> finanšu piesaisti un </w:t>
      </w:r>
      <w:r w:rsidR="003926D3" w:rsidRPr="00D043A6">
        <w:rPr>
          <w:sz w:val="24"/>
        </w:rPr>
        <w:t>efektīv</w:t>
      </w:r>
      <w:r w:rsidR="00E527ED" w:rsidRPr="00D043A6">
        <w:rPr>
          <w:sz w:val="24"/>
        </w:rPr>
        <w:t>u</w:t>
      </w:r>
      <w:r w:rsidR="003926D3" w:rsidRPr="00D043A6">
        <w:rPr>
          <w:sz w:val="24"/>
        </w:rPr>
        <w:t xml:space="preserve"> investīciju </w:t>
      </w:r>
      <w:r w:rsidR="00E527ED" w:rsidRPr="00D043A6">
        <w:rPr>
          <w:sz w:val="24"/>
        </w:rPr>
        <w:t>atdevi.</w:t>
      </w:r>
    </w:p>
    <w:p w:rsidR="00B358DC" w:rsidRPr="00D043A6" w:rsidRDefault="00B358DC" w:rsidP="00B358DC">
      <w:pPr>
        <w:ind w:firstLine="720"/>
        <w:jc w:val="both"/>
        <w:rPr>
          <w:sz w:val="24"/>
        </w:rPr>
      </w:pPr>
      <w:r w:rsidRPr="00D043A6">
        <w:rPr>
          <w:sz w:val="24"/>
        </w:rPr>
        <w:t xml:space="preserve">ESKO var būt jebkuras nozares uzņēmums vai uzņēmumu grupa ar </w:t>
      </w:r>
      <w:r w:rsidR="00B27AA2" w:rsidRPr="00D043A6">
        <w:rPr>
          <w:sz w:val="24"/>
        </w:rPr>
        <w:t xml:space="preserve">pieeju </w:t>
      </w:r>
      <w:r w:rsidRPr="00D043A6">
        <w:rPr>
          <w:sz w:val="24"/>
        </w:rPr>
        <w:t>brīviem finanšu līdzekļiem un iespējām garantēt lētus kredītus, kā arī</w:t>
      </w:r>
      <w:r w:rsidR="004C1FFE">
        <w:rPr>
          <w:sz w:val="24"/>
        </w:rPr>
        <w:t xml:space="preserve"> ar</w:t>
      </w:r>
      <w:r w:rsidRPr="00D043A6">
        <w:rPr>
          <w:sz w:val="24"/>
        </w:rPr>
        <w:t xml:space="preserve"> interesi darboties energoefektivitātes jomā.  </w:t>
      </w:r>
    </w:p>
    <w:p w:rsidR="00B937A6" w:rsidRPr="00D043A6" w:rsidRDefault="00B937A6" w:rsidP="00B937A6">
      <w:pPr>
        <w:ind w:firstLine="720"/>
        <w:jc w:val="both"/>
        <w:rPr>
          <w:sz w:val="24"/>
        </w:rPr>
      </w:pPr>
    </w:p>
    <w:tbl>
      <w:tblPr>
        <w:tblStyle w:val="TableGrid"/>
        <w:tblW w:w="45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5"/>
        <w:gridCol w:w="1720"/>
        <w:gridCol w:w="1604"/>
        <w:gridCol w:w="1724"/>
        <w:gridCol w:w="1615"/>
      </w:tblGrid>
      <w:tr w:rsidR="00B937A6" w:rsidRPr="00D043A6" w:rsidTr="00B937A6">
        <w:trPr>
          <w:jc w:val="center"/>
        </w:trPr>
        <w:tc>
          <w:tcPr>
            <w:tcW w:w="1695" w:type="dxa"/>
            <w:vMerge w:val="restart"/>
            <w:tcBorders>
              <w:top w:val="single" w:sz="4" w:space="0" w:color="auto"/>
              <w:left w:val="single" w:sz="4" w:space="0" w:color="auto"/>
              <w:right w:val="single" w:sz="4" w:space="0" w:color="auto"/>
            </w:tcBorders>
            <w:vAlign w:val="center"/>
          </w:tcPr>
          <w:p w:rsidR="00B937A6" w:rsidRPr="00D043A6" w:rsidRDefault="00B937A6" w:rsidP="00B937A6">
            <w:pPr>
              <w:jc w:val="center"/>
              <w:rPr>
                <w:rFonts w:ascii="Arial" w:hAnsi="Arial" w:cs="Arial"/>
                <w:b/>
                <w:sz w:val="24"/>
              </w:rPr>
            </w:pPr>
            <w:r w:rsidRPr="00D043A6">
              <w:rPr>
                <w:rFonts w:ascii="Arial" w:hAnsi="Arial" w:cs="Arial"/>
                <w:b/>
                <w:sz w:val="24"/>
              </w:rPr>
              <w:t>Ēku īpašnieki</w:t>
            </w:r>
          </w:p>
          <w:p w:rsidR="00B937A6" w:rsidRPr="00D043A6" w:rsidRDefault="00B937A6" w:rsidP="00B937A6">
            <w:pPr>
              <w:jc w:val="center"/>
              <w:rPr>
                <w:rFonts w:ascii="Arial" w:hAnsi="Arial" w:cs="Arial"/>
                <w:sz w:val="20"/>
              </w:rPr>
            </w:pPr>
            <w:r w:rsidRPr="00D043A6">
              <w:rPr>
                <w:rFonts w:ascii="Arial" w:hAnsi="Arial" w:cs="Arial"/>
                <w:b/>
                <w:sz w:val="20"/>
              </w:rPr>
              <w:t>(enerģijas patērētāji)</w:t>
            </w:r>
          </w:p>
        </w:tc>
        <w:tc>
          <w:tcPr>
            <w:tcW w:w="1720" w:type="dxa"/>
            <w:tcBorders>
              <w:left w:val="single" w:sz="4" w:space="0" w:color="auto"/>
              <w:right w:val="single" w:sz="4" w:space="0" w:color="auto"/>
            </w:tcBorders>
            <w:vAlign w:val="center"/>
          </w:tcPr>
          <w:p w:rsidR="00B937A6" w:rsidRPr="00D043A6" w:rsidRDefault="00B937A6" w:rsidP="00B937A6">
            <w:pPr>
              <w:jc w:val="center"/>
              <w:rPr>
                <w:rFonts w:ascii="Arial" w:hAnsi="Arial" w:cs="Arial"/>
                <w:sz w:val="20"/>
              </w:rPr>
            </w:pPr>
            <w:r w:rsidRPr="00D043A6">
              <w:rPr>
                <w:rFonts w:ascii="Arial" w:hAnsi="Arial" w:cs="Arial"/>
                <w:sz w:val="20"/>
              </w:rPr>
              <w:t>Līgums par pasākumu īstenošanu</w:t>
            </w:r>
          </w:p>
        </w:tc>
        <w:tc>
          <w:tcPr>
            <w:tcW w:w="1604" w:type="dxa"/>
            <w:vMerge w:val="restart"/>
            <w:tcBorders>
              <w:top w:val="single" w:sz="4" w:space="0" w:color="auto"/>
              <w:left w:val="single" w:sz="4" w:space="0" w:color="auto"/>
              <w:bottom w:val="single" w:sz="4" w:space="0" w:color="auto"/>
              <w:right w:val="single" w:sz="4" w:space="0" w:color="auto"/>
            </w:tcBorders>
            <w:vAlign w:val="center"/>
          </w:tcPr>
          <w:p w:rsidR="00B937A6" w:rsidRPr="00D043A6" w:rsidRDefault="00B937A6" w:rsidP="00B937A6">
            <w:pPr>
              <w:jc w:val="center"/>
              <w:rPr>
                <w:rFonts w:ascii="Arial" w:hAnsi="Arial" w:cs="Arial"/>
                <w:b/>
                <w:sz w:val="20"/>
              </w:rPr>
            </w:pPr>
            <w:r w:rsidRPr="00D043A6">
              <w:rPr>
                <w:rFonts w:ascii="Arial" w:hAnsi="Arial" w:cs="Arial"/>
                <w:b/>
                <w:sz w:val="24"/>
              </w:rPr>
              <w:t>ESKO</w:t>
            </w:r>
          </w:p>
        </w:tc>
        <w:tc>
          <w:tcPr>
            <w:tcW w:w="1724" w:type="dxa"/>
            <w:tcBorders>
              <w:left w:val="single" w:sz="4" w:space="0" w:color="auto"/>
              <w:right w:val="single" w:sz="4" w:space="0" w:color="auto"/>
            </w:tcBorders>
            <w:vAlign w:val="center"/>
          </w:tcPr>
          <w:p w:rsidR="00B937A6" w:rsidRPr="00D043A6" w:rsidRDefault="00B937A6" w:rsidP="00B937A6">
            <w:pPr>
              <w:jc w:val="center"/>
              <w:rPr>
                <w:rFonts w:ascii="Arial" w:hAnsi="Arial" w:cs="Arial"/>
                <w:sz w:val="20"/>
              </w:rPr>
            </w:pPr>
            <w:r w:rsidRPr="00D043A6">
              <w:rPr>
                <w:rFonts w:ascii="Arial" w:hAnsi="Arial" w:cs="Arial"/>
                <w:sz w:val="20"/>
              </w:rPr>
              <w:t>Vienošanās par finansējumu</w:t>
            </w:r>
          </w:p>
        </w:tc>
        <w:tc>
          <w:tcPr>
            <w:tcW w:w="1615" w:type="dxa"/>
            <w:vMerge w:val="restart"/>
            <w:tcBorders>
              <w:top w:val="single" w:sz="4" w:space="0" w:color="auto"/>
              <w:left w:val="single" w:sz="4" w:space="0" w:color="auto"/>
              <w:bottom w:val="single" w:sz="4" w:space="0" w:color="auto"/>
              <w:right w:val="single" w:sz="4" w:space="0" w:color="auto"/>
            </w:tcBorders>
            <w:vAlign w:val="center"/>
          </w:tcPr>
          <w:p w:rsidR="00B937A6" w:rsidRPr="00D043A6" w:rsidRDefault="00B937A6" w:rsidP="00B937A6">
            <w:pPr>
              <w:jc w:val="center"/>
              <w:rPr>
                <w:rFonts w:ascii="Arial" w:hAnsi="Arial" w:cs="Arial"/>
                <w:b/>
                <w:sz w:val="20"/>
              </w:rPr>
            </w:pPr>
            <w:r w:rsidRPr="00D043A6">
              <w:rPr>
                <w:rFonts w:ascii="Arial" w:hAnsi="Arial" w:cs="Arial"/>
                <w:b/>
                <w:sz w:val="24"/>
              </w:rPr>
              <w:t>Banka</w:t>
            </w:r>
          </w:p>
        </w:tc>
      </w:tr>
      <w:tr w:rsidR="00B937A6" w:rsidRPr="00D043A6" w:rsidTr="00B937A6">
        <w:trPr>
          <w:jc w:val="center"/>
        </w:trPr>
        <w:tc>
          <w:tcPr>
            <w:tcW w:w="1695" w:type="dxa"/>
            <w:vMerge/>
            <w:tcBorders>
              <w:left w:val="single" w:sz="4" w:space="0" w:color="auto"/>
              <w:right w:val="single" w:sz="4" w:space="0" w:color="auto"/>
            </w:tcBorders>
            <w:vAlign w:val="center"/>
          </w:tcPr>
          <w:p w:rsidR="00B937A6" w:rsidRPr="00D043A6" w:rsidRDefault="00B937A6" w:rsidP="00B937A6">
            <w:pPr>
              <w:jc w:val="center"/>
              <w:rPr>
                <w:rFonts w:ascii="Arial" w:hAnsi="Arial" w:cs="Arial"/>
                <w:sz w:val="20"/>
              </w:rPr>
            </w:pPr>
          </w:p>
        </w:tc>
        <w:tc>
          <w:tcPr>
            <w:tcW w:w="1720" w:type="dxa"/>
            <w:tcBorders>
              <w:left w:val="single" w:sz="4" w:space="0" w:color="auto"/>
              <w:right w:val="single" w:sz="4" w:space="0" w:color="auto"/>
            </w:tcBorders>
            <w:vAlign w:val="center"/>
          </w:tcPr>
          <w:p w:rsidR="00B937A6" w:rsidRPr="00D043A6" w:rsidRDefault="00B937A6" w:rsidP="00B937A6">
            <w:pPr>
              <w:jc w:val="center"/>
              <w:rPr>
                <w:rFonts w:ascii="Arial" w:hAnsi="Arial" w:cs="Arial"/>
                <w:sz w:val="20"/>
              </w:rPr>
            </w:pPr>
            <w:r w:rsidRPr="00D043A6">
              <w:rPr>
                <w:rFonts w:ascii="Arial" w:hAnsi="Arial" w:cs="Arial"/>
                <w:sz w:val="20"/>
              </w:rPr>
              <w:sym w:font="Wingdings" w:char="F0DF"/>
            </w:r>
            <w:r w:rsidRPr="00D043A6">
              <w:rPr>
                <w:rFonts w:ascii="Arial" w:hAnsi="Arial" w:cs="Arial"/>
                <w:sz w:val="20"/>
              </w:rPr>
              <w:sym w:font="Wingdings" w:char="F0E0"/>
            </w:r>
          </w:p>
          <w:p w:rsidR="00B937A6" w:rsidRPr="00D043A6" w:rsidRDefault="00B937A6" w:rsidP="00B937A6">
            <w:pPr>
              <w:jc w:val="center"/>
              <w:rPr>
                <w:rFonts w:ascii="Arial" w:hAnsi="Arial" w:cs="Arial"/>
                <w:sz w:val="20"/>
              </w:rPr>
            </w:pPr>
          </w:p>
        </w:tc>
        <w:tc>
          <w:tcPr>
            <w:tcW w:w="1604" w:type="dxa"/>
            <w:vMerge/>
            <w:tcBorders>
              <w:left w:val="single" w:sz="4" w:space="0" w:color="auto"/>
              <w:bottom w:val="single" w:sz="4" w:space="0" w:color="auto"/>
              <w:right w:val="single" w:sz="4" w:space="0" w:color="auto"/>
            </w:tcBorders>
            <w:vAlign w:val="center"/>
          </w:tcPr>
          <w:p w:rsidR="00B937A6" w:rsidRPr="00D043A6" w:rsidRDefault="00B937A6" w:rsidP="00B937A6">
            <w:pPr>
              <w:jc w:val="center"/>
              <w:rPr>
                <w:rFonts w:ascii="Arial" w:hAnsi="Arial" w:cs="Arial"/>
                <w:sz w:val="20"/>
              </w:rPr>
            </w:pPr>
          </w:p>
        </w:tc>
        <w:tc>
          <w:tcPr>
            <w:tcW w:w="1724" w:type="dxa"/>
            <w:tcBorders>
              <w:left w:val="single" w:sz="4" w:space="0" w:color="auto"/>
              <w:right w:val="single" w:sz="4" w:space="0" w:color="auto"/>
            </w:tcBorders>
            <w:vAlign w:val="center"/>
          </w:tcPr>
          <w:p w:rsidR="00B937A6" w:rsidRPr="00D043A6" w:rsidRDefault="00B937A6" w:rsidP="00B937A6">
            <w:pPr>
              <w:jc w:val="center"/>
              <w:rPr>
                <w:rFonts w:ascii="Arial" w:hAnsi="Arial" w:cs="Arial"/>
                <w:sz w:val="20"/>
              </w:rPr>
            </w:pPr>
            <w:r w:rsidRPr="00D043A6">
              <w:rPr>
                <w:rFonts w:ascii="Arial" w:hAnsi="Arial" w:cs="Arial"/>
                <w:sz w:val="20"/>
              </w:rPr>
              <w:sym w:font="Wingdings" w:char="F0DF"/>
            </w:r>
            <w:r w:rsidRPr="00D043A6">
              <w:rPr>
                <w:rFonts w:ascii="Arial" w:hAnsi="Arial" w:cs="Arial"/>
                <w:sz w:val="20"/>
              </w:rPr>
              <w:sym w:font="Wingdings" w:char="F0E0"/>
            </w:r>
          </w:p>
          <w:p w:rsidR="00B937A6" w:rsidRPr="00D043A6" w:rsidRDefault="00B937A6" w:rsidP="00B937A6">
            <w:pPr>
              <w:jc w:val="center"/>
              <w:rPr>
                <w:rFonts w:ascii="Arial" w:hAnsi="Arial" w:cs="Arial"/>
                <w:sz w:val="20"/>
              </w:rPr>
            </w:pPr>
          </w:p>
        </w:tc>
        <w:tc>
          <w:tcPr>
            <w:tcW w:w="1615" w:type="dxa"/>
            <w:vMerge/>
            <w:tcBorders>
              <w:left w:val="single" w:sz="4" w:space="0" w:color="auto"/>
              <w:bottom w:val="single" w:sz="4" w:space="0" w:color="auto"/>
              <w:right w:val="single" w:sz="4" w:space="0" w:color="auto"/>
            </w:tcBorders>
            <w:vAlign w:val="center"/>
          </w:tcPr>
          <w:p w:rsidR="00B937A6" w:rsidRPr="00D043A6" w:rsidRDefault="00B937A6" w:rsidP="00B937A6">
            <w:pPr>
              <w:jc w:val="center"/>
              <w:rPr>
                <w:rFonts w:ascii="Arial" w:hAnsi="Arial" w:cs="Arial"/>
                <w:sz w:val="20"/>
              </w:rPr>
            </w:pPr>
          </w:p>
        </w:tc>
      </w:tr>
      <w:tr w:rsidR="00B937A6" w:rsidRPr="00D043A6" w:rsidTr="00B937A6">
        <w:trPr>
          <w:jc w:val="center"/>
        </w:trPr>
        <w:tc>
          <w:tcPr>
            <w:tcW w:w="1695" w:type="dxa"/>
            <w:vMerge/>
            <w:tcBorders>
              <w:left w:val="single" w:sz="4" w:space="0" w:color="auto"/>
              <w:right w:val="single" w:sz="4" w:space="0" w:color="auto"/>
            </w:tcBorders>
            <w:vAlign w:val="center"/>
          </w:tcPr>
          <w:p w:rsidR="00B937A6" w:rsidRPr="00D043A6" w:rsidRDefault="00B937A6" w:rsidP="00B937A6">
            <w:pPr>
              <w:jc w:val="center"/>
              <w:rPr>
                <w:rFonts w:ascii="Arial" w:hAnsi="Arial" w:cs="Arial"/>
                <w:sz w:val="20"/>
              </w:rPr>
            </w:pPr>
          </w:p>
        </w:tc>
        <w:tc>
          <w:tcPr>
            <w:tcW w:w="1720" w:type="dxa"/>
            <w:tcBorders>
              <w:left w:val="single" w:sz="4" w:space="0" w:color="auto"/>
              <w:right w:val="single" w:sz="4" w:space="0" w:color="auto"/>
            </w:tcBorders>
            <w:vAlign w:val="center"/>
          </w:tcPr>
          <w:p w:rsidR="00B937A6" w:rsidRPr="00D043A6" w:rsidRDefault="00B937A6" w:rsidP="00B937A6">
            <w:pPr>
              <w:jc w:val="center"/>
              <w:rPr>
                <w:rFonts w:ascii="Arial" w:hAnsi="Arial" w:cs="Arial"/>
                <w:sz w:val="20"/>
              </w:rPr>
            </w:pPr>
            <w:r w:rsidRPr="00D043A6">
              <w:rPr>
                <w:rFonts w:ascii="Arial" w:hAnsi="Arial" w:cs="Arial"/>
                <w:sz w:val="20"/>
              </w:rPr>
              <w:sym w:font="Wingdings" w:char="F0DF"/>
            </w:r>
            <w:r w:rsidRPr="00D043A6">
              <w:rPr>
                <w:rFonts w:ascii="Arial" w:hAnsi="Arial" w:cs="Arial"/>
                <w:sz w:val="20"/>
              </w:rPr>
              <w:t xml:space="preserve"> pakalpojums</w:t>
            </w:r>
          </w:p>
        </w:tc>
        <w:tc>
          <w:tcPr>
            <w:tcW w:w="1604" w:type="dxa"/>
            <w:vMerge/>
            <w:tcBorders>
              <w:left w:val="single" w:sz="4" w:space="0" w:color="auto"/>
              <w:bottom w:val="single" w:sz="4" w:space="0" w:color="auto"/>
              <w:right w:val="single" w:sz="4" w:space="0" w:color="auto"/>
            </w:tcBorders>
            <w:vAlign w:val="center"/>
          </w:tcPr>
          <w:p w:rsidR="00B937A6" w:rsidRPr="00D043A6" w:rsidRDefault="00B937A6" w:rsidP="00B937A6">
            <w:pPr>
              <w:jc w:val="center"/>
              <w:rPr>
                <w:rFonts w:ascii="Arial" w:hAnsi="Arial" w:cs="Arial"/>
                <w:sz w:val="20"/>
              </w:rPr>
            </w:pPr>
          </w:p>
        </w:tc>
        <w:tc>
          <w:tcPr>
            <w:tcW w:w="1724" w:type="dxa"/>
            <w:tcBorders>
              <w:left w:val="single" w:sz="4" w:space="0" w:color="auto"/>
              <w:right w:val="single" w:sz="4" w:space="0" w:color="auto"/>
            </w:tcBorders>
            <w:vAlign w:val="center"/>
          </w:tcPr>
          <w:p w:rsidR="00B937A6" w:rsidRPr="00D043A6" w:rsidRDefault="00B937A6" w:rsidP="00B937A6">
            <w:pPr>
              <w:jc w:val="center"/>
              <w:rPr>
                <w:rFonts w:ascii="Arial" w:hAnsi="Arial" w:cs="Arial"/>
                <w:sz w:val="20"/>
              </w:rPr>
            </w:pPr>
            <w:r w:rsidRPr="00D043A6">
              <w:rPr>
                <w:rFonts w:ascii="Arial" w:hAnsi="Arial" w:cs="Arial"/>
                <w:sz w:val="20"/>
              </w:rPr>
              <w:sym w:font="Wingdings" w:char="F0DF"/>
            </w:r>
            <w:r w:rsidRPr="00D043A6">
              <w:rPr>
                <w:rFonts w:ascii="Arial" w:hAnsi="Arial" w:cs="Arial"/>
                <w:sz w:val="20"/>
              </w:rPr>
              <w:t xml:space="preserve"> Finansējums</w:t>
            </w:r>
          </w:p>
        </w:tc>
        <w:tc>
          <w:tcPr>
            <w:tcW w:w="1615" w:type="dxa"/>
            <w:vMerge/>
            <w:tcBorders>
              <w:left w:val="single" w:sz="4" w:space="0" w:color="auto"/>
              <w:bottom w:val="single" w:sz="4" w:space="0" w:color="auto"/>
              <w:right w:val="single" w:sz="4" w:space="0" w:color="auto"/>
            </w:tcBorders>
            <w:vAlign w:val="center"/>
          </w:tcPr>
          <w:p w:rsidR="00B937A6" w:rsidRPr="00D043A6" w:rsidRDefault="00B937A6" w:rsidP="00B937A6">
            <w:pPr>
              <w:jc w:val="center"/>
              <w:rPr>
                <w:rFonts w:ascii="Arial" w:hAnsi="Arial" w:cs="Arial"/>
                <w:sz w:val="20"/>
              </w:rPr>
            </w:pPr>
          </w:p>
        </w:tc>
      </w:tr>
      <w:tr w:rsidR="00B937A6" w:rsidRPr="00D043A6" w:rsidTr="00B937A6">
        <w:trPr>
          <w:trHeight w:val="687"/>
          <w:jc w:val="center"/>
        </w:trPr>
        <w:tc>
          <w:tcPr>
            <w:tcW w:w="1695" w:type="dxa"/>
            <w:vMerge/>
            <w:tcBorders>
              <w:left w:val="single" w:sz="4" w:space="0" w:color="auto"/>
              <w:bottom w:val="single" w:sz="4" w:space="0" w:color="auto"/>
              <w:right w:val="single" w:sz="4" w:space="0" w:color="auto"/>
            </w:tcBorders>
            <w:vAlign w:val="center"/>
          </w:tcPr>
          <w:p w:rsidR="00B937A6" w:rsidRPr="00D043A6" w:rsidRDefault="00B937A6" w:rsidP="00B937A6">
            <w:pPr>
              <w:jc w:val="center"/>
              <w:rPr>
                <w:rFonts w:ascii="Arial" w:hAnsi="Arial" w:cs="Arial"/>
                <w:sz w:val="20"/>
              </w:rPr>
            </w:pPr>
          </w:p>
        </w:tc>
        <w:tc>
          <w:tcPr>
            <w:tcW w:w="1720" w:type="dxa"/>
            <w:tcBorders>
              <w:left w:val="single" w:sz="4" w:space="0" w:color="auto"/>
              <w:right w:val="single" w:sz="4" w:space="0" w:color="auto"/>
            </w:tcBorders>
            <w:vAlign w:val="center"/>
          </w:tcPr>
          <w:p w:rsidR="00B937A6" w:rsidRPr="00D043A6" w:rsidRDefault="00B937A6" w:rsidP="00B937A6">
            <w:pPr>
              <w:jc w:val="center"/>
              <w:rPr>
                <w:rFonts w:ascii="Arial" w:hAnsi="Arial" w:cs="Arial"/>
                <w:sz w:val="20"/>
              </w:rPr>
            </w:pPr>
            <w:r w:rsidRPr="00D043A6">
              <w:rPr>
                <w:rFonts w:ascii="Arial" w:hAnsi="Arial" w:cs="Arial"/>
                <w:sz w:val="20"/>
              </w:rPr>
              <w:t xml:space="preserve">maksājums </w:t>
            </w:r>
            <w:r w:rsidRPr="00D043A6">
              <w:rPr>
                <w:rFonts w:ascii="Arial" w:hAnsi="Arial" w:cs="Arial"/>
                <w:sz w:val="20"/>
              </w:rPr>
              <w:sym w:font="Wingdings" w:char="F0E0"/>
            </w:r>
          </w:p>
        </w:tc>
        <w:tc>
          <w:tcPr>
            <w:tcW w:w="1604" w:type="dxa"/>
            <w:vMerge/>
            <w:tcBorders>
              <w:left w:val="single" w:sz="4" w:space="0" w:color="auto"/>
              <w:bottom w:val="single" w:sz="4" w:space="0" w:color="auto"/>
              <w:right w:val="single" w:sz="4" w:space="0" w:color="auto"/>
            </w:tcBorders>
            <w:vAlign w:val="center"/>
          </w:tcPr>
          <w:p w:rsidR="00B937A6" w:rsidRPr="00D043A6" w:rsidRDefault="00B937A6" w:rsidP="00B937A6">
            <w:pPr>
              <w:jc w:val="center"/>
              <w:rPr>
                <w:rFonts w:ascii="Arial" w:hAnsi="Arial" w:cs="Arial"/>
                <w:sz w:val="20"/>
              </w:rPr>
            </w:pPr>
          </w:p>
        </w:tc>
        <w:tc>
          <w:tcPr>
            <w:tcW w:w="1724" w:type="dxa"/>
            <w:tcBorders>
              <w:left w:val="single" w:sz="4" w:space="0" w:color="auto"/>
              <w:right w:val="single" w:sz="4" w:space="0" w:color="auto"/>
            </w:tcBorders>
            <w:vAlign w:val="center"/>
          </w:tcPr>
          <w:p w:rsidR="00B937A6" w:rsidRPr="00D043A6" w:rsidRDefault="00B937A6" w:rsidP="00B937A6">
            <w:pPr>
              <w:jc w:val="center"/>
              <w:rPr>
                <w:rFonts w:ascii="Arial" w:hAnsi="Arial" w:cs="Arial"/>
                <w:sz w:val="20"/>
              </w:rPr>
            </w:pPr>
            <w:r w:rsidRPr="00D043A6">
              <w:rPr>
                <w:rFonts w:ascii="Arial" w:hAnsi="Arial" w:cs="Arial"/>
                <w:sz w:val="20"/>
              </w:rPr>
              <w:t xml:space="preserve">maksājums </w:t>
            </w:r>
            <w:r w:rsidRPr="00D043A6">
              <w:rPr>
                <w:rFonts w:ascii="Arial" w:hAnsi="Arial" w:cs="Arial"/>
                <w:sz w:val="20"/>
              </w:rPr>
              <w:sym w:font="Wingdings" w:char="F0E0"/>
            </w:r>
          </w:p>
        </w:tc>
        <w:tc>
          <w:tcPr>
            <w:tcW w:w="1615" w:type="dxa"/>
            <w:vMerge/>
            <w:tcBorders>
              <w:left w:val="single" w:sz="4" w:space="0" w:color="auto"/>
              <w:bottom w:val="single" w:sz="4" w:space="0" w:color="auto"/>
              <w:right w:val="single" w:sz="4" w:space="0" w:color="auto"/>
            </w:tcBorders>
            <w:vAlign w:val="center"/>
          </w:tcPr>
          <w:p w:rsidR="00B937A6" w:rsidRPr="00D043A6" w:rsidRDefault="00B937A6" w:rsidP="00B937A6">
            <w:pPr>
              <w:jc w:val="center"/>
              <w:rPr>
                <w:rFonts w:ascii="Arial" w:hAnsi="Arial" w:cs="Arial"/>
                <w:sz w:val="20"/>
              </w:rPr>
            </w:pPr>
          </w:p>
        </w:tc>
      </w:tr>
    </w:tbl>
    <w:p w:rsidR="00B937A6" w:rsidRPr="00D043A6" w:rsidRDefault="00B937A6" w:rsidP="00B937A6">
      <w:pPr>
        <w:jc w:val="both"/>
        <w:rPr>
          <w:sz w:val="24"/>
        </w:rPr>
      </w:pPr>
      <w:r w:rsidRPr="00D043A6">
        <w:rPr>
          <w:i/>
          <w:sz w:val="24"/>
        </w:rPr>
        <w:t>9. attēls. ESKO modeļa finansējuma shēma.</w:t>
      </w:r>
    </w:p>
    <w:p w:rsidR="00B937A6" w:rsidRDefault="00B937A6" w:rsidP="00B358DC">
      <w:pPr>
        <w:ind w:firstLine="720"/>
        <w:jc w:val="both"/>
        <w:rPr>
          <w:sz w:val="24"/>
        </w:rPr>
      </w:pPr>
    </w:p>
    <w:p w:rsidR="00B358DC" w:rsidRPr="00D043A6" w:rsidRDefault="00B358DC" w:rsidP="00B358DC">
      <w:pPr>
        <w:ind w:firstLine="720"/>
        <w:jc w:val="both"/>
        <w:rPr>
          <w:sz w:val="24"/>
        </w:rPr>
      </w:pPr>
      <w:r w:rsidRPr="00D043A6">
        <w:rPr>
          <w:sz w:val="24"/>
        </w:rPr>
        <w:t xml:space="preserve">ESKO veic padziļinātu </w:t>
      </w:r>
      <w:r w:rsidR="00B27AA2" w:rsidRPr="00D043A6">
        <w:rPr>
          <w:sz w:val="24"/>
        </w:rPr>
        <w:t>objektu (ēku, enerģijas pārvades sistēmu, ražošanas objektu vai procesu)</w:t>
      </w:r>
      <w:r w:rsidRPr="00D043A6">
        <w:rPr>
          <w:sz w:val="24"/>
        </w:rPr>
        <w:t xml:space="preserve"> analīzi ar nolūku rast visracionālāko </w:t>
      </w:r>
      <w:r w:rsidR="00D71B21" w:rsidRPr="00D043A6">
        <w:rPr>
          <w:sz w:val="24"/>
        </w:rPr>
        <w:t>energoefektivitātes</w:t>
      </w:r>
      <w:r w:rsidRPr="00D043A6">
        <w:rPr>
          <w:sz w:val="24"/>
        </w:rPr>
        <w:t xml:space="preserve"> risinājumu, organizē ar to saistītu nekustamā īpašuma renovāciju un tā uzturēšanu ieguldīto izdevumu atgūšanas laikā, kas var svārstīties no 5 līdz 20 gadiem. Tas panāk līdzekļu atgūšanu ar starpību, kas rodas energoefektivitātes pasākumu ieviešanas rezultātā. Lai nodrošinātu sekmīgu un abpusēji izdevīgu sadarbību, ESKO slēdz terminētu līgumu ar pakalpojuma saņēmēju (</w:t>
      </w:r>
      <w:r w:rsidR="00B74522" w:rsidRPr="00D043A6">
        <w:rPr>
          <w:sz w:val="24"/>
        </w:rPr>
        <w:t>mājas kopības gadījumā ar ēkas pārvaldnieku</w:t>
      </w:r>
      <w:r w:rsidRPr="00D043A6">
        <w:rPr>
          <w:sz w:val="24"/>
        </w:rPr>
        <w:t xml:space="preserve">), kura darbības laikā ESKO uzņemas visas saistības, kas saistītas ar energoefektivitātes pasākumu sagatavošanu, finansēšanu un ieviešanu, garantējot paredzēto energoefektivitātes rezultātu un nodrošinot līguma darbības laikā objekta apsaimniekošanu. Līgumam beidzoties, visi renovācijas rezultātā sasniegtie ieguvumi pāriet pakalpojuma saņēmēja – iedzīvotāju - īpašumā. </w:t>
      </w:r>
    </w:p>
    <w:p w:rsidR="00B358DC" w:rsidRPr="00D043A6" w:rsidRDefault="00B358DC" w:rsidP="00794DA1">
      <w:pPr>
        <w:jc w:val="both"/>
        <w:rPr>
          <w:sz w:val="24"/>
        </w:rPr>
      </w:pPr>
    </w:p>
    <w:p w:rsidR="007E1270" w:rsidRPr="00D043A6" w:rsidRDefault="007E1270" w:rsidP="00435E45">
      <w:pPr>
        <w:ind w:firstLine="720"/>
        <w:jc w:val="both"/>
        <w:rPr>
          <w:sz w:val="24"/>
        </w:rPr>
      </w:pPr>
      <w:r w:rsidRPr="00D043A6">
        <w:rPr>
          <w:sz w:val="24"/>
        </w:rPr>
        <w:lastRenderedPageBreak/>
        <w:t xml:space="preserve">Slēdzot ESKO līgumu, var tikt izmantotas divas pieejas:  </w:t>
      </w:r>
    </w:p>
    <w:p w:rsidR="001607BB" w:rsidRPr="00D043A6" w:rsidRDefault="007E1270" w:rsidP="001607BB">
      <w:pPr>
        <w:pStyle w:val="ListParagraph"/>
        <w:numPr>
          <w:ilvl w:val="0"/>
          <w:numId w:val="18"/>
        </w:numPr>
        <w:jc w:val="both"/>
        <w:rPr>
          <w:sz w:val="24"/>
        </w:rPr>
      </w:pPr>
      <w:r w:rsidRPr="00D043A6">
        <w:rPr>
          <w:sz w:val="24"/>
        </w:rPr>
        <w:t xml:space="preserve">Līguma rezultātā pakalpojuma sniedzējs saņem noteiktus procentus no ietaupītajiem līdzekļiem visu līguma darbības laiku. Tas rosina pakalpojuma sniedzēju panākt pēc iespējas lielāku ietaupījumu tūdaļ pēc projekta realizācijas un uzturēt to līdz pat 1īguma </w:t>
      </w:r>
      <w:r w:rsidR="004C1FFE">
        <w:rPr>
          <w:sz w:val="24"/>
        </w:rPr>
        <w:t>vai</w:t>
      </w:r>
      <w:r w:rsidRPr="00D043A6">
        <w:rPr>
          <w:sz w:val="24"/>
        </w:rPr>
        <w:t xml:space="preserve"> atmaksāšanās beigā</w:t>
      </w:r>
      <w:r w:rsidR="004C1FFE">
        <w:rPr>
          <w:sz w:val="24"/>
        </w:rPr>
        <w:t>m, pat palielinot to ar papildu</w:t>
      </w:r>
      <w:r w:rsidRPr="00D043A6">
        <w:rPr>
          <w:sz w:val="24"/>
        </w:rPr>
        <w:t xml:space="preserve"> pasākumiem.</w:t>
      </w:r>
      <w:r w:rsidR="00764F99" w:rsidRPr="00D043A6">
        <w:rPr>
          <w:sz w:val="24"/>
        </w:rPr>
        <w:t xml:space="preserve"> Šai pieejai var būt risinājumi:</w:t>
      </w:r>
    </w:p>
    <w:p w:rsidR="00764F99" w:rsidRPr="00D043A6" w:rsidRDefault="00764F99" w:rsidP="00764F99">
      <w:pPr>
        <w:pStyle w:val="ListParagraph"/>
        <w:numPr>
          <w:ilvl w:val="1"/>
          <w:numId w:val="18"/>
        </w:numPr>
        <w:jc w:val="both"/>
        <w:rPr>
          <w:sz w:val="24"/>
        </w:rPr>
      </w:pPr>
      <w:r w:rsidRPr="00D043A6">
        <w:rPr>
          <w:sz w:val="24"/>
        </w:rPr>
        <w:t>līgumā tiek atrunāts garantētais ietaupījums, par kura sasniegšanu visus riskus uzņemas ESKO;</w:t>
      </w:r>
    </w:p>
    <w:p w:rsidR="00764F99" w:rsidRPr="00D043A6" w:rsidRDefault="00764F99" w:rsidP="00764F99">
      <w:pPr>
        <w:pStyle w:val="ListParagraph"/>
        <w:numPr>
          <w:ilvl w:val="1"/>
          <w:numId w:val="18"/>
        </w:numPr>
        <w:jc w:val="both"/>
        <w:rPr>
          <w:sz w:val="24"/>
        </w:rPr>
      </w:pPr>
      <w:r w:rsidRPr="00D043A6">
        <w:rPr>
          <w:sz w:val="24"/>
        </w:rPr>
        <w:t>līgumā ietver nosacījumus</w:t>
      </w:r>
      <w:r w:rsidR="00410FD8" w:rsidRPr="00D043A6">
        <w:rPr>
          <w:sz w:val="24"/>
        </w:rPr>
        <w:t>,</w:t>
      </w:r>
      <w:r w:rsidRPr="00D043A6">
        <w:rPr>
          <w:sz w:val="24"/>
        </w:rPr>
        <w:t xml:space="preserve"> kā sadalīt sasniegtos ietaupījumus starp ESKO un klientu – šajā variantā riski tiek sadalīti starp līgumslēdzējām pusēm saskaņā ar līguma nosacījumiem</w:t>
      </w:r>
      <w:r w:rsidR="00410FD8" w:rsidRPr="00D043A6">
        <w:rPr>
          <w:sz w:val="24"/>
        </w:rPr>
        <w:t>.</w:t>
      </w:r>
    </w:p>
    <w:p w:rsidR="007E1270" w:rsidRPr="00D043A6" w:rsidRDefault="001607BB" w:rsidP="001607BB">
      <w:pPr>
        <w:pStyle w:val="ListParagraph"/>
        <w:numPr>
          <w:ilvl w:val="0"/>
          <w:numId w:val="18"/>
        </w:numPr>
        <w:jc w:val="both"/>
        <w:rPr>
          <w:sz w:val="24"/>
        </w:rPr>
      </w:pPr>
      <w:r w:rsidRPr="00D043A6">
        <w:rPr>
          <w:sz w:val="24"/>
        </w:rPr>
        <w:t>Līguma rezultātā iedzīvotāji maksā nemainīgu ikmēneša maksājumu par kvadrātmetru atbilstoši apdzīvojamajai platībai.</w:t>
      </w:r>
    </w:p>
    <w:p w:rsidR="007E1270" w:rsidRPr="00D043A6" w:rsidRDefault="007E1270" w:rsidP="00794DA1">
      <w:pPr>
        <w:jc w:val="both"/>
        <w:rPr>
          <w:sz w:val="24"/>
        </w:rPr>
      </w:pPr>
    </w:p>
    <w:p w:rsidR="007E1270" w:rsidRPr="00D043A6" w:rsidRDefault="007E1270" w:rsidP="001607BB">
      <w:pPr>
        <w:ind w:firstLine="720"/>
        <w:jc w:val="both"/>
        <w:rPr>
          <w:sz w:val="24"/>
        </w:rPr>
      </w:pPr>
      <w:r w:rsidRPr="00D043A6">
        <w:rPr>
          <w:sz w:val="24"/>
        </w:rPr>
        <w:t xml:space="preserve">ESKO sekmīgā darbība ir guvusi atzinību </w:t>
      </w:r>
      <w:r w:rsidR="00B2197F" w:rsidRPr="00D043A6">
        <w:rPr>
          <w:sz w:val="24"/>
        </w:rPr>
        <w:t>vairākās</w:t>
      </w:r>
      <w:r w:rsidRPr="00D043A6">
        <w:rPr>
          <w:sz w:val="24"/>
        </w:rPr>
        <w:t xml:space="preserve"> E</w:t>
      </w:r>
      <w:r w:rsidR="00B2197F" w:rsidRPr="00D043A6">
        <w:rPr>
          <w:sz w:val="24"/>
        </w:rPr>
        <w:t>S</w:t>
      </w:r>
      <w:r w:rsidRPr="00D043A6">
        <w:rPr>
          <w:sz w:val="24"/>
        </w:rPr>
        <w:t xml:space="preserve"> valst</w:t>
      </w:r>
      <w:r w:rsidR="00B2197F" w:rsidRPr="00D043A6">
        <w:rPr>
          <w:sz w:val="24"/>
        </w:rPr>
        <w:t>u pašvaldībās</w:t>
      </w:r>
      <w:r w:rsidRPr="00D043A6">
        <w:rPr>
          <w:sz w:val="24"/>
        </w:rPr>
        <w:t>, jo, piesaistot privāto sadarbības partneri, pašvaldībām ir izdevies uzlabot savā īpašumā esošo ēku energoefektivitāti pat savu budžeta līdzekļu trūkuma gadījumā. Piemēram, Nīčepingas (</w:t>
      </w:r>
      <w:r w:rsidRPr="00D043A6">
        <w:rPr>
          <w:i/>
          <w:sz w:val="24"/>
        </w:rPr>
        <w:t>Nyköping</w:t>
      </w:r>
      <w:r w:rsidRPr="00D043A6">
        <w:rPr>
          <w:sz w:val="24"/>
        </w:rPr>
        <w:t>) pašvaldībā Zviedrijā ar ESKO palīdzību kopš 2006.</w:t>
      </w:r>
      <w:r w:rsidR="00410FD8" w:rsidRPr="00D043A6">
        <w:rPr>
          <w:sz w:val="24"/>
        </w:rPr>
        <w:t> </w:t>
      </w:r>
      <w:r w:rsidRPr="00D043A6">
        <w:rPr>
          <w:sz w:val="24"/>
        </w:rPr>
        <w:t>gada ir izdevies renovēt 123 ēkas (skolas, pansionātus, slimnīcas, ražošanas objektus), samazinot enerģijas patēriņa rēķinus par 21</w:t>
      </w:r>
      <w:r w:rsidR="00410FD8" w:rsidRPr="00D043A6">
        <w:rPr>
          <w:sz w:val="24"/>
        </w:rPr>
        <w:t> </w:t>
      </w:r>
      <w:r w:rsidRPr="00D043A6">
        <w:rPr>
          <w:sz w:val="24"/>
        </w:rPr>
        <w:t>%, kā arī ietaupot 4</w:t>
      </w:r>
      <w:r w:rsidR="00E5175F" w:rsidRPr="00D043A6">
        <w:rPr>
          <w:sz w:val="24"/>
        </w:rPr>
        <w:t>.</w:t>
      </w:r>
      <w:r w:rsidRPr="00D043A6">
        <w:rPr>
          <w:sz w:val="24"/>
        </w:rPr>
        <w:t>3</w:t>
      </w:r>
      <w:r w:rsidR="00410FD8" w:rsidRPr="00D043A6">
        <w:rPr>
          <w:sz w:val="24"/>
        </w:rPr>
        <w:t> </w:t>
      </w:r>
      <w:r w:rsidRPr="00D043A6">
        <w:rPr>
          <w:sz w:val="24"/>
        </w:rPr>
        <w:t>t</w:t>
      </w:r>
      <w:r w:rsidR="00410FD8" w:rsidRPr="00D043A6">
        <w:rPr>
          <w:sz w:val="24"/>
        </w:rPr>
        <w:t> </w:t>
      </w:r>
      <w:r w:rsidRPr="00D043A6">
        <w:rPr>
          <w:sz w:val="24"/>
        </w:rPr>
        <w:t>CO</w:t>
      </w:r>
      <w:r w:rsidRPr="00D043A6">
        <w:rPr>
          <w:sz w:val="24"/>
          <w:vertAlign w:val="subscript"/>
        </w:rPr>
        <w:t>2</w:t>
      </w:r>
      <w:r w:rsidRPr="00D043A6">
        <w:rPr>
          <w:sz w:val="24"/>
        </w:rPr>
        <w:t xml:space="preserve"> izmešu un </w:t>
      </w:r>
      <w:r w:rsidR="00410FD8" w:rsidRPr="00D043A6">
        <w:rPr>
          <w:sz w:val="24"/>
        </w:rPr>
        <w:t xml:space="preserve">samazinot </w:t>
      </w:r>
      <w:r w:rsidRPr="00D043A6">
        <w:rPr>
          <w:sz w:val="24"/>
        </w:rPr>
        <w:t>uzturēšan</w:t>
      </w:r>
      <w:r w:rsidR="00410FD8" w:rsidRPr="00D043A6">
        <w:rPr>
          <w:sz w:val="24"/>
        </w:rPr>
        <w:t>a</w:t>
      </w:r>
      <w:r w:rsidR="00D918A5">
        <w:rPr>
          <w:sz w:val="24"/>
        </w:rPr>
        <w:t xml:space="preserve">s izmaksas. Berlīnes </w:t>
      </w:r>
      <w:r w:rsidRPr="00D043A6">
        <w:rPr>
          <w:sz w:val="24"/>
        </w:rPr>
        <w:t>pašvaldība Vācijā, īstenojot enerģijas taupības stratēģiju, ar ESKO palīdzību renovēja 85 pilsētas īpašumus, panākot ietaupījumus 2</w:t>
      </w:r>
      <w:r w:rsidR="00E5175F" w:rsidRPr="00D043A6">
        <w:rPr>
          <w:sz w:val="24"/>
        </w:rPr>
        <w:t>.</w:t>
      </w:r>
      <w:r w:rsidRPr="00D043A6">
        <w:rPr>
          <w:sz w:val="24"/>
        </w:rPr>
        <w:t>8 miljonu EUR apmērā un samazinot CO</w:t>
      </w:r>
      <w:r w:rsidRPr="00D043A6">
        <w:rPr>
          <w:sz w:val="24"/>
          <w:vertAlign w:val="subscript"/>
        </w:rPr>
        <w:t>2</w:t>
      </w:r>
      <w:r w:rsidRPr="00D043A6">
        <w:rPr>
          <w:sz w:val="24"/>
        </w:rPr>
        <w:t xml:space="preserve"> izmešus par 16</w:t>
      </w:r>
      <w:r w:rsidR="00E5175F" w:rsidRPr="00D043A6">
        <w:rPr>
          <w:sz w:val="24"/>
        </w:rPr>
        <w:t>.</w:t>
      </w:r>
      <w:r w:rsidRPr="00D043A6">
        <w:rPr>
          <w:sz w:val="24"/>
        </w:rPr>
        <w:t>2</w:t>
      </w:r>
      <w:r w:rsidR="00410FD8" w:rsidRPr="00D043A6">
        <w:rPr>
          <w:sz w:val="24"/>
        </w:rPr>
        <w:t> </w:t>
      </w:r>
      <w:r w:rsidRPr="00D043A6">
        <w:rPr>
          <w:sz w:val="24"/>
        </w:rPr>
        <w:t xml:space="preserve">t. </w:t>
      </w:r>
    </w:p>
    <w:p w:rsidR="00AE66BC" w:rsidRPr="00D043A6" w:rsidRDefault="00AE66BC" w:rsidP="001607BB">
      <w:pPr>
        <w:ind w:firstLine="720"/>
        <w:jc w:val="both"/>
        <w:rPr>
          <w:sz w:val="24"/>
        </w:rPr>
      </w:pPr>
      <w:r w:rsidRPr="00D043A6">
        <w:rPr>
          <w:sz w:val="24"/>
        </w:rPr>
        <w:t>2012.</w:t>
      </w:r>
      <w:r w:rsidR="00C827A4" w:rsidRPr="00D043A6">
        <w:rPr>
          <w:sz w:val="24"/>
        </w:rPr>
        <w:t> </w:t>
      </w:r>
      <w:r w:rsidRPr="00D043A6">
        <w:rPr>
          <w:sz w:val="24"/>
        </w:rPr>
        <w:t>gada 11.</w:t>
      </w:r>
      <w:r w:rsidR="00C827A4" w:rsidRPr="00D043A6">
        <w:rPr>
          <w:sz w:val="24"/>
        </w:rPr>
        <w:t> </w:t>
      </w:r>
      <w:r w:rsidRPr="00D043A6">
        <w:rPr>
          <w:sz w:val="24"/>
        </w:rPr>
        <w:t xml:space="preserve">oktobrī Eiropas Savienībā </w:t>
      </w:r>
      <w:r w:rsidR="0074765B" w:rsidRPr="00D043A6">
        <w:rPr>
          <w:sz w:val="24"/>
        </w:rPr>
        <w:t xml:space="preserve">iniciēta </w:t>
      </w:r>
      <w:r w:rsidRPr="00D043A6">
        <w:rPr>
          <w:sz w:val="24"/>
        </w:rPr>
        <w:t>informatīvā kampaņa</w:t>
      </w:r>
      <w:r w:rsidR="00A24862" w:rsidRPr="00D043A6">
        <w:rPr>
          <w:sz w:val="24"/>
        </w:rPr>
        <w:t xml:space="preserve"> </w:t>
      </w:r>
      <w:r w:rsidR="00EC366E" w:rsidRPr="00D043A6">
        <w:rPr>
          <w:sz w:val="24"/>
        </w:rPr>
        <w:t>Energopakalpojumu attīstības veicināšanai (</w:t>
      </w:r>
      <w:r w:rsidR="00EC366E" w:rsidRPr="00D043A6">
        <w:rPr>
          <w:i/>
          <w:sz w:val="24"/>
        </w:rPr>
        <w:t>Energy Performance Contracting Compaign – EPCC</w:t>
      </w:r>
      <w:r w:rsidR="00EC366E" w:rsidRPr="00D043A6">
        <w:rPr>
          <w:sz w:val="24"/>
        </w:rPr>
        <w:t>)</w:t>
      </w:r>
      <w:r w:rsidR="00EC366E" w:rsidRPr="00D043A6">
        <w:rPr>
          <w:rStyle w:val="FootnoteReference"/>
          <w:sz w:val="24"/>
        </w:rPr>
        <w:footnoteReference w:id="34"/>
      </w:r>
      <w:r w:rsidR="00EC366E" w:rsidRPr="00D043A6">
        <w:rPr>
          <w:sz w:val="24"/>
        </w:rPr>
        <w:t xml:space="preserve">. </w:t>
      </w:r>
      <w:r w:rsidR="00A24862" w:rsidRPr="00D043A6">
        <w:rPr>
          <w:sz w:val="24"/>
        </w:rPr>
        <w:t>Eiropas ēku sektora renovācijai</w:t>
      </w:r>
      <w:r w:rsidR="00EC366E" w:rsidRPr="00D043A6">
        <w:rPr>
          <w:sz w:val="24"/>
        </w:rPr>
        <w:t xml:space="preserve"> veltītās konferences Briselē</w:t>
      </w:r>
      <w:r w:rsidR="00EC366E" w:rsidRPr="00D043A6">
        <w:rPr>
          <w:rStyle w:val="FootnoteReference"/>
          <w:sz w:val="24"/>
        </w:rPr>
        <w:footnoteReference w:id="35"/>
      </w:r>
      <w:r w:rsidR="00EC366E" w:rsidRPr="00D043A6">
        <w:rPr>
          <w:sz w:val="24"/>
        </w:rPr>
        <w:t xml:space="preserve"> </w:t>
      </w:r>
      <w:r w:rsidR="00EB3C26" w:rsidRPr="00D043A6">
        <w:rPr>
          <w:sz w:val="24"/>
        </w:rPr>
        <w:t>ietvaros uzsvērta</w:t>
      </w:r>
      <w:r w:rsidRPr="00D043A6">
        <w:rPr>
          <w:sz w:val="24"/>
        </w:rPr>
        <w:t xml:space="preserve"> </w:t>
      </w:r>
      <w:r w:rsidR="00EC366E" w:rsidRPr="00D043A6">
        <w:rPr>
          <w:sz w:val="24"/>
        </w:rPr>
        <w:t>e</w:t>
      </w:r>
      <w:r w:rsidRPr="00D043A6">
        <w:rPr>
          <w:sz w:val="24"/>
        </w:rPr>
        <w:t xml:space="preserve">nergopakalpojumu </w:t>
      </w:r>
      <w:r w:rsidR="00EB3C26" w:rsidRPr="00D043A6">
        <w:rPr>
          <w:sz w:val="24"/>
        </w:rPr>
        <w:t>līguma nozīmīgā loma ESKO sektora attīstībā</w:t>
      </w:r>
      <w:r w:rsidR="0074765B" w:rsidRPr="00D043A6">
        <w:rPr>
          <w:rStyle w:val="FootnoteReference"/>
          <w:sz w:val="24"/>
        </w:rPr>
        <w:footnoteReference w:id="36"/>
      </w:r>
      <w:r w:rsidR="0074765B" w:rsidRPr="00D043A6">
        <w:rPr>
          <w:sz w:val="24"/>
        </w:rPr>
        <w:t>.</w:t>
      </w:r>
      <w:r w:rsidR="00EC366E" w:rsidRPr="00D043A6">
        <w:rPr>
          <w:sz w:val="24"/>
        </w:rPr>
        <w:t xml:space="preserve"> Energopakalpojumu attīstības veicināšanas k</w:t>
      </w:r>
      <w:r w:rsidR="0074765B" w:rsidRPr="00D043A6">
        <w:rPr>
          <w:sz w:val="24"/>
        </w:rPr>
        <w:t xml:space="preserve">ampaņa </w:t>
      </w:r>
      <w:r w:rsidR="00D15FF7" w:rsidRPr="00D043A6">
        <w:rPr>
          <w:sz w:val="24"/>
        </w:rPr>
        <w:t>tiek rīkota</w:t>
      </w:r>
      <w:r w:rsidR="0074765B" w:rsidRPr="00D043A6">
        <w:rPr>
          <w:sz w:val="24"/>
        </w:rPr>
        <w:t xml:space="preserve"> Eiropas Komisijas </w:t>
      </w:r>
      <w:r w:rsidR="00EC366E" w:rsidRPr="00D043A6">
        <w:rPr>
          <w:sz w:val="24"/>
        </w:rPr>
        <w:t>t</w:t>
      </w:r>
      <w:r w:rsidR="0074765B" w:rsidRPr="00D043A6">
        <w:rPr>
          <w:sz w:val="24"/>
        </w:rPr>
        <w:t>ehniskā atbalsta programmas ManagEnergy ietvaros</w:t>
      </w:r>
      <w:r w:rsidR="00D15FF7" w:rsidRPr="00D043A6">
        <w:rPr>
          <w:sz w:val="24"/>
        </w:rPr>
        <w:t>, kas nodrošina atbalstu informatīvu semināru un tematisku darba grupu organizēšanā.</w:t>
      </w:r>
    </w:p>
    <w:p w:rsidR="00F73E2E" w:rsidRPr="00D043A6" w:rsidRDefault="00F73E2E" w:rsidP="00F73E2E">
      <w:pPr>
        <w:ind w:firstLine="720"/>
        <w:jc w:val="both"/>
        <w:rPr>
          <w:sz w:val="24"/>
        </w:rPr>
      </w:pPr>
      <w:r w:rsidRPr="00D043A6">
        <w:rPr>
          <w:sz w:val="24"/>
        </w:rPr>
        <w:t>Latvijā energoservisa pakalpojumu sniegšanas pakalpojumus regulē Enerģijas galapatēriņa efektivitātes likuma 14. pants, kurā noteikti nosacījumi  energopakalpojumu sniegšanai</w:t>
      </w:r>
      <w:r w:rsidR="00B27AA2" w:rsidRPr="00D043A6">
        <w:rPr>
          <w:sz w:val="24"/>
        </w:rPr>
        <w:t>, t.sk. prasība līgumā ietvert informāciju par</w:t>
      </w:r>
      <w:r w:rsidRPr="00D043A6">
        <w:rPr>
          <w:sz w:val="24"/>
        </w:rPr>
        <w:t xml:space="preserve"> energopakalpojuma sniedzēja garantētajiem energoefektivitātes paaugstināšanas pasākumiem un to novērtējumu, projekta finansēšanas shēmu</w:t>
      </w:r>
      <w:r w:rsidR="00B27AA2" w:rsidRPr="00D043A6">
        <w:rPr>
          <w:sz w:val="24"/>
        </w:rPr>
        <w:t xml:space="preserve"> un</w:t>
      </w:r>
      <w:r w:rsidRPr="00D043A6">
        <w:rPr>
          <w:sz w:val="24"/>
        </w:rPr>
        <w:t xml:space="preserve"> paredzamo maksājuma veidu.</w:t>
      </w:r>
      <w:r w:rsidR="00B27AA2" w:rsidRPr="00D043A6">
        <w:rPr>
          <w:sz w:val="24"/>
        </w:rPr>
        <w:t xml:space="preserve"> </w:t>
      </w:r>
      <w:r w:rsidRPr="00D043A6">
        <w:rPr>
          <w:sz w:val="24"/>
        </w:rPr>
        <w:t>Likums tāpat nosaka, ka saskaņā ar līgumu ieguldīt</w:t>
      </w:r>
      <w:r w:rsidR="00B27AA2" w:rsidRPr="00D043A6">
        <w:rPr>
          <w:sz w:val="24"/>
        </w:rPr>
        <w:t xml:space="preserve">ajām </w:t>
      </w:r>
      <w:r w:rsidRPr="00D043A6">
        <w:rPr>
          <w:sz w:val="24"/>
        </w:rPr>
        <w:t>investīcij</w:t>
      </w:r>
      <w:r w:rsidR="00B27AA2" w:rsidRPr="00D043A6">
        <w:rPr>
          <w:sz w:val="24"/>
        </w:rPr>
        <w:t>ām</w:t>
      </w:r>
      <w:r w:rsidRPr="00D043A6">
        <w:rPr>
          <w:sz w:val="24"/>
        </w:rPr>
        <w:t xml:space="preserve"> pilnībā </w:t>
      </w:r>
      <w:r w:rsidR="00B27AA2" w:rsidRPr="00D043A6">
        <w:rPr>
          <w:sz w:val="24"/>
        </w:rPr>
        <w:t>jā</w:t>
      </w:r>
      <w:r w:rsidRPr="00D043A6">
        <w:rPr>
          <w:sz w:val="24"/>
        </w:rPr>
        <w:t>atmaksājas no energopakalpojuma ieviešanas rezultātā gūtā enerģijas ietaupījuma, par kuru panākta vienošanās līgumā</w:t>
      </w:r>
      <w:r w:rsidR="00B27AA2" w:rsidRPr="00D043A6">
        <w:rPr>
          <w:sz w:val="24"/>
        </w:rPr>
        <w:t>.</w:t>
      </w:r>
      <w:r w:rsidRPr="00D043A6">
        <w:rPr>
          <w:sz w:val="24"/>
        </w:rPr>
        <w:t xml:space="preserve"> </w:t>
      </w:r>
    </w:p>
    <w:p w:rsidR="007E1270" w:rsidRPr="00D043A6" w:rsidRDefault="00B27AA2" w:rsidP="00BE0B76">
      <w:pPr>
        <w:ind w:firstLine="720"/>
        <w:jc w:val="both"/>
        <w:rPr>
          <w:sz w:val="24"/>
        </w:rPr>
      </w:pPr>
      <w:r w:rsidRPr="00D043A6">
        <w:rPr>
          <w:sz w:val="24"/>
        </w:rPr>
        <w:t>E</w:t>
      </w:r>
      <w:r w:rsidR="00F35887" w:rsidRPr="00D043A6">
        <w:rPr>
          <w:sz w:val="24"/>
        </w:rPr>
        <w:t xml:space="preserve">nergoservisa pakalpojumu sniegšana </w:t>
      </w:r>
      <w:r w:rsidRPr="00D043A6">
        <w:rPr>
          <w:sz w:val="24"/>
        </w:rPr>
        <w:t xml:space="preserve">Latvijā </w:t>
      </w:r>
      <w:r w:rsidR="00F35887" w:rsidRPr="00D043A6">
        <w:rPr>
          <w:sz w:val="24"/>
        </w:rPr>
        <w:t xml:space="preserve">pēc ESKO principa ēku energoefektivitātes jomā ir attīstības stadijā. Latvijā reģistrētā </w:t>
      </w:r>
      <w:r w:rsidR="00BE0B76" w:rsidRPr="00D043A6">
        <w:rPr>
          <w:sz w:val="24"/>
        </w:rPr>
        <w:t>SIA REN</w:t>
      </w:r>
      <w:r w:rsidR="007E1270" w:rsidRPr="00D043A6">
        <w:rPr>
          <w:sz w:val="24"/>
        </w:rPr>
        <w:t>ES</w:t>
      </w:r>
      <w:r w:rsidR="00F35887" w:rsidRPr="00D043A6">
        <w:rPr>
          <w:sz w:val="24"/>
        </w:rPr>
        <w:t>C</w:t>
      </w:r>
      <w:r w:rsidR="007E1270" w:rsidRPr="00D043A6">
        <w:rPr>
          <w:sz w:val="24"/>
        </w:rPr>
        <w:t xml:space="preserve">O </w:t>
      </w:r>
      <w:r w:rsidR="00BE0B76" w:rsidRPr="00D043A6">
        <w:rPr>
          <w:sz w:val="24"/>
        </w:rPr>
        <w:t>pēc ESKO principa realizē</w:t>
      </w:r>
      <w:r w:rsidR="00F35887" w:rsidRPr="00D043A6">
        <w:rPr>
          <w:sz w:val="24"/>
        </w:rPr>
        <w:t>jusi</w:t>
      </w:r>
      <w:r w:rsidR="00BE0B76" w:rsidRPr="00D043A6">
        <w:rPr>
          <w:sz w:val="24"/>
        </w:rPr>
        <w:t xml:space="preserve"> </w:t>
      </w:r>
      <w:r w:rsidR="008A1837" w:rsidRPr="00D043A6">
        <w:rPr>
          <w:sz w:val="24"/>
        </w:rPr>
        <w:t>vairākus</w:t>
      </w:r>
      <w:r w:rsidR="00BE0B76" w:rsidRPr="00D043A6">
        <w:rPr>
          <w:sz w:val="24"/>
        </w:rPr>
        <w:t xml:space="preserve"> </w:t>
      </w:r>
      <w:r w:rsidR="007E1270" w:rsidRPr="00D043A6">
        <w:rPr>
          <w:sz w:val="24"/>
        </w:rPr>
        <w:t>projekt</w:t>
      </w:r>
      <w:r w:rsidR="00F35887" w:rsidRPr="00D043A6">
        <w:rPr>
          <w:sz w:val="24"/>
        </w:rPr>
        <w:t>us</w:t>
      </w:r>
      <w:r w:rsidR="007E1270" w:rsidRPr="00D043A6">
        <w:rPr>
          <w:sz w:val="24"/>
        </w:rPr>
        <w:t xml:space="preserve"> </w:t>
      </w:r>
      <w:r w:rsidR="00385E9E" w:rsidRPr="00D043A6">
        <w:rPr>
          <w:sz w:val="24"/>
        </w:rPr>
        <w:t xml:space="preserve">– </w:t>
      </w:r>
      <w:r w:rsidR="007E1270" w:rsidRPr="00D043A6">
        <w:rPr>
          <w:sz w:val="24"/>
        </w:rPr>
        <w:t>2010.</w:t>
      </w:r>
      <w:r w:rsidR="00E5175F" w:rsidRPr="00D043A6">
        <w:rPr>
          <w:sz w:val="24"/>
        </w:rPr>
        <w:t> </w:t>
      </w:r>
      <w:r w:rsidR="007E1270" w:rsidRPr="00D043A6">
        <w:rPr>
          <w:sz w:val="24"/>
        </w:rPr>
        <w:t>gadā Valmierā</w:t>
      </w:r>
      <w:r w:rsidR="008A1837" w:rsidRPr="00D043A6">
        <w:rPr>
          <w:sz w:val="24"/>
        </w:rPr>
        <w:t>,</w:t>
      </w:r>
      <w:r w:rsidR="00F35887" w:rsidRPr="00D043A6">
        <w:rPr>
          <w:sz w:val="24"/>
        </w:rPr>
        <w:t xml:space="preserve"> 2011.</w:t>
      </w:r>
      <w:r w:rsidR="008A1837" w:rsidRPr="00D043A6">
        <w:rPr>
          <w:sz w:val="24"/>
        </w:rPr>
        <w:t xml:space="preserve"> un 2012.</w:t>
      </w:r>
      <w:r w:rsidR="00F35887" w:rsidRPr="00D043A6">
        <w:rPr>
          <w:sz w:val="24"/>
        </w:rPr>
        <w:t> gadā Cēsīs</w:t>
      </w:r>
      <w:r w:rsidR="00010C05" w:rsidRPr="00D043A6">
        <w:rPr>
          <w:sz w:val="24"/>
        </w:rPr>
        <w:t>.</w:t>
      </w:r>
      <w:r w:rsidR="007E1270" w:rsidRPr="00D043A6">
        <w:rPr>
          <w:sz w:val="24"/>
        </w:rPr>
        <w:t xml:space="preserve"> </w:t>
      </w:r>
    </w:p>
    <w:p w:rsidR="007E1270" w:rsidRPr="00D043A6" w:rsidRDefault="00F35887" w:rsidP="00677718">
      <w:pPr>
        <w:ind w:firstLine="720"/>
        <w:jc w:val="both"/>
        <w:rPr>
          <w:sz w:val="24"/>
        </w:rPr>
      </w:pPr>
      <w:r w:rsidRPr="00D043A6">
        <w:rPr>
          <w:sz w:val="24"/>
        </w:rPr>
        <w:t xml:space="preserve">Sekmīgai </w:t>
      </w:r>
      <w:r w:rsidR="002601F7" w:rsidRPr="00D043A6">
        <w:rPr>
          <w:sz w:val="24"/>
        </w:rPr>
        <w:t xml:space="preserve">energoservisa pakalpojumu attīstībai, nepieciešams, lai </w:t>
      </w:r>
      <w:r w:rsidR="00DD2CBF" w:rsidRPr="00D043A6">
        <w:rPr>
          <w:sz w:val="24"/>
        </w:rPr>
        <w:t>tirgū</w:t>
      </w:r>
      <w:r w:rsidR="002601F7" w:rsidRPr="00D043A6">
        <w:rPr>
          <w:sz w:val="24"/>
        </w:rPr>
        <w:t xml:space="preserve"> darbo</w:t>
      </w:r>
      <w:r w:rsidR="00DD2CBF" w:rsidRPr="00D043A6">
        <w:rPr>
          <w:sz w:val="24"/>
        </w:rPr>
        <w:t>t</w:t>
      </w:r>
      <w:r w:rsidR="002601F7" w:rsidRPr="00D043A6">
        <w:rPr>
          <w:sz w:val="24"/>
        </w:rPr>
        <w:t xml:space="preserve">os </w:t>
      </w:r>
      <w:r w:rsidR="00DD2CBF" w:rsidRPr="00D043A6">
        <w:rPr>
          <w:sz w:val="24"/>
        </w:rPr>
        <w:t xml:space="preserve">vairāk </w:t>
      </w:r>
      <w:r w:rsidR="002601F7" w:rsidRPr="00D043A6">
        <w:rPr>
          <w:sz w:val="24"/>
        </w:rPr>
        <w:t>uzņēmum</w:t>
      </w:r>
      <w:r w:rsidR="00DD2CBF" w:rsidRPr="00D043A6">
        <w:rPr>
          <w:sz w:val="24"/>
        </w:rPr>
        <w:t>u</w:t>
      </w:r>
      <w:r w:rsidR="002601F7" w:rsidRPr="00D043A6">
        <w:rPr>
          <w:sz w:val="24"/>
        </w:rPr>
        <w:t xml:space="preserve">, kuri konkurētu savā starpā un piedāvātu patērētājiem izdevīgākus līgumu </w:t>
      </w:r>
      <w:r w:rsidR="002601F7" w:rsidRPr="00D043A6">
        <w:rPr>
          <w:sz w:val="24"/>
        </w:rPr>
        <w:lastRenderedPageBreak/>
        <w:t>nosacījumus.</w:t>
      </w:r>
      <w:r w:rsidR="00CD2528" w:rsidRPr="00D043A6">
        <w:rPr>
          <w:sz w:val="24"/>
        </w:rPr>
        <w:t xml:space="preserve"> </w:t>
      </w:r>
      <w:r w:rsidR="00DD2CBF" w:rsidRPr="00D043A6">
        <w:rPr>
          <w:sz w:val="24"/>
        </w:rPr>
        <w:t xml:space="preserve">Pētījumi liecina, ka </w:t>
      </w:r>
      <w:r w:rsidR="00587BBA" w:rsidRPr="00D043A6">
        <w:rPr>
          <w:sz w:val="24"/>
        </w:rPr>
        <w:t>energopakalpojumu līgumu sekmīgu ieviešanu kavē virkne šķēršļu</w:t>
      </w:r>
      <w:r w:rsidR="00587BBA" w:rsidRPr="00D043A6">
        <w:rPr>
          <w:rStyle w:val="FootnoteReference"/>
          <w:sz w:val="24"/>
        </w:rPr>
        <w:footnoteReference w:id="37"/>
      </w:r>
      <w:r w:rsidR="00587BBA" w:rsidRPr="00D043A6">
        <w:rPr>
          <w:sz w:val="24"/>
        </w:rPr>
        <w:t>:</w:t>
      </w:r>
    </w:p>
    <w:p w:rsidR="00587BBA" w:rsidRPr="00D043A6" w:rsidRDefault="00587BBA" w:rsidP="00587BBA">
      <w:pPr>
        <w:pStyle w:val="ListParagraph"/>
        <w:numPr>
          <w:ilvl w:val="0"/>
          <w:numId w:val="4"/>
        </w:numPr>
        <w:ind w:left="1080"/>
        <w:jc w:val="both"/>
        <w:rPr>
          <w:sz w:val="24"/>
        </w:rPr>
      </w:pPr>
      <w:r w:rsidRPr="00D043A6">
        <w:rPr>
          <w:sz w:val="24"/>
        </w:rPr>
        <w:t>nepietiekama informācijas pieejamība par ESKO un vāja izpratne par ESKO līgumiem;</w:t>
      </w:r>
    </w:p>
    <w:p w:rsidR="003F0E7A" w:rsidRPr="00D043A6" w:rsidRDefault="003F0E7A" w:rsidP="00587BBA">
      <w:pPr>
        <w:pStyle w:val="ListParagraph"/>
        <w:numPr>
          <w:ilvl w:val="0"/>
          <w:numId w:val="4"/>
        </w:numPr>
        <w:ind w:left="1080"/>
        <w:jc w:val="both"/>
        <w:rPr>
          <w:sz w:val="24"/>
        </w:rPr>
      </w:pPr>
      <w:r w:rsidRPr="00D043A6">
        <w:rPr>
          <w:sz w:val="24"/>
        </w:rPr>
        <w:t xml:space="preserve">trūkumi normatīvos aktos publisko iepirkumu jomā, kas bieži </w:t>
      </w:r>
      <w:r w:rsidR="003477F2" w:rsidRPr="00D043A6">
        <w:rPr>
          <w:sz w:val="24"/>
        </w:rPr>
        <w:t>nav</w:t>
      </w:r>
      <w:r w:rsidRPr="00D043A6">
        <w:rPr>
          <w:sz w:val="24"/>
        </w:rPr>
        <w:t xml:space="preserve"> piemēroti </w:t>
      </w:r>
      <w:r w:rsidR="003477F2" w:rsidRPr="00D043A6">
        <w:rPr>
          <w:sz w:val="24"/>
        </w:rPr>
        <w:t>ilgtermiņa pakalpojumu līgumu slēgšanai;</w:t>
      </w:r>
    </w:p>
    <w:p w:rsidR="00587BBA" w:rsidRPr="00D043A6" w:rsidRDefault="003477F2" w:rsidP="00587BBA">
      <w:pPr>
        <w:pStyle w:val="ListParagraph"/>
        <w:numPr>
          <w:ilvl w:val="0"/>
          <w:numId w:val="4"/>
        </w:numPr>
        <w:ind w:left="1080"/>
        <w:jc w:val="both"/>
        <w:rPr>
          <w:sz w:val="24"/>
        </w:rPr>
      </w:pPr>
      <w:r w:rsidRPr="00D043A6">
        <w:rPr>
          <w:sz w:val="24"/>
        </w:rPr>
        <w:t>klientu neuzticēšanās komplicētajiem ESKO līgumiem, kas ietver gan būvprojektēšanas, gan būvdarbu, gan apsaimniekošanas, gan arī finanšu nosacījumus;</w:t>
      </w:r>
    </w:p>
    <w:p w:rsidR="00B27AA2" w:rsidRPr="00D043A6" w:rsidRDefault="003477F2" w:rsidP="0074765B">
      <w:pPr>
        <w:pStyle w:val="ListParagraph"/>
        <w:numPr>
          <w:ilvl w:val="0"/>
          <w:numId w:val="4"/>
        </w:numPr>
        <w:ind w:left="1080"/>
        <w:jc w:val="both"/>
        <w:rPr>
          <w:sz w:val="24"/>
        </w:rPr>
      </w:pPr>
      <w:r w:rsidRPr="00D043A6">
        <w:rPr>
          <w:sz w:val="24"/>
        </w:rPr>
        <w:t>ESKO mazā interese par riskantiem projektiem, priekšroku dodot objektiem,</w:t>
      </w:r>
      <w:r w:rsidR="00284CF2" w:rsidRPr="00D043A6">
        <w:rPr>
          <w:sz w:val="24"/>
        </w:rPr>
        <w:t xml:space="preserve"> kuros ir skaidri saskatāms ieguvums.</w:t>
      </w:r>
    </w:p>
    <w:p w:rsidR="00415E8C" w:rsidRPr="00D043A6" w:rsidRDefault="00305DA4" w:rsidP="00415E8C">
      <w:pPr>
        <w:pStyle w:val="ListParagraph"/>
        <w:ind w:left="0" w:firstLine="709"/>
        <w:jc w:val="both"/>
        <w:rPr>
          <w:color w:val="000000" w:themeColor="text1"/>
          <w:sz w:val="24"/>
        </w:rPr>
      </w:pPr>
      <w:r w:rsidRPr="00D043A6">
        <w:rPr>
          <w:color w:val="000000" w:themeColor="text1"/>
          <w:sz w:val="24"/>
        </w:rPr>
        <w:t xml:space="preserve">Kā </w:t>
      </w:r>
      <w:r w:rsidR="00415E8C" w:rsidRPr="00D043A6">
        <w:rPr>
          <w:color w:val="000000" w:themeColor="text1"/>
          <w:sz w:val="24"/>
        </w:rPr>
        <w:t>iespējamais risinājums ESKO darbības paplašināšanai varētu būt garantiju sistēma rotācijas fonda ietvaros</w:t>
      </w:r>
      <w:r w:rsidR="00014C26" w:rsidRPr="00D043A6">
        <w:rPr>
          <w:color w:val="000000" w:themeColor="text1"/>
          <w:sz w:val="24"/>
        </w:rPr>
        <w:t>. Šī iemesla dēļ ESKO darbības paplašināšanas priek</w:t>
      </w:r>
      <w:r w:rsidRPr="00D043A6">
        <w:rPr>
          <w:color w:val="000000" w:themeColor="text1"/>
          <w:sz w:val="24"/>
        </w:rPr>
        <w:t>šlikumi ir apskatāmi vienlaikus ar</w:t>
      </w:r>
      <w:r w:rsidR="00014C26" w:rsidRPr="00D043A6">
        <w:rPr>
          <w:color w:val="000000" w:themeColor="text1"/>
          <w:sz w:val="24"/>
        </w:rPr>
        <w:t xml:space="preserve"> juridisko aspektu izvērtējum</w:t>
      </w:r>
      <w:r w:rsidRPr="00D043A6">
        <w:rPr>
          <w:color w:val="000000" w:themeColor="text1"/>
          <w:sz w:val="24"/>
        </w:rPr>
        <w:t>u</w:t>
      </w:r>
      <w:r w:rsidR="00014C26" w:rsidRPr="00D043A6">
        <w:rPr>
          <w:color w:val="000000" w:themeColor="text1"/>
          <w:sz w:val="24"/>
        </w:rPr>
        <w:t xml:space="preserve"> par vienotas attīstības institūcijas izveidi.</w:t>
      </w:r>
    </w:p>
    <w:p w:rsidR="00D8145B" w:rsidRPr="00D043A6" w:rsidRDefault="00DD5CA5" w:rsidP="005E1DF5">
      <w:pPr>
        <w:pStyle w:val="Subtitle1"/>
      </w:pPr>
      <w:bookmarkStart w:id="36" w:name="_Toc353811854"/>
      <w:r w:rsidRPr="00D043A6">
        <w:t>Pašvaldības energoservisa</w:t>
      </w:r>
      <w:r w:rsidR="00952DAD" w:rsidRPr="00D043A6">
        <w:t xml:space="preserve"> </w:t>
      </w:r>
      <w:r w:rsidRPr="00D043A6">
        <w:t xml:space="preserve">uzņēmums </w:t>
      </w:r>
      <w:r w:rsidR="00952DAD" w:rsidRPr="00D043A6">
        <w:t>(PEKO)</w:t>
      </w:r>
      <w:bookmarkEnd w:id="36"/>
    </w:p>
    <w:p w:rsidR="00952DAD" w:rsidRPr="00D043A6" w:rsidRDefault="002601F7" w:rsidP="002601F7">
      <w:pPr>
        <w:ind w:firstLine="720"/>
        <w:jc w:val="both"/>
        <w:rPr>
          <w:sz w:val="24"/>
        </w:rPr>
      </w:pPr>
      <w:r w:rsidRPr="00D043A6">
        <w:rPr>
          <w:sz w:val="24"/>
        </w:rPr>
        <w:t>Pašvaldības energoservisa kompānija PEKO ir pašvaldībai piederošs uzņēmums, kas darbojas pēc energoservisa kompānijas principiem, darbīb</w:t>
      </w:r>
      <w:r w:rsidR="004C1FFE">
        <w:rPr>
          <w:sz w:val="24"/>
        </w:rPr>
        <w:t>ai izmantojot pašvaldības finanš</w:t>
      </w:r>
      <w:r w:rsidRPr="00D043A6">
        <w:rPr>
          <w:sz w:val="24"/>
        </w:rPr>
        <w:t>u līdzekļus un piesaistītu finansējumu. Parasti pašvaldības mērķis nav peļņas gūšana, bet gan savā īpašumā esošu sabiedrisko ēku un pilsētas vai reģiona dzīvojamā fonda sakārtošana, ja kādu iemeslu dēļ to nevar veikt iedzīvotāji vai ESKO. PEKO var nodrošināt arī tādu daudzdzīvokļu ēku renovāciju, kuru atmaksāšanās riska dēļ neveic ESKO vai iedzīvotāji.</w:t>
      </w:r>
      <w:r w:rsidR="00952DAD" w:rsidRPr="00D043A6">
        <w:rPr>
          <w:sz w:val="24"/>
        </w:rPr>
        <w:t xml:space="preserve"> </w:t>
      </w:r>
    </w:p>
    <w:p w:rsidR="00952DAD" w:rsidRPr="00D043A6" w:rsidRDefault="00952DAD" w:rsidP="002601F7">
      <w:pPr>
        <w:ind w:firstLine="720"/>
        <w:jc w:val="both"/>
        <w:rPr>
          <w:sz w:val="24"/>
        </w:rPr>
      </w:pPr>
      <w:r w:rsidRPr="00D043A6">
        <w:rPr>
          <w:sz w:val="24"/>
        </w:rPr>
        <w:t>Šo institucionālo modeli renovācijas nodrošināšanai</w:t>
      </w:r>
      <w:r w:rsidR="004C1FFE">
        <w:rPr>
          <w:sz w:val="24"/>
        </w:rPr>
        <w:t xml:space="preserve"> galvenokārt</w:t>
      </w:r>
      <w:r w:rsidRPr="00D043A6">
        <w:rPr>
          <w:sz w:val="24"/>
        </w:rPr>
        <w:t xml:space="preserve"> izmanto pašvaldības Vācijā. Piemēram, Freiburga (</w:t>
      </w:r>
      <w:r w:rsidRPr="00D918A5">
        <w:rPr>
          <w:i/>
          <w:sz w:val="24"/>
        </w:rPr>
        <w:t>Freiburg</w:t>
      </w:r>
      <w:r w:rsidRPr="00D043A6">
        <w:rPr>
          <w:sz w:val="24"/>
        </w:rPr>
        <w:t>), izmantojot PEKO, desmit gadu laikā (1990.-1999.) panāca CO</w:t>
      </w:r>
      <w:r w:rsidRPr="00D043A6">
        <w:rPr>
          <w:sz w:val="24"/>
          <w:vertAlign w:val="subscript"/>
        </w:rPr>
        <w:t>2</w:t>
      </w:r>
      <w:r w:rsidRPr="00D043A6">
        <w:rPr>
          <w:sz w:val="24"/>
        </w:rPr>
        <w:t xml:space="preserve"> izmešu samazinājumu par 17%. Tāpat ir noteikts, ka PEKO tiek izmantots ēkām, kuru energopatēriņš ir līdz 50</w:t>
      </w:r>
      <w:r w:rsidR="0056279F" w:rsidRPr="00D043A6">
        <w:rPr>
          <w:sz w:val="24"/>
        </w:rPr>
        <w:t> </w:t>
      </w:r>
      <w:r w:rsidRPr="00D043A6">
        <w:rPr>
          <w:sz w:val="24"/>
        </w:rPr>
        <w:t>000</w:t>
      </w:r>
      <w:r w:rsidR="0056279F" w:rsidRPr="00D043A6">
        <w:rPr>
          <w:sz w:val="24"/>
        </w:rPr>
        <w:t> </w:t>
      </w:r>
      <w:r w:rsidRPr="00D043A6">
        <w:rPr>
          <w:sz w:val="24"/>
        </w:rPr>
        <w:t xml:space="preserve">EUR gadā, pārējām ēkām izvēloties ESKO modeli, nodrošinot ikgadējo energopatēriņa maksājumu samazinājumu par 40 000 EUR. </w:t>
      </w:r>
      <w:r w:rsidRPr="00D918A5">
        <w:rPr>
          <w:i/>
          <w:sz w:val="24"/>
        </w:rPr>
        <w:t>PICO Light</w:t>
      </w:r>
      <w:r w:rsidRPr="00D043A6">
        <w:rPr>
          <w:sz w:val="24"/>
        </w:rPr>
        <w:t xml:space="preserve"> projekta ietvaros tika veikts pilotprojekts 3 ēkās Diseldorfā (</w:t>
      </w:r>
      <w:r w:rsidRPr="00D918A5">
        <w:rPr>
          <w:i/>
          <w:sz w:val="24"/>
        </w:rPr>
        <w:t>Düsseldorf</w:t>
      </w:r>
      <w:r w:rsidRPr="00D043A6">
        <w:rPr>
          <w:sz w:val="24"/>
        </w:rPr>
        <w:t>), Velbertā (</w:t>
      </w:r>
      <w:r w:rsidRPr="00D918A5">
        <w:rPr>
          <w:i/>
          <w:sz w:val="24"/>
        </w:rPr>
        <w:t>Velbert</w:t>
      </w:r>
      <w:r w:rsidRPr="00D043A6">
        <w:rPr>
          <w:sz w:val="24"/>
        </w:rPr>
        <w:t>) and Vupertālē (</w:t>
      </w:r>
      <w:r w:rsidRPr="00D918A5">
        <w:rPr>
          <w:i/>
          <w:sz w:val="24"/>
        </w:rPr>
        <w:t>Wuppertal</w:t>
      </w:r>
      <w:r w:rsidRPr="00D043A6">
        <w:rPr>
          <w:sz w:val="24"/>
        </w:rPr>
        <w:t xml:space="preserve">), aprēķinot, ka pilnīga to renovācija izmaksātu 170 500 EUR, samazinot enerģijas patēriņa maksājumus par 36 000 EUR/gadā un atpelnot ieguldītos finanšu līdzekļus mazāk </w:t>
      </w:r>
      <w:r w:rsidR="004C1FFE">
        <w:rPr>
          <w:sz w:val="24"/>
        </w:rPr>
        <w:t>ne</w:t>
      </w:r>
      <w:r w:rsidRPr="00D043A6">
        <w:rPr>
          <w:sz w:val="24"/>
        </w:rPr>
        <w:t xml:space="preserve">kā 5 gados. </w:t>
      </w:r>
    </w:p>
    <w:p w:rsidR="00952DAD" w:rsidRPr="00D043A6" w:rsidRDefault="00952DAD" w:rsidP="002601F7">
      <w:pPr>
        <w:ind w:firstLine="720"/>
        <w:jc w:val="both"/>
        <w:rPr>
          <w:sz w:val="24"/>
        </w:rPr>
      </w:pPr>
      <w:r w:rsidRPr="00D043A6">
        <w:rPr>
          <w:sz w:val="24"/>
        </w:rPr>
        <w:t>PEKO shēma tiek arvien vairāk izmantota arī jaunajās ES dalībvalstīs. Piemēram, Polijas pilsētā Jordanovā (</w:t>
      </w:r>
      <w:r w:rsidRPr="00D918A5">
        <w:rPr>
          <w:i/>
          <w:sz w:val="24"/>
        </w:rPr>
        <w:t>Jordanów</w:t>
      </w:r>
      <w:r w:rsidRPr="00D043A6">
        <w:rPr>
          <w:sz w:val="24"/>
        </w:rPr>
        <w:t>) PEKO modelis kļuva par stūrakmeni visas energosistēmas modernizācijai, paredzot, ka visi uzturēšanas izdevumu ietaupījumi, kas radušies ēku renovācijas rezultātā, tiks novirzīti energosistēmas pilnveidošanai. Renovējot pilsētas Rātsnamu un bērnudārzu</w:t>
      </w:r>
      <w:r w:rsidR="004C1FFE">
        <w:rPr>
          <w:sz w:val="24"/>
        </w:rPr>
        <w:t>,</w:t>
      </w:r>
      <w:r w:rsidRPr="00D043A6">
        <w:rPr>
          <w:sz w:val="24"/>
        </w:rPr>
        <w:t xml:space="preserve"> tika panākts 3900 EUR enerģijas patēriņa maksājumu ietaupījums gadā. </w:t>
      </w:r>
    </w:p>
    <w:p w:rsidR="002601F7" w:rsidRPr="00D043A6" w:rsidRDefault="00952DAD" w:rsidP="002601F7">
      <w:pPr>
        <w:ind w:firstLine="720"/>
        <w:jc w:val="both"/>
        <w:rPr>
          <w:sz w:val="24"/>
        </w:rPr>
      </w:pPr>
      <w:r w:rsidRPr="00D043A6">
        <w:rPr>
          <w:sz w:val="24"/>
        </w:rPr>
        <w:t>Šie piemēri rāda, ka PEKO darbojas visefektīvāk, ja valsts vai pašvaldības līmenī ir noteikti ilgtermiņa mērķi un rezultatīvie rādītāji, kas ir jāsasniedz energoefektivitātes jomā – tas var būt CO</w:t>
      </w:r>
      <w:r w:rsidRPr="00D043A6">
        <w:rPr>
          <w:sz w:val="24"/>
          <w:vertAlign w:val="subscript"/>
        </w:rPr>
        <w:t>2</w:t>
      </w:r>
      <w:r w:rsidRPr="00D043A6">
        <w:rPr>
          <w:sz w:val="24"/>
        </w:rPr>
        <w:t xml:space="preserve"> vai ēku energopatēriņa un uzturēšanas izmaksu ikgadējs samazinājums, nodrošinot līdzekļu ietaupījumu budžetā. </w:t>
      </w:r>
    </w:p>
    <w:p w:rsidR="002601F7" w:rsidRPr="00D043A6" w:rsidRDefault="002601F7" w:rsidP="002601F7">
      <w:pPr>
        <w:ind w:firstLine="720"/>
        <w:jc w:val="both"/>
        <w:rPr>
          <w:sz w:val="24"/>
        </w:rPr>
      </w:pPr>
      <w:r w:rsidRPr="00D043A6">
        <w:rPr>
          <w:sz w:val="24"/>
        </w:rPr>
        <w:t>Latvijā līdz šim nav tradīciju valsts vai pašvaldību energoservisa uzņēmumu – kompāniju izveidē, faktiski nav izveidota neviena PEKO. Tomēr šāda modeļa izveido</w:t>
      </w:r>
      <w:r w:rsidR="004C1FFE">
        <w:rPr>
          <w:sz w:val="24"/>
        </w:rPr>
        <w:t>šanā</w:t>
      </w:r>
      <w:r w:rsidRPr="00D043A6">
        <w:rPr>
          <w:sz w:val="24"/>
        </w:rPr>
        <w:t xml:space="preserve"> </w:t>
      </w:r>
      <w:r w:rsidRPr="00D043A6">
        <w:rPr>
          <w:sz w:val="24"/>
        </w:rPr>
        <w:lastRenderedPageBreak/>
        <w:t>varētu būt iespējama pašvaldību līmenī gadījumā, ja tiek piedāvāti</w:t>
      </w:r>
      <w:r w:rsidR="00AC26B4" w:rsidRPr="00D043A6">
        <w:rPr>
          <w:sz w:val="24"/>
        </w:rPr>
        <w:t xml:space="preserve"> finanšu</w:t>
      </w:r>
      <w:r w:rsidRPr="00D043A6">
        <w:rPr>
          <w:sz w:val="24"/>
        </w:rPr>
        <w:t xml:space="preserve"> resursi PEKO attīstībai.</w:t>
      </w:r>
    </w:p>
    <w:p w:rsidR="00D8145B" w:rsidRPr="00D043A6" w:rsidRDefault="0009760F" w:rsidP="00023621">
      <w:pPr>
        <w:pStyle w:val="Heading2"/>
      </w:pPr>
      <w:bookmarkStart w:id="37" w:name="_Toc353811855"/>
      <w:r w:rsidRPr="00D043A6">
        <w:t>R</w:t>
      </w:r>
      <w:r w:rsidR="00D8145B" w:rsidRPr="00D043A6">
        <w:t>isk</w:t>
      </w:r>
      <w:r w:rsidR="003F7E71" w:rsidRPr="00D043A6">
        <w:t>i un trūkumi dzīvojamo ēku renovācijas projektu īstenošanā</w:t>
      </w:r>
      <w:bookmarkEnd w:id="37"/>
    </w:p>
    <w:p w:rsidR="0009760F" w:rsidRPr="00D043A6" w:rsidRDefault="0009760F" w:rsidP="00B173BA">
      <w:pPr>
        <w:ind w:firstLine="720"/>
        <w:jc w:val="both"/>
        <w:rPr>
          <w:sz w:val="24"/>
        </w:rPr>
      </w:pPr>
      <w:r w:rsidRPr="00D043A6">
        <w:rPr>
          <w:sz w:val="24"/>
        </w:rPr>
        <w:t>Jebkura investīciju projekta īstenošana saistīta ar iespējamiem riskiem vai objektīviem šķēršļiem. Līdzšinējā ēku renovācijas praksē no projektu īstenotāju puses identificēta virkne risku, kas var ietekmēt gan projekta ieceres uzsākšanu, gan arī īstenošanu</w:t>
      </w:r>
      <w:r w:rsidR="00D51D16" w:rsidRPr="00D043A6">
        <w:rPr>
          <w:sz w:val="24"/>
        </w:rPr>
        <w:t>. Dzīvojamo ēku renovāciju var ietekmēt šādi riski un šķēršļi</w:t>
      </w:r>
      <w:r w:rsidR="000A2E61" w:rsidRPr="00D043A6">
        <w:rPr>
          <w:sz w:val="24"/>
        </w:rPr>
        <w:t>:</w:t>
      </w:r>
    </w:p>
    <w:p w:rsidR="008A1837" w:rsidRPr="00D043A6" w:rsidRDefault="004A79EC" w:rsidP="004A79EC">
      <w:pPr>
        <w:pStyle w:val="ListParagraph"/>
        <w:ind w:left="420"/>
        <w:jc w:val="both"/>
        <w:rPr>
          <w:sz w:val="24"/>
        </w:rPr>
      </w:pPr>
      <w:r w:rsidRPr="00D043A6">
        <w:rPr>
          <w:sz w:val="24"/>
        </w:rPr>
        <w:t xml:space="preserve">1) </w:t>
      </w:r>
      <w:r w:rsidR="001E3712" w:rsidRPr="00D043A6">
        <w:rPr>
          <w:sz w:val="24"/>
        </w:rPr>
        <w:t>šķērši un riski, kas ir saistīti ar informācijas pieejamību</w:t>
      </w:r>
      <w:r w:rsidRPr="00D043A6">
        <w:rPr>
          <w:sz w:val="24"/>
        </w:rPr>
        <w:t>:</w:t>
      </w:r>
    </w:p>
    <w:p w:rsidR="008A1837" w:rsidRPr="00D043A6" w:rsidRDefault="00D51D16" w:rsidP="008A1837">
      <w:pPr>
        <w:pStyle w:val="ListParagraph"/>
        <w:numPr>
          <w:ilvl w:val="1"/>
          <w:numId w:val="12"/>
        </w:numPr>
        <w:jc w:val="both"/>
        <w:rPr>
          <w:sz w:val="24"/>
        </w:rPr>
      </w:pPr>
      <w:r w:rsidRPr="00D043A6">
        <w:rPr>
          <w:sz w:val="24"/>
        </w:rPr>
        <w:t xml:space="preserve">nepietiekama iedzīvotāju informētība </w:t>
      </w:r>
      <w:r w:rsidR="008A1837" w:rsidRPr="00D043A6">
        <w:rPr>
          <w:sz w:val="24"/>
        </w:rPr>
        <w:t>par ēku energoefektivitātes jautājumiem</w:t>
      </w:r>
      <w:r w:rsidR="00A555E6" w:rsidRPr="00D043A6">
        <w:rPr>
          <w:sz w:val="24"/>
        </w:rPr>
        <w:t xml:space="preserve"> un ieguvumiem no ēku energoefektivitātes uzlabošanas</w:t>
      </w:r>
      <w:r w:rsidR="008A1837" w:rsidRPr="00D043A6">
        <w:rPr>
          <w:sz w:val="24"/>
        </w:rPr>
        <w:t>;</w:t>
      </w:r>
    </w:p>
    <w:p w:rsidR="000A2E61" w:rsidRPr="00D043A6" w:rsidRDefault="00D51D16" w:rsidP="000A2E61">
      <w:pPr>
        <w:pStyle w:val="ListParagraph"/>
        <w:numPr>
          <w:ilvl w:val="1"/>
          <w:numId w:val="12"/>
        </w:numPr>
        <w:jc w:val="both"/>
        <w:rPr>
          <w:sz w:val="24"/>
        </w:rPr>
      </w:pPr>
      <w:r w:rsidRPr="00D043A6">
        <w:rPr>
          <w:sz w:val="24"/>
        </w:rPr>
        <w:t xml:space="preserve">nepietiekama iedzīvotāju informētība </w:t>
      </w:r>
      <w:r w:rsidR="00A555E6" w:rsidRPr="00D043A6">
        <w:rPr>
          <w:sz w:val="24"/>
        </w:rPr>
        <w:t xml:space="preserve">par finanšu </w:t>
      </w:r>
      <w:r w:rsidR="000A2E61" w:rsidRPr="00D043A6">
        <w:rPr>
          <w:sz w:val="24"/>
        </w:rPr>
        <w:t>instrumentiem</w:t>
      </w:r>
      <w:r w:rsidR="00A555E6" w:rsidRPr="00D043A6">
        <w:rPr>
          <w:sz w:val="24"/>
        </w:rPr>
        <w:t xml:space="preserve"> ēku energoefektivitātes uzlabošanai</w:t>
      </w:r>
      <w:r w:rsidR="000A2E61" w:rsidRPr="00D043A6">
        <w:rPr>
          <w:sz w:val="24"/>
        </w:rPr>
        <w:t>;</w:t>
      </w:r>
    </w:p>
    <w:p w:rsidR="004A79EC" w:rsidRPr="00D043A6" w:rsidRDefault="004A79EC" w:rsidP="000A2E61">
      <w:pPr>
        <w:pStyle w:val="ListParagraph"/>
        <w:numPr>
          <w:ilvl w:val="1"/>
          <w:numId w:val="12"/>
        </w:numPr>
        <w:jc w:val="both"/>
        <w:rPr>
          <w:sz w:val="24"/>
        </w:rPr>
      </w:pPr>
      <w:r w:rsidRPr="00D043A6">
        <w:rPr>
          <w:sz w:val="24"/>
        </w:rPr>
        <w:t>dzīvokļu īpašnieku nespēja vienoties par kopīgiem lēmumiem</w:t>
      </w:r>
    </w:p>
    <w:p w:rsidR="008A1837" w:rsidRPr="00D043A6" w:rsidRDefault="008A1837" w:rsidP="000A2E61">
      <w:pPr>
        <w:pStyle w:val="ListParagraph"/>
        <w:numPr>
          <w:ilvl w:val="1"/>
          <w:numId w:val="12"/>
        </w:numPr>
        <w:jc w:val="both"/>
        <w:rPr>
          <w:sz w:val="24"/>
        </w:rPr>
      </w:pPr>
      <w:r w:rsidRPr="00D043A6">
        <w:rPr>
          <w:sz w:val="24"/>
        </w:rPr>
        <w:t>praksē laikietilpīgā lēmumu pieņemšana daudzdzīvokļu dzīvojamās mājās;</w:t>
      </w:r>
    </w:p>
    <w:p w:rsidR="008A1837" w:rsidRPr="00D043A6" w:rsidRDefault="004A79EC" w:rsidP="004A79EC">
      <w:pPr>
        <w:pStyle w:val="ListParagraph"/>
        <w:ind w:left="420"/>
        <w:jc w:val="both"/>
        <w:rPr>
          <w:sz w:val="24"/>
        </w:rPr>
      </w:pPr>
      <w:r w:rsidRPr="00D043A6">
        <w:rPr>
          <w:sz w:val="24"/>
        </w:rPr>
        <w:t xml:space="preserve">2) </w:t>
      </w:r>
      <w:r w:rsidR="001E3712" w:rsidRPr="00D043A6">
        <w:rPr>
          <w:sz w:val="24"/>
        </w:rPr>
        <w:t>šķērši un riski, kas ir saistīti ar renovācijas projekta dokumentāciju</w:t>
      </w:r>
      <w:r w:rsidR="00A555E6" w:rsidRPr="00D043A6">
        <w:rPr>
          <w:sz w:val="24"/>
        </w:rPr>
        <w:t>:</w:t>
      </w:r>
    </w:p>
    <w:p w:rsidR="008A1837" w:rsidRPr="00D043A6" w:rsidRDefault="008A1837" w:rsidP="008A1837">
      <w:pPr>
        <w:pStyle w:val="ListParagraph"/>
        <w:numPr>
          <w:ilvl w:val="1"/>
          <w:numId w:val="12"/>
        </w:numPr>
        <w:jc w:val="both"/>
        <w:rPr>
          <w:sz w:val="24"/>
        </w:rPr>
      </w:pPr>
      <w:r w:rsidRPr="00D043A6">
        <w:rPr>
          <w:sz w:val="24"/>
        </w:rPr>
        <w:t>nepareizi veikti (arī apzināti) ēku energoefektivitātes novērtējumi (energoauditi);</w:t>
      </w:r>
    </w:p>
    <w:p w:rsidR="008A1837" w:rsidRPr="00D043A6" w:rsidRDefault="008A1837" w:rsidP="008A1837">
      <w:pPr>
        <w:pStyle w:val="ListParagraph"/>
        <w:numPr>
          <w:ilvl w:val="1"/>
          <w:numId w:val="12"/>
        </w:numPr>
        <w:jc w:val="both"/>
        <w:rPr>
          <w:sz w:val="24"/>
        </w:rPr>
      </w:pPr>
      <w:r w:rsidRPr="00D043A6">
        <w:rPr>
          <w:sz w:val="24"/>
        </w:rPr>
        <w:t xml:space="preserve">neprecizitātes tehniskās dokumentācijas </w:t>
      </w:r>
      <w:r w:rsidR="004A79EC" w:rsidRPr="00D043A6">
        <w:rPr>
          <w:sz w:val="24"/>
        </w:rPr>
        <w:t>(ēkas tehniskā apsekošana, būvniecības ieceres dokumentācija</w:t>
      </w:r>
      <w:r w:rsidR="00FB5B38" w:rsidRPr="00D043A6">
        <w:rPr>
          <w:sz w:val="24"/>
        </w:rPr>
        <w:t>, būvniecības tāme</w:t>
      </w:r>
      <w:r w:rsidR="004A79EC" w:rsidRPr="00D043A6">
        <w:rPr>
          <w:sz w:val="24"/>
        </w:rPr>
        <w:t>) sagatavošanā</w:t>
      </w:r>
      <w:r w:rsidRPr="00D043A6">
        <w:rPr>
          <w:sz w:val="24"/>
        </w:rPr>
        <w:t>;</w:t>
      </w:r>
    </w:p>
    <w:p w:rsidR="00F51C16" w:rsidRPr="00D043A6" w:rsidRDefault="00F51C16" w:rsidP="008A1837">
      <w:pPr>
        <w:pStyle w:val="ListParagraph"/>
        <w:numPr>
          <w:ilvl w:val="1"/>
          <w:numId w:val="12"/>
        </w:numPr>
        <w:jc w:val="both"/>
        <w:rPr>
          <w:sz w:val="24"/>
        </w:rPr>
      </w:pPr>
      <w:r w:rsidRPr="00D043A6">
        <w:rPr>
          <w:sz w:val="24"/>
        </w:rPr>
        <w:t>neprofesionāliem projektu ieviesējiem grūti saprotamās projektu virzības administratīvās procedūras;</w:t>
      </w:r>
    </w:p>
    <w:p w:rsidR="008A1837" w:rsidRPr="00D043A6" w:rsidRDefault="004A79EC" w:rsidP="004A79EC">
      <w:pPr>
        <w:pStyle w:val="ListParagraph"/>
        <w:ind w:left="420"/>
        <w:jc w:val="both"/>
        <w:rPr>
          <w:sz w:val="24"/>
        </w:rPr>
      </w:pPr>
      <w:r w:rsidRPr="00D043A6">
        <w:rPr>
          <w:sz w:val="24"/>
        </w:rPr>
        <w:t xml:space="preserve">3) </w:t>
      </w:r>
      <w:r w:rsidR="001E3712" w:rsidRPr="00D043A6">
        <w:rPr>
          <w:sz w:val="24"/>
        </w:rPr>
        <w:t>šķērši un riski, kas ir saistīti ar būvdarbu kvalitāti:</w:t>
      </w:r>
    </w:p>
    <w:p w:rsidR="004A79EC" w:rsidRPr="00D043A6" w:rsidRDefault="008A1837" w:rsidP="008A1837">
      <w:pPr>
        <w:pStyle w:val="ListParagraph"/>
        <w:numPr>
          <w:ilvl w:val="1"/>
          <w:numId w:val="12"/>
        </w:numPr>
        <w:jc w:val="both"/>
        <w:rPr>
          <w:sz w:val="24"/>
        </w:rPr>
      </w:pPr>
      <w:r w:rsidRPr="00D043A6">
        <w:rPr>
          <w:sz w:val="24"/>
        </w:rPr>
        <w:t xml:space="preserve">būvniecības normatīvu aktu neievērošana </w:t>
      </w:r>
      <w:r w:rsidR="004A79EC" w:rsidRPr="00D043A6">
        <w:rPr>
          <w:sz w:val="24"/>
        </w:rPr>
        <w:t>būv</w:t>
      </w:r>
      <w:r w:rsidRPr="00D043A6">
        <w:rPr>
          <w:sz w:val="24"/>
        </w:rPr>
        <w:t>darbu izpildē</w:t>
      </w:r>
      <w:r w:rsidR="00FB5B38" w:rsidRPr="00D043A6">
        <w:rPr>
          <w:sz w:val="24"/>
        </w:rPr>
        <w:t>;</w:t>
      </w:r>
      <w:r w:rsidR="000A2E61" w:rsidRPr="00D043A6">
        <w:rPr>
          <w:sz w:val="24"/>
        </w:rPr>
        <w:t xml:space="preserve"> </w:t>
      </w:r>
    </w:p>
    <w:p w:rsidR="00F51C16" w:rsidRPr="00D043A6" w:rsidRDefault="00F51C16" w:rsidP="008A1837">
      <w:pPr>
        <w:pStyle w:val="ListParagraph"/>
        <w:numPr>
          <w:ilvl w:val="1"/>
          <w:numId w:val="12"/>
        </w:numPr>
        <w:jc w:val="both"/>
        <w:rPr>
          <w:sz w:val="24"/>
        </w:rPr>
      </w:pPr>
      <w:r w:rsidRPr="00D043A6">
        <w:rPr>
          <w:sz w:val="24"/>
        </w:rPr>
        <w:t>nekvalitatīva (nepietiekama) būvuzraudzība;</w:t>
      </w:r>
    </w:p>
    <w:p w:rsidR="008A1837" w:rsidRPr="00D043A6" w:rsidRDefault="008A1837" w:rsidP="008A1837">
      <w:pPr>
        <w:pStyle w:val="ListParagraph"/>
        <w:numPr>
          <w:ilvl w:val="1"/>
          <w:numId w:val="12"/>
        </w:numPr>
        <w:jc w:val="both"/>
        <w:rPr>
          <w:sz w:val="24"/>
        </w:rPr>
      </w:pPr>
      <w:r w:rsidRPr="00D043A6">
        <w:rPr>
          <w:sz w:val="24"/>
        </w:rPr>
        <w:t>būvdarbu izpildītāju bieži nepietiekamā kvalifikācija;</w:t>
      </w:r>
    </w:p>
    <w:p w:rsidR="008A1837" w:rsidRPr="00D043A6" w:rsidRDefault="004A79EC" w:rsidP="004A79EC">
      <w:pPr>
        <w:pStyle w:val="ListParagraph"/>
        <w:ind w:left="420"/>
        <w:jc w:val="both"/>
        <w:rPr>
          <w:sz w:val="24"/>
        </w:rPr>
      </w:pPr>
      <w:r w:rsidRPr="00D043A6">
        <w:rPr>
          <w:sz w:val="24"/>
        </w:rPr>
        <w:t xml:space="preserve">4) </w:t>
      </w:r>
      <w:r w:rsidR="00FB5B38" w:rsidRPr="00D043A6">
        <w:rPr>
          <w:sz w:val="24"/>
        </w:rPr>
        <w:t>finan</w:t>
      </w:r>
      <w:r w:rsidR="00F51C16" w:rsidRPr="00D043A6">
        <w:rPr>
          <w:sz w:val="24"/>
        </w:rPr>
        <w:t>šu</w:t>
      </w:r>
      <w:r w:rsidR="00FB5B38" w:rsidRPr="00D043A6">
        <w:rPr>
          <w:sz w:val="24"/>
        </w:rPr>
        <w:t xml:space="preserve"> </w:t>
      </w:r>
      <w:r w:rsidR="001E3712" w:rsidRPr="00D043A6">
        <w:rPr>
          <w:sz w:val="24"/>
        </w:rPr>
        <w:t xml:space="preserve">šķēršļi un </w:t>
      </w:r>
      <w:r w:rsidR="00FB5B38" w:rsidRPr="00D043A6">
        <w:rPr>
          <w:sz w:val="24"/>
        </w:rPr>
        <w:t>riski</w:t>
      </w:r>
      <w:r w:rsidR="000A2E61" w:rsidRPr="00D043A6">
        <w:rPr>
          <w:sz w:val="24"/>
        </w:rPr>
        <w:t>:</w:t>
      </w:r>
    </w:p>
    <w:p w:rsidR="00FB5B38" w:rsidRPr="00D043A6" w:rsidRDefault="00FB5B38" w:rsidP="00F51C16">
      <w:pPr>
        <w:pStyle w:val="ListParagraph"/>
        <w:numPr>
          <w:ilvl w:val="0"/>
          <w:numId w:val="12"/>
        </w:numPr>
        <w:ind w:left="1080"/>
        <w:jc w:val="both"/>
        <w:rPr>
          <w:sz w:val="24"/>
        </w:rPr>
      </w:pPr>
      <w:r w:rsidRPr="00D043A6">
        <w:rPr>
          <w:sz w:val="24"/>
        </w:rPr>
        <w:t xml:space="preserve">iedzīvotāju maksātspējas mazināšanās; </w:t>
      </w:r>
    </w:p>
    <w:p w:rsidR="000E05AF" w:rsidRPr="00D043A6" w:rsidRDefault="008A1837" w:rsidP="00F51C16">
      <w:pPr>
        <w:pStyle w:val="ListParagraph"/>
        <w:numPr>
          <w:ilvl w:val="0"/>
          <w:numId w:val="12"/>
        </w:numPr>
        <w:ind w:left="1080"/>
        <w:jc w:val="both"/>
        <w:rPr>
          <w:sz w:val="24"/>
        </w:rPr>
      </w:pPr>
      <w:r w:rsidRPr="00D043A6">
        <w:rPr>
          <w:sz w:val="24"/>
        </w:rPr>
        <w:t>kļūdas projekta budžeta aprēķināšanā;</w:t>
      </w:r>
    </w:p>
    <w:p w:rsidR="000A2E61" w:rsidRPr="00D043A6" w:rsidRDefault="008A1837" w:rsidP="00F51C16">
      <w:pPr>
        <w:pStyle w:val="ListParagraph"/>
        <w:numPr>
          <w:ilvl w:val="0"/>
          <w:numId w:val="12"/>
        </w:numPr>
        <w:ind w:left="1080"/>
        <w:jc w:val="both"/>
        <w:rPr>
          <w:sz w:val="24"/>
        </w:rPr>
      </w:pPr>
      <w:r w:rsidRPr="00D043A6">
        <w:rPr>
          <w:sz w:val="24"/>
        </w:rPr>
        <w:t>izmaksu sadārdzināšanās  projekta īstenošanas gaitā</w:t>
      </w:r>
      <w:r w:rsidR="00D51D16" w:rsidRPr="00D043A6">
        <w:rPr>
          <w:sz w:val="24"/>
        </w:rPr>
        <w:t xml:space="preserve"> (</w:t>
      </w:r>
      <w:r w:rsidR="000A2E61" w:rsidRPr="00D043A6">
        <w:rPr>
          <w:sz w:val="24"/>
        </w:rPr>
        <w:t>atkopjoties būvniecības nozarei no krīzes sekām, aktivizējies būvniecības tirgus un pieaugušas būvniecības pakalpojumu un būvmateriālu cenas</w:t>
      </w:r>
      <w:r w:rsidR="00D51D16" w:rsidRPr="00D043A6">
        <w:rPr>
          <w:sz w:val="24"/>
        </w:rPr>
        <w:t>)</w:t>
      </w:r>
      <w:r w:rsidR="000A2E61" w:rsidRPr="00D043A6">
        <w:rPr>
          <w:sz w:val="24"/>
        </w:rPr>
        <w:t>;</w:t>
      </w:r>
    </w:p>
    <w:p w:rsidR="00A94B52" w:rsidRPr="00D043A6" w:rsidRDefault="008A1837" w:rsidP="00F51C16">
      <w:pPr>
        <w:pStyle w:val="ListParagraph"/>
        <w:numPr>
          <w:ilvl w:val="0"/>
          <w:numId w:val="12"/>
        </w:numPr>
        <w:ind w:left="1080"/>
        <w:jc w:val="both"/>
        <w:rPr>
          <w:sz w:val="24"/>
        </w:rPr>
      </w:pPr>
      <w:r w:rsidRPr="00D043A6">
        <w:rPr>
          <w:sz w:val="24"/>
        </w:rPr>
        <w:t>parādi par pakalpojumiem, kas saistīti ar dzīvokļa īpašuma lietošanu, liedzot dzīvojamās māja dzīvokļu īpašniekiem saņemt aizdevumu mājas renovācijai</w:t>
      </w:r>
      <w:r w:rsidR="00A94B52" w:rsidRPr="00D043A6">
        <w:rPr>
          <w:sz w:val="24"/>
        </w:rPr>
        <w:t>;</w:t>
      </w:r>
    </w:p>
    <w:p w:rsidR="008A1837" w:rsidRPr="00D043A6" w:rsidRDefault="00A94B52" w:rsidP="00F51C16">
      <w:pPr>
        <w:pStyle w:val="ListParagraph"/>
        <w:numPr>
          <w:ilvl w:val="0"/>
          <w:numId w:val="12"/>
        </w:numPr>
        <w:ind w:left="1080"/>
        <w:jc w:val="both"/>
        <w:rPr>
          <w:sz w:val="24"/>
        </w:rPr>
      </w:pPr>
      <w:r w:rsidRPr="00D043A6">
        <w:rPr>
          <w:sz w:val="24"/>
        </w:rPr>
        <w:t>augsts finanšu ieguldījumu riska līmenis ekonomiski mazaktīvās teritorijās, kas sadārdzina aizdevumu procentu likmes, kas pagarina ieguldījumu atmaksāšanās termiņus</w:t>
      </w:r>
      <w:r w:rsidR="008A1837" w:rsidRPr="00D043A6">
        <w:rPr>
          <w:sz w:val="24"/>
        </w:rPr>
        <w:t>.</w:t>
      </w:r>
    </w:p>
    <w:p w:rsidR="008A1837" w:rsidRPr="00D043A6" w:rsidRDefault="008A1837" w:rsidP="00F51C16">
      <w:pPr>
        <w:pStyle w:val="ListParagraph"/>
        <w:ind w:left="780"/>
        <w:jc w:val="both"/>
        <w:rPr>
          <w:sz w:val="24"/>
        </w:rPr>
      </w:pPr>
    </w:p>
    <w:p w:rsidR="005352CF" w:rsidRPr="00D043A6" w:rsidRDefault="005352CF" w:rsidP="005352CF">
      <w:pPr>
        <w:ind w:firstLine="720"/>
        <w:jc w:val="both"/>
        <w:rPr>
          <w:sz w:val="24"/>
        </w:rPr>
      </w:pPr>
      <w:r w:rsidRPr="00D043A6">
        <w:rPr>
          <w:sz w:val="24"/>
        </w:rPr>
        <w:t>Ņemot vērā ēku renovācijas praksē identificētos riskus un šķēršļus, kā arī Latvijas komercbanku l</w:t>
      </w:r>
      <w:r w:rsidR="00D918A5">
        <w:rPr>
          <w:sz w:val="24"/>
        </w:rPr>
        <w:t>ī</w:t>
      </w:r>
      <w:r w:rsidRPr="00D043A6">
        <w:rPr>
          <w:sz w:val="24"/>
        </w:rPr>
        <w:t>dzšinējo pieredzi ēku renovācijas finansēšanā, konstatēts, ka, ņemot vērā daudzdzīvokļu ēku īpašnieku atšķirīgo maksātspēju, kas ietekmē iespējas piesaistīt finansējumu, ēkas atkarībā no to īpašnieku maksātspējas jādala grupās:</w:t>
      </w:r>
    </w:p>
    <w:p w:rsidR="005352CF" w:rsidRPr="00D043A6" w:rsidRDefault="005352CF" w:rsidP="005352CF">
      <w:pPr>
        <w:pStyle w:val="ListParagraph"/>
        <w:ind w:left="780"/>
        <w:jc w:val="both"/>
        <w:rPr>
          <w:sz w:val="24"/>
        </w:rPr>
      </w:pPr>
      <w:r w:rsidRPr="00D043A6">
        <w:rPr>
          <w:sz w:val="24"/>
        </w:rPr>
        <w:t>1) komercprojekti – tādas mājas, kuru īpašnieku maksātspēja ir apmierinoša un tie potenciāli varētu uzņ</w:t>
      </w:r>
      <w:r w:rsidR="000E37EC">
        <w:rPr>
          <w:sz w:val="24"/>
        </w:rPr>
        <w:t>emties finanšu saistības, t.sk.</w:t>
      </w:r>
      <w:r w:rsidRPr="00D043A6">
        <w:rPr>
          <w:sz w:val="24"/>
        </w:rPr>
        <w:t xml:space="preserve"> līdzfinansēt ēkas renovācijas projektu;</w:t>
      </w:r>
    </w:p>
    <w:p w:rsidR="00AB0E3D" w:rsidRDefault="005352CF" w:rsidP="00773DCC">
      <w:pPr>
        <w:ind w:firstLine="720"/>
        <w:jc w:val="both"/>
        <w:rPr>
          <w:sz w:val="24"/>
        </w:rPr>
      </w:pPr>
      <w:r w:rsidRPr="00D043A6">
        <w:rPr>
          <w:sz w:val="24"/>
        </w:rPr>
        <w:t>2) sociālie projekti – tādas mājas, kuru renovēšanai būs problemātiski piesaistīt finansējumu uz komerciāliem nosacījumiem.</w:t>
      </w:r>
      <w:r w:rsidR="00AB0E3D">
        <w:rPr>
          <w:sz w:val="24"/>
        </w:rPr>
        <w:t xml:space="preserve"> </w:t>
      </w:r>
    </w:p>
    <w:p w:rsidR="00B173BA" w:rsidRPr="00D043A6" w:rsidRDefault="00773DCC" w:rsidP="00773DCC">
      <w:pPr>
        <w:ind w:firstLine="720"/>
        <w:jc w:val="both"/>
        <w:rPr>
          <w:sz w:val="24"/>
        </w:rPr>
      </w:pPr>
      <w:r w:rsidRPr="00D043A6">
        <w:rPr>
          <w:sz w:val="24"/>
        </w:rPr>
        <w:t xml:space="preserve">Apkopojot informāciju par iedzīvotāju parādiem par siltumenerģiju, konstatēts, ka 2012. gadā iedzīvotāju nenomaksāto parādu summa sastādīja 14.6 miljonus latu jeb </w:t>
      </w:r>
      <w:r w:rsidR="00B44700" w:rsidRPr="00D043A6">
        <w:rPr>
          <w:sz w:val="24"/>
        </w:rPr>
        <w:t>6,2 </w:t>
      </w:r>
      <w:r w:rsidRPr="00D043A6">
        <w:rPr>
          <w:sz w:val="24"/>
        </w:rPr>
        <w:t xml:space="preserve">% no </w:t>
      </w:r>
      <w:r w:rsidRPr="00D043A6">
        <w:rPr>
          <w:sz w:val="24"/>
        </w:rPr>
        <w:lastRenderedPageBreak/>
        <w:t>piestādīto rēķinu summas.</w:t>
      </w:r>
      <w:r w:rsidR="00B44700" w:rsidRPr="00D043A6">
        <w:rPr>
          <w:sz w:val="24"/>
        </w:rPr>
        <w:t xml:space="preserve"> Lielākais parādu apjoma īpatsvars 9 % fiksēts 2010. gadā, bet līdz krīzes sākumam tas nepārsniedza 4 % robežu.</w:t>
      </w:r>
    </w:p>
    <w:p w:rsidR="00B173BA" w:rsidRPr="00D043A6" w:rsidRDefault="000E37EC" w:rsidP="00AB0E3D">
      <w:pPr>
        <w:ind w:firstLine="720"/>
        <w:jc w:val="both"/>
        <w:rPr>
          <w:sz w:val="24"/>
        </w:rPr>
      </w:pPr>
      <w:r>
        <w:rPr>
          <w:sz w:val="24"/>
        </w:rPr>
        <w:t>Papildus minētajam</w:t>
      </w:r>
      <w:r w:rsidR="00BF1345" w:rsidRPr="00D043A6">
        <w:rPr>
          <w:sz w:val="24"/>
        </w:rPr>
        <w:t xml:space="preserve"> a</w:t>
      </w:r>
      <w:r w:rsidR="00B173BA" w:rsidRPr="00D043A6">
        <w:rPr>
          <w:sz w:val="24"/>
        </w:rPr>
        <w:t>ttiecībā uz dzīvojamo māju renovācijas iespējamiem finanšu modeļu risinājum</w:t>
      </w:r>
      <w:r>
        <w:rPr>
          <w:sz w:val="24"/>
        </w:rPr>
        <w:t>iem nākotnē</w:t>
      </w:r>
      <w:r w:rsidR="00B173BA" w:rsidRPr="00D043A6">
        <w:rPr>
          <w:sz w:val="24"/>
        </w:rPr>
        <w:t xml:space="preserve"> vidējā termiņā pastāv risks, ka cilvēki pieradīs pie ievērojamā (50%) līdzfinansējuma un tas apgrūtinās citu finanšu modeļu ieviešanu</w:t>
      </w:r>
      <w:r w:rsidR="00DD22C3" w:rsidRPr="00D043A6">
        <w:rPr>
          <w:sz w:val="24"/>
        </w:rPr>
        <w:t xml:space="preserve">, ko netieši norāda Lietuvas pieredze. Proti, </w:t>
      </w:r>
      <w:r w:rsidR="00AB0E3D">
        <w:rPr>
          <w:sz w:val="24"/>
        </w:rPr>
        <w:t>mainoties atbalsta programmu nosacījumiem (sākotnēji 50% atbalsts mainījās uz 15-30% atbalstu)</w:t>
      </w:r>
      <w:r w:rsidR="00DD22C3" w:rsidRPr="00D043A6">
        <w:rPr>
          <w:sz w:val="24"/>
        </w:rPr>
        <w:t>, būtiski samazinājās dzīvokļu īpašnieku vēlme veikt mājokļa renovāciju</w:t>
      </w:r>
      <w:r w:rsidR="00A9333F" w:rsidRPr="00D043A6">
        <w:rPr>
          <w:sz w:val="24"/>
        </w:rPr>
        <w:t>,</w:t>
      </w:r>
      <w:r w:rsidR="00DD22C3" w:rsidRPr="00D043A6">
        <w:rPr>
          <w:sz w:val="24"/>
        </w:rPr>
        <w:t xml:space="preserve"> izmantojot jaunos atbalsta instrumentu</w:t>
      </w:r>
      <w:r w:rsidR="00AB0E3D">
        <w:rPr>
          <w:sz w:val="24"/>
        </w:rPr>
        <w:t xml:space="preserve"> nosacījumus</w:t>
      </w:r>
      <w:r w:rsidR="00DD22C3" w:rsidRPr="00D043A6">
        <w:rPr>
          <w:sz w:val="24"/>
        </w:rPr>
        <w:t>.</w:t>
      </w:r>
    </w:p>
    <w:p w:rsidR="007A21D5" w:rsidRPr="00D043A6" w:rsidRDefault="007A21D5">
      <w:pPr>
        <w:rPr>
          <w:sz w:val="24"/>
        </w:rPr>
      </w:pPr>
      <w:r w:rsidRPr="00D043A6">
        <w:rPr>
          <w:sz w:val="24"/>
        </w:rPr>
        <w:br w:type="page"/>
      </w:r>
    </w:p>
    <w:p w:rsidR="0058153C" w:rsidRPr="00D043A6" w:rsidRDefault="0058153C" w:rsidP="0058153C">
      <w:pPr>
        <w:pStyle w:val="Heading1"/>
        <w:rPr>
          <w:sz w:val="24"/>
        </w:rPr>
      </w:pPr>
      <w:bookmarkStart w:id="38" w:name="_Ref332035090"/>
      <w:bookmarkStart w:id="39" w:name="_Toc353811856"/>
      <w:r w:rsidRPr="00D043A6">
        <w:rPr>
          <w:sz w:val="24"/>
        </w:rPr>
        <w:lastRenderedPageBreak/>
        <w:t>Finansēšanas avoti ēku energoefektivitātes uzlabošanas pasākumu īstenošanai</w:t>
      </w:r>
      <w:bookmarkEnd w:id="38"/>
      <w:bookmarkEnd w:id="39"/>
    </w:p>
    <w:p w:rsidR="0058153C" w:rsidRPr="00D043A6" w:rsidRDefault="0058153C" w:rsidP="0058153C">
      <w:pPr>
        <w:pStyle w:val="Heading2"/>
      </w:pPr>
      <w:bookmarkStart w:id="40" w:name="_Toc353811857"/>
      <w:r w:rsidRPr="00D043A6">
        <w:t>Valsts un pašvaldību finansējums</w:t>
      </w:r>
      <w:bookmarkEnd w:id="40"/>
    </w:p>
    <w:p w:rsidR="0058153C" w:rsidRPr="00D043A6" w:rsidRDefault="0058153C" w:rsidP="0058153C">
      <w:pPr>
        <w:ind w:firstLine="720"/>
        <w:jc w:val="both"/>
        <w:rPr>
          <w:sz w:val="24"/>
        </w:rPr>
      </w:pPr>
      <w:r w:rsidRPr="00D043A6">
        <w:rPr>
          <w:sz w:val="24"/>
        </w:rPr>
        <w:t>Latvijā līdz šim valsts vai pašvaldību budžeta finansējuma piesaiste ēku energoefektivitātes pasākumu īstenošanai bijusi salīdzinoši nelielos apjomos. Iemesli šādai praksei ir ierobežotās budžeta iespējas, kā arī fakts, ka valsts un pašvaldību budžets tiek plānots termiņos līdz 3 gadiem.</w:t>
      </w:r>
    </w:p>
    <w:p w:rsidR="0058153C" w:rsidRPr="00D043A6" w:rsidRDefault="0058153C" w:rsidP="0058153C">
      <w:pPr>
        <w:ind w:firstLine="720"/>
        <w:jc w:val="both"/>
        <w:rPr>
          <w:sz w:val="24"/>
        </w:rPr>
      </w:pPr>
      <w:r w:rsidRPr="00D043A6">
        <w:rPr>
          <w:sz w:val="24"/>
        </w:rPr>
        <w:t>No 2009. līdz 2010. gadam Ekonomikas ministrijā tika realizēta valsts atbalsta programma ēku energoefektivitātes uzlabošanai dzīvojamās mājās. Programmas finansējums bija 698 tūkstoši latu un programmas ietvaros tika atbalstīta</w:t>
      </w:r>
      <w:r w:rsidRPr="00D043A6">
        <w:rPr>
          <w:rStyle w:val="FootnoteReference"/>
          <w:sz w:val="24"/>
        </w:rPr>
        <w:footnoteReference w:id="38"/>
      </w:r>
      <w:r w:rsidRPr="00D043A6">
        <w:rPr>
          <w:sz w:val="24"/>
        </w:rPr>
        <w:t xml:space="preserve"> daudzdzīvokļu dzīvojamās mājas energoefektivitātes novērtēšana (energoaudita sagatavošana), ēkas tehniskā novērtēšana, būvprojekta dokumentācijas sagatavošana 80% apmērā, kā arī daudzdzīvokļu dzīvojamās mājas renovācija – 20</w:t>
      </w:r>
      <w:r w:rsidR="00ED5DBE" w:rsidRPr="00D043A6">
        <w:rPr>
          <w:sz w:val="24"/>
        </w:rPr>
        <w:t> </w:t>
      </w:r>
      <w:r w:rsidRPr="00D043A6">
        <w:rPr>
          <w:sz w:val="24"/>
        </w:rPr>
        <w:t>%</w:t>
      </w:r>
      <w:r w:rsidR="00ED5DBE" w:rsidRPr="00D043A6">
        <w:rPr>
          <w:sz w:val="24"/>
        </w:rPr>
        <w:t xml:space="preserve"> apmērā</w:t>
      </w:r>
      <w:r w:rsidRPr="00D043A6">
        <w:rPr>
          <w:sz w:val="24"/>
        </w:rPr>
        <w:t xml:space="preserve"> no renovācijas projekta izmaksām. </w:t>
      </w:r>
    </w:p>
    <w:p w:rsidR="0058153C" w:rsidRPr="00D043A6" w:rsidRDefault="000E37EC" w:rsidP="00B937A6">
      <w:pPr>
        <w:ind w:firstLine="720"/>
        <w:jc w:val="both"/>
        <w:rPr>
          <w:sz w:val="24"/>
        </w:rPr>
      </w:pPr>
      <w:r>
        <w:rPr>
          <w:sz w:val="24"/>
        </w:rPr>
        <w:t>Atsevišķu, galvenokārt</w:t>
      </w:r>
      <w:r w:rsidR="0058153C" w:rsidRPr="00D043A6">
        <w:rPr>
          <w:sz w:val="24"/>
        </w:rPr>
        <w:t xml:space="preserve"> ar ēku energoefektivitātes dokumentācijas sagatavošanu saistītu pasākumu īstenošana tie veikta dažās Latvijas pašvaldībās. Pašvaldības atbalstu ēku energoefektivitātes pasākumu īstenošanai sniedz saskaņā ar saistoš</w:t>
      </w:r>
      <w:r>
        <w:rPr>
          <w:sz w:val="24"/>
        </w:rPr>
        <w:t>aj</w:t>
      </w:r>
      <w:r w:rsidR="0058153C" w:rsidRPr="00D043A6">
        <w:rPr>
          <w:sz w:val="24"/>
        </w:rPr>
        <w:t xml:space="preserve">iem noteikumiem, kas izdoti </w:t>
      </w:r>
      <w:r>
        <w:rPr>
          <w:sz w:val="24"/>
        </w:rPr>
        <w:t>saskaņā ar</w:t>
      </w:r>
      <w:r w:rsidR="0058153C" w:rsidRPr="00D043A6">
        <w:rPr>
          <w:sz w:val="24"/>
        </w:rPr>
        <w:t xml:space="preserve"> likuma</w:t>
      </w:r>
      <w:r w:rsidR="0058153C" w:rsidRPr="00D043A6">
        <w:rPr>
          <w:rFonts w:eastAsia="Times New Roman"/>
          <w:iCs/>
          <w:sz w:val="24"/>
          <w:szCs w:val="15"/>
          <w:lang w:eastAsia="lv-LV"/>
        </w:rPr>
        <w:t xml:space="preserve"> „Par palīdzību dzīvokļa jautājumu risināšanā” 27.</w:t>
      </w:r>
      <w:r w:rsidR="0058153C" w:rsidRPr="00D043A6">
        <w:rPr>
          <w:rFonts w:eastAsia="Times New Roman"/>
          <w:iCs/>
          <w:sz w:val="24"/>
          <w:szCs w:val="15"/>
          <w:vertAlign w:val="superscript"/>
          <w:lang w:eastAsia="lv-LV"/>
        </w:rPr>
        <w:t>2</w:t>
      </w:r>
      <w:r w:rsidR="0058153C" w:rsidRPr="00D043A6">
        <w:rPr>
          <w:rFonts w:eastAsia="Times New Roman"/>
          <w:iCs/>
          <w:sz w:val="24"/>
          <w:szCs w:val="15"/>
          <w:lang w:eastAsia="lv-LV"/>
        </w:rPr>
        <w:t>panta otrās daļas 4.punktu un p</w:t>
      </w:r>
      <w:r>
        <w:rPr>
          <w:rFonts w:eastAsia="Times New Roman"/>
          <w:iCs/>
          <w:sz w:val="24"/>
          <w:szCs w:val="15"/>
          <w:lang w:eastAsia="lv-LV"/>
        </w:rPr>
        <w:t>iekto daļu. Atbilstošus saistošo</w:t>
      </w:r>
      <w:r w:rsidR="0058153C" w:rsidRPr="00D043A6">
        <w:rPr>
          <w:rFonts w:eastAsia="Times New Roman"/>
          <w:iCs/>
          <w:sz w:val="24"/>
          <w:szCs w:val="15"/>
          <w:lang w:eastAsia="lv-LV"/>
        </w:rPr>
        <w:t xml:space="preserve">s noteikumus ir pieņēmušas Daugavpils, Liepājas, Rēzeknes, Rīgas un Ventspils pašvaldības. </w:t>
      </w:r>
      <w:r w:rsidR="0058153C" w:rsidRPr="00D043A6">
        <w:rPr>
          <w:sz w:val="24"/>
        </w:rPr>
        <w:t xml:space="preserve"> </w:t>
      </w:r>
    </w:p>
    <w:p w:rsidR="0058153C" w:rsidRPr="00D043A6" w:rsidRDefault="0058153C" w:rsidP="0058153C">
      <w:pPr>
        <w:pStyle w:val="Heading2"/>
      </w:pPr>
      <w:bookmarkStart w:id="41" w:name="_Toc353811858"/>
      <w:r w:rsidRPr="00D043A6">
        <w:t xml:space="preserve">Eiropas </w:t>
      </w:r>
      <w:r w:rsidR="00ED5DBE" w:rsidRPr="00D043A6">
        <w:t>S</w:t>
      </w:r>
      <w:r w:rsidRPr="00D043A6">
        <w:t>avienības finanšu resursi</w:t>
      </w:r>
      <w:bookmarkEnd w:id="41"/>
    </w:p>
    <w:p w:rsidR="0058153C" w:rsidRPr="005034BF" w:rsidRDefault="0058153C" w:rsidP="0058153C">
      <w:pPr>
        <w:ind w:firstLine="720"/>
        <w:jc w:val="both"/>
        <w:rPr>
          <w:sz w:val="24"/>
          <w:szCs w:val="24"/>
        </w:rPr>
      </w:pPr>
      <w:r w:rsidRPr="005034BF">
        <w:rPr>
          <w:sz w:val="24"/>
          <w:szCs w:val="24"/>
        </w:rPr>
        <w:t>ES reģionālo politiku finansē no trim galvenajiem fondiem, kurus var izmantot saistībā ar dažiem vai visiem </w:t>
      </w:r>
      <w:hyperlink r:id="rId21" w:history="1">
        <w:r w:rsidRPr="005034BF">
          <w:rPr>
            <w:sz w:val="24"/>
            <w:szCs w:val="24"/>
          </w:rPr>
          <w:t>reģionālās politikas mērķiem</w:t>
        </w:r>
      </w:hyperlink>
      <w:r w:rsidRPr="005034BF">
        <w:rPr>
          <w:sz w:val="24"/>
          <w:szCs w:val="24"/>
        </w:rPr>
        <w:t xml:space="preserve">: </w:t>
      </w:r>
      <w:r w:rsidR="000E37EC">
        <w:rPr>
          <w:sz w:val="24"/>
          <w:szCs w:val="24"/>
        </w:rPr>
        <w:t xml:space="preserve">no </w:t>
      </w:r>
      <w:r w:rsidRPr="005034BF">
        <w:rPr>
          <w:sz w:val="24"/>
          <w:szCs w:val="24"/>
        </w:rPr>
        <w:t>Eiropas Reģionālās attīstības fond</w:t>
      </w:r>
      <w:r w:rsidR="000E37EC">
        <w:rPr>
          <w:sz w:val="24"/>
          <w:szCs w:val="24"/>
        </w:rPr>
        <w:t>a</w:t>
      </w:r>
      <w:r w:rsidRPr="005034BF">
        <w:rPr>
          <w:sz w:val="24"/>
          <w:szCs w:val="24"/>
        </w:rPr>
        <w:t>, Eiropas Sociālais fond</w:t>
      </w:r>
      <w:r w:rsidR="000E37EC">
        <w:rPr>
          <w:sz w:val="24"/>
          <w:szCs w:val="24"/>
        </w:rPr>
        <w:t>a, Kohēzijas fonda</w:t>
      </w:r>
      <w:r w:rsidRPr="005034BF">
        <w:rPr>
          <w:sz w:val="24"/>
          <w:szCs w:val="24"/>
        </w:rPr>
        <w:t>.</w:t>
      </w:r>
    </w:p>
    <w:p w:rsidR="0058153C" w:rsidRPr="005034BF" w:rsidRDefault="0058153C" w:rsidP="0058153C">
      <w:pPr>
        <w:ind w:firstLine="720"/>
        <w:jc w:val="both"/>
        <w:rPr>
          <w:sz w:val="24"/>
          <w:szCs w:val="24"/>
        </w:rPr>
      </w:pPr>
      <w:r w:rsidRPr="005034BF">
        <w:rPr>
          <w:sz w:val="24"/>
          <w:szCs w:val="24"/>
        </w:rPr>
        <w:t xml:space="preserve">2007. gadā tika izveidoti četri jauni finanšu instrumenti, lai sniegtu </w:t>
      </w:r>
      <w:r w:rsidRPr="005034BF">
        <w:rPr>
          <w:b/>
          <w:sz w:val="24"/>
          <w:szCs w:val="24"/>
        </w:rPr>
        <w:t>tehnisko atbalstu</w:t>
      </w:r>
      <w:r w:rsidRPr="005034BF">
        <w:rPr>
          <w:sz w:val="24"/>
          <w:szCs w:val="24"/>
        </w:rPr>
        <w:t xml:space="preserve"> (</w:t>
      </w:r>
      <w:r w:rsidRPr="005034BF">
        <w:rPr>
          <w:i/>
          <w:iCs/>
          <w:sz w:val="24"/>
          <w:szCs w:val="24"/>
        </w:rPr>
        <w:t>Jaspers</w:t>
      </w:r>
      <w:r w:rsidRPr="005034BF">
        <w:rPr>
          <w:sz w:val="24"/>
          <w:szCs w:val="24"/>
        </w:rPr>
        <w:t xml:space="preserve"> un </w:t>
      </w:r>
      <w:r w:rsidRPr="005034BF">
        <w:rPr>
          <w:i/>
          <w:iCs/>
          <w:sz w:val="24"/>
          <w:szCs w:val="24"/>
        </w:rPr>
        <w:t>Jasmine</w:t>
      </w:r>
      <w:r w:rsidRPr="005034BF">
        <w:rPr>
          <w:sz w:val="24"/>
          <w:szCs w:val="24"/>
        </w:rPr>
        <w:t>), uzlabotu MVU piekļuvi mikrofinansējumam (</w:t>
      </w:r>
      <w:r w:rsidRPr="005034BF">
        <w:rPr>
          <w:i/>
          <w:iCs/>
          <w:sz w:val="24"/>
          <w:szCs w:val="24"/>
        </w:rPr>
        <w:t>Jeremie</w:t>
      </w:r>
      <w:r w:rsidRPr="005034BF">
        <w:rPr>
          <w:sz w:val="24"/>
          <w:szCs w:val="24"/>
        </w:rPr>
        <w:t>) un atbalstītu pilsētu attīstību (</w:t>
      </w:r>
      <w:r w:rsidRPr="005034BF">
        <w:rPr>
          <w:i/>
          <w:iCs/>
          <w:sz w:val="24"/>
          <w:szCs w:val="24"/>
        </w:rPr>
        <w:t>Jessica</w:t>
      </w:r>
      <w:r w:rsidRPr="005034BF">
        <w:rPr>
          <w:sz w:val="24"/>
          <w:szCs w:val="24"/>
        </w:rPr>
        <w:t>).</w:t>
      </w:r>
    </w:p>
    <w:p w:rsidR="0058153C" w:rsidRPr="005034BF" w:rsidRDefault="0058153C" w:rsidP="0058153C">
      <w:pPr>
        <w:ind w:firstLine="720"/>
        <w:jc w:val="both"/>
        <w:rPr>
          <w:sz w:val="24"/>
          <w:szCs w:val="24"/>
        </w:rPr>
      </w:pPr>
      <w:r w:rsidRPr="005034BF">
        <w:rPr>
          <w:sz w:val="24"/>
          <w:szCs w:val="24"/>
        </w:rPr>
        <w:t>Papildus minama Eiropas Komisijas Septītā ietvara programma pētījumiem un programma Saprātīga enerģija Eiropai. Šīs programmas var tikt izmantota</w:t>
      </w:r>
      <w:r w:rsidR="000E37EC">
        <w:rPr>
          <w:sz w:val="24"/>
          <w:szCs w:val="24"/>
        </w:rPr>
        <w:t>s</w:t>
      </w:r>
      <w:r w:rsidRPr="005034BF">
        <w:rPr>
          <w:sz w:val="24"/>
          <w:szCs w:val="24"/>
        </w:rPr>
        <w:t xml:space="preserve"> ar ēku energoefektivitāti un atjaunojamo energoresursu izmantošanu saistītu pētījumu veikšanai atsevišķu pilotprojektu ietvaros. Programmas nav piemērojama kā finanšu instruments attiecībā uz ēku īpašniekiem.</w:t>
      </w:r>
    </w:p>
    <w:p w:rsidR="0058153C" w:rsidRPr="005034BF" w:rsidRDefault="0058153C" w:rsidP="0058153C">
      <w:pPr>
        <w:ind w:firstLine="720"/>
        <w:jc w:val="both"/>
        <w:rPr>
          <w:sz w:val="24"/>
          <w:szCs w:val="24"/>
        </w:rPr>
      </w:pPr>
    </w:p>
    <w:p w:rsidR="0058153C" w:rsidRPr="005034BF" w:rsidRDefault="0058153C" w:rsidP="0058153C">
      <w:pPr>
        <w:ind w:firstLine="720"/>
        <w:jc w:val="both"/>
        <w:rPr>
          <w:sz w:val="24"/>
          <w:szCs w:val="24"/>
        </w:rPr>
      </w:pPr>
      <w:r w:rsidRPr="005034BF">
        <w:rPr>
          <w:b/>
          <w:sz w:val="24"/>
          <w:szCs w:val="24"/>
        </w:rPr>
        <w:t>ES fondi</w:t>
      </w:r>
      <w:r w:rsidRPr="005034BF">
        <w:rPr>
          <w:sz w:val="24"/>
          <w:szCs w:val="24"/>
        </w:rPr>
        <w:t xml:space="preserve"> ir uzskatāmi par apjomīgāko finansējuma piesaistes avotu laika posmā līdz 2013.gadam. No to ietvariem Latvijai ir pieejami 3</w:t>
      </w:r>
      <w:r w:rsidR="00992E51" w:rsidRPr="005034BF">
        <w:rPr>
          <w:sz w:val="24"/>
          <w:szCs w:val="24"/>
        </w:rPr>
        <w:t>,18</w:t>
      </w:r>
      <w:r w:rsidRPr="005034BF">
        <w:rPr>
          <w:sz w:val="24"/>
          <w:szCs w:val="24"/>
        </w:rPr>
        <w:t xml:space="preserve"> miljardi latu, </w:t>
      </w:r>
      <w:r w:rsidR="00992E51" w:rsidRPr="005034BF">
        <w:rPr>
          <w:sz w:val="24"/>
          <w:szCs w:val="24"/>
        </w:rPr>
        <w:t>no tiem</w:t>
      </w:r>
      <w:r w:rsidRPr="005034BF">
        <w:rPr>
          <w:sz w:val="24"/>
          <w:szCs w:val="24"/>
        </w:rPr>
        <w:t xml:space="preserve"> </w:t>
      </w:r>
      <w:r w:rsidR="00992E51" w:rsidRPr="005034BF">
        <w:rPr>
          <w:sz w:val="24"/>
          <w:szCs w:val="24"/>
        </w:rPr>
        <w:t>130</w:t>
      </w:r>
      <w:r w:rsidRPr="005034BF">
        <w:rPr>
          <w:sz w:val="24"/>
          <w:szCs w:val="24"/>
        </w:rPr>
        <w:t xml:space="preserve"> miljoni latu jeb </w:t>
      </w:r>
      <w:r w:rsidR="00992E51" w:rsidRPr="005034BF">
        <w:rPr>
          <w:sz w:val="24"/>
          <w:szCs w:val="24"/>
        </w:rPr>
        <w:t>4</w:t>
      </w:r>
      <w:r w:rsidRPr="005034BF">
        <w:rPr>
          <w:sz w:val="24"/>
          <w:szCs w:val="24"/>
        </w:rPr>
        <w:t>% no kopējā finansējuma ir atvēl</w:t>
      </w:r>
      <w:r w:rsidR="000E37EC">
        <w:rPr>
          <w:sz w:val="24"/>
          <w:szCs w:val="24"/>
        </w:rPr>
        <w:t>ēti enerģētikas sektoram, t.sk.</w:t>
      </w:r>
      <w:r w:rsidRPr="005034BF">
        <w:rPr>
          <w:sz w:val="24"/>
          <w:szCs w:val="24"/>
        </w:rPr>
        <w:t xml:space="preserve"> arī energoefektivitātes veicināšanai. ES fondu plānošanas perioda līdz 2013. gadam realizētās </w:t>
      </w:r>
      <w:r w:rsidR="00992E51" w:rsidRPr="005034BF">
        <w:rPr>
          <w:sz w:val="24"/>
          <w:szCs w:val="24"/>
        </w:rPr>
        <w:t xml:space="preserve">mājokļu energoefektivitātes paaugstināšanas </w:t>
      </w:r>
      <w:r w:rsidRPr="005034BF">
        <w:rPr>
          <w:sz w:val="24"/>
          <w:szCs w:val="24"/>
        </w:rPr>
        <w:t xml:space="preserve">aktivitātes aprakstītas </w:t>
      </w:r>
      <w:r w:rsidR="00C44B1A" w:rsidRPr="005034BF">
        <w:rPr>
          <w:sz w:val="24"/>
          <w:szCs w:val="24"/>
        </w:rPr>
        <w:fldChar w:fldCharType="begin"/>
      </w:r>
      <w:r w:rsidR="00C44B1A" w:rsidRPr="005034BF">
        <w:rPr>
          <w:sz w:val="24"/>
          <w:szCs w:val="24"/>
        </w:rPr>
        <w:instrText xml:space="preserve"> REF _Ref328996072 \r \h  \* MERGEFORMAT </w:instrText>
      </w:r>
      <w:r w:rsidR="00C44B1A" w:rsidRPr="005034BF">
        <w:rPr>
          <w:sz w:val="24"/>
          <w:szCs w:val="24"/>
        </w:rPr>
      </w:r>
      <w:r w:rsidR="00C44B1A" w:rsidRPr="005034BF">
        <w:rPr>
          <w:sz w:val="24"/>
          <w:szCs w:val="24"/>
        </w:rPr>
        <w:fldChar w:fldCharType="separate"/>
      </w:r>
      <w:r w:rsidR="005D13C5">
        <w:rPr>
          <w:sz w:val="24"/>
          <w:szCs w:val="24"/>
        </w:rPr>
        <w:t>2.3</w:t>
      </w:r>
      <w:r w:rsidR="00C44B1A" w:rsidRPr="005034BF">
        <w:rPr>
          <w:sz w:val="24"/>
          <w:szCs w:val="24"/>
        </w:rPr>
        <w:fldChar w:fldCharType="end"/>
      </w:r>
      <w:r w:rsidRPr="005034BF">
        <w:rPr>
          <w:sz w:val="24"/>
          <w:szCs w:val="24"/>
        </w:rPr>
        <w:t>. sadaļā.</w:t>
      </w:r>
    </w:p>
    <w:p w:rsidR="006E0DF5" w:rsidRPr="00D043A6" w:rsidRDefault="0058153C" w:rsidP="0058153C">
      <w:pPr>
        <w:pStyle w:val="Default"/>
        <w:ind w:firstLine="720"/>
        <w:jc w:val="both"/>
        <w:rPr>
          <w:szCs w:val="23"/>
        </w:rPr>
      </w:pPr>
      <w:r w:rsidRPr="00D043A6">
        <w:rPr>
          <w:szCs w:val="23"/>
        </w:rPr>
        <w:t>Nākamā 2014. – 2020. gada plānošanās perioda programmas ir sagatavošanas stadijā.</w:t>
      </w:r>
      <w:r w:rsidR="00B5745C" w:rsidRPr="00D043A6">
        <w:rPr>
          <w:szCs w:val="23"/>
        </w:rPr>
        <w:t xml:space="preserve"> </w:t>
      </w:r>
      <w:r w:rsidR="006E0DF5" w:rsidRPr="006E0DF5">
        <w:rPr>
          <w:szCs w:val="23"/>
        </w:rPr>
        <w:t>2013.</w:t>
      </w:r>
      <w:r w:rsidR="005C05CA">
        <w:rPr>
          <w:szCs w:val="23"/>
        </w:rPr>
        <w:t> </w:t>
      </w:r>
      <w:r w:rsidR="006E0DF5" w:rsidRPr="006E0DF5">
        <w:rPr>
          <w:szCs w:val="23"/>
        </w:rPr>
        <w:t>gada 1.pusgadā tiek izstrādāta 2014.-2020.gada ES fondu plānošanas perioda Darbības programma, kas ir pamatdokuments ES fondu plānošanā un uz kuru balstoties tiks izstrādātas konkrētas atbalsta programmas, tai skaitā energoefektivitātē</w:t>
      </w:r>
      <w:r w:rsidR="005C05CA">
        <w:rPr>
          <w:szCs w:val="23"/>
        </w:rPr>
        <w:t xml:space="preserve">, kur iecerēts </w:t>
      </w:r>
      <w:r w:rsidR="005C05CA" w:rsidRPr="00D043A6">
        <w:rPr>
          <w:szCs w:val="23"/>
        </w:rPr>
        <w:t>palielināt atbalst</w:t>
      </w:r>
      <w:r w:rsidR="005C05CA">
        <w:rPr>
          <w:szCs w:val="23"/>
        </w:rPr>
        <w:t>u</w:t>
      </w:r>
      <w:r w:rsidR="005C05CA" w:rsidRPr="00D043A6">
        <w:rPr>
          <w:szCs w:val="23"/>
        </w:rPr>
        <w:t xml:space="preserve"> ar ēku energoefektivitāti saistītu pasākumu īstenošanai</w:t>
      </w:r>
      <w:r w:rsidR="006E0DF5" w:rsidRPr="006E0DF5">
        <w:rPr>
          <w:szCs w:val="23"/>
        </w:rPr>
        <w:t xml:space="preserve">. Saskaņā ar Finanšu ministrijas plānoto laika grafiku, darbības programmas projektu plānots iesniegt Eiropas Komisijā un saskaņot </w:t>
      </w:r>
      <w:r w:rsidR="006E0DF5" w:rsidRPr="006E0DF5">
        <w:rPr>
          <w:szCs w:val="23"/>
        </w:rPr>
        <w:lastRenderedPageBreak/>
        <w:t>2013.gada 2.pusgada laikā.</w:t>
      </w:r>
      <w:r w:rsidR="005C05CA">
        <w:rPr>
          <w:szCs w:val="23"/>
        </w:rPr>
        <w:t xml:space="preserve"> </w:t>
      </w:r>
    </w:p>
    <w:p w:rsidR="002F04E0" w:rsidRPr="00D043A6" w:rsidRDefault="002F04E0" w:rsidP="002F04E0">
      <w:pPr>
        <w:ind w:firstLine="720"/>
        <w:jc w:val="both"/>
        <w:rPr>
          <w:sz w:val="24"/>
          <w:szCs w:val="24"/>
        </w:rPr>
      </w:pPr>
      <w:r w:rsidRPr="00D043A6">
        <w:rPr>
          <w:sz w:val="24"/>
          <w:szCs w:val="24"/>
        </w:rPr>
        <w:t>2011.gada 6.oktobrī Eiropas Komisija (turpmāk – EK) publicēja Eiropas Savienības  Kohēzijas politikas Kopienas stratēģiskā ietvara</w:t>
      </w:r>
      <w:r w:rsidRPr="00D043A6">
        <w:rPr>
          <w:b/>
          <w:sz w:val="24"/>
          <w:szCs w:val="24"/>
        </w:rPr>
        <w:t xml:space="preserve"> </w:t>
      </w:r>
      <w:r w:rsidRPr="00D043A6">
        <w:rPr>
          <w:sz w:val="24"/>
          <w:szCs w:val="24"/>
        </w:rPr>
        <w:t>fondu regulu priekšlikumus 2014. – 2020.gada plānošanas periodam</w:t>
      </w:r>
      <w:r w:rsidRPr="00D043A6">
        <w:rPr>
          <w:sz w:val="24"/>
          <w:szCs w:val="24"/>
          <w:vertAlign w:val="superscript"/>
        </w:rPr>
        <w:footnoteReference w:id="39"/>
      </w:r>
      <w:r w:rsidRPr="00D043A6">
        <w:rPr>
          <w:sz w:val="24"/>
          <w:szCs w:val="24"/>
        </w:rPr>
        <w:t xml:space="preserve"> (turpmāk – EK priekšlikums), kas nosaka kopīgos noteikumus Eiropas Reģionālās attīstības fonda, Eiropas Sociālā fonda, Kohēzijas fonda, Eiropas Lauksaimniecības fonda lauku attīstībai un Eiropas Jūrlietu un zivsaimniecības fonda (turpmāk – </w:t>
      </w:r>
      <w:r w:rsidR="00B07878" w:rsidRPr="00D043A6">
        <w:rPr>
          <w:sz w:val="24"/>
          <w:szCs w:val="24"/>
        </w:rPr>
        <w:t>VSS</w:t>
      </w:r>
      <w:r w:rsidR="00B07878" w:rsidRPr="00D043A6">
        <w:rPr>
          <w:rStyle w:val="FootnoteReference"/>
          <w:sz w:val="24"/>
          <w:szCs w:val="24"/>
        </w:rPr>
        <w:footnoteReference w:id="40"/>
      </w:r>
      <w:r w:rsidR="00B07878" w:rsidRPr="00D043A6">
        <w:rPr>
          <w:sz w:val="24"/>
          <w:szCs w:val="24"/>
        </w:rPr>
        <w:t xml:space="preserve"> </w:t>
      </w:r>
      <w:r w:rsidRPr="00D043A6">
        <w:rPr>
          <w:sz w:val="24"/>
          <w:szCs w:val="24"/>
        </w:rPr>
        <w:t xml:space="preserve">fondi) vadības un ieviešanas jautājumos. EK priekšlikums paredz, ka </w:t>
      </w:r>
      <w:r w:rsidR="00B07878" w:rsidRPr="00D043A6">
        <w:rPr>
          <w:sz w:val="24"/>
          <w:szCs w:val="24"/>
        </w:rPr>
        <w:t xml:space="preserve">VSS </w:t>
      </w:r>
      <w:r w:rsidRPr="00D043A6">
        <w:rPr>
          <w:sz w:val="24"/>
          <w:szCs w:val="24"/>
        </w:rPr>
        <w:t xml:space="preserve">fondi veicinās ekonomisko, sociālo un teritoriālo kohēziju ES, kā arī atbalstīs darbības, kas nodrošina 2010.gada 17.jūnijā apstiprinātās </w:t>
      </w:r>
      <w:r w:rsidR="000E37EC">
        <w:rPr>
          <w:sz w:val="24"/>
          <w:szCs w:val="24"/>
        </w:rPr>
        <w:t xml:space="preserve">stratēģijas </w:t>
      </w:r>
      <w:r w:rsidRPr="00D043A6">
        <w:rPr>
          <w:sz w:val="24"/>
          <w:szCs w:val="24"/>
        </w:rPr>
        <w:t>„Eiropa 2020: stratēģija gudrai, ilgtspējīgai un iekļaujošai izaugsmei” īstenošanu. Savukārt dalībvalsts līmenī atbilstoši priekšlikumam atbalsts jākoncentrē, lai sniegtu ievērojamu ieguldījumu ES mērķu sasniegšanā saskaņā ar konkrētajām valsts vajadzībām.</w:t>
      </w:r>
    </w:p>
    <w:p w:rsidR="002F04E0" w:rsidRPr="00D043A6" w:rsidRDefault="002F04E0" w:rsidP="002F04E0">
      <w:pPr>
        <w:ind w:firstLine="720"/>
        <w:jc w:val="both"/>
        <w:rPr>
          <w:sz w:val="24"/>
          <w:szCs w:val="24"/>
        </w:rPr>
      </w:pPr>
      <w:r w:rsidRPr="00D043A6">
        <w:rPr>
          <w:sz w:val="24"/>
          <w:szCs w:val="24"/>
        </w:rPr>
        <w:t xml:space="preserve">EK priekšlikums ir vērsts uz efektīvāku un koordinētāku ES Kohēzijas politikas ieviešanu, kā galveno realizācijas mehānismu piedāvājot pieejas, kas paredz koncentrēšanos uz rezultātiem, kā arī palielina makroekonomisko un </w:t>
      </w:r>
      <w:r w:rsidRPr="00D043A6">
        <w:rPr>
          <w:i/>
          <w:sz w:val="24"/>
          <w:szCs w:val="24"/>
        </w:rPr>
        <w:t>ex-ante</w:t>
      </w:r>
      <w:r w:rsidR="0001275E" w:rsidRPr="00D043A6">
        <w:rPr>
          <w:rStyle w:val="FootnoteReference"/>
          <w:sz w:val="24"/>
          <w:szCs w:val="23"/>
        </w:rPr>
        <w:footnoteReference w:id="41"/>
      </w:r>
      <w:r w:rsidRPr="00D043A6">
        <w:rPr>
          <w:sz w:val="24"/>
          <w:szCs w:val="24"/>
        </w:rPr>
        <w:t xml:space="preserve"> nosacījumu izmantošanu. Abu minēto nosacījumu izpilde ir obligāta, lai dalībvalsts varētu izmantot ES Kohēzijas politikas finanšu līdzekļus. Makroekonomisko un </w:t>
      </w:r>
      <w:r w:rsidRPr="00D043A6">
        <w:rPr>
          <w:i/>
          <w:sz w:val="24"/>
          <w:szCs w:val="24"/>
        </w:rPr>
        <w:t>ex-ante</w:t>
      </w:r>
      <w:r w:rsidRPr="00D043A6">
        <w:rPr>
          <w:sz w:val="24"/>
          <w:szCs w:val="24"/>
        </w:rPr>
        <w:t xml:space="preserve"> nosacījumu, kā arī citu instrumentu, kas uzlabotu ES Kohēzijas politikas kopējo sniegumu, ir analizēti EK sagatavotajā ietekmes ziņojuma kopsavilkumā</w:t>
      </w:r>
      <w:r w:rsidRPr="00D043A6">
        <w:rPr>
          <w:rStyle w:val="FootnoteReference"/>
          <w:sz w:val="24"/>
          <w:szCs w:val="24"/>
        </w:rPr>
        <w:footnoteReference w:id="42"/>
      </w:r>
      <w:r w:rsidRPr="00D043A6">
        <w:rPr>
          <w:sz w:val="24"/>
          <w:szCs w:val="24"/>
        </w:rPr>
        <w:t>.</w:t>
      </w:r>
    </w:p>
    <w:p w:rsidR="002F04E0" w:rsidRPr="00D043A6" w:rsidRDefault="002F04E0" w:rsidP="002F04E0">
      <w:pPr>
        <w:ind w:firstLine="720"/>
        <w:jc w:val="both"/>
        <w:rPr>
          <w:sz w:val="24"/>
          <w:szCs w:val="24"/>
        </w:rPr>
      </w:pPr>
      <w:r w:rsidRPr="00D043A6">
        <w:rPr>
          <w:sz w:val="24"/>
          <w:szCs w:val="24"/>
        </w:rPr>
        <w:t xml:space="preserve">Ēku energoefektivitātes kontekstā saistošs ir </w:t>
      </w:r>
      <w:r w:rsidRPr="00D043A6">
        <w:rPr>
          <w:i/>
          <w:sz w:val="24"/>
          <w:szCs w:val="24"/>
        </w:rPr>
        <w:t>ex-ante</w:t>
      </w:r>
      <w:r w:rsidRPr="00D043A6">
        <w:rPr>
          <w:sz w:val="24"/>
          <w:szCs w:val="24"/>
        </w:rPr>
        <w:t xml:space="preserve"> nosacījums 4.1. „Enerģijas galapatēriņa efektivitātes uzlabojumi un ieguldījumi energoefektivitātē celtniecībā”, kas ietver kritērijus attiecībā uz pasākumiem:</w:t>
      </w:r>
    </w:p>
    <w:p w:rsidR="002F04E0" w:rsidRPr="00D043A6" w:rsidRDefault="002F04E0" w:rsidP="002F04E0">
      <w:pPr>
        <w:pStyle w:val="ListParagraph"/>
        <w:numPr>
          <w:ilvl w:val="0"/>
          <w:numId w:val="22"/>
        </w:numPr>
        <w:jc w:val="both"/>
        <w:rPr>
          <w:sz w:val="24"/>
          <w:szCs w:val="24"/>
        </w:rPr>
      </w:pPr>
      <w:r w:rsidRPr="00D043A6">
        <w:rPr>
          <w:sz w:val="24"/>
          <w:szCs w:val="24"/>
        </w:rPr>
        <w:t xml:space="preserve">lai īstenotu minimālās prasības attiecībā uz ēku energoefektivitāti; </w:t>
      </w:r>
    </w:p>
    <w:p w:rsidR="002F04E0" w:rsidRPr="00D043A6" w:rsidRDefault="002F04E0" w:rsidP="002F04E0">
      <w:pPr>
        <w:ind w:firstLine="720"/>
        <w:jc w:val="both"/>
        <w:rPr>
          <w:sz w:val="24"/>
          <w:szCs w:val="24"/>
        </w:rPr>
      </w:pPr>
      <w:r w:rsidRPr="00D043A6">
        <w:rPr>
          <w:sz w:val="24"/>
          <w:szCs w:val="24"/>
        </w:rPr>
        <w:t>ii)</w:t>
      </w:r>
      <w:r w:rsidRPr="00D043A6">
        <w:rPr>
          <w:sz w:val="24"/>
          <w:szCs w:val="24"/>
        </w:rPr>
        <w:tab/>
        <w:t>vajadzīgi ēku energoefektivitātes sertifikācijas sistēmas ieviešanai;</w:t>
      </w:r>
    </w:p>
    <w:p w:rsidR="002F04E0" w:rsidRPr="00D043A6" w:rsidRDefault="002F04E0" w:rsidP="002F04E0">
      <w:pPr>
        <w:ind w:firstLine="720"/>
        <w:jc w:val="both"/>
        <w:rPr>
          <w:sz w:val="24"/>
          <w:szCs w:val="24"/>
        </w:rPr>
      </w:pPr>
      <w:r w:rsidRPr="00D043A6">
        <w:rPr>
          <w:sz w:val="24"/>
          <w:szCs w:val="24"/>
        </w:rPr>
        <w:t>iii)</w:t>
      </w:r>
      <w:r w:rsidRPr="00D043A6">
        <w:rPr>
          <w:sz w:val="24"/>
          <w:szCs w:val="24"/>
        </w:rPr>
        <w:tab/>
      </w:r>
      <w:r w:rsidR="00D36583" w:rsidRPr="00D043A6">
        <w:rPr>
          <w:sz w:val="24"/>
          <w:szCs w:val="24"/>
        </w:rPr>
        <w:t>n</w:t>
      </w:r>
      <w:r w:rsidRPr="00D043A6">
        <w:rPr>
          <w:sz w:val="24"/>
          <w:szCs w:val="24"/>
        </w:rPr>
        <w:t>odrošina galapatērētājiem individuālus skaitītājus.</w:t>
      </w:r>
    </w:p>
    <w:p w:rsidR="00D36583" w:rsidRPr="00D043A6" w:rsidRDefault="000E37EC" w:rsidP="0001275E">
      <w:pPr>
        <w:pStyle w:val="Default"/>
        <w:ind w:firstLine="720"/>
        <w:jc w:val="both"/>
        <w:rPr>
          <w:sz w:val="32"/>
          <w:szCs w:val="23"/>
        </w:rPr>
      </w:pPr>
      <w:r>
        <w:rPr>
          <w:szCs w:val="23"/>
        </w:rPr>
        <w:t>No minētajiem</w:t>
      </w:r>
      <w:r w:rsidR="00D36583" w:rsidRPr="00D043A6">
        <w:rPr>
          <w:szCs w:val="23"/>
        </w:rPr>
        <w:t xml:space="preserve"> </w:t>
      </w:r>
      <w:r w:rsidR="00D36583" w:rsidRPr="00D043A6">
        <w:rPr>
          <w:i/>
        </w:rPr>
        <w:t>ex-ante</w:t>
      </w:r>
      <w:r w:rsidR="00D36583" w:rsidRPr="00D043A6">
        <w:t xml:space="preserve"> 4.1. nosacījumiem </w:t>
      </w:r>
      <w:r w:rsidR="00D36583" w:rsidRPr="00D043A6">
        <w:rPr>
          <w:noProof/>
        </w:rPr>
        <w:t xml:space="preserve">i) kritērijs </w:t>
      </w:r>
      <w:r w:rsidR="00D36583" w:rsidRPr="00D043A6">
        <w:rPr>
          <w:b/>
          <w:noProof/>
        </w:rPr>
        <w:t>daļēji izpildīts</w:t>
      </w:r>
      <w:r w:rsidR="00D36583" w:rsidRPr="00D043A6">
        <w:rPr>
          <w:noProof/>
        </w:rPr>
        <w:t xml:space="preserve"> ar Ministru kabineta 2009. gada 13. janvāra noteikumiem Nr. 39 „Ēkas energoefektivitātes aprēķina metode”, </w:t>
      </w:r>
      <w:r w:rsidR="00A103BF" w:rsidRPr="00D043A6">
        <w:rPr>
          <w:noProof/>
        </w:rPr>
        <w:t xml:space="preserve">un jaunu </w:t>
      </w:r>
      <w:r w:rsidR="00D36583" w:rsidRPr="00D043A6">
        <w:rPr>
          <w:noProof/>
        </w:rPr>
        <w:t xml:space="preserve">Ēku energoefektivitātes </w:t>
      </w:r>
      <w:r w:rsidR="00A103BF" w:rsidRPr="00D043A6">
        <w:rPr>
          <w:noProof/>
        </w:rPr>
        <w:t>likumu (pieņemts 2012.  gada 6. decembrī)</w:t>
      </w:r>
      <w:r w:rsidR="00D36583" w:rsidRPr="00D043A6">
        <w:rPr>
          <w:noProof/>
        </w:rPr>
        <w:t xml:space="preserve">, </w:t>
      </w:r>
      <w:r w:rsidR="00A103BF" w:rsidRPr="00D043A6">
        <w:rPr>
          <w:noProof/>
        </w:rPr>
        <w:t xml:space="preserve">papildus nepieciešams </w:t>
      </w:r>
      <w:r w:rsidR="00D36583" w:rsidRPr="00D043A6">
        <w:t>izstrādāt un iesniegt izskatīšanai Ministru kabinetā</w:t>
      </w:r>
      <w:r w:rsidR="00D36583" w:rsidRPr="00D043A6">
        <w:rPr>
          <w:iCs/>
        </w:rPr>
        <w:t xml:space="preserve"> </w:t>
      </w:r>
      <w:r w:rsidR="00C90A11" w:rsidRPr="00D043A6">
        <w:rPr>
          <w:noProof/>
        </w:rPr>
        <w:t xml:space="preserve">jaunajam Ēku </w:t>
      </w:r>
      <w:r w:rsidR="00D36583" w:rsidRPr="00D043A6">
        <w:rPr>
          <w:noProof/>
        </w:rPr>
        <w:t xml:space="preserve">energoefektivitātes likumam pakārtotus MK noteikumus, kā arī </w:t>
      </w:r>
      <w:r w:rsidR="00D36583" w:rsidRPr="00D043A6">
        <w:t>izstrādāt un iesniegt izskatīšanai Ministru kabinetā</w:t>
      </w:r>
      <w:r w:rsidR="00D36583" w:rsidRPr="00D043A6">
        <w:rPr>
          <w:iCs/>
        </w:rPr>
        <w:t xml:space="preserve"> </w:t>
      </w:r>
      <w:r w:rsidR="00D36583" w:rsidRPr="00D043A6">
        <w:rPr>
          <w:noProof/>
        </w:rPr>
        <w:t>jaunas prasības ēkām būvniecību regulējošos normatīvos aktos.</w:t>
      </w:r>
      <w:r w:rsidR="0001275E" w:rsidRPr="00D043A6">
        <w:rPr>
          <w:noProof/>
        </w:rPr>
        <w:t xml:space="preserve"> </w:t>
      </w:r>
      <w:r w:rsidR="00D36583" w:rsidRPr="00D043A6">
        <w:rPr>
          <w:i/>
        </w:rPr>
        <w:t>Ex-ante</w:t>
      </w:r>
      <w:r w:rsidR="00D36583" w:rsidRPr="00D043A6">
        <w:t xml:space="preserve"> 4.1. nosacījuma  </w:t>
      </w:r>
      <w:r w:rsidR="00D36583" w:rsidRPr="00D043A6">
        <w:rPr>
          <w:noProof/>
        </w:rPr>
        <w:t>ii) kritērijs ir</w:t>
      </w:r>
      <w:r w:rsidR="00D36583" w:rsidRPr="00D043A6">
        <w:t xml:space="preserve"> </w:t>
      </w:r>
      <w:r w:rsidR="00D36583" w:rsidRPr="00D043A6">
        <w:rPr>
          <w:b/>
        </w:rPr>
        <w:t>d</w:t>
      </w:r>
      <w:r w:rsidR="00D36583" w:rsidRPr="00D043A6">
        <w:rPr>
          <w:b/>
          <w:noProof/>
        </w:rPr>
        <w:t>aļēji izpildīts</w:t>
      </w:r>
      <w:r w:rsidR="00D36583" w:rsidRPr="00D043A6">
        <w:rPr>
          <w:noProof/>
        </w:rPr>
        <w:t xml:space="preserve"> ar Ēku energoefektivitātes likum</w:t>
      </w:r>
      <w:r w:rsidR="00A103BF" w:rsidRPr="00D043A6">
        <w:rPr>
          <w:noProof/>
        </w:rPr>
        <w:t>u</w:t>
      </w:r>
      <w:r w:rsidR="005034BF">
        <w:rPr>
          <w:noProof/>
        </w:rPr>
        <w:t xml:space="preserve"> </w:t>
      </w:r>
      <w:r w:rsidR="00D36583" w:rsidRPr="00D043A6">
        <w:rPr>
          <w:noProof/>
        </w:rPr>
        <w:t>un Ministru kabineta 2010.</w:t>
      </w:r>
      <w:r w:rsidR="0001275E" w:rsidRPr="00D043A6">
        <w:rPr>
          <w:noProof/>
        </w:rPr>
        <w:t> </w:t>
      </w:r>
      <w:r w:rsidR="00D36583" w:rsidRPr="00D043A6">
        <w:rPr>
          <w:noProof/>
        </w:rPr>
        <w:t>gada 8.</w:t>
      </w:r>
      <w:r w:rsidR="0001275E" w:rsidRPr="00D043A6">
        <w:rPr>
          <w:noProof/>
        </w:rPr>
        <w:t> </w:t>
      </w:r>
      <w:r w:rsidR="00D36583" w:rsidRPr="00D043A6">
        <w:rPr>
          <w:noProof/>
        </w:rPr>
        <w:t>jūnija noteikumi</w:t>
      </w:r>
      <w:r w:rsidR="005034BF">
        <w:rPr>
          <w:noProof/>
        </w:rPr>
        <w:t>em</w:t>
      </w:r>
      <w:r w:rsidR="00D36583" w:rsidRPr="00D043A6">
        <w:rPr>
          <w:noProof/>
        </w:rPr>
        <w:t xml:space="preserve"> Nr.</w:t>
      </w:r>
      <w:r w:rsidR="0001275E" w:rsidRPr="00D043A6">
        <w:rPr>
          <w:noProof/>
        </w:rPr>
        <w:t> </w:t>
      </w:r>
      <w:r w:rsidR="00D36583" w:rsidRPr="00D043A6">
        <w:rPr>
          <w:noProof/>
        </w:rPr>
        <w:t xml:space="preserve">504 „Noteikumi par ēku </w:t>
      </w:r>
      <w:r w:rsidR="00D36583" w:rsidRPr="00D043A6">
        <w:rPr>
          <w:noProof/>
        </w:rPr>
        <w:lastRenderedPageBreak/>
        <w:t>energosertifikāciju”. Nosacījumu izpildei nepieciešam</w:t>
      </w:r>
      <w:r w:rsidR="00C90A11" w:rsidRPr="00D043A6">
        <w:rPr>
          <w:noProof/>
        </w:rPr>
        <w:t xml:space="preserve">s izstrādāt un iesniegt  </w:t>
      </w:r>
      <w:r w:rsidR="00C90A11" w:rsidRPr="00D043A6">
        <w:t>izskatīšanai Ministru kabinetā</w:t>
      </w:r>
      <w:r w:rsidR="00C90A11" w:rsidRPr="00D043A6">
        <w:rPr>
          <w:iCs/>
        </w:rPr>
        <w:t xml:space="preserve"> jaunajam </w:t>
      </w:r>
      <w:r w:rsidR="00C90A11" w:rsidRPr="00D043A6">
        <w:rPr>
          <w:noProof/>
        </w:rPr>
        <w:t>Ēku energoefektivitātes likumam pakārtotus MK noteikumus</w:t>
      </w:r>
      <w:r w:rsidR="00D36583" w:rsidRPr="00D043A6">
        <w:rPr>
          <w:noProof/>
        </w:rPr>
        <w:t xml:space="preserve">. </w:t>
      </w:r>
      <w:r w:rsidR="00D36583" w:rsidRPr="00D043A6">
        <w:rPr>
          <w:i/>
        </w:rPr>
        <w:t>Ex-ante</w:t>
      </w:r>
      <w:r w:rsidR="00D36583" w:rsidRPr="00D043A6">
        <w:t xml:space="preserve"> 4.1. nosacījuma  </w:t>
      </w:r>
      <w:r w:rsidR="00D36583" w:rsidRPr="00D043A6">
        <w:rPr>
          <w:noProof/>
        </w:rPr>
        <w:t xml:space="preserve">iii) kritērijs ir </w:t>
      </w:r>
      <w:r w:rsidR="00D36583" w:rsidRPr="00D043A6">
        <w:rPr>
          <w:b/>
          <w:noProof/>
        </w:rPr>
        <w:t>izpildīt</w:t>
      </w:r>
      <w:r w:rsidR="0001275E" w:rsidRPr="00D043A6">
        <w:rPr>
          <w:b/>
          <w:noProof/>
        </w:rPr>
        <w:t>s ar</w:t>
      </w:r>
      <w:r w:rsidR="00D36583" w:rsidRPr="00D043A6">
        <w:rPr>
          <w:noProof/>
        </w:rPr>
        <w:t xml:space="preserve"> 28.01.2010. likumu „Enerģijas galapatēriņa efektivitātes likums” (16.</w:t>
      </w:r>
      <w:r w:rsidR="0001275E" w:rsidRPr="00D043A6">
        <w:rPr>
          <w:noProof/>
        </w:rPr>
        <w:t> </w:t>
      </w:r>
      <w:r>
        <w:rPr>
          <w:noProof/>
        </w:rPr>
        <w:t xml:space="preserve">panta ceturtā </w:t>
      </w:r>
      <w:r w:rsidR="00D36583" w:rsidRPr="00D043A6">
        <w:rPr>
          <w:noProof/>
        </w:rPr>
        <w:t>daļa)</w:t>
      </w:r>
      <w:r w:rsidR="0001275E" w:rsidRPr="00D043A6">
        <w:rPr>
          <w:noProof/>
        </w:rPr>
        <w:t xml:space="preserve">. </w:t>
      </w:r>
    </w:p>
    <w:p w:rsidR="0058153C" w:rsidRPr="00D043A6" w:rsidRDefault="0058153C" w:rsidP="0058153C">
      <w:pPr>
        <w:pStyle w:val="Heading2"/>
      </w:pPr>
      <w:bookmarkStart w:id="42" w:name="_Toc353811859"/>
      <w:r w:rsidRPr="00D043A6">
        <w:t xml:space="preserve">Zaļo </w:t>
      </w:r>
      <w:r w:rsidR="00C31FAF" w:rsidRPr="00D043A6">
        <w:t xml:space="preserve">investīciju </w:t>
      </w:r>
      <w:r w:rsidRPr="00D043A6">
        <w:t>shēmas</w:t>
      </w:r>
      <w:bookmarkEnd w:id="42"/>
      <w:r w:rsidRPr="00D043A6">
        <w:t xml:space="preserve"> </w:t>
      </w:r>
    </w:p>
    <w:p w:rsidR="0058153C" w:rsidRPr="00D043A6" w:rsidRDefault="0058153C" w:rsidP="0058153C">
      <w:pPr>
        <w:ind w:firstLine="720"/>
        <w:jc w:val="both"/>
        <w:rPr>
          <w:sz w:val="24"/>
        </w:rPr>
      </w:pPr>
      <w:r w:rsidRPr="00D043A6">
        <w:rPr>
          <w:sz w:val="24"/>
        </w:rPr>
        <w:t xml:space="preserve">Pēc zaļo </w:t>
      </w:r>
      <w:r w:rsidR="00C31FAF" w:rsidRPr="00D043A6">
        <w:rPr>
          <w:sz w:val="24"/>
        </w:rPr>
        <w:t xml:space="preserve">investīciju </w:t>
      </w:r>
      <w:r w:rsidRPr="00D043A6">
        <w:rPr>
          <w:sz w:val="24"/>
        </w:rPr>
        <w:t xml:space="preserve">shēmas </w:t>
      </w:r>
      <w:r w:rsidR="00AD062F" w:rsidRPr="00D043A6">
        <w:rPr>
          <w:sz w:val="24"/>
        </w:rPr>
        <w:t>(</w:t>
      </w:r>
      <w:r w:rsidR="00AD062F" w:rsidRPr="00D043A6">
        <w:rPr>
          <w:i/>
          <w:sz w:val="24"/>
        </w:rPr>
        <w:t>Green Public investment</w:t>
      </w:r>
      <w:r w:rsidR="00AD062F" w:rsidRPr="00D043A6">
        <w:rPr>
          <w:sz w:val="24"/>
        </w:rPr>
        <w:t xml:space="preserve">) </w:t>
      </w:r>
      <w:r w:rsidRPr="00D043A6">
        <w:rPr>
          <w:sz w:val="24"/>
        </w:rPr>
        <w:t xml:space="preserve">principa Latvijā darbojas KPFI, par kuru apraksts sniegts ziņojuma </w:t>
      </w:r>
      <w:r w:rsidR="00C44B1A" w:rsidRPr="00D043A6">
        <w:fldChar w:fldCharType="begin"/>
      </w:r>
      <w:r w:rsidR="00C44B1A" w:rsidRPr="00D043A6">
        <w:instrText xml:space="preserve"> REF _Ref328996072 \r \h  \* MERGEFORMAT </w:instrText>
      </w:r>
      <w:r w:rsidR="00C44B1A" w:rsidRPr="00D043A6">
        <w:fldChar w:fldCharType="separate"/>
      </w:r>
      <w:r w:rsidR="005D13C5" w:rsidRPr="005D13C5">
        <w:rPr>
          <w:sz w:val="24"/>
        </w:rPr>
        <w:t>2.3</w:t>
      </w:r>
      <w:r w:rsidR="00C44B1A" w:rsidRPr="00D043A6">
        <w:fldChar w:fldCharType="end"/>
      </w:r>
      <w:r w:rsidRPr="00D043A6">
        <w:rPr>
          <w:sz w:val="24"/>
        </w:rPr>
        <w:t>. sadaļā.</w:t>
      </w:r>
    </w:p>
    <w:p w:rsidR="00C542C4" w:rsidRPr="00D043A6" w:rsidRDefault="00C542C4" w:rsidP="0058153C">
      <w:pPr>
        <w:ind w:firstLine="720"/>
        <w:jc w:val="both"/>
        <w:rPr>
          <w:sz w:val="24"/>
        </w:rPr>
      </w:pPr>
      <w:r w:rsidRPr="00D043A6">
        <w:rPr>
          <w:bCs/>
          <w:sz w:val="24"/>
        </w:rPr>
        <w:t>KPFI darbība tika uzsākta 2009.gadā pēc tam, kad starptautiskās emisiju tirdzniecības ietvaros tika parakstīti pirmie līgumi par noteiktā daudzuma vienību (turpmāk – NDV) pārdošanu. Kopumā līdz 2011.gada beigām tika noslēgti vairāk nekā pieci līgumi par NDV pārdošanu, tai skaitā ar vairākiem suverēnajiem un privātajiem pircējiem. Darījumu ietvaros pārdots</w:t>
      </w:r>
      <w:r w:rsidR="000E37EC">
        <w:rPr>
          <w:sz w:val="24"/>
        </w:rPr>
        <w:t xml:space="preserve"> vairāk nekā 21 milj. NDV, tādē</w:t>
      </w:r>
      <w:r w:rsidRPr="00D043A6">
        <w:rPr>
          <w:sz w:val="24"/>
        </w:rPr>
        <w:t>jādi iegūstot aptuveni 140 milj. LVL, no kuriem aptuveni 110 milj. LVL bija pieejami projektu iesniegumu konkursiem energoefektivitātes pasākumu īstenošanai ēkās.</w:t>
      </w:r>
    </w:p>
    <w:p w:rsidR="0058153C" w:rsidRDefault="0058153C" w:rsidP="00B937A6">
      <w:pPr>
        <w:ind w:firstLine="720"/>
        <w:jc w:val="both"/>
        <w:rPr>
          <w:sz w:val="24"/>
        </w:rPr>
      </w:pPr>
      <w:r w:rsidRPr="00D043A6">
        <w:rPr>
          <w:sz w:val="24"/>
        </w:rPr>
        <w:t>Saskaņā ar Kioto protokolu siltumnīcefekta gāzu emisijas apjoms noteikts pirmajam saistību periodam no 2008. gada 1. janvāra līdz 2012. gada 31. decembrim</w:t>
      </w:r>
      <w:r w:rsidR="007256B2" w:rsidRPr="00D043A6">
        <w:rPr>
          <w:sz w:val="24"/>
        </w:rPr>
        <w:t>. 2012. gada 8. decembrī Dohā (Katara) pieņemts Kioto protokola pielikums (Dohas pielikums)</w:t>
      </w:r>
      <w:r w:rsidR="007C0B0B" w:rsidRPr="00D043A6">
        <w:rPr>
          <w:rStyle w:val="FootnoteReference"/>
          <w:sz w:val="24"/>
        </w:rPr>
        <w:footnoteReference w:id="43"/>
      </w:r>
      <w:r w:rsidR="007256B2" w:rsidRPr="00D043A6">
        <w:rPr>
          <w:sz w:val="24"/>
        </w:rPr>
        <w:t>, kas nosaka pušu saistības</w:t>
      </w:r>
      <w:r w:rsidR="007C0B0B" w:rsidRPr="00D043A6">
        <w:rPr>
          <w:sz w:val="24"/>
        </w:rPr>
        <w:t xml:space="preserve"> no 2013. gada 1. janvāra</w:t>
      </w:r>
      <w:r w:rsidR="007256B2" w:rsidRPr="00D043A6">
        <w:rPr>
          <w:sz w:val="24"/>
        </w:rPr>
        <w:t xml:space="preserve"> līdz 2020. gada</w:t>
      </w:r>
      <w:r w:rsidR="007C0B0B" w:rsidRPr="00D043A6">
        <w:rPr>
          <w:sz w:val="24"/>
        </w:rPr>
        <w:t xml:space="preserve"> 31. decembrim</w:t>
      </w:r>
      <w:r w:rsidR="007256B2" w:rsidRPr="00D043A6">
        <w:rPr>
          <w:sz w:val="24"/>
        </w:rPr>
        <w:t>.</w:t>
      </w:r>
    </w:p>
    <w:p w:rsidR="006E0DF5" w:rsidRPr="00D043A6" w:rsidRDefault="005C05CA" w:rsidP="00B937A6">
      <w:pPr>
        <w:ind w:firstLine="720"/>
        <w:jc w:val="both"/>
        <w:rPr>
          <w:sz w:val="24"/>
        </w:rPr>
      </w:pPr>
      <w:r>
        <w:rPr>
          <w:sz w:val="24"/>
        </w:rPr>
        <w:t>Ņemot vērā</w:t>
      </w:r>
      <w:r w:rsidR="006E0DF5">
        <w:rPr>
          <w:sz w:val="24"/>
        </w:rPr>
        <w:t xml:space="preserve"> KPFI </w:t>
      </w:r>
      <w:r>
        <w:rPr>
          <w:sz w:val="24"/>
        </w:rPr>
        <w:t>darbības īpatnības (par NDV pārdošanu iegūtie līdzekļi tiek iezīmēti konkrētiem mērķiem),</w:t>
      </w:r>
      <w:r w:rsidR="006E0DF5">
        <w:rPr>
          <w:sz w:val="24"/>
        </w:rPr>
        <w:t xml:space="preserve"> </w:t>
      </w:r>
      <w:r w:rsidR="007C4A1C">
        <w:rPr>
          <w:sz w:val="24"/>
        </w:rPr>
        <w:t xml:space="preserve">nav </w:t>
      </w:r>
      <w:r>
        <w:rPr>
          <w:sz w:val="24"/>
        </w:rPr>
        <w:t xml:space="preserve">sagaidāms, ka KPFI </w:t>
      </w:r>
      <w:r w:rsidR="007C4A1C">
        <w:rPr>
          <w:sz w:val="24"/>
        </w:rPr>
        <w:t>varētu tikt plaši izmantoti mājokļu sektora energoefektivitātes uzlabošanai.</w:t>
      </w:r>
    </w:p>
    <w:p w:rsidR="0058153C" w:rsidRPr="00D043A6" w:rsidRDefault="0058153C" w:rsidP="0058153C">
      <w:pPr>
        <w:pStyle w:val="Heading2"/>
      </w:pPr>
      <w:bookmarkStart w:id="43" w:name="_Toc353811860"/>
      <w:r w:rsidRPr="00D043A6">
        <w:t>Banku kredīti</w:t>
      </w:r>
      <w:bookmarkEnd w:id="43"/>
    </w:p>
    <w:p w:rsidR="0058153C" w:rsidRPr="00D043A6" w:rsidRDefault="0058153C" w:rsidP="0058153C">
      <w:pPr>
        <w:pStyle w:val="Subtitle1"/>
      </w:pPr>
      <w:bookmarkStart w:id="44" w:name="_Toc353811861"/>
      <w:r w:rsidRPr="00D043A6">
        <w:t>Latvijā reģistrētas komercbankas</w:t>
      </w:r>
      <w:bookmarkEnd w:id="44"/>
    </w:p>
    <w:p w:rsidR="00E2395B" w:rsidRPr="00D043A6" w:rsidRDefault="00E2395B" w:rsidP="0058153C">
      <w:pPr>
        <w:ind w:firstLine="720"/>
        <w:jc w:val="both"/>
        <w:rPr>
          <w:sz w:val="24"/>
        </w:rPr>
      </w:pPr>
      <w:r w:rsidRPr="00D043A6">
        <w:rPr>
          <w:sz w:val="24"/>
        </w:rPr>
        <w:t>Ēku energoefektīvas renovācijas finansēšanai tiek pielietoti divi kreditēšanas modeļi</w:t>
      </w:r>
      <w:r w:rsidR="00A94B52" w:rsidRPr="00D043A6">
        <w:rPr>
          <w:sz w:val="24"/>
        </w:rPr>
        <w:t>:</w:t>
      </w:r>
    </w:p>
    <w:p w:rsidR="00E2395B" w:rsidRPr="00D043A6" w:rsidRDefault="00E2395B" w:rsidP="00E2395B">
      <w:pPr>
        <w:pStyle w:val="ListParagraph"/>
        <w:numPr>
          <w:ilvl w:val="0"/>
          <w:numId w:val="21"/>
        </w:numPr>
        <w:jc w:val="both"/>
        <w:rPr>
          <w:sz w:val="24"/>
        </w:rPr>
      </w:pPr>
      <w:r w:rsidRPr="00D043A6">
        <w:rPr>
          <w:sz w:val="24"/>
        </w:rPr>
        <w:t>investīciju kredīts – ēkām, kuras sadalītas dzīvokļu īpašumos,</w:t>
      </w:r>
    </w:p>
    <w:p w:rsidR="00E2395B" w:rsidRPr="00D043A6" w:rsidRDefault="00E2395B" w:rsidP="00E2395B">
      <w:pPr>
        <w:pStyle w:val="ListParagraph"/>
        <w:numPr>
          <w:ilvl w:val="0"/>
          <w:numId w:val="21"/>
        </w:numPr>
        <w:jc w:val="both"/>
        <w:rPr>
          <w:sz w:val="24"/>
        </w:rPr>
      </w:pPr>
      <w:r w:rsidRPr="00D043A6">
        <w:rPr>
          <w:sz w:val="24"/>
        </w:rPr>
        <w:t>hipotekārais kredīts – fiziskai vai juridiskai personai piederošām ēkām.</w:t>
      </w:r>
    </w:p>
    <w:p w:rsidR="00E05273" w:rsidRPr="00D043A6" w:rsidRDefault="00E54BAF" w:rsidP="00E05273">
      <w:pPr>
        <w:ind w:firstLine="720"/>
        <w:jc w:val="both"/>
        <w:rPr>
          <w:sz w:val="24"/>
          <w:szCs w:val="24"/>
        </w:rPr>
      </w:pPr>
      <w:r w:rsidRPr="00D043A6">
        <w:rPr>
          <w:sz w:val="24"/>
        </w:rPr>
        <w:t>I</w:t>
      </w:r>
      <w:r w:rsidR="00E2395B" w:rsidRPr="00D043A6">
        <w:rPr>
          <w:sz w:val="24"/>
        </w:rPr>
        <w:t xml:space="preserve">nvestīciju </w:t>
      </w:r>
      <w:r w:rsidR="0009476C" w:rsidRPr="00D043A6">
        <w:rPr>
          <w:sz w:val="24"/>
        </w:rPr>
        <w:t xml:space="preserve">daudzdzīvokļu dzīvojamās ēkas renovācijai </w:t>
      </w:r>
      <w:r w:rsidR="00E2395B" w:rsidRPr="00D043A6">
        <w:rPr>
          <w:sz w:val="24"/>
        </w:rPr>
        <w:t>kredīt</w:t>
      </w:r>
      <w:r w:rsidRPr="00D043A6">
        <w:rPr>
          <w:sz w:val="24"/>
        </w:rPr>
        <w:t>a izsniegšanai tiek ņemta vērā nākotnes naudas plūsma daudzdzīvokļu dzīvojamā mājā, kā arī dzīvokļu īpašnieku maksājumu par apsaimniekošanu savlaicīgums. Investīciju kredīta izsniegšanai nav nepieciešama dzīvokļu ieķīlāšana un dzīvokļa īpašnieka personīgais galvojums.</w:t>
      </w:r>
      <w:r w:rsidR="00E05273" w:rsidRPr="00D043A6">
        <w:rPr>
          <w:sz w:val="24"/>
        </w:rPr>
        <w:t xml:space="preserve"> </w:t>
      </w:r>
      <w:r w:rsidR="00E05273" w:rsidRPr="00D043A6">
        <w:rPr>
          <w:sz w:val="24"/>
          <w:szCs w:val="24"/>
        </w:rPr>
        <w:t xml:space="preserve">Papildus </w:t>
      </w:r>
      <w:r w:rsidR="00E05273" w:rsidRPr="00D043A6">
        <w:rPr>
          <w:rFonts w:eastAsia="HiddenHorzOCR" w:cs="HiddenHorzOCR"/>
          <w:sz w:val="24"/>
          <w:szCs w:val="17"/>
        </w:rPr>
        <w:t>jānorāda</w:t>
      </w:r>
      <w:r w:rsidR="00E05273" w:rsidRPr="00D043A6">
        <w:rPr>
          <w:sz w:val="24"/>
          <w:szCs w:val="24"/>
        </w:rPr>
        <w:t xml:space="preserve">, ka </w:t>
      </w:r>
      <w:r w:rsidR="00E05273" w:rsidRPr="00D043A6">
        <w:rPr>
          <w:rFonts w:eastAsia="HiddenHorzOCR" w:cs="HiddenHorzOCR"/>
          <w:sz w:val="24"/>
          <w:szCs w:val="18"/>
        </w:rPr>
        <w:t xml:space="preserve">ēku renovācijas kredīta gadījumā kā vienīgais </w:t>
      </w:r>
      <w:r w:rsidR="00E05273" w:rsidRPr="00D043A6">
        <w:rPr>
          <w:rFonts w:eastAsia="HiddenHorzOCR" w:cs="HiddenHorzOCR"/>
          <w:sz w:val="24"/>
          <w:szCs w:val="17"/>
        </w:rPr>
        <w:t xml:space="preserve">nodrošinājums </w:t>
      </w:r>
      <w:r w:rsidR="00E05273" w:rsidRPr="00D043A6">
        <w:rPr>
          <w:sz w:val="24"/>
          <w:szCs w:val="24"/>
        </w:rPr>
        <w:t xml:space="preserve">kalpo </w:t>
      </w:r>
      <w:r w:rsidR="00E05273" w:rsidRPr="00D043A6">
        <w:rPr>
          <w:rFonts w:eastAsia="HiddenHorzOCR" w:cs="HiddenHorzOCR"/>
          <w:sz w:val="24"/>
          <w:szCs w:val="17"/>
        </w:rPr>
        <w:t xml:space="preserve">dzīvokļu īpašnieku savlaicīgie maksājumi </w:t>
      </w:r>
      <w:r w:rsidR="00E05273" w:rsidRPr="00D043A6">
        <w:rPr>
          <w:sz w:val="24"/>
          <w:szCs w:val="24"/>
        </w:rPr>
        <w:t xml:space="preserve">par apsaimniekošanu, </w:t>
      </w:r>
      <w:r w:rsidR="00E05273" w:rsidRPr="00D043A6">
        <w:rPr>
          <w:rFonts w:cs="Arial"/>
          <w:sz w:val="24"/>
          <w:szCs w:val="20"/>
        </w:rPr>
        <w:t xml:space="preserve">t. </w:t>
      </w:r>
      <w:r w:rsidR="00E05273" w:rsidRPr="00D043A6">
        <w:rPr>
          <w:sz w:val="24"/>
          <w:szCs w:val="24"/>
        </w:rPr>
        <w:t xml:space="preserve">i., debitoru </w:t>
      </w:r>
      <w:r w:rsidR="00E05273" w:rsidRPr="00D043A6">
        <w:rPr>
          <w:rFonts w:eastAsia="HiddenHorzOCR" w:cs="HiddenHorzOCR"/>
          <w:sz w:val="24"/>
          <w:szCs w:val="18"/>
        </w:rPr>
        <w:t xml:space="preserve">parādi. Līdz </w:t>
      </w:r>
      <w:r w:rsidR="00E05273" w:rsidRPr="00D043A6">
        <w:rPr>
          <w:sz w:val="24"/>
          <w:szCs w:val="24"/>
        </w:rPr>
        <w:t xml:space="preserve">ar to šie </w:t>
      </w:r>
      <w:r w:rsidR="00E05273" w:rsidRPr="00D043A6">
        <w:rPr>
          <w:rFonts w:eastAsia="HiddenHorzOCR" w:cs="HiddenHorzOCR"/>
          <w:sz w:val="24"/>
          <w:szCs w:val="18"/>
        </w:rPr>
        <w:t xml:space="preserve">kredīti </w:t>
      </w:r>
      <w:r w:rsidR="00E05273" w:rsidRPr="00D043A6">
        <w:rPr>
          <w:sz w:val="24"/>
          <w:szCs w:val="24"/>
        </w:rPr>
        <w:t xml:space="preserve">no </w:t>
      </w:r>
      <w:r w:rsidR="00E05273" w:rsidRPr="00D043A6">
        <w:rPr>
          <w:rFonts w:eastAsia="HiddenHorzOCR" w:cs="HiddenHorzOCR"/>
          <w:sz w:val="24"/>
          <w:szCs w:val="18"/>
        </w:rPr>
        <w:t xml:space="preserve">nodrošinājuma viedokļa </w:t>
      </w:r>
      <w:r w:rsidR="00E05273" w:rsidRPr="00D043A6">
        <w:rPr>
          <w:sz w:val="24"/>
          <w:szCs w:val="24"/>
        </w:rPr>
        <w:t xml:space="preserve">ir ar </w:t>
      </w:r>
      <w:r w:rsidR="00E05273" w:rsidRPr="00D043A6">
        <w:rPr>
          <w:rFonts w:eastAsia="HiddenHorzOCR" w:cs="HiddenHorzOCR"/>
          <w:sz w:val="24"/>
          <w:szCs w:val="18"/>
        </w:rPr>
        <w:t xml:space="preserve">paaugstinātu kredītrisku </w:t>
      </w:r>
      <w:r w:rsidR="00E05273" w:rsidRPr="00D043A6">
        <w:rPr>
          <w:sz w:val="24"/>
          <w:szCs w:val="24"/>
        </w:rPr>
        <w:t xml:space="preserve">un no </w:t>
      </w:r>
      <w:r w:rsidR="00E05273" w:rsidRPr="00D043A6">
        <w:rPr>
          <w:rFonts w:eastAsia="HiddenHorzOCR" w:cs="HiddenHorzOCR"/>
          <w:sz w:val="24"/>
          <w:szCs w:val="18"/>
        </w:rPr>
        <w:t xml:space="preserve">piedziņas viedokļa, iespējams, </w:t>
      </w:r>
      <w:r w:rsidR="00E05273" w:rsidRPr="00D043A6">
        <w:rPr>
          <w:sz w:val="24"/>
          <w:szCs w:val="24"/>
        </w:rPr>
        <w:t xml:space="preserve">pat </w:t>
      </w:r>
      <w:r w:rsidR="00E05273" w:rsidRPr="00D043A6">
        <w:rPr>
          <w:rFonts w:eastAsia="HiddenHorzOCR" w:cs="HiddenHorzOCR"/>
          <w:sz w:val="24"/>
          <w:szCs w:val="18"/>
        </w:rPr>
        <w:t xml:space="preserve">bezcerīgi. Tāpēc </w:t>
      </w:r>
      <w:r w:rsidR="00E05273" w:rsidRPr="00D043A6">
        <w:rPr>
          <w:sz w:val="24"/>
          <w:szCs w:val="24"/>
        </w:rPr>
        <w:t xml:space="preserve">bankas ļoti </w:t>
      </w:r>
      <w:r w:rsidR="00E05273" w:rsidRPr="00D043A6">
        <w:rPr>
          <w:rFonts w:eastAsia="HiddenHorzOCR" w:cs="HiddenHorzOCR"/>
          <w:sz w:val="24"/>
          <w:szCs w:val="18"/>
        </w:rPr>
        <w:t xml:space="preserve">piesardzīgi izvērtē konkrētās mājas dzīvokļu </w:t>
      </w:r>
      <w:r w:rsidR="00E05273" w:rsidRPr="00D043A6">
        <w:rPr>
          <w:sz w:val="24"/>
          <w:szCs w:val="24"/>
        </w:rPr>
        <w:t xml:space="preserve">īpašnieku </w:t>
      </w:r>
      <w:r w:rsidR="00E05273" w:rsidRPr="00D043A6">
        <w:rPr>
          <w:rFonts w:eastAsia="HiddenHorzOCR" w:cs="HiddenHorzOCR"/>
          <w:sz w:val="24"/>
          <w:szCs w:val="18"/>
        </w:rPr>
        <w:t xml:space="preserve">spēju </w:t>
      </w:r>
      <w:r w:rsidR="00E05273" w:rsidRPr="00D043A6">
        <w:rPr>
          <w:sz w:val="24"/>
          <w:szCs w:val="24"/>
        </w:rPr>
        <w:t xml:space="preserve">segt </w:t>
      </w:r>
      <w:r w:rsidR="00E05273" w:rsidRPr="00D043A6">
        <w:rPr>
          <w:rFonts w:eastAsia="HiddenHorzOCR" w:cs="HiddenHorzOCR"/>
          <w:sz w:val="24"/>
          <w:szCs w:val="18"/>
        </w:rPr>
        <w:t xml:space="preserve">renovācijas kredīta maksājumus ilgtermiņā, savukārt, </w:t>
      </w:r>
      <w:r w:rsidR="00E05273" w:rsidRPr="00D043A6">
        <w:rPr>
          <w:sz w:val="24"/>
          <w:szCs w:val="24"/>
        </w:rPr>
        <w:t xml:space="preserve">pateicoties ES fondu </w:t>
      </w:r>
      <w:r w:rsidR="00E05273" w:rsidRPr="00D043A6">
        <w:rPr>
          <w:rFonts w:eastAsia="HiddenHorzOCR" w:cs="HiddenHorzOCR"/>
          <w:sz w:val="24"/>
          <w:szCs w:val="17"/>
        </w:rPr>
        <w:t xml:space="preserve">līdzfinansējumam, kas pieejams DMS </w:t>
      </w:r>
      <w:r w:rsidR="00D918A5" w:rsidRPr="00D043A6">
        <w:rPr>
          <w:rFonts w:eastAsia="HiddenHorzOCR" w:cs="HiddenHorzOCR"/>
          <w:sz w:val="24"/>
          <w:szCs w:val="17"/>
        </w:rPr>
        <w:t>aktivitātes</w:t>
      </w:r>
      <w:r w:rsidR="00E05273" w:rsidRPr="00D043A6">
        <w:rPr>
          <w:rFonts w:eastAsia="HiddenHorzOCR" w:cs="HiddenHorzOCR"/>
          <w:sz w:val="24"/>
          <w:szCs w:val="17"/>
        </w:rPr>
        <w:t xml:space="preserve"> ietvaros, ēku renovācijas </w:t>
      </w:r>
      <w:r w:rsidR="00E05273" w:rsidRPr="00D043A6">
        <w:rPr>
          <w:sz w:val="24"/>
          <w:szCs w:val="24"/>
        </w:rPr>
        <w:t xml:space="preserve">projektu </w:t>
      </w:r>
      <w:r w:rsidR="00E05273" w:rsidRPr="00D043A6">
        <w:rPr>
          <w:rFonts w:eastAsia="HiddenHorzOCR" w:cs="HiddenHorzOCR"/>
          <w:sz w:val="24"/>
          <w:szCs w:val="17"/>
        </w:rPr>
        <w:t xml:space="preserve">kredītrisks būtiski samazinās, </w:t>
      </w:r>
      <w:r w:rsidR="00E05273" w:rsidRPr="00D043A6">
        <w:rPr>
          <w:sz w:val="24"/>
          <w:szCs w:val="24"/>
        </w:rPr>
        <w:t xml:space="preserve">jo </w:t>
      </w:r>
      <w:r w:rsidR="00E05273" w:rsidRPr="00D043A6">
        <w:rPr>
          <w:rFonts w:eastAsia="HiddenHorzOCR" w:cs="HiddenHorzOCR"/>
          <w:sz w:val="24"/>
          <w:szCs w:val="17"/>
        </w:rPr>
        <w:t xml:space="preserve">iedzīvotāji </w:t>
      </w:r>
      <w:r w:rsidR="00E05273" w:rsidRPr="00D043A6">
        <w:rPr>
          <w:rFonts w:eastAsia="HiddenHorzOCR" w:cs="HiddenHorzOCR"/>
          <w:sz w:val="24"/>
          <w:szCs w:val="18"/>
        </w:rPr>
        <w:t xml:space="preserve">pēc </w:t>
      </w:r>
      <w:r w:rsidR="00E05273" w:rsidRPr="00D043A6">
        <w:rPr>
          <w:sz w:val="24"/>
          <w:szCs w:val="24"/>
        </w:rPr>
        <w:t xml:space="preserve">projekta </w:t>
      </w:r>
      <w:r w:rsidR="00E05273" w:rsidRPr="00D043A6">
        <w:rPr>
          <w:rFonts w:eastAsia="HiddenHorzOCR" w:cs="HiddenHorzOCR"/>
          <w:sz w:val="24"/>
          <w:szCs w:val="18"/>
        </w:rPr>
        <w:t xml:space="preserve">realizācijas </w:t>
      </w:r>
      <w:r w:rsidR="00E05273" w:rsidRPr="00D043A6">
        <w:rPr>
          <w:sz w:val="24"/>
          <w:szCs w:val="24"/>
        </w:rPr>
        <w:t xml:space="preserve">var </w:t>
      </w:r>
      <w:r w:rsidR="00E05273" w:rsidRPr="00D043A6">
        <w:rPr>
          <w:rFonts w:eastAsia="HiddenHorzOCR" w:cs="HiddenHorzOCR"/>
          <w:sz w:val="24"/>
          <w:szCs w:val="18"/>
        </w:rPr>
        <w:t xml:space="preserve">samazināt kredīta </w:t>
      </w:r>
      <w:r w:rsidR="00E05273" w:rsidRPr="00D043A6">
        <w:rPr>
          <w:sz w:val="24"/>
          <w:szCs w:val="24"/>
        </w:rPr>
        <w:t xml:space="preserve">apjomu </w:t>
      </w:r>
      <w:r w:rsidR="00E05273" w:rsidRPr="00D043A6">
        <w:rPr>
          <w:rFonts w:eastAsia="HiddenHorzOCR" w:cs="HiddenHorzOCR"/>
          <w:sz w:val="24"/>
          <w:szCs w:val="18"/>
        </w:rPr>
        <w:t xml:space="preserve">līdz </w:t>
      </w:r>
      <w:r w:rsidR="00E05273" w:rsidRPr="00D043A6">
        <w:rPr>
          <w:sz w:val="24"/>
          <w:szCs w:val="24"/>
        </w:rPr>
        <w:t xml:space="preserve">pat 50%, </w:t>
      </w:r>
      <w:r w:rsidR="00E05273" w:rsidRPr="00D043A6">
        <w:rPr>
          <w:rFonts w:eastAsia="HiddenHorzOCR" w:cs="HiddenHorzOCR"/>
          <w:sz w:val="24"/>
          <w:szCs w:val="18"/>
        </w:rPr>
        <w:t xml:space="preserve">kā arī saīsinās </w:t>
      </w:r>
      <w:r w:rsidR="00E05273" w:rsidRPr="00D043A6">
        <w:rPr>
          <w:sz w:val="24"/>
          <w:szCs w:val="24"/>
        </w:rPr>
        <w:t xml:space="preserve">projektu </w:t>
      </w:r>
      <w:r w:rsidR="00E05273" w:rsidRPr="00D043A6">
        <w:rPr>
          <w:rFonts w:eastAsia="HiddenHorzOCR" w:cs="HiddenHorzOCR"/>
          <w:sz w:val="24"/>
          <w:szCs w:val="17"/>
        </w:rPr>
        <w:t xml:space="preserve">atmaksāšanās </w:t>
      </w:r>
      <w:r w:rsidR="00E05273" w:rsidRPr="00D043A6">
        <w:rPr>
          <w:sz w:val="24"/>
          <w:szCs w:val="24"/>
        </w:rPr>
        <w:t xml:space="preserve">laiks. Lai gan banku </w:t>
      </w:r>
      <w:r w:rsidR="00E05273" w:rsidRPr="00D043A6">
        <w:rPr>
          <w:rFonts w:eastAsia="HiddenHorzOCR" w:cs="HiddenHorzOCR"/>
          <w:sz w:val="24"/>
          <w:szCs w:val="17"/>
        </w:rPr>
        <w:t xml:space="preserve">piedāvātais maksimālais ēku renovācijas </w:t>
      </w:r>
      <w:r w:rsidR="00E05273" w:rsidRPr="00D043A6">
        <w:rPr>
          <w:rFonts w:eastAsia="HiddenHorzOCR" w:cs="HiddenHorzOCR"/>
          <w:sz w:val="24"/>
          <w:szCs w:val="18"/>
        </w:rPr>
        <w:t xml:space="preserve">kredīta termiņš </w:t>
      </w:r>
      <w:r w:rsidR="00E05273" w:rsidRPr="00D043A6">
        <w:rPr>
          <w:sz w:val="24"/>
          <w:szCs w:val="24"/>
        </w:rPr>
        <w:t xml:space="preserve">ir 15 gadu, </w:t>
      </w:r>
      <w:r w:rsidR="00C30308" w:rsidRPr="00F30B0C">
        <w:rPr>
          <w:sz w:val="24"/>
        </w:rPr>
        <w:t>ES fondu līdzfinansējums ļauj samazināt kredīta atmaksāšanas termiņu vidēji divas reizes – līdz 7 vai 8 gadiem</w:t>
      </w:r>
      <w:r w:rsidR="00E05273" w:rsidRPr="00D043A6">
        <w:rPr>
          <w:sz w:val="24"/>
          <w:szCs w:val="24"/>
        </w:rPr>
        <w:t xml:space="preserve">. Bez ES fondu </w:t>
      </w:r>
      <w:r w:rsidR="00E05273" w:rsidRPr="00D043A6">
        <w:rPr>
          <w:rFonts w:eastAsia="HiddenHorzOCR" w:cs="HiddenHorzOCR"/>
          <w:sz w:val="24"/>
          <w:szCs w:val="18"/>
        </w:rPr>
        <w:t xml:space="preserve">līdzfinansējuma kredītu </w:t>
      </w:r>
      <w:r w:rsidR="00E05273" w:rsidRPr="00D043A6">
        <w:rPr>
          <w:sz w:val="24"/>
          <w:szCs w:val="24"/>
        </w:rPr>
        <w:t xml:space="preserve">atmaksas </w:t>
      </w:r>
      <w:r w:rsidR="00E05273" w:rsidRPr="00D043A6">
        <w:rPr>
          <w:rFonts w:eastAsia="HiddenHorzOCR" w:cs="HiddenHorzOCR"/>
          <w:sz w:val="24"/>
          <w:szCs w:val="18"/>
        </w:rPr>
        <w:t xml:space="preserve">termiņi </w:t>
      </w:r>
      <w:r w:rsidR="00E05273" w:rsidRPr="00D043A6">
        <w:rPr>
          <w:sz w:val="24"/>
          <w:szCs w:val="24"/>
        </w:rPr>
        <w:t xml:space="preserve">var pieaugt </w:t>
      </w:r>
      <w:r w:rsidR="00E05273" w:rsidRPr="00D043A6">
        <w:rPr>
          <w:rFonts w:eastAsia="HiddenHorzOCR" w:cs="HiddenHorzOCR"/>
          <w:sz w:val="24"/>
          <w:szCs w:val="18"/>
        </w:rPr>
        <w:t xml:space="preserve">līdz </w:t>
      </w:r>
      <w:r w:rsidR="00E05273" w:rsidRPr="00D043A6">
        <w:rPr>
          <w:sz w:val="24"/>
          <w:szCs w:val="24"/>
        </w:rPr>
        <w:t>20 un pat 30 gadiem.</w:t>
      </w:r>
      <w:r w:rsidR="006E2FCC">
        <w:rPr>
          <w:sz w:val="24"/>
          <w:szCs w:val="24"/>
        </w:rPr>
        <w:t xml:space="preserve"> </w:t>
      </w:r>
      <w:r w:rsidR="00E05273" w:rsidRPr="00D043A6">
        <w:rPr>
          <w:rFonts w:eastAsia="HiddenHorzOCR" w:cs="HiddenHorzOCR"/>
          <w:sz w:val="24"/>
          <w:szCs w:val="18"/>
        </w:rPr>
        <w:t xml:space="preserve">Svarīgi norādīt, ka ēku renovācijas kredīts atšķiras </w:t>
      </w:r>
      <w:r w:rsidR="00E05273" w:rsidRPr="00D043A6">
        <w:rPr>
          <w:sz w:val="24"/>
          <w:szCs w:val="24"/>
        </w:rPr>
        <w:t xml:space="preserve">no standarta </w:t>
      </w:r>
      <w:r w:rsidR="00E05273" w:rsidRPr="00D043A6">
        <w:rPr>
          <w:rFonts w:eastAsia="HiddenHorzOCR" w:cs="HiddenHorzOCR"/>
          <w:sz w:val="24"/>
          <w:szCs w:val="18"/>
        </w:rPr>
        <w:t xml:space="preserve">investīciju kredīta, </w:t>
      </w:r>
      <w:r w:rsidR="00E05273" w:rsidRPr="00D043A6">
        <w:rPr>
          <w:sz w:val="24"/>
          <w:szCs w:val="24"/>
        </w:rPr>
        <w:t xml:space="preserve">ko, </w:t>
      </w:r>
      <w:r w:rsidR="00E05273" w:rsidRPr="00D043A6">
        <w:rPr>
          <w:rFonts w:eastAsia="HiddenHorzOCR" w:cs="HiddenHorzOCR"/>
          <w:sz w:val="24"/>
          <w:szCs w:val="17"/>
        </w:rPr>
        <w:t xml:space="preserve">piemēram, </w:t>
      </w:r>
      <w:r w:rsidR="00E05273" w:rsidRPr="00D043A6">
        <w:rPr>
          <w:rFonts w:eastAsia="HiddenHorzOCR" w:cs="HiddenHorzOCR"/>
          <w:sz w:val="24"/>
          <w:szCs w:val="17"/>
        </w:rPr>
        <w:lastRenderedPageBreak/>
        <w:t xml:space="preserve">uzņēmums ņem </w:t>
      </w:r>
      <w:r w:rsidR="00E05273" w:rsidRPr="00D043A6">
        <w:rPr>
          <w:sz w:val="24"/>
          <w:szCs w:val="24"/>
        </w:rPr>
        <w:t xml:space="preserve">savu ražošanas </w:t>
      </w:r>
      <w:r w:rsidR="00E05273" w:rsidRPr="00D043A6">
        <w:rPr>
          <w:rFonts w:eastAsia="HiddenHorzOCR" w:cs="HiddenHorzOCR"/>
          <w:sz w:val="24"/>
          <w:szCs w:val="17"/>
        </w:rPr>
        <w:t xml:space="preserve">ēku </w:t>
      </w:r>
      <w:r w:rsidR="00E05273" w:rsidRPr="00D043A6">
        <w:rPr>
          <w:sz w:val="24"/>
          <w:szCs w:val="24"/>
        </w:rPr>
        <w:t xml:space="preserve">būvniecībai vai </w:t>
      </w:r>
      <w:r w:rsidR="00E05273" w:rsidRPr="00D043A6">
        <w:rPr>
          <w:rFonts w:eastAsia="HiddenHorzOCR" w:cs="HiddenHorzOCR"/>
          <w:sz w:val="24"/>
          <w:szCs w:val="17"/>
        </w:rPr>
        <w:t xml:space="preserve">renovācijai, </w:t>
      </w:r>
      <w:r w:rsidR="00E05273" w:rsidRPr="00D043A6">
        <w:rPr>
          <w:rFonts w:eastAsia="HiddenHorzOCR" w:cs="HiddenHorzOCR"/>
          <w:sz w:val="24"/>
          <w:szCs w:val="18"/>
        </w:rPr>
        <w:t xml:space="preserve">ieguldījumiem </w:t>
      </w:r>
      <w:r w:rsidR="00E05273" w:rsidRPr="00D043A6">
        <w:rPr>
          <w:sz w:val="24"/>
          <w:szCs w:val="24"/>
        </w:rPr>
        <w:t xml:space="preserve">biznesa </w:t>
      </w:r>
      <w:r w:rsidR="00E05273" w:rsidRPr="00D043A6">
        <w:rPr>
          <w:rFonts w:eastAsia="HiddenHorzOCR" w:cs="HiddenHorzOCR"/>
          <w:sz w:val="24"/>
          <w:szCs w:val="18"/>
        </w:rPr>
        <w:t xml:space="preserve">attīstībā </w:t>
      </w:r>
      <w:r w:rsidR="00E05273" w:rsidRPr="00D043A6">
        <w:rPr>
          <w:sz w:val="24"/>
          <w:szCs w:val="24"/>
        </w:rPr>
        <w:t xml:space="preserve">u.tml., kur parasti </w:t>
      </w:r>
      <w:r w:rsidR="00E05273" w:rsidRPr="00D043A6">
        <w:rPr>
          <w:rFonts w:eastAsia="HiddenHorzOCR" w:cs="HiddenHorzOCR"/>
          <w:sz w:val="24"/>
          <w:szCs w:val="18"/>
        </w:rPr>
        <w:t xml:space="preserve">kā kredīta nodrošinājums </w:t>
      </w:r>
      <w:r w:rsidR="00E05273" w:rsidRPr="00D043A6">
        <w:rPr>
          <w:sz w:val="24"/>
          <w:szCs w:val="24"/>
        </w:rPr>
        <w:t xml:space="preserve">kalpo </w:t>
      </w:r>
      <w:r w:rsidR="00E05273" w:rsidRPr="00D043A6">
        <w:rPr>
          <w:rFonts w:eastAsia="HiddenHorzOCR" w:cs="HiddenHorzOCR"/>
          <w:sz w:val="24"/>
          <w:szCs w:val="18"/>
        </w:rPr>
        <w:t xml:space="preserve">kredītņēmējam </w:t>
      </w:r>
      <w:r w:rsidR="00E05273" w:rsidRPr="00D043A6">
        <w:rPr>
          <w:sz w:val="24"/>
          <w:szCs w:val="24"/>
        </w:rPr>
        <w:t xml:space="preserve">piederošie </w:t>
      </w:r>
      <w:r w:rsidR="00E05273" w:rsidRPr="00D043A6">
        <w:rPr>
          <w:rFonts w:eastAsia="HiddenHorzOCR" w:cs="HiddenHorzOCR"/>
          <w:sz w:val="24"/>
          <w:szCs w:val="18"/>
        </w:rPr>
        <w:t xml:space="preserve">aktīvi </w:t>
      </w:r>
      <w:r w:rsidR="00E05273" w:rsidRPr="00D043A6">
        <w:rPr>
          <w:sz w:val="24"/>
          <w:szCs w:val="24"/>
        </w:rPr>
        <w:t xml:space="preserve">– nekustamais </w:t>
      </w:r>
      <w:r w:rsidR="00E05273" w:rsidRPr="00D043A6">
        <w:rPr>
          <w:rFonts w:eastAsia="HiddenHorzOCR" w:cs="HiddenHorzOCR"/>
          <w:sz w:val="24"/>
          <w:szCs w:val="18"/>
        </w:rPr>
        <w:t xml:space="preserve">īpašums, pamatlīdzekļi </w:t>
      </w:r>
      <w:r w:rsidR="00E05273" w:rsidRPr="00D043A6">
        <w:rPr>
          <w:sz w:val="24"/>
          <w:szCs w:val="24"/>
        </w:rPr>
        <w:t>u.c.</w:t>
      </w:r>
    </w:p>
    <w:p w:rsidR="00BA5D18" w:rsidRPr="00D043A6" w:rsidRDefault="00BA5D18" w:rsidP="00BA5D18">
      <w:pPr>
        <w:autoSpaceDE w:val="0"/>
        <w:autoSpaceDN w:val="0"/>
        <w:adjustRightInd w:val="0"/>
        <w:ind w:firstLine="720"/>
        <w:jc w:val="both"/>
        <w:rPr>
          <w:sz w:val="24"/>
          <w:szCs w:val="24"/>
        </w:rPr>
      </w:pPr>
      <w:r w:rsidRPr="00D043A6">
        <w:rPr>
          <w:sz w:val="24"/>
          <w:szCs w:val="24"/>
        </w:rPr>
        <w:t xml:space="preserve">Saskaņā ar Latvijas Komercbanku </w:t>
      </w:r>
      <w:r w:rsidRPr="00D043A6">
        <w:rPr>
          <w:rFonts w:eastAsia="HiddenHorzOCR" w:cs="HiddenHorzOCR"/>
          <w:sz w:val="24"/>
          <w:szCs w:val="18"/>
        </w:rPr>
        <w:t xml:space="preserve">asociācijas sniegto informāciju, </w:t>
      </w:r>
      <w:r w:rsidRPr="00D043A6">
        <w:rPr>
          <w:sz w:val="24"/>
          <w:szCs w:val="24"/>
        </w:rPr>
        <w:t xml:space="preserve">balstoties uz </w:t>
      </w:r>
      <w:r w:rsidRPr="00D043A6">
        <w:rPr>
          <w:rFonts w:eastAsia="HiddenHorzOCR" w:cs="HiddenHorzOCR"/>
          <w:sz w:val="24"/>
          <w:szCs w:val="18"/>
        </w:rPr>
        <w:t xml:space="preserve">līdzšinējo ēku renovāciju finansēšanas </w:t>
      </w:r>
      <w:r w:rsidRPr="00D043A6">
        <w:rPr>
          <w:sz w:val="24"/>
          <w:szCs w:val="24"/>
        </w:rPr>
        <w:t xml:space="preserve">pieredzi un šo projektu specifiku, lai ēkas renovācija būtu komerciāli atbalstāma, </w:t>
      </w:r>
      <w:r w:rsidRPr="00D043A6">
        <w:rPr>
          <w:rFonts w:eastAsia="HiddenHorzOCR" w:cs="HiddenHorzOCR"/>
          <w:sz w:val="24"/>
          <w:szCs w:val="18"/>
        </w:rPr>
        <w:t xml:space="preserve">kā </w:t>
      </w:r>
      <w:r w:rsidRPr="00D043A6">
        <w:rPr>
          <w:sz w:val="24"/>
          <w:szCs w:val="24"/>
        </w:rPr>
        <w:t xml:space="preserve">galvenie </w:t>
      </w:r>
      <w:r w:rsidRPr="00D043A6">
        <w:rPr>
          <w:rFonts w:eastAsia="HiddenHorzOCR" w:cs="HiddenHorzOCR"/>
          <w:sz w:val="24"/>
          <w:szCs w:val="18"/>
        </w:rPr>
        <w:t xml:space="preserve">kritēriji </w:t>
      </w:r>
      <w:r w:rsidRPr="00D043A6">
        <w:rPr>
          <w:sz w:val="24"/>
          <w:szCs w:val="24"/>
        </w:rPr>
        <w:t xml:space="preserve">norādāmi šādi: </w:t>
      </w:r>
    </w:p>
    <w:p w:rsidR="00BA5D18" w:rsidRPr="00D043A6" w:rsidRDefault="00BA5D18" w:rsidP="00BA5D18">
      <w:pPr>
        <w:pStyle w:val="ListParagraph"/>
        <w:numPr>
          <w:ilvl w:val="0"/>
          <w:numId w:val="27"/>
        </w:numPr>
        <w:autoSpaceDE w:val="0"/>
        <w:autoSpaceDN w:val="0"/>
        <w:adjustRightInd w:val="0"/>
        <w:jc w:val="both"/>
        <w:rPr>
          <w:rFonts w:eastAsia="HiddenHorzOCR" w:cs="HiddenHorzOCR"/>
          <w:sz w:val="24"/>
          <w:szCs w:val="18"/>
        </w:rPr>
      </w:pPr>
      <w:r w:rsidRPr="00D043A6">
        <w:rPr>
          <w:rFonts w:eastAsia="HiddenHorzOCR" w:cs="HiddenHorzOCR"/>
          <w:sz w:val="24"/>
          <w:szCs w:val="18"/>
        </w:rPr>
        <w:t xml:space="preserve">dzīvokļu īpašnieku parādu </w:t>
      </w:r>
      <w:r w:rsidRPr="00D043A6">
        <w:rPr>
          <w:sz w:val="24"/>
          <w:szCs w:val="24"/>
        </w:rPr>
        <w:t xml:space="preserve">apjoms par apsaimniekošanu, siltumu un </w:t>
      </w:r>
      <w:r w:rsidRPr="00D043A6">
        <w:rPr>
          <w:rFonts w:eastAsia="HiddenHorzOCR" w:cs="HiddenHorzOCR"/>
          <w:sz w:val="24"/>
          <w:szCs w:val="18"/>
        </w:rPr>
        <w:t xml:space="preserve">ūdeni nepārsniedz </w:t>
      </w:r>
      <w:r w:rsidRPr="00D043A6">
        <w:rPr>
          <w:sz w:val="24"/>
          <w:szCs w:val="24"/>
        </w:rPr>
        <w:t xml:space="preserve">10 % no </w:t>
      </w:r>
      <w:r w:rsidRPr="00D043A6">
        <w:rPr>
          <w:rFonts w:eastAsia="HiddenHorzOCR" w:cs="HiddenHorzOCR"/>
          <w:sz w:val="24"/>
          <w:szCs w:val="18"/>
        </w:rPr>
        <w:t>kopējiem izrakstītajiem rēķiniem vidēji gadā;</w:t>
      </w:r>
    </w:p>
    <w:p w:rsidR="00BA5D18" w:rsidRPr="00D043A6" w:rsidRDefault="00BA5D18" w:rsidP="00BA5D18">
      <w:pPr>
        <w:pStyle w:val="ListParagraph"/>
        <w:numPr>
          <w:ilvl w:val="0"/>
          <w:numId w:val="27"/>
        </w:numPr>
        <w:autoSpaceDE w:val="0"/>
        <w:autoSpaceDN w:val="0"/>
        <w:adjustRightInd w:val="0"/>
        <w:jc w:val="both"/>
        <w:rPr>
          <w:rFonts w:eastAsia="HiddenHorzOCR" w:cs="HiddenHorzOCR"/>
          <w:sz w:val="24"/>
          <w:szCs w:val="18"/>
        </w:rPr>
      </w:pPr>
      <w:r w:rsidRPr="00D043A6">
        <w:rPr>
          <w:rFonts w:eastAsia="HiddenHorzOCR" w:cs="HiddenHorzOCR"/>
          <w:sz w:val="24"/>
          <w:szCs w:val="18"/>
        </w:rPr>
        <w:t xml:space="preserve">renovējamās ēkas atrašanās vieta. Izvērtējot konkrētā </w:t>
      </w:r>
      <w:r w:rsidRPr="00D043A6">
        <w:rPr>
          <w:sz w:val="24"/>
          <w:szCs w:val="24"/>
        </w:rPr>
        <w:t xml:space="preserve">projekta </w:t>
      </w:r>
      <w:r w:rsidRPr="00D043A6">
        <w:rPr>
          <w:rFonts w:eastAsia="HiddenHorzOCR" w:cs="HiddenHorzOCR"/>
          <w:sz w:val="24"/>
          <w:szCs w:val="18"/>
        </w:rPr>
        <w:t xml:space="preserve">finansēšanas iespējas, ēkas ģeogrāfiskajai atrašanās </w:t>
      </w:r>
      <w:r w:rsidRPr="00D043A6">
        <w:rPr>
          <w:sz w:val="24"/>
          <w:szCs w:val="24"/>
        </w:rPr>
        <w:t xml:space="preserve">vietai ir </w:t>
      </w:r>
      <w:r w:rsidR="006E2FCC">
        <w:rPr>
          <w:sz w:val="24"/>
          <w:szCs w:val="24"/>
        </w:rPr>
        <w:t>ļ</w:t>
      </w:r>
      <w:r w:rsidRPr="00D043A6">
        <w:rPr>
          <w:sz w:val="24"/>
          <w:szCs w:val="24"/>
        </w:rPr>
        <w:t xml:space="preserve">oti </w:t>
      </w:r>
      <w:r w:rsidRPr="00D043A6">
        <w:rPr>
          <w:rFonts w:eastAsia="HiddenHorzOCR" w:cs="HiddenHorzOCR"/>
          <w:sz w:val="24"/>
          <w:szCs w:val="18"/>
        </w:rPr>
        <w:t xml:space="preserve">svarīga nozīme, </w:t>
      </w:r>
      <w:r w:rsidRPr="00D043A6">
        <w:rPr>
          <w:sz w:val="24"/>
          <w:szCs w:val="24"/>
        </w:rPr>
        <w:t xml:space="preserve">un šis aspekts tiek </w:t>
      </w:r>
      <w:r w:rsidRPr="00D043A6">
        <w:rPr>
          <w:rFonts w:eastAsia="HiddenHorzOCR" w:cs="HiddenHorzOCR"/>
          <w:sz w:val="24"/>
          <w:szCs w:val="18"/>
        </w:rPr>
        <w:t xml:space="preserve">vērtēts konkrētās </w:t>
      </w:r>
      <w:r w:rsidRPr="00D043A6">
        <w:rPr>
          <w:sz w:val="24"/>
          <w:szCs w:val="24"/>
        </w:rPr>
        <w:t xml:space="preserve">vietas </w:t>
      </w:r>
      <w:r w:rsidRPr="00D043A6">
        <w:rPr>
          <w:rFonts w:eastAsia="HiddenHorzOCR" w:cs="HiddenHorzOCR"/>
          <w:sz w:val="24"/>
          <w:szCs w:val="18"/>
        </w:rPr>
        <w:t xml:space="preserve">ilgtermiņa ekonomiskās attīstības potenciāla kontekstā, jo finansējums </w:t>
      </w:r>
      <w:r w:rsidRPr="00D043A6">
        <w:rPr>
          <w:sz w:val="24"/>
          <w:szCs w:val="24"/>
        </w:rPr>
        <w:t xml:space="preserve">tiek izsniegts uz 15-20 gadu ilgu </w:t>
      </w:r>
      <w:r w:rsidRPr="00D043A6">
        <w:rPr>
          <w:rFonts w:eastAsia="HiddenHorzOCR" w:cs="HiddenHorzOCR"/>
          <w:sz w:val="24"/>
          <w:szCs w:val="18"/>
        </w:rPr>
        <w:t xml:space="preserve">termiņu. </w:t>
      </w:r>
    </w:p>
    <w:p w:rsidR="00CC087A" w:rsidRPr="00D043A6" w:rsidRDefault="00CC087A" w:rsidP="0058153C">
      <w:pPr>
        <w:ind w:firstLine="720"/>
        <w:jc w:val="both"/>
        <w:rPr>
          <w:sz w:val="24"/>
        </w:rPr>
      </w:pPr>
      <w:r w:rsidRPr="00D043A6">
        <w:rPr>
          <w:sz w:val="24"/>
        </w:rPr>
        <w:t>Pēc banku vērtējuma, analizējot finansējamo projektu potenciālu, ir jāņem vērā Latvijas reģionālās attīstības mērķi, uzņēmējdarbības koncentrācija, nodarbinātība, arī iedzīvotāju mobilitāte (dzīves un darba vietas sasniedzamība) un attīstības centru ietekmes teritorijas.</w:t>
      </w:r>
    </w:p>
    <w:p w:rsidR="00E2395B" w:rsidRPr="00D043A6" w:rsidRDefault="00E54BAF" w:rsidP="0058153C">
      <w:pPr>
        <w:ind w:firstLine="720"/>
        <w:jc w:val="both"/>
        <w:rPr>
          <w:sz w:val="24"/>
        </w:rPr>
      </w:pPr>
      <w:r w:rsidRPr="00D043A6">
        <w:rPr>
          <w:sz w:val="24"/>
        </w:rPr>
        <w:t xml:space="preserve">Ēkām, kuras nav sadalītas dzīvokļa īpašumos, </w:t>
      </w:r>
      <w:r w:rsidR="0058153C" w:rsidRPr="00D043A6">
        <w:rPr>
          <w:sz w:val="24"/>
        </w:rPr>
        <w:t xml:space="preserve">renovācijas </w:t>
      </w:r>
      <w:r w:rsidRPr="00D043A6">
        <w:rPr>
          <w:sz w:val="24"/>
        </w:rPr>
        <w:t xml:space="preserve">pasākumu finansēšanai </w:t>
      </w:r>
      <w:r w:rsidR="0058153C" w:rsidRPr="00D043A6">
        <w:rPr>
          <w:sz w:val="24"/>
        </w:rPr>
        <w:t>pa</w:t>
      </w:r>
      <w:r w:rsidRPr="00D043A6">
        <w:rPr>
          <w:sz w:val="24"/>
        </w:rPr>
        <w:t xml:space="preserve">rasti tiek izmantots </w:t>
      </w:r>
      <w:r w:rsidR="0058153C" w:rsidRPr="00D043A6">
        <w:rPr>
          <w:sz w:val="24"/>
        </w:rPr>
        <w:t xml:space="preserve">hipotekārais kredīts – ilgtermiņa aizdevums, kas tiek nodrošināts ar nekustamā īpašuma ķīlu un ir paredzēts mājokļa iegādei, labiekārtošanai, remontam un būvniecībai. </w:t>
      </w:r>
    </w:p>
    <w:p w:rsidR="0058153C" w:rsidRPr="00D043A6" w:rsidRDefault="0058153C" w:rsidP="0058153C">
      <w:pPr>
        <w:ind w:firstLine="720"/>
        <w:jc w:val="both"/>
        <w:rPr>
          <w:sz w:val="24"/>
        </w:rPr>
      </w:pPr>
      <w:r w:rsidRPr="00D043A6">
        <w:rPr>
          <w:sz w:val="24"/>
        </w:rPr>
        <w:t>Līdz 2009.</w:t>
      </w:r>
      <w:r w:rsidR="006E2FCC">
        <w:rPr>
          <w:sz w:val="24"/>
        </w:rPr>
        <w:t> </w:t>
      </w:r>
      <w:r w:rsidRPr="00D043A6">
        <w:rPr>
          <w:sz w:val="24"/>
        </w:rPr>
        <w:t xml:space="preserve">gadam, kad tika uzsākta daudzdzīvokļu ēku energoefektīva renovācija no ERAF finanšu līdzekļiem, kredītu ņemšana bankā faktiski bija vienīgais veids, izņemot individuālus ārvalstu dāvinājumus, kā nodrošināt ēku renovāciju.  </w:t>
      </w:r>
    </w:p>
    <w:p w:rsidR="0058153C" w:rsidRPr="00D043A6" w:rsidRDefault="0058153C" w:rsidP="0058153C">
      <w:pPr>
        <w:ind w:firstLine="720"/>
        <w:jc w:val="both"/>
        <w:rPr>
          <w:sz w:val="24"/>
        </w:rPr>
      </w:pPr>
      <w:r w:rsidRPr="00D043A6">
        <w:rPr>
          <w:sz w:val="24"/>
        </w:rPr>
        <w:t>2008. gada finanšu krīzes rezultātā hipotekāro kredītu ar augstu atmaksas riska pakāpi skaits palielinājās līdz 20 %, rezultātā samazinot kopējo banku kredītportfeļa kvalitāti un neesot zaudējumus Latvijas bankām turpmākajos gados. Banku izdevumi nedrošajiem kredītiem nesekmē arī pašreizējo banku sektora darbības stabilizāciju, ietekmējot kredītu izsniegšanu. Kā papildus negatīvais apstāklis ir jāmin iedzīvotāju pirktspējas krišanās, kā arī viņu esošo kredītsaistību apjoms, kas ierobežo turpmāku aizņemšanās iespēju</w:t>
      </w:r>
      <w:r w:rsidR="00365A95" w:rsidRPr="00D043A6">
        <w:rPr>
          <w:rStyle w:val="FootnoteReference"/>
          <w:sz w:val="24"/>
        </w:rPr>
        <w:footnoteReference w:id="44"/>
      </w:r>
      <w:r w:rsidRPr="00D043A6">
        <w:rPr>
          <w:sz w:val="24"/>
        </w:rPr>
        <w:t xml:space="preserve">. </w:t>
      </w:r>
    </w:p>
    <w:p w:rsidR="0058153C" w:rsidRPr="00D043A6" w:rsidRDefault="0058153C" w:rsidP="0058153C">
      <w:pPr>
        <w:ind w:firstLine="720"/>
        <w:jc w:val="both"/>
        <w:rPr>
          <w:sz w:val="24"/>
        </w:rPr>
      </w:pPr>
      <w:r w:rsidRPr="00D043A6">
        <w:rPr>
          <w:sz w:val="24"/>
        </w:rPr>
        <w:t>Pateicoties ERAF atbalstam daudzdzīvokļu dzīvojamo ē</w:t>
      </w:r>
      <w:r w:rsidR="000E37EC">
        <w:rPr>
          <w:sz w:val="24"/>
        </w:rPr>
        <w:t xml:space="preserve">ku renovācijai, kopš 2009. gada </w:t>
      </w:r>
      <w:r w:rsidR="006E2FCC">
        <w:rPr>
          <w:sz w:val="24"/>
        </w:rPr>
        <w:t xml:space="preserve">atsākta </w:t>
      </w:r>
      <w:r w:rsidRPr="00D043A6">
        <w:rPr>
          <w:sz w:val="24"/>
        </w:rPr>
        <w:t>hipotekāro kredītu izmantošana ēku renovācijai, jo vairums iedzīvotāju nevar nodrošināt 50% līdzfinansējumu no pašu resursiem. Kopš 2010. gadā kredītus ēku renovācijai piešķir: Swedbanka, Nordea, SEB un DnB banka.</w:t>
      </w:r>
    </w:p>
    <w:p w:rsidR="0058153C" w:rsidRPr="00D043A6" w:rsidRDefault="0058153C" w:rsidP="00B937A6">
      <w:pPr>
        <w:ind w:firstLine="720"/>
        <w:jc w:val="both"/>
        <w:rPr>
          <w:sz w:val="24"/>
        </w:rPr>
      </w:pPr>
      <w:r w:rsidRPr="00D043A6">
        <w:rPr>
          <w:sz w:val="24"/>
        </w:rPr>
        <w:t xml:space="preserve">Visbiežāk </w:t>
      </w:r>
      <w:r w:rsidR="00E54BAF" w:rsidRPr="00D043A6">
        <w:rPr>
          <w:sz w:val="24"/>
        </w:rPr>
        <w:t>kredīti ēku renovācijas pasākumu īstenošanai</w:t>
      </w:r>
      <w:r w:rsidRPr="00D043A6">
        <w:rPr>
          <w:sz w:val="24"/>
        </w:rPr>
        <w:t xml:space="preserve"> tiek ņemt</w:t>
      </w:r>
      <w:r w:rsidR="00E54BAF" w:rsidRPr="00D043A6">
        <w:rPr>
          <w:sz w:val="24"/>
        </w:rPr>
        <w:t>i</w:t>
      </w:r>
      <w:r w:rsidRPr="00D043A6">
        <w:rPr>
          <w:sz w:val="24"/>
        </w:rPr>
        <w:t xml:space="preserve"> EUR valūtā, jo kredītu likmes Latvijas latos ir augstākas. Atkarībā no iesniegtā ēkas renovācijas projekta kvalitātes, kā arī </w:t>
      </w:r>
      <w:r w:rsidR="000E37EC">
        <w:rPr>
          <w:sz w:val="24"/>
        </w:rPr>
        <w:t>uzskaitīto kritēriju rādītājiem</w:t>
      </w:r>
      <w:r w:rsidRPr="00D043A6">
        <w:rPr>
          <w:sz w:val="24"/>
        </w:rPr>
        <w:t xml:space="preserve"> kredīta </w:t>
      </w:r>
      <w:r w:rsidR="00365A95" w:rsidRPr="00D043A6">
        <w:rPr>
          <w:sz w:val="24"/>
        </w:rPr>
        <w:t xml:space="preserve">mainīgā </w:t>
      </w:r>
      <w:r w:rsidRPr="00D043A6">
        <w:rPr>
          <w:sz w:val="24"/>
        </w:rPr>
        <w:t xml:space="preserve">procentu likme svārstās </w:t>
      </w:r>
      <w:r w:rsidR="00365A95" w:rsidRPr="00D043A6">
        <w:rPr>
          <w:sz w:val="24"/>
        </w:rPr>
        <w:t xml:space="preserve">robežās </w:t>
      </w:r>
      <w:r w:rsidRPr="00D043A6">
        <w:rPr>
          <w:sz w:val="24"/>
        </w:rPr>
        <w:t>no 3</w:t>
      </w:r>
      <w:r w:rsidR="00E54BAF" w:rsidRPr="00D043A6">
        <w:rPr>
          <w:sz w:val="24"/>
        </w:rPr>
        <w:t>,</w:t>
      </w:r>
      <w:r w:rsidR="00F762CB" w:rsidRPr="00D043A6">
        <w:rPr>
          <w:sz w:val="24"/>
        </w:rPr>
        <w:t>8</w:t>
      </w:r>
      <w:r w:rsidRPr="00D043A6">
        <w:rPr>
          <w:sz w:val="24"/>
        </w:rPr>
        <w:t xml:space="preserve"> līdz </w:t>
      </w:r>
      <w:r w:rsidR="00F762CB" w:rsidRPr="00D043A6">
        <w:rPr>
          <w:sz w:val="24"/>
        </w:rPr>
        <w:t>5</w:t>
      </w:r>
      <w:r w:rsidRPr="00D043A6">
        <w:rPr>
          <w:sz w:val="24"/>
        </w:rPr>
        <w:t>,</w:t>
      </w:r>
      <w:r w:rsidR="00F762CB" w:rsidRPr="00D043A6">
        <w:rPr>
          <w:sz w:val="24"/>
        </w:rPr>
        <w:t>0</w:t>
      </w:r>
      <w:r w:rsidRPr="00D043A6">
        <w:rPr>
          <w:sz w:val="24"/>
        </w:rPr>
        <w:t xml:space="preserve"> + EURIBOR</w:t>
      </w:r>
      <w:r w:rsidR="00365A95" w:rsidRPr="00D043A6">
        <w:rPr>
          <w:sz w:val="24"/>
        </w:rPr>
        <w:t>, fiksētā likme</w:t>
      </w:r>
      <w:r w:rsidR="00F762CB" w:rsidRPr="00D043A6">
        <w:rPr>
          <w:sz w:val="24"/>
        </w:rPr>
        <w:t xml:space="preserve"> 4,0 līdz 6,0 %</w:t>
      </w:r>
      <w:r w:rsidRPr="00D043A6">
        <w:rPr>
          <w:sz w:val="24"/>
        </w:rPr>
        <w:t>. Iedzīvotājiem ir jārēķinās ar nodrošinājuma garantēšanu bankā</w:t>
      </w:r>
      <w:r w:rsidR="00F762CB" w:rsidRPr="00D043A6">
        <w:rPr>
          <w:sz w:val="24"/>
        </w:rPr>
        <w:t xml:space="preserve"> </w:t>
      </w:r>
      <w:r w:rsidRPr="00D043A6">
        <w:rPr>
          <w:sz w:val="24"/>
        </w:rPr>
        <w:t>–</w:t>
      </w:r>
      <w:r w:rsidR="00F762CB" w:rsidRPr="00D043A6">
        <w:rPr>
          <w:sz w:val="24"/>
        </w:rPr>
        <w:t xml:space="preserve"> </w:t>
      </w:r>
      <w:r w:rsidRPr="00D043A6">
        <w:rPr>
          <w:sz w:val="24"/>
        </w:rPr>
        <w:t>ikmēneša maksājumu naudas plūsmu,  kā arī depozītu viena</w:t>
      </w:r>
      <w:r w:rsidR="0058313D" w:rsidRPr="00D043A6">
        <w:rPr>
          <w:sz w:val="24"/>
        </w:rPr>
        <w:t xml:space="preserve"> (zema riska klientiem)</w:t>
      </w:r>
      <w:r w:rsidRPr="00D043A6">
        <w:rPr>
          <w:sz w:val="24"/>
        </w:rPr>
        <w:t xml:space="preserve"> </w:t>
      </w:r>
      <w:r w:rsidR="0058313D" w:rsidRPr="00D043A6">
        <w:rPr>
          <w:sz w:val="24"/>
        </w:rPr>
        <w:t xml:space="preserve">līdz trīs </w:t>
      </w:r>
      <w:r w:rsidRPr="00D043A6">
        <w:rPr>
          <w:sz w:val="24"/>
        </w:rPr>
        <w:t>kredīta maksājum</w:t>
      </w:r>
      <w:r w:rsidR="0058313D" w:rsidRPr="00D043A6">
        <w:rPr>
          <w:sz w:val="24"/>
        </w:rPr>
        <w:t>u</w:t>
      </w:r>
      <w:r w:rsidRPr="00D043A6">
        <w:rPr>
          <w:sz w:val="24"/>
        </w:rPr>
        <w:t xml:space="preserve"> apmērā. Kredīta piešķiršana var būt uz laiku līdz 15 gadiem. </w:t>
      </w:r>
    </w:p>
    <w:p w:rsidR="0058153C" w:rsidRPr="00D043A6" w:rsidRDefault="0058153C" w:rsidP="0058153C">
      <w:pPr>
        <w:pStyle w:val="Subtitle1"/>
      </w:pPr>
      <w:bookmarkStart w:id="45" w:name="_Toc353811862"/>
      <w:r w:rsidRPr="00D043A6">
        <w:t>Starptautiskās bankas</w:t>
      </w:r>
      <w:bookmarkEnd w:id="45"/>
    </w:p>
    <w:p w:rsidR="0058153C" w:rsidRPr="00D043A6" w:rsidRDefault="0058153C" w:rsidP="0058153C">
      <w:pPr>
        <w:ind w:firstLine="720"/>
        <w:jc w:val="both"/>
        <w:rPr>
          <w:sz w:val="24"/>
        </w:rPr>
      </w:pPr>
      <w:r w:rsidRPr="00D043A6">
        <w:rPr>
          <w:sz w:val="24"/>
        </w:rPr>
        <w:t>Virkne starptautisko banku, kas nodrošina atbalstu attīstības projektiem pasaulē un Eiropā, kā vienus no prioritārajiem savā darbībā ir noteikušas uz ener</w:t>
      </w:r>
      <w:r w:rsidR="00E47E98" w:rsidRPr="00D043A6">
        <w:rPr>
          <w:sz w:val="24"/>
        </w:rPr>
        <w:t xml:space="preserve">ģijas </w:t>
      </w:r>
      <w:r w:rsidRPr="00D043A6">
        <w:rPr>
          <w:sz w:val="24"/>
        </w:rPr>
        <w:t xml:space="preserve">taupību un energoefektivitāti vērstus pasākumus. Šo banku sniegtie finanšu līdzekļi ir pieejami arī </w:t>
      </w:r>
      <w:r w:rsidRPr="00D043A6">
        <w:rPr>
          <w:sz w:val="24"/>
        </w:rPr>
        <w:lastRenderedPageBreak/>
        <w:t xml:space="preserve">Latvijai. Tomēr, atšķirībā no Latvijā strādājošām bankām, starptautiskās bankas atbalstu sniedz liela apjoma projektiem vai investīciju programmu īstenošanai, tādēļ valsts līmenī jābūt izstrādātai programmai attiecīgo līdzekļu apgūšanai. </w:t>
      </w:r>
    </w:p>
    <w:p w:rsidR="0058153C" w:rsidRPr="00D043A6" w:rsidRDefault="0058153C" w:rsidP="0058153C">
      <w:pPr>
        <w:ind w:firstLine="720"/>
        <w:jc w:val="both"/>
        <w:rPr>
          <w:b/>
          <w:sz w:val="24"/>
        </w:rPr>
      </w:pPr>
    </w:p>
    <w:p w:rsidR="0058153C" w:rsidRPr="00D043A6" w:rsidRDefault="0058153C" w:rsidP="0058153C">
      <w:pPr>
        <w:ind w:firstLine="720"/>
        <w:jc w:val="both"/>
        <w:rPr>
          <w:sz w:val="24"/>
        </w:rPr>
      </w:pPr>
      <w:r w:rsidRPr="00D043A6">
        <w:rPr>
          <w:b/>
          <w:sz w:val="24"/>
        </w:rPr>
        <w:t>Eiropas Rekonstrukcijas un attīstības banka</w:t>
      </w:r>
      <w:r w:rsidRPr="00D043A6">
        <w:rPr>
          <w:sz w:val="24"/>
        </w:rPr>
        <w:t xml:space="preserve"> (ERAB) sniedz atbalstu energoefektivitātes pasākumiem Ilgtspējīgas enerģijas iniciatīvas ietvaros, finansējot aktivitātes, kas vērstas uz paš</w:t>
      </w:r>
      <w:r w:rsidR="000E37EC">
        <w:rPr>
          <w:sz w:val="24"/>
        </w:rPr>
        <w:t>valdības infrastruktūras, t.sk.</w:t>
      </w:r>
      <w:r w:rsidRPr="00D043A6">
        <w:rPr>
          <w:sz w:val="24"/>
        </w:rPr>
        <w:t xml:space="preserve"> dzīvojamo ēku, siltum- un ūdensapgādes sistēmas, un ražojošās infrastruktūras energoefektivitātes uzlabošanu. Finansējums tiek nodrošināts, izsniedzot aizdevumu ar zemām procentu likmēm vietējām bankām kredītu izsniegšanai ar energoefektivitātes veicināšanu saistītiem projektiem. </w:t>
      </w:r>
    </w:p>
    <w:p w:rsidR="0058153C" w:rsidRPr="00D043A6" w:rsidRDefault="0058153C" w:rsidP="0058153C">
      <w:pPr>
        <w:ind w:firstLine="720"/>
        <w:jc w:val="both"/>
        <w:rPr>
          <w:sz w:val="24"/>
        </w:rPr>
      </w:pPr>
      <w:r w:rsidRPr="00D043A6">
        <w:rPr>
          <w:sz w:val="24"/>
        </w:rPr>
        <w:t xml:space="preserve">Latvija līdz šim ERAB pieejamo palīdzību Ilgtspējīgas enerģijas iniciatīvas ietvaros nav izmantojusi. </w:t>
      </w:r>
    </w:p>
    <w:p w:rsidR="0058153C" w:rsidRPr="00D043A6" w:rsidRDefault="0058153C" w:rsidP="0058153C">
      <w:pPr>
        <w:rPr>
          <w:sz w:val="24"/>
        </w:rPr>
      </w:pPr>
    </w:p>
    <w:p w:rsidR="0058153C" w:rsidRPr="00D043A6" w:rsidRDefault="0058153C" w:rsidP="0058153C">
      <w:pPr>
        <w:ind w:firstLine="720"/>
        <w:jc w:val="both"/>
        <w:rPr>
          <w:sz w:val="24"/>
        </w:rPr>
      </w:pPr>
      <w:r w:rsidRPr="00D043A6">
        <w:rPr>
          <w:b/>
          <w:sz w:val="24"/>
        </w:rPr>
        <w:t>Eiropas Investīcijas banka</w:t>
      </w:r>
      <w:r w:rsidRPr="00D043A6">
        <w:rPr>
          <w:sz w:val="24"/>
        </w:rPr>
        <w:t xml:space="preserve"> (EIB) līdztekus finansējuma nodrošināšan</w:t>
      </w:r>
      <w:r w:rsidR="000E37EC">
        <w:rPr>
          <w:sz w:val="24"/>
        </w:rPr>
        <w:t>ai JESSICA iniciatīvas ietvaros</w:t>
      </w:r>
      <w:r w:rsidRPr="00D043A6">
        <w:rPr>
          <w:sz w:val="24"/>
        </w:rPr>
        <w:t xml:space="preserve"> izsniedz zema procenta kredītus ES dalībvalstīm un attīstības valstīm ar vides kvalitāti, t.sk.</w:t>
      </w:r>
      <w:r w:rsidR="000E37EC">
        <w:rPr>
          <w:sz w:val="24"/>
        </w:rPr>
        <w:t xml:space="preserve"> ar</w:t>
      </w:r>
      <w:r w:rsidRPr="00D043A6">
        <w:rPr>
          <w:sz w:val="24"/>
        </w:rPr>
        <w:t xml:space="preserve"> energoefektivitāti saistīto jautājumu risināšanai, kā arī ES politikas vadlīniju ieviešanai. 2009.gadā EIB sniedza atbalstu ar enerģētiku s</w:t>
      </w:r>
      <w:r w:rsidR="000E37EC">
        <w:rPr>
          <w:sz w:val="24"/>
        </w:rPr>
        <w:t>aistītos jautājumos 3,4 miljardu</w:t>
      </w:r>
      <w:r w:rsidRPr="00D043A6">
        <w:rPr>
          <w:sz w:val="24"/>
        </w:rPr>
        <w:t xml:space="preserve"> EUR apmērā, t.sk., izsniedzot 100 miljonus EUR aizdevumu AS Latvenergo TEC-2 modernizācijai. Ēku energoefektivitātes uzlabošanai no EIB ir piešķirti aizdevumi citās valstīs, piemēram, Beļģijā un Luksemburgā. </w:t>
      </w:r>
    </w:p>
    <w:p w:rsidR="0058153C" w:rsidRPr="00D043A6" w:rsidRDefault="0058153C" w:rsidP="0058153C">
      <w:pPr>
        <w:rPr>
          <w:sz w:val="24"/>
        </w:rPr>
      </w:pPr>
    </w:p>
    <w:p w:rsidR="0058153C" w:rsidRPr="00D043A6" w:rsidRDefault="0058153C" w:rsidP="0058153C">
      <w:pPr>
        <w:ind w:firstLine="720"/>
        <w:jc w:val="both"/>
        <w:rPr>
          <w:sz w:val="24"/>
        </w:rPr>
      </w:pPr>
      <w:r w:rsidRPr="00D043A6">
        <w:rPr>
          <w:b/>
          <w:sz w:val="24"/>
        </w:rPr>
        <w:t>Ziemeļu investīciju banka</w:t>
      </w:r>
      <w:r w:rsidRPr="00D043A6">
        <w:rPr>
          <w:sz w:val="24"/>
        </w:rPr>
        <w:t xml:space="preserve"> (ZIB) nodrošina aizdevumus energoefektivitātes pasākumiem vides uzlabošanas prioritātes ietvaros, kuras mērķis ir sekmēt un novērst vides piesārņojuma samazināšanu. ZIB atbalsta aktivitātes, kas ir vērstas uz CO</w:t>
      </w:r>
      <w:r w:rsidRPr="00D043A6">
        <w:rPr>
          <w:sz w:val="24"/>
          <w:vertAlign w:val="subscript"/>
        </w:rPr>
        <w:t>2</w:t>
      </w:r>
      <w:r w:rsidRPr="00D043A6">
        <w:rPr>
          <w:sz w:val="24"/>
        </w:rPr>
        <w:t xml:space="preserve"> emisijas samazināšanos, atjaunojamo energoresursu izmantošanu un videi draudzīgu tehnoloģisko risinājumu ieviešanu. Ēku energoefektīva renovācija ir iekļauta pie C tipa jeb 3.prioritātes projektiem, kuriem ir atvieglota finansējuma saņemšana (nav nepieciešams Ietekmes uz vidi novērtējums). Pārsvarā banka finansē projektus virs 50 miljoniem EUR, atbalstot 50% no projekta izmaksām. Līdzīgi kā ERAB un EIB gadījumā, arī ZIB orientēta uz finanšu piešķiršanu aktivitātēm, izmantojot vietējās bankas. </w:t>
      </w:r>
    </w:p>
    <w:p w:rsidR="0058153C" w:rsidRPr="00D043A6" w:rsidRDefault="0058153C" w:rsidP="0058153C">
      <w:pPr>
        <w:ind w:firstLine="720"/>
        <w:jc w:val="both"/>
        <w:rPr>
          <w:sz w:val="24"/>
        </w:rPr>
      </w:pPr>
      <w:r w:rsidRPr="00D043A6">
        <w:rPr>
          <w:sz w:val="24"/>
        </w:rPr>
        <w:t xml:space="preserve">Ņemot vērā, ka </w:t>
      </w:r>
      <w:r w:rsidR="000E37EC">
        <w:rPr>
          <w:sz w:val="24"/>
        </w:rPr>
        <w:t>šo banku veido 8 valstis, t.sk.</w:t>
      </w:r>
      <w:r w:rsidRPr="00D043A6">
        <w:rPr>
          <w:sz w:val="24"/>
        </w:rPr>
        <w:t xml:space="preserve"> Latvija, un tās darbība ir</w:t>
      </w:r>
      <w:r w:rsidR="000E37EC">
        <w:rPr>
          <w:sz w:val="24"/>
        </w:rPr>
        <w:t>,</w:t>
      </w:r>
      <w:r w:rsidRPr="00D043A6">
        <w:rPr>
          <w:sz w:val="24"/>
        </w:rPr>
        <w:t xml:space="preserve"> pirmkārt</w:t>
      </w:r>
      <w:r w:rsidR="000E37EC">
        <w:rPr>
          <w:sz w:val="24"/>
        </w:rPr>
        <w:t>,</w:t>
      </w:r>
      <w:r w:rsidRPr="00D043A6">
        <w:rPr>
          <w:sz w:val="24"/>
        </w:rPr>
        <w:t xml:space="preserve"> vērsta uz aktivitāšu atbalstīšanu savās dalībvalstīs.  </w:t>
      </w:r>
    </w:p>
    <w:p w:rsidR="0058153C" w:rsidRPr="00D043A6" w:rsidRDefault="0058153C" w:rsidP="0058153C">
      <w:pPr>
        <w:ind w:firstLine="720"/>
        <w:jc w:val="both"/>
        <w:rPr>
          <w:sz w:val="24"/>
        </w:rPr>
      </w:pPr>
      <w:r w:rsidRPr="00D043A6">
        <w:rPr>
          <w:sz w:val="24"/>
        </w:rPr>
        <w:t xml:space="preserve">2009.gadā ilgtermiņa līgumu ar ZIB par 100 MEUR kredīta piešķiršanu ēku renovācijas programmas īstenošanai uz 20 gadiem noslēdza Lietuvas valdība. Šajā laikā tiks atjaunotas 39 pašvaldības īpašumā esošas ēkas (230 </w:t>
      </w:r>
      <w:r w:rsidR="00D918A5" w:rsidRPr="00D043A6">
        <w:rPr>
          <w:sz w:val="24"/>
        </w:rPr>
        <w:t>tūkst</w:t>
      </w:r>
      <w:r w:rsidRPr="00D043A6">
        <w:rPr>
          <w:sz w:val="24"/>
        </w:rPr>
        <w:t xml:space="preserve">. m²). 2010.gadā ZIB noslēdza līgumu arī ar Somijas Hipotēku sabiedrību par aizdevumu, lai sniegtu atbalstu privātiem dzīvokļu īpašniekiem mājokļu energoefektivitātes uzlabošanā. </w:t>
      </w:r>
    </w:p>
    <w:p w:rsidR="0058153C" w:rsidRPr="00D043A6" w:rsidRDefault="0058153C" w:rsidP="0058153C">
      <w:pPr>
        <w:rPr>
          <w:sz w:val="24"/>
        </w:rPr>
      </w:pPr>
      <w:r w:rsidRPr="00D043A6">
        <w:rPr>
          <w:sz w:val="24"/>
        </w:rPr>
        <w:t xml:space="preserve"> </w:t>
      </w:r>
    </w:p>
    <w:p w:rsidR="0058153C" w:rsidRPr="00D043A6" w:rsidRDefault="0058153C" w:rsidP="0058153C">
      <w:pPr>
        <w:ind w:firstLine="720"/>
        <w:jc w:val="both"/>
        <w:rPr>
          <w:sz w:val="24"/>
        </w:rPr>
      </w:pPr>
      <w:r w:rsidRPr="00D043A6">
        <w:rPr>
          <w:b/>
          <w:sz w:val="24"/>
        </w:rPr>
        <w:t>KfW Bankengruppe (KfW</w:t>
      </w:r>
      <w:r w:rsidRPr="00D043A6">
        <w:rPr>
          <w:rStyle w:val="FootnoteReference"/>
          <w:b/>
          <w:sz w:val="24"/>
        </w:rPr>
        <w:footnoteReference w:id="45"/>
      </w:r>
      <w:r w:rsidRPr="00D043A6">
        <w:rPr>
          <w:b/>
          <w:sz w:val="24"/>
        </w:rPr>
        <w:t>)</w:t>
      </w:r>
      <w:r w:rsidRPr="00D043A6">
        <w:rPr>
          <w:sz w:val="24"/>
        </w:rPr>
        <w:t xml:space="preserve"> ir Vācijas valdības attīstības banka, kas sniedz nozīmīgu atbalstu vides un klimata</w:t>
      </w:r>
      <w:r w:rsidR="000E37EC">
        <w:rPr>
          <w:sz w:val="24"/>
        </w:rPr>
        <w:t xml:space="preserve"> aizsardzības jautājumos, t.sk.</w:t>
      </w:r>
      <w:r w:rsidRPr="00D043A6">
        <w:rPr>
          <w:sz w:val="24"/>
        </w:rPr>
        <w:t xml:space="preserve"> arī mājokļu renovācijā, ar mērķi uzlabot to energoefektivitāti, izsniedzot vidēja un ilgtermiņa aizdevumus saviem sadarbības partneriem. Latvijā KfW sadarbības partneris ir AS „Hipotēku banka”.  </w:t>
      </w:r>
    </w:p>
    <w:p w:rsidR="0058153C" w:rsidRPr="00D043A6" w:rsidRDefault="0058153C" w:rsidP="0058153C">
      <w:pPr>
        <w:ind w:firstLine="720"/>
        <w:jc w:val="both"/>
        <w:rPr>
          <w:sz w:val="24"/>
        </w:rPr>
      </w:pPr>
      <w:r w:rsidRPr="00D043A6">
        <w:rPr>
          <w:sz w:val="24"/>
        </w:rPr>
        <w:t>Sadarbībā ar Eiropas Komisiju un Eiropas Padomes attīstības banku KfW ir viens no Eiropas Energoefektivitātes programmas finansētājiem, veicinot CO</w:t>
      </w:r>
      <w:r w:rsidRPr="00D043A6">
        <w:rPr>
          <w:sz w:val="24"/>
          <w:vertAlign w:val="subscript"/>
        </w:rPr>
        <w:t>2</w:t>
      </w:r>
      <w:r w:rsidRPr="00D043A6">
        <w:rPr>
          <w:sz w:val="24"/>
        </w:rPr>
        <w:t xml:space="preserve"> izmešu samazināšanos. 2009.gadā KfW ieguldīja 8,9 miljardus EUR energoefetktivitātes uzlabošanai dzīvojamās ēkās un CO</w:t>
      </w:r>
      <w:r w:rsidRPr="00D043A6">
        <w:rPr>
          <w:sz w:val="24"/>
          <w:vertAlign w:val="subscript"/>
        </w:rPr>
        <w:t>2</w:t>
      </w:r>
      <w:r w:rsidRPr="00D043A6">
        <w:rPr>
          <w:sz w:val="24"/>
        </w:rPr>
        <w:t xml:space="preserve"> samazināšanā Vācijā.  </w:t>
      </w:r>
    </w:p>
    <w:p w:rsidR="0058153C" w:rsidRPr="00D043A6" w:rsidRDefault="0058153C" w:rsidP="0058153C">
      <w:pPr>
        <w:ind w:firstLine="720"/>
        <w:jc w:val="both"/>
        <w:rPr>
          <w:sz w:val="24"/>
        </w:rPr>
      </w:pPr>
      <w:r w:rsidRPr="00D043A6">
        <w:rPr>
          <w:sz w:val="24"/>
        </w:rPr>
        <w:lastRenderedPageBreak/>
        <w:t xml:space="preserve">Sadarbojoties ar citām bankām, KfW ir izveidojusi virkni iniciatīvu, lai atbalstītu mazāk attīstītas valstis. Piemēram, kopā ar EIB KfW ir izveidojusi Dienvidaustrumu Eiropas Enerģijas efektivitātes fondu, kura ietvaros sniedz atbalstu reģiona valstīm energoefektivitātes paaugstināšanā un atjaunojamo energoresursu izmantošanas veicināšanā. Tāpat banka ir izveidojusi atjaunojamās enerģijas un energoefektivitātes īpašo programmu, kuras ietvaros tiek izsniegti aizdevumi attīstības valstīm.  </w:t>
      </w:r>
    </w:p>
    <w:p w:rsidR="0058153C" w:rsidRPr="00D043A6" w:rsidRDefault="0058153C" w:rsidP="0058153C">
      <w:pPr>
        <w:rPr>
          <w:sz w:val="24"/>
        </w:rPr>
      </w:pPr>
      <w:r w:rsidRPr="00D043A6">
        <w:rPr>
          <w:sz w:val="24"/>
        </w:rPr>
        <w:t xml:space="preserve"> </w:t>
      </w:r>
    </w:p>
    <w:p w:rsidR="0058153C" w:rsidRPr="00D043A6" w:rsidRDefault="0058153C" w:rsidP="0058153C">
      <w:pPr>
        <w:pStyle w:val="Heading2"/>
      </w:pPr>
      <w:bookmarkStart w:id="46" w:name="_Toc353811863"/>
      <w:r w:rsidRPr="00D043A6">
        <w:t>Ēku iedzīvotāju pašu finansējums</w:t>
      </w:r>
      <w:bookmarkEnd w:id="46"/>
    </w:p>
    <w:p w:rsidR="0058153C" w:rsidRPr="00D043A6" w:rsidRDefault="0058153C" w:rsidP="0058153C">
      <w:pPr>
        <w:ind w:firstLine="720"/>
        <w:rPr>
          <w:sz w:val="24"/>
        </w:rPr>
      </w:pPr>
      <w:r w:rsidRPr="00D043A6">
        <w:rPr>
          <w:sz w:val="24"/>
        </w:rPr>
        <w:t xml:space="preserve">Iedzīvotāju pašfinansējuma nodrošinājums renovācijai veidojas no iedzīvotāju regulāri veikto remontiem paredzēto maksājumu uzkrājuma.  </w:t>
      </w:r>
    </w:p>
    <w:p w:rsidR="0058153C" w:rsidRPr="00D043A6" w:rsidRDefault="0058153C" w:rsidP="0058153C">
      <w:pPr>
        <w:ind w:firstLine="720"/>
        <w:jc w:val="both"/>
        <w:rPr>
          <w:sz w:val="24"/>
        </w:rPr>
      </w:pPr>
      <w:r w:rsidRPr="00D043A6">
        <w:rPr>
          <w:sz w:val="24"/>
        </w:rPr>
        <w:t>Lai uzkrājumu veidotu, dzīvokļu īpašniekiem kopsapulcē ir jāvienojas par šāda maksājuma nepieciešamību, nosakot tā mērķi un apjomu. Maksājuma apjoms svārstās no 10 līdz 20 santīmiem par m</w:t>
      </w:r>
      <w:r w:rsidRPr="00D043A6">
        <w:rPr>
          <w:sz w:val="24"/>
          <w:vertAlign w:val="superscript"/>
        </w:rPr>
        <w:t>2</w:t>
      </w:r>
      <w:r w:rsidRPr="00D043A6">
        <w:rPr>
          <w:sz w:val="24"/>
        </w:rPr>
        <w:t>/mēnesī atkarībā no iedzīvotāju pieņemtā lēmuma un paredzētajiem  remontdarbiem. Šis veids ir piemērots kādas konkrētas ar renovāciju saistītas neliela apjoma aktivitātes finansēšanai, - piemēram, energoaudita apmaksai, jumta nomaiņai vai apkures sistēmas rekonstrukcijai, - bet</w:t>
      </w:r>
      <w:r w:rsidR="006E2FCC">
        <w:rPr>
          <w:sz w:val="24"/>
        </w:rPr>
        <w:t xml:space="preserve"> </w:t>
      </w:r>
      <w:r w:rsidRPr="00D043A6">
        <w:rPr>
          <w:sz w:val="24"/>
        </w:rPr>
        <w:t xml:space="preserve">ne kompleksas ēkas renovācijas nodrošināšanai. Tas ir saistīts ar nelielo finanšu uzkrājumu, kas veidojas ik mēnesi.  </w:t>
      </w:r>
    </w:p>
    <w:p w:rsidR="0058153C" w:rsidRPr="00D043A6" w:rsidRDefault="0058153C" w:rsidP="0058153C">
      <w:pPr>
        <w:ind w:firstLine="720"/>
        <w:jc w:val="both"/>
        <w:rPr>
          <w:sz w:val="26"/>
        </w:rPr>
      </w:pPr>
      <w:r w:rsidRPr="00D043A6">
        <w:rPr>
          <w:sz w:val="24"/>
          <w:szCs w:val="23"/>
        </w:rPr>
        <w:t>Atkarībā no izvēlētā finansēšanas modeļa, pašfinansējums ļauj papildus samazināt kredīta apjomu, nodrošina lielāku pārskatāmību pār līdzekļu plūsmu, kā arī atbildību par sasniedzamo rezultātu, kas ir pieejams uzreiz pēc paveiktā darba beigām.</w:t>
      </w:r>
    </w:p>
    <w:p w:rsidR="0058153C" w:rsidRPr="00D043A6" w:rsidRDefault="0058153C" w:rsidP="0058153C">
      <w:pPr>
        <w:ind w:firstLine="720"/>
        <w:rPr>
          <w:sz w:val="24"/>
          <w:szCs w:val="23"/>
        </w:rPr>
      </w:pPr>
      <w:r w:rsidRPr="00D043A6">
        <w:rPr>
          <w:sz w:val="24"/>
          <w:szCs w:val="23"/>
        </w:rPr>
        <w:t>Vienlaikus jāatzīmē, ka uzkrājumu veidošana palielina ikmēneša maksājumu apjomu, tādēļ nav īpaši populāra.</w:t>
      </w:r>
    </w:p>
    <w:p w:rsidR="00A85FF1" w:rsidRPr="00D043A6" w:rsidRDefault="00A85FF1">
      <w:pPr>
        <w:rPr>
          <w:sz w:val="24"/>
        </w:rPr>
      </w:pPr>
      <w:r w:rsidRPr="00D043A6">
        <w:rPr>
          <w:sz w:val="24"/>
        </w:rPr>
        <w:br w:type="page"/>
      </w:r>
    </w:p>
    <w:p w:rsidR="0058153C" w:rsidRPr="00D043A6" w:rsidRDefault="0058153C" w:rsidP="00A85FF1">
      <w:pPr>
        <w:pStyle w:val="Heading1"/>
      </w:pPr>
      <w:bookmarkStart w:id="47" w:name="_Toc353811864"/>
      <w:r w:rsidRPr="00D043A6">
        <w:lastRenderedPageBreak/>
        <w:t>Finanšu avotu</w:t>
      </w:r>
      <w:r w:rsidR="00A85FF1" w:rsidRPr="00D043A6">
        <w:t xml:space="preserve"> un instrumentu</w:t>
      </w:r>
      <w:r w:rsidRPr="00D043A6">
        <w:t xml:space="preserve"> piemērotības izvērtējums</w:t>
      </w:r>
      <w:bookmarkEnd w:id="47"/>
    </w:p>
    <w:p w:rsidR="00212DDE" w:rsidRPr="00D043A6" w:rsidRDefault="0058153C" w:rsidP="004516E1">
      <w:pPr>
        <w:ind w:firstLine="720"/>
        <w:jc w:val="both"/>
        <w:rPr>
          <w:sz w:val="24"/>
        </w:rPr>
      </w:pPr>
      <w:r w:rsidRPr="00D043A6">
        <w:rPr>
          <w:sz w:val="24"/>
        </w:rPr>
        <w:t xml:space="preserve">Ar ēku energoefektivitātes uzlabošanu saistītu pasākumu realizācijai var tikt izmantoti </w:t>
      </w:r>
      <w:r w:rsidRPr="00CB4D40">
        <w:rPr>
          <w:sz w:val="24"/>
          <w:szCs w:val="24"/>
        </w:rPr>
        <w:t xml:space="preserve">visi </w:t>
      </w:r>
      <w:r w:rsidR="00C44B1A" w:rsidRPr="00CB4D40">
        <w:rPr>
          <w:sz w:val="24"/>
          <w:szCs w:val="24"/>
        </w:rPr>
        <w:fldChar w:fldCharType="begin"/>
      </w:r>
      <w:r w:rsidR="00C44B1A" w:rsidRPr="00CB4D40">
        <w:rPr>
          <w:sz w:val="24"/>
          <w:szCs w:val="24"/>
        </w:rPr>
        <w:instrText xml:space="preserve"> REF _Ref333226433 \r \h  \* MERGEFORMAT </w:instrText>
      </w:r>
      <w:r w:rsidR="00C44B1A" w:rsidRPr="00CB4D40">
        <w:rPr>
          <w:sz w:val="24"/>
          <w:szCs w:val="24"/>
        </w:rPr>
      </w:r>
      <w:r w:rsidR="00C44B1A" w:rsidRPr="00CB4D40">
        <w:rPr>
          <w:sz w:val="24"/>
          <w:szCs w:val="24"/>
        </w:rPr>
        <w:fldChar w:fldCharType="separate"/>
      </w:r>
      <w:r w:rsidR="005D13C5">
        <w:rPr>
          <w:sz w:val="24"/>
          <w:szCs w:val="24"/>
        </w:rPr>
        <w:t>3</w:t>
      </w:r>
      <w:r w:rsidR="00C44B1A" w:rsidRPr="00CB4D40">
        <w:rPr>
          <w:sz w:val="24"/>
          <w:szCs w:val="24"/>
        </w:rPr>
        <w:fldChar w:fldCharType="end"/>
      </w:r>
      <w:r w:rsidR="00AD2DA3" w:rsidRPr="00CB4D40">
        <w:rPr>
          <w:sz w:val="24"/>
          <w:szCs w:val="24"/>
        </w:rPr>
        <w:t xml:space="preserve">. un </w:t>
      </w:r>
      <w:r w:rsidR="00C44B1A" w:rsidRPr="00CB4D40">
        <w:rPr>
          <w:sz w:val="24"/>
          <w:szCs w:val="24"/>
        </w:rPr>
        <w:fldChar w:fldCharType="begin"/>
      </w:r>
      <w:r w:rsidR="00C44B1A" w:rsidRPr="00CB4D40">
        <w:rPr>
          <w:sz w:val="24"/>
          <w:szCs w:val="24"/>
        </w:rPr>
        <w:instrText xml:space="preserve"> REF _Ref332035090 \r \h  \* MERGEFORMAT </w:instrText>
      </w:r>
      <w:r w:rsidR="00C44B1A" w:rsidRPr="00CB4D40">
        <w:rPr>
          <w:sz w:val="24"/>
          <w:szCs w:val="24"/>
        </w:rPr>
      </w:r>
      <w:r w:rsidR="00C44B1A" w:rsidRPr="00CB4D40">
        <w:rPr>
          <w:sz w:val="24"/>
          <w:szCs w:val="24"/>
        </w:rPr>
        <w:fldChar w:fldCharType="separate"/>
      </w:r>
      <w:r w:rsidR="005D13C5">
        <w:rPr>
          <w:sz w:val="24"/>
          <w:szCs w:val="24"/>
        </w:rPr>
        <w:t>4</w:t>
      </w:r>
      <w:r w:rsidR="00C44B1A" w:rsidRPr="00CB4D40">
        <w:rPr>
          <w:sz w:val="24"/>
          <w:szCs w:val="24"/>
        </w:rPr>
        <w:fldChar w:fldCharType="end"/>
      </w:r>
      <w:r w:rsidR="00AD2DA3" w:rsidRPr="00CB4D40">
        <w:rPr>
          <w:sz w:val="24"/>
          <w:szCs w:val="24"/>
        </w:rPr>
        <w:t>.</w:t>
      </w:r>
      <w:r w:rsidR="00003423" w:rsidRPr="00D043A6">
        <w:rPr>
          <w:sz w:val="24"/>
        </w:rPr>
        <w:t xml:space="preserve"> nodaļā</w:t>
      </w:r>
      <w:r w:rsidR="00046592" w:rsidRPr="00D043A6">
        <w:rPr>
          <w:sz w:val="24"/>
        </w:rPr>
        <w:t xml:space="preserve"> </w:t>
      </w:r>
      <w:r w:rsidRPr="00D043A6">
        <w:rPr>
          <w:sz w:val="24"/>
        </w:rPr>
        <w:t>minētie finanšu avoti</w:t>
      </w:r>
      <w:r w:rsidR="00AD2DA3" w:rsidRPr="00D043A6">
        <w:rPr>
          <w:sz w:val="24"/>
        </w:rPr>
        <w:t xml:space="preserve"> un instrumenti</w:t>
      </w:r>
      <w:r w:rsidRPr="00D043A6">
        <w:rPr>
          <w:sz w:val="24"/>
        </w:rPr>
        <w:t xml:space="preserve"> vai to kombinācija.</w:t>
      </w:r>
    </w:p>
    <w:p w:rsidR="00212DDE" w:rsidRPr="00D043A6" w:rsidRDefault="00212DDE" w:rsidP="00212DDE">
      <w:pPr>
        <w:ind w:firstLine="720"/>
        <w:jc w:val="both"/>
        <w:rPr>
          <w:sz w:val="24"/>
        </w:rPr>
      </w:pPr>
      <w:r w:rsidRPr="00D043A6">
        <w:rPr>
          <w:sz w:val="24"/>
        </w:rPr>
        <w:t>Galvenie iespējamie atbalsta instrumenti</w:t>
      </w:r>
      <w:r w:rsidR="0085388E" w:rsidRPr="00D043A6">
        <w:rPr>
          <w:rStyle w:val="FootnoteReference"/>
          <w:sz w:val="24"/>
        </w:rPr>
        <w:footnoteReference w:id="46"/>
      </w:r>
      <w:r w:rsidRPr="00D043A6">
        <w:rPr>
          <w:sz w:val="24"/>
        </w:rPr>
        <w:t xml:space="preserve"> ēku energoefektivitātes uzlabošanas pasākumu īstenošanai atkarībā no finansēšanas avota parādīti 10. tabulā. </w:t>
      </w:r>
    </w:p>
    <w:p w:rsidR="009955A7" w:rsidRPr="00D043A6" w:rsidRDefault="009955A7" w:rsidP="00212DDE">
      <w:pPr>
        <w:rPr>
          <w:i/>
          <w:sz w:val="24"/>
        </w:rPr>
      </w:pPr>
    </w:p>
    <w:p w:rsidR="00212DDE" w:rsidRPr="00D043A6" w:rsidRDefault="00212DDE" w:rsidP="00212DDE">
      <w:pPr>
        <w:rPr>
          <w:i/>
          <w:sz w:val="24"/>
        </w:rPr>
      </w:pPr>
      <w:r w:rsidRPr="00D043A6">
        <w:rPr>
          <w:i/>
          <w:sz w:val="24"/>
        </w:rPr>
        <w:t>10. tabula. Finanšu avotu un atbalsta instrumentu apkopojums.</w:t>
      </w:r>
    </w:p>
    <w:tbl>
      <w:tblPr>
        <w:tblStyle w:val="TableGrid"/>
        <w:tblW w:w="5000" w:type="pct"/>
        <w:tblLayout w:type="fixed"/>
        <w:tblLook w:val="04A0" w:firstRow="1" w:lastRow="0" w:firstColumn="1" w:lastColumn="0" w:noHBand="0" w:noVBand="1"/>
      </w:tblPr>
      <w:tblGrid>
        <w:gridCol w:w="1809"/>
        <w:gridCol w:w="1303"/>
        <w:gridCol w:w="1532"/>
        <w:gridCol w:w="1418"/>
        <w:gridCol w:w="1559"/>
        <w:gridCol w:w="1666"/>
      </w:tblGrid>
      <w:tr w:rsidR="00212DDE" w:rsidRPr="00D043A6" w:rsidTr="00212DDE">
        <w:tc>
          <w:tcPr>
            <w:tcW w:w="1809" w:type="dxa"/>
            <w:tcBorders>
              <w:tl2br w:val="single" w:sz="4" w:space="0" w:color="auto"/>
            </w:tcBorders>
          </w:tcPr>
          <w:p w:rsidR="00212DDE" w:rsidRPr="00D043A6" w:rsidRDefault="00212DDE" w:rsidP="00212DDE">
            <w:pPr>
              <w:jc w:val="right"/>
              <w:rPr>
                <w:b/>
                <w:sz w:val="20"/>
              </w:rPr>
            </w:pPr>
            <w:r w:rsidRPr="00D043A6">
              <w:rPr>
                <w:b/>
                <w:sz w:val="20"/>
              </w:rPr>
              <w:t>Finanšu</w:t>
            </w:r>
          </w:p>
          <w:p w:rsidR="00212DDE" w:rsidRPr="00D043A6" w:rsidRDefault="00212DDE" w:rsidP="00212DDE">
            <w:pPr>
              <w:jc w:val="right"/>
              <w:rPr>
                <w:b/>
                <w:sz w:val="20"/>
              </w:rPr>
            </w:pPr>
            <w:r w:rsidRPr="00D043A6">
              <w:rPr>
                <w:b/>
                <w:sz w:val="20"/>
              </w:rPr>
              <w:t xml:space="preserve"> avots</w:t>
            </w:r>
          </w:p>
          <w:p w:rsidR="00212DDE" w:rsidRPr="00D043A6" w:rsidRDefault="00212DDE" w:rsidP="00212DDE">
            <w:pPr>
              <w:rPr>
                <w:b/>
                <w:sz w:val="20"/>
              </w:rPr>
            </w:pPr>
            <w:r w:rsidRPr="00D043A6">
              <w:rPr>
                <w:b/>
                <w:sz w:val="20"/>
              </w:rPr>
              <w:t xml:space="preserve">Finanšu </w:t>
            </w:r>
          </w:p>
          <w:p w:rsidR="00212DDE" w:rsidRPr="00D043A6" w:rsidRDefault="00212DDE" w:rsidP="00212DDE">
            <w:pPr>
              <w:rPr>
                <w:b/>
                <w:sz w:val="20"/>
              </w:rPr>
            </w:pPr>
            <w:r w:rsidRPr="00D043A6">
              <w:rPr>
                <w:b/>
                <w:sz w:val="20"/>
              </w:rPr>
              <w:t xml:space="preserve">instruments </w:t>
            </w:r>
          </w:p>
          <w:p w:rsidR="00212DDE" w:rsidRPr="00D043A6" w:rsidRDefault="00212DDE" w:rsidP="00212DDE">
            <w:pPr>
              <w:rPr>
                <w:b/>
                <w:sz w:val="20"/>
              </w:rPr>
            </w:pPr>
            <w:r w:rsidRPr="00D043A6">
              <w:rPr>
                <w:b/>
                <w:sz w:val="20"/>
              </w:rPr>
              <w:t>vai modelis</w:t>
            </w:r>
          </w:p>
        </w:tc>
        <w:tc>
          <w:tcPr>
            <w:tcW w:w="1303" w:type="dxa"/>
            <w:vAlign w:val="center"/>
          </w:tcPr>
          <w:p w:rsidR="00212DDE" w:rsidRPr="00D043A6" w:rsidRDefault="00212DDE" w:rsidP="00212DDE">
            <w:pPr>
              <w:jc w:val="center"/>
              <w:rPr>
                <w:b/>
                <w:sz w:val="20"/>
              </w:rPr>
            </w:pPr>
            <w:r w:rsidRPr="00D043A6">
              <w:rPr>
                <w:b/>
                <w:sz w:val="20"/>
              </w:rPr>
              <w:t>Valsts</w:t>
            </w:r>
          </w:p>
        </w:tc>
        <w:tc>
          <w:tcPr>
            <w:tcW w:w="1532" w:type="dxa"/>
            <w:vAlign w:val="center"/>
          </w:tcPr>
          <w:p w:rsidR="00212DDE" w:rsidRPr="00D043A6" w:rsidRDefault="00212DDE" w:rsidP="00212DDE">
            <w:pPr>
              <w:jc w:val="center"/>
              <w:rPr>
                <w:b/>
                <w:sz w:val="20"/>
              </w:rPr>
            </w:pPr>
            <w:r w:rsidRPr="00D043A6">
              <w:rPr>
                <w:b/>
                <w:sz w:val="20"/>
              </w:rPr>
              <w:t>Pašvaldība</w:t>
            </w:r>
          </w:p>
        </w:tc>
        <w:tc>
          <w:tcPr>
            <w:tcW w:w="1418" w:type="dxa"/>
            <w:vAlign w:val="center"/>
          </w:tcPr>
          <w:p w:rsidR="00212DDE" w:rsidRPr="00D043A6" w:rsidRDefault="00212DDE" w:rsidP="00212DDE">
            <w:pPr>
              <w:jc w:val="center"/>
              <w:rPr>
                <w:b/>
                <w:sz w:val="20"/>
              </w:rPr>
            </w:pPr>
            <w:r w:rsidRPr="00D043A6">
              <w:rPr>
                <w:b/>
                <w:sz w:val="20"/>
              </w:rPr>
              <w:t>ES budžets un  starptautiskie finanšu avoti</w:t>
            </w:r>
          </w:p>
        </w:tc>
        <w:tc>
          <w:tcPr>
            <w:tcW w:w="1559" w:type="dxa"/>
            <w:vAlign w:val="center"/>
          </w:tcPr>
          <w:p w:rsidR="00212DDE" w:rsidRPr="00D043A6" w:rsidRDefault="00212DDE" w:rsidP="00212DDE">
            <w:pPr>
              <w:jc w:val="center"/>
              <w:rPr>
                <w:b/>
                <w:sz w:val="20"/>
              </w:rPr>
            </w:pPr>
            <w:r w:rsidRPr="00D043A6">
              <w:rPr>
                <w:b/>
                <w:sz w:val="20"/>
              </w:rPr>
              <w:t>Komercbankas</w:t>
            </w:r>
          </w:p>
        </w:tc>
        <w:tc>
          <w:tcPr>
            <w:tcW w:w="1666" w:type="dxa"/>
            <w:shd w:val="clear" w:color="auto" w:fill="D9D9D9" w:themeFill="background1" w:themeFillShade="D9"/>
            <w:vAlign w:val="center"/>
          </w:tcPr>
          <w:p w:rsidR="00212DDE" w:rsidRPr="00D043A6" w:rsidRDefault="00212DDE" w:rsidP="00212DDE">
            <w:pPr>
              <w:jc w:val="center"/>
              <w:rPr>
                <w:b/>
                <w:sz w:val="20"/>
              </w:rPr>
            </w:pPr>
            <w:r w:rsidRPr="00D043A6">
              <w:rPr>
                <w:b/>
                <w:sz w:val="20"/>
              </w:rPr>
              <w:t>Ēku īpašnieki</w:t>
            </w:r>
          </w:p>
        </w:tc>
      </w:tr>
      <w:tr w:rsidR="00212DDE" w:rsidRPr="00D043A6" w:rsidTr="00212DDE">
        <w:tc>
          <w:tcPr>
            <w:tcW w:w="1809" w:type="dxa"/>
            <w:vAlign w:val="center"/>
          </w:tcPr>
          <w:p w:rsidR="00212DDE" w:rsidRPr="00D043A6" w:rsidRDefault="00212DDE" w:rsidP="00212DDE">
            <w:pPr>
              <w:rPr>
                <w:b/>
                <w:sz w:val="20"/>
              </w:rPr>
            </w:pPr>
            <w:r w:rsidRPr="00D043A6">
              <w:rPr>
                <w:b/>
                <w:sz w:val="20"/>
              </w:rPr>
              <w:t xml:space="preserve">Līdzfinansējums </w:t>
            </w:r>
          </w:p>
        </w:tc>
        <w:tc>
          <w:tcPr>
            <w:tcW w:w="1303" w:type="dxa"/>
            <w:vAlign w:val="center"/>
          </w:tcPr>
          <w:p w:rsidR="00212DDE" w:rsidRPr="00D043A6" w:rsidRDefault="00212DDE" w:rsidP="00212DDE">
            <w:pPr>
              <w:jc w:val="center"/>
              <w:rPr>
                <w:sz w:val="20"/>
              </w:rPr>
            </w:pPr>
            <w:r w:rsidRPr="00D043A6">
              <w:rPr>
                <w:sz w:val="20"/>
              </w:rPr>
              <w:t>Valsts</w:t>
            </w:r>
          </w:p>
          <w:p w:rsidR="00212DDE" w:rsidRPr="00D043A6" w:rsidRDefault="00212DDE" w:rsidP="00212DDE">
            <w:pPr>
              <w:jc w:val="center"/>
              <w:rPr>
                <w:sz w:val="20"/>
              </w:rPr>
            </w:pPr>
            <w:r w:rsidRPr="00D043A6">
              <w:rPr>
                <w:sz w:val="20"/>
              </w:rPr>
              <w:t>programmas</w:t>
            </w:r>
          </w:p>
        </w:tc>
        <w:tc>
          <w:tcPr>
            <w:tcW w:w="1532" w:type="dxa"/>
            <w:vAlign w:val="center"/>
          </w:tcPr>
          <w:p w:rsidR="00212DDE" w:rsidRPr="00D043A6" w:rsidRDefault="00212DDE" w:rsidP="00212DDE">
            <w:pPr>
              <w:jc w:val="center"/>
              <w:rPr>
                <w:sz w:val="20"/>
              </w:rPr>
            </w:pPr>
            <w:r w:rsidRPr="00D043A6">
              <w:rPr>
                <w:sz w:val="20"/>
              </w:rPr>
              <w:t>Pašvaldības programmas</w:t>
            </w:r>
          </w:p>
        </w:tc>
        <w:tc>
          <w:tcPr>
            <w:tcW w:w="1418" w:type="dxa"/>
            <w:vAlign w:val="center"/>
          </w:tcPr>
          <w:p w:rsidR="00212DDE" w:rsidRPr="00D043A6" w:rsidRDefault="00212DDE" w:rsidP="00212DDE">
            <w:pPr>
              <w:jc w:val="center"/>
              <w:rPr>
                <w:sz w:val="20"/>
              </w:rPr>
            </w:pPr>
            <w:r w:rsidRPr="00D043A6">
              <w:rPr>
                <w:sz w:val="20"/>
              </w:rPr>
              <w:t>ES fondi,</w:t>
            </w:r>
          </w:p>
          <w:p w:rsidR="00212DDE" w:rsidRPr="00D043A6" w:rsidRDefault="00212DDE" w:rsidP="00212DDE">
            <w:pPr>
              <w:jc w:val="center"/>
              <w:rPr>
                <w:sz w:val="20"/>
              </w:rPr>
            </w:pPr>
            <w:r w:rsidRPr="00D043A6">
              <w:rPr>
                <w:sz w:val="20"/>
              </w:rPr>
              <w:t>KPFI</w:t>
            </w:r>
          </w:p>
        </w:tc>
        <w:tc>
          <w:tcPr>
            <w:tcW w:w="1559" w:type="dxa"/>
            <w:vAlign w:val="center"/>
          </w:tcPr>
          <w:p w:rsidR="00212DDE" w:rsidRPr="00D043A6" w:rsidRDefault="00212DDE" w:rsidP="00212DDE">
            <w:pPr>
              <w:jc w:val="center"/>
              <w:rPr>
                <w:sz w:val="20"/>
              </w:rPr>
            </w:pPr>
            <w:r w:rsidRPr="00D043A6">
              <w:rPr>
                <w:sz w:val="20"/>
              </w:rPr>
              <w:t xml:space="preserve">Kreditē renovāciju </w:t>
            </w:r>
          </w:p>
        </w:tc>
        <w:tc>
          <w:tcPr>
            <w:tcW w:w="1666" w:type="dxa"/>
            <w:shd w:val="clear" w:color="auto" w:fill="D9D9D9" w:themeFill="background1" w:themeFillShade="D9"/>
            <w:vAlign w:val="center"/>
          </w:tcPr>
          <w:p w:rsidR="00212DDE" w:rsidRPr="00D043A6" w:rsidRDefault="00212DDE" w:rsidP="00212DDE">
            <w:pPr>
              <w:jc w:val="center"/>
              <w:rPr>
                <w:sz w:val="20"/>
              </w:rPr>
            </w:pPr>
            <w:r w:rsidRPr="00D043A6">
              <w:rPr>
                <w:sz w:val="20"/>
              </w:rPr>
              <w:t>Īpašnieki sedz daļu atkarībā no līdzfinansējuma apjoma</w:t>
            </w:r>
          </w:p>
        </w:tc>
      </w:tr>
      <w:tr w:rsidR="00212DDE" w:rsidRPr="00D043A6" w:rsidTr="00212DDE">
        <w:tc>
          <w:tcPr>
            <w:tcW w:w="1809" w:type="dxa"/>
            <w:vAlign w:val="center"/>
          </w:tcPr>
          <w:p w:rsidR="00212DDE" w:rsidRPr="00D043A6" w:rsidRDefault="00212DDE" w:rsidP="00212DDE">
            <w:pPr>
              <w:rPr>
                <w:b/>
                <w:sz w:val="20"/>
              </w:rPr>
            </w:pPr>
            <w:r w:rsidRPr="00D043A6">
              <w:rPr>
                <w:b/>
                <w:sz w:val="20"/>
              </w:rPr>
              <w:t>Lētāki kredītresursi</w:t>
            </w:r>
          </w:p>
        </w:tc>
        <w:tc>
          <w:tcPr>
            <w:tcW w:w="1303" w:type="dxa"/>
            <w:vAlign w:val="center"/>
          </w:tcPr>
          <w:p w:rsidR="00212DDE" w:rsidRPr="00D043A6" w:rsidRDefault="00212DDE" w:rsidP="00212DDE">
            <w:pPr>
              <w:jc w:val="center"/>
              <w:rPr>
                <w:sz w:val="20"/>
              </w:rPr>
            </w:pPr>
            <w:r w:rsidRPr="00D043A6">
              <w:rPr>
                <w:sz w:val="20"/>
              </w:rPr>
              <w:t>Rotācijas fonds</w:t>
            </w:r>
          </w:p>
        </w:tc>
        <w:tc>
          <w:tcPr>
            <w:tcW w:w="1532" w:type="dxa"/>
            <w:vAlign w:val="center"/>
          </w:tcPr>
          <w:p w:rsidR="00212DDE" w:rsidRPr="00D043A6" w:rsidRDefault="00212DDE" w:rsidP="00212DDE">
            <w:pPr>
              <w:jc w:val="center"/>
              <w:rPr>
                <w:sz w:val="20"/>
              </w:rPr>
            </w:pPr>
            <w:r w:rsidRPr="00D043A6">
              <w:rPr>
                <w:sz w:val="20"/>
              </w:rPr>
              <w:t>Rotācijas fonds</w:t>
            </w:r>
          </w:p>
        </w:tc>
        <w:tc>
          <w:tcPr>
            <w:tcW w:w="1418" w:type="dxa"/>
            <w:vAlign w:val="center"/>
          </w:tcPr>
          <w:p w:rsidR="00212DDE" w:rsidRPr="00D043A6" w:rsidRDefault="00F762CB" w:rsidP="00F762CB">
            <w:pPr>
              <w:jc w:val="center"/>
              <w:rPr>
                <w:sz w:val="20"/>
              </w:rPr>
            </w:pPr>
            <w:r w:rsidRPr="00D043A6">
              <w:rPr>
                <w:sz w:val="20"/>
              </w:rPr>
              <w:t>ES fondi un citi f</w:t>
            </w:r>
            <w:r w:rsidR="00212DDE" w:rsidRPr="00D043A6">
              <w:rPr>
                <w:sz w:val="20"/>
              </w:rPr>
              <w:t>inanšu resursi</w:t>
            </w:r>
          </w:p>
        </w:tc>
        <w:tc>
          <w:tcPr>
            <w:tcW w:w="1559" w:type="dxa"/>
            <w:vAlign w:val="center"/>
          </w:tcPr>
          <w:p w:rsidR="00212DDE" w:rsidRPr="00D043A6" w:rsidRDefault="00212DDE" w:rsidP="00212DDE">
            <w:pPr>
              <w:jc w:val="center"/>
              <w:rPr>
                <w:sz w:val="20"/>
              </w:rPr>
            </w:pPr>
            <w:r w:rsidRPr="00D043A6">
              <w:rPr>
                <w:sz w:val="20"/>
              </w:rPr>
              <w:t>Operē ar finanšu resursiem no Starptautiskā finanšu avota</w:t>
            </w:r>
          </w:p>
        </w:tc>
        <w:tc>
          <w:tcPr>
            <w:tcW w:w="1666" w:type="dxa"/>
            <w:shd w:val="clear" w:color="auto" w:fill="D9D9D9" w:themeFill="background1" w:themeFillShade="D9"/>
            <w:vAlign w:val="center"/>
          </w:tcPr>
          <w:p w:rsidR="00212DDE" w:rsidRPr="00D043A6" w:rsidRDefault="00212DDE" w:rsidP="00212DDE">
            <w:pPr>
              <w:jc w:val="center"/>
              <w:rPr>
                <w:sz w:val="20"/>
              </w:rPr>
            </w:pPr>
            <w:r w:rsidRPr="00D043A6">
              <w:rPr>
                <w:sz w:val="20"/>
              </w:rPr>
              <w:t>Īpašnieki apmaksā pasākumus pilnībā, taču pasākumu rentabilitāti nodrošina zemākas procentu likmes</w:t>
            </w:r>
          </w:p>
        </w:tc>
      </w:tr>
      <w:tr w:rsidR="00212DDE" w:rsidRPr="00D043A6" w:rsidTr="00212DDE">
        <w:tc>
          <w:tcPr>
            <w:tcW w:w="1809" w:type="dxa"/>
            <w:vAlign w:val="center"/>
          </w:tcPr>
          <w:p w:rsidR="00212DDE" w:rsidRPr="00D043A6" w:rsidRDefault="00212DDE" w:rsidP="00212DDE">
            <w:pPr>
              <w:rPr>
                <w:b/>
                <w:sz w:val="20"/>
              </w:rPr>
            </w:pPr>
            <w:r w:rsidRPr="00D043A6">
              <w:rPr>
                <w:b/>
                <w:sz w:val="20"/>
              </w:rPr>
              <w:t>Nodokļu politika un nodokļu atlaides</w:t>
            </w:r>
          </w:p>
        </w:tc>
        <w:tc>
          <w:tcPr>
            <w:tcW w:w="1303" w:type="dxa"/>
            <w:vAlign w:val="center"/>
          </w:tcPr>
          <w:p w:rsidR="00212DDE" w:rsidRPr="00AA5AE8" w:rsidRDefault="00AA5AE8" w:rsidP="00212DDE">
            <w:pPr>
              <w:jc w:val="center"/>
              <w:rPr>
                <w:sz w:val="20"/>
              </w:rPr>
            </w:pPr>
            <w:r w:rsidRPr="00AA5AE8">
              <w:rPr>
                <w:sz w:val="20"/>
              </w:rPr>
              <w:t>Ir noteikusi nodokļa likmes koridoru (no 0,2 līdz 3 procentiem) un ir noteikusi pašvaldībām tiesības, izdodot saistošos noteikumus, pašām piemērot atbilstošās nodokļa likmes</w:t>
            </w:r>
          </w:p>
        </w:tc>
        <w:tc>
          <w:tcPr>
            <w:tcW w:w="1532" w:type="dxa"/>
            <w:vAlign w:val="center"/>
          </w:tcPr>
          <w:p w:rsidR="00212DDE" w:rsidRPr="00AA5AE8" w:rsidRDefault="00AA5AE8" w:rsidP="00212DDE">
            <w:pPr>
              <w:jc w:val="center"/>
              <w:rPr>
                <w:sz w:val="20"/>
              </w:rPr>
            </w:pPr>
            <w:r w:rsidRPr="00AA5AE8">
              <w:rPr>
                <w:sz w:val="20"/>
              </w:rPr>
              <w:t>Izdodot saistošos noteikumus un ievērojot likumā „Par nekustamā īpašuma nodokli” minētos principus, ir tiesības piemērot nekustamā īpašuma nodokļa atvieglojumus un noteikt piemērojamās nodokļa likmes</w:t>
            </w:r>
          </w:p>
        </w:tc>
        <w:tc>
          <w:tcPr>
            <w:tcW w:w="1418" w:type="dxa"/>
            <w:vAlign w:val="center"/>
          </w:tcPr>
          <w:p w:rsidR="00212DDE" w:rsidRPr="00D043A6" w:rsidRDefault="00212DDE" w:rsidP="00212DDE">
            <w:pPr>
              <w:jc w:val="center"/>
              <w:rPr>
                <w:sz w:val="20"/>
              </w:rPr>
            </w:pPr>
          </w:p>
        </w:tc>
        <w:tc>
          <w:tcPr>
            <w:tcW w:w="1559" w:type="dxa"/>
            <w:vAlign w:val="center"/>
          </w:tcPr>
          <w:p w:rsidR="00212DDE" w:rsidRPr="00D043A6" w:rsidRDefault="00212DDE" w:rsidP="00212DDE">
            <w:pPr>
              <w:jc w:val="center"/>
              <w:rPr>
                <w:sz w:val="20"/>
              </w:rPr>
            </w:pPr>
          </w:p>
        </w:tc>
        <w:tc>
          <w:tcPr>
            <w:tcW w:w="1666" w:type="dxa"/>
            <w:shd w:val="clear" w:color="auto" w:fill="D9D9D9" w:themeFill="background1" w:themeFillShade="D9"/>
            <w:vAlign w:val="center"/>
          </w:tcPr>
          <w:p w:rsidR="00212DDE" w:rsidRPr="00D043A6" w:rsidRDefault="00212DDE" w:rsidP="00A8268E">
            <w:pPr>
              <w:jc w:val="center"/>
              <w:rPr>
                <w:sz w:val="20"/>
              </w:rPr>
            </w:pPr>
            <w:r w:rsidRPr="00D043A6">
              <w:rPr>
                <w:sz w:val="20"/>
              </w:rPr>
              <w:t xml:space="preserve">Īpašnieki saņem </w:t>
            </w:r>
            <w:r w:rsidR="00380E50" w:rsidRPr="00D043A6">
              <w:rPr>
                <w:sz w:val="20"/>
              </w:rPr>
              <w:t xml:space="preserve">nekustamā īpašuma </w:t>
            </w:r>
            <w:r w:rsidRPr="00D043A6">
              <w:rPr>
                <w:sz w:val="20"/>
              </w:rPr>
              <w:t xml:space="preserve">nodokļu atlaides pēc renovācijas </w:t>
            </w:r>
          </w:p>
        </w:tc>
      </w:tr>
      <w:tr w:rsidR="009955A7" w:rsidRPr="00D043A6" w:rsidTr="009955A7">
        <w:tc>
          <w:tcPr>
            <w:tcW w:w="1809" w:type="dxa"/>
            <w:vAlign w:val="center"/>
          </w:tcPr>
          <w:p w:rsidR="009955A7" w:rsidRPr="00D043A6" w:rsidRDefault="009955A7" w:rsidP="009955A7">
            <w:pPr>
              <w:rPr>
                <w:b/>
                <w:sz w:val="20"/>
              </w:rPr>
            </w:pPr>
            <w:r w:rsidRPr="00D043A6">
              <w:rPr>
                <w:b/>
                <w:sz w:val="20"/>
              </w:rPr>
              <w:t>Energo- pakalpojumu  līgumi</w:t>
            </w:r>
          </w:p>
        </w:tc>
        <w:tc>
          <w:tcPr>
            <w:tcW w:w="5812" w:type="dxa"/>
            <w:gridSpan w:val="4"/>
            <w:vAlign w:val="center"/>
          </w:tcPr>
          <w:p w:rsidR="009955A7" w:rsidRPr="00D043A6" w:rsidRDefault="009955A7" w:rsidP="00212DDE">
            <w:pPr>
              <w:jc w:val="center"/>
              <w:rPr>
                <w:sz w:val="20"/>
              </w:rPr>
            </w:pPr>
            <w:r w:rsidRPr="00D043A6">
              <w:rPr>
                <w:sz w:val="20"/>
              </w:rPr>
              <w:t>ESKO / PEKO</w:t>
            </w:r>
          </w:p>
          <w:p w:rsidR="009955A7" w:rsidRPr="00D043A6" w:rsidRDefault="009955A7" w:rsidP="00212DDE">
            <w:pPr>
              <w:jc w:val="center"/>
              <w:rPr>
                <w:sz w:val="20"/>
              </w:rPr>
            </w:pPr>
            <w:r w:rsidRPr="00D043A6">
              <w:rPr>
                <w:sz w:val="20"/>
              </w:rPr>
              <w:t>darbojas esošo atbalsta programmu ietvaros, uzņemoties saistības par mērķu sasniegšanu energopakalpojumu līgumā</w:t>
            </w:r>
          </w:p>
        </w:tc>
        <w:tc>
          <w:tcPr>
            <w:tcW w:w="1666" w:type="dxa"/>
            <w:shd w:val="clear" w:color="auto" w:fill="D9D9D9" w:themeFill="background1" w:themeFillShade="D9"/>
            <w:vAlign w:val="center"/>
          </w:tcPr>
          <w:p w:rsidR="009955A7" w:rsidRPr="00D043A6" w:rsidRDefault="009955A7" w:rsidP="00212DDE">
            <w:pPr>
              <w:jc w:val="center"/>
              <w:rPr>
                <w:sz w:val="20"/>
              </w:rPr>
            </w:pPr>
            <w:r w:rsidRPr="00D043A6">
              <w:rPr>
                <w:sz w:val="20"/>
              </w:rPr>
              <w:t xml:space="preserve">Īpašnieki saņem energopakalpojumus, kas nesadārdzina ikmēneša maksājumus </w:t>
            </w:r>
          </w:p>
        </w:tc>
      </w:tr>
    </w:tbl>
    <w:p w:rsidR="00212DDE" w:rsidRPr="00D043A6" w:rsidRDefault="00212DDE" w:rsidP="004516E1">
      <w:pPr>
        <w:ind w:firstLine="720"/>
        <w:jc w:val="both"/>
        <w:rPr>
          <w:sz w:val="24"/>
        </w:rPr>
      </w:pPr>
    </w:p>
    <w:p w:rsidR="003A41FF" w:rsidRPr="00D043A6" w:rsidRDefault="00376485" w:rsidP="004516E1">
      <w:pPr>
        <w:ind w:firstLine="720"/>
        <w:jc w:val="both"/>
        <w:rPr>
          <w:sz w:val="24"/>
        </w:rPr>
      </w:pPr>
      <w:r w:rsidRPr="00D043A6">
        <w:rPr>
          <w:sz w:val="24"/>
        </w:rPr>
        <w:lastRenderedPageBreak/>
        <w:t>Tomēr</w:t>
      </w:r>
      <w:r w:rsidR="000E37EC">
        <w:rPr>
          <w:sz w:val="24"/>
        </w:rPr>
        <w:t>,</w:t>
      </w:r>
      <w:r w:rsidRPr="00D043A6">
        <w:rPr>
          <w:sz w:val="24"/>
        </w:rPr>
        <w:t xml:space="preserve"> i</w:t>
      </w:r>
      <w:r w:rsidR="003A41FF" w:rsidRPr="00D043A6">
        <w:rPr>
          <w:sz w:val="24"/>
        </w:rPr>
        <w:t>zvēloties piemērotāko risinājumu, ir jāņem vērā nepieciešamais finansējuma apjom</w:t>
      </w:r>
      <w:r w:rsidRPr="00D043A6">
        <w:rPr>
          <w:sz w:val="24"/>
        </w:rPr>
        <w:t>s</w:t>
      </w:r>
      <w:r w:rsidR="003A41FF" w:rsidRPr="00D043A6">
        <w:rPr>
          <w:sz w:val="24"/>
        </w:rPr>
        <w:t xml:space="preserve"> </w:t>
      </w:r>
      <w:r w:rsidR="004516E1" w:rsidRPr="00D043A6">
        <w:rPr>
          <w:sz w:val="24"/>
        </w:rPr>
        <w:t>ēku renovācijas pasākumu īstenošan</w:t>
      </w:r>
      <w:r w:rsidR="003A41FF" w:rsidRPr="00D043A6">
        <w:rPr>
          <w:sz w:val="24"/>
        </w:rPr>
        <w:t>ai</w:t>
      </w:r>
      <w:r w:rsidR="004516E1" w:rsidRPr="00D043A6">
        <w:rPr>
          <w:sz w:val="24"/>
        </w:rPr>
        <w:t xml:space="preserve">, </w:t>
      </w:r>
      <w:r w:rsidR="003A41FF" w:rsidRPr="00D043A6">
        <w:rPr>
          <w:sz w:val="24"/>
        </w:rPr>
        <w:t>iepriekšēj</w:t>
      </w:r>
      <w:r w:rsidRPr="00D043A6">
        <w:rPr>
          <w:sz w:val="24"/>
        </w:rPr>
        <w:t>ā</w:t>
      </w:r>
      <w:r w:rsidR="003A41FF" w:rsidRPr="00D043A6">
        <w:rPr>
          <w:sz w:val="24"/>
        </w:rPr>
        <w:t xml:space="preserve"> pieredz</w:t>
      </w:r>
      <w:r w:rsidRPr="00D043A6">
        <w:rPr>
          <w:sz w:val="24"/>
        </w:rPr>
        <w:t>e</w:t>
      </w:r>
      <w:r w:rsidR="003A41FF" w:rsidRPr="00D043A6">
        <w:rPr>
          <w:sz w:val="24"/>
        </w:rPr>
        <w:t xml:space="preserve"> ēku siltināšanā, kā arī ES fondu finansēšanas nosacījum</w:t>
      </w:r>
      <w:r w:rsidRPr="00D043A6">
        <w:rPr>
          <w:sz w:val="24"/>
        </w:rPr>
        <w:t>i</w:t>
      </w:r>
      <w:r w:rsidR="003A41FF" w:rsidRPr="00D043A6">
        <w:rPr>
          <w:sz w:val="24"/>
        </w:rPr>
        <w:t xml:space="preserve"> nākamajam plānošanas periodam.</w:t>
      </w:r>
    </w:p>
    <w:p w:rsidR="00376485" w:rsidRPr="00D043A6" w:rsidRDefault="00626E73" w:rsidP="004516E1">
      <w:pPr>
        <w:ind w:firstLine="720"/>
        <w:jc w:val="both"/>
        <w:rPr>
          <w:sz w:val="24"/>
        </w:rPr>
      </w:pPr>
      <w:r w:rsidRPr="00D043A6">
        <w:rPr>
          <w:sz w:val="24"/>
        </w:rPr>
        <w:t>Politikas plānošanas dokumentos izvirzīto mērķu sasniegšanai p</w:t>
      </w:r>
      <w:r w:rsidR="004A3C9F" w:rsidRPr="00D043A6">
        <w:rPr>
          <w:sz w:val="24"/>
        </w:rPr>
        <w:t>otenciāli renovējamo māju skaits un to renovācijai n</w:t>
      </w:r>
      <w:r w:rsidR="005D54E2" w:rsidRPr="00D043A6">
        <w:rPr>
          <w:sz w:val="24"/>
        </w:rPr>
        <w:t xml:space="preserve">epieciešamā finansējuma apjoms </w:t>
      </w:r>
      <w:r w:rsidR="004A3C9F" w:rsidRPr="00D043A6">
        <w:rPr>
          <w:sz w:val="24"/>
        </w:rPr>
        <w:t xml:space="preserve">(skatīt nepieciešamā finansējuma aplēses </w:t>
      </w:r>
      <w:r w:rsidR="00C44B1A" w:rsidRPr="00D043A6">
        <w:fldChar w:fldCharType="begin"/>
      </w:r>
      <w:r w:rsidR="00C44B1A" w:rsidRPr="00D043A6">
        <w:instrText xml:space="preserve"> REF _Ref327544477 \r \h  \* MERGEFORMAT </w:instrText>
      </w:r>
      <w:r w:rsidR="00C44B1A" w:rsidRPr="00D043A6">
        <w:fldChar w:fldCharType="separate"/>
      </w:r>
      <w:r w:rsidR="005D13C5" w:rsidRPr="005D13C5">
        <w:rPr>
          <w:sz w:val="24"/>
        </w:rPr>
        <w:t>2.2</w:t>
      </w:r>
      <w:r w:rsidR="00C44B1A" w:rsidRPr="00D043A6">
        <w:fldChar w:fldCharType="end"/>
      </w:r>
      <w:r w:rsidR="004A3C9F" w:rsidRPr="00D043A6">
        <w:rPr>
          <w:sz w:val="24"/>
        </w:rPr>
        <w:t xml:space="preserve">. sadaļā) būtiski pārsniedz iespējas, ko var nodrošināt ar </w:t>
      </w:r>
      <w:r w:rsidR="00A7035E" w:rsidRPr="00D043A6">
        <w:rPr>
          <w:sz w:val="24"/>
        </w:rPr>
        <w:t xml:space="preserve">valsts </w:t>
      </w:r>
      <w:r w:rsidR="004A3C9F" w:rsidRPr="00D043A6">
        <w:rPr>
          <w:sz w:val="24"/>
        </w:rPr>
        <w:t>budžeta līdzekļiem</w:t>
      </w:r>
      <w:r w:rsidR="00376485" w:rsidRPr="00D043A6">
        <w:rPr>
          <w:sz w:val="24"/>
        </w:rPr>
        <w:t xml:space="preserve">. </w:t>
      </w:r>
      <w:r w:rsidR="00C37E67" w:rsidRPr="00D043A6">
        <w:rPr>
          <w:sz w:val="24"/>
        </w:rPr>
        <w:t>Vienlaikus</w:t>
      </w:r>
      <w:r w:rsidR="009955A7" w:rsidRPr="00D043A6">
        <w:rPr>
          <w:sz w:val="24"/>
        </w:rPr>
        <w:t>,</w:t>
      </w:r>
      <w:r w:rsidR="00C37E67" w:rsidRPr="00D043A6">
        <w:rPr>
          <w:sz w:val="24"/>
        </w:rPr>
        <w:t xml:space="preserve"> ievērojot </w:t>
      </w:r>
      <w:r w:rsidR="00376485" w:rsidRPr="00D043A6">
        <w:rPr>
          <w:sz w:val="24"/>
        </w:rPr>
        <w:t xml:space="preserve">Eiropas Savienības Kohēzijas politikas regulu priekšlikumus 2014.-2020. gada plānošanas periodam, Eiropas Savienības plānošanas dokumentos skaidri iezīmēta prioritāte ēku energoefektivitātes uzlabošanai, tādēļ attiecībā uz periodu līdz 2020. gadam kā pamatresurss ēku energoefektivitātes uzlabošanai būtu jāizmanto </w:t>
      </w:r>
      <w:bookmarkStart w:id="48" w:name="OLE_LINK5"/>
      <w:bookmarkStart w:id="49" w:name="OLE_LINK6"/>
      <w:r w:rsidR="00376485" w:rsidRPr="00D043A6">
        <w:rPr>
          <w:sz w:val="24"/>
        </w:rPr>
        <w:t>ES fondu 2014. – 2020. g. plānošanas perioda</w:t>
      </w:r>
      <w:bookmarkEnd w:id="48"/>
      <w:bookmarkEnd w:id="49"/>
      <w:r w:rsidR="00376485" w:rsidRPr="00D043A6">
        <w:rPr>
          <w:sz w:val="24"/>
        </w:rPr>
        <w:t xml:space="preserve"> finanšu resursi</w:t>
      </w:r>
      <w:r w:rsidR="00C37E67" w:rsidRPr="00D043A6">
        <w:rPr>
          <w:sz w:val="24"/>
        </w:rPr>
        <w:t>.</w:t>
      </w:r>
    </w:p>
    <w:p w:rsidR="00945A7F" w:rsidRDefault="00945A7F" w:rsidP="00A031A7">
      <w:pPr>
        <w:ind w:firstLine="720"/>
        <w:jc w:val="both"/>
        <w:rPr>
          <w:sz w:val="24"/>
        </w:rPr>
      </w:pPr>
    </w:p>
    <w:p w:rsidR="00945A7F" w:rsidRPr="00D043A6" w:rsidRDefault="00945A7F" w:rsidP="00A031A7">
      <w:pPr>
        <w:ind w:firstLine="720"/>
        <w:jc w:val="both"/>
        <w:rPr>
          <w:sz w:val="24"/>
        </w:rPr>
      </w:pPr>
      <w:r w:rsidRPr="00D043A6">
        <w:rPr>
          <w:sz w:val="24"/>
        </w:rPr>
        <w:t xml:space="preserve">NAP rīcības virziena „Energoefektivitāte un enerģijas ražošana” definēto mērķu sasniegšanai un uzdevumu izpildei, </w:t>
      </w:r>
      <w:r>
        <w:rPr>
          <w:sz w:val="24"/>
        </w:rPr>
        <w:t>daudzdzīvokļu dzīvojamo ēku, publisko ēku un ražošanas ēku</w:t>
      </w:r>
      <w:r w:rsidRPr="00D043A6">
        <w:rPr>
          <w:sz w:val="24"/>
        </w:rPr>
        <w:t xml:space="preserve"> energoefektivitātes paaugstināšanai nākamajā ES fondu 2014. – 2020. g. plānošanas periodā, ņemot vērā </w:t>
      </w:r>
      <w:r>
        <w:rPr>
          <w:sz w:val="24"/>
        </w:rPr>
        <w:t>energoefektivitātes pasākumu īstenošanai</w:t>
      </w:r>
      <w:r w:rsidRPr="00D043A6">
        <w:rPr>
          <w:sz w:val="24"/>
        </w:rPr>
        <w:t xml:space="preserve"> aplēstās vajadzības </w:t>
      </w:r>
      <w:r>
        <w:rPr>
          <w:sz w:val="24"/>
        </w:rPr>
        <w:t xml:space="preserve"> </w:t>
      </w:r>
      <w:r w:rsidRPr="00D043A6">
        <w:rPr>
          <w:sz w:val="24"/>
        </w:rPr>
        <w:t xml:space="preserve">un līdzšinējo ēku energoefektivitātes pasākumu ieviešanas gaitu, </w:t>
      </w:r>
      <w:r>
        <w:rPr>
          <w:sz w:val="24"/>
        </w:rPr>
        <w:t xml:space="preserve">indikatīvi iezīmēts </w:t>
      </w:r>
      <w:r w:rsidR="00C30308" w:rsidRPr="00F30B0C">
        <w:rPr>
          <w:sz w:val="24"/>
        </w:rPr>
        <w:t>ES fondu finansējums</w:t>
      </w:r>
      <w:r>
        <w:rPr>
          <w:sz w:val="24"/>
        </w:rPr>
        <w:t xml:space="preserve"> 190.18 milj. LVL apjomā un nacionālais līdzfinansējums 30.62 milj. LVL apjomā, kam kopā ar privāto finansējumu būtu jānodrošina investīcijas ēku sektora energoefektivitātes uzlabošanai</w:t>
      </w:r>
      <w:r w:rsidRPr="00D043A6">
        <w:rPr>
          <w:sz w:val="24"/>
        </w:rPr>
        <w:t xml:space="preserve"> vismaz 3</w:t>
      </w:r>
      <w:r>
        <w:rPr>
          <w:sz w:val="24"/>
        </w:rPr>
        <w:t>2</w:t>
      </w:r>
      <w:r w:rsidRPr="00D043A6">
        <w:rPr>
          <w:sz w:val="24"/>
        </w:rPr>
        <w:t>0 milj. latu apjomā.</w:t>
      </w:r>
    </w:p>
    <w:p w:rsidR="00376485" w:rsidRPr="00D043A6" w:rsidRDefault="00C37E67" w:rsidP="007C4A1C">
      <w:pPr>
        <w:ind w:firstLine="720"/>
        <w:jc w:val="both"/>
        <w:rPr>
          <w:sz w:val="24"/>
        </w:rPr>
      </w:pPr>
      <w:r w:rsidRPr="00D043A6">
        <w:rPr>
          <w:sz w:val="24"/>
        </w:rPr>
        <w:t>Tāpat</w:t>
      </w:r>
      <w:r w:rsidR="009955A7" w:rsidRPr="00D043A6">
        <w:rPr>
          <w:sz w:val="24"/>
        </w:rPr>
        <w:t>,</w:t>
      </w:r>
      <w:r w:rsidRPr="00D043A6">
        <w:rPr>
          <w:sz w:val="24"/>
        </w:rPr>
        <w:t xml:space="preserve"> plān</w:t>
      </w:r>
      <w:r w:rsidR="00A7035E" w:rsidRPr="00D043A6">
        <w:rPr>
          <w:sz w:val="24"/>
        </w:rPr>
        <w:t>ojot finanšu avotus</w:t>
      </w:r>
      <w:r w:rsidR="009955A7" w:rsidRPr="00D043A6">
        <w:rPr>
          <w:sz w:val="24"/>
        </w:rPr>
        <w:t>,</w:t>
      </w:r>
      <w:r w:rsidR="00A7035E" w:rsidRPr="00D043A6">
        <w:rPr>
          <w:sz w:val="24"/>
        </w:rPr>
        <w:t xml:space="preserve"> jāņem vērā gan plānotie </w:t>
      </w:r>
      <w:r w:rsidRPr="00D043A6">
        <w:rPr>
          <w:sz w:val="24"/>
        </w:rPr>
        <w:t xml:space="preserve">Eiropas Savienības </w:t>
      </w:r>
      <w:r w:rsidR="00A7035E" w:rsidRPr="00D043A6">
        <w:rPr>
          <w:sz w:val="24"/>
        </w:rPr>
        <w:t xml:space="preserve">fondu </w:t>
      </w:r>
      <w:r w:rsidRPr="00D043A6">
        <w:rPr>
          <w:sz w:val="24"/>
        </w:rPr>
        <w:t xml:space="preserve"> 2014.-2020. gada plānošanas periodam</w:t>
      </w:r>
      <w:r w:rsidR="00A7035E" w:rsidRPr="00D043A6">
        <w:rPr>
          <w:sz w:val="24"/>
        </w:rPr>
        <w:t xml:space="preserve"> izmantošanas nosacījumi, gan arī iepriekšējā </w:t>
      </w:r>
      <w:r w:rsidR="00DD7BFD" w:rsidRPr="00D043A6">
        <w:rPr>
          <w:sz w:val="24"/>
        </w:rPr>
        <w:t xml:space="preserve">atbalsta sniegšanas </w:t>
      </w:r>
      <w:r w:rsidR="00A7035E" w:rsidRPr="00D043A6">
        <w:rPr>
          <w:sz w:val="24"/>
        </w:rPr>
        <w:t>pieredze dzīvojamo māju siltināšanā.</w:t>
      </w:r>
      <w:r w:rsidR="006179FA" w:rsidRPr="00D043A6">
        <w:rPr>
          <w:sz w:val="24"/>
        </w:rPr>
        <w:t xml:space="preserve"> Vienlaikus, ievērojot Ekonomikas ministrijas kapacitāti un iepriekšējo sekmīgo pieredzi</w:t>
      </w:r>
      <w:r w:rsidR="007C4A1C">
        <w:rPr>
          <w:sz w:val="24"/>
        </w:rPr>
        <w:t xml:space="preserve"> (</w:t>
      </w:r>
      <w:r w:rsidR="007C4A1C">
        <w:rPr>
          <w:sz w:val="24"/>
          <w:szCs w:val="24"/>
        </w:rPr>
        <w:t>DMS aktivitātē</w:t>
      </w:r>
      <w:r w:rsidR="007C4A1C" w:rsidRPr="007C4A1C">
        <w:rPr>
          <w:sz w:val="24"/>
          <w:szCs w:val="24"/>
        </w:rPr>
        <w:t xml:space="preserve"> </w:t>
      </w:r>
      <w:r w:rsidR="007C4A1C">
        <w:rPr>
          <w:sz w:val="24"/>
          <w:szCs w:val="24"/>
        </w:rPr>
        <w:t>uz ieguldīto finanšu apjoma vienību sasniegts lielāks enerģijas ietaupījums un CO</w:t>
      </w:r>
      <w:r w:rsidR="007C4A1C" w:rsidRPr="00C57687">
        <w:rPr>
          <w:sz w:val="24"/>
          <w:szCs w:val="24"/>
          <w:vertAlign w:val="subscript"/>
        </w:rPr>
        <w:t>2</w:t>
      </w:r>
      <w:r w:rsidR="007C4A1C">
        <w:rPr>
          <w:sz w:val="24"/>
          <w:szCs w:val="24"/>
        </w:rPr>
        <w:t xml:space="preserve"> samazinājums salīdzinot ar KPFI projektiem</w:t>
      </w:r>
      <w:r w:rsidR="007C4A1C">
        <w:rPr>
          <w:sz w:val="24"/>
        </w:rPr>
        <w:t>)</w:t>
      </w:r>
      <w:r w:rsidR="006179FA" w:rsidRPr="00D043A6">
        <w:rPr>
          <w:sz w:val="24"/>
        </w:rPr>
        <w:t xml:space="preserve"> ar ēku renovāciju saistīto atbalsta instrumentu ieviešanā, arī turpmāk</w:t>
      </w:r>
      <w:r w:rsidR="0066747C" w:rsidRPr="00D043A6">
        <w:rPr>
          <w:sz w:val="24"/>
        </w:rPr>
        <w:t>o atbalsta instrumentu ieviešana būtu jānodrošina Ekonomikas ministrijai.</w:t>
      </w:r>
    </w:p>
    <w:p w:rsidR="00376485" w:rsidRPr="00D043A6" w:rsidRDefault="00A7035E" w:rsidP="004516E1">
      <w:pPr>
        <w:ind w:firstLine="720"/>
        <w:jc w:val="both"/>
        <w:rPr>
          <w:sz w:val="24"/>
        </w:rPr>
      </w:pPr>
      <w:r w:rsidRPr="00D043A6">
        <w:rPr>
          <w:sz w:val="24"/>
        </w:rPr>
        <w:t>Saistībā ar Eiropas Savienības fondu 2014.-2020.</w:t>
      </w:r>
      <w:r w:rsidR="009955A7" w:rsidRPr="00D043A6">
        <w:rPr>
          <w:sz w:val="24"/>
        </w:rPr>
        <w:t> </w:t>
      </w:r>
      <w:r w:rsidRPr="00D043A6">
        <w:rPr>
          <w:sz w:val="24"/>
        </w:rPr>
        <w:t>gada plānošanas periodam izmantošanas nosacījumiem būtiskākās izmaiņas varētu skart ar ēku energoefektivitātes uzlabošanu saistītu pasākumos izmantojamos atbalsta instrumentus – j</w:t>
      </w:r>
      <w:r w:rsidR="009955A7" w:rsidRPr="00D043A6">
        <w:rPr>
          <w:sz w:val="24"/>
        </w:rPr>
        <w:t>a</w:t>
      </w:r>
      <w:r w:rsidRPr="00D043A6">
        <w:rPr>
          <w:sz w:val="24"/>
        </w:rPr>
        <w:t xml:space="preserve"> šobrīd atbalsts tiek sniegts, izmantojot</w:t>
      </w:r>
      <w:r w:rsidR="00CD7A20" w:rsidRPr="00D043A6">
        <w:rPr>
          <w:sz w:val="24"/>
        </w:rPr>
        <w:t xml:space="preserve"> līdzfinansējumu, tad iespējamais izmantojamais atbalsta veids nākamajā plānošanas periodā varētu būt aizdevum</w:t>
      </w:r>
      <w:r w:rsidR="000E37EC">
        <w:rPr>
          <w:sz w:val="24"/>
        </w:rPr>
        <w:t>u</w:t>
      </w:r>
      <w:r w:rsidR="00CD7A20" w:rsidRPr="00D043A6">
        <w:rPr>
          <w:sz w:val="24"/>
        </w:rPr>
        <w:t xml:space="preserve"> ar pazeminātu aizdevuma procentu likmi pieejamības nodrošināšana, izmantojot rotācijas fondus, kā arī</w:t>
      </w:r>
      <w:r w:rsidR="00A031A7" w:rsidRPr="00D043A6">
        <w:rPr>
          <w:sz w:val="24"/>
        </w:rPr>
        <w:t xml:space="preserve"> nosacījumu veidošana </w:t>
      </w:r>
      <w:r w:rsidR="00CD7A20" w:rsidRPr="00D043A6">
        <w:rPr>
          <w:sz w:val="24"/>
        </w:rPr>
        <w:t xml:space="preserve">ESKO </w:t>
      </w:r>
      <w:r w:rsidR="00A031A7" w:rsidRPr="00D043A6">
        <w:rPr>
          <w:sz w:val="24"/>
        </w:rPr>
        <w:t>iesaistei</w:t>
      </w:r>
      <w:r w:rsidR="000E37EC">
        <w:rPr>
          <w:sz w:val="24"/>
        </w:rPr>
        <w:t>, lai piesaistītu papildu</w:t>
      </w:r>
      <w:r w:rsidR="00945A7F">
        <w:rPr>
          <w:sz w:val="24"/>
        </w:rPr>
        <w:t xml:space="preserve"> privātos</w:t>
      </w:r>
      <w:r w:rsidR="004C3784" w:rsidRPr="00D043A6">
        <w:rPr>
          <w:sz w:val="24"/>
        </w:rPr>
        <w:t xml:space="preserve"> finanšu avotus</w:t>
      </w:r>
      <w:r w:rsidR="00CD7A20" w:rsidRPr="00D043A6">
        <w:rPr>
          <w:sz w:val="24"/>
        </w:rPr>
        <w:t>.</w:t>
      </w:r>
    </w:p>
    <w:p w:rsidR="0094509C" w:rsidRPr="00D043A6" w:rsidRDefault="00CD7A20" w:rsidP="0094509C">
      <w:pPr>
        <w:ind w:firstLine="720"/>
        <w:jc w:val="both"/>
        <w:rPr>
          <w:sz w:val="24"/>
        </w:rPr>
      </w:pPr>
      <w:r w:rsidRPr="00D043A6">
        <w:rPr>
          <w:sz w:val="24"/>
        </w:rPr>
        <w:t>Lai arī aizdevumu ar pazeminātu aizdevuma procentu likmi izsniegšana kā atbalsta veids ir ilgtspējīgāks par līdzfinansējumu</w:t>
      </w:r>
      <w:r w:rsidR="00DD7BFD" w:rsidRPr="00D043A6">
        <w:rPr>
          <w:sz w:val="24"/>
        </w:rPr>
        <w:t xml:space="preserve">, jo ar vienādu piešķiramo līdzekļu apjomu ļauj atbalstīt vairāk ēku siltināšanu, papildus ir jāņem vērā arī līdzšinējā atbalsta sniegšanas pieredze ēku </w:t>
      </w:r>
      <w:r w:rsidR="00F07966" w:rsidRPr="00D043A6">
        <w:rPr>
          <w:sz w:val="24"/>
        </w:rPr>
        <w:t>siltināšanā. Proti, līdzīgi kā Lietuvā</w:t>
      </w:r>
      <w:r w:rsidR="009977EC" w:rsidRPr="00D043A6">
        <w:rPr>
          <w:rStyle w:val="FootnoteReference"/>
          <w:sz w:val="24"/>
        </w:rPr>
        <w:footnoteReference w:id="47"/>
      </w:r>
      <w:r w:rsidR="00F07966" w:rsidRPr="00D043A6">
        <w:rPr>
          <w:sz w:val="24"/>
        </w:rPr>
        <w:t xml:space="preserve"> pastāv risks, ka būtiski samazināsies renovēto ēku skaits, jo </w:t>
      </w:r>
      <w:r w:rsidR="008737CF" w:rsidRPr="00D043A6">
        <w:rPr>
          <w:sz w:val="24"/>
        </w:rPr>
        <w:t xml:space="preserve">ar </w:t>
      </w:r>
      <w:r w:rsidR="00F07966" w:rsidRPr="00D043A6">
        <w:rPr>
          <w:sz w:val="24"/>
        </w:rPr>
        <w:t>jaun</w:t>
      </w:r>
      <w:r w:rsidR="008737CF" w:rsidRPr="00D043A6">
        <w:rPr>
          <w:sz w:val="24"/>
        </w:rPr>
        <w:t>ajiem</w:t>
      </w:r>
      <w:r w:rsidR="00F07966" w:rsidRPr="00D043A6">
        <w:rPr>
          <w:sz w:val="24"/>
        </w:rPr>
        <w:t xml:space="preserve"> atbalsta instrumenti</w:t>
      </w:r>
      <w:r w:rsidR="008737CF" w:rsidRPr="00D043A6">
        <w:rPr>
          <w:sz w:val="24"/>
        </w:rPr>
        <w:t>em netiks radīta pietiekam</w:t>
      </w:r>
      <w:r w:rsidR="00ED5DBE" w:rsidRPr="00D043A6">
        <w:rPr>
          <w:sz w:val="24"/>
        </w:rPr>
        <w:t>a</w:t>
      </w:r>
      <w:r w:rsidR="008737CF" w:rsidRPr="00D043A6">
        <w:rPr>
          <w:sz w:val="24"/>
        </w:rPr>
        <w:t xml:space="preserve"> interese par ēku siltināšanu.</w:t>
      </w:r>
      <w:r w:rsidR="00F07966" w:rsidRPr="00D043A6">
        <w:rPr>
          <w:sz w:val="24"/>
        </w:rPr>
        <w:t xml:space="preserve"> </w:t>
      </w:r>
      <w:r w:rsidR="0094509C" w:rsidRPr="00D043A6">
        <w:rPr>
          <w:sz w:val="24"/>
        </w:rPr>
        <w:t>Tādēļ, lai novērstu šādu risku, ir nepieciešams veidot divu veidu atbalsta shēmas:</w:t>
      </w:r>
    </w:p>
    <w:p w:rsidR="0094509C" w:rsidRPr="00D043A6" w:rsidRDefault="0094509C" w:rsidP="00ED5DBE">
      <w:pPr>
        <w:pStyle w:val="ListParagraph"/>
        <w:numPr>
          <w:ilvl w:val="0"/>
          <w:numId w:val="20"/>
        </w:numPr>
        <w:ind w:left="709" w:hanging="425"/>
        <w:jc w:val="both"/>
        <w:rPr>
          <w:sz w:val="24"/>
        </w:rPr>
      </w:pPr>
      <w:r w:rsidRPr="00D043A6">
        <w:rPr>
          <w:sz w:val="24"/>
        </w:rPr>
        <w:t xml:space="preserve">aizdevums ar pazeminātu aizdevuma procentu likmi, kas tiek izsniegts, </w:t>
      </w:r>
      <w:r w:rsidR="00402312" w:rsidRPr="00D043A6">
        <w:rPr>
          <w:sz w:val="24"/>
        </w:rPr>
        <w:t>lai</w:t>
      </w:r>
      <w:r w:rsidRPr="00D043A6">
        <w:rPr>
          <w:sz w:val="24"/>
        </w:rPr>
        <w:t xml:space="preserve"> sasniegt</w:t>
      </w:r>
      <w:r w:rsidR="00402312" w:rsidRPr="00D043A6">
        <w:rPr>
          <w:sz w:val="24"/>
        </w:rPr>
        <w:t>u</w:t>
      </w:r>
      <w:r w:rsidRPr="00D043A6">
        <w:rPr>
          <w:sz w:val="24"/>
        </w:rPr>
        <w:t xml:space="preserve"> noteiktu enerģijas ietaupījuma līmeni</w:t>
      </w:r>
      <w:r w:rsidR="00ED5DBE" w:rsidRPr="00D043A6">
        <w:rPr>
          <w:sz w:val="24"/>
        </w:rPr>
        <w:t>;</w:t>
      </w:r>
    </w:p>
    <w:p w:rsidR="007115BD" w:rsidRPr="00D043A6" w:rsidRDefault="0094509C" w:rsidP="00ED5DBE">
      <w:pPr>
        <w:pStyle w:val="ListParagraph"/>
        <w:numPr>
          <w:ilvl w:val="0"/>
          <w:numId w:val="20"/>
        </w:numPr>
        <w:ind w:left="709" w:hanging="425"/>
        <w:jc w:val="both"/>
        <w:rPr>
          <w:sz w:val="24"/>
        </w:rPr>
      </w:pPr>
      <w:r w:rsidRPr="00D043A6">
        <w:rPr>
          <w:sz w:val="24"/>
        </w:rPr>
        <w:lastRenderedPageBreak/>
        <w:t>kombinēts atbalsta mehānism</w:t>
      </w:r>
      <w:r w:rsidR="00071FC2" w:rsidRPr="00D043A6">
        <w:rPr>
          <w:sz w:val="24"/>
        </w:rPr>
        <w:t>s</w:t>
      </w:r>
      <w:r w:rsidRPr="00D043A6">
        <w:rPr>
          <w:sz w:val="24"/>
        </w:rPr>
        <w:t xml:space="preserve">, kas ietvertu gan aizdevumu ar pazeminātu aizdevuma procentu likmi, gan arī līdzfinansējumu, gadījumos, </w:t>
      </w:r>
      <w:r w:rsidR="00402312" w:rsidRPr="00D043A6">
        <w:rPr>
          <w:sz w:val="24"/>
        </w:rPr>
        <w:t>lai</w:t>
      </w:r>
      <w:r w:rsidRPr="00D043A6">
        <w:rPr>
          <w:sz w:val="24"/>
        </w:rPr>
        <w:t xml:space="preserve"> sasniegt</w:t>
      </w:r>
      <w:r w:rsidR="00402312" w:rsidRPr="00D043A6">
        <w:rPr>
          <w:sz w:val="24"/>
        </w:rPr>
        <w:t>u</w:t>
      </w:r>
      <w:r w:rsidRPr="00D043A6">
        <w:rPr>
          <w:sz w:val="24"/>
        </w:rPr>
        <w:t xml:space="preserve"> paaugstinātu enerģijas ietaupījuma līmeni.</w:t>
      </w:r>
    </w:p>
    <w:p w:rsidR="001272AC" w:rsidRPr="00D043A6" w:rsidRDefault="001272AC" w:rsidP="000A4CF7">
      <w:pPr>
        <w:pStyle w:val="ListParagraph"/>
        <w:ind w:left="0" w:firstLine="709"/>
        <w:jc w:val="both"/>
        <w:rPr>
          <w:sz w:val="24"/>
        </w:rPr>
      </w:pPr>
      <w:r w:rsidRPr="00D043A6">
        <w:rPr>
          <w:sz w:val="24"/>
        </w:rPr>
        <w:t>Finanšu stimuli augstāku ēku energoefektivitātes prasību sasniegšanai ir izplatīts energoefektivitātes veicināšanas instruments daudzās ES valstīs (Vācijā, Austrijā, Dānijā, Igaunijā), jo sekmē valstu kopīgo mērķu energoefektivitātes jomā sasniegšan</w:t>
      </w:r>
      <w:r w:rsidR="00AD2DA3" w:rsidRPr="00D043A6">
        <w:rPr>
          <w:sz w:val="24"/>
        </w:rPr>
        <w:t>u</w:t>
      </w:r>
      <w:r w:rsidRPr="00D043A6">
        <w:rPr>
          <w:sz w:val="24"/>
        </w:rPr>
        <w:t>. Augstākam energoefektivitātes līmenim atbilstošas ēkas kalpo par piemēru labā piemēra demonstrēšanā un veicina vispārēju sabiedrības interesi un izpratni par enerģijas taupīšanu</w:t>
      </w:r>
      <w:r w:rsidR="00AD2DA3" w:rsidRPr="00D043A6">
        <w:rPr>
          <w:sz w:val="24"/>
        </w:rPr>
        <w:t>, atjaunojamo energoresursu izmantošanu un siltumnīcefekta gāzu emisiju samazināšanu.</w:t>
      </w:r>
      <w:r w:rsidRPr="00D043A6">
        <w:rPr>
          <w:sz w:val="24"/>
        </w:rPr>
        <w:t xml:space="preserve"> </w:t>
      </w:r>
    </w:p>
    <w:p w:rsidR="000A4CF7" w:rsidRPr="00D043A6" w:rsidRDefault="000A4CF7" w:rsidP="000A4CF7">
      <w:pPr>
        <w:pStyle w:val="ListParagraph"/>
        <w:ind w:left="0" w:firstLine="709"/>
        <w:jc w:val="both"/>
        <w:rPr>
          <w:sz w:val="24"/>
        </w:rPr>
      </w:pPr>
      <w:r w:rsidRPr="00D043A6">
        <w:rPr>
          <w:sz w:val="24"/>
        </w:rPr>
        <w:t>Kā jau minēts iepriekš, Eiropas Savienības fondu izmantošanas nosacījumi varētu vairs neparedzēt līdzfinansējuma piešķiršanu</w:t>
      </w:r>
      <w:r w:rsidR="00AE7F0C" w:rsidRPr="00D043A6">
        <w:rPr>
          <w:sz w:val="24"/>
        </w:rPr>
        <w:t>.</w:t>
      </w:r>
      <w:r w:rsidRPr="00D043A6">
        <w:rPr>
          <w:sz w:val="24"/>
        </w:rPr>
        <w:t xml:space="preserve"> Tādēļ, lai ieviestu kombinēto atbalsta mehānismu</w:t>
      </w:r>
      <w:r w:rsidR="00402312" w:rsidRPr="00D043A6">
        <w:rPr>
          <w:sz w:val="24"/>
        </w:rPr>
        <w:t>,</w:t>
      </w:r>
      <w:r w:rsidRPr="00D043A6">
        <w:rPr>
          <w:sz w:val="24"/>
        </w:rPr>
        <w:t xml:space="preserve"> ir nepieciešam</w:t>
      </w:r>
      <w:r w:rsidR="000E37EC">
        <w:rPr>
          <w:sz w:val="24"/>
        </w:rPr>
        <w:t>i</w:t>
      </w:r>
      <w:r w:rsidRPr="00D043A6">
        <w:rPr>
          <w:sz w:val="24"/>
        </w:rPr>
        <w:t xml:space="preserve"> valsts budžeta līdzekļi, kas ir nepieciešami, lai nodrošinātu valsts </w:t>
      </w:r>
      <w:r w:rsidR="00B075BF" w:rsidRPr="00D043A6">
        <w:rPr>
          <w:sz w:val="24"/>
        </w:rPr>
        <w:t>līdzfinansējuma</w:t>
      </w:r>
      <w:r w:rsidRPr="00D043A6">
        <w:rPr>
          <w:sz w:val="24"/>
        </w:rPr>
        <w:t xml:space="preserve"> daļu ES fondu apguvē. </w:t>
      </w:r>
    </w:p>
    <w:p w:rsidR="0058153C" w:rsidRPr="00D043A6" w:rsidRDefault="0058153C" w:rsidP="000E3294">
      <w:pPr>
        <w:ind w:firstLine="709"/>
        <w:jc w:val="both"/>
        <w:rPr>
          <w:sz w:val="24"/>
        </w:rPr>
      </w:pPr>
      <w:r w:rsidRPr="00D043A6">
        <w:rPr>
          <w:sz w:val="24"/>
        </w:rPr>
        <w:t>Attiecībā uz aktivitātēm, kas saistītas ar ēkas renovācijas ieceres plānošanu (ēkas energoefektivitātes novērtēšana, ēkas tehniskais novērtējums, renovācijas ieceres dokumentācijas sagatavošana)</w:t>
      </w:r>
      <w:r w:rsidR="000E37EC">
        <w:rPr>
          <w:sz w:val="24"/>
        </w:rPr>
        <w:t>,</w:t>
      </w:r>
      <w:r w:rsidRPr="00D043A6">
        <w:rPr>
          <w:sz w:val="24"/>
        </w:rPr>
        <w:t xml:space="preserve"> </w:t>
      </w:r>
      <w:r w:rsidR="00212DDE" w:rsidRPr="00D043A6">
        <w:rPr>
          <w:sz w:val="24"/>
        </w:rPr>
        <w:t>piemērotākais</w:t>
      </w:r>
      <w:r w:rsidRPr="00D043A6">
        <w:rPr>
          <w:sz w:val="24"/>
        </w:rPr>
        <w:t xml:space="preserve"> </w:t>
      </w:r>
      <w:r w:rsidR="00212DDE" w:rsidRPr="00D043A6">
        <w:rPr>
          <w:sz w:val="24"/>
        </w:rPr>
        <w:t>atbalsta veids varētu būt</w:t>
      </w:r>
      <w:r w:rsidRPr="00D043A6">
        <w:rPr>
          <w:sz w:val="24"/>
        </w:rPr>
        <w:t xml:space="preserve"> pašvaldību līdzfinansējums</w:t>
      </w:r>
      <w:r w:rsidR="00212DDE" w:rsidRPr="00D043A6">
        <w:rPr>
          <w:sz w:val="24"/>
        </w:rPr>
        <w:t>, kas</w:t>
      </w:r>
      <w:r w:rsidRPr="00D043A6">
        <w:rPr>
          <w:sz w:val="24"/>
        </w:rPr>
        <w:t xml:space="preserve"> stimulēt</w:t>
      </w:r>
      <w:r w:rsidR="00212DDE" w:rsidRPr="00D043A6">
        <w:rPr>
          <w:sz w:val="24"/>
        </w:rPr>
        <w:t>u</w:t>
      </w:r>
      <w:r w:rsidRPr="00D043A6">
        <w:rPr>
          <w:sz w:val="24"/>
        </w:rPr>
        <w:t xml:space="preserve"> ēku īpašnieku aktivitāti attiecīgo pasākumu uzsākšanā</w:t>
      </w:r>
      <w:r w:rsidR="004516E1" w:rsidRPr="00D043A6">
        <w:rPr>
          <w:sz w:val="24"/>
        </w:rPr>
        <w:t xml:space="preserve">. </w:t>
      </w:r>
      <w:r w:rsidR="00212DDE" w:rsidRPr="00D043A6">
        <w:rPr>
          <w:sz w:val="24"/>
        </w:rPr>
        <w:t>Tāpat būtu saglabājama</w:t>
      </w:r>
      <w:r w:rsidR="00744CF8" w:rsidRPr="00D043A6">
        <w:rPr>
          <w:sz w:val="24"/>
        </w:rPr>
        <w:t>s</w:t>
      </w:r>
      <w:r w:rsidR="00212DDE" w:rsidRPr="00D043A6">
        <w:rPr>
          <w:sz w:val="24"/>
        </w:rPr>
        <w:t xml:space="preserve"> likumā „Par palīdzību dzīvokļa jautāj</w:t>
      </w:r>
      <w:r w:rsidR="00744CF8" w:rsidRPr="00D043A6">
        <w:rPr>
          <w:sz w:val="24"/>
        </w:rPr>
        <w:t>umu risināšanā” noteiktās tiesības piešķirt palīdzību dzīvokļa īpašniekiem ēkas energoefektivitātes pasākumu īstenošanai. Ekonomikas ministrijas skatījumā energoefektivitātes pasākumu īstenošanai būtu novirzāma daļa no pašvaldību ieņēmumiem par nekustamā īpašuma nodokli.</w:t>
      </w:r>
    </w:p>
    <w:p w:rsidR="0077270D" w:rsidRPr="00D043A6" w:rsidRDefault="00BA5D18" w:rsidP="005B18FB">
      <w:pPr>
        <w:pStyle w:val="Heading1"/>
        <w:rPr>
          <w:sz w:val="24"/>
        </w:rPr>
      </w:pPr>
      <w:bookmarkStart w:id="50" w:name="_Toc353811865"/>
      <w:r w:rsidRPr="00D043A6">
        <w:rPr>
          <w:sz w:val="24"/>
        </w:rPr>
        <w:t xml:space="preserve">Secinājumi par </w:t>
      </w:r>
      <w:r w:rsidR="00AD367A" w:rsidRPr="00D043A6">
        <w:rPr>
          <w:sz w:val="24"/>
        </w:rPr>
        <w:t xml:space="preserve">ziņojumā aprakstīto jautājumu </w:t>
      </w:r>
      <w:r w:rsidRPr="00D043A6">
        <w:rPr>
          <w:sz w:val="24"/>
        </w:rPr>
        <w:t>risināšanu</w:t>
      </w:r>
      <w:bookmarkEnd w:id="50"/>
    </w:p>
    <w:p w:rsidR="00882196" w:rsidRPr="00D043A6" w:rsidRDefault="000E3294" w:rsidP="000E3294">
      <w:pPr>
        <w:ind w:firstLine="720"/>
        <w:jc w:val="both"/>
        <w:rPr>
          <w:sz w:val="24"/>
        </w:rPr>
      </w:pPr>
      <w:r w:rsidRPr="00D043A6">
        <w:rPr>
          <w:sz w:val="24"/>
        </w:rPr>
        <w:t xml:space="preserve">NAP prioritātes „Tautas saimniecības izaugsme” rīcības virziena „Energoefektivitāte un enerģijas ražošana” </w:t>
      </w:r>
      <w:r w:rsidR="00882196" w:rsidRPr="00D043A6">
        <w:rPr>
          <w:sz w:val="24"/>
        </w:rPr>
        <w:t>ietvaros v</w:t>
      </w:r>
      <w:r w:rsidR="002520E8" w:rsidRPr="00D043A6">
        <w:rPr>
          <w:sz w:val="24"/>
        </w:rPr>
        <w:t>eicamie uzdevumi paredz atbalsta</w:t>
      </w:r>
      <w:r w:rsidR="00882196" w:rsidRPr="00D043A6">
        <w:rPr>
          <w:sz w:val="24"/>
        </w:rPr>
        <w:t xml:space="preserve"> programmas ēku </w:t>
      </w:r>
      <w:r w:rsidR="002520E8" w:rsidRPr="00D043A6">
        <w:rPr>
          <w:sz w:val="24"/>
        </w:rPr>
        <w:t>sektorā, t</w:t>
      </w:r>
      <w:r w:rsidR="00D918A5">
        <w:rPr>
          <w:sz w:val="24"/>
        </w:rPr>
        <w:t>.</w:t>
      </w:r>
      <w:r w:rsidR="002520E8" w:rsidRPr="00D043A6">
        <w:rPr>
          <w:sz w:val="24"/>
        </w:rPr>
        <w:t>sk. izmantojot ES</w:t>
      </w:r>
      <w:r w:rsidR="005751CD" w:rsidRPr="00D043A6">
        <w:rPr>
          <w:sz w:val="24"/>
        </w:rPr>
        <w:t>K</w:t>
      </w:r>
      <w:r w:rsidR="002520E8" w:rsidRPr="00D043A6">
        <w:rPr>
          <w:sz w:val="24"/>
        </w:rPr>
        <w:t>O modeli</w:t>
      </w:r>
      <w:r w:rsidR="002563A3" w:rsidRPr="00D043A6">
        <w:rPr>
          <w:sz w:val="24"/>
        </w:rPr>
        <w:t xml:space="preserve"> (</w:t>
      </w:r>
      <w:r w:rsidR="005751CD" w:rsidRPr="00D043A6">
        <w:rPr>
          <w:sz w:val="24"/>
        </w:rPr>
        <w:t xml:space="preserve">skat. </w:t>
      </w:r>
      <w:r w:rsidR="00857105" w:rsidRPr="00D043A6">
        <w:rPr>
          <w:sz w:val="24"/>
        </w:rPr>
        <w:fldChar w:fldCharType="begin"/>
      </w:r>
      <w:r w:rsidR="005751CD" w:rsidRPr="00D043A6">
        <w:rPr>
          <w:sz w:val="24"/>
        </w:rPr>
        <w:instrText xml:space="preserve"> REF _Ref335139515 \r \h </w:instrText>
      </w:r>
      <w:r w:rsidR="00857105" w:rsidRPr="00D043A6">
        <w:rPr>
          <w:sz w:val="24"/>
        </w:rPr>
      </w:r>
      <w:r w:rsidR="00857105" w:rsidRPr="00D043A6">
        <w:rPr>
          <w:sz w:val="24"/>
        </w:rPr>
        <w:fldChar w:fldCharType="separate"/>
      </w:r>
      <w:r w:rsidR="005D13C5">
        <w:rPr>
          <w:sz w:val="24"/>
        </w:rPr>
        <w:t>2</w:t>
      </w:r>
      <w:r w:rsidR="00857105" w:rsidRPr="00D043A6">
        <w:rPr>
          <w:sz w:val="24"/>
        </w:rPr>
        <w:fldChar w:fldCharType="end"/>
      </w:r>
      <w:r w:rsidR="005751CD" w:rsidRPr="00D043A6">
        <w:rPr>
          <w:sz w:val="24"/>
        </w:rPr>
        <w:t xml:space="preserve">. un </w:t>
      </w:r>
      <w:r w:rsidR="00857105" w:rsidRPr="00D043A6">
        <w:rPr>
          <w:sz w:val="24"/>
        </w:rPr>
        <w:fldChar w:fldCharType="begin"/>
      </w:r>
      <w:r w:rsidR="005751CD" w:rsidRPr="00D043A6">
        <w:rPr>
          <w:sz w:val="24"/>
        </w:rPr>
        <w:instrText xml:space="preserve"> REF _Ref333226433 \r \h </w:instrText>
      </w:r>
      <w:r w:rsidR="00857105" w:rsidRPr="00D043A6">
        <w:rPr>
          <w:sz w:val="24"/>
        </w:rPr>
      </w:r>
      <w:r w:rsidR="00857105" w:rsidRPr="00D043A6">
        <w:rPr>
          <w:sz w:val="24"/>
        </w:rPr>
        <w:fldChar w:fldCharType="separate"/>
      </w:r>
      <w:r w:rsidR="005D13C5">
        <w:rPr>
          <w:sz w:val="24"/>
        </w:rPr>
        <w:t>3</w:t>
      </w:r>
      <w:r w:rsidR="00857105" w:rsidRPr="00D043A6">
        <w:rPr>
          <w:sz w:val="24"/>
        </w:rPr>
        <w:fldChar w:fldCharType="end"/>
      </w:r>
      <w:r w:rsidR="005751CD" w:rsidRPr="00D043A6">
        <w:rPr>
          <w:sz w:val="24"/>
        </w:rPr>
        <w:t>. nodaļ</w:t>
      </w:r>
      <w:r w:rsidR="000E37EC">
        <w:rPr>
          <w:sz w:val="24"/>
        </w:rPr>
        <w:t>u</w:t>
      </w:r>
      <w:r w:rsidR="002563A3" w:rsidRPr="00D043A6">
        <w:rPr>
          <w:sz w:val="24"/>
        </w:rPr>
        <w:t>)</w:t>
      </w:r>
      <w:r w:rsidR="002520E8" w:rsidRPr="00D043A6">
        <w:rPr>
          <w:sz w:val="24"/>
        </w:rPr>
        <w:t>. Tādēļ informatīv</w:t>
      </w:r>
      <w:r w:rsidR="002563A3" w:rsidRPr="00D043A6">
        <w:rPr>
          <w:sz w:val="24"/>
        </w:rPr>
        <w:t xml:space="preserve">ajā ziņojumā </w:t>
      </w:r>
      <w:r w:rsidR="002520E8" w:rsidRPr="00D043A6">
        <w:rPr>
          <w:sz w:val="24"/>
        </w:rPr>
        <w:t xml:space="preserve">ir </w:t>
      </w:r>
      <w:r w:rsidR="002563A3" w:rsidRPr="00D043A6">
        <w:rPr>
          <w:sz w:val="24"/>
        </w:rPr>
        <w:t>aplūkoti iespējamie atbalsta mehānismu veidi un, ievērojot finanšu, tiesiskos, iepriekšējās ieviešanas pieredzes, kā arī citus a</w:t>
      </w:r>
      <w:r w:rsidR="00D918A5">
        <w:rPr>
          <w:sz w:val="24"/>
        </w:rPr>
        <w:t>s</w:t>
      </w:r>
      <w:r w:rsidR="002563A3" w:rsidRPr="00D043A6">
        <w:rPr>
          <w:sz w:val="24"/>
        </w:rPr>
        <w:t>pektus, piedāvāts optimālākais no tiem.</w:t>
      </w:r>
    </w:p>
    <w:p w:rsidR="00527931" w:rsidRPr="00D043A6" w:rsidRDefault="00527931" w:rsidP="00EC7C33">
      <w:pPr>
        <w:ind w:firstLine="720"/>
        <w:jc w:val="both"/>
        <w:rPr>
          <w:sz w:val="24"/>
        </w:rPr>
      </w:pPr>
      <w:r w:rsidRPr="00D043A6">
        <w:rPr>
          <w:sz w:val="24"/>
        </w:rPr>
        <w:t>Pamatprasības atbalsta mehānisma izvēlei ir:</w:t>
      </w:r>
    </w:p>
    <w:p w:rsidR="00EC7C33" w:rsidRPr="00D043A6" w:rsidRDefault="00EC7C33" w:rsidP="00527931">
      <w:pPr>
        <w:pStyle w:val="ListParagraph"/>
        <w:numPr>
          <w:ilvl w:val="0"/>
          <w:numId w:val="12"/>
        </w:numPr>
        <w:jc w:val="both"/>
        <w:rPr>
          <w:sz w:val="24"/>
        </w:rPr>
      </w:pPr>
      <w:r w:rsidRPr="00D043A6">
        <w:rPr>
          <w:sz w:val="24"/>
        </w:rPr>
        <w:t xml:space="preserve"> </w:t>
      </w:r>
      <w:r w:rsidR="00527931" w:rsidRPr="00D043A6">
        <w:rPr>
          <w:sz w:val="24"/>
        </w:rPr>
        <w:t>atbalstam jānodrošina</w:t>
      </w:r>
      <w:r w:rsidRPr="00D043A6">
        <w:rPr>
          <w:sz w:val="24"/>
        </w:rPr>
        <w:t xml:space="preserve"> komplekss pasākumu kopums</w:t>
      </w:r>
      <w:r w:rsidR="000E37EC">
        <w:rPr>
          <w:sz w:val="24"/>
        </w:rPr>
        <w:t>,</w:t>
      </w:r>
      <w:r w:rsidRPr="00D043A6">
        <w:rPr>
          <w:sz w:val="24"/>
        </w:rPr>
        <w:t xml:space="preserve"> diferencējot atbalst</w:t>
      </w:r>
      <w:r w:rsidR="00527931" w:rsidRPr="00D043A6">
        <w:rPr>
          <w:sz w:val="24"/>
        </w:rPr>
        <w:t>a</w:t>
      </w:r>
      <w:r w:rsidRPr="00D043A6">
        <w:rPr>
          <w:sz w:val="24"/>
        </w:rPr>
        <w:t xml:space="preserve"> veidus un intensitāti atkarībā no plānoto pasākumu ieviešanas modeļa, sasniedzamā energoefektivitātes un atjaunojamo energoresursu izmantošanas līmeņa, ēku</w:t>
      </w:r>
      <w:r w:rsidR="00527931" w:rsidRPr="00D043A6">
        <w:rPr>
          <w:sz w:val="24"/>
        </w:rPr>
        <w:t xml:space="preserve"> tipa un ēku piederības statusa;</w:t>
      </w:r>
    </w:p>
    <w:p w:rsidR="000E3294" w:rsidRDefault="00527931" w:rsidP="00527931">
      <w:pPr>
        <w:pStyle w:val="ListParagraph"/>
        <w:numPr>
          <w:ilvl w:val="0"/>
          <w:numId w:val="12"/>
        </w:numPr>
        <w:jc w:val="both"/>
        <w:rPr>
          <w:sz w:val="24"/>
        </w:rPr>
      </w:pPr>
      <w:r w:rsidRPr="00D043A6">
        <w:rPr>
          <w:sz w:val="24"/>
        </w:rPr>
        <w:t xml:space="preserve">atbalstam ir </w:t>
      </w:r>
      <w:r w:rsidR="000E3294" w:rsidRPr="00D043A6">
        <w:rPr>
          <w:sz w:val="24"/>
        </w:rPr>
        <w:t>jānodrošina aktivitāšu īstenošana ēku energoefektivitātes paaugstināšanai un no atjaunojamiem energoresursiem iegūtas enerģijas īpatsvara palielināšanai ēkās, aptverot dažādos ēku sektoros (gan dzīvojamās mājas, gan nedzīvojamās</w:t>
      </w:r>
      <w:r w:rsidR="00686279" w:rsidRPr="00D043A6">
        <w:rPr>
          <w:sz w:val="24"/>
        </w:rPr>
        <w:t xml:space="preserve"> publiskās, </w:t>
      </w:r>
      <w:r w:rsidR="000E3294" w:rsidRPr="00D043A6">
        <w:rPr>
          <w:sz w:val="24"/>
        </w:rPr>
        <w:t xml:space="preserve"> komerciālā</w:t>
      </w:r>
      <w:r w:rsidR="00461E72">
        <w:rPr>
          <w:sz w:val="24"/>
        </w:rPr>
        <w:t>s, ražošanas, biroju u.c. ēkās);</w:t>
      </w:r>
    </w:p>
    <w:p w:rsidR="00461E72" w:rsidRPr="00D043A6" w:rsidRDefault="00461E72" w:rsidP="00461E72">
      <w:pPr>
        <w:pStyle w:val="ListParagraph"/>
        <w:numPr>
          <w:ilvl w:val="0"/>
          <w:numId w:val="12"/>
        </w:numPr>
        <w:jc w:val="both"/>
        <w:rPr>
          <w:sz w:val="24"/>
        </w:rPr>
      </w:pPr>
      <w:r w:rsidRPr="00461E72">
        <w:rPr>
          <w:sz w:val="24"/>
        </w:rPr>
        <w:t>atbalsta mehānismiem ir jāatbilst ES valsts atbalsta normām</w:t>
      </w:r>
      <w:r>
        <w:rPr>
          <w:sz w:val="24"/>
        </w:rPr>
        <w:t>.</w:t>
      </w:r>
    </w:p>
    <w:p w:rsidR="00527931" w:rsidRPr="00D043A6" w:rsidRDefault="00527931" w:rsidP="00527931">
      <w:pPr>
        <w:pStyle w:val="ListParagraph"/>
        <w:ind w:left="420"/>
        <w:jc w:val="both"/>
        <w:rPr>
          <w:sz w:val="24"/>
        </w:rPr>
      </w:pPr>
    </w:p>
    <w:p w:rsidR="00836FF3" w:rsidRPr="00D043A6" w:rsidRDefault="00527931" w:rsidP="000E3294">
      <w:pPr>
        <w:ind w:firstLine="720"/>
        <w:jc w:val="both"/>
        <w:rPr>
          <w:sz w:val="24"/>
        </w:rPr>
      </w:pPr>
      <w:r w:rsidRPr="00D043A6">
        <w:rPr>
          <w:sz w:val="24"/>
        </w:rPr>
        <w:t xml:space="preserve">Vienlaikus ievērojot to, ka </w:t>
      </w:r>
      <w:r w:rsidR="000E37EC" w:rsidRPr="00D043A6">
        <w:rPr>
          <w:sz w:val="24"/>
        </w:rPr>
        <w:t xml:space="preserve">tikai </w:t>
      </w:r>
      <w:r w:rsidRPr="00D043A6">
        <w:rPr>
          <w:sz w:val="24"/>
        </w:rPr>
        <w:t xml:space="preserve">ar atbalsta mehānismu, kas </w:t>
      </w:r>
      <w:r w:rsidR="00F24127" w:rsidRPr="00D043A6">
        <w:rPr>
          <w:sz w:val="24"/>
        </w:rPr>
        <w:t xml:space="preserve">ietver tikai </w:t>
      </w:r>
      <w:r w:rsidRPr="00D043A6">
        <w:rPr>
          <w:sz w:val="24"/>
        </w:rPr>
        <w:t>publiskā sektora līdzekļ</w:t>
      </w:r>
      <w:r w:rsidR="00F24127" w:rsidRPr="00D043A6">
        <w:rPr>
          <w:sz w:val="24"/>
        </w:rPr>
        <w:t>us,</w:t>
      </w:r>
      <w:r w:rsidRPr="00D043A6">
        <w:rPr>
          <w:sz w:val="24"/>
        </w:rPr>
        <w:t xml:space="preserve"> nebūs iespējams nodrošināt sasniedzamo</w:t>
      </w:r>
      <w:r w:rsidR="00F24127" w:rsidRPr="00D043A6">
        <w:rPr>
          <w:sz w:val="24"/>
        </w:rPr>
        <w:t>s</w:t>
      </w:r>
      <w:r w:rsidRPr="00D043A6">
        <w:rPr>
          <w:sz w:val="24"/>
        </w:rPr>
        <w:t xml:space="preserve"> </w:t>
      </w:r>
      <w:r w:rsidR="00F24127" w:rsidRPr="00D043A6">
        <w:rPr>
          <w:sz w:val="24"/>
        </w:rPr>
        <w:t xml:space="preserve">mērķus </w:t>
      </w:r>
      <w:r w:rsidR="00836FF3" w:rsidRPr="00D043A6">
        <w:rPr>
          <w:sz w:val="24"/>
        </w:rPr>
        <w:t xml:space="preserve">ēku energoefektivitātes uzlabošanai, </w:t>
      </w:r>
      <w:r w:rsidR="00F24127" w:rsidRPr="00D043A6">
        <w:rPr>
          <w:sz w:val="24"/>
        </w:rPr>
        <w:t xml:space="preserve">ir </w:t>
      </w:r>
      <w:r w:rsidR="00836FF3" w:rsidRPr="00D043A6">
        <w:rPr>
          <w:sz w:val="24"/>
        </w:rPr>
        <w:t>jāveido nosacījumi, kas sekmētu privātu finanšu līdzekļu piesaisti Latvijas energopakalpojumu tirgū</w:t>
      </w:r>
      <w:r w:rsidR="00416199">
        <w:rPr>
          <w:sz w:val="24"/>
        </w:rPr>
        <w:t>, piemēram izmantojot ESKO līgumus</w:t>
      </w:r>
      <w:r w:rsidR="00836FF3" w:rsidRPr="00D043A6">
        <w:rPr>
          <w:sz w:val="24"/>
        </w:rPr>
        <w:t>.</w:t>
      </w:r>
    </w:p>
    <w:p w:rsidR="00C91E98" w:rsidRPr="00D043A6" w:rsidRDefault="00C91E98" w:rsidP="00C91E98">
      <w:pPr>
        <w:ind w:firstLine="720"/>
        <w:jc w:val="both"/>
        <w:rPr>
          <w:sz w:val="24"/>
        </w:rPr>
      </w:pPr>
      <w:r w:rsidRPr="00D043A6">
        <w:rPr>
          <w:sz w:val="24"/>
        </w:rPr>
        <w:t xml:space="preserve">Direktīvas 2012/27/ES 4. pants nosaka </w:t>
      </w:r>
      <w:r w:rsidR="00D918A5" w:rsidRPr="00D043A6">
        <w:rPr>
          <w:sz w:val="24"/>
        </w:rPr>
        <w:t>dalībvalstīm</w:t>
      </w:r>
      <w:r w:rsidRPr="00D043A6">
        <w:rPr>
          <w:sz w:val="24"/>
        </w:rPr>
        <w:t xml:space="preserve"> pienākumu izstrādāt ilgtermiņa stratēģiju, lai mobilizētu ieguldījumus gan valsts, gan privāto dzīvojamo ēku un komercplatību fonda renovācijā (Stratēģijas pirmo versiju dalībvalstis publicē  līdz 2014. gada 30. aprīlim).</w:t>
      </w:r>
    </w:p>
    <w:p w:rsidR="00D605F2" w:rsidRPr="00D043A6" w:rsidRDefault="000E37EC" w:rsidP="00D605F2">
      <w:pPr>
        <w:ind w:firstLine="720"/>
        <w:jc w:val="both"/>
        <w:rPr>
          <w:sz w:val="24"/>
        </w:rPr>
      </w:pPr>
      <w:r>
        <w:rPr>
          <w:sz w:val="24"/>
        </w:rPr>
        <w:lastRenderedPageBreak/>
        <w:t>Papildus</w:t>
      </w:r>
      <w:r w:rsidR="00D605F2" w:rsidRPr="00D043A6">
        <w:rPr>
          <w:sz w:val="24"/>
        </w:rPr>
        <w:t xml:space="preserve"> jāņem vērā, ka direktīva 2010/31/ES nosaka dalībvalstīm minimālo ēku energoefektivitātes prasību noteikšanu, kā arī regulāru pārskatīšanu laikposmos, kas nav ilgāki par pieciem gadiem un vajadzības gadījumā, lai ņemtu vērā tehnoloģiju attīstību būvniecības nozarē. Minimālo ēku energoefektivitātes prasību noteikšana veicama saskaņā ar Regulu 2012/244</w:t>
      </w:r>
      <w:r w:rsidR="00D40F9E" w:rsidRPr="00D043A6">
        <w:rPr>
          <w:rStyle w:val="FootnoteReference"/>
          <w:sz w:val="24"/>
        </w:rPr>
        <w:footnoteReference w:id="48"/>
      </w:r>
      <w:r w:rsidR="00D605F2" w:rsidRPr="00D043A6">
        <w:rPr>
          <w:sz w:val="24"/>
        </w:rPr>
        <w:t xml:space="preserve"> un lai panāktu izmaksu ziņā optimālu līdzsvaru starp iesaistītajiem ieguldījumiem un ēkas aprites cikla laikā ietaupītajām enerģijas izmaksām. Prasības izpildei Ekonomikas ministrija plāno pārskatīt minimālās energoefektivitātes prasības jaunām, rekonstruējamām un renovējamām ēkām, nosakot augstākas prasības ēku norobežojošām konstrukcijām un ēku tehniskajām sistēmām būvniecību regulējošos normatīvos aktos.</w:t>
      </w:r>
      <w:r>
        <w:rPr>
          <w:sz w:val="24"/>
        </w:rPr>
        <w:t xml:space="preserve"> Bez tam</w:t>
      </w:r>
      <w:r w:rsidR="00D40F9E" w:rsidRPr="00D043A6">
        <w:rPr>
          <w:sz w:val="24"/>
        </w:rPr>
        <w:t xml:space="preserve"> a</w:t>
      </w:r>
      <w:r w:rsidR="00D605F2" w:rsidRPr="00D043A6">
        <w:rPr>
          <w:sz w:val="24"/>
        </w:rPr>
        <w:t>rī attiecībā uz esošām ēkām tiek plānots pārskatīt minimālās energoefektivitātes prasības, samazinot pieļaujamā siltumenerģijas patēriņa slieksni daudzdzīvokļu dzīvojamām ēkām normatīvos aktos ēku pārvaldīšanas jomā.</w:t>
      </w:r>
      <w:r w:rsidR="00D40F9E" w:rsidRPr="00D043A6">
        <w:rPr>
          <w:sz w:val="24"/>
        </w:rPr>
        <w:t xml:space="preserve"> Kaut arī augstāku ēku energoefektivitātes prasību izpilde</w:t>
      </w:r>
      <w:r w:rsidR="00226EE8" w:rsidRPr="00D043A6">
        <w:rPr>
          <w:sz w:val="24"/>
        </w:rPr>
        <w:t xml:space="preserve"> ir</w:t>
      </w:r>
      <w:r w:rsidR="00D40F9E" w:rsidRPr="00D043A6">
        <w:rPr>
          <w:sz w:val="24"/>
        </w:rPr>
        <w:t xml:space="preserve"> saistīta ar lielāku sākotnējo investīciju </w:t>
      </w:r>
      <w:r w:rsidR="00226EE8" w:rsidRPr="00D043A6">
        <w:rPr>
          <w:sz w:val="24"/>
        </w:rPr>
        <w:t>nepieciešamību</w:t>
      </w:r>
      <w:r w:rsidR="00D40F9E" w:rsidRPr="00D043A6">
        <w:rPr>
          <w:sz w:val="24"/>
        </w:rPr>
        <w:t>, ilgtermiņā tā ir izdevīga gan ēkas īpašniekam, gan arī tautsaimniecībai kopumā</w:t>
      </w:r>
      <w:r w:rsidR="00226EE8" w:rsidRPr="00D043A6">
        <w:rPr>
          <w:sz w:val="24"/>
        </w:rPr>
        <w:t>.</w:t>
      </w:r>
    </w:p>
    <w:p w:rsidR="00D605F2" w:rsidRPr="00D043A6" w:rsidRDefault="00D605F2" w:rsidP="008607DA">
      <w:pPr>
        <w:ind w:firstLine="720"/>
        <w:jc w:val="both"/>
        <w:rPr>
          <w:sz w:val="24"/>
        </w:rPr>
      </w:pPr>
    </w:p>
    <w:p w:rsidR="00AD367A" w:rsidRPr="00D043A6" w:rsidRDefault="000E3294" w:rsidP="008607DA">
      <w:pPr>
        <w:ind w:firstLine="720"/>
        <w:jc w:val="both"/>
        <w:rPr>
          <w:sz w:val="24"/>
        </w:rPr>
      </w:pPr>
      <w:r w:rsidRPr="00D043A6">
        <w:rPr>
          <w:sz w:val="24"/>
        </w:rPr>
        <w:t>Lai nodrošinātu politikas plānošanas dokumentos noteikto mērķu energoefektivitātes jomā sasniegšanu, kā arī citu z</w:t>
      </w:r>
      <w:r w:rsidR="00AD367A" w:rsidRPr="00D043A6">
        <w:rPr>
          <w:sz w:val="24"/>
        </w:rPr>
        <w:t>iņojumā aprakstīto jautājumu risināšanai</w:t>
      </w:r>
      <w:r w:rsidR="00402312" w:rsidRPr="00D043A6">
        <w:rPr>
          <w:sz w:val="24"/>
        </w:rPr>
        <w:t xml:space="preserve"> </w:t>
      </w:r>
      <w:r w:rsidR="00AD367A" w:rsidRPr="00D043A6">
        <w:rPr>
          <w:sz w:val="24"/>
        </w:rPr>
        <w:t>nepieciešama šādu uzdevumu izpilde:</w:t>
      </w:r>
    </w:p>
    <w:p w:rsidR="00E218A8" w:rsidRPr="00D043A6" w:rsidRDefault="00AD367A" w:rsidP="00C91E98">
      <w:pPr>
        <w:pStyle w:val="ListParagraph"/>
        <w:numPr>
          <w:ilvl w:val="0"/>
          <w:numId w:val="25"/>
        </w:numPr>
        <w:jc w:val="both"/>
        <w:rPr>
          <w:sz w:val="24"/>
        </w:rPr>
      </w:pPr>
      <w:r w:rsidRPr="00D043A6">
        <w:rPr>
          <w:sz w:val="24"/>
        </w:rPr>
        <w:t>lai sekmētu ēku energoef</w:t>
      </w:r>
      <w:r w:rsidR="0028702F" w:rsidRPr="00D043A6">
        <w:rPr>
          <w:sz w:val="24"/>
        </w:rPr>
        <w:t xml:space="preserve">ektivitātes uzlabošanu, </w:t>
      </w:r>
      <w:r w:rsidRPr="00D043A6">
        <w:rPr>
          <w:sz w:val="24"/>
        </w:rPr>
        <w:t xml:space="preserve">nākamajā </w:t>
      </w:r>
      <w:r w:rsidR="0028702F" w:rsidRPr="00D043A6">
        <w:rPr>
          <w:sz w:val="24"/>
        </w:rPr>
        <w:t>2014. – 2020. gada ES fondu plānošanās period</w:t>
      </w:r>
      <w:r w:rsidR="00E218A8" w:rsidRPr="00D043A6">
        <w:rPr>
          <w:sz w:val="24"/>
        </w:rPr>
        <w:t xml:space="preserve">ā jāparedz finansējums ēku sektora energoefektivitātes pasākumiem, kas būtu izmantojami gan publiskajam sektoram (valsts un pašvaldību ēkām), gan kopīpašumā esošām daudzdzīvokļu mājām, gan arī </w:t>
      </w:r>
      <w:r w:rsidR="000D389B" w:rsidRPr="00D043A6">
        <w:rPr>
          <w:sz w:val="24"/>
        </w:rPr>
        <w:t>dažāda</w:t>
      </w:r>
      <w:r w:rsidR="00E218A8" w:rsidRPr="00D043A6">
        <w:rPr>
          <w:sz w:val="24"/>
        </w:rPr>
        <w:t xml:space="preserve"> </w:t>
      </w:r>
      <w:r w:rsidR="000D389B" w:rsidRPr="00D043A6">
        <w:rPr>
          <w:sz w:val="24"/>
        </w:rPr>
        <w:t>tipa</w:t>
      </w:r>
      <w:r w:rsidR="00E218A8" w:rsidRPr="00D043A6">
        <w:rPr>
          <w:sz w:val="24"/>
        </w:rPr>
        <w:t xml:space="preserve"> privātīpašumā esošām ēkām (dzīvojamām, komercpakalpojumu un ražošanas)</w:t>
      </w:r>
      <w:r w:rsidR="000D389B" w:rsidRPr="00D043A6">
        <w:rPr>
          <w:sz w:val="24"/>
        </w:rPr>
        <w:t>;</w:t>
      </w:r>
    </w:p>
    <w:p w:rsidR="00AD367A" w:rsidRPr="0037214A" w:rsidRDefault="00E218A8" w:rsidP="0037214A">
      <w:pPr>
        <w:pStyle w:val="ListParagraph"/>
        <w:numPr>
          <w:ilvl w:val="0"/>
          <w:numId w:val="25"/>
        </w:numPr>
        <w:jc w:val="both"/>
        <w:rPr>
          <w:sz w:val="24"/>
        </w:rPr>
      </w:pPr>
      <w:r w:rsidRPr="0037214A">
        <w:rPr>
          <w:sz w:val="24"/>
        </w:rPr>
        <w:t xml:space="preserve">ēku energoefektivitātes pasākumu īstenošanai jāveido ilgtspējīgs finansēšanas modelis (rotācijas fonds), attiecībā uz daudzdzīvokļu </w:t>
      </w:r>
      <w:r w:rsidR="0028702F" w:rsidRPr="00872818">
        <w:rPr>
          <w:sz w:val="24"/>
        </w:rPr>
        <w:t xml:space="preserve">dzīvojamo </w:t>
      </w:r>
      <w:r w:rsidRPr="00872818">
        <w:rPr>
          <w:sz w:val="24"/>
        </w:rPr>
        <w:t>māju</w:t>
      </w:r>
      <w:r w:rsidR="0028702F" w:rsidRPr="00872818">
        <w:rPr>
          <w:sz w:val="24"/>
        </w:rPr>
        <w:t xml:space="preserve"> </w:t>
      </w:r>
      <w:r w:rsidRPr="00872818">
        <w:rPr>
          <w:sz w:val="24"/>
        </w:rPr>
        <w:t>sektoru</w:t>
      </w:r>
      <w:r w:rsidR="0028702F" w:rsidRPr="00872818">
        <w:rPr>
          <w:sz w:val="24"/>
        </w:rPr>
        <w:t xml:space="preserve">, </w:t>
      </w:r>
      <w:r w:rsidRPr="00872818">
        <w:rPr>
          <w:sz w:val="24"/>
        </w:rPr>
        <w:t xml:space="preserve">svarīgi, lai tiktu </w:t>
      </w:r>
      <w:r w:rsidR="0028702F" w:rsidRPr="0037214A">
        <w:rPr>
          <w:sz w:val="24"/>
        </w:rPr>
        <w:t>nodrošināt</w:t>
      </w:r>
      <w:r w:rsidRPr="0037214A">
        <w:rPr>
          <w:sz w:val="24"/>
        </w:rPr>
        <w:t>s</w:t>
      </w:r>
      <w:r w:rsidR="0028702F" w:rsidRPr="0037214A">
        <w:rPr>
          <w:sz w:val="24"/>
        </w:rPr>
        <w:t xml:space="preserve"> vismaz tād</w:t>
      </w:r>
      <w:r w:rsidRPr="0037214A">
        <w:rPr>
          <w:sz w:val="24"/>
        </w:rPr>
        <w:t>s</w:t>
      </w:r>
      <w:r w:rsidR="0028702F" w:rsidRPr="0037214A">
        <w:rPr>
          <w:sz w:val="24"/>
        </w:rPr>
        <w:t xml:space="preserve"> pa</w:t>
      </w:r>
      <w:r w:rsidRPr="0037214A">
        <w:rPr>
          <w:sz w:val="24"/>
        </w:rPr>
        <w:t>ts</w:t>
      </w:r>
      <w:r w:rsidR="0028702F" w:rsidRPr="0037214A">
        <w:rPr>
          <w:sz w:val="24"/>
        </w:rPr>
        <w:t xml:space="preserve"> pieprasījum</w:t>
      </w:r>
      <w:r w:rsidRPr="0037214A">
        <w:rPr>
          <w:sz w:val="24"/>
        </w:rPr>
        <w:t>s</w:t>
      </w:r>
      <w:r w:rsidR="0028702F" w:rsidRPr="0037214A">
        <w:rPr>
          <w:sz w:val="24"/>
        </w:rPr>
        <w:t>, kā šobrīd īstenot</w:t>
      </w:r>
      <w:r w:rsidRPr="0037214A">
        <w:rPr>
          <w:sz w:val="24"/>
        </w:rPr>
        <w:t>ajā</w:t>
      </w:r>
      <w:r w:rsidR="0028702F" w:rsidRPr="0037214A">
        <w:rPr>
          <w:sz w:val="24"/>
        </w:rPr>
        <w:t xml:space="preserve"> DMS aktivitāt</w:t>
      </w:r>
      <w:r w:rsidRPr="0037214A">
        <w:rPr>
          <w:sz w:val="24"/>
        </w:rPr>
        <w:t>ē</w:t>
      </w:r>
      <w:r w:rsidR="0028702F" w:rsidRPr="0037214A">
        <w:rPr>
          <w:sz w:val="24"/>
        </w:rPr>
        <w:t>;</w:t>
      </w:r>
    </w:p>
    <w:p w:rsidR="00556733" w:rsidRPr="00D043A6" w:rsidRDefault="00556733" w:rsidP="00362CE2">
      <w:pPr>
        <w:pStyle w:val="ListParagraph"/>
        <w:numPr>
          <w:ilvl w:val="0"/>
          <w:numId w:val="25"/>
        </w:numPr>
        <w:jc w:val="both"/>
        <w:rPr>
          <w:sz w:val="24"/>
        </w:rPr>
      </w:pPr>
      <w:r w:rsidRPr="00D043A6">
        <w:rPr>
          <w:sz w:val="24"/>
        </w:rPr>
        <w:t xml:space="preserve">atbalsta instrumentiem, kuru projektu finansēšana paredzēta ar komercbanku </w:t>
      </w:r>
      <w:r w:rsidR="00D918A5" w:rsidRPr="00D043A6">
        <w:rPr>
          <w:sz w:val="24"/>
        </w:rPr>
        <w:t>starpniecību</w:t>
      </w:r>
      <w:r w:rsidRPr="00D043A6">
        <w:rPr>
          <w:sz w:val="24"/>
        </w:rPr>
        <w:t>, jāveido nosacījumi, kas palīdzētu samazināt banku kredītriskus</w:t>
      </w:r>
      <w:r w:rsidR="00362CE2" w:rsidRPr="00D043A6">
        <w:rPr>
          <w:sz w:val="24"/>
        </w:rPr>
        <w:t>, piemēram, papildu garantijas (portfeļgarantijas)</w:t>
      </w:r>
      <w:r w:rsidRPr="00D043A6">
        <w:rPr>
          <w:sz w:val="24"/>
        </w:rPr>
        <w:t>;</w:t>
      </w:r>
    </w:p>
    <w:p w:rsidR="00032F82" w:rsidRPr="00D043A6" w:rsidRDefault="000D389B" w:rsidP="00C91E98">
      <w:pPr>
        <w:pStyle w:val="ListParagraph"/>
        <w:numPr>
          <w:ilvl w:val="0"/>
          <w:numId w:val="25"/>
        </w:numPr>
        <w:jc w:val="both"/>
        <w:rPr>
          <w:sz w:val="24"/>
        </w:rPr>
      </w:pPr>
      <w:r w:rsidRPr="00D043A6">
        <w:rPr>
          <w:sz w:val="24"/>
        </w:rPr>
        <w:t>jāveido</w:t>
      </w:r>
      <w:r w:rsidR="00BE7006" w:rsidRPr="00D043A6">
        <w:rPr>
          <w:sz w:val="24"/>
        </w:rPr>
        <w:t xml:space="preserve"> nosacījumi</w:t>
      </w:r>
      <w:r w:rsidR="00032F82" w:rsidRPr="00D043A6">
        <w:rPr>
          <w:sz w:val="24"/>
        </w:rPr>
        <w:t xml:space="preserve"> alternatīvu </w:t>
      </w:r>
      <w:r w:rsidRPr="00D043A6">
        <w:rPr>
          <w:sz w:val="24"/>
        </w:rPr>
        <w:t xml:space="preserve">energoefektivitātes pasākumu ieviešanas </w:t>
      </w:r>
      <w:r w:rsidR="00F50325" w:rsidRPr="00D043A6">
        <w:rPr>
          <w:sz w:val="24"/>
        </w:rPr>
        <w:t>modeļu (piemēram, ESKO un PE</w:t>
      </w:r>
      <w:r w:rsidR="00032F82" w:rsidRPr="00D043A6">
        <w:rPr>
          <w:sz w:val="24"/>
        </w:rPr>
        <w:t xml:space="preserve">KO) </w:t>
      </w:r>
      <w:r w:rsidR="00BE7006" w:rsidRPr="00D043A6">
        <w:rPr>
          <w:sz w:val="24"/>
        </w:rPr>
        <w:t>izmantošanai un labākai</w:t>
      </w:r>
      <w:r w:rsidR="00032F82" w:rsidRPr="00D043A6">
        <w:rPr>
          <w:sz w:val="24"/>
        </w:rPr>
        <w:t xml:space="preserve"> funkcionēšana</w:t>
      </w:r>
      <w:r w:rsidRPr="00D043A6">
        <w:rPr>
          <w:sz w:val="24"/>
        </w:rPr>
        <w:t>i</w:t>
      </w:r>
      <w:r w:rsidR="00032F82" w:rsidRPr="00D043A6">
        <w:rPr>
          <w:sz w:val="24"/>
        </w:rPr>
        <w:t xml:space="preserve">, tādējādi paplašinot pieejamo risinājumu </w:t>
      </w:r>
      <w:r w:rsidR="00F162AF" w:rsidRPr="00D043A6">
        <w:rPr>
          <w:sz w:val="24"/>
        </w:rPr>
        <w:t xml:space="preserve">un finanšu avotu </w:t>
      </w:r>
      <w:r w:rsidR="00032F82" w:rsidRPr="00D043A6">
        <w:rPr>
          <w:sz w:val="24"/>
        </w:rPr>
        <w:t xml:space="preserve">klāstu; </w:t>
      </w:r>
    </w:p>
    <w:p w:rsidR="0028702F" w:rsidRPr="00D043A6" w:rsidRDefault="0028702F" w:rsidP="00C91E98">
      <w:pPr>
        <w:pStyle w:val="ListParagraph"/>
        <w:numPr>
          <w:ilvl w:val="0"/>
          <w:numId w:val="25"/>
        </w:numPr>
        <w:jc w:val="both"/>
        <w:rPr>
          <w:sz w:val="24"/>
        </w:rPr>
      </w:pPr>
      <w:r w:rsidRPr="00D043A6">
        <w:rPr>
          <w:sz w:val="24"/>
        </w:rPr>
        <w:t xml:space="preserve">jāizvērtē </w:t>
      </w:r>
      <w:r w:rsidR="00046592" w:rsidRPr="00D043A6">
        <w:rPr>
          <w:sz w:val="24"/>
        </w:rPr>
        <w:t>iespējas veikt uzlabojumu</w:t>
      </w:r>
      <w:r w:rsidR="000D389B" w:rsidRPr="00D043A6">
        <w:rPr>
          <w:sz w:val="24"/>
        </w:rPr>
        <w:t>s</w:t>
      </w:r>
      <w:r w:rsidR="00046592" w:rsidRPr="00D043A6">
        <w:rPr>
          <w:sz w:val="24"/>
        </w:rPr>
        <w:t xml:space="preserve"> </w:t>
      </w:r>
      <w:r w:rsidRPr="00D043A6">
        <w:rPr>
          <w:sz w:val="24"/>
        </w:rPr>
        <w:t>normatīvos akt</w:t>
      </w:r>
      <w:r w:rsidR="00046592" w:rsidRPr="00D043A6">
        <w:rPr>
          <w:sz w:val="24"/>
        </w:rPr>
        <w:t xml:space="preserve">os </w:t>
      </w:r>
      <w:r w:rsidR="00E47E98" w:rsidRPr="00D043A6">
        <w:rPr>
          <w:sz w:val="24"/>
        </w:rPr>
        <w:t xml:space="preserve">dzīvojamo </w:t>
      </w:r>
      <w:r w:rsidR="00046592" w:rsidRPr="00D043A6">
        <w:rPr>
          <w:sz w:val="24"/>
        </w:rPr>
        <w:t xml:space="preserve">māju pārvaldīšanas </w:t>
      </w:r>
      <w:r w:rsidRPr="00D043A6">
        <w:rPr>
          <w:sz w:val="24"/>
        </w:rPr>
        <w:t xml:space="preserve">jomā, lai </w:t>
      </w:r>
      <w:r w:rsidR="00E47E98" w:rsidRPr="00D043A6">
        <w:rPr>
          <w:sz w:val="24"/>
        </w:rPr>
        <w:t>nodrošinātu efektīvāku</w:t>
      </w:r>
      <w:r w:rsidRPr="00D043A6">
        <w:rPr>
          <w:sz w:val="24"/>
        </w:rPr>
        <w:t xml:space="preserve"> dzīvojamo māju pārvaldīšanu un </w:t>
      </w:r>
      <w:r w:rsidR="00E47E98" w:rsidRPr="00D043A6">
        <w:rPr>
          <w:sz w:val="24"/>
        </w:rPr>
        <w:t xml:space="preserve">operatīvāku </w:t>
      </w:r>
      <w:r w:rsidRPr="00D043A6">
        <w:rPr>
          <w:sz w:val="24"/>
        </w:rPr>
        <w:t>lēmumu pieņemšanu;</w:t>
      </w:r>
    </w:p>
    <w:p w:rsidR="00032F82" w:rsidRPr="00D043A6" w:rsidRDefault="00032F82" w:rsidP="00AA5AE8">
      <w:pPr>
        <w:pStyle w:val="ListParagraph"/>
        <w:numPr>
          <w:ilvl w:val="0"/>
          <w:numId w:val="25"/>
        </w:numPr>
        <w:jc w:val="both"/>
        <w:rPr>
          <w:sz w:val="24"/>
        </w:rPr>
      </w:pPr>
      <w:r w:rsidRPr="00D043A6">
        <w:rPr>
          <w:sz w:val="24"/>
        </w:rPr>
        <w:t xml:space="preserve">lai sekmētu ēku renovāciju, </w:t>
      </w:r>
      <w:r w:rsidR="00AA5AE8" w:rsidRPr="00AA5AE8">
        <w:rPr>
          <w:sz w:val="24"/>
        </w:rPr>
        <w:t>pašvaldībām savos saistošajos noteikumos ir tiesības noteikt tādus nekustamā īpašuma nodokļa atvieglojumus vai piemērojamo likmi, kas palielinātu ēku īpašnieku interesi veikt ēkas energoefektivitātes uzlabošanas pasākumus</w:t>
      </w:r>
      <w:r w:rsidR="00AA5AE8">
        <w:rPr>
          <w:sz w:val="24"/>
        </w:rPr>
        <w:t>;</w:t>
      </w:r>
    </w:p>
    <w:p w:rsidR="00AD367A" w:rsidRPr="00F30B0C" w:rsidRDefault="00AE1BD2" w:rsidP="00D96433">
      <w:pPr>
        <w:pStyle w:val="ListParagraph"/>
        <w:numPr>
          <w:ilvl w:val="0"/>
          <w:numId w:val="25"/>
        </w:numPr>
        <w:jc w:val="both"/>
        <w:rPr>
          <w:sz w:val="24"/>
        </w:rPr>
      </w:pPr>
      <w:r w:rsidRPr="00F30B0C">
        <w:rPr>
          <w:sz w:val="24"/>
        </w:rPr>
        <w:t xml:space="preserve">jāveic </w:t>
      </w:r>
      <w:r w:rsidR="00BE69B8" w:rsidRPr="00F30B0C">
        <w:rPr>
          <w:sz w:val="24"/>
        </w:rPr>
        <w:t xml:space="preserve">enerģijas patēriņa </w:t>
      </w:r>
      <w:r w:rsidR="00032F82" w:rsidRPr="00F30B0C">
        <w:rPr>
          <w:sz w:val="24"/>
        </w:rPr>
        <w:t xml:space="preserve">valsts sektora </w:t>
      </w:r>
      <w:r w:rsidR="00BE69B8" w:rsidRPr="00F30B0C">
        <w:rPr>
          <w:sz w:val="24"/>
        </w:rPr>
        <w:t xml:space="preserve">ēkās </w:t>
      </w:r>
      <w:r w:rsidR="00032F82" w:rsidRPr="00F30B0C">
        <w:rPr>
          <w:sz w:val="24"/>
        </w:rPr>
        <w:t>apzināšana, šo ēku energoefektivitātes novērtēšana un energosertificēšana, kā arī energoefektivitātes pasākumu plānošana</w:t>
      </w:r>
      <w:r w:rsidR="000D389B" w:rsidRPr="00F30B0C">
        <w:rPr>
          <w:sz w:val="24"/>
        </w:rPr>
        <w:t xml:space="preserve"> un īstenošana</w:t>
      </w:r>
      <w:r w:rsidR="00D96433" w:rsidRPr="00F30B0C">
        <w:rPr>
          <w:sz w:val="24"/>
        </w:rPr>
        <w:t xml:space="preserve">. (Attiecībā uz šo jautājumu Latvijas Pašvaldību savienība ir norādījusi, ka būtu nepieciešams ziņojumam pievienot protokollēmumu, kurā būtu paredzēts uzdevums Finanšu ministrijai līdz 2014. gada 1. janvārim apzināt valsts īpašumā esošās ēkas un to tehnisko stāvokli. Šis Latvijas Pašvaldību savienības iebildums nav ņemts vērā. Ziņojuma 2.6.sadaļā ir norādīts, ka </w:t>
      </w:r>
      <w:r w:rsidR="00325877" w:rsidRPr="00F30B0C">
        <w:rPr>
          <w:sz w:val="24"/>
        </w:rPr>
        <w:t xml:space="preserve">Ekonomikas ministrija līdz 2013. gada 15. jūnijam plāno </w:t>
      </w:r>
      <w:r w:rsidR="00325877" w:rsidRPr="00F30B0C">
        <w:rPr>
          <w:sz w:val="24"/>
        </w:rPr>
        <w:lastRenderedPageBreak/>
        <w:t>izstādāt un iesniegt Ministru kabinetā koncepciju par Direktīvas 2012/27/ES prasību pārņemšanai normatīvajos aktos.</w:t>
      </w:r>
      <w:r w:rsidR="00D96433" w:rsidRPr="00F30B0C">
        <w:rPr>
          <w:sz w:val="24"/>
        </w:rPr>
        <w:t>)</w:t>
      </w:r>
    </w:p>
    <w:p w:rsidR="00032F82" w:rsidRPr="00D043A6" w:rsidRDefault="00032F82" w:rsidP="00032F82">
      <w:pPr>
        <w:jc w:val="both"/>
        <w:rPr>
          <w:sz w:val="24"/>
        </w:rPr>
      </w:pPr>
    </w:p>
    <w:p w:rsidR="00677718" w:rsidRPr="00D043A6" w:rsidRDefault="00960E58" w:rsidP="00CD2B2F">
      <w:pPr>
        <w:ind w:firstLine="720"/>
        <w:jc w:val="both"/>
        <w:rPr>
          <w:sz w:val="24"/>
        </w:rPr>
      </w:pPr>
      <w:r w:rsidRPr="00D043A6">
        <w:rPr>
          <w:sz w:val="24"/>
        </w:rPr>
        <w:t xml:space="preserve">Vērtējot </w:t>
      </w:r>
      <w:r w:rsidR="001000B2" w:rsidRPr="00D043A6">
        <w:rPr>
          <w:sz w:val="24"/>
        </w:rPr>
        <w:t xml:space="preserve">ēku </w:t>
      </w:r>
      <w:r w:rsidRPr="00D043A6">
        <w:rPr>
          <w:sz w:val="24"/>
        </w:rPr>
        <w:t>energoefektivitāte</w:t>
      </w:r>
      <w:r w:rsidR="001000B2" w:rsidRPr="00D043A6">
        <w:rPr>
          <w:sz w:val="24"/>
        </w:rPr>
        <w:t>s uzlabošana</w:t>
      </w:r>
      <w:r w:rsidR="00301E24" w:rsidRPr="00D043A6">
        <w:rPr>
          <w:sz w:val="24"/>
        </w:rPr>
        <w:t>s ieguldījumu</w:t>
      </w:r>
      <w:r w:rsidR="001000B2" w:rsidRPr="00D043A6">
        <w:rPr>
          <w:sz w:val="24"/>
        </w:rPr>
        <w:t xml:space="preserve"> tautsaimniecisko nozīmi, jāņem vērā, ka </w:t>
      </w:r>
      <w:r w:rsidR="00301E24" w:rsidRPr="00D043A6">
        <w:rPr>
          <w:sz w:val="24"/>
        </w:rPr>
        <w:t xml:space="preserve">ieguvēji ir ne tikai </w:t>
      </w:r>
      <w:r w:rsidR="00D57B51" w:rsidRPr="00D043A6">
        <w:rPr>
          <w:sz w:val="24"/>
        </w:rPr>
        <w:t>māju</w:t>
      </w:r>
      <w:r w:rsidR="00301E24" w:rsidRPr="00D043A6">
        <w:rPr>
          <w:sz w:val="24"/>
        </w:rPr>
        <w:t xml:space="preserve"> </w:t>
      </w:r>
      <w:r w:rsidR="00D57B51" w:rsidRPr="00D043A6">
        <w:rPr>
          <w:sz w:val="24"/>
        </w:rPr>
        <w:t xml:space="preserve">īpašnieki un </w:t>
      </w:r>
      <w:r w:rsidR="00301E24" w:rsidRPr="00D043A6">
        <w:rPr>
          <w:sz w:val="24"/>
        </w:rPr>
        <w:t xml:space="preserve">iedzīvotāji, </w:t>
      </w:r>
      <w:r w:rsidR="00D57B51" w:rsidRPr="00D043A6">
        <w:rPr>
          <w:sz w:val="24"/>
        </w:rPr>
        <w:t>bet</w:t>
      </w:r>
      <w:r w:rsidR="00CA2B05" w:rsidRPr="00D043A6">
        <w:rPr>
          <w:sz w:val="24"/>
        </w:rPr>
        <w:t xml:space="preserve"> arī būvmateriālu ražošanas</w:t>
      </w:r>
      <w:r w:rsidR="005E66D8" w:rsidRPr="00D043A6">
        <w:rPr>
          <w:sz w:val="24"/>
        </w:rPr>
        <w:t>, tirdzniecības</w:t>
      </w:r>
      <w:r w:rsidR="00CA2B05" w:rsidRPr="00D043A6">
        <w:rPr>
          <w:sz w:val="24"/>
        </w:rPr>
        <w:t xml:space="preserve"> un </w:t>
      </w:r>
      <w:r w:rsidR="00D57B51" w:rsidRPr="00D043A6">
        <w:rPr>
          <w:sz w:val="24"/>
        </w:rPr>
        <w:t xml:space="preserve">būvniecības nozare. </w:t>
      </w:r>
      <w:r w:rsidR="00C73233" w:rsidRPr="00D043A6">
        <w:rPr>
          <w:sz w:val="24"/>
        </w:rPr>
        <w:t>Pēc ekspertu vērtējuma</w:t>
      </w:r>
      <w:r w:rsidR="000E37EC">
        <w:rPr>
          <w:sz w:val="24"/>
        </w:rPr>
        <w:t>,</w:t>
      </w:r>
      <w:r w:rsidR="00C73233" w:rsidRPr="00D043A6">
        <w:rPr>
          <w:sz w:val="24"/>
        </w:rPr>
        <w:t xml:space="preserve"> no ēku </w:t>
      </w:r>
      <w:r w:rsidR="00677718" w:rsidRPr="00D043A6">
        <w:rPr>
          <w:sz w:val="24"/>
        </w:rPr>
        <w:t>energoefektivitātes</w:t>
      </w:r>
      <w:r w:rsidR="00C73233" w:rsidRPr="00D043A6">
        <w:rPr>
          <w:sz w:val="24"/>
        </w:rPr>
        <w:t xml:space="preserve"> uzlabošanas pasākumiem valsts</w:t>
      </w:r>
      <w:r w:rsidR="00CA585E" w:rsidRPr="00D043A6">
        <w:rPr>
          <w:sz w:val="24"/>
        </w:rPr>
        <w:t xml:space="preserve"> un pašvaldību</w:t>
      </w:r>
      <w:r w:rsidR="00C73233" w:rsidRPr="00D043A6">
        <w:rPr>
          <w:sz w:val="24"/>
        </w:rPr>
        <w:t xml:space="preserve"> budžetā nodokļu veidā</w:t>
      </w:r>
      <w:r w:rsidR="00E47E98" w:rsidRPr="00D043A6">
        <w:rPr>
          <w:sz w:val="24"/>
        </w:rPr>
        <w:t xml:space="preserve"> (pievienotās vērtības nodoklis, darba devēja un darba ņēmēja sociālā nodokļa iemaksas)</w:t>
      </w:r>
      <w:r w:rsidR="00C73233" w:rsidRPr="00D043A6">
        <w:rPr>
          <w:sz w:val="24"/>
        </w:rPr>
        <w:t xml:space="preserve"> būtu jānonāk līdz 30% no </w:t>
      </w:r>
      <w:r w:rsidR="00677718" w:rsidRPr="00D043A6">
        <w:rPr>
          <w:sz w:val="24"/>
        </w:rPr>
        <w:t xml:space="preserve">renovācijas </w:t>
      </w:r>
      <w:r w:rsidR="00C73233" w:rsidRPr="00D043A6">
        <w:rPr>
          <w:sz w:val="24"/>
        </w:rPr>
        <w:t>projektos investētajiem līdzekļiem</w:t>
      </w:r>
      <w:r w:rsidR="009360C6" w:rsidRPr="00D043A6">
        <w:rPr>
          <w:rStyle w:val="FootnoteReference"/>
          <w:sz w:val="24"/>
        </w:rPr>
        <w:footnoteReference w:id="49"/>
      </w:r>
      <w:r w:rsidR="00677718" w:rsidRPr="00D043A6">
        <w:rPr>
          <w:sz w:val="24"/>
        </w:rPr>
        <w:t>.</w:t>
      </w:r>
      <w:r w:rsidR="007762F1" w:rsidRPr="00D043A6">
        <w:rPr>
          <w:sz w:val="24"/>
        </w:rPr>
        <w:t xml:space="preserve"> </w:t>
      </w:r>
    </w:p>
    <w:p w:rsidR="0034600D" w:rsidRPr="00D043A6" w:rsidRDefault="0034600D" w:rsidP="00CD2B2F">
      <w:pPr>
        <w:ind w:firstLine="720"/>
        <w:jc w:val="both"/>
        <w:rPr>
          <w:sz w:val="24"/>
        </w:rPr>
      </w:pPr>
    </w:p>
    <w:p w:rsidR="009E4DD7" w:rsidRPr="00D043A6" w:rsidRDefault="009E4DD7">
      <w:pPr>
        <w:rPr>
          <w:sz w:val="24"/>
        </w:rPr>
      </w:pPr>
      <w:r w:rsidRPr="00D043A6">
        <w:rPr>
          <w:sz w:val="24"/>
        </w:rPr>
        <w:br w:type="page"/>
      </w:r>
    </w:p>
    <w:p w:rsidR="009E4DD7" w:rsidRPr="00D043A6" w:rsidRDefault="009E4DD7" w:rsidP="009E4DD7">
      <w:pPr>
        <w:jc w:val="center"/>
        <w:rPr>
          <w:sz w:val="24"/>
          <w:szCs w:val="24"/>
        </w:rPr>
      </w:pPr>
      <w:r w:rsidRPr="00D043A6">
        <w:rPr>
          <w:sz w:val="24"/>
          <w:szCs w:val="24"/>
        </w:rPr>
        <w:lastRenderedPageBreak/>
        <w:t>KOPSAVILKUMS</w:t>
      </w:r>
    </w:p>
    <w:p w:rsidR="009E4DD7" w:rsidRPr="00D043A6" w:rsidRDefault="009E4DD7" w:rsidP="009E4DD7">
      <w:pPr>
        <w:rPr>
          <w:sz w:val="24"/>
          <w:szCs w:val="24"/>
        </w:rPr>
      </w:pPr>
    </w:p>
    <w:p w:rsidR="00A5254A" w:rsidRPr="00D043A6" w:rsidRDefault="00A5254A" w:rsidP="009E4DD7">
      <w:pPr>
        <w:rPr>
          <w:sz w:val="24"/>
          <w:szCs w:val="24"/>
        </w:rPr>
      </w:pPr>
    </w:p>
    <w:p w:rsidR="004310B1" w:rsidRPr="00D043A6" w:rsidRDefault="004310B1" w:rsidP="004310B1">
      <w:pPr>
        <w:ind w:firstLine="720"/>
        <w:jc w:val="both"/>
        <w:rPr>
          <w:sz w:val="24"/>
        </w:rPr>
      </w:pPr>
      <w:r w:rsidRPr="00D043A6">
        <w:rPr>
          <w:sz w:val="24"/>
        </w:rPr>
        <w:t>Informatīvs ziņojums par ēku renovācijas finansēšanas risinājumiem (turpmāk – ziņojums) ir izstrādāts, lai novērtētu iepriekš un šobrīd pieejamo atbalsta programmu ēku energoefektivitātes uzlabošanai darbību un identificētu riskus, problēmas, iespējamos risinājumus un uzdevumus ēku sektora, īpaši mājokļu, energoefektivitātes uzlabošanas finansēšanai. Attiecībā uz publiskā sektora ēkām identificēti uzdevumi, kas izriet no ES direktīvām attiecībā uz valsts un pašvaldību ēkām.</w:t>
      </w:r>
    </w:p>
    <w:p w:rsidR="009E4DD7" w:rsidRPr="00D043A6" w:rsidRDefault="009E4DD7" w:rsidP="00A5254A">
      <w:pPr>
        <w:spacing w:before="240"/>
        <w:ind w:firstLine="720"/>
        <w:jc w:val="both"/>
        <w:rPr>
          <w:sz w:val="24"/>
          <w:szCs w:val="24"/>
        </w:rPr>
      </w:pPr>
      <w:r w:rsidRPr="00D043A6">
        <w:rPr>
          <w:sz w:val="24"/>
          <w:szCs w:val="24"/>
        </w:rPr>
        <w:t>Saskaņā ar aktuāliem ēku energoefektivitātes politikas d</w:t>
      </w:r>
      <w:r w:rsidR="00A5254A" w:rsidRPr="00D043A6">
        <w:rPr>
          <w:sz w:val="24"/>
          <w:szCs w:val="24"/>
        </w:rPr>
        <w:t>okumentos noteiktajiem mērķiem</w:t>
      </w:r>
      <w:r w:rsidRPr="00D043A6">
        <w:rPr>
          <w:sz w:val="24"/>
          <w:szCs w:val="24"/>
        </w:rPr>
        <w:t xml:space="preserve"> laika posmā līdz 2016. gadam jāsamazina vidējais īpatnējais siltumenerģijas patēriņš ēkās no 220-250 kWh/m</w:t>
      </w:r>
      <w:r w:rsidRPr="00D043A6">
        <w:rPr>
          <w:sz w:val="24"/>
          <w:szCs w:val="24"/>
          <w:vertAlign w:val="superscript"/>
        </w:rPr>
        <w:t>2</w:t>
      </w:r>
      <w:r w:rsidRPr="00D043A6">
        <w:rPr>
          <w:sz w:val="24"/>
          <w:szCs w:val="24"/>
        </w:rPr>
        <w:t>/gadā līdz 195 kWh/m</w:t>
      </w:r>
      <w:r w:rsidRPr="00D043A6">
        <w:rPr>
          <w:sz w:val="24"/>
          <w:szCs w:val="24"/>
          <w:vertAlign w:val="superscript"/>
        </w:rPr>
        <w:t>2</w:t>
      </w:r>
      <w:r w:rsidRPr="00D043A6">
        <w:rPr>
          <w:sz w:val="24"/>
          <w:szCs w:val="24"/>
        </w:rPr>
        <w:t xml:space="preserve">/gadā, savukārt  laika posmā līdz 2020. gadam </w:t>
      </w:r>
      <w:r w:rsidR="000E37EC">
        <w:rPr>
          <w:sz w:val="24"/>
          <w:szCs w:val="24"/>
        </w:rPr>
        <w:t xml:space="preserve">- </w:t>
      </w:r>
      <w:r w:rsidRPr="00D043A6">
        <w:rPr>
          <w:sz w:val="24"/>
          <w:szCs w:val="24"/>
        </w:rPr>
        <w:t>līdz 150 kWh/m</w:t>
      </w:r>
      <w:r w:rsidRPr="00D043A6">
        <w:rPr>
          <w:sz w:val="24"/>
          <w:szCs w:val="24"/>
          <w:vertAlign w:val="superscript"/>
        </w:rPr>
        <w:t>2</w:t>
      </w:r>
      <w:r w:rsidRPr="00D043A6">
        <w:rPr>
          <w:sz w:val="24"/>
          <w:szCs w:val="24"/>
        </w:rPr>
        <w:t xml:space="preserve">/gadā. </w:t>
      </w:r>
      <w:r w:rsidR="000E37EC">
        <w:rPr>
          <w:sz w:val="24"/>
          <w:szCs w:val="24"/>
        </w:rPr>
        <w:t>Attiecībā uz ilgtermiņa plāniem</w:t>
      </w:r>
      <w:r w:rsidRPr="00D043A6">
        <w:rPr>
          <w:sz w:val="24"/>
          <w:szCs w:val="24"/>
        </w:rPr>
        <w:t xml:space="preserve"> jāņem vērā mērķi un uzdevumi, kas iekļauti politikas plānošanas dokumentu projektos: 1) </w:t>
      </w:r>
      <w:r w:rsidR="004310B1" w:rsidRPr="00D043A6">
        <w:rPr>
          <w:sz w:val="24"/>
          <w:szCs w:val="24"/>
        </w:rPr>
        <w:t xml:space="preserve">Nacionālais </w:t>
      </w:r>
      <w:r w:rsidRPr="00D043A6">
        <w:rPr>
          <w:sz w:val="24"/>
          <w:szCs w:val="24"/>
        </w:rPr>
        <w:t xml:space="preserve">attīstības </w:t>
      </w:r>
      <w:r w:rsidR="00D918A5" w:rsidRPr="00D043A6">
        <w:rPr>
          <w:sz w:val="24"/>
          <w:szCs w:val="24"/>
        </w:rPr>
        <w:t>plān</w:t>
      </w:r>
      <w:r w:rsidR="000E37EC">
        <w:rPr>
          <w:sz w:val="24"/>
          <w:szCs w:val="24"/>
        </w:rPr>
        <w:t>ā</w:t>
      </w:r>
      <w:r w:rsidRPr="00D043A6">
        <w:rPr>
          <w:sz w:val="24"/>
          <w:szCs w:val="24"/>
        </w:rPr>
        <w:t xml:space="preserve"> 2014. – 2020. gadam  (turpmāk – NAP)</w:t>
      </w:r>
      <w:r w:rsidR="005B7F2D" w:rsidRPr="00D043A6">
        <w:rPr>
          <w:sz w:val="24"/>
          <w:szCs w:val="24"/>
        </w:rPr>
        <w:t>,</w:t>
      </w:r>
      <w:r w:rsidRPr="00D043A6">
        <w:rPr>
          <w:sz w:val="24"/>
          <w:szCs w:val="24"/>
        </w:rPr>
        <w:t xml:space="preserve"> 2) </w:t>
      </w:r>
      <w:r w:rsidR="005B7F2D" w:rsidRPr="00D043A6">
        <w:rPr>
          <w:sz w:val="24"/>
        </w:rPr>
        <w:t>Latv</w:t>
      </w:r>
      <w:r w:rsidR="000E37EC">
        <w:rPr>
          <w:sz w:val="24"/>
        </w:rPr>
        <w:t>ijas nacionālā reformu programmā</w:t>
      </w:r>
      <w:r w:rsidR="005B7F2D" w:rsidRPr="00D043A6">
        <w:rPr>
          <w:sz w:val="24"/>
        </w:rPr>
        <w:t xml:space="preserve"> „ES 2020” stratēģijas īstenošanai un 3)</w:t>
      </w:r>
      <w:r w:rsidR="005B7F2D" w:rsidRPr="00D043A6">
        <w:rPr>
          <w:sz w:val="24"/>
          <w:szCs w:val="24"/>
        </w:rPr>
        <w:t xml:space="preserve"> </w:t>
      </w:r>
      <w:r w:rsidR="005B7F2D" w:rsidRPr="00D043A6">
        <w:rPr>
          <w:sz w:val="24"/>
        </w:rPr>
        <w:t xml:space="preserve">Latvijas Enerģētikas ilgtermiņa stratēģijas 2030 </w:t>
      </w:r>
      <w:r w:rsidR="00E538F5">
        <w:rPr>
          <w:sz w:val="24"/>
          <w:szCs w:val="24"/>
        </w:rPr>
        <w:t>projektā</w:t>
      </w:r>
      <w:r w:rsidRPr="00D043A6">
        <w:rPr>
          <w:sz w:val="24"/>
          <w:szCs w:val="24"/>
        </w:rPr>
        <w:t>. NAP pie veicamiem uzdevumiem ietverta energoefektivitātes atbalsta programmu īstenošana dažādos ēku sektoros.</w:t>
      </w:r>
    </w:p>
    <w:p w:rsidR="009E4DD7" w:rsidRPr="00D043A6" w:rsidRDefault="009E4DD7" w:rsidP="00A5254A">
      <w:pPr>
        <w:keepLines/>
        <w:spacing w:before="240"/>
        <w:ind w:firstLine="720"/>
        <w:jc w:val="both"/>
        <w:rPr>
          <w:sz w:val="24"/>
          <w:szCs w:val="24"/>
        </w:rPr>
      </w:pPr>
      <w:r w:rsidRPr="00D043A6">
        <w:rPr>
          <w:sz w:val="24"/>
          <w:szCs w:val="24"/>
          <w:lang w:eastAsia="lv-LV"/>
        </w:rPr>
        <w:t>Ēku sektorā patērētā enerģija veido līdz 40% no visas energobilances, tād</w:t>
      </w:r>
      <w:r w:rsidR="00E538F5">
        <w:rPr>
          <w:sz w:val="24"/>
          <w:szCs w:val="24"/>
          <w:lang w:eastAsia="lv-LV"/>
        </w:rPr>
        <w:t>ēļ ēku sektors ietver ievērojamu</w:t>
      </w:r>
      <w:r w:rsidRPr="00D043A6">
        <w:rPr>
          <w:sz w:val="24"/>
          <w:szCs w:val="24"/>
          <w:lang w:eastAsia="lv-LV"/>
        </w:rPr>
        <w:t xml:space="preserve"> potenciālu kopējo energoefektivitātes mērķu sasniegšanā. Lielāka</w:t>
      </w:r>
      <w:r w:rsidR="00E538F5">
        <w:rPr>
          <w:sz w:val="24"/>
          <w:szCs w:val="24"/>
          <w:lang w:eastAsia="lv-LV"/>
        </w:rPr>
        <w:t>jai daļai esošo</w:t>
      </w:r>
      <w:r w:rsidRPr="00D043A6">
        <w:rPr>
          <w:sz w:val="24"/>
          <w:szCs w:val="24"/>
          <w:lang w:eastAsia="lv-LV"/>
        </w:rPr>
        <w:t xml:space="preserve"> ēku ir augsts energoresursu patēriņš</w:t>
      </w:r>
      <w:r w:rsidR="00E538F5">
        <w:rPr>
          <w:sz w:val="24"/>
          <w:szCs w:val="24"/>
          <w:lang w:eastAsia="lv-LV"/>
        </w:rPr>
        <w:t>,</w:t>
      </w:r>
      <w:r w:rsidRPr="00D043A6">
        <w:rPr>
          <w:sz w:val="24"/>
          <w:szCs w:val="24"/>
          <w:lang w:eastAsia="lv-LV"/>
        </w:rPr>
        <w:t xml:space="preserve"> un tām ir būtiski zemākas siltumtehniskās īpašības</w:t>
      </w:r>
      <w:r w:rsidR="00E538F5">
        <w:rPr>
          <w:sz w:val="24"/>
          <w:szCs w:val="24"/>
          <w:lang w:eastAsia="lv-LV"/>
        </w:rPr>
        <w:t>,</w:t>
      </w:r>
      <w:r w:rsidRPr="00D043A6">
        <w:rPr>
          <w:sz w:val="24"/>
          <w:szCs w:val="24"/>
          <w:lang w:eastAsia="lv-LV"/>
        </w:rPr>
        <w:t xml:space="preserve"> nekā var nodrošināt ar šobrīd pieejamām tehnoloģijām. Vairums no šīm ēkām tiks ekspluatētas vēl ievērojamu laika periodu, līdz ar to aktuāla ir šo ēku pakāpeniska renovācija uzlabojot to energoefektivitāti.</w:t>
      </w:r>
      <w:r w:rsidRPr="00D043A6">
        <w:rPr>
          <w:sz w:val="24"/>
          <w:szCs w:val="24"/>
        </w:rPr>
        <w:t xml:space="preserve"> Pēc ekspertu vērtējuma izmaksu efektīvā veidā var renovēt 60-70% no Latvijas ēku sektora, dzīvojamo ēku sektorā tie būtu ap 25 tūkstoši daudzdzīvokļu māju kopplatībā 38 milj.m</w:t>
      </w:r>
      <w:r w:rsidRPr="00D043A6">
        <w:rPr>
          <w:sz w:val="24"/>
          <w:szCs w:val="24"/>
          <w:vertAlign w:val="superscript"/>
        </w:rPr>
        <w:t>2</w:t>
      </w:r>
      <w:r w:rsidRPr="00D043A6">
        <w:rPr>
          <w:sz w:val="24"/>
          <w:szCs w:val="24"/>
        </w:rPr>
        <w:t>. Pieņemot</w:t>
      </w:r>
      <w:r w:rsidR="00E538F5">
        <w:rPr>
          <w:sz w:val="24"/>
          <w:szCs w:val="24"/>
        </w:rPr>
        <w:t>, ka</w:t>
      </w:r>
      <w:r w:rsidRPr="00D043A6">
        <w:rPr>
          <w:sz w:val="24"/>
          <w:szCs w:val="24"/>
        </w:rPr>
        <w:t xml:space="preserve"> vidējās renovācijas izmaksas </w:t>
      </w:r>
      <w:r w:rsidR="00E538F5">
        <w:rPr>
          <w:sz w:val="24"/>
          <w:szCs w:val="24"/>
        </w:rPr>
        <w:t xml:space="preserve">ir </w:t>
      </w:r>
      <w:r w:rsidRPr="00D043A6">
        <w:rPr>
          <w:sz w:val="24"/>
          <w:szCs w:val="24"/>
        </w:rPr>
        <w:t>70 Ls uz 1 m</w:t>
      </w:r>
      <w:r w:rsidRPr="00D043A6">
        <w:rPr>
          <w:sz w:val="24"/>
          <w:szCs w:val="24"/>
          <w:vertAlign w:val="superscript"/>
        </w:rPr>
        <w:t>2</w:t>
      </w:r>
      <w:r w:rsidRPr="00D043A6">
        <w:rPr>
          <w:sz w:val="24"/>
          <w:szCs w:val="24"/>
        </w:rPr>
        <w:t xml:space="preserve">, </w:t>
      </w:r>
      <w:r w:rsidRPr="00D043A6">
        <w:rPr>
          <w:b/>
          <w:sz w:val="24"/>
          <w:szCs w:val="24"/>
        </w:rPr>
        <w:t>nepieciešamo investīciju apjoms veido 2.7 miljardus latu</w:t>
      </w:r>
      <w:r w:rsidRPr="00D043A6">
        <w:rPr>
          <w:sz w:val="24"/>
          <w:szCs w:val="24"/>
        </w:rPr>
        <w:t xml:space="preserve">. </w:t>
      </w:r>
    </w:p>
    <w:p w:rsidR="009E4DD7" w:rsidRPr="00D043A6" w:rsidRDefault="009E4DD7" w:rsidP="00A5254A">
      <w:pPr>
        <w:spacing w:before="240"/>
        <w:ind w:firstLine="720"/>
        <w:jc w:val="both"/>
        <w:rPr>
          <w:sz w:val="24"/>
          <w:szCs w:val="24"/>
        </w:rPr>
      </w:pPr>
      <w:r w:rsidRPr="00D043A6">
        <w:rPr>
          <w:color w:val="000000" w:themeColor="text1"/>
          <w:sz w:val="24"/>
          <w:szCs w:val="24"/>
          <w:lang w:eastAsia="lv-LV"/>
        </w:rPr>
        <w:t>Aplūkojot ēku energoefektivitātes uzlabošanas pasākumu atmaksāšanos ilgtermiņā, ir secināts, ka pat bez valsts līdzfinansējuma šo pasākumu veikšana dzīvokļu īpašniekiem ir finansiāli izdevīga. Tomēr</w:t>
      </w:r>
      <w:r w:rsidR="00E538F5">
        <w:rPr>
          <w:color w:val="000000" w:themeColor="text1"/>
          <w:sz w:val="24"/>
          <w:szCs w:val="24"/>
          <w:lang w:eastAsia="lv-LV"/>
        </w:rPr>
        <w:t>,</w:t>
      </w:r>
      <w:r w:rsidRPr="00D043A6">
        <w:rPr>
          <w:color w:val="000000" w:themeColor="text1"/>
          <w:sz w:val="24"/>
          <w:szCs w:val="24"/>
          <w:lang w:eastAsia="lv-LV"/>
        </w:rPr>
        <w:t xml:space="preserve"> pat pastāvot lielam dzīvojamo māju skaitam, kurās ir iespējams </w:t>
      </w:r>
      <w:r w:rsidRPr="00D043A6">
        <w:rPr>
          <w:color w:val="000000" w:themeColor="text1"/>
          <w:sz w:val="24"/>
          <w:szCs w:val="24"/>
        </w:rPr>
        <w:t>ieguldīt investīcijas, kā arī pieejamiem finanšu līdzekļiem banku aizdevumu veidā, ir secināms, ka brīvais tirgus nespēj nodrošināt dzīvojamo māju siltināšanu pietiekamā daudzumā. Pastāvot šādai tirgus kļūdai</w:t>
      </w:r>
      <w:r w:rsidR="00E538F5">
        <w:rPr>
          <w:color w:val="000000" w:themeColor="text1"/>
          <w:sz w:val="24"/>
          <w:szCs w:val="24"/>
        </w:rPr>
        <w:t>,</w:t>
      </w:r>
      <w:r w:rsidRPr="00D043A6">
        <w:rPr>
          <w:color w:val="000000" w:themeColor="text1"/>
          <w:sz w:val="24"/>
          <w:szCs w:val="24"/>
        </w:rPr>
        <w:t xml:space="preserve"> ir </w:t>
      </w:r>
      <w:r w:rsidR="00E538F5">
        <w:rPr>
          <w:sz w:val="24"/>
          <w:szCs w:val="24"/>
          <w:lang w:eastAsia="lv-LV"/>
        </w:rPr>
        <w:t>nepieciešami papildu</w:t>
      </w:r>
      <w:r w:rsidRPr="00D043A6">
        <w:rPr>
          <w:sz w:val="24"/>
          <w:szCs w:val="24"/>
          <w:lang w:eastAsia="lv-LV"/>
        </w:rPr>
        <w:t xml:space="preserve"> stimuli </w:t>
      </w:r>
      <w:r w:rsidRPr="00D043A6">
        <w:rPr>
          <w:sz w:val="24"/>
          <w:szCs w:val="24"/>
        </w:rPr>
        <w:t>pazeminātu aizdevuma procentu likmju un/vai līdzfinansējuma veidā</w:t>
      </w:r>
      <w:r w:rsidRPr="00D043A6">
        <w:rPr>
          <w:sz w:val="24"/>
          <w:szCs w:val="24"/>
          <w:lang w:eastAsia="lv-LV"/>
        </w:rPr>
        <w:t>, kas palīdzētu novērst tirgus darbības nepilnības.</w:t>
      </w:r>
      <w:r w:rsidRPr="00D043A6">
        <w:rPr>
          <w:color w:val="000000" w:themeColor="text1"/>
          <w:sz w:val="24"/>
          <w:szCs w:val="24"/>
        </w:rPr>
        <w:t xml:space="preserve"> </w:t>
      </w:r>
      <w:r w:rsidRPr="00D043A6">
        <w:rPr>
          <w:sz w:val="24"/>
          <w:szCs w:val="24"/>
          <w:lang w:eastAsia="lv-LV"/>
        </w:rPr>
        <w:t xml:space="preserve">Eiropas Komisijas paziņojumā Eiropas </w:t>
      </w:r>
      <w:r w:rsidR="00D918A5" w:rsidRPr="00D043A6">
        <w:rPr>
          <w:sz w:val="24"/>
          <w:szCs w:val="24"/>
          <w:lang w:eastAsia="lv-LV"/>
        </w:rPr>
        <w:t>Parlamentam</w:t>
      </w:r>
      <w:r w:rsidRPr="00D043A6">
        <w:rPr>
          <w:sz w:val="24"/>
          <w:szCs w:val="24"/>
          <w:lang w:eastAsia="lv-LV"/>
        </w:rPr>
        <w:t xml:space="preserve"> un Padomei par Būvniecības nozares un tās uzņēmumu ilgtspējīgas konkurētspējas </w:t>
      </w:r>
      <w:r w:rsidR="00D918A5" w:rsidRPr="00D043A6">
        <w:rPr>
          <w:sz w:val="24"/>
          <w:szCs w:val="24"/>
          <w:lang w:eastAsia="lv-LV"/>
        </w:rPr>
        <w:t>stratēģiju</w:t>
      </w:r>
      <w:r w:rsidRPr="00D043A6">
        <w:rPr>
          <w:sz w:val="24"/>
          <w:szCs w:val="24"/>
          <w:lang w:eastAsia="lv-LV"/>
        </w:rPr>
        <w:t xml:space="preserve"> minēts, ka tirgus dalībnieki pozitīvi vērtē fiskālās iniciatīvas (piemēram, pazeminātas PVN likmes, preferenciālas procentu likmes, CO</w:t>
      </w:r>
      <w:r w:rsidRPr="00D043A6">
        <w:rPr>
          <w:sz w:val="24"/>
          <w:szCs w:val="24"/>
          <w:vertAlign w:val="subscript"/>
          <w:lang w:eastAsia="lv-LV"/>
        </w:rPr>
        <w:t>2</w:t>
      </w:r>
      <w:r w:rsidR="00E538F5">
        <w:rPr>
          <w:sz w:val="24"/>
          <w:szCs w:val="24"/>
          <w:lang w:eastAsia="lv-LV"/>
        </w:rPr>
        <w:t xml:space="preserve"> un enerģijas nodokļus</w:t>
      </w:r>
      <w:r w:rsidRPr="00D043A6">
        <w:rPr>
          <w:sz w:val="24"/>
          <w:szCs w:val="24"/>
          <w:lang w:eastAsia="lv-LV"/>
        </w:rPr>
        <w:t>, mērķsubsīdijas u. c.) un finansiālās palīdzības pasākumus, kas sniedz atbalstu esošo ēku renovācijai. Lai optimizētu sviras efektu, būtu jācenšas nodrošināt valsts shēmu, no vienas puses, un ES un privāto fondu un finanšu instrumentu, no otras puses, savstarpēja papild</w:t>
      </w:r>
      <w:r w:rsidR="00E538F5">
        <w:rPr>
          <w:sz w:val="24"/>
          <w:szCs w:val="24"/>
          <w:lang w:eastAsia="lv-LV"/>
        </w:rPr>
        <w:t>ināmību</w:t>
      </w:r>
      <w:r w:rsidRPr="00D043A6">
        <w:rPr>
          <w:sz w:val="24"/>
          <w:szCs w:val="24"/>
          <w:lang w:eastAsia="lv-LV"/>
        </w:rPr>
        <w:t>.</w:t>
      </w:r>
    </w:p>
    <w:p w:rsidR="009E4DD7" w:rsidRPr="00D043A6" w:rsidRDefault="009E4DD7" w:rsidP="00A5254A">
      <w:pPr>
        <w:spacing w:before="240"/>
        <w:ind w:firstLine="720"/>
        <w:jc w:val="both"/>
        <w:rPr>
          <w:sz w:val="24"/>
          <w:szCs w:val="24"/>
        </w:rPr>
      </w:pPr>
      <w:r w:rsidRPr="00D043A6">
        <w:rPr>
          <w:sz w:val="24"/>
          <w:szCs w:val="24"/>
        </w:rPr>
        <w:t>Ēku ener</w:t>
      </w:r>
      <w:r w:rsidR="00E538F5">
        <w:rPr>
          <w:sz w:val="24"/>
          <w:szCs w:val="24"/>
        </w:rPr>
        <w:t>goefektivitātes valsts politika</w:t>
      </w:r>
      <w:r w:rsidRPr="00D043A6">
        <w:rPr>
          <w:sz w:val="24"/>
          <w:szCs w:val="24"/>
        </w:rPr>
        <w:t xml:space="preserve"> būtu jāveido</w:t>
      </w:r>
      <w:r w:rsidR="00E538F5">
        <w:rPr>
          <w:sz w:val="24"/>
          <w:szCs w:val="24"/>
        </w:rPr>
        <w:t>,</w:t>
      </w:r>
      <w:r w:rsidRPr="00D043A6">
        <w:rPr>
          <w:sz w:val="24"/>
          <w:szCs w:val="24"/>
        </w:rPr>
        <w:t xml:space="preserve"> balstoties uz ekonomiskajiem apsvērumiem, primāri sekmējot minimālo ēku </w:t>
      </w:r>
      <w:r w:rsidR="00D918A5" w:rsidRPr="00D043A6">
        <w:rPr>
          <w:sz w:val="24"/>
          <w:szCs w:val="24"/>
        </w:rPr>
        <w:t>energoefektivitātes</w:t>
      </w:r>
      <w:r w:rsidRPr="00D043A6">
        <w:rPr>
          <w:sz w:val="24"/>
          <w:szCs w:val="24"/>
        </w:rPr>
        <w:t xml:space="preserve"> prasību izpildi optimālu izmaksu līmenī, sekundāri sekmējot arī ilgtspējīgas būvniecības faktoru darbspēju. Ēku energoefektivitātes prasību izpildi optimālu izmaksu līmenī pamatā būtu jānodrošina tirgus instrumentiem, kas tikai pamatotos gadījumos varētu tikt sekmēta ar valsts atbalsta </w:t>
      </w:r>
      <w:r w:rsidRPr="00D043A6">
        <w:rPr>
          <w:sz w:val="24"/>
          <w:szCs w:val="24"/>
        </w:rPr>
        <w:lastRenderedPageBreak/>
        <w:t xml:space="preserve">instrumentiem atsevišķos </w:t>
      </w:r>
      <w:r w:rsidR="00D918A5" w:rsidRPr="00D043A6">
        <w:rPr>
          <w:sz w:val="24"/>
          <w:szCs w:val="24"/>
        </w:rPr>
        <w:t>segmentos</w:t>
      </w:r>
      <w:r w:rsidRPr="00D043A6">
        <w:rPr>
          <w:sz w:val="24"/>
          <w:szCs w:val="24"/>
        </w:rPr>
        <w:t xml:space="preserve"> (piemēram, dzīvokļa īpašumos sadalītām da</w:t>
      </w:r>
      <w:r w:rsidR="00E538F5">
        <w:rPr>
          <w:sz w:val="24"/>
          <w:szCs w:val="24"/>
        </w:rPr>
        <w:t xml:space="preserve">udzdzīvokļu dzīvojamām mājām). </w:t>
      </w:r>
      <w:r w:rsidRPr="00D043A6">
        <w:rPr>
          <w:sz w:val="24"/>
          <w:szCs w:val="24"/>
        </w:rPr>
        <w:t xml:space="preserve">Gandrīz nulles enerģijas ēku būvniecība, kā arī pārejas uz </w:t>
      </w:r>
      <w:r w:rsidR="00D918A5" w:rsidRPr="00D043A6">
        <w:rPr>
          <w:sz w:val="24"/>
          <w:szCs w:val="24"/>
        </w:rPr>
        <w:t>atjaunojamo</w:t>
      </w:r>
      <w:r w:rsidRPr="00D043A6">
        <w:rPr>
          <w:sz w:val="24"/>
          <w:szCs w:val="24"/>
        </w:rPr>
        <w:t xml:space="preserve"> energor</w:t>
      </w:r>
      <w:r w:rsidR="00E538F5">
        <w:rPr>
          <w:sz w:val="24"/>
          <w:szCs w:val="24"/>
        </w:rPr>
        <w:t>esursu izmantošanas veicināšana</w:t>
      </w:r>
      <w:r w:rsidRPr="00D043A6">
        <w:rPr>
          <w:sz w:val="24"/>
          <w:szCs w:val="24"/>
        </w:rPr>
        <w:t xml:space="preserve"> prasa lielākus sākotnējos ieguldījumus, tādēļ arī būtu papildus stimulējama ar finanšu instrumentiem, jo, kaut arī </w:t>
      </w:r>
      <w:r w:rsidR="00D918A5" w:rsidRPr="00D043A6">
        <w:rPr>
          <w:sz w:val="24"/>
          <w:szCs w:val="24"/>
        </w:rPr>
        <w:t>ilgākā</w:t>
      </w:r>
      <w:r w:rsidRPr="00D043A6">
        <w:rPr>
          <w:sz w:val="24"/>
          <w:szCs w:val="24"/>
        </w:rPr>
        <w:t xml:space="preserve"> termiņā var būt </w:t>
      </w:r>
      <w:r w:rsidR="00D918A5" w:rsidRPr="00D043A6">
        <w:rPr>
          <w:sz w:val="24"/>
          <w:szCs w:val="24"/>
        </w:rPr>
        <w:t>makroekonomiski</w:t>
      </w:r>
      <w:r w:rsidRPr="00D043A6">
        <w:rPr>
          <w:sz w:val="24"/>
          <w:szCs w:val="24"/>
        </w:rPr>
        <w:t xml:space="preserve"> izdevīga, tirgus </w:t>
      </w:r>
      <w:r w:rsidR="00D918A5" w:rsidRPr="00D043A6">
        <w:rPr>
          <w:sz w:val="24"/>
          <w:szCs w:val="24"/>
        </w:rPr>
        <w:t>instrumenti</w:t>
      </w:r>
      <w:r w:rsidRPr="00D043A6">
        <w:rPr>
          <w:sz w:val="24"/>
          <w:szCs w:val="24"/>
        </w:rPr>
        <w:t xml:space="preserve"> šobrīd nenodrošina šo produktu konkurētspēju privātajā sektorā. </w:t>
      </w:r>
    </w:p>
    <w:p w:rsidR="009E4DD7" w:rsidRPr="00D043A6" w:rsidRDefault="009E4DD7" w:rsidP="00A5254A">
      <w:pPr>
        <w:spacing w:before="240"/>
        <w:ind w:firstLine="720"/>
        <w:jc w:val="both"/>
        <w:rPr>
          <w:sz w:val="24"/>
          <w:szCs w:val="24"/>
        </w:rPr>
      </w:pPr>
      <w:r w:rsidRPr="00455048">
        <w:rPr>
          <w:sz w:val="24"/>
          <w:szCs w:val="24"/>
        </w:rPr>
        <w:t xml:space="preserve">Eiropas Savienības plānošanas dokumentos skaidri iezīmēta prioritāte ēku energoefektivitātes uzlabošanai, tādēļ attiecībā uz periodu līdz 2020. gadam kā </w:t>
      </w:r>
      <w:r w:rsidR="00E538F5" w:rsidRPr="00455048">
        <w:rPr>
          <w:sz w:val="24"/>
        </w:rPr>
        <w:t>pamat</w:t>
      </w:r>
      <w:r w:rsidR="00D918A5" w:rsidRPr="00455048">
        <w:rPr>
          <w:sz w:val="24"/>
        </w:rPr>
        <w:t>resurss</w:t>
      </w:r>
      <w:r w:rsidRPr="00455048">
        <w:rPr>
          <w:sz w:val="24"/>
        </w:rPr>
        <w:t xml:space="preserve"> ēku energoefektivitātes uzlabošanai būtu jāizmanto ES fondu 2014. – 2020. g. plānošanas perioda finanšu resursi. </w:t>
      </w:r>
      <w:r w:rsidR="007F00D9" w:rsidRPr="00455048">
        <w:rPr>
          <w:sz w:val="24"/>
        </w:rPr>
        <w:t xml:space="preserve">NAP rīcības virziena „Energoefektivitāte un enerģijas ražošana” definēto mērķu sasniegšanai un uzdevumu izpildei, daudzdzīvokļu dzīvojamo ēku, publisko ēku un ražošanas ēku energoefektivitātes paaugstināšanai nākamajā ES fondu 2014. – 2020. g. plānošanas periodā, ņemot vērā energoefektivitātes pasākumu īstenošanai aplēstās vajadzības  un līdzšinējo ēku energoefektivitātes pasākumu ieviešanas gaitu, indikatīvi iezīmēts </w:t>
      </w:r>
      <w:r w:rsidR="00C30308" w:rsidRPr="00F30B0C">
        <w:rPr>
          <w:sz w:val="24"/>
        </w:rPr>
        <w:t>ES fondu finansējums</w:t>
      </w:r>
      <w:r w:rsidR="007F00D9" w:rsidRPr="00455048">
        <w:rPr>
          <w:sz w:val="24"/>
        </w:rPr>
        <w:t xml:space="preserve"> 190.18 milj. LVL apjomā un nacionālais līdzfinansējums 30.62 milj. LVL apjomā, kam kopā ar privāto finansējumu būtu jānodrošina investīcijas ēku sektora energoefektivitātes uzlabošanai vismaz 320 milj. latu apjomā. </w:t>
      </w:r>
      <w:r w:rsidRPr="00455048">
        <w:rPr>
          <w:sz w:val="24"/>
        </w:rPr>
        <w:t>Saistībā ar Eiropas Savienības fondu 2014.-2020. gada plānošanas periodam izmantošanas nosacījumiem būtiskākās izmaiņas varētu skart ar ēku energoefektivitātes uzlabošanu saistītu pasākumos izmantojamos atbalsta instrumentus – ja šobrīd atbalsts tiek sniegts, izmantojot līdzfinansējumu, tad iespējamais izmantojamais atbalsta veids nākamajā plānošanas periodā varētu būt aizdevum</w:t>
      </w:r>
      <w:r w:rsidR="00E538F5" w:rsidRPr="00455048">
        <w:rPr>
          <w:sz w:val="24"/>
        </w:rPr>
        <w:t>u</w:t>
      </w:r>
      <w:r w:rsidRPr="00455048">
        <w:rPr>
          <w:sz w:val="24"/>
        </w:rPr>
        <w:t xml:space="preserve"> ar pazeminātu aizdevuma procentu likmi pieejamības nodrošināšana, izmantojot rotācijas fondus, kā arī nosacījumu veidošana plašākai ESKO līdzdalībai un papildu privātu finanšu līdzekļu piesaistei Latvijas energopakalpojumu tirgū.</w:t>
      </w:r>
      <w:r w:rsidR="00C30308" w:rsidRPr="00455048">
        <w:rPr>
          <w:sz w:val="24"/>
        </w:rPr>
        <w:t xml:space="preserve"> </w:t>
      </w:r>
      <w:r w:rsidR="00C30308" w:rsidRPr="00F30B0C">
        <w:rPr>
          <w:sz w:val="24"/>
        </w:rPr>
        <w:t>Par konkrētiem atbalsta mehānismiem ēku energoefektivitātes pasākumu īstenošanai, kas būtu atbalstāmi ES fondu 2014.-2020.gada plānošanas perioda ietvaros, vēl notiks diskusijas ES fondu plānošanas dokumentu sagatavošanas procesā.</w:t>
      </w:r>
    </w:p>
    <w:p w:rsidR="009E4DD7" w:rsidRPr="00D043A6" w:rsidRDefault="009E4DD7" w:rsidP="00A5254A">
      <w:pPr>
        <w:spacing w:before="240"/>
        <w:ind w:firstLine="720"/>
        <w:jc w:val="both"/>
        <w:rPr>
          <w:sz w:val="24"/>
          <w:szCs w:val="24"/>
        </w:rPr>
      </w:pPr>
      <w:r w:rsidRPr="00D043A6">
        <w:rPr>
          <w:sz w:val="24"/>
          <w:szCs w:val="24"/>
        </w:rPr>
        <w:t>Lai nodrošinātu politikas plānošanas dokumentos noteikto mērķu energoefektivitātes jomā sasniegšanu, kā arī citu ziņojumā aprakstīto jautājumu risināšanai, nepieciešama šādu uzdevumu izpilde:</w:t>
      </w:r>
    </w:p>
    <w:p w:rsidR="009E4DD7" w:rsidRPr="00F30B0C" w:rsidRDefault="009E4DD7" w:rsidP="00362CE2">
      <w:pPr>
        <w:pStyle w:val="ListParagraph"/>
        <w:numPr>
          <w:ilvl w:val="0"/>
          <w:numId w:val="26"/>
        </w:numPr>
        <w:spacing w:before="240"/>
        <w:jc w:val="both"/>
        <w:rPr>
          <w:sz w:val="24"/>
          <w:szCs w:val="24"/>
        </w:rPr>
      </w:pPr>
      <w:r w:rsidRPr="00F30B0C">
        <w:rPr>
          <w:sz w:val="24"/>
          <w:szCs w:val="24"/>
        </w:rPr>
        <w:t>lai sekmētu ēku energoefektivitātes uzlabošanu, nākamajā 2014. – 2020. gada ES fondu plānošanās periodā jāparedz finansējums ēku sektora energoefektivitātes pasākumiem, kas būtu izmantojami gan publiskajam sektoram (valsts un pašvaldību ēkām), gan kopīpašumā esošām daudzdzīvokļu mājām, gan arī dažāda tipa privātīpašumā esošām ēkām (dzīvojamām, komercpakalpojumu un ražošanas);</w:t>
      </w:r>
    </w:p>
    <w:p w:rsidR="009E4DD7" w:rsidRPr="00F30B0C" w:rsidRDefault="009E4DD7" w:rsidP="0037214A">
      <w:pPr>
        <w:pStyle w:val="ListParagraph"/>
        <w:numPr>
          <w:ilvl w:val="0"/>
          <w:numId w:val="26"/>
        </w:numPr>
        <w:spacing w:before="240"/>
        <w:jc w:val="both"/>
        <w:rPr>
          <w:sz w:val="24"/>
          <w:szCs w:val="24"/>
        </w:rPr>
      </w:pPr>
      <w:r w:rsidRPr="00F30B0C">
        <w:rPr>
          <w:sz w:val="24"/>
          <w:szCs w:val="24"/>
        </w:rPr>
        <w:t>ēku energoefektivitātes pasākumu īstenošanai jāveido ilgtspējīgs finansēšanas modelis (rotācijas fonds), attiecībā uz daudzdzīvokļu dzīvojamo māju sektoru, svarīgi, lai tiktu nodrošināts vismaz tāds pats pieprasījums, kā šobrīd īstenotajā DMS aktivitātē;</w:t>
      </w:r>
    </w:p>
    <w:p w:rsidR="00556733" w:rsidRPr="00F30B0C" w:rsidRDefault="00556733" w:rsidP="00362CE2">
      <w:pPr>
        <w:pStyle w:val="ListParagraph"/>
        <w:numPr>
          <w:ilvl w:val="0"/>
          <w:numId w:val="26"/>
        </w:numPr>
        <w:jc w:val="both"/>
        <w:rPr>
          <w:sz w:val="24"/>
        </w:rPr>
      </w:pPr>
      <w:r w:rsidRPr="00F30B0C">
        <w:rPr>
          <w:sz w:val="24"/>
        </w:rPr>
        <w:t xml:space="preserve">atbalsta instrumentiem, kuru projektu finansēšana paredzēta ar komercbanku </w:t>
      </w:r>
      <w:r w:rsidR="00D918A5" w:rsidRPr="00F30B0C">
        <w:rPr>
          <w:sz w:val="24"/>
        </w:rPr>
        <w:t>starpniecību</w:t>
      </w:r>
      <w:r w:rsidRPr="00F30B0C">
        <w:rPr>
          <w:sz w:val="24"/>
        </w:rPr>
        <w:t>, jāveido nosacījumi, kas palīdzētu samazināt banku kredītriskus</w:t>
      </w:r>
      <w:r w:rsidR="00362CE2" w:rsidRPr="00F30B0C">
        <w:rPr>
          <w:sz w:val="24"/>
        </w:rPr>
        <w:t>, piemēram, papildu garantijas (portfeļgarantijas)</w:t>
      </w:r>
      <w:r w:rsidRPr="00F30B0C">
        <w:rPr>
          <w:sz w:val="24"/>
        </w:rPr>
        <w:t>;</w:t>
      </w:r>
    </w:p>
    <w:p w:rsidR="009E4DD7" w:rsidRPr="00F30B0C" w:rsidRDefault="009E4DD7" w:rsidP="00362CE2">
      <w:pPr>
        <w:pStyle w:val="ListParagraph"/>
        <w:numPr>
          <w:ilvl w:val="0"/>
          <w:numId w:val="26"/>
        </w:numPr>
        <w:spacing w:before="240"/>
        <w:jc w:val="both"/>
        <w:rPr>
          <w:sz w:val="24"/>
          <w:szCs w:val="24"/>
        </w:rPr>
      </w:pPr>
      <w:r w:rsidRPr="00F30B0C">
        <w:rPr>
          <w:sz w:val="24"/>
          <w:szCs w:val="24"/>
        </w:rPr>
        <w:t xml:space="preserve">jāveido nosacījumi alternatīvu energoefektivitātes pasākumu ieviešanas modeļu (piemēram, ESKO un PEKO) izmantošanai un labākai funkcionēšanai, tādējādi paplašinot pieejamo risinājumu un finanšu avotu klāstu; </w:t>
      </w:r>
    </w:p>
    <w:p w:rsidR="009E4DD7" w:rsidRPr="00F30B0C" w:rsidRDefault="009E4DD7" w:rsidP="00362CE2">
      <w:pPr>
        <w:pStyle w:val="ListParagraph"/>
        <w:numPr>
          <w:ilvl w:val="0"/>
          <w:numId w:val="26"/>
        </w:numPr>
        <w:spacing w:before="240"/>
        <w:jc w:val="both"/>
        <w:rPr>
          <w:sz w:val="24"/>
          <w:szCs w:val="24"/>
        </w:rPr>
      </w:pPr>
      <w:r w:rsidRPr="00F30B0C">
        <w:rPr>
          <w:sz w:val="24"/>
          <w:szCs w:val="24"/>
        </w:rPr>
        <w:t>jāizvērtē iespējas veikt uzlabojumus normatīvos aktos dzīvojamo māju pārvaldīšanas jomā, lai nodrošinātu efektīvāku dzīvojamo māju pārvaldīšanu un operatīvāku lēmumu pieņemšanu;</w:t>
      </w:r>
    </w:p>
    <w:p w:rsidR="009E4DD7" w:rsidRPr="00F30B0C" w:rsidRDefault="00AA5AE8" w:rsidP="00AA5AE8">
      <w:pPr>
        <w:pStyle w:val="ListParagraph"/>
        <w:numPr>
          <w:ilvl w:val="0"/>
          <w:numId w:val="26"/>
        </w:numPr>
        <w:spacing w:before="240"/>
        <w:jc w:val="both"/>
        <w:rPr>
          <w:sz w:val="24"/>
          <w:szCs w:val="24"/>
        </w:rPr>
      </w:pPr>
      <w:r w:rsidRPr="00F30B0C">
        <w:rPr>
          <w:sz w:val="24"/>
          <w:szCs w:val="24"/>
        </w:rPr>
        <w:lastRenderedPageBreak/>
        <w:t>lai sekmētu ēku renovāciju, pašvaldībām savos saistošajos noteikumos ir tiesības noteikt tādus nekustamā īpašuma nodokļa atvieglojumus vai piemērojamo likmi, kas palielinātu ēku īpašnieku interesi veikt ēkas energoefektivitātes uzlabošanas pasākumus;</w:t>
      </w:r>
    </w:p>
    <w:p w:rsidR="009E4DD7" w:rsidRPr="00F30B0C" w:rsidRDefault="009E4DD7" w:rsidP="00362CE2">
      <w:pPr>
        <w:pStyle w:val="ListParagraph"/>
        <w:numPr>
          <w:ilvl w:val="0"/>
          <w:numId w:val="26"/>
        </w:numPr>
        <w:spacing w:before="240"/>
        <w:jc w:val="both"/>
        <w:rPr>
          <w:sz w:val="24"/>
          <w:szCs w:val="24"/>
        </w:rPr>
      </w:pPr>
      <w:r w:rsidRPr="00F30B0C">
        <w:rPr>
          <w:sz w:val="24"/>
          <w:szCs w:val="24"/>
        </w:rPr>
        <w:t xml:space="preserve">jāveic </w:t>
      </w:r>
      <w:r w:rsidR="001D50C1" w:rsidRPr="00F30B0C">
        <w:rPr>
          <w:sz w:val="24"/>
        </w:rPr>
        <w:t xml:space="preserve">enerģijas patēriņa </w:t>
      </w:r>
      <w:r w:rsidRPr="00F30B0C">
        <w:rPr>
          <w:sz w:val="24"/>
          <w:szCs w:val="24"/>
        </w:rPr>
        <w:t xml:space="preserve">valsts sektora </w:t>
      </w:r>
      <w:r w:rsidR="001D50C1" w:rsidRPr="00F30B0C">
        <w:rPr>
          <w:sz w:val="24"/>
          <w:szCs w:val="24"/>
        </w:rPr>
        <w:t xml:space="preserve">ēkās </w:t>
      </w:r>
      <w:r w:rsidRPr="00F30B0C">
        <w:rPr>
          <w:sz w:val="24"/>
          <w:szCs w:val="24"/>
        </w:rPr>
        <w:t>apzināšana, šo ēku energoefektivitātes novērtēšana un energosertificēšana, kā arī energoefektivitātes pasākumu plānošana un īstenošana.</w:t>
      </w:r>
    </w:p>
    <w:p w:rsidR="0034600D" w:rsidRPr="00F30B0C" w:rsidRDefault="0034600D" w:rsidP="00CD2B2F">
      <w:pPr>
        <w:ind w:firstLine="720"/>
        <w:jc w:val="both"/>
        <w:rPr>
          <w:sz w:val="24"/>
        </w:rPr>
      </w:pPr>
    </w:p>
    <w:p w:rsidR="0034600D" w:rsidRPr="00D043A6" w:rsidRDefault="0034600D" w:rsidP="00CD2B2F">
      <w:pPr>
        <w:ind w:firstLine="720"/>
        <w:jc w:val="both"/>
        <w:rPr>
          <w:sz w:val="24"/>
        </w:rPr>
      </w:pPr>
    </w:p>
    <w:p w:rsidR="006E345B" w:rsidRDefault="006E345B" w:rsidP="00A5254A">
      <w:pPr>
        <w:jc w:val="both"/>
        <w:rPr>
          <w:sz w:val="24"/>
          <w:szCs w:val="24"/>
        </w:rPr>
      </w:pPr>
    </w:p>
    <w:p w:rsidR="009E4DD7" w:rsidRPr="00D043A6" w:rsidRDefault="009E4DD7" w:rsidP="00A5254A">
      <w:pPr>
        <w:jc w:val="both"/>
        <w:rPr>
          <w:sz w:val="24"/>
          <w:szCs w:val="24"/>
        </w:rPr>
      </w:pPr>
    </w:p>
    <w:p w:rsidR="006E345B" w:rsidRDefault="006E345B" w:rsidP="00A5254A">
      <w:pPr>
        <w:jc w:val="both"/>
        <w:rPr>
          <w:sz w:val="24"/>
          <w:szCs w:val="24"/>
        </w:rPr>
      </w:pPr>
    </w:p>
    <w:p w:rsidR="009E4DD7" w:rsidRPr="00D043A6" w:rsidRDefault="009E4DD7" w:rsidP="00A5254A">
      <w:pPr>
        <w:jc w:val="both"/>
        <w:rPr>
          <w:sz w:val="24"/>
          <w:szCs w:val="24"/>
        </w:rPr>
      </w:pPr>
      <w:r w:rsidRPr="00D043A6">
        <w:rPr>
          <w:sz w:val="24"/>
          <w:szCs w:val="24"/>
        </w:rPr>
        <w:t>Iesniedzējs:</w:t>
      </w:r>
    </w:p>
    <w:p w:rsidR="009E4DD7" w:rsidRPr="00D043A6" w:rsidRDefault="009E4DD7" w:rsidP="00A5254A">
      <w:pPr>
        <w:jc w:val="both"/>
        <w:rPr>
          <w:sz w:val="24"/>
          <w:szCs w:val="24"/>
        </w:rPr>
      </w:pPr>
      <w:r w:rsidRPr="00D043A6">
        <w:rPr>
          <w:sz w:val="24"/>
          <w:szCs w:val="24"/>
        </w:rPr>
        <w:t xml:space="preserve">Ekonomikas ministrs                                                                   </w:t>
      </w:r>
      <w:r w:rsidR="00A5254A" w:rsidRPr="00D043A6">
        <w:rPr>
          <w:sz w:val="24"/>
          <w:szCs w:val="24"/>
        </w:rPr>
        <w:tab/>
      </w:r>
      <w:r w:rsidR="00A5254A" w:rsidRPr="00D043A6">
        <w:rPr>
          <w:sz w:val="24"/>
          <w:szCs w:val="24"/>
        </w:rPr>
        <w:tab/>
      </w:r>
      <w:r w:rsidRPr="00D043A6">
        <w:rPr>
          <w:sz w:val="24"/>
          <w:szCs w:val="24"/>
        </w:rPr>
        <w:t xml:space="preserve">    </w:t>
      </w:r>
      <w:r w:rsidR="00A5254A" w:rsidRPr="00D043A6">
        <w:rPr>
          <w:sz w:val="24"/>
          <w:szCs w:val="24"/>
        </w:rPr>
        <w:t xml:space="preserve">          </w:t>
      </w:r>
      <w:r w:rsidRPr="00D043A6">
        <w:rPr>
          <w:sz w:val="24"/>
          <w:szCs w:val="24"/>
        </w:rPr>
        <w:t>D. Pavļuts</w:t>
      </w:r>
    </w:p>
    <w:p w:rsidR="009E4DD7" w:rsidRDefault="009E4DD7" w:rsidP="00A5254A">
      <w:pPr>
        <w:jc w:val="both"/>
        <w:rPr>
          <w:sz w:val="24"/>
          <w:szCs w:val="24"/>
        </w:rPr>
      </w:pPr>
    </w:p>
    <w:p w:rsidR="00F30B0C" w:rsidRPr="00D043A6" w:rsidRDefault="00F30B0C" w:rsidP="00A5254A">
      <w:pPr>
        <w:jc w:val="both"/>
        <w:rPr>
          <w:sz w:val="24"/>
          <w:szCs w:val="24"/>
        </w:rPr>
      </w:pPr>
    </w:p>
    <w:p w:rsidR="0034600D" w:rsidRPr="00D043A6" w:rsidRDefault="009E4DD7" w:rsidP="00A5254A">
      <w:pPr>
        <w:jc w:val="both"/>
        <w:rPr>
          <w:sz w:val="24"/>
          <w:szCs w:val="24"/>
        </w:rPr>
      </w:pPr>
      <w:r w:rsidRPr="00D043A6">
        <w:rPr>
          <w:sz w:val="24"/>
          <w:szCs w:val="24"/>
        </w:rPr>
        <w:t xml:space="preserve">Vīza: Valsts sekretārs                                                                          </w:t>
      </w:r>
      <w:r w:rsidR="00A5254A" w:rsidRPr="00D043A6">
        <w:rPr>
          <w:sz w:val="24"/>
          <w:szCs w:val="24"/>
        </w:rPr>
        <w:tab/>
      </w:r>
      <w:r w:rsidR="00A5254A" w:rsidRPr="00D043A6">
        <w:rPr>
          <w:sz w:val="24"/>
          <w:szCs w:val="24"/>
        </w:rPr>
        <w:tab/>
      </w:r>
      <w:r w:rsidRPr="00D043A6">
        <w:rPr>
          <w:sz w:val="24"/>
          <w:szCs w:val="24"/>
        </w:rPr>
        <w:t xml:space="preserve"> </w:t>
      </w:r>
      <w:r w:rsidR="00A5254A" w:rsidRPr="00D043A6">
        <w:rPr>
          <w:sz w:val="24"/>
          <w:szCs w:val="24"/>
        </w:rPr>
        <w:t xml:space="preserve">     </w:t>
      </w:r>
      <w:r w:rsidRPr="00D043A6">
        <w:rPr>
          <w:sz w:val="24"/>
          <w:szCs w:val="24"/>
        </w:rPr>
        <w:t xml:space="preserve"> J. Pūce</w:t>
      </w:r>
    </w:p>
    <w:p w:rsidR="0034600D" w:rsidRPr="00D043A6" w:rsidRDefault="0034600D" w:rsidP="00CD2B2F">
      <w:pPr>
        <w:ind w:firstLine="720"/>
        <w:jc w:val="both"/>
        <w:rPr>
          <w:sz w:val="24"/>
          <w:szCs w:val="24"/>
        </w:rPr>
      </w:pPr>
    </w:p>
    <w:p w:rsidR="00A5254A" w:rsidRPr="00D043A6" w:rsidRDefault="00A5254A" w:rsidP="00CD2B2F">
      <w:pPr>
        <w:ind w:firstLine="720"/>
        <w:jc w:val="both"/>
        <w:rPr>
          <w:sz w:val="24"/>
          <w:szCs w:val="24"/>
        </w:rPr>
      </w:pPr>
    </w:p>
    <w:p w:rsidR="00E40B61" w:rsidRPr="00D043A6" w:rsidRDefault="00E40B61" w:rsidP="00CD2B2F">
      <w:pPr>
        <w:ind w:firstLine="720"/>
        <w:jc w:val="both"/>
        <w:rPr>
          <w:sz w:val="24"/>
          <w:szCs w:val="24"/>
        </w:rPr>
      </w:pPr>
    </w:p>
    <w:p w:rsidR="00A5254A" w:rsidRPr="00D043A6" w:rsidRDefault="00A5254A" w:rsidP="00CD2B2F">
      <w:pPr>
        <w:ind w:firstLine="720"/>
        <w:jc w:val="both"/>
        <w:rPr>
          <w:sz w:val="24"/>
          <w:szCs w:val="24"/>
        </w:rPr>
      </w:pPr>
    </w:p>
    <w:p w:rsidR="00A5254A" w:rsidRPr="00D043A6" w:rsidRDefault="0058731C" w:rsidP="00A5254A">
      <w:pPr>
        <w:ind w:firstLine="720"/>
        <w:jc w:val="both"/>
        <w:rPr>
          <w:sz w:val="20"/>
        </w:rPr>
      </w:pPr>
      <w:r>
        <w:rPr>
          <w:sz w:val="20"/>
        </w:rPr>
        <w:t>1</w:t>
      </w:r>
      <w:r w:rsidR="00F30B0C">
        <w:rPr>
          <w:sz w:val="20"/>
        </w:rPr>
        <w:t>5</w:t>
      </w:r>
      <w:r w:rsidR="007154A3">
        <w:rPr>
          <w:sz w:val="20"/>
        </w:rPr>
        <w:t>.</w:t>
      </w:r>
      <w:r>
        <w:rPr>
          <w:sz w:val="20"/>
        </w:rPr>
        <w:t>04</w:t>
      </w:r>
      <w:r w:rsidR="00A5254A" w:rsidRPr="00D043A6">
        <w:rPr>
          <w:sz w:val="20"/>
        </w:rPr>
        <w:t>.</w:t>
      </w:r>
      <w:r w:rsidR="00803EDD" w:rsidRPr="00D043A6">
        <w:rPr>
          <w:sz w:val="20"/>
        </w:rPr>
        <w:t>2013</w:t>
      </w:r>
      <w:r w:rsidR="00A5254A" w:rsidRPr="00D043A6">
        <w:rPr>
          <w:sz w:val="20"/>
        </w:rPr>
        <w:t xml:space="preserve">. </w:t>
      </w:r>
      <w:r>
        <w:rPr>
          <w:sz w:val="20"/>
        </w:rPr>
        <w:t>1</w:t>
      </w:r>
      <w:r w:rsidR="00924032">
        <w:rPr>
          <w:sz w:val="20"/>
        </w:rPr>
        <w:t>7</w:t>
      </w:r>
      <w:r w:rsidR="00A5254A" w:rsidRPr="00D043A6">
        <w:rPr>
          <w:sz w:val="20"/>
        </w:rPr>
        <w:t>:</w:t>
      </w:r>
      <w:r w:rsidR="00F30B0C">
        <w:rPr>
          <w:sz w:val="20"/>
        </w:rPr>
        <w:t>5</w:t>
      </w:r>
      <w:r>
        <w:rPr>
          <w:sz w:val="20"/>
        </w:rPr>
        <w:t>0</w:t>
      </w:r>
    </w:p>
    <w:p w:rsidR="00A5254A" w:rsidRPr="00D043A6" w:rsidRDefault="00924032" w:rsidP="00A5254A">
      <w:pPr>
        <w:ind w:firstLine="720"/>
        <w:jc w:val="both"/>
        <w:rPr>
          <w:sz w:val="20"/>
        </w:rPr>
      </w:pPr>
      <w:r>
        <w:rPr>
          <w:sz w:val="20"/>
        </w:rPr>
        <w:t>16254</w:t>
      </w:r>
    </w:p>
    <w:p w:rsidR="00C656B1" w:rsidRPr="00D043A6" w:rsidRDefault="00C656B1" w:rsidP="00A5254A">
      <w:pPr>
        <w:ind w:firstLine="720"/>
        <w:jc w:val="both"/>
        <w:rPr>
          <w:sz w:val="20"/>
        </w:rPr>
      </w:pPr>
    </w:p>
    <w:p w:rsidR="00C656B1" w:rsidRPr="00D043A6" w:rsidRDefault="00C656B1" w:rsidP="00C656B1">
      <w:pPr>
        <w:ind w:firstLine="720"/>
        <w:jc w:val="both"/>
        <w:rPr>
          <w:sz w:val="20"/>
        </w:rPr>
      </w:pPr>
      <w:r w:rsidRPr="00D043A6">
        <w:rPr>
          <w:sz w:val="20"/>
        </w:rPr>
        <w:t>I. Oša</w:t>
      </w:r>
    </w:p>
    <w:p w:rsidR="00C656B1" w:rsidRPr="00D043A6" w:rsidRDefault="00C656B1" w:rsidP="00C656B1">
      <w:pPr>
        <w:ind w:firstLine="720"/>
        <w:jc w:val="both"/>
        <w:rPr>
          <w:sz w:val="20"/>
        </w:rPr>
      </w:pPr>
      <w:r w:rsidRPr="00D043A6">
        <w:rPr>
          <w:sz w:val="20"/>
        </w:rPr>
        <w:t xml:space="preserve">67013031, </w:t>
      </w:r>
      <w:hyperlink r:id="rId22" w:history="1">
        <w:r w:rsidRPr="00D043A6">
          <w:rPr>
            <w:rStyle w:val="Hyperlink"/>
            <w:sz w:val="20"/>
          </w:rPr>
          <w:t>ilze.osa@em.gov.lv</w:t>
        </w:r>
      </w:hyperlink>
    </w:p>
    <w:p w:rsidR="00C656B1" w:rsidRPr="00D043A6" w:rsidRDefault="00C656B1" w:rsidP="00C656B1">
      <w:pPr>
        <w:ind w:firstLine="720"/>
        <w:jc w:val="both"/>
        <w:rPr>
          <w:sz w:val="20"/>
        </w:rPr>
      </w:pPr>
    </w:p>
    <w:p w:rsidR="00C656B1" w:rsidRPr="00D043A6" w:rsidRDefault="00C656B1" w:rsidP="00C656B1">
      <w:pPr>
        <w:ind w:firstLine="720"/>
        <w:jc w:val="both"/>
        <w:rPr>
          <w:sz w:val="20"/>
        </w:rPr>
      </w:pPr>
      <w:r w:rsidRPr="00D043A6">
        <w:rPr>
          <w:sz w:val="20"/>
        </w:rPr>
        <w:t xml:space="preserve">M. Auders, </w:t>
      </w:r>
    </w:p>
    <w:p w:rsidR="00C656B1" w:rsidRPr="00D043A6" w:rsidRDefault="00C656B1" w:rsidP="00C656B1">
      <w:pPr>
        <w:ind w:firstLine="720"/>
        <w:jc w:val="both"/>
        <w:rPr>
          <w:sz w:val="20"/>
        </w:rPr>
      </w:pPr>
      <w:r w:rsidRPr="00D043A6">
        <w:rPr>
          <w:sz w:val="20"/>
        </w:rPr>
        <w:t xml:space="preserve">67013078, </w:t>
      </w:r>
      <w:hyperlink r:id="rId23" w:history="1">
        <w:r w:rsidRPr="00D043A6">
          <w:rPr>
            <w:rStyle w:val="Hyperlink"/>
            <w:sz w:val="20"/>
          </w:rPr>
          <w:t>Martins.Auders@em.gov.lv</w:t>
        </w:r>
      </w:hyperlink>
      <w:r w:rsidRPr="00D043A6">
        <w:rPr>
          <w:sz w:val="20"/>
        </w:rPr>
        <w:t xml:space="preserve"> </w:t>
      </w:r>
    </w:p>
    <w:p w:rsidR="00C656B1" w:rsidRPr="00D043A6" w:rsidRDefault="00C656B1" w:rsidP="00C656B1">
      <w:pPr>
        <w:ind w:firstLine="720"/>
        <w:jc w:val="both"/>
        <w:rPr>
          <w:sz w:val="20"/>
        </w:rPr>
      </w:pPr>
    </w:p>
    <w:p w:rsidR="00A5254A" w:rsidRPr="00D043A6" w:rsidRDefault="00A5254A" w:rsidP="00A5254A">
      <w:pPr>
        <w:ind w:firstLine="720"/>
        <w:jc w:val="both"/>
        <w:rPr>
          <w:sz w:val="20"/>
        </w:rPr>
      </w:pPr>
      <w:r w:rsidRPr="00D043A6">
        <w:rPr>
          <w:sz w:val="20"/>
        </w:rPr>
        <w:t>Dz. Grasmanis</w:t>
      </w:r>
    </w:p>
    <w:p w:rsidR="00A5254A" w:rsidRPr="00D043A6" w:rsidRDefault="00A5254A" w:rsidP="00A5254A">
      <w:pPr>
        <w:ind w:firstLine="720"/>
        <w:jc w:val="both"/>
        <w:rPr>
          <w:sz w:val="20"/>
        </w:rPr>
      </w:pPr>
      <w:r w:rsidRPr="00D043A6">
        <w:rPr>
          <w:sz w:val="20"/>
        </w:rPr>
        <w:t xml:space="preserve">67013040, </w:t>
      </w:r>
      <w:hyperlink r:id="rId24" w:history="1">
        <w:r w:rsidR="00C656B1" w:rsidRPr="00D043A6">
          <w:rPr>
            <w:rStyle w:val="Hyperlink"/>
            <w:sz w:val="20"/>
          </w:rPr>
          <w:t>Dzintars.Grasmanis@em.gov.lv</w:t>
        </w:r>
      </w:hyperlink>
      <w:r w:rsidR="00C656B1" w:rsidRPr="00D043A6">
        <w:rPr>
          <w:sz w:val="20"/>
        </w:rPr>
        <w:t xml:space="preserve"> </w:t>
      </w:r>
    </w:p>
    <w:p w:rsidR="0034600D" w:rsidRPr="00D043A6" w:rsidRDefault="0034600D" w:rsidP="00A5254A">
      <w:pPr>
        <w:ind w:firstLine="720"/>
        <w:jc w:val="both"/>
        <w:rPr>
          <w:sz w:val="20"/>
        </w:rPr>
      </w:pPr>
    </w:p>
    <w:p w:rsidR="007154A3" w:rsidRDefault="007154A3" w:rsidP="007154A3">
      <w:pPr>
        <w:ind w:firstLine="720"/>
        <w:jc w:val="both"/>
        <w:rPr>
          <w:sz w:val="20"/>
        </w:rPr>
      </w:pPr>
      <w:r>
        <w:rPr>
          <w:sz w:val="20"/>
        </w:rPr>
        <w:t>D. Suveizda</w:t>
      </w:r>
      <w:r w:rsidRPr="007154A3">
        <w:rPr>
          <w:sz w:val="20"/>
        </w:rPr>
        <w:t xml:space="preserve"> </w:t>
      </w:r>
    </w:p>
    <w:p w:rsidR="00A5254A" w:rsidRPr="00D043A6" w:rsidRDefault="007154A3" w:rsidP="007154A3">
      <w:pPr>
        <w:ind w:firstLine="720"/>
        <w:jc w:val="both"/>
        <w:rPr>
          <w:sz w:val="20"/>
        </w:rPr>
      </w:pPr>
      <w:r w:rsidRPr="007154A3">
        <w:rPr>
          <w:sz w:val="20"/>
        </w:rPr>
        <w:t>67013041</w:t>
      </w:r>
      <w:r>
        <w:rPr>
          <w:sz w:val="20"/>
        </w:rPr>
        <w:t xml:space="preserve">, </w:t>
      </w:r>
      <w:hyperlink r:id="rId25" w:history="1">
        <w:r w:rsidRPr="00DB3AE4">
          <w:rPr>
            <w:rStyle w:val="Hyperlink"/>
            <w:sz w:val="20"/>
          </w:rPr>
          <w:t>Dace.Suveizda@em.gov.lv</w:t>
        </w:r>
      </w:hyperlink>
      <w:r>
        <w:rPr>
          <w:sz w:val="20"/>
        </w:rPr>
        <w:t xml:space="preserve"> </w:t>
      </w:r>
    </w:p>
    <w:p w:rsidR="00A5254A" w:rsidRPr="00D043A6" w:rsidRDefault="00A5254A" w:rsidP="00A5254A">
      <w:pPr>
        <w:ind w:firstLine="720"/>
        <w:jc w:val="both"/>
        <w:rPr>
          <w:sz w:val="20"/>
        </w:rPr>
      </w:pPr>
    </w:p>
    <w:p w:rsidR="00A5254A" w:rsidRPr="00D043A6" w:rsidRDefault="00A5254A" w:rsidP="00A5254A">
      <w:pPr>
        <w:ind w:firstLine="720"/>
        <w:jc w:val="both"/>
        <w:rPr>
          <w:sz w:val="20"/>
        </w:rPr>
      </w:pPr>
    </w:p>
    <w:p w:rsidR="00A5254A" w:rsidRPr="00D043A6" w:rsidRDefault="00A5254A" w:rsidP="00A5254A">
      <w:pPr>
        <w:ind w:firstLine="720"/>
        <w:jc w:val="both"/>
        <w:rPr>
          <w:sz w:val="20"/>
        </w:rPr>
      </w:pPr>
    </w:p>
    <w:sectPr w:rsidR="00A5254A" w:rsidRPr="00D043A6" w:rsidSect="00C656B1">
      <w:headerReference w:type="default" r:id="rId26"/>
      <w:footerReference w:type="default" r:id="rId27"/>
      <w:footerReference w:type="first" r:id="rId28"/>
      <w:pgSz w:w="11906" w:h="16838"/>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59F" w:rsidRDefault="00C1159F" w:rsidP="003C7DD5">
      <w:r>
        <w:separator/>
      </w:r>
    </w:p>
  </w:endnote>
  <w:endnote w:type="continuationSeparator" w:id="0">
    <w:p w:rsidR="00C1159F" w:rsidRDefault="00C1159F" w:rsidP="003C7DD5">
      <w:r>
        <w:continuationSeparator/>
      </w:r>
    </w:p>
  </w:endnote>
  <w:endnote w:type="continuationNotice" w:id="1">
    <w:p w:rsidR="00C1159F" w:rsidRDefault="00C115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10002FF" w:usb1="4000ACFF" w:usb2="00000009"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20002A87" w:usb1="00000000" w:usb2="00000000"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HiddenHorzOC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59F" w:rsidRPr="00E40B61" w:rsidRDefault="00C1159F" w:rsidP="003A61CF">
    <w:pPr>
      <w:pStyle w:val="Footer"/>
      <w:tabs>
        <w:tab w:val="center" w:pos="2835"/>
        <w:tab w:val="center" w:pos="4536"/>
        <w:tab w:val="right" w:pos="8789"/>
      </w:tabs>
      <w:spacing w:before="240"/>
      <w:rPr>
        <w:sz w:val="24"/>
        <w:szCs w:val="24"/>
      </w:rPr>
    </w:pPr>
    <w:r w:rsidRPr="00E40B61">
      <w:rPr>
        <w:sz w:val="24"/>
        <w:szCs w:val="24"/>
      </w:rPr>
      <w:fldChar w:fldCharType="begin"/>
    </w:r>
    <w:r w:rsidRPr="00E40B61">
      <w:rPr>
        <w:sz w:val="24"/>
        <w:szCs w:val="24"/>
      </w:rPr>
      <w:instrText xml:space="preserve"> FILENAME  \* MERGEFORMAT </w:instrText>
    </w:r>
    <w:r w:rsidRPr="00E40B61">
      <w:rPr>
        <w:sz w:val="24"/>
        <w:szCs w:val="24"/>
      </w:rPr>
      <w:fldChar w:fldCharType="separate"/>
    </w:r>
    <w:r w:rsidR="005D13C5">
      <w:rPr>
        <w:noProof/>
        <w:sz w:val="24"/>
        <w:szCs w:val="24"/>
      </w:rPr>
      <w:t>EMZino_150413_Finansesanas_risinajumi.docx</w:t>
    </w:r>
    <w:r w:rsidRPr="00E40B61">
      <w:rPr>
        <w:noProof/>
        <w:sz w:val="24"/>
        <w:szCs w:val="24"/>
      </w:rPr>
      <w:fldChar w:fldCharType="end"/>
    </w:r>
    <w:r w:rsidRPr="00E40B61">
      <w:rPr>
        <w:sz w:val="24"/>
        <w:szCs w:val="24"/>
      </w:rPr>
      <w:t xml:space="preserve">; </w:t>
    </w:r>
    <w:r w:rsidRPr="00E40B61">
      <w:rPr>
        <w:sz w:val="24"/>
        <w:szCs w:val="24"/>
      </w:rPr>
      <w:fldChar w:fldCharType="begin"/>
    </w:r>
    <w:r w:rsidRPr="00E40B61">
      <w:rPr>
        <w:sz w:val="24"/>
        <w:szCs w:val="24"/>
      </w:rPr>
      <w:instrText xml:space="preserve"> TITLE  \* MERGEFORMAT </w:instrText>
    </w:r>
    <w:r w:rsidRPr="00E40B61">
      <w:rPr>
        <w:sz w:val="24"/>
        <w:szCs w:val="24"/>
      </w:rPr>
      <w:fldChar w:fldCharType="separate"/>
    </w:r>
    <w:r w:rsidR="005D13C5">
      <w:rPr>
        <w:sz w:val="24"/>
        <w:szCs w:val="24"/>
      </w:rPr>
      <w:t>Informatīvs ziņojums par ēku renovācijas finansēšanas risinājumiem</w:t>
    </w:r>
    <w:r w:rsidRPr="00E40B61">
      <w:rPr>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59F" w:rsidRPr="003A61CF" w:rsidRDefault="005D13C5" w:rsidP="00C656B1">
    <w:pPr>
      <w:pStyle w:val="Footer"/>
      <w:tabs>
        <w:tab w:val="center" w:pos="2835"/>
        <w:tab w:val="center" w:pos="4536"/>
        <w:tab w:val="right" w:pos="8789"/>
      </w:tabs>
      <w:spacing w:before="240"/>
      <w:rPr>
        <w:sz w:val="22"/>
        <w:szCs w:val="24"/>
      </w:rPr>
    </w:pPr>
    <w:r>
      <w:fldChar w:fldCharType="begin"/>
    </w:r>
    <w:r>
      <w:instrText xml:space="preserve"> FILENAME  \* MERGEFORMAT </w:instrText>
    </w:r>
    <w:r>
      <w:fldChar w:fldCharType="separate"/>
    </w:r>
    <w:r w:rsidRPr="005D13C5">
      <w:rPr>
        <w:noProof/>
        <w:sz w:val="22"/>
        <w:szCs w:val="24"/>
      </w:rPr>
      <w:t>EMZino_150413_Finansesanas_risinajumi</w:t>
    </w:r>
    <w:r>
      <w:rPr>
        <w:noProof/>
      </w:rPr>
      <w:t>.docx</w:t>
    </w:r>
    <w:r>
      <w:rPr>
        <w:noProof/>
      </w:rPr>
      <w:fldChar w:fldCharType="end"/>
    </w:r>
    <w:r w:rsidR="00C1159F" w:rsidRPr="003A61CF">
      <w:rPr>
        <w:sz w:val="22"/>
        <w:szCs w:val="24"/>
      </w:rPr>
      <w:t xml:space="preserve">; </w:t>
    </w:r>
    <w:r>
      <w:fldChar w:fldCharType="begin"/>
    </w:r>
    <w:r>
      <w:instrText xml:space="preserve"> TITLE  \* MERGEFORMAT </w:instrText>
    </w:r>
    <w:r>
      <w:fldChar w:fldCharType="separate"/>
    </w:r>
    <w:r w:rsidRPr="005D13C5">
      <w:rPr>
        <w:sz w:val="22"/>
        <w:szCs w:val="24"/>
      </w:rPr>
      <w:t>Informatīvs ziņojums par ēku renovācijas finansēšanas risinājumiem</w:t>
    </w:r>
    <w:r>
      <w:rPr>
        <w:sz w:val="22"/>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59F" w:rsidRDefault="00C1159F" w:rsidP="003C7DD5">
      <w:r>
        <w:separator/>
      </w:r>
    </w:p>
  </w:footnote>
  <w:footnote w:type="continuationSeparator" w:id="0">
    <w:p w:rsidR="00C1159F" w:rsidRDefault="00C1159F" w:rsidP="003C7DD5">
      <w:r>
        <w:continuationSeparator/>
      </w:r>
    </w:p>
  </w:footnote>
  <w:footnote w:type="continuationNotice" w:id="1">
    <w:p w:rsidR="00C1159F" w:rsidRDefault="00C1159F"/>
  </w:footnote>
  <w:footnote w:id="2">
    <w:p w:rsidR="00C1159F" w:rsidRPr="00D00827" w:rsidRDefault="00C1159F" w:rsidP="00D00827">
      <w:pPr>
        <w:pStyle w:val="FootnoteText"/>
        <w:spacing w:after="0"/>
        <w:ind w:firstLine="0"/>
        <w:rPr>
          <w:rFonts w:ascii="Times New Roman" w:hAnsi="Times New Roman"/>
          <w:b/>
          <w:lang w:val="de-DE"/>
        </w:rPr>
      </w:pPr>
      <w:r w:rsidRPr="00A8688F">
        <w:rPr>
          <w:rStyle w:val="FootnoteReference"/>
          <w:rFonts w:ascii="Times New Roman" w:hAnsi="Times New Roman"/>
        </w:rPr>
        <w:footnoteRef/>
      </w:r>
      <w:r w:rsidRPr="00A8688F">
        <w:rPr>
          <w:rFonts w:ascii="Times New Roman" w:hAnsi="Times New Roman"/>
        </w:rPr>
        <w:t xml:space="preserve"> </w:t>
      </w:r>
      <w:r>
        <w:rPr>
          <w:rFonts w:ascii="Times New Roman" w:hAnsi="Times New Roman"/>
        </w:rPr>
        <w:t>S</w:t>
      </w:r>
      <w:r w:rsidRPr="00D00827">
        <w:rPr>
          <w:rFonts w:ascii="Times New Roman" w:hAnsi="Times New Roman"/>
        </w:rPr>
        <w:t>iltumenerģija apkurei un karstā ūdens sagatavošanai</w:t>
      </w:r>
      <w:r>
        <w:rPr>
          <w:rFonts w:ascii="Times New Roman" w:hAnsi="Times New Roman"/>
        </w:rPr>
        <w:t>.</w:t>
      </w:r>
    </w:p>
  </w:footnote>
  <w:footnote w:id="3">
    <w:p w:rsidR="00C1159F" w:rsidRDefault="00C1159F" w:rsidP="009B0A88">
      <w:pPr>
        <w:pStyle w:val="FootnoteText"/>
        <w:ind w:firstLine="0"/>
      </w:pPr>
      <w:r>
        <w:rPr>
          <w:rStyle w:val="FootnoteReference"/>
        </w:rPr>
        <w:footnoteRef/>
      </w:r>
      <w:r>
        <w:t xml:space="preserve"> </w:t>
      </w:r>
      <w:r w:rsidRPr="00A8688F">
        <w:rPr>
          <w:rFonts w:ascii="Times New Roman" w:hAnsi="Times New Roman"/>
        </w:rPr>
        <w:t xml:space="preserve">NĪVK IS reģistrēto dzīvojamo māju platības atšķiras no Centrālās statistikas pārvaldes (CSP) datiem par dzīvojamo fondu, jo NĪVK IS </w:t>
      </w:r>
      <w:r w:rsidRPr="0070735F">
        <w:rPr>
          <w:rFonts w:ascii="Times New Roman" w:hAnsi="Times New Roman"/>
        </w:rPr>
        <w:t>uzskaita reģistrēto dzīvojamo māju kopējo platību, bet dzīvojamā fondā tiek uzskaitīta dzīvokļu kopējā jeb lietderīgā platība bez gaiteņu, kāpņu telpu, pagrabu un citu visiem dzīvojamās mājas vai nedzīvojamās ēkas īpašniekiem kopīgi izmantojamu telpu platības</w:t>
      </w:r>
      <w:r>
        <w:rPr>
          <w:rFonts w:ascii="Times New Roman" w:hAnsi="Times New Roman"/>
        </w:rPr>
        <w:t xml:space="preserve"> </w:t>
      </w:r>
      <w:r w:rsidRPr="00A8688F">
        <w:rPr>
          <w:rFonts w:ascii="Times New Roman" w:hAnsi="Times New Roman"/>
        </w:rPr>
        <w:t>. Saskaņā ar CSP datiem 2009. gada beigās dzīvojamais fonds bija 61.1 milj. m</w:t>
      </w:r>
      <w:r w:rsidRPr="00A8688F">
        <w:rPr>
          <w:rFonts w:ascii="Times New Roman" w:hAnsi="Times New Roman"/>
          <w:vertAlign w:val="superscript"/>
        </w:rPr>
        <w:t>2</w:t>
      </w:r>
      <w:r w:rsidRPr="00A8688F">
        <w:rPr>
          <w:rFonts w:ascii="Times New Roman" w:hAnsi="Times New Roman"/>
        </w:rPr>
        <w:t>.</w:t>
      </w:r>
    </w:p>
  </w:footnote>
  <w:footnote w:id="4">
    <w:p w:rsidR="00C1159F" w:rsidRPr="00842413" w:rsidRDefault="00C1159F" w:rsidP="00842413">
      <w:pPr>
        <w:pStyle w:val="FootnoteText"/>
        <w:ind w:firstLine="0"/>
        <w:rPr>
          <w:rFonts w:ascii="Times New Roman" w:hAnsi="Times New Roman"/>
        </w:rPr>
      </w:pPr>
      <w:r w:rsidRPr="00842413">
        <w:rPr>
          <w:rStyle w:val="FootnoteReference"/>
          <w:rFonts w:ascii="Times New Roman" w:hAnsi="Times New Roman"/>
        </w:rPr>
        <w:footnoteRef/>
      </w:r>
      <w:r w:rsidRPr="00842413">
        <w:rPr>
          <w:rFonts w:ascii="Times New Roman" w:hAnsi="Times New Roman"/>
        </w:rPr>
        <w:t xml:space="preserve"> „СНиП II-3-79 Строительная теплотехника” (celtniecības siltumtehnika), СНиП II-3-79 2. Теплоустойчивость ограждающих конструкций (2. daļa – Norobežojošo konstrukciju siltumtehnika).</w:t>
      </w:r>
    </w:p>
  </w:footnote>
  <w:footnote w:id="5">
    <w:p w:rsidR="00C1159F" w:rsidRPr="00F63DD9" w:rsidRDefault="00C1159F" w:rsidP="005E13CB">
      <w:pPr>
        <w:pStyle w:val="FootnoteText"/>
        <w:spacing w:after="0"/>
        <w:ind w:firstLine="0"/>
        <w:rPr>
          <w:rFonts w:ascii="Times New Roman" w:hAnsi="Times New Roman"/>
        </w:rPr>
      </w:pPr>
      <w:r w:rsidRPr="00F63DD9">
        <w:rPr>
          <w:rStyle w:val="FootnoteReference"/>
          <w:rFonts w:ascii="Times New Roman" w:hAnsi="Times New Roman"/>
        </w:rPr>
        <w:footnoteRef/>
      </w:r>
      <w:r w:rsidRPr="00F63DD9">
        <w:rPr>
          <w:rFonts w:ascii="Times New Roman" w:hAnsi="Times New Roman"/>
        </w:rPr>
        <w:t xml:space="preserve"> </w:t>
      </w:r>
      <w:r>
        <w:rPr>
          <w:rFonts w:ascii="Times New Roman" w:hAnsi="Times New Roman"/>
        </w:rPr>
        <w:t xml:space="preserve">Ministru kabineta </w:t>
      </w:r>
      <w:r w:rsidRPr="00F63DD9">
        <w:rPr>
          <w:rFonts w:ascii="Times New Roman" w:hAnsi="Times New Roman"/>
        </w:rPr>
        <w:t xml:space="preserve"> 27.11.2001. noteikumi Nr.</w:t>
      </w:r>
      <w:r>
        <w:rPr>
          <w:rFonts w:ascii="Times New Roman" w:hAnsi="Times New Roman"/>
        </w:rPr>
        <w:t> </w:t>
      </w:r>
      <w:r w:rsidRPr="00F63DD9">
        <w:rPr>
          <w:rFonts w:ascii="Times New Roman" w:hAnsi="Times New Roman"/>
        </w:rPr>
        <w:t>495 „Noteikumi par Latvijas būvnormatīvu LBN 002-01 „Ēku norobežojošo konstrukciju siltumtehnika””</w:t>
      </w:r>
    </w:p>
  </w:footnote>
  <w:footnote w:id="6">
    <w:p w:rsidR="00C1159F" w:rsidRPr="007C0888" w:rsidRDefault="00C1159F" w:rsidP="007C0888">
      <w:pPr>
        <w:pStyle w:val="FootnoteText"/>
        <w:ind w:firstLine="0"/>
        <w:rPr>
          <w:rFonts w:ascii="Times New Roman" w:hAnsi="Times New Roman"/>
          <w:sz w:val="24"/>
        </w:rPr>
      </w:pPr>
      <w:r w:rsidRPr="007C0888">
        <w:rPr>
          <w:rStyle w:val="FootnoteReference"/>
          <w:rFonts w:ascii="Times New Roman" w:hAnsi="Times New Roman"/>
        </w:rPr>
        <w:footnoteRef/>
      </w:r>
      <w:r w:rsidRPr="007C0888">
        <w:rPr>
          <w:rFonts w:ascii="Times New Roman" w:hAnsi="Times New Roman"/>
        </w:rPr>
        <w:t xml:space="preserve"> A. Jakovičs, S. Gendelis, H. Truemmann. </w:t>
      </w:r>
      <w:r>
        <w:rPr>
          <w:rFonts w:ascii="Times New Roman" w:hAnsi="Times New Roman"/>
        </w:rPr>
        <w:t>Analysis of heat losses from typical buildings in Riga. International scientific colloquium ‘Modeling for saving resources’ – Riga, 2001, pp 190-197</w:t>
      </w:r>
    </w:p>
  </w:footnote>
  <w:footnote w:id="7">
    <w:p w:rsidR="00C1159F" w:rsidRPr="002024D2" w:rsidRDefault="00C1159F" w:rsidP="00880F51">
      <w:pPr>
        <w:pStyle w:val="FootnoteText"/>
        <w:ind w:firstLine="0"/>
        <w:rPr>
          <w:rFonts w:ascii="Times New Roman" w:hAnsi="Times New Roman"/>
        </w:rPr>
      </w:pPr>
      <w:r w:rsidRPr="002024D2">
        <w:rPr>
          <w:rStyle w:val="FootnoteReference"/>
          <w:rFonts w:ascii="Times New Roman" w:hAnsi="Times New Roman"/>
        </w:rPr>
        <w:footnoteRef/>
      </w:r>
      <w:r w:rsidRPr="002024D2">
        <w:rPr>
          <w:rFonts w:ascii="Times New Roman" w:hAnsi="Times New Roman"/>
        </w:rPr>
        <w:t xml:space="preserve"> Siltumenerģija</w:t>
      </w:r>
      <w:r>
        <w:rPr>
          <w:rFonts w:ascii="Times New Roman" w:hAnsi="Times New Roman"/>
        </w:rPr>
        <w:t>s</w:t>
      </w:r>
      <w:r w:rsidRPr="002024D2">
        <w:rPr>
          <w:rFonts w:ascii="Times New Roman" w:hAnsi="Times New Roman"/>
        </w:rPr>
        <w:t xml:space="preserve"> un elektroenerģija</w:t>
      </w:r>
      <w:r>
        <w:rPr>
          <w:rFonts w:ascii="Times New Roman" w:hAnsi="Times New Roman"/>
        </w:rPr>
        <w:t>s</w:t>
      </w:r>
      <w:r w:rsidRPr="002024D2">
        <w:rPr>
          <w:rFonts w:ascii="Times New Roman" w:hAnsi="Times New Roman"/>
        </w:rPr>
        <w:t xml:space="preserve"> kop</w:t>
      </w:r>
      <w:r>
        <w:rPr>
          <w:rFonts w:ascii="Times New Roman" w:hAnsi="Times New Roman"/>
        </w:rPr>
        <w:t>ējais patēriņš</w:t>
      </w:r>
    </w:p>
  </w:footnote>
  <w:footnote w:id="8">
    <w:p w:rsidR="00C1159F" w:rsidRPr="00CC0606" w:rsidRDefault="00C1159F" w:rsidP="00CC0606">
      <w:pPr>
        <w:pStyle w:val="FootnoteText"/>
        <w:ind w:firstLine="0"/>
        <w:rPr>
          <w:rFonts w:ascii="Times New Roman" w:hAnsi="Times New Roman"/>
        </w:rPr>
      </w:pPr>
      <w:r w:rsidRPr="00CC0606">
        <w:rPr>
          <w:rStyle w:val="FootnoteReference"/>
          <w:rFonts w:ascii="Times New Roman" w:hAnsi="Times New Roman"/>
        </w:rPr>
        <w:footnoteRef/>
      </w:r>
      <w:r w:rsidRPr="00CC0606">
        <w:rPr>
          <w:rFonts w:ascii="Times New Roman" w:hAnsi="Times New Roman"/>
        </w:rPr>
        <w:t xml:space="preserve"> </w:t>
      </w:r>
      <w:r>
        <w:rPr>
          <w:rFonts w:ascii="Times New Roman" w:hAnsi="Times New Roman"/>
        </w:rPr>
        <w:t xml:space="preserve">Vidējās renovācijas </w:t>
      </w:r>
      <w:r w:rsidRPr="00CC0606">
        <w:rPr>
          <w:rFonts w:ascii="Times New Roman" w:hAnsi="Times New Roman"/>
        </w:rPr>
        <w:t>izmaksa pieņemtas</w:t>
      </w:r>
      <w:r>
        <w:rPr>
          <w:rFonts w:ascii="Times New Roman" w:hAnsi="Times New Roman"/>
        </w:rPr>
        <w:t>,</w:t>
      </w:r>
      <w:r w:rsidRPr="00CC0606">
        <w:rPr>
          <w:rFonts w:ascii="Times New Roman" w:hAnsi="Times New Roman"/>
        </w:rPr>
        <w:t xml:space="preserve"> vadoties pēc </w:t>
      </w:r>
      <w:r>
        <w:rPr>
          <w:rFonts w:ascii="Times New Roman" w:hAnsi="Times New Roman"/>
        </w:rPr>
        <w:t>vidējām daudzdzīvokļu dzīvojamo māju renovācijas izmaksām ES fondu aktivitātē 3.4.4.1. 2012. gadā.</w:t>
      </w:r>
    </w:p>
  </w:footnote>
  <w:footnote w:id="9">
    <w:p w:rsidR="00C1159F" w:rsidRPr="008A50E7" w:rsidRDefault="00C1159F" w:rsidP="008A50E7">
      <w:pPr>
        <w:pStyle w:val="FootnoteText"/>
        <w:ind w:firstLine="0"/>
        <w:rPr>
          <w:rFonts w:ascii="Times New Roman" w:hAnsi="Times New Roman"/>
        </w:rPr>
      </w:pPr>
      <w:r w:rsidRPr="008A50E7">
        <w:rPr>
          <w:rStyle w:val="FootnoteReference"/>
          <w:rFonts w:ascii="Times New Roman" w:hAnsi="Times New Roman"/>
        </w:rPr>
        <w:footnoteRef/>
      </w:r>
      <w:r w:rsidRPr="008A50E7">
        <w:rPr>
          <w:rFonts w:ascii="Times New Roman" w:hAnsi="Times New Roman"/>
        </w:rPr>
        <w:t xml:space="preserve"> Brisele, 31.07.2012. COM (2012) 433 final</w:t>
      </w:r>
    </w:p>
  </w:footnote>
  <w:footnote w:id="10">
    <w:p w:rsidR="00C1159F" w:rsidRPr="001941AF" w:rsidRDefault="00C1159F" w:rsidP="001941AF">
      <w:pPr>
        <w:rPr>
          <w:rFonts w:eastAsia="Calibri"/>
          <w:sz w:val="20"/>
          <w:szCs w:val="20"/>
          <w:lang w:eastAsia="lv-LV"/>
        </w:rPr>
      </w:pPr>
      <w:r w:rsidRPr="001941AF">
        <w:rPr>
          <w:rStyle w:val="FootnoteReference"/>
          <w:sz w:val="20"/>
        </w:rPr>
        <w:footnoteRef/>
      </w:r>
      <w:r w:rsidRPr="001941AF">
        <w:rPr>
          <w:sz w:val="20"/>
        </w:rPr>
        <w:t xml:space="preserve"> Saskaņā ar </w:t>
      </w:r>
      <w:r w:rsidRPr="001941AF">
        <w:rPr>
          <w:rFonts w:eastAsia="Calibri"/>
          <w:sz w:val="20"/>
          <w:szCs w:val="20"/>
          <w:lang w:eastAsia="lv-LV"/>
        </w:rPr>
        <w:t>Eiropas Savienības struktūrfondu un Kohēzijas fonda vadības likum</w:t>
      </w:r>
      <w:r>
        <w:rPr>
          <w:rFonts w:eastAsia="Calibri"/>
          <w:sz w:val="20"/>
          <w:szCs w:val="20"/>
          <w:lang w:eastAsia="lv-LV"/>
        </w:rPr>
        <w:t>a 1. panta 2. punktu Eiropas Savienības fondi ir Eiropas Savienības struktūrfondi un Kohēzijas fonds</w:t>
      </w:r>
    </w:p>
    <w:p w:rsidR="00C1159F" w:rsidRDefault="00C1159F">
      <w:pPr>
        <w:pStyle w:val="FootnoteText"/>
      </w:pPr>
    </w:p>
  </w:footnote>
  <w:footnote w:id="11">
    <w:p w:rsidR="00C1159F" w:rsidRPr="00A8688F" w:rsidRDefault="00C1159F" w:rsidP="00A0770F">
      <w:pPr>
        <w:pStyle w:val="FootnoteText"/>
        <w:ind w:firstLine="0"/>
        <w:rPr>
          <w:rFonts w:ascii="Times New Roman" w:hAnsi="Times New Roman"/>
        </w:rPr>
      </w:pPr>
      <w:r w:rsidRPr="00A8688F">
        <w:rPr>
          <w:rStyle w:val="FootnoteReference"/>
          <w:rFonts w:ascii="Times New Roman" w:hAnsi="Times New Roman"/>
        </w:rPr>
        <w:footnoteRef/>
      </w:r>
      <w:r w:rsidRPr="00A8688F">
        <w:rPr>
          <w:rFonts w:ascii="Times New Roman" w:hAnsi="Times New Roman"/>
        </w:rPr>
        <w:t xml:space="preserve"> Eiropas Parlamenta un Padomes 2006. gada 5. jūlija Regula (EK) Nr. 1080/2006 par Eiropas Reģionālās attīstības fondu</w:t>
      </w:r>
    </w:p>
  </w:footnote>
  <w:footnote w:id="12">
    <w:p w:rsidR="00C1159F" w:rsidRPr="00220C63" w:rsidRDefault="00C1159F" w:rsidP="00220C63">
      <w:pPr>
        <w:pStyle w:val="FootnoteText"/>
        <w:ind w:firstLine="0"/>
        <w:rPr>
          <w:rFonts w:ascii="Times New Roman" w:hAnsi="Times New Roman"/>
        </w:rPr>
      </w:pPr>
      <w:r w:rsidRPr="00220C63">
        <w:rPr>
          <w:rStyle w:val="FootnoteReference"/>
          <w:rFonts w:ascii="Times New Roman" w:hAnsi="Times New Roman"/>
        </w:rPr>
        <w:footnoteRef/>
      </w:r>
      <w:r w:rsidRPr="00220C63">
        <w:rPr>
          <w:rFonts w:ascii="Times New Roman" w:hAnsi="Times New Roman"/>
        </w:rPr>
        <w:t xml:space="preserve"> Aktuāla informācija par Ekonomikas ministrijas atbildībā esošo ES fondu aktivitāšu īstenošanas progresu pieejama interneta adresē</w:t>
      </w:r>
      <w:r>
        <w:rPr>
          <w:rFonts w:ascii="Times New Roman" w:hAnsi="Times New Roman"/>
        </w:rPr>
        <w:t>:</w:t>
      </w:r>
      <w:r w:rsidRPr="00220C63">
        <w:rPr>
          <w:rFonts w:ascii="Times New Roman" w:hAnsi="Times New Roman"/>
        </w:rPr>
        <w:t xml:space="preserve"> </w:t>
      </w:r>
      <w:hyperlink r:id="rId1" w:history="1">
        <w:r w:rsidRPr="00220C63">
          <w:rPr>
            <w:rStyle w:val="Hyperlink"/>
            <w:rFonts w:ascii="Times New Roman" w:hAnsi="Times New Roman"/>
          </w:rPr>
          <w:t>http://www.em.gov.lv/em/2nd/?cat=30252</w:t>
        </w:r>
      </w:hyperlink>
    </w:p>
  </w:footnote>
  <w:footnote w:id="13">
    <w:p w:rsidR="00C1159F" w:rsidRPr="00BA26CE" w:rsidRDefault="00C1159F" w:rsidP="00BA26CE">
      <w:pPr>
        <w:pStyle w:val="FootnoteText"/>
        <w:ind w:firstLine="0"/>
        <w:rPr>
          <w:rFonts w:ascii="Times New Roman" w:hAnsi="Times New Roman"/>
        </w:rPr>
      </w:pPr>
      <w:r w:rsidRPr="00BA26CE">
        <w:rPr>
          <w:rStyle w:val="FootnoteReference"/>
          <w:rFonts w:ascii="Times New Roman" w:hAnsi="Times New Roman"/>
        </w:rPr>
        <w:footnoteRef/>
      </w:r>
      <w:r w:rsidRPr="00BA26CE">
        <w:rPr>
          <w:rFonts w:ascii="Times New Roman" w:hAnsi="Times New Roman"/>
        </w:rPr>
        <w:t xml:space="preserve"> MK 25.06.2009. noteikumi Nr. 645</w:t>
      </w:r>
    </w:p>
  </w:footnote>
  <w:footnote w:id="14">
    <w:p w:rsidR="00C1159F" w:rsidRPr="00BA26CE" w:rsidRDefault="00C1159F" w:rsidP="00BA26CE">
      <w:pPr>
        <w:pStyle w:val="FootnoteText"/>
        <w:ind w:firstLine="0"/>
        <w:rPr>
          <w:rFonts w:ascii="Times New Roman" w:hAnsi="Times New Roman"/>
        </w:rPr>
      </w:pPr>
      <w:r w:rsidRPr="00BA26CE">
        <w:rPr>
          <w:rStyle w:val="FootnoteReference"/>
          <w:rFonts w:ascii="Times New Roman" w:hAnsi="Times New Roman"/>
        </w:rPr>
        <w:footnoteRef/>
      </w:r>
      <w:r w:rsidRPr="00BA26CE">
        <w:rPr>
          <w:rFonts w:ascii="Times New Roman" w:hAnsi="Times New Roman"/>
        </w:rPr>
        <w:t xml:space="preserve"> MK 05.01.2010. noteikumi Nr. 1</w:t>
      </w:r>
    </w:p>
  </w:footnote>
  <w:footnote w:id="15">
    <w:p w:rsidR="00C1159F" w:rsidRPr="00BA26CE" w:rsidRDefault="00C1159F" w:rsidP="00BA26CE">
      <w:pPr>
        <w:pStyle w:val="FootnoteText"/>
        <w:ind w:firstLine="0"/>
        <w:rPr>
          <w:rFonts w:ascii="Times New Roman" w:hAnsi="Times New Roman"/>
        </w:rPr>
      </w:pPr>
      <w:r w:rsidRPr="00BA26CE">
        <w:rPr>
          <w:rStyle w:val="FootnoteReference"/>
          <w:rFonts w:ascii="Times New Roman" w:hAnsi="Times New Roman"/>
        </w:rPr>
        <w:footnoteRef/>
      </w:r>
      <w:r w:rsidRPr="00BA26CE">
        <w:rPr>
          <w:rFonts w:ascii="Times New Roman" w:hAnsi="Times New Roman"/>
        </w:rPr>
        <w:t xml:space="preserve"> MK 05.05.2010. noteikumi Nr. 417</w:t>
      </w:r>
    </w:p>
  </w:footnote>
  <w:footnote w:id="16">
    <w:p w:rsidR="00C1159F" w:rsidRPr="00BA26CE" w:rsidRDefault="00C1159F" w:rsidP="00BA26CE">
      <w:pPr>
        <w:pStyle w:val="FootnoteText"/>
        <w:ind w:firstLine="0"/>
        <w:rPr>
          <w:rFonts w:ascii="Times New Roman" w:hAnsi="Times New Roman"/>
        </w:rPr>
      </w:pPr>
      <w:r w:rsidRPr="00BA26CE">
        <w:rPr>
          <w:rStyle w:val="FootnoteReference"/>
          <w:rFonts w:ascii="Times New Roman" w:hAnsi="Times New Roman"/>
        </w:rPr>
        <w:footnoteRef/>
      </w:r>
      <w:r w:rsidRPr="00BA26CE">
        <w:rPr>
          <w:rFonts w:ascii="Times New Roman" w:hAnsi="Times New Roman"/>
        </w:rPr>
        <w:t xml:space="preserve"> MK 08.06.2010. noteikumi Nr.521</w:t>
      </w:r>
    </w:p>
  </w:footnote>
  <w:footnote w:id="17">
    <w:p w:rsidR="00C1159F" w:rsidRPr="00BA26CE" w:rsidRDefault="00C1159F" w:rsidP="00BA26CE">
      <w:pPr>
        <w:pStyle w:val="FootnoteText"/>
        <w:ind w:firstLine="0"/>
        <w:rPr>
          <w:rFonts w:ascii="Times New Roman" w:hAnsi="Times New Roman"/>
        </w:rPr>
      </w:pPr>
      <w:r w:rsidRPr="00BA26CE">
        <w:rPr>
          <w:rStyle w:val="FootnoteReference"/>
          <w:rFonts w:ascii="Times New Roman" w:hAnsi="Times New Roman"/>
        </w:rPr>
        <w:footnoteRef/>
      </w:r>
      <w:r w:rsidRPr="00BA26CE">
        <w:rPr>
          <w:rFonts w:ascii="Times New Roman" w:hAnsi="Times New Roman"/>
        </w:rPr>
        <w:t xml:space="preserve"> </w:t>
      </w:r>
      <w:r w:rsidRPr="00BA26CE">
        <w:rPr>
          <w:rFonts w:ascii="Times New Roman" w:hAnsi="Times New Roman"/>
          <w:color w:val="000000"/>
        </w:rPr>
        <w:t>MK 21.06.2010. noteikumi Nr.542</w:t>
      </w:r>
    </w:p>
  </w:footnote>
  <w:footnote w:id="18">
    <w:p w:rsidR="00C1159F" w:rsidRPr="00BA26CE" w:rsidRDefault="00C1159F" w:rsidP="00BA26CE">
      <w:pPr>
        <w:pStyle w:val="FootnoteText"/>
        <w:ind w:firstLine="0"/>
        <w:rPr>
          <w:rFonts w:ascii="Times New Roman" w:hAnsi="Times New Roman"/>
        </w:rPr>
      </w:pPr>
      <w:r w:rsidRPr="00BA26CE">
        <w:rPr>
          <w:rStyle w:val="FootnoteReference"/>
          <w:rFonts w:ascii="Times New Roman" w:hAnsi="Times New Roman"/>
        </w:rPr>
        <w:footnoteRef/>
      </w:r>
      <w:r w:rsidRPr="00BA26CE">
        <w:rPr>
          <w:rFonts w:ascii="Times New Roman" w:hAnsi="Times New Roman"/>
        </w:rPr>
        <w:t xml:space="preserve"> </w:t>
      </w:r>
      <w:r w:rsidRPr="00BA26CE">
        <w:rPr>
          <w:rFonts w:ascii="Times New Roman" w:hAnsi="Times New Roman"/>
          <w:color w:val="000000"/>
        </w:rPr>
        <w:t>MK 28.12.2010. noteikumi Nr.1185</w:t>
      </w:r>
    </w:p>
  </w:footnote>
  <w:footnote w:id="19">
    <w:p w:rsidR="00C1159F" w:rsidRPr="00BA26CE" w:rsidRDefault="00C1159F" w:rsidP="00BA26CE">
      <w:pPr>
        <w:pStyle w:val="FootnoteText"/>
        <w:ind w:firstLine="0"/>
        <w:rPr>
          <w:rFonts w:ascii="Times New Roman" w:hAnsi="Times New Roman"/>
        </w:rPr>
      </w:pPr>
      <w:r w:rsidRPr="00BA26CE">
        <w:rPr>
          <w:rStyle w:val="FootnoteReference"/>
          <w:rFonts w:ascii="Times New Roman" w:hAnsi="Times New Roman"/>
        </w:rPr>
        <w:footnoteRef/>
      </w:r>
      <w:r w:rsidRPr="00BA26CE">
        <w:rPr>
          <w:rFonts w:ascii="Times New Roman" w:hAnsi="Times New Roman"/>
        </w:rPr>
        <w:t xml:space="preserve"> </w:t>
      </w:r>
      <w:r w:rsidRPr="00BA26CE">
        <w:rPr>
          <w:rFonts w:ascii="Times New Roman" w:hAnsi="Times New Roman"/>
          <w:color w:val="000000"/>
        </w:rPr>
        <w:t>MK 14.08.2012. noteikumi Nr.559</w:t>
      </w:r>
    </w:p>
  </w:footnote>
  <w:footnote w:id="20">
    <w:p w:rsidR="00C1159F" w:rsidRPr="003E533F" w:rsidRDefault="00C1159F" w:rsidP="003E533F">
      <w:pPr>
        <w:pStyle w:val="FootnoteText"/>
        <w:ind w:firstLine="0"/>
        <w:rPr>
          <w:rFonts w:ascii="Times New Roman" w:hAnsi="Times New Roman"/>
        </w:rPr>
      </w:pPr>
      <w:r w:rsidRPr="003E533F">
        <w:rPr>
          <w:rStyle w:val="FootnoteReference"/>
          <w:rFonts w:ascii="Times New Roman" w:hAnsi="Times New Roman"/>
        </w:rPr>
        <w:footnoteRef/>
      </w:r>
      <w:r w:rsidRPr="003E533F">
        <w:rPr>
          <w:rFonts w:ascii="Times New Roman" w:hAnsi="Times New Roman"/>
        </w:rPr>
        <w:t xml:space="preserve"> Dati pēc piederības statusa 2011. gada janvārī.</w:t>
      </w:r>
    </w:p>
  </w:footnote>
  <w:footnote w:id="21">
    <w:p w:rsidR="00C1159F" w:rsidRPr="00872818" w:rsidRDefault="00C1159F" w:rsidP="00872818">
      <w:pPr>
        <w:pStyle w:val="FootnoteText"/>
        <w:ind w:firstLine="0"/>
        <w:rPr>
          <w:rFonts w:ascii="Times New Roman" w:hAnsi="Times New Roman"/>
        </w:rPr>
      </w:pPr>
      <w:r w:rsidRPr="00872818">
        <w:rPr>
          <w:rStyle w:val="FootnoteReference"/>
          <w:rFonts w:ascii="Times New Roman" w:hAnsi="Times New Roman"/>
        </w:rPr>
        <w:footnoteRef/>
      </w:r>
      <w:r w:rsidRPr="00872818">
        <w:rPr>
          <w:rFonts w:ascii="Times New Roman" w:hAnsi="Times New Roman"/>
        </w:rPr>
        <w:t xml:space="preserve"> t.sk. arhīv</w:t>
      </w:r>
      <w:r>
        <w:rPr>
          <w:rFonts w:ascii="Times New Roman" w:hAnsi="Times New Roman"/>
        </w:rPr>
        <w:t>u ēkas</w:t>
      </w:r>
    </w:p>
  </w:footnote>
  <w:footnote w:id="22">
    <w:p w:rsidR="00C1159F" w:rsidRPr="001945FC" w:rsidRDefault="00C1159F" w:rsidP="001945FC">
      <w:pPr>
        <w:pStyle w:val="FootnoteText"/>
        <w:ind w:firstLine="0"/>
        <w:rPr>
          <w:rFonts w:ascii="Times New Roman" w:hAnsi="Times New Roman"/>
        </w:rPr>
      </w:pPr>
      <w:r w:rsidRPr="001945FC">
        <w:rPr>
          <w:rStyle w:val="FootnoteReference"/>
          <w:rFonts w:ascii="Times New Roman" w:hAnsi="Times New Roman"/>
        </w:rPr>
        <w:footnoteRef/>
      </w:r>
      <w:r w:rsidRPr="001945FC">
        <w:rPr>
          <w:rFonts w:ascii="Times New Roman" w:hAnsi="Times New Roman"/>
        </w:rPr>
        <w:t xml:space="preserve"> Eiropas Parlamenta un Padomes direktīva 2010/31/ES (2010. gada 19. maijs) par ēku energoefektivitāti</w:t>
      </w:r>
    </w:p>
  </w:footnote>
  <w:footnote w:id="23">
    <w:p w:rsidR="00C1159F" w:rsidRPr="003E4808" w:rsidRDefault="00C1159F" w:rsidP="003E4808">
      <w:pPr>
        <w:pStyle w:val="FootnoteText"/>
        <w:ind w:firstLine="0"/>
        <w:rPr>
          <w:rFonts w:ascii="Times New Roman" w:hAnsi="Times New Roman"/>
        </w:rPr>
      </w:pPr>
      <w:r w:rsidRPr="003E4808">
        <w:rPr>
          <w:rStyle w:val="FootnoteReference"/>
          <w:rFonts w:ascii="Times New Roman" w:hAnsi="Times New Roman"/>
        </w:rPr>
        <w:footnoteRef/>
      </w:r>
      <w:r w:rsidRPr="003E4808">
        <w:rPr>
          <w:rFonts w:ascii="Times New Roman" w:hAnsi="Times New Roman"/>
        </w:rPr>
        <w:t xml:space="preserve"> Eiropas Parlamenta un Padomes Direktīva 2012/27/ES </w:t>
      </w:r>
      <w:r>
        <w:rPr>
          <w:rFonts w:ascii="Times New Roman" w:hAnsi="Times New Roman"/>
        </w:rPr>
        <w:t>(</w:t>
      </w:r>
      <w:r w:rsidRPr="003E4808">
        <w:rPr>
          <w:rFonts w:ascii="Times New Roman" w:hAnsi="Times New Roman"/>
        </w:rPr>
        <w:t>2012. gada 25. oktobrī</w:t>
      </w:r>
      <w:r>
        <w:rPr>
          <w:rFonts w:ascii="Times New Roman" w:hAnsi="Times New Roman"/>
        </w:rPr>
        <w:t xml:space="preserve">) </w:t>
      </w:r>
      <w:r w:rsidRPr="003E4808">
        <w:rPr>
          <w:rFonts w:ascii="Times New Roman" w:hAnsi="Times New Roman"/>
        </w:rPr>
        <w:t xml:space="preserve">par energoefektivitāti, ar ko groza Direktīvas 2009/125/EK un 2010/30/ES un atceļ Direktīvas 2004/8/EK un 2006/32/EK </w:t>
      </w:r>
    </w:p>
  </w:footnote>
  <w:footnote w:id="24">
    <w:p w:rsidR="00C1159F" w:rsidRPr="00AC0368" w:rsidRDefault="00C1159F" w:rsidP="003A1288">
      <w:pPr>
        <w:pStyle w:val="FootnoteText"/>
        <w:ind w:firstLine="0"/>
        <w:rPr>
          <w:rFonts w:ascii="Times New Roman" w:hAnsi="Times New Roman"/>
        </w:rPr>
      </w:pPr>
      <w:r w:rsidRPr="00F162AF">
        <w:rPr>
          <w:rStyle w:val="FootnoteReference"/>
          <w:rFonts w:ascii="Times New Roman" w:hAnsi="Times New Roman"/>
        </w:rPr>
        <w:footnoteRef/>
      </w:r>
      <w:r w:rsidRPr="00F162AF">
        <w:rPr>
          <w:rFonts w:ascii="Times New Roman" w:hAnsi="Times New Roman"/>
        </w:rPr>
        <w:t xml:space="preserve"> Saskaņā ar direktīvas 2010/31/ES 2. panta 2. apakšpunktu „gandrīz nulles enerģijas ēka” ir ēka ar ļoti augstu energoefektivitāti, kā noteikts saskaņā ar I pielikumu. Gandrīz nulles vai ļoti maza daudzuma vajadzīgo enerģiju būtu ļoti lielā mērā jāsedz no atjaunojamajiem enerģijas avotiem, tostarp uz vietas vai netālu ražotu enerģiju no atjaunojamajiem avotiem. Latvijā gandrīz nulles enerģijas ēka tiks definēta</w:t>
      </w:r>
      <w:r>
        <w:rPr>
          <w:rFonts w:ascii="Times New Roman" w:hAnsi="Times New Roman"/>
        </w:rPr>
        <w:t>,</w:t>
      </w:r>
      <w:r w:rsidRPr="00F162AF">
        <w:rPr>
          <w:rFonts w:ascii="Times New Roman" w:hAnsi="Times New Roman"/>
        </w:rPr>
        <w:t xml:space="preserve"> </w:t>
      </w:r>
      <w:r>
        <w:rPr>
          <w:rFonts w:ascii="Times New Roman" w:hAnsi="Times New Roman"/>
        </w:rPr>
        <w:t>esošajo</w:t>
      </w:r>
      <w:r w:rsidRPr="00F162AF">
        <w:rPr>
          <w:rFonts w:ascii="Times New Roman" w:hAnsi="Times New Roman"/>
        </w:rPr>
        <w:t>s normatīvajos aktos pārņemot direktīvu 2010/31/ES.</w:t>
      </w:r>
    </w:p>
  </w:footnote>
  <w:footnote w:id="25">
    <w:p w:rsidR="00C1159F" w:rsidRPr="00260F2D" w:rsidRDefault="00C1159F" w:rsidP="00260F2D">
      <w:pPr>
        <w:pStyle w:val="FootnoteText"/>
        <w:ind w:firstLine="0"/>
        <w:rPr>
          <w:rFonts w:ascii="Times New Roman" w:hAnsi="Times New Roman"/>
        </w:rPr>
      </w:pPr>
      <w:r w:rsidRPr="00260F2D">
        <w:rPr>
          <w:rStyle w:val="FootnoteReference"/>
          <w:rFonts w:ascii="Times New Roman" w:hAnsi="Times New Roman"/>
        </w:rPr>
        <w:footnoteRef/>
      </w:r>
      <w:r w:rsidRPr="00260F2D">
        <w:rPr>
          <w:rFonts w:ascii="Times New Roman" w:hAnsi="Times New Roman"/>
        </w:rPr>
        <w:t xml:space="preserve"> Saskaņā ar direktīvas 2012/27/ES 2. panta 9. punktu “centrālā valdība” ir visas administratīvās pārvaldes iestādes, kuru kompetence aptver visu dalībvalsts teritoriju; </w:t>
      </w:r>
    </w:p>
  </w:footnote>
  <w:footnote w:id="26">
    <w:p w:rsidR="00C1159F" w:rsidRPr="00BA528E" w:rsidRDefault="00C1159F" w:rsidP="00A85FF1">
      <w:pPr>
        <w:pStyle w:val="FootnoteText"/>
        <w:ind w:firstLine="0"/>
        <w:rPr>
          <w:rFonts w:ascii="Times New Roman" w:hAnsi="Times New Roman"/>
        </w:rPr>
      </w:pPr>
      <w:r w:rsidRPr="00BA528E">
        <w:rPr>
          <w:rStyle w:val="FootnoteReference"/>
          <w:rFonts w:ascii="Times New Roman" w:hAnsi="Times New Roman"/>
        </w:rPr>
        <w:footnoteRef/>
      </w:r>
      <w:r w:rsidRPr="00BA528E">
        <w:rPr>
          <w:rFonts w:ascii="Times New Roman" w:hAnsi="Times New Roman"/>
        </w:rPr>
        <w:t xml:space="preserve"> Saskaņā ar direktīvas 2010/31/ES 4. pant</w:t>
      </w:r>
      <w:r>
        <w:rPr>
          <w:rFonts w:ascii="Times New Roman" w:hAnsi="Times New Roman"/>
        </w:rPr>
        <w:t>a</w:t>
      </w:r>
      <w:r w:rsidRPr="00BA528E">
        <w:rPr>
          <w:rFonts w:ascii="Times New Roman" w:hAnsi="Times New Roman"/>
        </w:rPr>
        <w:t xml:space="preserve"> 1.</w:t>
      </w:r>
      <w:r>
        <w:rPr>
          <w:rFonts w:ascii="Times New Roman" w:hAnsi="Times New Roman"/>
        </w:rPr>
        <w:t> punktu</w:t>
      </w:r>
      <w:r w:rsidRPr="00BA528E">
        <w:rPr>
          <w:rFonts w:ascii="Times New Roman" w:hAnsi="Times New Roman"/>
        </w:rPr>
        <w:t xml:space="preserve"> </w:t>
      </w:r>
      <w:r>
        <w:rPr>
          <w:rFonts w:ascii="Times New Roman" w:hAnsi="Times New Roman"/>
        </w:rPr>
        <w:t>d</w:t>
      </w:r>
      <w:r w:rsidRPr="00BA528E">
        <w:rPr>
          <w:rFonts w:ascii="Times New Roman" w:hAnsi="Times New Roman"/>
        </w:rPr>
        <w:t xml:space="preserve">alībvalstis veic vajadzīgos pasākumus, lai nodrošinātu, ka ēkām vai  ēkas daļām tiek noteiktas minimālās energoefektivitātes prasības, lai sasniegtu izmaksu ziņā optimālu līmeni. </w:t>
      </w:r>
    </w:p>
  </w:footnote>
  <w:footnote w:id="27">
    <w:p w:rsidR="00C1159F" w:rsidRPr="00833F01" w:rsidRDefault="00C1159F" w:rsidP="00833F01">
      <w:pPr>
        <w:pStyle w:val="FootnoteText"/>
        <w:ind w:firstLine="0"/>
        <w:rPr>
          <w:rFonts w:ascii="Times New Roman" w:hAnsi="Times New Roman"/>
        </w:rPr>
      </w:pPr>
      <w:r w:rsidRPr="00833F01">
        <w:rPr>
          <w:rStyle w:val="FootnoteReference"/>
          <w:rFonts w:ascii="Times New Roman" w:hAnsi="Times New Roman"/>
        </w:rPr>
        <w:footnoteRef/>
      </w:r>
      <w:r w:rsidRPr="00833F01">
        <w:rPr>
          <w:rFonts w:ascii="Times New Roman" w:hAnsi="Times New Roman"/>
        </w:rPr>
        <w:t xml:space="preserve"> Eiropas Parlamenta un Padomes 2009.</w:t>
      </w:r>
      <w:r>
        <w:rPr>
          <w:rFonts w:ascii="Times New Roman" w:hAnsi="Times New Roman"/>
        </w:rPr>
        <w:t> </w:t>
      </w:r>
      <w:r w:rsidRPr="00833F01">
        <w:rPr>
          <w:rFonts w:ascii="Times New Roman" w:hAnsi="Times New Roman"/>
        </w:rPr>
        <w:t>gada 21.</w:t>
      </w:r>
      <w:r>
        <w:rPr>
          <w:rFonts w:ascii="Times New Roman" w:hAnsi="Times New Roman"/>
        </w:rPr>
        <w:t> </w:t>
      </w:r>
      <w:r w:rsidRPr="00833F01">
        <w:rPr>
          <w:rFonts w:ascii="Times New Roman" w:hAnsi="Times New Roman"/>
        </w:rPr>
        <w:t>oktobra Direktīva 2009/125/EK, ar ko izveido sistēmu, lai noteiktu ekodizaina prasības ar enerģiju saistītiem ražojumiem</w:t>
      </w:r>
      <w:r>
        <w:rPr>
          <w:rFonts w:ascii="Times New Roman" w:hAnsi="Times New Roman"/>
        </w:rPr>
        <w:t>|</w:t>
      </w:r>
    </w:p>
  </w:footnote>
  <w:footnote w:id="28">
    <w:p w:rsidR="00C1159F" w:rsidRPr="001F1609" w:rsidRDefault="00C1159F" w:rsidP="00F11988">
      <w:pPr>
        <w:pStyle w:val="FootnoteText"/>
        <w:ind w:firstLine="0"/>
        <w:rPr>
          <w:rFonts w:ascii="Times New Roman" w:hAnsi="Times New Roman"/>
        </w:rPr>
      </w:pPr>
      <w:r w:rsidRPr="001F1609">
        <w:rPr>
          <w:rStyle w:val="FootnoteReference"/>
          <w:rFonts w:ascii="Times New Roman" w:hAnsi="Times New Roman"/>
        </w:rPr>
        <w:footnoteRef/>
      </w:r>
      <w:r w:rsidRPr="001F1609">
        <w:rPr>
          <w:rFonts w:ascii="Times New Roman" w:hAnsi="Times New Roman"/>
        </w:rPr>
        <w:t xml:space="preserve"> UN</w:t>
      </w:r>
      <w:r>
        <w:rPr>
          <w:rFonts w:ascii="Times New Roman" w:hAnsi="Times New Roman"/>
        </w:rPr>
        <w:t>E</w:t>
      </w:r>
      <w:r w:rsidRPr="001F1609">
        <w:rPr>
          <w:rFonts w:ascii="Times New Roman" w:hAnsi="Times New Roman"/>
        </w:rPr>
        <w:t>CE – United Nations Economic Commission for Europe</w:t>
      </w:r>
    </w:p>
  </w:footnote>
  <w:footnote w:id="29">
    <w:p w:rsidR="00C1159F" w:rsidRPr="005D54E2" w:rsidRDefault="00C1159F" w:rsidP="005D54E2">
      <w:pPr>
        <w:jc w:val="both"/>
      </w:pPr>
      <w:r w:rsidRPr="005D54E2">
        <w:rPr>
          <w:rStyle w:val="FootnoteReference"/>
          <w:sz w:val="20"/>
        </w:rPr>
        <w:footnoteRef/>
      </w:r>
      <w:r w:rsidRPr="005D54E2">
        <w:rPr>
          <w:sz w:val="20"/>
        </w:rPr>
        <w:t xml:space="preserve"> </w:t>
      </w:r>
      <w:r>
        <w:rPr>
          <w:sz w:val="20"/>
        </w:rPr>
        <w:t xml:space="preserve">Dokumentā </w:t>
      </w:r>
      <w:r w:rsidRPr="005D54E2">
        <w:rPr>
          <w:rFonts w:eastAsia="Calibri"/>
          <w:sz w:val="20"/>
          <w:szCs w:val="20"/>
          <w:lang w:eastAsia="lv-LV"/>
        </w:rPr>
        <w:t xml:space="preserve">„Action plan for energy-efficient housing in UNECE region”, </w:t>
      </w:r>
      <w:r>
        <w:rPr>
          <w:rFonts w:eastAsia="Calibri"/>
          <w:sz w:val="20"/>
          <w:szCs w:val="20"/>
          <w:lang w:eastAsia="lv-LV"/>
        </w:rPr>
        <w:t xml:space="preserve">attiecībā uz finanšu modeļu izdveid </w:t>
      </w:r>
      <w:r w:rsidRPr="005D54E2">
        <w:rPr>
          <w:rFonts w:eastAsia="Calibri"/>
          <w:sz w:val="20"/>
          <w:szCs w:val="20"/>
          <w:lang w:eastAsia="lv-LV"/>
        </w:rPr>
        <w:t>definēt</w:t>
      </w:r>
      <w:r>
        <w:rPr>
          <w:rFonts w:eastAsia="Calibri"/>
          <w:sz w:val="20"/>
          <w:szCs w:val="20"/>
          <w:lang w:eastAsia="lv-LV"/>
        </w:rPr>
        <w:t>i</w:t>
      </w:r>
      <w:r w:rsidRPr="005D54E2">
        <w:rPr>
          <w:rFonts w:eastAsia="Calibri"/>
          <w:sz w:val="20"/>
          <w:szCs w:val="20"/>
          <w:lang w:eastAsia="lv-LV"/>
        </w:rPr>
        <w:t xml:space="preserve"> mērķ</w:t>
      </w:r>
      <w:r>
        <w:rPr>
          <w:rFonts w:eastAsia="Calibri"/>
          <w:sz w:val="20"/>
          <w:szCs w:val="20"/>
          <w:lang w:eastAsia="lv-LV"/>
        </w:rPr>
        <w:t>i</w:t>
      </w:r>
      <w:r w:rsidRPr="005D54E2">
        <w:rPr>
          <w:rFonts w:eastAsia="Calibri"/>
          <w:sz w:val="20"/>
          <w:szCs w:val="20"/>
          <w:lang w:eastAsia="lv-LV"/>
        </w:rPr>
        <w:t>:</w:t>
      </w:r>
      <w:r>
        <w:rPr>
          <w:rFonts w:eastAsia="Calibri"/>
          <w:sz w:val="20"/>
          <w:szCs w:val="20"/>
          <w:lang w:eastAsia="lv-LV"/>
        </w:rPr>
        <w:t xml:space="preserve"> 1)</w:t>
      </w:r>
      <w:r w:rsidRPr="005D54E2">
        <w:rPr>
          <w:rFonts w:eastAsia="Calibri"/>
          <w:sz w:val="20"/>
          <w:szCs w:val="20"/>
          <w:lang w:eastAsia="lv-LV"/>
        </w:rPr>
        <w:t xml:space="preserve"> izstrādāt finanšu mehānismus, kas stimulētu ēku īpašniekus, īrniekus, būvfirmas, tehnoloģiju piegādātājus un citas iesaistītās puses veikt investīcijas energoefektīvu dzīvojamo ēku būvniecībā;</w:t>
      </w:r>
      <w:r>
        <w:rPr>
          <w:rFonts w:eastAsia="Calibri"/>
          <w:sz w:val="20"/>
          <w:szCs w:val="20"/>
          <w:lang w:eastAsia="lv-LV"/>
        </w:rPr>
        <w:t xml:space="preserve"> 2) </w:t>
      </w:r>
      <w:r w:rsidRPr="005D54E2">
        <w:rPr>
          <w:sz w:val="20"/>
        </w:rPr>
        <w:t>uzlabot ēku pārvaldību, lai nodrošinātu mājokļu sektora modernizācijas programmu īstenošanu un  energoefektivitātes uzlabošanu.</w:t>
      </w:r>
    </w:p>
  </w:footnote>
  <w:footnote w:id="30">
    <w:p w:rsidR="00C1159F" w:rsidRPr="00EA1369" w:rsidRDefault="00C1159F" w:rsidP="0066572D">
      <w:pPr>
        <w:pStyle w:val="FootnoteText"/>
        <w:ind w:firstLine="0"/>
        <w:rPr>
          <w:rFonts w:ascii="Times New Roman" w:hAnsi="Times New Roman"/>
        </w:rPr>
      </w:pPr>
      <w:r w:rsidRPr="00EA1369">
        <w:rPr>
          <w:rStyle w:val="FootnoteReference"/>
          <w:rFonts w:ascii="Times New Roman" w:hAnsi="Times New Roman"/>
        </w:rPr>
        <w:footnoteRef/>
      </w:r>
      <w:r w:rsidRPr="00EA1369">
        <w:rPr>
          <w:rFonts w:ascii="Times New Roman" w:hAnsi="Times New Roman"/>
        </w:rPr>
        <w:t xml:space="preserve"> ESKO – energoservisa kompānija</w:t>
      </w:r>
      <w:r w:rsidRPr="00AC0368">
        <w:rPr>
          <w:rFonts w:ascii="Times New Roman" w:hAnsi="Times New Roman"/>
        </w:rPr>
        <w:t xml:space="preserve">, </w:t>
      </w:r>
      <w:r w:rsidRPr="00EA1369">
        <w:rPr>
          <w:rFonts w:ascii="Times New Roman" w:hAnsi="Times New Roman"/>
        </w:rPr>
        <w:t>PEKO – pašvaldības energoservisa uzņēmums</w:t>
      </w:r>
    </w:p>
  </w:footnote>
  <w:footnote w:id="31">
    <w:p w:rsidR="00C1159F" w:rsidRPr="006F3213" w:rsidRDefault="00C1159F" w:rsidP="006F3213">
      <w:pPr>
        <w:pStyle w:val="FootnoteText"/>
        <w:ind w:firstLine="0"/>
        <w:rPr>
          <w:rFonts w:ascii="Times New Roman" w:hAnsi="Times New Roman"/>
          <w:lang w:val="en-GB"/>
        </w:rPr>
      </w:pPr>
      <w:r>
        <w:rPr>
          <w:rStyle w:val="FootnoteReference"/>
        </w:rPr>
        <w:footnoteRef/>
      </w:r>
      <w:r>
        <w:t xml:space="preserve"> </w:t>
      </w:r>
      <w:r w:rsidRPr="006F3213">
        <w:rPr>
          <w:rFonts w:ascii="Times New Roman" w:hAnsi="Times New Roman"/>
          <w:lang w:val="en-GB"/>
        </w:rPr>
        <w:t xml:space="preserve">KredEx – Estonian Credit and Export Guarantee Fund </w:t>
      </w:r>
      <w:r>
        <w:rPr>
          <w:rFonts w:ascii="Times New Roman" w:hAnsi="Times New Roman"/>
          <w:lang w:val="en-GB"/>
        </w:rPr>
        <w:t>(</w:t>
      </w:r>
      <w:r w:rsidRPr="00405A04">
        <w:rPr>
          <w:rFonts w:ascii="Times New Roman" w:hAnsi="Times New Roman"/>
          <w:lang w:val="en-GB"/>
        </w:rPr>
        <w:t>www.kredex.ee</w:t>
      </w:r>
      <w:r>
        <w:rPr>
          <w:rFonts w:ascii="Times New Roman" w:hAnsi="Times New Roman"/>
          <w:lang w:val="en-GB"/>
        </w:rPr>
        <w:t>)</w:t>
      </w:r>
    </w:p>
  </w:footnote>
  <w:footnote w:id="32">
    <w:p w:rsidR="00C1159F" w:rsidRPr="0019692B" w:rsidRDefault="00C1159F" w:rsidP="0019692B">
      <w:pPr>
        <w:pStyle w:val="FootnoteText"/>
        <w:ind w:firstLine="0"/>
        <w:rPr>
          <w:rFonts w:ascii="Times New Roman" w:hAnsi="Times New Roman"/>
        </w:rPr>
      </w:pPr>
      <w:r w:rsidRPr="0019692B">
        <w:rPr>
          <w:rStyle w:val="FootnoteReference"/>
          <w:rFonts w:ascii="Times New Roman" w:hAnsi="Times New Roman"/>
        </w:rPr>
        <w:footnoteRef/>
      </w:r>
      <w:r w:rsidRPr="0019692B">
        <w:rPr>
          <w:rFonts w:ascii="Times New Roman" w:hAnsi="Times New Roman"/>
        </w:rPr>
        <w:t xml:space="preserve"> HUF – Ungārijas forints</w:t>
      </w:r>
    </w:p>
  </w:footnote>
  <w:footnote w:id="33">
    <w:p w:rsidR="00C1159F" w:rsidRPr="005B08B3" w:rsidRDefault="00C1159F" w:rsidP="005B08B3">
      <w:pPr>
        <w:pStyle w:val="FootnoteText"/>
        <w:ind w:firstLine="0"/>
        <w:rPr>
          <w:rFonts w:ascii="Times New Roman" w:hAnsi="Times New Roman"/>
        </w:rPr>
      </w:pPr>
      <w:r w:rsidRPr="005B08B3">
        <w:rPr>
          <w:rStyle w:val="FootnoteReference"/>
          <w:rFonts w:ascii="Times New Roman" w:hAnsi="Times New Roman"/>
        </w:rPr>
        <w:footnoteRef/>
      </w:r>
      <w:r w:rsidRPr="005B08B3">
        <w:rPr>
          <w:rFonts w:ascii="Times New Roman" w:hAnsi="Times New Roman"/>
        </w:rPr>
        <w:t xml:space="preserve"> Ministru kabineta 2012.gada 2.oktobra sēdē </w:t>
      </w:r>
      <w:r>
        <w:rPr>
          <w:rFonts w:ascii="Times New Roman" w:hAnsi="Times New Roman"/>
        </w:rPr>
        <w:t xml:space="preserve">izskatīs </w:t>
      </w:r>
      <w:r w:rsidRPr="005B08B3">
        <w:rPr>
          <w:rFonts w:ascii="Times New Roman" w:hAnsi="Times New Roman"/>
        </w:rPr>
        <w:t>Informatīv</w:t>
      </w:r>
      <w:r>
        <w:rPr>
          <w:rFonts w:ascii="Times New Roman" w:hAnsi="Times New Roman"/>
        </w:rPr>
        <w:t>s</w:t>
      </w:r>
      <w:r w:rsidRPr="005B08B3">
        <w:rPr>
          <w:rFonts w:ascii="Times New Roman" w:hAnsi="Times New Roman"/>
        </w:rPr>
        <w:t xml:space="preserve"> ziņojum</w:t>
      </w:r>
      <w:r>
        <w:rPr>
          <w:rFonts w:ascii="Times New Roman" w:hAnsi="Times New Roman"/>
        </w:rPr>
        <w:t>s</w:t>
      </w:r>
      <w:r w:rsidRPr="005B08B3">
        <w:rPr>
          <w:rFonts w:ascii="Times New Roman" w:hAnsi="Times New Roman"/>
        </w:rPr>
        <w:t xml:space="preserve"> par vienotas attīstības finanšu institūcijas izveidi un valsts atbalsta programmām, kas tiek īstenotas finanšu instrumentu veidā (protokolēmums Nr.54; 38.§), kurā</w:t>
      </w:r>
      <w:r>
        <w:rPr>
          <w:rFonts w:ascii="Times New Roman" w:hAnsi="Times New Roman"/>
        </w:rPr>
        <w:t xml:space="preserve"> ietverta arī energoefektivitāti pasākumu finansēšana</w:t>
      </w:r>
    </w:p>
  </w:footnote>
  <w:footnote w:id="34">
    <w:p w:rsidR="00C1159F" w:rsidRPr="00EC366E" w:rsidRDefault="00C1159F" w:rsidP="00EC366E">
      <w:pPr>
        <w:pStyle w:val="FootnoteText"/>
        <w:ind w:firstLine="0"/>
        <w:rPr>
          <w:rFonts w:ascii="Times New Roman" w:hAnsi="Times New Roman"/>
        </w:rPr>
      </w:pPr>
      <w:r w:rsidRPr="00EC366E">
        <w:rPr>
          <w:rStyle w:val="FootnoteReference"/>
          <w:rFonts w:ascii="Times New Roman" w:hAnsi="Times New Roman"/>
        </w:rPr>
        <w:footnoteRef/>
      </w:r>
      <w:r w:rsidRPr="00EC366E">
        <w:rPr>
          <w:rFonts w:ascii="Times New Roman" w:hAnsi="Times New Roman"/>
        </w:rPr>
        <w:t xml:space="preserve"> http://ec.europa.eu/energy/efficiency/financing/campaign_en.htm</w:t>
      </w:r>
    </w:p>
  </w:footnote>
  <w:footnote w:id="35">
    <w:p w:rsidR="00C1159F" w:rsidRPr="00EC366E" w:rsidRDefault="00C1159F" w:rsidP="00EC366E">
      <w:pPr>
        <w:pStyle w:val="FootnoteText"/>
        <w:ind w:firstLine="0"/>
        <w:rPr>
          <w:rFonts w:ascii="Times New Roman" w:hAnsi="Times New Roman"/>
        </w:rPr>
      </w:pPr>
      <w:r w:rsidRPr="00EC366E">
        <w:rPr>
          <w:rStyle w:val="FootnoteReference"/>
          <w:rFonts w:ascii="Times New Roman" w:hAnsi="Times New Roman"/>
        </w:rPr>
        <w:footnoteRef/>
      </w:r>
      <w:r w:rsidRPr="00EC366E">
        <w:rPr>
          <w:rFonts w:ascii="Times New Roman" w:hAnsi="Times New Roman"/>
        </w:rPr>
        <w:t xml:space="preserve"> http://www.renovate-europe.eu/renovate-europe-day-2012</w:t>
      </w:r>
    </w:p>
  </w:footnote>
  <w:footnote w:id="36">
    <w:p w:rsidR="00C1159F" w:rsidRPr="0074765B" w:rsidRDefault="00C1159F" w:rsidP="0074765B">
      <w:pPr>
        <w:pStyle w:val="FootnoteText"/>
        <w:ind w:firstLine="0"/>
        <w:rPr>
          <w:rFonts w:ascii="Times New Roman" w:hAnsi="Times New Roman"/>
        </w:rPr>
      </w:pPr>
      <w:r w:rsidRPr="0074765B">
        <w:rPr>
          <w:rStyle w:val="FootnoteReference"/>
          <w:rFonts w:ascii="Times New Roman" w:hAnsi="Times New Roman"/>
        </w:rPr>
        <w:footnoteRef/>
      </w:r>
      <w:r w:rsidRPr="0074765B">
        <w:rPr>
          <w:rFonts w:ascii="Times New Roman" w:hAnsi="Times New Roman"/>
        </w:rPr>
        <w:t xml:space="preserve"> http://www.managenergy.net/news/articles/179</w:t>
      </w:r>
    </w:p>
  </w:footnote>
  <w:footnote w:id="37">
    <w:p w:rsidR="00C1159F" w:rsidRPr="00587BBA" w:rsidRDefault="00C1159F" w:rsidP="00587BBA">
      <w:pPr>
        <w:pStyle w:val="FootnoteText"/>
        <w:ind w:firstLine="0"/>
        <w:rPr>
          <w:rFonts w:ascii="Times New Roman" w:hAnsi="Times New Roman"/>
        </w:rPr>
      </w:pPr>
      <w:r w:rsidRPr="00587BBA">
        <w:rPr>
          <w:rStyle w:val="FootnoteReference"/>
          <w:rFonts w:ascii="Times New Roman" w:hAnsi="Times New Roman"/>
        </w:rPr>
        <w:footnoteRef/>
      </w:r>
      <w:r w:rsidRPr="00587BBA">
        <w:rPr>
          <w:rFonts w:ascii="Times New Roman" w:hAnsi="Times New Roman"/>
        </w:rPr>
        <w:t xml:space="preserve"> JESSICA Joint European Support for Sustainable Investment in City Areas, „Financing Energy Efficiency Renovations in the Latvian Housing Sector”, Tark, Grunte, Sutkiene study 2012</w:t>
      </w:r>
    </w:p>
  </w:footnote>
  <w:footnote w:id="38">
    <w:p w:rsidR="00C1159F" w:rsidRPr="00290043" w:rsidRDefault="00C1159F" w:rsidP="0058153C">
      <w:pPr>
        <w:pStyle w:val="FootnoteText"/>
        <w:ind w:firstLine="0"/>
        <w:rPr>
          <w:rFonts w:ascii="Times New Roman" w:hAnsi="Times New Roman"/>
        </w:rPr>
      </w:pPr>
      <w:r w:rsidRPr="00290043">
        <w:rPr>
          <w:rStyle w:val="FootnoteReference"/>
          <w:rFonts w:ascii="Times New Roman" w:hAnsi="Times New Roman"/>
        </w:rPr>
        <w:footnoteRef/>
      </w:r>
      <w:r w:rsidRPr="00290043">
        <w:rPr>
          <w:rFonts w:ascii="Times New Roman" w:hAnsi="Times New Roman"/>
        </w:rPr>
        <w:t xml:space="preserve"> Saskaņā ar Ministru kabineta 05.08.2008. noteikumiem Nr.59 „Noteikumi par valsts budžeta līdzfinansējuma apmēru un tā piešķiršanas kārtību energoefektivitātes pasākumiem dzīvojamās mājās”</w:t>
      </w:r>
    </w:p>
  </w:footnote>
  <w:footnote w:id="39">
    <w:p w:rsidR="00C1159F" w:rsidRPr="002F04E0" w:rsidRDefault="00C1159F" w:rsidP="002F04E0">
      <w:pPr>
        <w:pStyle w:val="FootnoteText"/>
        <w:ind w:firstLine="0"/>
        <w:rPr>
          <w:rFonts w:ascii="Times New Roman" w:hAnsi="Times New Roman"/>
        </w:rPr>
      </w:pPr>
      <w:r w:rsidRPr="002F04E0">
        <w:rPr>
          <w:rStyle w:val="FootnoteReference"/>
          <w:rFonts w:ascii="Times New Roman" w:hAnsi="Times New Roman"/>
        </w:rPr>
        <w:footnoteRef/>
      </w:r>
      <w:r w:rsidRPr="002F04E0">
        <w:rPr>
          <w:rFonts w:ascii="Times New Roman" w:hAnsi="Times New Roman"/>
        </w:rPr>
        <w:t xml:space="preserve"> Priekšlikums Eiropas Parlamenta un Padomes regulai ar ko paredz kopīgus noteikumus par Eiropas Reģionālās attīstības fondu, Eiropas Sociālo fondu, Kohēzijas fondu, Eiropas Lauksaimniecības fondu lauku attīstībai un Eiropas Jūrlietu un zivsaimniecības fondu, uz kuriem attiecas vienotais stratēģiskais satvars, un vispārīgus noteikumus par Eiropas Reģionālās attīstības fondu, Eiropas Sociālo fondu un Kohēzijas fondu un atceļ Regulu (EK) Nr. 1083/2006 COM(2011) 615 galīgā redakcija</w:t>
      </w:r>
    </w:p>
  </w:footnote>
  <w:footnote w:id="40">
    <w:p w:rsidR="00C1159F" w:rsidRPr="004047D4" w:rsidRDefault="00C1159F" w:rsidP="004047D4">
      <w:pPr>
        <w:pStyle w:val="FootnoteText"/>
        <w:ind w:firstLine="0"/>
        <w:rPr>
          <w:rFonts w:ascii="Times New Roman" w:hAnsi="Times New Roman"/>
        </w:rPr>
      </w:pPr>
      <w:r w:rsidRPr="004047D4">
        <w:rPr>
          <w:rStyle w:val="FootnoteReference"/>
          <w:rFonts w:ascii="Times New Roman" w:hAnsi="Times New Roman"/>
        </w:rPr>
        <w:footnoteRef/>
      </w:r>
      <w:r w:rsidRPr="004047D4">
        <w:rPr>
          <w:rFonts w:ascii="Times New Roman" w:hAnsi="Times New Roman"/>
        </w:rPr>
        <w:t xml:space="preserve"> </w:t>
      </w:r>
      <w:r>
        <w:rPr>
          <w:rFonts w:ascii="Times New Roman" w:hAnsi="Times New Roman"/>
        </w:rPr>
        <w:t>S</w:t>
      </w:r>
      <w:r w:rsidRPr="004047D4">
        <w:rPr>
          <w:rFonts w:ascii="Times New Roman" w:hAnsi="Times New Roman"/>
        </w:rPr>
        <w:t xml:space="preserve">aīsinājums VSS </w:t>
      </w:r>
      <w:r>
        <w:rPr>
          <w:rFonts w:ascii="Times New Roman" w:hAnsi="Times New Roman"/>
        </w:rPr>
        <w:t xml:space="preserve">izmantots </w:t>
      </w:r>
      <w:r w:rsidRPr="004047D4">
        <w:rPr>
          <w:rFonts w:ascii="Times New Roman" w:hAnsi="Times New Roman"/>
        </w:rPr>
        <w:t>EK priekšlikum</w:t>
      </w:r>
      <w:r>
        <w:rPr>
          <w:rFonts w:ascii="Times New Roman" w:hAnsi="Times New Roman"/>
        </w:rPr>
        <w:t xml:space="preserve">ā un saskaņā ar 1. pantu </w:t>
      </w:r>
      <w:r w:rsidRPr="004047D4">
        <w:rPr>
          <w:rFonts w:ascii="Times New Roman" w:hAnsi="Times New Roman"/>
        </w:rPr>
        <w:t>no</w:t>
      </w:r>
      <w:r>
        <w:rPr>
          <w:rFonts w:ascii="Times New Roman" w:hAnsi="Times New Roman"/>
        </w:rPr>
        <w:t>zīmē</w:t>
      </w:r>
      <w:r w:rsidRPr="004047D4">
        <w:rPr>
          <w:rFonts w:ascii="Times New Roman" w:hAnsi="Times New Roman"/>
        </w:rPr>
        <w:t xml:space="preserve"> „vienots stratēģiskais satvars”</w:t>
      </w:r>
    </w:p>
  </w:footnote>
  <w:footnote w:id="41">
    <w:p w:rsidR="00C1159F" w:rsidRPr="0001275E" w:rsidRDefault="00C1159F" w:rsidP="0001275E">
      <w:pPr>
        <w:pStyle w:val="FootnoteText"/>
        <w:ind w:firstLine="0"/>
        <w:rPr>
          <w:rFonts w:ascii="Times New Roman" w:hAnsi="Times New Roman"/>
        </w:rPr>
      </w:pPr>
      <w:r w:rsidRPr="0001275E">
        <w:rPr>
          <w:rStyle w:val="FootnoteReference"/>
          <w:rFonts w:ascii="Times New Roman" w:hAnsi="Times New Roman"/>
        </w:rPr>
        <w:footnoteRef/>
      </w:r>
      <w:r w:rsidRPr="0001275E">
        <w:rPr>
          <w:rFonts w:ascii="Times New Roman" w:hAnsi="Times New Roman"/>
        </w:rPr>
        <w:t xml:space="preserve"> Informatīvais ziņojums</w:t>
      </w:r>
      <w:r w:rsidRPr="00AC0368">
        <w:rPr>
          <w:rFonts w:ascii="Times New Roman" w:hAnsi="Times New Roman"/>
        </w:rPr>
        <w:t xml:space="preserve"> </w:t>
      </w:r>
      <w:r w:rsidRPr="0001275E">
        <w:rPr>
          <w:rFonts w:ascii="Times New Roman" w:hAnsi="Times New Roman"/>
        </w:rPr>
        <w:t>Par Kopienas stratēģiskā ietvara fondu 2014. – 2020.gada plānošanas periodā piemērojamo ex-ante nosacījumu izpildes novērtējuma sagatavošanu</w:t>
      </w:r>
      <w:r w:rsidRPr="00AC0368">
        <w:rPr>
          <w:rFonts w:ascii="Times New Roman" w:hAnsi="Times New Roman"/>
        </w:rPr>
        <w:t xml:space="preserve"> </w:t>
      </w:r>
      <w:r w:rsidRPr="0001275E">
        <w:rPr>
          <w:rFonts w:ascii="Times New Roman" w:hAnsi="Times New Roman"/>
        </w:rPr>
        <w:t>izsludināts VSS 2012. gada 9. augusta sanāksmē (VSS-787)</w:t>
      </w:r>
    </w:p>
  </w:footnote>
  <w:footnote w:id="42">
    <w:p w:rsidR="00C1159F" w:rsidRPr="00504BC8" w:rsidRDefault="00C1159F" w:rsidP="002F04E0">
      <w:pPr>
        <w:autoSpaceDE w:val="0"/>
        <w:autoSpaceDN w:val="0"/>
        <w:adjustRightInd w:val="0"/>
        <w:jc w:val="both"/>
        <w:rPr>
          <w:sz w:val="20"/>
          <w:szCs w:val="20"/>
          <w:lang w:val="en-GB"/>
        </w:rPr>
      </w:pPr>
      <w:r w:rsidRPr="002F04E0">
        <w:rPr>
          <w:rStyle w:val="FootnoteReference"/>
          <w:sz w:val="22"/>
        </w:rPr>
        <w:footnoteRef/>
      </w:r>
      <w:r w:rsidRPr="002F04E0">
        <w:rPr>
          <w:sz w:val="22"/>
        </w:rPr>
        <w:t xml:space="preserve"> </w:t>
      </w:r>
      <w:r w:rsidRPr="00504BC8">
        <w:rPr>
          <w:sz w:val="20"/>
          <w:szCs w:val="20"/>
          <w:lang w:val="en-GB"/>
        </w:rPr>
        <w:t>Commission Staf</w:t>
      </w:r>
      <w:r>
        <w:rPr>
          <w:sz w:val="20"/>
          <w:szCs w:val="20"/>
          <w:lang w:val="en-GB"/>
        </w:rPr>
        <w:t>f</w:t>
      </w:r>
      <w:r w:rsidRPr="00504BC8">
        <w:rPr>
          <w:sz w:val="20"/>
          <w:szCs w:val="20"/>
          <w:lang w:val="en-GB"/>
        </w:rPr>
        <w:t xml:space="preserve"> Working Paper Executive Summary of the Impact Assessment Accompanying the document Proposal for a Regulation of the Eur</w:t>
      </w:r>
      <w:r>
        <w:rPr>
          <w:sz w:val="20"/>
          <w:szCs w:val="20"/>
          <w:lang w:val="en-GB"/>
        </w:rPr>
        <w:t>o</w:t>
      </w:r>
      <w:r w:rsidRPr="00504BC8">
        <w:rPr>
          <w:sz w:val="20"/>
          <w:szCs w:val="20"/>
          <w:lang w:val="en-GB"/>
        </w:rPr>
        <w:t>pean Parliament and of the Council laying down common provisions on the European Regional Development Fund, the European Social Fund, the Cohesion Fund, the European Agricultural Fund for Rural Development and the European Maritime and Fisheries Fund covered by the Common Strategic Framework and laying down general provisions on the European Regional Development Fund, the European Social Fund and the Cohesion Fund and repealing Regulation (EC) No 1083/2006 SEC(2011) 1142 final</w:t>
      </w:r>
    </w:p>
  </w:footnote>
  <w:footnote w:id="43">
    <w:p w:rsidR="00C1159F" w:rsidRPr="007C0B0B" w:rsidRDefault="00C1159F" w:rsidP="007C0B0B">
      <w:pPr>
        <w:pStyle w:val="FootnoteText"/>
        <w:ind w:firstLine="0"/>
        <w:rPr>
          <w:rFonts w:ascii="Times New Roman" w:hAnsi="Times New Roman"/>
        </w:rPr>
      </w:pPr>
      <w:r w:rsidRPr="007C0B0B">
        <w:rPr>
          <w:rStyle w:val="FootnoteReference"/>
          <w:rFonts w:ascii="Times New Roman" w:hAnsi="Times New Roman"/>
        </w:rPr>
        <w:footnoteRef/>
      </w:r>
      <w:r w:rsidRPr="007C0B0B">
        <w:rPr>
          <w:rFonts w:ascii="Times New Roman" w:hAnsi="Times New Roman"/>
        </w:rPr>
        <w:t xml:space="preserve"> http://unfccc.int/kyoto_protocol/doha_amendment/items/7362.php</w:t>
      </w:r>
    </w:p>
  </w:footnote>
  <w:footnote w:id="44">
    <w:p w:rsidR="00C1159F" w:rsidRDefault="00C1159F" w:rsidP="00365A95">
      <w:pPr>
        <w:pStyle w:val="FootnoteText"/>
        <w:ind w:firstLine="0"/>
      </w:pPr>
      <w:r>
        <w:rPr>
          <w:rStyle w:val="FootnoteReference"/>
        </w:rPr>
        <w:footnoteRef/>
      </w:r>
      <w:r>
        <w:t xml:space="preserve"> </w:t>
      </w:r>
      <w:r>
        <w:rPr>
          <w:rFonts w:ascii="Times New Roman" w:hAnsi="Times New Roman"/>
        </w:rPr>
        <w:t>P</w:t>
      </w:r>
      <w:r w:rsidRPr="00042CC8">
        <w:rPr>
          <w:rFonts w:ascii="Times New Roman" w:hAnsi="Times New Roman"/>
        </w:rPr>
        <w:t>rojekts „Energoefektīva un sabalansēta pilsētas plānošana (UrbEnergy)”</w:t>
      </w:r>
      <w:r>
        <w:rPr>
          <w:rFonts w:ascii="Times New Roman" w:hAnsi="Times New Roman"/>
        </w:rPr>
        <w:t xml:space="preserve">, </w:t>
      </w:r>
      <w:r w:rsidRPr="00042CC8">
        <w:rPr>
          <w:rFonts w:ascii="Times New Roman" w:hAnsi="Times New Roman"/>
        </w:rPr>
        <w:t>F</w:t>
      </w:r>
      <w:r>
        <w:rPr>
          <w:rFonts w:ascii="Times New Roman" w:hAnsi="Times New Roman"/>
        </w:rPr>
        <w:t>inanšu koncepcija Juglas ēku energoefektīvai renovācijai, SIA „Rīgas pilsētbūvnieks”, 2010.)</w:t>
      </w:r>
    </w:p>
  </w:footnote>
  <w:footnote w:id="45">
    <w:p w:rsidR="00C1159F" w:rsidRPr="00D75423" w:rsidRDefault="00C1159F" w:rsidP="0058153C">
      <w:pPr>
        <w:pStyle w:val="FootnoteText"/>
        <w:ind w:firstLine="0"/>
        <w:rPr>
          <w:rFonts w:ascii="Times New Roman" w:hAnsi="Times New Roman"/>
        </w:rPr>
      </w:pPr>
      <w:r w:rsidRPr="00D75423">
        <w:rPr>
          <w:rStyle w:val="FootnoteReference"/>
          <w:rFonts w:ascii="Times New Roman" w:hAnsi="Times New Roman"/>
        </w:rPr>
        <w:footnoteRef/>
      </w:r>
      <w:r w:rsidRPr="00D75423">
        <w:rPr>
          <w:rFonts w:ascii="Times New Roman" w:hAnsi="Times New Roman"/>
        </w:rPr>
        <w:t xml:space="preserve"> KfW - Kreditanstalt für Wiederaufbau (vāciski), latviski – kredītiestāde rekonstrukcijai</w:t>
      </w:r>
    </w:p>
  </w:footnote>
  <w:footnote w:id="46">
    <w:p w:rsidR="00C1159F" w:rsidRPr="0085388E" w:rsidRDefault="00C1159F" w:rsidP="00A85FF1">
      <w:pPr>
        <w:pStyle w:val="FootnoteText"/>
        <w:ind w:firstLine="0"/>
        <w:rPr>
          <w:rFonts w:ascii="Times New Roman" w:hAnsi="Times New Roman"/>
        </w:rPr>
      </w:pPr>
      <w:r w:rsidRPr="0085388E">
        <w:rPr>
          <w:rStyle w:val="FootnoteReference"/>
          <w:rFonts w:ascii="Times New Roman" w:hAnsi="Times New Roman"/>
        </w:rPr>
        <w:footnoteRef/>
      </w:r>
      <w:r w:rsidRPr="0085388E">
        <w:rPr>
          <w:rFonts w:ascii="Times New Roman" w:hAnsi="Times New Roman"/>
        </w:rPr>
        <w:t xml:space="preserve"> par atbalsta instrumentiem sk. arī „Action plan for energy-efficient housing in UNECE region”.</w:t>
      </w:r>
    </w:p>
  </w:footnote>
  <w:footnote w:id="47">
    <w:p w:rsidR="00C1159F" w:rsidRPr="009977EC" w:rsidRDefault="00C1159F" w:rsidP="009977EC">
      <w:pPr>
        <w:pStyle w:val="FootnoteText"/>
        <w:ind w:firstLine="0"/>
        <w:rPr>
          <w:rFonts w:ascii="Times New Roman" w:hAnsi="Times New Roman"/>
        </w:rPr>
      </w:pPr>
      <w:r w:rsidRPr="009977EC">
        <w:rPr>
          <w:rStyle w:val="FootnoteReference"/>
          <w:rFonts w:ascii="Times New Roman" w:hAnsi="Times New Roman"/>
        </w:rPr>
        <w:footnoteRef/>
      </w:r>
      <w:r w:rsidRPr="009977EC">
        <w:rPr>
          <w:rFonts w:ascii="Times New Roman" w:hAnsi="Times New Roman"/>
        </w:rPr>
        <w:t xml:space="preserve"> Lietuvā, mainoties daudzdzīvokļu ēku līdzfinansēšanas nosacījumiem (sākotnēji 50% bija līdzfinansējums, </w:t>
      </w:r>
      <w:r>
        <w:rPr>
          <w:rFonts w:ascii="Times New Roman" w:hAnsi="Times New Roman"/>
        </w:rPr>
        <w:t xml:space="preserve">bet </w:t>
      </w:r>
      <w:r w:rsidRPr="009977EC">
        <w:rPr>
          <w:rFonts w:ascii="Times New Roman" w:hAnsi="Times New Roman"/>
        </w:rPr>
        <w:t>saskaņā ar ES fondu 2007.-2013.g. finansēšanas nosacījumiem atkarībā no sasniegtā ietaupījuma līdzfinansējumu būvdarbiem piešķir 15-30% amērā), renovācija praktiski apstājās</w:t>
      </w:r>
      <w:r>
        <w:rPr>
          <w:rFonts w:ascii="Times New Roman" w:hAnsi="Times New Roman"/>
        </w:rPr>
        <w:t>.</w:t>
      </w:r>
    </w:p>
  </w:footnote>
  <w:footnote w:id="48">
    <w:p w:rsidR="00C1159F" w:rsidRPr="00D40F9E" w:rsidRDefault="00C1159F" w:rsidP="00D40F9E">
      <w:pPr>
        <w:pStyle w:val="FootnoteText"/>
        <w:ind w:firstLine="0"/>
        <w:rPr>
          <w:rFonts w:ascii="Times New Roman" w:hAnsi="Times New Roman"/>
        </w:rPr>
      </w:pPr>
      <w:r w:rsidRPr="00D40F9E">
        <w:rPr>
          <w:rStyle w:val="FootnoteReference"/>
          <w:rFonts w:ascii="Times New Roman" w:hAnsi="Times New Roman"/>
        </w:rPr>
        <w:footnoteRef/>
      </w:r>
      <w:r w:rsidRPr="00D40F9E">
        <w:rPr>
          <w:rFonts w:ascii="Times New Roman" w:hAnsi="Times New Roman"/>
        </w:rPr>
        <w:t xml:space="preserve"> </w:t>
      </w:r>
      <w:r w:rsidRPr="00AC0368">
        <w:rPr>
          <w:rFonts w:ascii="Times New Roman" w:hAnsi="Times New Roman"/>
        </w:rPr>
        <w:t>2012. </w:t>
      </w:r>
      <w:r w:rsidRPr="00D40F9E">
        <w:rPr>
          <w:rFonts w:ascii="Times New Roman" w:hAnsi="Times New Roman"/>
        </w:rPr>
        <w:t>gada 16. janvāra Regula 244/2012 par salīdzinošās metodoloģijas sistēmu izmaksu ziņā optimālu minimālo energoefektivitātes prasību līmeņu aprēķināšanai ēkām un būves elementiem</w:t>
      </w:r>
      <w:r>
        <w:rPr>
          <w:rFonts w:ascii="Times New Roman" w:hAnsi="Times New Roman"/>
        </w:rPr>
        <w:t>.</w:t>
      </w:r>
    </w:p>
  </w:footnote>
  <w:footnote w:id="49">
    <w:p w:rsidR="00C1159F" w:rsidRPr="00010C05" w:rsidRDefault="00C1159F" w:rsidP="009360C6">
      <w:pPr>
        <w:pStyle w:val="FootnoteText"/>
        <w:ind w:firstLine="0"/>
        <w:rPr>
          <w:rFonts w:ascii="Times New Roman" w:hAnsi="Times New Roman"/>
        </w:rPr>
      </w:pPr>
      <w:r w:rsidRPr="00010C05">
        <w:rPr>
          <w:rStyle w:val="FootnoteReference"/>
          <w:rFonts w:ascii="Times New Roman" w:hAnsi="Times New Roman"/>
        </w:rPr>
        <w:footnoteRef/>
      </w:r>
      <w:r w:rsidRPr="00010C05">
        <w:rPr>
          <w:rFonts w:ascii="Times New Roman" w:hAnsi="Times New Roman"/>
        </w:rPr>
        <w:t xml:space="preserve"> Atbilstoši ēku renovācijas būvdarbu tāmēm 17,4% no līguma </w:t>
      </w:r>
      <w:r>
        <w:rPr>
          <w:rFonts w:ascii="Times New Roman" w:hAnsi="Times New Roman"/>
        </w:rPr>
        <w:t>kop</w:t>
      </w:r>
      <w:r w:rsidRPr="00010C05">
        <w:rPr>
          <w:rFonts w:ascii="Times New Roman" w:hAnsi="Times New Roman"/>
        </w:rPr>
        <w:t>summas</w:t>
      </w:r>
      <w:r>
        <w:rPr>
          <w:rFonts w:ascii="Times New Roman" w:hAnsi="Times New Roman"/>
        </w:rPr>
        <w:t xml:space="preserve"> veido </w:t>
      </w:r>
      <w:r w:rsidRPr="00010C05">
        <w:rPr>
          <w:rFonts w:ascii="Times New Roman" w:hAnsi="Times New Roman"/>
        </w:rPr>
        <w:t>pievienotās vērtības nodoklis, savukārt nodokļu no darbaspēka</w:t>
      </w:r>
      <w:r>
        <w:rPr>
          <w:rFonts w:ascii="Times New Roman" w:hAnsi="Times New Roman"/>
        </w:rPr>
        <w:t xml:space="preserve"> (darba devēja un darba ņēmēja sociālās iemaksas un iedzīvotāju ieņēmuma nodoklis)</w:t>
      </w:r>
      <w:r w:rsidRPr="00010C05">
        <w:rPr>
          <w:rFonts w:ascii="Times New Roman" w:hAnsi="Times New Roman"/>
        </w:rPr>
        <w:t xml:space="preserve"> apjoms veido 1</w:t>
      </w:r>
      <w:r>
        <w:rPr>
          <w:rFonts w:ascii="Times New Roman" w:hAnsi="Times New Roman"/>
        </w:rPr>
        <w:t xml:space="preserve">0 līdz </w:t>
      </w:r>
      <w:r w:rsidRPr="00010C05">
        <w:rPr>
          <w:rFonts w:ascii="Times New Roman" w:hAnsi="Times New Roman"/>
        </w:rPr>
        <w:t xml:space="preserve">15% no </w:t>
      </w:r>
      <w:r>
        <w:rPr>
          <w:rFonts w:ascii="Times New Roman" w:hAnsi="Times New Roman"/>
        </w:rPr>
        <w:t xml:space="preserve">būvdarbu </w:t>
      </w:r>
      <w:r w:rsidRPr="00010C05">
        <w:rPr>
          <w:rFonts w:ascii="Times New Roman" w:hAnsi="Times New Roman"/>
        </w:rPr>
        <w:t xml:space="preserve">tāmes </w:t>
      </w:r>
      <w:r>
        <w:rPr>
          <w:rFonts w:ascii="Times New Roman" w:hAnsi="Times New Roman"/>
        </w:rPr>
        <w:t>kopsummas</w:t>
      </w:r>
      <w:r w:rsidRPr="00010C05">
        <w:rPr>
          <w:rFonts w:ascii="Times New Roman" w:hAnsi="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642891"/>
      <w:docPartObj>
        <w:docPartGallery w:val="Page Numbers (Bottom of Page)"/>
        <w:docPartUnique/>
      </w:docPartObj>
    </w:sdtPr>
    <w:sdtEndPr/>
    <w:sdtContent>
      <w:p w:rsidR="00C1159F" w:rsidRDefault="00C1159F" w:rsidP="003A61CF">
        <w:pPr>
          <w:pStyle w:val="Footer"/>
          <w:jc w:val="center"/>
        </w:pPr>
        <w:r w:rsidRPr="00C66C72">
          <w:rPr>
            <w:sz w:val="20"/>
          </w:rPr>
          <w:fldChar w:fldCharType="begin"/>
        </w:r>
        <w:r w:rsidRPr="00C66C72">
          <w:rPr>
            <w:sz w:val="20"/>
          </w:rPr>
          <w:instrText xml:space="preserve"> PAGE   \* MERGEFORMAT </w:instrText>
        </w:r>
        <w:r w:rsidRPr="00C66C72">
          <w:rPr>
            <w:sz w:val="20"/>
          </w:rPr>
          <w:fldChar w:fldCharType="separate"/>
        </w:r>
        <w:r w:rsidR="005D13C5">
          <w:rPr>
            <w:noProof/>
            <w:sz w:val="20"/>
          </w:rPr>
          <w:t>3</w:t>
        </w:r>
        <w:r w:rsidRPr="00C66C72">
          <w:rPr>
            <w:sz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C67"/>
    <w:multiLevelType w:val="hybridMultilevel"/>
    <w:tmpl w:val="090ECE7A"/>
    <w:lvl w:ilvl="0" w:tplc="474448BE">
      <w:start w:val="352"/>
      <w:numFmt w:val="bullet"/>
      <w:lvlText w:val="-"/>
      <w:lvlJc w:val="left"/>
      <w:pPr>
        <w:ind w:left="420" w:hanging="360"/>
      </w:pPr>
      <w:rPr>
        <w:rFonts w:ascii="Times New Roman" w:eastAsiaTheme="minorHAnsi" w:hAnsi="Times New Roman" w:cs="Times New Roman" w:hint="default"/>
        <w:i/>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14C21D7E"/>
    <w:multiLevelType w:val="hybridMultilevel"/>
    <w:tmpl w:val="589E2C5C"/>
    <w:lvl w:ilvl="0" w:tplc="474448BE">
      <w:start w:val="352"/>
      <w:numFmt w:val="bullet"/>
      <w:lvlText w:val="-"/>
      <w:lvlJc w:val="left"/>
      <w:pPr>
        <w:ind w:left="420" w:hanging="360"/>
      </w:pPr>
      <w:rPr>
        <w:rFonts w:ascii="Times New Roman" w:eastAsiaTheme="minorHAnsi" w:hAnsi="Times New Roman" w:cs="Times New Roman" w:hint="default"/>
        <w:i/>
      </w:rPr>
    </w:lvl>
    <w:lvl w:ilvl="1" w:tplc="474448BE">
      <w:start w:val="352"/>
      <w:numFmt w:val="bullet"/>
      <w:lvlText w:val="-"/>
      <w:lvlJc w:val="left"/>
      <w:pPr>
        <w:ind w:left="1140" w:hanging="360"/>
      </w:pPr>
      <w:rPr>
        <w:rFonts w:ascii="Times New Roman" w:eastAsiaTheme="minorHAnsi" w:hAnsi="Times New Roman" w:cs="Times New Roman" w:hint="default"/>
        <w:i/>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2">
    <w:nsid w:val="14FD572B"/>
    <w:multiLevelType w:val="multilevel"/>
    <w:tmpl w:val="A0348ABA"/>
    <w:lvl w:ilvl="0">
      <w:start w:val="1"/>
      <w:numFmt w:val="decimal"/>
      <w:pStyle w:val="Heading1"/>
      <w:lvlText w:val="%1."/>
      <w:lvlJc w:val="left"/>
      <w:pPr>
        <w:ind w:left="720" w:hanging="360"/>
      </w:pPr>
    </w:lvl>
    <w:lvl w:ilvl="1">
      <w:start w:val="1"/>
      <w:numFmt w:val="decimal"/>
      <w:pStyle w:val="Heading2"/>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1B583AE1"/>
    <w:multiLevelType w:val="hybridMultilevel"/>
    <w:tmpl w:val="23363680"/>
    <w:lvl w:ilvl="0" w:tplc="04260011">
      <w:start w:val="1"/>
      <w:numFmt w:val="decimal"/>
      <w:lvlText w:val="%1)"/>
      <w:lvlJc w:val="left"/>
      <w:pPr>
        <w:ind w:left="420" w:hanging="360"/>
      </w:pPr>
      <w:rPr>
        <w:rFonts w:hint="default"/>
        <w:i/>
      </w:rPr>
    </w:lvl>
    <w:lvl w:ilvl="1" w:tplc="474448BE">
      <w:start w:val="352"/>
      <w:numFmt w:val="bullet"/>
      <w:lvlText w:val="-"/>
      <w:lvlJc w:val="left"/>
      <w:pPr>
        <w:ind w:left="1140" w:hanging="360"/>
      </w:pPr>
      <w:rPr>
        <w:rFonts w:ascii="Times New Roman" w:eastAsiaTheme="minorHAnsi" w:hAnsi="Times New Roman" w:cs="Times New Roman" w:hint="default"/>
        <w:i/>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4">
    <w:nsid w:val="1CDA0129"/>
    <w:multiLevelType w:val="hybridMultilevel"/>
    <w:tmpl w:val="F8F8CDF0"/>
    <w:lvl w:ilvl="0" w:tplc="B96CE6D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1F786685"/>
    <w:multiLevelType w:val="multilevel"/>
    <w:tmpl w:val="A14C82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C04F1F"/>
    <w:multiLevelType w:val="hybridMultilevel"/>
    <w:tmpl w:val="7C3C8062"/>
    <w:lvl w:ilvl="0" w:tplc="BF5A702A">
      <w:start w:val="1"/>
      <w:numFmt w:val="decimal"/>
      <w:lvlText w:val="%1)"/>
      <w:lvlJc w:val="left"/>
      <w:pPr>
        <w:ind w:left="720" w:hanging="360"/>
      </w:pPr>
      <w:rPr>
        <w:rFonts w:eastAsiaTheme="minorHAnsi"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251B28AC"/>
    <w:multiLevelType w:val="hybridMultilevel"/>
    <w:tmpl w:val="A490B88E"/>
    <w:lvl w:ilvl="0" w:tplc="7022282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nsid w:val="2D7C17B6"/>
    <w:multiLevelType w:val="hybridMultilevel"/>
    <w:tmpl w:val="C05C3F9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2EBE5941"/>
    <w:multiLevelType w:val="hybridMultilevel"/>
    <w:tmpl w:val="91586D9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2EDD1B53"/>
    <w:multiLevelType w:val="hybridMultilevel"/>
    <w:tmpl w:val="DEEE0ABE"/>
    <w:lvl w:ilvl="0" w:tplc="1C3EF666">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401073E9"/>
    <w:multiLevelType w:val="hybridMultilevel"/>
    <w:tmpl w:val="3ABA82B8"/>
    <w:lvl w:ilvl="0" w:tplc="C3984F1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nsid w:val="4E7C422C"/>
    <w:multiLevelType w:val="hybridMultilevel"/>
    <w:tmpl w:val="C29ECB1E"/>
    <w:lvl w:ilvl="0" w:tplc="04260011">
      <w:start w:val="1"/>
      <w:numFmt w:val="decimal"/>
      <w:lvlText w:val="%1)"/>
      <w:lvlJc w:val="left"/>
      <w:pPr>
        <w:ind w:left="420" w:hanging="360"/>
      </w:pPr>
      <w:rPr>
        <w:rFonts w:hint="default"/>
        <w:i/>
      </w:rPr>
    </w:lvl>
    <w:lvl w:ilvl="1" w:tplc="474448BE">
      <w:start w:val="352"/>
      <w:numFmt w:val="bullet"/>
      <w:lvlText w:val="-"/>
      <w:lvlJc w:val="left"/>
      <w:pPr>
        <w:ind w:left="1140" w:hanging="360"/>
      </w:pPr>
      <w:rPr>
        <w:rFonts w:ascii="Times New Roman" w:eastAsiaTheme="minorHAnsi" w:hAnsi="Times New Roman" w:cs="Times New Roman" w:hint="default"/>
        <w:i/>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3">
    <w:nsid w:val="51183C53"/>
    <w:multiLevelType w:val="hybridMultilevel"/>
    <w:tmpl w:val="DAB4CE34"/>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52C64B82"/>
    <w:multiLevelType w:val="hybridMultilevel"/>
    <w:tmpl w:val="AB649AE8"/>
    <w:lvl w:ilvl="0" w:tplc="A866E0D4">
      <w:start w:val="1"/>
      <w:numFmt w:val="low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nsid w:val="596C51F3"/>
    <w:multiLevelType w:val="hybridMultilevel"/>
    <w:tmpl w:val="61FC8412"/>
    <w:lvl w:ilvl="0" w:tplc="0426000F">
      <w:start w:val="1"/>
      <w:numFmt w:val="decimal"/>
      <w:lvlText w:val="%1."/>
      <w:lvlJc w:val="left"/>
      <w:pPr>
        <w:ind w:left="420" w:hanging="360"/>
      </w:pPr>
      <w:rPr>
        <w:rFonts w:hint="default"/>
        <w:i/>
      </w:rPr>
    </w:lvl>
    <w:lvl w:ilvl="1" w:tplc="474448BE">
      <w:start w:val="352"/>
      <w:numFmt w:val="bullet"/>
      <w:lvlText w:val="-"/>
      <w:lvlJc w:val="left"/>
      <w:pPr>
        <w:ind w:left="1140" w:hanging="360"/>
      </w:pPr>
      <w:rPr>
        <w:rFonts w:ascii="Times New Roman" w:eastAsiaTheme="minorHAnsi" w:hAnsi="Times New Roman" w:cs="Times New Roman" w:hint="default"/>
        <w:i/>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6">
    <w:nsid w:val="61FF503E"/>
    <w:multiLevelType w:val="hybridMultilevel"/>
    <w:tmpl w:val="4438A15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7">
    <w:nsid w:val="63CF5391"/>
    <w:multiLevelType w:val="hybridMultilevel"/>
    <w:tmpl w:val="3EA47DB2"/>
    <w:lvl w:ilvl="0" w:tplc="E40C436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nsid w:val="64571C62"/>
    <w:multiLevelType w:val="hybridMultilevel"/>
    <w:tmpl w:val="0A18BB86"/>
    <w:lvl w:ilvl="0" w:tplc="04090011">
      <w:start w:val="1"/>
      <w:numFmt w:val="decimal"/>
      <w:lvlText w:val="%1."/>
      <w:lvlJc w:val="left"/>
      <w:pPr>
        <w:tabs>
          <w:tab w:val="num" w:pos="1440"/>
        </w:tabs>
        <w:ind w:left="1440" w:hanging="360"/>
      </w:pPr>
      <w:rPr>
        <w:sz w:val="28"/>
        <w:szCs w:val="28"/>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nsid w:val="6EF91326"/>
    <w:multiLevelType w:val="hybridMultilevel"/>
    <w:tmpl w:val="AD54038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70E25164"/>
    <w:multiLevelType w:val="hybridMultilevel"/>
    <w:tmpl w:val="377E3C86"/>
    <w:lvl w:ilvl="0" w:tplc="04260011">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1">
    <w:nsid w:val="72D47B22"/>
    <w:multiLevelType w:val="hybridMultilevel"/>
    <w:tmpl w:val="92927414"/>
    <w:lvl w:ilvl="0" w:tplc="53E4AC32">
      <w:numFmt w:val="bullet"/>
      <w:lvlText w:val="-"/>
      <w:lvlJc w:val="left"/>
      <w:pPr>
        <w:ind w:left="720" w:hanging="360"/>
      </w:pPr>
      <w:rPr>
        <w:rFonts w:ascii="Times New Roman" w:eastAsiaTheme="minorHAns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74B76B46"/>
    <w:multiLevelType w:val="multilevel"/>
    <w:tmpl w:val="6F92A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4BA513D"/>
    <w:multiLevelType w:val="hybridMultilevel"/>
    <w:tmpl w:val="63DA1708"/>
    <w:lvl w:ilvl="0" w:tplc="9D50AD42">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nsid w:val="78411F30"/>
    <w:multiLevelType w:val="multilevel"/>
    <w:tmpl w:val="5D1800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C437CCD"/>
    <w:multiLevelType w:val="hybridMultilevel"/>
    <w:tmpl w:val="3566D104"/>
    <w:lvl w:ilvl="0" w:tplc="474448BE">
      <w:start w:val="352"/>
      <w:numFmt w:val="bullet"/>
      <w:lvlText w:val="-"/>
      <w:lvlJc w:val="left"/>
      <w:pPr>
        <w:ind w:left="420" w:hanging="360"/>
      </w:pPr>
      <w:rPr>
        <w:rFonts w:ascii="Times New Roman" w:eastAsiaTheme="minorHAnsi" w:hAnsi="Times New Roman" w:cs="Times New Roman" w:hint="default"/>
        <w:i/>
      </w:rPr>
    </w:lvl>
    <w:lvl w:ilvl="1" w:tplc="04260003">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num w:numId="1">
    <w:abstractNumId w:val="9"/>
  </w:num>
  <w:num w:numId="2">
    <w:abstractNumId w:val="2"/>
  </w:num>
  <w:num w:numId="3">
    <w:abstractNumId w:val="10"/>
  </w:num>
  <w:num w:numId="4">
    <w:abstractNumId w:val="25"/>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19"/>
  </w:num>
  <w:num w:numId="8">
    <w:abstractNumId w:val="21"/>
  </w:num>
  <w:num w:numId="9">
    <w:abstractNumId w:val="18"/>
  </w:num>
  <w:num w:numId="10">
    <w:abstractNumId w:val="5"/>
  </w:num>
  <w:num w:numId="11">
    <w:abstractNumId w:val="24"/>
  </w:num>
  <w:num w:numId="12">
    <w:abstractNumId w:val="1"/>
  </w:num>
  <w:num w:numId="13">
    <w:abstractNumId w:val="16"/>
  </w:num>
  <w:num w:numId="14">
    <w:abstractNumId w:val="0"/>
  </w:num>
  <w:num w:numId="15">
    <w:abstractNumId w:val="22"/>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13"/>
  </w:num>
  <w:num w:numId="19">
    <w:abstractNumId w:val="4"/>
  </w:num>
  <w:num w:numId="20">
    <w:abstractNumId w:val="7"/>
  </w:num>
  <w:num w:numId="21">
    <w:abstractNumId w:val="11"/>
  </w:num>
  <w:num w:numId="22">
    <w:abstractNumId w:val="14"/>
  </w:num>
  <w:num w:numId="23">
    <w:abstractNumId w:val="8"/>
  </w:num>
  <w:num w:numId="24">
    <w:abstractNumId w:val="15"/>
  </w:num>
  <w:num w:numId="25">
    <w:abstractNumId w:val="12"/>
  </w:num>
  <w:num w:numId="26">
    <w:abstractNumId w:val="3"/>
  </w:num>
  <w:num w:numId="2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453"/>
    <w:rsid w:val="00000CB5"/>
    <w:rsid w:val="000029C3"/>
    <w:rsid w:val="00002A15"/>
    <w:rsid w:val="00003423"/>
    <w:rsid w:val="00006870"/>
    <w:rsid w:val="00007313"/>
    <w:rsid w:val="00010C05"/>
    <w:rsid w:val="0001232B"/>
    <w:rsid w:val="0001275E"/>
    <w:rsid w:val="00014C26"/>
    <w:rsid w:val="0001668C"/>
    <w:rsid w:val="00017720"/>
    <w:rsid w:val="00017DE7"/>
    <w:rsid w:val="00022D05"/>
    <w:rsid w:val="00023621"/>
    <w:rsid w:val="000263B7"/>
    <w:rsid w:val="00027AB6"/>
    <w:rsid w:val="00032ECE"/>
    <w:rsid w:val="00032F82"/>
    <w:rsid w:val="00035D45"/>
    <w:rsid w:val="00035DBC"/>
    <w:rsid w:val="000375A7"/>
    <w:rsid w:val="00042CC8"/>
    <w:rsid w:val="00043006"/>
    <w:rsid w:val="00043369"/>
    <w:rsid w:val="000435B4"/>
    <w:rsid w:val="0004386E"/>
    <w:rsid w:val="00046592"/>
    <w:rsid w:val="000501CB"/>
    <w:rsid w:val="00050228"/>
    <w:rsid w:val="00055CB0"/>
    <w:rsid w:val="00061348"/>
    <w:rsid w:val="00061AFA"/>
    <w:rsid w:val="000649DF"/>
    <w:rsid w:val="0006627A"/>
    <w:rsid w:val="00071FC2"/>
    <w:rsid w:val="0007488E"/>
    <w:rsid w:val="000806B3"/>
    <w:rsid w:val="00082474"/>
    <w:rsid w:val="000832B8"/>
    <w:rsid w:val="00083807"/>
    <w:rsid w:val="00083A5B"/>
    <w:rsid w:val="00087706"/>
    <w:rsid w:val="0009476C"/>
    <w:rsid w:val="00094FBD"/>
    <w:rsid w:val="0009760F"/>
    <w:rsid w:val="000A2E61"/>
    <w:rsid w:val="000A341F"/>
    <w:rsid w:val="000A4CF7"/>
    <w:rsid w:val="000B4F5C"/>
    <w:rsid w:val="000B56DB"/>
    <w:rsid w:val="000C5935"/>
    <w:rsid w:val="000C79DD"/>
    <w:rsid w:val="000D389B"/>
    <w:rsid w:val="000E05AF"/>
    <w:rsid w:val="000E3294"/>
    <w:rsid w:val="000E37EC"/>
    <w:rsid w:val="000E7133"/>
    <w:rsid w:val="000E726E"/>
    <w:rsid w:val="000F2243"/>
    <w:rsid w:val="000F3AAB"/>
    <w:rsid w:val="001000B2"/>
    <w:rsid w:val="0010341C"/>
    <w:rsid w:val="00103F21"/>
    <w:rsid w:val="0011409C"/>
    <w:rsid w:val="001152DB"/>
    <w:rsid w:val="00123E73"/>
    <w:rsid w:val="001272AC"/>
    <w:rsid w:val="001331B1"/>
    <w:rsid w:val="00133F70"/>
    <w:rsid w:val="00135BFB"/>
    <w:rsid w:val="00137F51"/>
    <w:rsid w:val="00143268"/>
    <w:rsid w:val="00146970"/>
    <w:rsid w:val="00151AC6"/>
    <w:rsid w:val="00155B90"/>
    <w:rsid w:val="001607BB"/>
    <w:rsid w:val="00161018"/>
    <w:rsid w:val="00162BC1"/>
    <w:rsid w:val="00163DFC"/>
    <w:rsid w:val="00164D04"/>
    <w:rsid w:val="00165264"/>
    <w:rsid w:val="001676A0"/>
    <w:rsid w:val="00167B4F"/>
    <w:rsid w:val="0017317F"/>
    <w:rsid w:val="001778F9"/>
    <w:rsid w:val="00180B41"/>
    <w:rsid w:val="001832B9"/>
    <w:rsid w:val="0018363E"/>
    <w:rsid w:val="001849DF"/>
    <w:rsid w:val="001920A6"/>
    <w:rsid w:val="001941AF"/>
    <w:rsid w:val="001945FC"/>
    <w:rsid w:val="0019692B"/>
    <w:rsid w:val="00197D7B"/>
    <w:rsid w:val="001A69BA"/>
    <w:rsid w:val="001B0EAB"/>
    <w:rsid w:val="001C2CF5"/>
    <w:rsid w:val="001C5AA5"/>
    <w:rsid w:val="001C5B50"/>
    <w:rsid w:val="001C66D9"/>
    <w:rsid w:val="001C7E79"/>
    <w:rsid w:val="001D10B6"/>
    <w:rsid w:val="001D39DE"/>
    <w:rsid w:val="001D50C1"/>
    <w:rsid w:val="001D5AB4"/>
    <w:rsid w:val="001D7D23"/>
    <w:rsid w:val="001E12FB"/>
    <w:rsid w:val="001E1D29"/>
    <w:rsid w:val="001E3712"/>
    <w:rsid w:val="001E4D12"/>
    <w:rsid w:val="001E5E7E"/>
    <w:rsid w:val="001F1336"/>
    <w:rsid w:val="001F1609"/>
    <w:rsid w:val="002024D2"/>
    <w:rsid w:val="00202647"/>
    <w:rsid w:val="00205150"/>
    <w:rsid w:val="0021262C"/>
    <w:rsid w:val="00212DDE"/>
    <w:rsid w:val="002172B6"/>
    <w:rsid w:val="00220C63"/>
    <w:rsid w:val="00224CC1"/>
    <w:rsid w:val="00226EE8"/>
    <w:rsid w:val="002325D3"/>
    <w:rsid w:val="00233221"/>
    <w:rsid w:val="00236937"/>
    <w:rsid w:val="0024122B"/>
    <w:rsid w:val="00246B67"/>
    <w:rsid w:val="0024722E"/>
    <w:rsid w:val="00250C6C"/>
    <w:rsid w:val="002516C6"/>
    <w:rsid w:val="002520E8"/>
    <w:rsid w:val="002536E8"/>
    <w:rsid w:val="002551F1"/>
    <w:rsid w:val="002552AA"/>
    <w:rsid w:val="002563A3"/>
    <w:rsid w:val="002601F7"/>
    <w:rsid w:val="00260F2D"/>
    <w:rsid w:val="00261BBD"/>
    <w:rsid w:val="002640FE"/>
    <w:rsid w:val="00264604"/>
    <w:rsid w:val="00264730"/>
    <w:rsid w:val="00264E4C"/>
    <w:rsid w:val="00264EC1"/>
    <w:rsid w:val="00270131"/>
    <w:rsid w:val="00277641"/>
    <w:rsid w:val="0028092A"/>
    <w:rsid w:val="00284CF2"/>
    <w:rsid w:val="002852B8"/>
    <w:rsid w:val="002860C9"/>
    <w:rsid w:val="0028702F"/>
    <w:rsid w:val="00290043"/>
    <w:rsid w:val="002920DC"/>
    <w:rsid w:val="002954E7"/>
    <w:rsid w:val="002A3C1F"/>
    <w:rsid w:val="002B4DA3"/>
    <w:rsid w:val="002B74E4"/>
    <w:rsid w:val="002C397E"/>
    <w:rsid w:val="002C68C0"/>
    <w:rsid w:val="002D3514"/>
    <w:rsid w:val="002D51BD"/>
    <w:rsid w:val="002D75CF"/>
    <w:rsid w:val="002E0DA6"/>
    <w:rsid w:val="002E2C5A"/>
    <w:rsid w:val="002E2E2B"/>
    <w:rsid w:val="002E47B8"/>
    <w:rsid w:val="002F04E0"/>
    <w:rsid w:val="00301E24"/>
    <w:rsid w:val="003048F7"/>
    <w:rsid w:val="00305DA4"/>
    <w:rsid w:val="00306A78"/>
    <w:rsid w:val="00307DDB"/>
    <w:rsid w:val="0031204B"/>
    <w:rsid w:val="00312976"/>
    <w:rsid w:val="0031531D"/>
    <w:rsid w:val="00315CE3"/>
    <w:rsid w:val="003162D9"/>
    <w:rsid w:val="00322C0E"/>
    <w:rsid w:val="00325877"/>
    <w:rsid w:val="00330DA2"/>
    <w:rsid w:val="00333344"/>
    <w:rsid w:val="0034186F"/>
    <w:rsid w:val="00341D93"/>
    <w:rsid w:val="0034600D"/>
    <w:rsid w:val="003477F2"/>
    <w:rsid w:val="00353558"/>
    <w:rsid w:val="00354D80"/>
    <w:rsid w:val="003552C7"/>
    <w:rsid w:val="00362CE2"/>
    <w:rsid w:val="00365A95"/>
    <w:rsid w:val="00367ECA"/>
    <w:rsid w:val="00371033"/>
    <w:rsid w:val="00371760"/>
    <w:rsid w:val="0037214A"/>
    <w:rsid w:val="00376485"/>
    <w:rsid w:val="00380174"/>
    <w:rsid w:val="00380E50"/>
    <w:rsid w:val="00385E9E"/>
    <w:rsid w:val="00386F3C"/>
    <w:rsid w:val="00387715"/>
    <w:rsid w:val="003926D3"/>
    <w:rsid w:val="00394A09"/>
    <w:rsid w:val="003A1288"/>
    <w:rsid w:val="003A3DD7"/>
    <w:rsid w:val="003A41FF"/>
    <w:rsid w:val="003A52B2"/>
    <w:rsid w:val="003A61CF"/>
    <w:rsid w:val="003A6AB8"/>
    <w:rsid w:val="003B0D3C"/>
    <w:rsid w:val="003B57A8"/>
    <w:rsid w:val="003C1A6B"/>
    <w:rsid w:val="003C340D"/>
    <w:rsid w:val="003C7DD5"/>
    <w:rsid w:val="003D0D78"/>
    <w:rsid w:val="003D0E98"/>
    <w:rsid w:val="003D1318"/>
    <w:rsid w:val="003D57FA"/>
    <w:rsid w:val="003D7101"/>
    <w:rsid w:val="003D7EE3"/>
    <w:rsid w:val="003E3977"/>
    <w:rsid w:val="003E3FB8"/>
    <w:rsid w:val="003E4760"/>
    <w:rsid w:val="003E4808"/>
    <w:rsid w:val="003E533F"/>
    <w:rsid w:val="003F0145"/>
    <w:rsid w:val="003F0E7A"/>
    <w:rsid w:val="003F116E"/>
    <w:rsid w:val="003F7DDA"/>
    <w:rsid w:val="003F7E71"/>
    <w:rsid w:val="004003FD"/>
    <w:rsid w:val="00402312"/>
    <w:rsid w:val="004041FE"/>
    <w:rsid w:val="004047D4"/>
    <w:rsid w:val="00405392"/>
    <w:rsid w:val="00405A04"/>
    <w:rsid w:val="00410FD8"/>
    <w:rsid w:val="00413DDB"/>
    <w:rsid w:val="004156F3"/>
    <w:rsid w:val="00415DE5"/>
    <w:rsid w:val="00415E8C"/>
    <w:rsid w:val="00416199"/>
    <w:rsid w:val="00421A7D"/>
    <w:rsid w:val="004275D4"/>
    <w:rsid w:val="00430F38"/>
    <w:rsid w:val="004310B1"/>
    <w:rsid w:val="004340C7"/>
    <w:rsid w:val="004349B5"/>
    <w:rsid w:val="00435E45"/>
    <w:rsid w:val="00437614"/>
    <w:rsid w:val="00441202"/>
    <w:rsid w:val="00441DAE"/>
    <w:rsid w:val="0044608F"/>
    <w:rsid w:val="004505FC"/>
    <w:rsid w:val="004508A6"/>
    <w:rsid w:val="004516E1"/>
    <w:rsid w:val="00455048"/>
    <w:rsid w:val="00456CB7"/>
    <w:rsid w:val="00456E53"/>
    <w:rsid w:val="00461E72"/>
    <w:rsid w:val="00461FAA"/>
    <w:rsid w:val="004645AB"/>
    <w:rsid w:val="00464EA9"/>
    <w:rsid w:val="00471908"/>
    <w:rsid w:val="00474D5C"/>
    <w:rsid w:val="0047611C"/>
    <w:rsid w:val="004819BE"/>
    <w:rsid w:val="00485200"/>
    <w:rsid w:val="00486505"/>
    <w:rsid w:val="004918BB"/>
    <w:rsid w:val="00491F44"/>
    <w:rsid w:val="00494B0E"/>
    <w:rsid w:val="0049689E"/>
    <w:rsid w:val="004A18F1"/>
    <w:rsid w:val="004A3C9F"/>
    <w:rsid w:val="004A4529"/>
    <w:rsid w:val="004A6B21"/>
    <w:rsid w:val="004A79EC"/>
    <w:rsid w:val="004B08BF"/>
    <w:rsid w:val="004B1CAA"/>
    <w:rsid w:val="004B4DDF"/>
    <w:rsid w:val="004B56F5"/>
    <w:rsid w:val="004B6DFD"/>
    <w:rsid w:val="004C1FFE"/>
    <w:rsid w:val="004C22D0"/>
    <w:rsid w:val="004C3784"/>
    <w:rsid w:val="004D4622"/>
    <w:rsid w:val="004D73B7"/>
    <w:rsid w:val="004F014B"/>
    <w:rsid w:val="004F325F"/>
    <w:rsid w:val="004F490D"/>
    <w:rsid w:val="004F5542"/>
    <w:rsid w:val="0050029F"/>
    <w:rsid w:val="005034BF"/>
    <w:rsid w:val="00503CA9"/>
    <w:rsid w:val="00504C3F"/>
    <w:rsid w:val="00506639"/>
    <w:rsid w:val="00506A3C"/>
    <w:rsid w:val="00520A51"/>
    <w:rsid w:val="005221CE"/>
    <w:rsid w:val="0052341A"/>
    <w:rsid w:val="005245C7"/>
    <w:rsid w:val="00525DFE"/>
    <w:rsid w:val="005262C9"/>
    <w:rsid w:val="00526DE3"/>
    <w:rsid w:val="00527931"/>
    <w:rsid w:val="005352CF"/>
    <w:rsid w:val="00536542"/>
    <w:rsid w:val="00536707"/>
    <w:rsid w:val="00536F03"/>
    <w:rsid w:val="005370FD"/>
    <w:rsid w:val="005400C3"/>
    <w:rsid w:val="0054046A"/>
    <w:rsid w:val="0054278F"/>
    <w:rsid w:val="00555AEE"/>
    <w:rsid w:val="00556733"/>
    <w:rsid w:val="005576FB"/>
    <w:rsid w:val="0056096B"/>
    <w:rsid w:val="00560F60"/>
    <w:rsid w:val="0056279F"/>
    <w:rsid w:val="005645FF"/>
    <w:rsid w:val="00572F5B"/>
    <w:rsid w:val="005742F5"/>
    <w:rsid w:val="00574413"/>
    <w:rsid w:val="00575094"/>
    <w:rsid w:val="005751CD"/>
    <w:rsid w:val="005752C3"/>
    <w:rsid w:val="005764B7"/>
    <w:rsid w:val="00577FF3"/>
    <w:rsid w:val="0058153C"/>
    <w:rsid w:val="0058190F"/>
    <w:rsid w:val="0058313D"/>
    <w:rsid w:val="0058731C"/>
    <w:rsid w:val="00587BBA"/>
    <w:rsid w:val="00590AEF"/>
    <w:rsid w:val="005933B6"/>
    <w:rsid w:val="00595022"/>
    <w:rsid w:val="005976F1"/>
    <w:rsid w:val="005A642F"/>
    <w:rsid w:val="005A6D24"/>
    <w:rsid w:val="005B0145"/>
    <w:rsid w:val="005B08B3"/>
    <w:rsid w:val="005B18FB"/>
    <w:rsid w:val="005B5BBB"/>
    <w:rsid w:val="005B7F2D"/>
    <w:rsid w:val="005C05CA"/>
    <w:rsid w:val="005C08E0"/>
    <w:rsid w:val="005C0CB0"/>
    <w:rsid w:val="005C3777"/>
    <w:rsid w:val="005C3851"/>
    <w:rsid w:val="005C544B"/>
    <w:rsid w:val="005C68C2"/>
    <w:rsid w:val="005C7067"/>
    <w:rsid w:val="005D0286"/>
    <w:rsid w:val="005D0D5A"/>
    <w:rsid w:val="005D13C5"/>
    <w:rsid w:val="005D3BE6"/>
    <w:rsid w:val="005D54E2"/>
    <w:rsid w:val="005D7FF7"/>
    <w:rsid w:val="005E13CB"/>
    <w:rsid w:val="005E1C7A"/>
    <w:rsid w:val="005E1DF5"/>
    <w:rsid w:val="005E57F0"/>
    <w:rsid w:val="005E6473"/>
    <w:rsid w:val="005E66D8"/>
    <w:rsid w:val="005F0EDC"/>
    <w:rsid w:val="005F1478"/>
    <w:rsid w:val="005F25A0"/>
    <w:rsid w:val="00600F27"/>
    <w:rsid w:val="00601207"/>
    <w:rsid w:val="00602E3D"/>
    <w:rsid w:val="006107EC"/>
    <w:rsid w:val="00614EB3"/>
    <w:rsid w:val="006179FA"/>
    <w:rsid w:val="006218F5"/>
    <w:rsid w:val="00621B25"/>
    <w:rsid w:val="00626E73"/>
    <w:rsid w:val="00627865"/>
    <w:rsid w:val="006313F0"/>
    <w:rsid w:val="00632D6A"/>
    <w:rsid w:val="0063347A"/>
    <w:rsid w:val="00636BA4"/>
    <w:rsid w:val="006426CB"/>
    <w:rsid w:val="00646E25"/>
    <w:rsid w:val="006475FD"/>
    <w:rsid w:val="00647CA2"/>
    <w:rsid w:val="006511B6"/>
    <w:rsid w:val="00655A82"/>
    <w:rsid w:val="0065787C"/>
    <w:rsid w:val="00664432"/>
    <w:rsid w:val="0066572D"/>
    <w:rsid w:val="0066747C"/>
    <w:rsid w:val="0067497B"/>
    <w:rsid w:val="0067536D"/>
    <w:rsid w:val="00675BFF"/>
    <w:rsid w:val="00677718"/>
    <w:rsid w:val="00677B12"/>
    <w:rsid w:val="006821D0"/>
    <w:rsid w:val="00685B52"/>
    <w:rsid w:val="00686279"/>
    <w:rsid w:val="00687923"/>
    <w:rsid w:val="00690C3E"/>
    <w:rsid w:val="00691453"/>
    <w:rsid w:val="00693375"/>
    <w:rsid w:val="006938BF"/>
    <w:rsid w:val="006A4418"/>
    <w:rsid w:val="006A450D"/>
    <w:rsid w:val="006A6A7A"/>
    <w:rsid w:val="006B3C7E"/>
    <w:rsid w:val="006B79A9"/>
    <w:rsid w:val="006C48E5"/>
    <w:rsid w:val="006C6889"/>
    <w:rsid w:val="006C796D"/>
    <w:rsid w:val="006E0DF5"/>
    <w:rsid w:val="006E1731"/>
    <w:rsid w:val="006E1E91"/>
    <w:rsid w:val="006E2B24"/>
    <w:rsid w:val="006E2FCC"/>
    <w:rsid w:val="006E3320"/>
    <w:rsid w:val="006E345B"/>
    <w:rsid w:val="006E4AFF"/>
    <w:rsid w:val="006E7CED"/>
    <w:rsid w:val="006F0018"/>
    <w:rsid w:val="006F3213"/>
    <w:rsid w:val="006F5A62"/>
    <w:rsid w:val="006F62F7"/>
    <w:rsid w:val="00701550"/>
    <w:rsid w:val="00704C27"/>
    <w:rsid w:val="00706763"/>
    <w:rsid w:val="0070735F"/>
    <w:rsid w:val="007115BD"/>
    <w:rsid w:val="007131C9"/>
    <w:rsid w:val="00713417"/>
    <w:rsid w:val="00713875"/>
    <w:rsid w:val="007142FF"/>
    <w:rsid w:val="007148F1"/>
    <w:rsid w:val="007154A3"/>
    <w:rsid w:val="00723496"/>
    <w:rsid w:val="00723894"/>
    <w:rsid w:val="00724806"/>
    <w:rsid w:val="007256B2"/>
    <w:rsid w:val="00727651"/>
    <w:rsid w:val="00730471"/>
    <w:rsid w:val="00730CD2"/>
    <w:rsid w:val="00731E22"/>
    <w:rsid w:val="00733164"/>
    <w:rsid w:val="00733D32"/>
    <w:rsid w:val="0073640F"/>
    <w:rsid w:val="00736C3B"/>
    <w:rsid w:val="0074302C"/>
    <w:rsid w:val="00743CD7"/>
    <w:rsid w:val="00744CF8"/>
    <w:rsid w:val="00747447"/>
    <w:rsid w:val="0074765B"/>
    <w:rsid w:val="00753A3D"/>
    <w:rsid w:val="00761E2E"/>
    <w:rsid w:val="00764F99"/>
    <w:rsid w:val="00771E7C"/>
    <w:rsid w:val="00771EE1"/>
    <w:rsid w:val="0077270D"/>
    <w:rsid w:val="00773B99"/>
    <w:rsid w:val="00773DCC"/>
    <w:rsid w:val="007762F1"/>
    <w:rsid w:val="00781758"/>
    <w:rsid w:val="0078351E"/>
    <w:rsid w:val="007847E1"/>
    <w:rsid w:val="00784BD7"/>
    <w:rsid w:val="00790D72"/>
    <w:rsid w:val="00794DA1"/>
    <w:rsid w:val="00795592"/>
    <w:rsid w:val="007A21D5"/>
    <w:rsid w:val="007A5285"/>
    <w:rsid w:val="007B43CA"/>
    <w:rsid w:val="007C0888"/>
    <w:rsid w:val="007C0B0B"/>
    <w:rsid w:val="007C0B49"/>
    <w:rsid w:val="007C2279"/>
    <w:rsid w:val="007C4A1C"/>
    <w:rsid w:val="007D551C"/>
    <w:rsid w:val="007E0FE2"/>
    <w:rsid w:val="007E1270"/>
    <w:rsid w:val="007E1A3C"/>
    <w:rsid w:val="007F00D9"/>
    <w:rsid w:val="007F2587"/>
    <w:rsid w:val="007F4C97"/>
    <w:rsid w:val="007F5B79"/>
    <w:rsid w:val="00800AFF"/>
    <w:rsid w:val="00801AA7"/>
    <w:rsid w:val="0080225B"/>
    <w:rsid w:val="00803939"/>
    <w:rsid w:val="00803EDD"/>
    <w:rsid w:val="0081135A"/>
    <w:rsid w:val="00813AC8"/>
    <w:rsid w:val="00814225"/>
    <w:rsid w:val="00817C53"/>
    <w:rsid w:val="00825A18"/>
    <w:rsid w:val="00826FE8"/>
    <w:rsid w:val="008274AD"/>
    <w:rsid w:val="00830EFB"/>
    <w:rsid w:val="0083239E"/>
    <w:rsid w:val="00833F01"/>
    <w:rsid w:val="00835CF5"/>
    <w:rsid w:val="00836FF3"/>
    <w:rsid w:val="008419DC"/>
    <w:rsid w:val="00842413"/>
    <w:rsid w:val="008503C4"/>
    <w:rsid w:val="0085388E"/>
    <w:rsid w:val="008547D5"/>
    <w:rsid w:val="0085566C"/>
    <w:rsid w:val="00857105"/>
    <w:rsid w:val="008607DA"/>
    <w:rsid w:val="00860DA9"/>
    <w:rsid w:val="00861EFE"/>
    <w:rsid w:val="0086465C"/>
    <w:rsid w:val="00866DB8"/>
    <w:rsid w:val="00867D35"/>
    <w:rsid w:val="00872818"/>
    <w:rsid w:val="008737CF"/>
    <w:rsid w:val="00876B5B"/>
    <w:rsid w:val="00880986"/>
    <w:rsid w:val="00880F51"/>
    <w:rsid w:val="00882196"/>
    <w:rsid w:val="00883DCD"/>
    <w:rsid w:val="00886BF8"/>
    <w:rsid w:val="008907CE"/>
    <w:rsid w:val="00897EAF"/>
    <w:rsid w:val="008A0078"/>
    <w:rsid w:val="008A1837"/>
    <w:rsid w:val="008A50E7"/>
    <w:rsid w:val="008A6FA9"/>
    <w:rsid w:val="008C0B9A"/>
    <w:rsid w:val="008C11BA"/>
    <w:rsid w:val="008C54F0"/>
    <w:rsid w:val="008D023E"/>
    <w:rsid w:val="008D187A"/>
    <w:rsid w:val="008D209E"/>
    <w:rsid w:val="008D23A2"/>
    <w:rsid w:val="008E7A33"/>
    <w:rsid w:val="008F0082"/>
    <w:rsid w:val="008F3EE7"/>
    <w:rsid w:val="008F58BD"/>
    <w:rsid w:val="00906DFF"/>
    <w:rsid w:val="00911BB6"/>
    <w:rsid w:val="0092055E"/>
    <w:rsid w:val="00924032"/>
    <w:rsid w:val="009249D5"/>
    <w:rsid w:val="00926E5C"/>
    <w:rsid w:val="00931079"/>
    <w:rsid w:val="009360C6"/>
    <w:rsid w:val="0094168A"/>
    <w:rsid w:val="0094509C"/>
    <w:rsid w:val="00945A7F"/>
    <w:rsid w:val="00951669"/>
    <w:rsid w:val="00951887"/>
    <w:rsid w:val="0095242F"/>
    <w:rsid w:val="00952DAD"/>
    <w:rsid w:val="00960D4A"/>
    <w:rsid w:val="00960E58"/>
    <w:rsid w:val="009617C1"/>
    <w:rsid w:val="009625DD"/>
    <w:rsid w:val="00976FDC"/>
    <w:rsid w:val="00981430"/>
    <w:rsid w:val="00981550"/>
    <w:rsid w:val="00982812"/>
    <w:rsid w:val="00992E51"/>
    <w:rsid w:val="009955A7"/>
    <w:rsid w:val="009977EC"/>
    <w:rsid w:val="009A1197"/>
    <w:rsid w:val="009A20A3"/>
    <w:rsid w:val="009A3B71"/>
    <w:rsid w:val="009A5C2C"/>
    <w:rsid w:val="009B0A88"/>
    <w:rsid w:val="009B0CCC"/>
    <w:rsid w:val="009B2B83"/>
    <w:rsid w:val="009B51A2"/>
    <w:rsid w:val="009B7068"/>
    <w:rsid w:val="009C472D"/>
    <w:rsid w:val="009C68CD"/>
    <w:rsid w:val="009C764A"/>
    <w:rsid w:val="009D28F5"/>
    <w:rsid w:val="009D6B81"/>
    <w:rsid w:val="009D735E"/>
    <w:rsid w:val="009E23FB"/>
    <w:rsid w:val="009E4DD7"/>
    <w:rsid w:val="009F09E4"/>
    <w:rsid w:val="009F5E65"/>
    <w:rsid w:val="00A00001"/>
    <w:rsid w:val="00A031A7"/>
    <w:rsid w:val="00A03EDF"/>
    <w:rsid w:val="00A049C1"/>
    <w:rsid w:val="00A0770F"/>
    <w:rsid w:val="00A103BF"/>
    <w:rsid w:val="00A10F5F"/>
    <w:rsid w:val="00A11EBA"/>
    <w:rsid w:val="00A141F4"/>
    <w:rsid w:val="00A150D9"/>
    <w:rsid w:val="00A17D2E"/>
    <w:rsid w:val="00A21F74"/>
    <w:rsid w:val="00A238FB"/>
    <w:rsid w:val="00A23BB1"/>
    <w:rsid w:val="00A2402B"/>
    <w:rsid w:val="00A245E5"/>
    <w:rsid w:val="00A24862"/>
    <w:rsid w:val="00A25E11"/>
    <w:rsid w:val="00A268BF"/>
    <w:rsid w:val="00A27F0D"/>
    <w:rsid w:val="00A32D7F"/>
    <w:rsid w:val="00A33488"/>
    <w:rsid w:val="00A335DF"/>
    <w:rsid w:val="00A405B4"/>
    <w:rsid w:val="00A43F93"/>
    <w:rsid w:val="00A4504B"/>
    <w:rsid w:val="00A47A65"/>
    <w:rsid w:val="00A50DBF"/>
    <w:rsid w:val="00A5254A"/>
    <w:rsid w:val="00A537ED"/>
    <w:rsid w:val="00A540B3"/>
    <w:rsid w:val="00A54338"/>
    <w:rsid w:val="00A555E6"/>
    <w:rsid w:val="00A62295"/>
    <w:rsid w:val="00A634C3"/>
    <w:rsid w:val="00A64C52"/>
    <w:rsid w:val="00A65582"/>
    <w:rsid w:val="00A6587B"/>
    <w:rsid w:val="00A7035E"/>
    <w:rsid w:val="00A73755"/>
    <w:rsid w:val="00A73BC7"/>
    <w:rsid w:val="00A7502C"/>
    <w:rsid w:val="00A75FEC"/>
    <w:rsid w:val="00A772DD"/>
    <w:rsid w:val="00A77A56"/>
    <w:rsid w:val="00A8268E"/>
    <w:rsid w:val="00A82B0D"/>
    <w:rsid w:val="00A844A8"/>
    <w:rsid w:val="00A844AA"/>
    <w:rsid w:val="00A85FF1"/>
    <w:rsid w:val="00A8648A"/>
    <w:rsid w:val="00A8688F"/>
    <w:rsid w:val="00A9333F"/>
    <w:rsid w:val="00A94B52"/>
    <w:rsid w:val="00A97E67"/>
    <w:rsid w:val="00AA4715"/>
    <w:rsid w:val="00AA5AE8"/>
    <w:rsid w:val="00AB0298"/>
    <w:rsid w:val="00AB0E3D"/>
    <w:rsid w:val="00AB15D3"/>
    <w:rsid w:val="00AB7A70"/>
    <w:rsid w:val="00AB7B42"/>
    <w:rsid w:val="00AC0368"/>
    <w:rsid w:val="00AC1679"/>
    <w:rsid w:val="00AC26B4"/>
    <w:rsid w:val="00AC439A"/>
    <w:rsid w:val="00AD0099"/>
    <w:rsid w:val="00AD027D"/>
    <w:rsid w:val="00AD062F"/>
    <w:rsid w:val="00AD1FDD"/>
    <w:rsid w:val="00AD2DA3"/>
    <w:rsid w:val="00AD2EE8"/>
    <w:rsid w:val="00AD367A"/>
    <w:rsid w:val="00AD4730"/>
    <w:rsid w:val="00AD599B"/>
    <w:rsid w:val="00AD5C66"/>
    <w:rsid w:val="00AD6AEF"/>
    <w:rsid w:val="00AD6C4B"/>
    <w:rsid w:val="00AE19A8"/>
    <w:rsid w:val="00AE1BD2"/>
    <w:rsid w:val="00AE3FFF"/>
    <w:rsid w:val="00AE4830"/>
    <w:rsid w:val="00AE4C24"/>
    <w:rsid w:val="00AE66BC"/>
    <w:rsid w:val="00AE753A"/>
    <w:rsid w:val="00AE7F0C"/>
    <w:rsid w:val="00AF7761"/>
    <w:rsid w:val="00B073E4"/>
    <w:rsid w:val="00B075BF"/>
    <w:rsid w:val="00B07878"/>
    <w:rsid w:val="00B079EA"/>
    <w:rsid w:val="00B12DD8"/>
    <w:rsid w:val="00B1423B"/>
    <w:rsid w:val="00B1611C"/>
    <w:rsid w:val="00B173BA"/>
    <w:rsid w:val="00B215EA"/>
    <w:rsid w:val="00B21792"/>
    <w:rsid w:val="00B2197F"/>
    <w:rsid w:val="00B23976"/>
    <w:rsid w:val="00B24CBB"/>
    <w:rsid w:val="00B24FC5"/>
    <w:rsid w:val="00B2533E"/>
    <w:rsid w:val="00B2657F"/>
    <w:rsid w:val="00B27A06"/>
    <w:rsid w:val="00B27AA2"/>
    <w:rsid w:val="00B27E1E"/>
    <w:rsid w:val="00B31DFA"/>
    <w:rsid w:val="00B358DC"/>
    <w:rsid w:val="00B406C2"/>
    <w:rsid w:val="00B4073F"/>
    <w:rsid w:val="00B42D47"/>
    <w:rsid w:val="00B43303"/>
    <w:rsid w:val="00B44700"/>
    <w:rsid w:val="00B45DF3"/>
    <w:rsid w:val="00B465D7"/>
    <w:rsid w:val="00B474B9"/>
    <w:rsid w:val="00B50C19"/>
    <w:rsid w:val="00B524A6"/>
    <w:rsid w:val="00B5745C"/>
    <w:rsid w:val="00B60BBF"/>
    <w:rsid w:val="00B724D1"/>
    <w:rsid w:val="00B74522"/>
    <w:rsid w:val="00B75F91"/>
    <w:rsid w:val="00B86B1B"/>
    <w:rsid w:val="00B86E1F"/>
    <w:rsid w:val="00B87A7D"/>
    <w:rsid w:val="00B937A6"/>
    <w:rsid w:val="00B945A9"/>
    <w:rsid w:val="00B9490D"/>
    <w:rsid w:val="00B96344"/>
    <w:rsid w:val="00BA23FB"/>
    <w:rsid w:val="00BA26CE"/>
    <w:rsid w:val="00BA3EE3"/>
    <w:rsid w:val="00BA528E"/>
    <w:rsid w:val="00BA53A8"/>
    <w:rsid w:val="00BA5D18"/>
    <w:rsid w:val="00BA6F83"/>
    <w:rsid w:val="00BA7ACC"/>
    <w:rsid w:val="00BB0EFD"/>
    <w:rsid w:val="00BB17CF"/>
    <w:rsid w:val="00BB65A5"/>
    <w:rsid w:val="00BB6CF7"/>
    <w:rsid w:val="00BC178F"/>
    <w:rsid w:val="00BC4DBB"/>
    <w:rsid w:val="00BC67C8"/>
    <w:rsid w:val="00BC6D5B"/>
    <w:rsid w:val="00BD67BE"/>
    <w:rsid w:val="00BD6D5A"/>
    <w:rsid w:val="00BD709C"/>
    <w:rsid w:val="00BE02F8"/>
    <w:rsid w:val="00BE0B76"/>
    <w:rsid w:val="00BE69B8"/>
    <w:rsid w:val="00BE7006"/>
    <w:rsid w:val="00BE720A"/>
    <w:rsid w:val="00BF1345"/>
    <w:rsid w:val="00BF41C0"/>
    <w:rsid w:val="00BF4FF1"/>
    <w:rsid w:val="00C001BF"/>
    <w:rsid w:val="00C0101E"/>
    <w:rsid w:val="00C04170"/>
    <w:rsid w:val="00C1105E"/>
    <w:rsid w:val="00C1159F"/>
    <w:rsid w:val="00C2662E"/>
    <w:rsid w:val="00C26FD4"/>
    <w:rsid w:val="00C30308"/>
    <w:rsid w:val="00C310F1"/>
    <w:rsid w:val="00C31FAF"/>
    <w:rsid w:val="00C35221"/>
    <w:rsid w:val="00C37142"/>
    <w:rsid w:val="00C37298"/>
    <w:rsid w:val="00C37E67"/>
    <w:rsid w:val="00C43ACE"/>
    <w:rsid w:val="00C445B5"/>
    <w:rsid w:val="00C44B1A"/>
    <w:rsid w:val="00C5197B"/>
    <w:rsid w:val="00C53A41"/>
    <w:rsid w:val="00C542C4"/>
    <w:rsid w:val="00C56466"/>
    <w:rsid w:val="00C57F62"/>
    <w:rsid w:val="00C62657"/>
    <w:rsid w:val="00C656B1"/>
    <w:rsid w:val="00C66C72"/>
    <w:rsid w:val="00C73233"/>
    <w:rsid w:val="00C827A4"/>
    <w:rsid w:val="00C90A11"/>
    <w:rsid w:val="00C91E98"/>
    <w:rsid w:val="00C93135"/>
    <w:rsid w:val="00C95D04"/>
    <w:rsid w:val="00C97BBC"/>
    <w:rsid w:val="00CA0673"/>
    <w:rsid w:val="00CA1B2F"/>
    <w:rsid w:val="00CA215C"/>
    <w:rsid w:val="00CA2B05"/>
    <w:rsid w:val="00CA585E"/>
    <w:rsid w:val="00CA6D60"/>
    <w:rsid w:val="00CB190B"/>
    <w:rsid w:val="00CB269D"/>
    <w:rsid w:val="00CB4D40"/>
    <w:rsid w:val="00CB4F02"/>
    <w:rsid w:val="00CB50DF"/>
    <w:rsid w:val="00CB62D6"/>
    <w:rsid w:val="00CB7262"/>
    <w:rsid w:val="00CC0606"/>
    <w:rsid w:val="00CC087A"/>
    <w:rsid w:val="00CC240F"/>
    <w:rsid w:val="00CC34E6"/>
    <w:rsid w:val="00CC6B16"/>
    <w:rsid w:val="00CD2528"/>
    <w:rsid w:val="00CD2B2F"/>
    <w:rsid w:val="00CD5089"/>
    <w:rsid w:val="00CD5D16"/>
    <w:rsid w:val="00CD7A20"/>
    <w:rsid w:val="00CE1995"/>
    <w:rsid w:val="00CE1DB4"/>
    <w:rsid w:val="00CE2349"/>
    <w:rsid w:val="00CF40FD"/>
    <w:rsid w:val="00CF4D16"/>
    <w:rsid w:val="00CF60C2"/>
    <w:rsid w:val="00CF7571"/>
    <w:rsid w:val="00D00827"/>
    <w:rsid w:val="00D02802"/>
    <w:rsid w:val="00D02F5E"/>
    <w:rsid w:val="00D043A6"/>
    <w:rsid w:val="00D077FB"/>
    <w:rsid w:val="00D11146"/>
    <w:rsid w:val="00D12EEC"/>
    <w:rsid w:val="00D1364A"/>
    <w:rsid w:val="00D15FF7"/>
    <w:rsid w:val="00D2266F"/>
    <w:rsid w:val="00D22C8C"/>
    <w:rsid w:val="00D242B4"/>
    <w:rsid w:val="00D251D3"/>
    <w:rsid w:val="00D3109F"/>
    <w:rsid w:val="00D330FB"/>
    <w:rsid w:val="00D361E5"/>
    <w:rsid w:val="00D36583"/>
    <w:rsid w:val="00D36DDB"/>
    <w:rsid w:val="00D36EE9"/>
    <w:rsid w:val="00D37611"/>
    <w:rsid w:val="00D40F9E"/>
    <w:rsid w:val="00D44EB4"/>
    <w:rsid w:val="00D50F13"/>
    <w:rsid w:val="00D51D16"/>
    <w:rsid w:val="00D5206B"/>
    <w:rsid w:val="00D565D6"/>
    <w:rsid w:val="00D57B51"/>
    <w:rsid w:val="00D605F2"/>
    <w:rsid w:val="00D67839"/>
    <w:rsid w:val="00D67F83"/>
    <w:rsid w:val="00D71B21"/>
    <w:rsid w:val="00D75423"/>
    <w:rsid w:val="00D76A6E"/>
    <w:rsid w:val="00D7795D"/>
    <w:rsid w:val="00D8145B"/>
    <w:rsid w:val="00D842A8"/>
    <w:rsid w:val="00D86CEA"/>
    <w:rsid w:val="00D918A5"/>
    <w:rsid w:val="00D9214C"/>
    <w:rsid w:val="00D94569"/>
    <w:rsid w:val="00D96433"/>
    <w:rsid w:val="00DA08B0"/>
    <w:rsid w:val="00DA4463"/>
    <w:rsid w:val="00DA5DD0"/>
    <w:rsid w:val="00DA6297"/>
    <w:rsid w:val="00DB28D0"/>
    <w:rsid w:val="00DB484F"/>
    <w:rsid w:val="00DB5D4B"/>
    <w:rsid w:val="00DC5F94"/>
    <w:rsid w:val="00DD22C3"/>
    <w:rsid w:val="00DD2CBF"/>
    <w:rsid w:val="00DD5CA5"/>
    <w:rsid w:val="00DD6804"/>
    <w:rsid w:val="00DD7BFD"/>
    <w:rsid w:val="00DE0E15"/>
    <w:rsid w:val="00DE6050"/>
    <w:rsid w:val="00DF04DA"/>
    <w:rsid w:val="00DF0782"/>
    <w:rsid w:val="00E05273"/>
    <w:rsid w:val="00E13B26"/>
    <w:rsid w:val="00E13F88"/>
    <w:rsid w:val="00E153D1"/>
    <w:rsid w:val="00E16696"/>
    <w:rsid w:val="00E218A8"/>
    <w:rsid w:val="00E230FB"/>
    <w:rsid w:val="00E2321D"/>
    <w:rsid w:val="00E2395B"/>
    <w:rsid w:val="00E23FB3"/>
    <w:rsid w:val="00E244FD"/>
    <w:rsid w:val="00E2481E"/>
    <w:rsid w:val="00E249F4"/>
    <w:rsid w:val="00E27C0E"/>
    <w:rsid w:val="00E32002"/>
    <w:rsid w:val="00E324BE"/>
    <w:rsid w:val="00E40B61"/>
    <w:rsid w:val="00E47E98"/>
    <w:rsid w:val="00E501FC"/>
    <w:rsid w:val="00E51619"/>
    <w:rsid w:val="00E5175F"/>
    <w:rsid w:val="00E527ED"/>
    <w:rsid w:val="00E53274"/>
    <w:rsid w:val="00E538F5"/>
    <w:rsid w:val="00E54BAF"/>
    <w:rsid w:val="00E57A22"/>
    <w:rsid w:val="00E60C32"/>
    <w:rsid w:val="00E61F12"/>
    <w:rsid w:val="00E65472"/>
    <w:rsid w:val="00E660C6"/>
    <w:rsid w:val="00E725E6"/>
    <w:rsid w:val="00E73A00"/>
    <w:rsid w:val="00E856E5"/>
    <w:rsid w:val="00E87F86"/>
    <w:rsid w:val="00EA0A7D"/>
    <w:rsid w:val="00EA1369"/>
    <w:rsid w:val="00EA2337"/>
    <w:rsid w:val="00EB0DE3"/>
    <w:rsid w:val="00EB39B4"/>
    <w:rsid w:val="00EB3C26"/>
    <w:rsid w:val="00EB7E47"/>
    <w:rsid w:val="00EC1628"/>
    <w:rsid w:val="00EC1907"/>
    <w:rsid w:val="00EC366E"/>
    <w:rsid w:val="00EC5D68"/>
    <w:rsid w:val="00EC5EBC"/>
    <w:rsid w:val="00EC7C33"/>
    <w:rsid w:val="00ED1143"/>
    <w:rsid w:val="00ED5DBE"/>
    <w:rsid w:val="00EE1165"/>
    <w:rsid w:val="00EE3E70"/>
    <w:rsid w:val="00EE4965"/>
    <w:rsid w:val="00EE50D1"/>
    <w:rsid w:val="00EE6EAE"/>
    <w:rsid w:val="00EF4503"/>
    <w:rsid w:val="00EF4A8E"/>
    <w:rsid w:val="00F020A3"/>
    <w:rsid w:val="00F05276"/>
    <w:rsid w:val="00F07966"/>
    <w:rsid w:val="00F11988"/>
    <w:rsid w:val="00F12F3C"/>
    <w:rsid w:val="00F162AF"/>
    <w:rsid w:val="00F16358"/>
    <w:rsid w:val="00F165AF"/>
    <w:rsid w:val="00F23133"/>
    <w:rsid w:val="00F23E29"/>
    <w:rsid w:val="00F24127"/>
    <w:rsid w:val="00F272D8"/>
    <w:rsid w:val="00F30B0C"/>
    <w:rsid w:val="00F35887"/>
    <w:rsid w:val="00F42C6E"/>
    <w:rsid w:val="00F42D60"/>
    <w:rsid w:val="00F46407"/>
    <w:rsid w:val="00F50325"/>
    <w:rsid w:val="00F51627"/>
    <w:rsid w:val="00F51904"/>
    <w:rsid w:val="00F51C16"/>
    <w:rsid w:val="00F567A6"/>
    <w:rsid w:val="00F57B50"/>
    <w:rsid w:val="00F63DD9"/>
    <w:rsid w:val="00F661C7"/>
    <w:rsid w:val="00F67533"/>
    <w:rsid w:val="00F7046D"/>
    <w:rsid w:val="00F71A08"/>
    <w:rsid w:val="00F73E2E"/>
    <w:rsid w:val="00F762CB"/>
    <w:rsid w:val="00F87342"/>
    <w:rsid w:val="00F87F2D"/>
    <w:rsid w:val="00F90982"/>
    <w:rsid w:val="00F92C6C"/>
    <w:rsid w:val="00F97373"/>
    <w:rsid w:val="00FA3B7D"/>
    <w:rsid w:val="00FA3D37"/>
    <w:rsid w:val="00FA7462"/>
    <w:rsid w:val="00FB49FA"/>
    <w:rsid w:val="00FB5B38"/>
    <w:rsid w:val="00FB63F6"/>
    <w:rsid w:val="00FB7B5F"/>
    <w:rsid w:val="00FC0EF3"/>
    <w:rsid w:val="00FC558E"/>
    <w:rsid w:val="00FC6020"/>
    <w:rsid w:val="00FD1038"/>
    <w:rsid w:val="00FD3C2D"/>
    <w:rsid w:val="00FD47D7"/>
    <w:rsid w:val="00FD55AF"/>
    <w:rsid w:val="00FE0A3F"/>
    <w:rsid w:val="00FE2BD3"/>
    <w:rsid w:val="00FE3D6A"/>
    <w:rsid w:val="00FF0E7C"/>
    <w:rsid w:val="00FF1C29"/>
    <w:rsid w:val="00FF31FB"/>
    <w:rsid w:val="00FF3F27"/>
    <w:rsid w:val="00FF57D5"/>
    <w:rsid w:val="00FF7C8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6C2"/>
  </w:style>
  <w:style w:type="paragraph" w:styleId="Heading1">
    <w:name w:val="heading 1"/>
    <w:basedOn w:val="Normal"/>
    <w:next w:val="Normal"/>
    <w:link w:val="Heading1Char"/>
    <w:uiPriority w:val="9"/>
    <w:qFormat/>
    <w:rsid w:val="00677718"/>
    <w:pPr>
      <w:keepNext/>
      <w:keepLines/>
      <w:numPr>
        <w:numId w:val="2"/>
      </w:numPr>
      <w:spacing w:before="480" w:after="240"/>
      <w:ind w:left="714" w:hanging="357"/>
      <w:outlineLvl w:val="0"/>
    </w:pPr>
    <w:rPr>
      <w:rFonts w:eastAsiaTheme="majorEastAsia" w:cstheme="majorBidi"/>
      <w:b/>
      <w:bCs/>
    </w:rPr>
  </w:style>
  <w:style w:type="paragraph" w:styleId="Heading2">
    <w:name w:val="heading 2"/>
    <w:basedOn w:val="Normal"/>
    <w:next w:val="Normal"/>
    <w:link w:val="Heading2Char"/>
    <w:autoRedefine/>
    <w:uiPriority w:val="9"/>
    <w:unhideWhenUsed/>
    <w:qFormat/>
    <w:rsid w:val="00A17D2E"/>
    <w:pPr>
      <w:keepNext/>
      <w:keepLines/>
      <w:numPr>
        <w:ilvl w:val="1"/>
        <w:numId w:val="2"/>
      </w:numPr>
      <w:spacing w:before="200" w:after="240"/>
      <w:ind w:left="1077"/>
      <w:outlineLvl w:val="1"/>
    </w:pPr>
    <w:rPr>
      <w:rFonts w:eastAsiaTheme="majorEastAsia" w:cstheme="majorBidi"/>
      <w:b/>
      <w:bCs/>
      <w:sz w:val="24"/>
      <w:szCs w:val="26"/>
    </w:rPr>
  </w:style>
  <w:style w:type="paragraph" w:styleId="Heading4">
    <w:name w:val="heading 4"/>
    <w:basedOn w:val="Normal"/>
    <w:next w:val="Normal"/>
    <w:link w:val="Heading4Char"/>
    <w:uiPriority w:val="9"/>
    <w:semiHidden/>
    <w:unhideWhenUsed/>
    <w:qFormat/>
    <w:rsid w:val="0047611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722E"/>
    <w:pPr>
      <w:ind w:left="720"/>
      <w:contextualSpacing/>
    </w:pPr>
  </w:style>
  <w:style w:type="table" w:styleId="TableGrid">
    <w:name w:val="Table Grid"/>
    <w:basedOn w:val="TableNormal"/>
    <w:uiPriority w:val="59"/>
    <w:rsid w:val="004F32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F325F"/>
    <w:pPr>
      <w:widowControl w:val="0"/>
      <w:autoSpaceDE w:val="0"/>
      <w:autoSpaceDN w:val="0"/>
      <w:adjustRightInd w:val="0"/>
    </w:pPr>
    <w:rPr>
      <w:rFonts w:eastAsiaTheme="minorEastAsia"/>
      <w:color w:val="000000"/>
      <w:sz w:val="24"/>
      <w:szCs w:val="24"/>
      <w:lang w:eastAsia="lv-LV"/>
    </w:rPr>
  </w:style>
  <w:style w:type="character" w:customStyle="1" w:styleId="Heading1Char">
    <w:name w:val="Heading 1 Char"/>
    <w:basedOn w:val="DefaultParagraphFont"/>
    <w:link w:val="Heading1"/>
    <w:uiPriority w:val="9"/>
    <w:rsid w:val="00677718"/>
    <w:rPr>
      <w:rFonts w:eastAsiaTheme="majorEastAsia" w:cstheme="majorBidi"/>
      <w:b/>
      <w:bCs/>
    </w:rPr>
  </w:style>
  <w:style w:type="paragraph" w:styleId="TOCHeading">
    <w:name w:val="TOC Heading"/>
    <w:basedOn w:val="Heading1"/>
    <w:next w:val="Normal"/>
    <w:uiPriority w:val="39"/>
    <w:semiHidden/>
    <w:unhideWhenUsed/>
    <w:qFormat/>
    <w:rsid w:val="00952DAD"/>
    <w:pPr>
      <w:spacing w:line="276" w:lineRule="auto"/>
      <w:outlineLvl w:val="9"/>
    </w:pPr>
    <w:rPr>
      <w:lang w:val="en-US"/>
    </w:rPr>
  </w:style>
  <w:style w:type="paragraph" w:styleId="TOC2">
    <w:name w:val="toc 2"/>
    <w:basedOn w:val="Normal"/>
    <w:next w:val="Normal"/>
    <w:autoRedefine/>
    <w:uiPriority w:val="39"/>
    <w:unhideWhenUsed/>
    <w:qFormat/>
    <w:rsid w:val="00803939"/>
    <w:pPr>
      <w:spacing w:before="120"/>
      <w:ind w:left="280"/>
    </w:pPr>
    <w:rPr>
      <w:rFonts w:asciiTheme="minorHAnsi" w:hAnsiTheme="minorHAnsi"/>
      <w:i/>
      <w:iCs/>
      <w:sz w:val="20"/>
      <w:szCs w:val="20"/>
    </w:rPr>
  </w:style>
  <w:style w:type="paragraph" w:styleId="TOC1">
    <w:name w:val="toc 1"/>
    <w:basedOn w:val="Normal"/>
    <w:next w:val="Normal"/>
    <w:autoRedefine/>
    <w:uiPriority w:val="39"/>
    <w:unhideWhenUsed/>
    <w:qFormat/>
    <w:rsid w:val="00677718"/>
    <w:pPr>
      <w:tabs>
        <w:tab w:val="left" w:pos="560"/>
        <w:tab w:val="right" w:pos="9061"/>
      </w:tabs>
      <w:spacing w:before="240" w:after="120"/>
    </w:pPr>
    <w:rPr>
      <w:rFonts w:asciiTheme="minorHAnsi" w:hAnsiTheme="minorHAnsi"/>
      <w:b/>
      <w:bCs/>
      <w:sz w:val="20"/>
      <w:szCs w:val="20"/>
    </w:rPr>
  </w:style>
  <w:style w:type="paragraph" w:styleId="TOC3">
    <w:name w:val="toc 3"/>
    <w:basedOn w:val="Normal"/>
    <w:next w:val="Normal"/>
    <w:autoRedefine/>
    <w:uiPriority w:val="39"/>
    <w:unhideWhenUsed/>
    <w:qFormat/>
    <w:rsid w:val="00803939"/>
    <w:pPr>
      <w:ind w:left="560"/>
    </w:pPr>
    <w:rPr>
      <w:rFonts w:asciiTheme="minorHAnsi" w:hAnsiTheme="minorHAnsi"/>
      <w:sz w:val="20"/>
      <w:szCs w:val="20"/>
    </w:rPr>
  </w:style>
  <w:style w:type="paragraph" w:styleId="BalloonText">
    <w:name w:val="Balloon Text"/>
    <w:basedOn w:val="Normal"/>
    <w:link w:val="BalloonTextChar"/>
    <w:uiPriority w:val="99"/>
    <w:semiHidden/>
    <w:unhideWhenUsed/>
    <w:rsid w:val="00952DAD"/>
    <w:rPr>
      <w:rFonts w:ascii="Tahoma" w:hAnsi="Tahoma" w:cs="Tahoma"/>
      <w:sz w:val="16"/>
      <w:szCs w:val="16"/>
    </w:rPr>
  </w:style>
  <w:style w:type="character" w:customStyle="1" w:styleId="BalloonTextChar">
    <w:name w:val="Balloon Text Char"/>
    <w:basedOn w:val="DefaultParagraphFont"/>
    <w:link w:val="BalloonText"/>
    <w:uiPriority w:val="99"/>
    <w:semiHidden/>
    <w:rsid w:val="00952DAD"/>
    <w:rPr>
      <w:rFonts w:ascii="Tahoma" w:hAnsi="Tahoma" w:cs="Tahoma"/>
      <w:sz w:val="16"/>
      <w:szCs w:val="16"/>
    </w:rPr>
  </w:style>
  <w:style w:type="paragraph" w:styleId="TOC4">
    <w:name w:val="toc 4"/>
    <w:basedOn w:val="Normal"/>
    <w:next w:val="Normal"/>
    <w:autoRedefine/>
    <w:uiPriority w:val="39"/>
    <w:unhideWhenUsed/>
    <w:rsid w:val="00803939"/>
    <w:pPr>
      <w:ind w:left="840"/>
    </w:pPr>
    <w:rPr>
      <w:rFonts w:asciiTheme="minorHAnsi" w:hAnsiTheme="minorHAnsi"/>
      <w:sz w:val="20"/>
      <w:szCs w:val="20"/>
    </w:rPr>
  </w:style>
  <w:style w:type="paragraph" w:styleId="TOC5">
    <w:name w:val="toc 5"/>
    <w:basedOn w:val="Normal"/>
    <w:next w:val="Normal"/>
    <w:autoRedefine/>
    <w:uiPriority w:val="39"/>
    <w:unhideWhenUsed/>
    <w:rsid w:val="007142FF"/>
    <w:pPr>
      <w:ind w:left="1120"/>
    </w:pPr>
    <w:rPr>
      <w:rFonts w:asciiTheme="minorHAnsi" w:hAnsiTheme="minorHAnsi"/>
      <w:sz w:val="20"/>
      <w:szCs w:val="20"/>
    </w:rPr>
  </w:style>
  <w:style w:type="paragraph" w:styleId="TOC6">
    <w:name w:val="toc 6"/>
    <w:basedOn w:val="Normal"/>
    <w:next w:val="Normal"/>
    <w:autoRedefine/>
    <w:uiPriority w:val="39"/>
    <w:unhideWhenUsed/>
    <w:rsid w:val="00952DAD"/>
    <w:pPr>
      <w:ind w:left="1400"/>
    </w:pPr>
    <w:rPr>
      <w:rFonts w:asciiTheme="minorHAnsi" w:hAnsiTheme="minorHAnsi"/>
      <w:sz w:val="20"/>
      <w:szCs w:val="20"/>
    </w:rPr>
  </w:style>
  <w:style w:type="paragraph" w:styleId="TOC7">
    <w:name w:val="toc 7"/>
    <w:basedOn w:val="Normal"/>
    <w:next w:val="Normal"/>
    <w:autoRedefine/>
    <w:uiPriority w:val="39"/>
    <w:unhideWhenUsed/>
    <w:rsid w:val="00952DAD"/>
    <w:pPr>
      <w:ind w:left="1680"/>
    </w:pPr>
    <w:rPr>
      <w:rFonts w:asciiTheme="minorHAnsi" w:hAnsiTheme="minorHAnsi"/>
      <w:sz w:val="20"/>
      <w:szCs w:val="20"/>
    </w:rPr>
  </w:style>
  <w:style w:type="paragraph" w:styleId="TOC8">
    <w:name w:val="toc 8"/>
    <w:basedOn w:val="Normal"/>
    <w:next w:val="Normal"/>
    <w:autoRedefine/>
    <w:uiPriority w:val="39"/>
    <w:unhideWhenUsed/>
    <w:rsid w:val="00952DAD"/>
    <w:pPr>
      <w:ind w:left="1960"/>
    </w:pPr>
    <w:rPr>
      <w:rFonts w:asciiTheme="minorHAnsi" w:hAnsiTheme="minorHAnsi"/>
      <w:sz w:val="20"/>
      <w:szCs w:val="20"/>
    </w:rPr>
  </w:style>
  <w:style w:type="paragraph" w:styleId="TOC9">
    <w:name w:val="toc 9"/>
    <w:basedOn w:val="Normal"/>
    <w:next w:val="Normal"/>
    <w:autoRedefine/>
    <w:uiPriority w:val="39"/>
    <w:unhideWhenUsed/>
    <w:rsid w:val="00952DAD"/>
    <w:pPr>
      <w:ind w:left="2240"/>
    </w:pPr>
    <w:rPr>
      <w:rFonts w:asciiTheme="minorHAnsi" w:hAnsiTheme="minorHAnsi"/>
      <w:sz w:val="20"/>
      <w:szCs w:val="20"/>
    </w:rPr>
  </w:style>
  <w:style w:type="paragraph" w:styleId="Title">
    <w:name w:val="Title"/>
    <w:basedOn w:val="Normal"/>
    <w:next w:val="Normal"/>
    <w:link w:val="TitleChar"/>
    <w:autoRedefine/>
    <w:uiPriority w:val="10"/>
    <w:qFormat/>
    <w:rsid w:val="00C656B1"/>
    <w:pPr>
      <w:spacing w:after="300"/>
      <w:contextualSpacing/>
      <w:jc w:val="center"/>
    </w:pPr>
    <w:rPr>
      <w:rFonts w:eastAsiaTheme="majorEastAsia" w:cstheme="majorBidi"/>
      <w:b/>
      <w:spacing w:val="5"/>
      <w:kern w:val="28"/>
      <w:sz w:val="32"/>
      <w:szCs w:val="52"/>
    </w:rPr>
  </w:style>
  <w:style w:type="character" w:customStyle="1" w:styleId="TitleChar">
    <w:name w:val="Title Char"/>
    <w:basedOn w:val="DefaultParagraphFont"/>
    <w:link w:val="Title"/>
    <w:uiPriority w:val="10"/>
    <w:rsid w:val="00C656B1"/>
    <w:rPr>
      <w:rFonts w:eastAsiaTheme="majorEastAsia" w:cstheme="majorBidi"/>
      <w:b/>
      <w:spacing w:val="5"/>
      <w:kern w:val="28"/>
      <w:sz w:val="32"/>
      <w:szCs w:val="52"/>
    </w:rPr>
  </w:style>
  <w:style w:type="character" w:customStyle="1" w:styleId="Heading2Char">
    <w:name w:val="Heading 2 Char"/>
    <w:basedOn w:val="DefaultParagraphFont"/>
    <w:link w:val="Heading2"/>
    <w:uiPriority w:val="9"/>
    <w:rsid w:val="00A17D2E"/>
    <w:rPr>
      <w:rFonts w:eastAsiaTheme="majorEastAsia" w:cstheme="majorBidi"/>
      <w:b/>
      <w:bCs/>
      <w:sz w:val="24"/>
      <w:szCs w:val="26"/>
    </w:rPr>
  </w:style>
  <w:style w:type="character" w:styleId="Hyperlink">
    <w:name w:val="Hyperlink"/>
    <w:basedOn w:val="DefaultParagraphFont"/>
    <w:uiPriority w:val="99"/>
    <w:unhideWhenUsed/>
    <w:rsid w:val="0080225B"/>
    <w:rPr>
      <w:color w:val="0000FF" w:themeColor="hyperlink"/>
      <w:u w:val="single"/>
    </w:rPr>
  </w:style>
  <w:style w:type="character" w:customStyle="1" w:styleId="FootnoteTextChar">
    <w:name w:val="Footnote Text Char"/>
    <w:aliases w:val="Footnote Char,Fußnote Char"/>
    <w:basedOn w:val="DefaultParagraphFont"/>
    <w:link w:val="FootnoteText"/>
    <w:uiPriority w:val="99"/>
    <w:rsid w:val="003C7DD5"/>
    <w:rPr>
      <w:rFonts w:ascii="Calibri" w:eastAsia="Calibri" w:hAnsi="Calibri"/>
      <w:sz w:val="20"/>
      <w:szCs w:val="20"/>
      <w:lang w:eastAsia="lv-LV"/>
    </w:rPr>
  </w:style>
  <w:style w:type="paragraph" w:styleId="FootnoteText">
    <w:name w:val="footnote text"/>
    <w:aliases w:val="Footnote,Fußnote"/>
    <w:basedOn w:val="Normal"/>
    <w:link w:val="FootnoteTextChar"/>
    <w:uiPriority w:val="99"/>
    <w:unhideWhenUsed/>
    <w:rsid w:val="003C7DD5"/>
    <w:pPr>
      <w:spacing w:after="120"/>
      <w:ind w:firstLine="709"/>
      <w:jc w:val="both"/>
    </w:pPr>
    <w:rPr>
      <w:rFonts w:ascii="Calibri" w:eastAsia="Calibri" w:hAnsi="Calibri"/>
      <w:sz w:val="20"/>
      <w:szCs w:val="20"/>
      <w:lang w:eastAsia="lv-LV"/>
    </w:rPr>
  </w:style>
  <w:style w:type="character" w:customStyle="1" w:styleId="FootnoteTextChar1">
    <w:name w:val="Footnote Text Char1"/>
    <w:basedOn w:val="DefaultParagraphFont"/>
    <w:uiPriority w:val="99"/>
    <w:semiHidden/>
    <w:rsid w:val="003C7DD5"/>
    <w:rPr>
      <w:sz w:val="20"/>
      <w:szCs w:val="20"/>
    </w:rPr>
  </w:style>
  <w:style w:type="paragraph" w:styleId="Caption">
    <w:name w:val="caption"/>
    <w:basedOn w:val="Normal"/>
    <w:next w:val="Normal"/>
    <w:unhideWhenUsed/>
    <w:qFormat/>
    <w:rsid w:val="003C7DD5"/>
    <w:pPr>
      <w:spacing w:after="240"/>
      <w:jc w:val="both"/>
    </w:pPr>
    <w:rPr>
      <w:rFonts w:eastAsia="Calibri"/>
      <w:bCs/>
      <w:sz w:val="24"/>
      <w:szCs w:val="18"/>
    </w:rPr>
  </w:style>
  <w:style w:type="character" w:styleId="FootnoteReference">
    <w:name w:val="footnote reference"/>
    <w:aliases w:val="Footnote Reference Number,SUPERS"/>
    <w:basedOn w:val="DefaultParagraphFont"/>
    <w:uiPriority w:val="99"/>
    <w:unhideWhenUsed/>
    <w:rsid w:val="003C7DD5"/>
    <w:rPr>
      <w:vertAlign w:val="superscript"/>
    </w:rPr>
  </w:style>
  <w:style w:type="paragraph" w:styleId="EndnoteText">
    <w:name w:val="endnote text"/>
    <w:basedOn w:val="Normal"/>
    <w:link w:val="EndnoteTextChar"/>
    <w:uiPriority w:val="99"/>
    <w:semiHidden/>
    <w:unhideWhenUsed/>
    <w:rsid w:val="003C7DD5"/>
    <w:pPr>
      <w:ind w:firstLine="709"/>
      <w:jc w:val="both"/>
    </w:pPr>
    <w:rPr>
      <w:rFonts w:eastAsia="Calibri"/>
      <w:color w:val="000000"/>
      <w:sz w:val="20"/>
      <w:szCs w:val="20"/>
    </w:rPr>
  </w:style>
  <w:style w:type="character" w:customStyle="1" w:styleId="EndnoteTextChar">
    <w:name w:val="Endnote Text Char"/>
    <w:basedOn w:val="DefaultParagraphFont"/>
    <w:link w:val="EndnoteText"/>
    <w:uiPriority w:val="99"/>
    <w:semiHidden/>
    <w:rsid w:val="003C7DD5"/>
    <w:rPr>
      <w:rFonts w:eastAsia="Calibri"/>
      <w:color w:val="000000"/>
      <w:sz w:val="20"/>
      <w:szCs w:val="20"/>
    </w:rPr>
  </w:style>
  <w:style w:type="character" w:styleId="EndnoteReference">
    <w:name w:val="endnote reference"/>
    <w:basedOn w:val="DefaultParagraphFont"/>
    <w:uiPriority w:val="99"/>
    <w:semiHidden/>
    <w:unhideWhenUsed/>
    <w:rsid w:val="003C7DD5"/>
    <w:rPr>
      <w:vertAlign w:val="superscript"/>
    </w:rPr>
  </w:style>
  <w:style w:type="character" w:customStyle="1" w:styleId="apple-converted-space">
    <w:name w:val="apple-converted-space"/>
    <w:basedOn w:val="DefaultParagraphFont"/>
    <w:rsid w:val="003C7DD5"/>
  </w:style>
  <w:style w:type="paragraph" w:styleId="Header">
    <w:name w:val="header"/>
    <w:basedOn w:val="Normal"/>
    <w:link w:val="HeaderChar"/>
    <w:uiPriority w:val="99"/>
    <w:unhideWhenUsed/>
    <w:rsid w:val="00C66C72"/>
    <w:pPr>
      <w:tabs>
        <w:tab w:val="center" w:pos="4153"/>
        <w:tab w:val="right" w:pos="8306"/>
      </w:tabs>
    </w:pPr>
  </w:style>
  <w:style w:type="character" w:customStyle="1" w:styleId="HeaderChar">
    <w:name w:val="Header Char"/>
    <w:basedOn w:val="DefaultParagraphFont"/>
    <w:link w:val="Header"/>
    <w:uiPriority w:val="99"/>
    <w:rsid w:val="00C66C72"/>
  </w:style>
  <w:style w:type="paragraph" w:styleId="Footer">
    <w:name w:val="footer"/>
    <w:basedOn w:val="Normal"/>
    <w:link w:val="FooterChar"/>
    <w:unhideWhenUsed/>
    <w:rsid w:val="00C66C72"/>
    <w:pPr>
      <w:tabs>
        <w:tab w:val="center" w:pos="4153"/>
        <w:tab w:val="right" w:pos="8306"/>
      </w:tabs>
    </w:pPr>
  </w:style>
  <w:style w:type="character" w:customStyle="1" w:styleId="FooterChar">
    <w:name w:val="Footer Char"/>
    <w:basedOn w:val="DefaultParagraphFont"/>
    <w:link w:val="Footer"/>
    <w:uiPriority w:val="99"/>
    <w:rsid w:val="00C66C72"/>
  </w:style>
  <w:style w:type="paragraph" w:styleId="BodyText">
    <w:name w:val="Body Text"/>
    <w:aliases w:val=" Rakstz."/>
    <w:basedOn w:val="Normal"/>
    <w:link w:val="BodyTextChar"/>
    <w:rsid w:val="008907CE"/>
    <w:pPr>
      <w:spacing w:after="120"/>
    </w:pPr>
    <w:rPr>
      <w:rFonts w:eastAsia="Times New Roman"/>
      <w:sz w:val="24"/>
      <w:szCs w:val="24"/>
    </w:rPr>
  </w:style>
  <w:style w:type="character" w:customStyle="1" w:styleId="BodyTextChar">
    <w:name w:val="Body Text Char"/>
    <w:aliases w:val=" Rakstz. Char"/>
    <w:basedOn w:val="DefaultParagraphFont"/>
    <w:link w:val="BodyText"/>
    <w:rsid w:val="008907CE"/>
    <w:rPr>
      <w:rFonts w:eastAsia="Times New Roman"/>
      <w:sz w:val="24"/>
      <w:szCs w:val="24"/>
    </w:rPr>
  </w:style>
  <w:style w:type="paragraph" w:styleId="NormalWeb">
    <w:name w:val="Normal (Web)"/>
    <w:basedOn w:val="Normal"/>
    <w:uiPriority w:val="99"/>
    <w:semiHidden/>
    <w:unhideWhenUsed/>
    <w:rsid w:val="00A73BC7"/>
    <w:pPr>
      <w:spacing w:before="100" w:beforeAutospacing="1" w:after="100" w:afterAutospacing="1"/>
    </w:pPr>
    <w:rPr>
      <w:rFonts w:eastAsia="Times New Roman"/>
      <w:sz w:val="24"/>
      <w:szCs w:val="24"/>
      <w:lang w:eastAsia="lv-LV"/>
    </w:rPr>
  </w:style>
  <w:style w:type="paragraph" w:styleId="EnvelopeReturn">
    <w:name w:val="envelope return"/>
    <w:basedOn w:val="Normal"/>
    <w:uiPriority w:val="99"/>
    <w:semiHidden/>
    <w:unhideWhenUsed/>
    <w:rsid w:val="00D36EE9"/>
    <w:pPr>
      <w:spacing w:before="600"/>
    </w:pPr>
    <w:rPr>
      <w:sz w:val="26"/>
      <w:szCs w:val="26"/>
      <w:lang w:eastAsia="lv-LV"/>
    </w:rPr>
  </w:style>
  <w:style w:type="paragraph" w:customStyle="1" w:styleId="Tabletext">
    <w:name w:val="Table text"/>
    <w:basedOn w:val="Normal"/>
    <w:uiPriority w:val="99"/>
    <w:rsid w:val="0024122B"/>
    <w:pPr>
      <w:tabs>
        <w:tab w:val="right" w:pos="8504"/>
      </w:tabs>
      <w:spacing w:before="40" w:after="40" w:line="288" w:lineRule="auto"/>
      <w:jc w:val="both"/>
    </w:pPr>
    <w:rPr>
      <w:rFonts w:ascii="Arial" w:eastAsia="Times New Roman" w:hAnsi="Arial"/>
      <w:sz w:val="18"/>
      <w:szCs w:val="20"/>
      <w:lang w:val="de-DE" w:eastAsia="de-DE"/>
    </w:rPr>
  </w:style>
  <w:style w:type="character" w:styleId="Strong">
    <w:name w:val="Strong"/>
    <w:basedOn w:val="DefaultParagraphFont"/>
    <w:uiPriority w:val="22"/>
    <w:qFormat/>
    <w:rsid w:val="0024122B"/>
    <w:rPr>
      <w:b/>
      <w:bCs/>
    </w:rPr>
  </w:style>
  <w:style w:type="character" w:customStyle="1" w:styleId="Heading4Char">
    <w:name w:val="Heading 4 Char"/>
    <w:basedOn w:val="DefaultParagraphFont"/>
    <w:link w:val="Heading4"/>
    <w:uiPriority w:val="9"/>
    <w:semiHidden/>
    <w:rsid w:val="0047611C"/>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055CB0"/>
    <w:rPr>
      <w:i/>
      <w:iCs/>
    </w:rPr>
  </w:style>
  <w:style w:type="paragraph" w:customStyle="1" w:styleId="naisf">
    <w:name w:val="naisf"/>
    <w:basedOn w:val="Normal"/>
    <w:rsid w:val="006E3320"/>
    <w:pPr>
      <w:spacing w:before="75" w:after="75"/>
      <w:ind w:firstLine="375"/>
      <w:jc w:val="both"/>
    </w:pPr>
    <w:rPr>
      <w:rFonts w:eastAsia="Times New Roman"/>
      <w:sz w:val="24"/>
      <w:szCs w:val="24"/>
      <w:lang w:eastAsia="lv-LV"/>
    </w:rPr>
  </w:style>
  <w:style w:type="character" w:styleId="CommentReference">
    <w:name w:val="annotation reference"/>
    <w:basedOn w:val="DefaultParagraphFont"/>
    <w:uiPriority w:val="99"/>
    <w:semiHidden/>
    <w:unhideWhenUsed/>
    <w:rsid w:val="00A7502C"/>
    <w:rPr>
      <w:sz w:val="16"/>
      <w:szCs w:val="16"/>
    </w:rPr>
  </w:style>
  <w:style w:type="paragraph" w:styleId="CommentText">
    <w:name w:val="annotation text"/>
    <w:basedOn w:val="Normal"/>
    <w:link w:val="CommentTextChar"/>
    <w:uiPriority w:val="99"/>
    <w:semiHidden/>
    <w:unhideWhenUsed/>
    <w:rsid w:val="00A7502C"/>
    <w:rPr>
      <w:sz w:val="20"/>
      <w:szCs w:val="20"/>
    </w:rPr>
  </w:style>
  <w:style w:type="character" w:customStyle="1" w:styleId="CommentTextChar">
    <w:name w:val="Comment Text Char"/>
    <w:basedOn w:val="DefaultParagraphFont"/>
    <w:link w:val="CommentText"/>
    <w:uiPriority w:val="99"/>
    <w:semiHidden/>
    <w:rsid w:val="00A7502C"/>
    <w:rPr>
      <w:sz w:val="20"/>
      <w:szCs w:val="20"/>
    </w:rPr>
  </w:style>
  <w:style w:type="paragraph" w:styleId="CommentSubject">
    <w:name w:val="annotation subject"/>
    <w:basedOn w:val="CommentText"/>
    <w:next w:val="CommentText"/>
    <w:link w:val="CommentSubjectChar"/>
    <w:uiPriority w:val="99"/>
    <w:semiHidden/>
    <w:unhideWhenUsed/>
    <w:rsid w:val="00A335DF"/>
    <w:rPr>
      <w:b/>
      <w:bCs/>
    </w:rPr>
  </w:style>
  <w:style w:type="character" w:customStyle="1" w:styleId="CommentSubjectChar">
    <w:name w:val="Comment Subject Char"/>
    <w:basedOn w:val="CommentTextChar"/>
    <w:link w:val="CommentSubject"/>
    <w:uiPriority w:val="99"/>
    <w:semiHidden/>
    <w:rsid w:val="00A335DF"/>
    <w:rPr>
      <w:b/>
      <w:bCs/>
      <w:sz w:val="20"/>
      <w:szCs w:val="20"/>
    </w:rPr>
  </w:style>
  <w:style w:type="paragraph" w:customStyle="1" w:styleId="Subtitle1">
    <w:name w:val="Subtitle1"/>
    <w:basedOn w:val="Heading2"/>
    <w:link w:val="Subtitle1Char"/>
    <w:qFormat/>
    <w:rsid w:val="00A17D2E"/>
    <w:pPr>
      <w:numPr>
        <w:ilvl w:val="0"/>
        <w:numId w:val="0"/>
      </w:numPr>
      <w:ind w:firstLine="720"/>
    </w:pPr>
    <w:rPr>
      <w:i/>
    </w:rPr>
  </w:style>
  <w:style w:type="character" w:customStyle="1" w:styleId="Subtitle1Char">
    <w:name w:val="Subtitle1 Char"/>
    <w:basedOn w:val="Heading2Char"/>
    <w:link w:val="Subtitle1"/>
    <w:rsid w:val="00A17D2E"/>
    <w:rPr>
      <w:rFonts w:eastAsiaTheme="majorEastAsia" w:cstheme="majorBidi"/>
      <w:b/>
      <w:bCs/>
      <w:i/>
      <w:sz w:val="24"/>
      <w:szCs w:val="26"/>
    </w:rPr>
  </w:style>
  <w:style w:type="paragraph" w:customStyle="1" w:styleId="CM4">
    <w:name w:val="CM4"/>
    <w:basedOn w:val="Normal"/>
    <w:next w:val="Normal"/>
    <w:uiPriority w:val="99"/>
    <w:rsid w:val="00CB190B"/>
    <w:pPr>
      <w:autoSpaceDE w:val="0"/>
      <w:autoSpaceDN w:val="0"/>
      <w:adjustRightInd w:val="0"/>
    </w:pPr>
    <w:rPr>
      <w:rFonts w:ascii="EUAlbertina" w:hAnsi="EUAlbertina" w:cstheme="minorBidi"/>
      <w:sz w:val="24"/>
      <w:szCs w:val="24"/>
    </w:rPr>
  </w:style>
  <w:style w:type="paragraph" w:customStyle="1" w:styleId="CM1">
    <w:name w:val="CM1"/>
    <w:basedOn w:val="Default"/>
    <w:next w:val="Default"/>
    <w:uiPriority w:val="99"/>
    <w:rsid w:val="00CE1DB4"/>
    <w:pPr>
      <w:widowControl/>
    </w:pPr>
    <w:rPr>
      <w:rFonts w:ascii="EUAlbertina" w:eastAsiaTheme="minorHAnsi" w:hAnsi="EUAlbertina" w:cstheme="minorBidi"/>
      <w:color w:val="auto"/>
      <w:lang w:eastAsia="en-US"/>
    </w:rPr>
  </w:style>
  <w:style w:type="paragraph" w:customStyle="1" w:styleId="tv213">
    <w:name w:val="tv213"/>
    <w:basedOn w:val="Normal"/>
    <w:rsid w:val="00B31DFA"/>
    <w:pPr>
      <w:spacing w:before="100" w:beforeAutospacing="1" w:after="100" w:afterAutospacing="1"/>
    </w:pPr>
    <w:rPr>
      <w:rFonts w:eastAsia="Times New Roman"/>
      <w:sz w:val="24"/>
      <w:szCs w:val="24"/>
      <w:lang w:eastAsia="lv-LV"/>
    </w:rPr>
  </w:style>
  <w:style w:type="paragraph" w:styleId="Revision">
    <w:name w:val="Revision"/>
    <w:hidden/>
    <w:uiPriority w:val="99"/>
    <w:semiHidden/>
    <w:rsid w:val="004550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6C2"/>
  </w:style>
  <w:style w:type="paragraph" w:styleId="Heading1">
    <w:name w:val="heading 1"/>
    <w:basedOn w:val="Normal"/>
    <w:next w:val="Normal"/>
    <w:link w:val="Heading1Char"/>
    <w:uiPriority w:val="9"/>
    <w:qFormat/>
    <w:rsid w:val="00677718"/>
    <w:pPr>
      <w:keepNext/>
      <w:keepLines/>
      <w:numPr>
        <w:numId w:val="2"/>
      </w:numPr>
      <w:spacing w:before="480" w:after="240"/>
      <w:ind w:left="714" w:hanging="357"/>
      <w:outlineLvl w:val="0"/>
    </w:pPr>
    <w:rPr>
      <w:rFonts w:eastAsiaTheme="majorEastAsia" w:cstheme="majorBidi"/>
      <w:b/>
      <w:bCs/>
    </w:rPr>
  </w:style>
  <w:style w:type="paragraph" w:styleId="Heading2">
    <w:name w:val="heading 2"/>
    <w:basedOn w:val="Normal"/>
    <w:next w:val="Normal"/>
    <w:link w:val="Heading2Char"/>
    <w:autoRedefine/>
    <w:uiPriority w:val="9"/>
    <w:unhideWhenUsed/>
    <w:qFormat/>
    <w:rsid w:val="00A17D2E"/>
    <w:pPr>
      <w:keepNext/>
      <w:keepLines/>
      <w:numPr>
        <w:ilvl w:val="1"/>
        <w:numId w:val="2"/>
      </w:numPr>
      <w:spacing w:before="200" w:after="240"/>
      <w:ind w:left="1077"/>
      <w:outlineLvl w:val="1"/>
    </w:pPr>
    <w:rPr>
      <w:rFonts w:eastAsiaTheme="majorEastAsia" w:cstheme="majorBidi"/>
      <w:b/>
      <w:bCs/>
      <w:sz w:val="24"/>
      <w:szCs w:val="26"/>
    </w:rPr>
  </w:style>
  <w:style w:type="paragraph" w:styleId="Heading4">
    <w:name w:val="heading 4"/>
    <w:basedOn w:val="Normal"/>
    <w:next w:val="Normal"/>
    <w:link w:val="Heading4Char"/>
    <w:uiPriority w:val="9"/>
    <w:semiHidden/>
    <w:unhideWhenUsed/>
    <w:qFormat/>
    <w:rsid w:val="0047611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722E"/>
    <w:pPr>
      <w:ind w:left="720"/>
      <w:contextualSpacing/>
    </w:pPr>
  </w:style>
  <w:style w:type="table" w:styleId="TableGrid">
    <w:name w:val="Table Grid"/>
    <w:basedOn w:val="TableNormal"/>
    <w:uiPriority w:val="59"/>
    <w:rsid w:val="004F32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F325F"/>
    <w:pPr>
      <w:widowControl w:val="0"/>
      <w:autoSpaceDE w:val="0"/>
      <w:autoSpaceDN w:val="0"/>
      <w:adjustRightInd w:val="0"/>
    </w:pPr>
    <w:rPr>
      <w:rFonts w:eastAsiaTheme="minorEastAsia"/>
      <w:color w:val="000000"/>
      <w:sz w:val="24"/>
      <w:szCs w:val="24"/>
      <w:lang w:eastAsia="lv-LV"/>
    </w:rPr>
  </w:style>
  <w:style w:type="character" w:customStyle="1" w:styleId="Heading1Char">
    <w:name w:val="Heading 1 Char"/>
    <w:basedOn w:val="DefaultParagraphFont"/>
    <w:link w:val="Heading1"/>
    <w:uiPriority w:val="9"/>
    <w:rsid w:val="00677718"/>
    <w:rPr>
      <w:rFonts w:eastAsiaTheme="majorEastAsia" w:cstheme="majorBidi"/>
      <w:b/>
      <w:bCs/>
    </w:rPr>
  </w:style>
  <w:style w:type="paragraph" w:styleId="TOCHeading">
    <w:name w:val="TOC Heading"/>
    <w:basedOn w:val="Heading1"/>
    <w:next w:val="Normal"/>
    <w:uiPriority w:val="39"/>
    <w:semiHidden/>
    <w:unhideWhenUsed/>
    <w:qFormat/>
    <w:rsid w:val="00952DAD"/>
    <w:pPr>
      <w:spacing w:line="276" w:lineRule="auto"/>
      <w:outlineLvl w:val="9"/>
    </w:pPr>
    <w:rPr>
      <w:lang w:val="en-US"/>
    </w:rPr>
  </w:style>
  <w:style w:type="paragraph" w:styleId="TOC2">
    <w:name w:val="toc 2"/>
    <w:basedOn w:val="Normal"/>
    <w:next w:val="Normal"/>
    <w:autoRedefine/>
    <w:uiPriority w:val="39"/>
    <w:unhideWhenUsed/>
    <w:qFormat/>
    <w:rsid w:val="00803939"/>
    <w:pPr>
      <w:spacing w:before="120"/>
      <w:ind w:left="280"/>
    </w:pPr>
    <w:rPr>
      <w:rFonts w:asciiTheme="minorHAnsi" w:hAnsiTheme="minorHAnsi"/>
      <w:i/>
      <w:iCs/>
      <w:sz w:val="20"/>
      <w:szCs w:val="20"/>
    </w:rPr>
  </w:style>
  <w:style w:type="paragraph" w:styleId="TOC1">
    <w:name w:val="toc 1"/>
    <w:basedOn w:val="Normal"/>
    <w:next w:val="Normal"/>
    <w:autoRedefine/>
    <w:uiPriority w:val="39"/>
    <w:unhideWhenUsed/>
    <w:qFormat/>
    <w:rsid w:val="00677718"/>
    <w:pPr>
      <w:tabs>
        <w:tab w:val="left" w:pos="560"/>
        <w:tab w:val="right" w:pos="9061"/>
      </w:tabs>
      <w:spacing w:before="240" w:after="120"/>
    </w:pPr>
    <w:rPr>
      <w:rFonts w:asciiTheme="minorHAnsi" w:hAnsiTheme="minorHAnsi"/>
      <w:b/>
      <w:bCs/>
      <w:sz w:val="20"/>
      <w:szCs w:val="20"/>
    </w:rPr>
  </w:style>
  <w:style w:type="paragraph" w:styleId="TOC3">
    <w:name w:val="toc 3"/>
    <w:basedOn w:val="Normal"/>
    <w:next w:val="Normal"/>
    <w:autoRedefine/>
    <w:uiPriority w:val="39"/>
    <w:unhideWhenUsed/>
    <w:qFormat/>
    <w:rsid w:val="00803939"/>
    <w:pPr>
      <w:ind w:left="560"/>
    </w:pPr>
    <w:rPr>
      <w:rFonts w:asciiTheme="minorHAnsi" w:hAnsiTheme="minorHAnsi"/>
      <w:sz w:val="20"/>
      <w:szCs w:val="20"/>
    </w:rPr>
  </w:style>
  <w:style w:type="paragraph" w:styleId="BalloonText">
    <w:name w:val="Balloon Text"/>
    <w:basedOn w:val="Normal"/>
    <w:link w:val="BalloonTextChar"/>
    <w:uiPriority w:val="99"/>
    <w:semiHidden/>
    <w:unhideWhenUsed/>
    <w:rsid w:val="00952DAD"/>
    <w:rPr>
      <w:rFonts w:ascii="Tahoma" w:hAnsi="Tahoma" w:cs="Tahoma"/>
      <w:sz w:val="16"/>
      <w:szCs w:val="16"/>
    </w:rPr>
  </w:style>
  <w:style w:type="character" w:customStyle="1" w:styleId="BalloonTextChar">
    <w:name w:val="Balloon Text Char"/>
    <w:basedOn w:val="DefaultParagraphFont"/>
    <w:link w:val="BalloonText"/>
    <w:uiPriority w:val="99"/>
    <w:semiHidden/>
    <w:rsid w:val="00952DAD"/>
    <w:rPr>
      <w:rFonts w:ascii="Tahoma" w:hAnsi="Tahoma" w:cs="Tahoma"/>
      <w:sz w:val="16"/>
      <w:szCs w:val="16"/>
    </w:rPr>
  </w:style>
  <w:style w:type="paragraph" w:styleId="TOC4">
    <w:name w:val="toc 4"/>
    <w:basedOn w:val="Normal"/>
    <w:next w:val="Normal"/>
    <w:autoRedefine/>
    <w:uiPriority w:val="39"/>
    <w:unhideWhenUsed/>
    <w:rsid w:val="00803939"/>
    <w:pPr>
      <w:ind w:left="840"/>
    </w:pPr>
    <w:rPr>
      <w:rFonts w:asciiTheme="minorHAnsi" w:hAnsiTheme="minorHAnsi"/>
      <w:sz w:val="20"/>
      <w:szCs w:val="20"/>
    </w:rPr>
  </w:style>
  <w:style w:type="paragraph" w:styleId="TOC5">
    <w:name w:val="toc 5"/>
    <w:basedOn w:val="Normal"/>
    <w:next w:val="Normal"/>
    <w:autoRedefine/>
    <w:uiPriority w:val="39"/>
    <w:unhideWhenUsed/>
    <w:rsid w:val="007142FF"/>
    <w:pPr>
      <w:ind w:left="1120"/>
    </w:pPr>
    <w:rPr>
      <w:rFonts w:asciiTheme="minorHAnsi" w:hAnsiTheme="minorHAnsi"/>
      <w:sz w:val="20"/>
      <w:szCs w:val="20"/>
    </w:rPr>
  </w:style>
  <w:style w:type="paragraph" w:styleId="TOC6">
    <w:name w:val="toc 6"/>
    <w:basedOn w:val="Normal"/>
    <w:next w:val="Normal"/>
    <w:autoRedefine/>
    <w:uiPriority w:val="39"/>
    <w:unhideWhenUsed/>
    <w:rsid w:val="00952DAD"/>
    <w:pPr>
      <w:ind w:left="1400"/>
    </w:pPr>
    <w:rPr>
      <w:rFonts w:asciiTheme="minorHAnsi" w:hAnsiTheme="minorHAnsi"/>
      <w:sz w:val="20"/>
      <w:szCs w:val="20"/>
    </w:rPr>
  </w:style>
  <w:style w:type="paragraph" w:styleId="TOC7">
    <w:name w:val="toc 7"/>
    <w:basedOn w:val="Normal"/>
    <w:next w:val="Normal"/>
    <w:autoRedefine/>
    <w:uiPriority w:val="39"/>
    <w:unhideWhenUsed/>
    <w:rsid w:val="00952DAD"/>
    <w:pPr>
      <w:ind w:left="1680"/>
    </w:pPr>
    <w:rPr>
      <w:rFonts w:asciiTheme="minorHAnsi" w:hAnsiTheme="minorHAnsi"/>
      <w:sz w:val="20"/>
      <w:szCs w:val="20"/>
    </w:rPr>
  </w:style>
  <w:style w:type="paragraph" w:styleId="TOC8">
    <w:name w:val="toc 8"/>
    <w:basedOn w:val="Normal"/>
    <w:next w:val="Normal"/>
    <w:autoRedefine/>
    <w:uiPriority w:val="39"/>
    <w:unhideWhenUsed/>
    <w:rsid w:val="00952DAD"/>
    <w:pPr>
      <w:ind w:left="1960"/>
    </w:pPr>
    <w:rPr>
      <w:rFonts w:asciiTheme="minorHAnsi" w:hAnsiTheme="minorHAnsi"/>
      <w:sz w:val="20"/>
      <w:szCs w:val="20"/>
    </w:rPr>
  </w:style>
  <w:style w:type="paragraph" w:styleId="TOC9">
    <w:name w:val="toc 9"/>
    <w:basedOn w:val="Normal"/>
    <w:next w:val="Normal"/>
    <w:autoRedefine/>
    <w:uiPriority w:val="39"/>
    <w:unhideWhenUsed/>
    <w:rsid w:val="00952DAD"/>
    <w:pPr>
      <w:ind w:left="2240"/>
    </w:pPr>
    <w:rPr>
      <w:rFonts w:asciiTheme="minorHAnsi" w:hAnsiTheme="minorHAnsi"/>
      <w:sz w:val="20"/>
      <w:szCs w:val="20"/>
    </w:rPr>
  </w:style>
  <w:style w:type="paragraph" w:styleId="Title">
    <w:name w:val="Title"/>
    <w:basedOn w:val="Normal"/>
    <w:next w:val="Normal"/>
    <w:link w:val="TitleChar"/>
    <w:autoRedefine/>
    <w:uiPriority w:val="10"/>
    <w:qFormat/>
    <w:rsid w:val="00C656B1"/>
    <w:pPr>
      <w:spacing w:after="300"/>
      <w:contextualSpacing/>
      <w:jc w:val="center"/>
    </w:pPr>
    <w:rPr>
      <w:rFonts w:eastAsiaTheme="majorEastAsia" w:cstheme="majorBidi"/>
      <w:b/>
      <w:spacing w:val="5"/>
      <w:kern w:val="28"/>
      <w:sz w:val="32"/>
      <w:szCs w:val="52"/>
    </w:rPr>
  </w:style>
  <w:style w:type="character" w:customStyle="1" w:styleId="TitleChar">
    <w:name w:val="Title Char"/>
    <w:basedOn w:val="DefaultParagraphFont"/>
    <w:link w:val="Title"/>
    <w:uiPriority w:val="10"/>
    <w:rsid w:val="00C656B1"/>
    <w:rPr>
      <w:rFonts w:eastAsiaTheme="majorEastAsia" w:cstheme="majorBidi"/>
      <w:b/>
      <w:spacing w:val="5"/>
      <w:kern w:val="28"/>
      <w:sz w:val="32"/>
      <w:szCs w:val="52"/>
    </w:rPr>
  </w:style>
  <w:style w:type="character" w:customStyle="1" w:styleId="Heading2Char">
    <w:name w:val="Heading 2 Char"/>
    <w:basedOn w:val="DefaultParagraphFont"/>
    <w:link w:val="Heading2"/>
    <w:uiPriority w:val="9"/>
    <w:rsid w:val="00A17D2E"/>
    <w:rPr>
      <w:rFonts w:eastAsiaTheme="majorEastAsia" w:cstheme="majorBidi"/>
      <w:b/>
      <w:bCs/>
      <w:sz w:val="24"/>
      <w:szCs w:val="26"/>
    </w:rPr>
  </w:style>
  <w:style w:type="character" w:styleId="Hyperlink">
    <w:name w:val="Hyperlink"/>
    <w:basedOn w:val="DefaultParagraphFont"/>
    <w:uiPriority w:val="99"/>
    <w:unhideWhenUsed/>
    <w:rsid w:val="0080225B"/>
    <w:rPr>
      <w:color w:val="0000FF" w:themeColor="hyperlink"/>
      <w:u w:val="single"/>
    </w:rPr>
  </w:style>
  <w:style w:type="character" w:customStyle="1" w:styleId="FootnoteTextChar">
    <w:name w:val="Footnote Text Char"/>
    <w:aliases w:val="Footnote Char,Fußnote Char"/>
    <w:basedOn w:val="DefaultParagraphFont"/>
    <w:link w:val="FootnoteText"/>
    <w:uiPriority w:val="99"/>
    <w:rsid w:val="003C7DD5"/>
    <w:rPr>
      <w:rFonts w:ascii="Calibri" w:eastAsia="Calibri" w:hAnsi="Calibri"/>
      <w:sz w:val="20"/>
      <w:szCs w:val="20"/>
      <w:lang w:eastAsia="lv-LV"/>
    </w:rPr>
  </w:style>
  <w:style w:type="paragraph" w:styleId="FootnoteText">
    <w:name w:val="footnote text"/>
    <w:aliases w:val="Footnote,Fußnote"/>
    <w:basedOn w:val="Normal"/>
    <w:link w:val="FootnoteTextChar"/>
    <w:uiPriority w:val="99"/>
    <w:unhideWhenUsed/>
    <w:rsid w:val="003C7DD5"/>
    <w:pPr>
      <w:spacing w:after="120"/>
      <w:ind w:firstLine="709"/>
      <w:jc w:val="both"/>
    </w:pPr>
    <w:rPr>
      <w:rFonts w:ascii="Calibri" w:eastAsia="Calibri" w:hAnsi="Calibri"/>
      <w:sz w:val="20"/>
      <w:szCs w:val="20"/>
      <w:lang w:eastAsia="lv-LV"/>
    </w:rPr>
  </w:style>
  <w:style w:type="character" w:customStyle="1" w:styleId="FootnoteTextChar1">
    <w:name w:val="Footnote Text Char1"/>
    <w:basedOn w:val="DefaultParagraphFont"/>
    <w:uiPriority w:val="99"/>
    <w:semiHidden/>
    <w:rsid w:val="003C7DD5"/>
    <w:rPr>
      <w:sz w:val="20"/>
      <w:szCs w:val="20"/>
    </w:rPr>
  </w:style>
  <w:style w:type="paragraph" w:styleId="Caption">
    <w:name w:val="caption"/>
    <w:basedOn w:val="Normal"/>
    <w:next w:val="Normal"/>
    <w:unhideWhenUsed/>
    <w:qFormat/>
    <w:rsid w:val="003C7DD5"/>
    <w:pPr>
      <w:spacing w:after="240"/>
      <w:jc w:val="both"/>
    </w:pPr>
    <w:rPr>
      <w:rFonts w:eastAsia="Calibri"/>
      <w:bCs/>
      <w:sz w:val="24"/>
      <w:szCs w:val="18"/>
    </w:rPr>
  </w:style>
  <w:style w:type="character" w:styleId="FootnoteReference">
    <w:name w:val="footnote reference"/>
    <w:aliases w:val="Footnote Reference Number,SUPERS"/>
    <w:basedOn w:val="DefaultParagraphFont"/>
    <w:uiPriority w:val="99"/>
    <w:unhideWhenUsed/>
    <w:rsid w:val="003C7DD5"/>
    <w:rPr>
      <w:vertAlign w:val="superscript"/>
    </w:rPr>
  </w:style>
  <w:style w:type="paragraph" w:styleId="EndnoteText">
    <w:name w:val="endnote text"/>
    <w:basedOn w:val="Normal"/>
    <w:link w:val="EndnoteTextChar"/>
    <w:uiPriority w:val="99"/>
    <w:semiHidden/>
    <w:unhideWhenUsed/>
    <w:rsid w:val="003C7DD5"/>
    <w:pPr>
      <w:ind w:firstLine="709"/>
      <w:jc w:val="both"/>
    </w:pPr>
    <w:rPr>
      <w:rFonts w:eastAsia="Calibri"/>
      <w:color w:val="000000"/>
      <w:sz w:val="20"/>
      <w:szCs w:val="20"/>
    </w:rPr>
  </w:style>
  <w:style w:type="character" w:customStyle="1" w:styleId="EndnoteTextChar">
    <w:name w:val="Endnote Text Char"/>
    <w:basedOn w:val="DefaultParagraphFont"/>
    <w:link w:val="EndnoteText"/>
    <w:uiPriority w:val="99"/>
    <w:semiHidden/>
    <w:rsid w:val="003C7DD5"/>
    <w:rPr>
      <w:rFonts w:eastAsia="Calibri"/>
      <w:color w:val="000000"/>
      <w:sz w:val="20"/>
      <w:szCs w:val="20"/>
    </w:rPr>
  </w:style>
  <w:style w:type="character" w:styleId="EndnoteReference">
    <w:name w:val="endnote reference"/>
    <w:basedOn w:val="DefaultParagraphFont"/>
    <w:uiPriority w:val="99"/>
    <w:semiHidden/>
    <w:unhideWhenUsed/>
    <w:rsid w:val="003C7DD5"/>
    <w:rPr>
      <w:vertAlign w:val="superscript"/>
    </w:rPr>
  </w:style>
  <w:style w:type="character" w:customStyle="1" w:styleId="apple-converted-space">
    <w:name w:val="apple-converted-space"/>
    <w:basedOn w:val="DefaultParagraphFont"/>
    <w:rsid w:val="003C7DD5"/>
  </w:style>
  <w:style w:type="paragraph" w:styleId="Header">
    <w:name w:val="header"/>
    <w:basedOn w:val="Normal"/>
    <w:link w:val="HeaderChar"/>
    <w:uiPriority w:val="99"/>
    <w:unhideWhenUsed/>
    <w:rsid w:val="00C66C72"/>
    <w:pPr>
      <w:tabs>
        <w:tab w:val="center" w:pos="4153"/>
        <w:tab w:val="right" w:pos="8306"/>
      </w:tabs>
    </w:pPr>
  </w:style>
  <w:style w:type="character" w:customStyle="1" w:styleId="HeaderChar">
    <w:name w:val="Header Char"/>
    <w:basedOn w:val="DefaultParagraphFont"/>
    <w:link w:val="Header"/>
    <w:uiPriority w:val="99"/>
    <w:rsid w:val="00C66C72"/>
  </w:style>
  <w:style w:type="paragraph" w:styleId="Footer">
    <w:name w:val="footer"/>
    <w:basedOn w:val="Normal"/>
    <w:link w:val="FooterChar"/>
    <w:unhideWhenUsed/>
    <w:rsid w:val="00C66C72"/>
    <w:pPr>
      <w:tabs>
        <w:tab w:val="center" w:pos="4153"/>
        <w:tab w:val="right" w:pos="8306"/>
      </w:tabs>
    </w:pPr>
  </w:style>
  <w:style w:type="character" w:customStyle="1" w:styleId="FooterChar">
    <w:name w:val="Footer Char"/>
    <w:basedOn w:val="DefaultParagraphFont"/>
    <w:link w:val="Footer"/>
    <w:uiPriority w:val="99"/>
    <w:rsid w:val="00C66C72"/>
  </w:style>
  <w:style w:type="paragraph" w:styleId="BodyText">
    <w:name w:val="Body Text"/>
    <w:aliases w:val=" Rakstz."/>
    <w:basedOn w:val="Normal"/>
    <w:link w:val="BodyTextChar"/>
    <w:rsid w:val="008907CE"/>
    <w:pPr>
      <w:spacing w:after="120"/>
    </w:pPr>
    <w:rPr>
      <w:rFonts w:eastAsia="Times New Roman"/>
      <w:sz w:val="24"/>
      <w:szCs w:val="24"/>
    </w:rPr>
  </w:style>
  <w:style w:type="character" w:customStyle="1" w:styleId="BodyTextChar">
    <w:name w:val="Body Text Char"/>
    <w:aliases w:val=" Rakstz. Char"/>
    <w:basedOn w:val="DefaultParagraphFont"/>
    <w:link w:val="BodyText"/>
    <w:rsid w:val="008907CE"/>
    <w:rPr>
      <w:rFonts w:eastAsia="Times New Roman"/>
      <w:sz w:val="24"/>
      <w:szCs w:val="24"/>
    </w:rPr>
  </w:style>
  <w:style w:type="paragraph" w:styleId="NormalWeb">
    <w:name w:val="Normal (Web)"/>
    <w:basedOn w:val="Normal"/>
    <w:uiPriority w:val="99"/>
    <w:semiHidden/>
    <w:unhideWhenUsed/>
    <w:rsid w:val="00A73BC7"/>
    <w:pPr>
      <w:spacing w:before="100" w:beforeAutospacing="1" w:after="100" w:afterAutospacing="1"/>
    </w:pPr>
    <w:rPr>
      <w:rFonts w:eastAsia="Times New Roman"/>
      <w:sz w:val="24"/>
      <w:szCs w:val="24"/>
      <w:lang w:eastAsia="lv-LV"/>
    </w:rPr>
  </w:style>
  <w:style w:type="paragraph" w:styleId="EnvelopeReturn">
    <w:name w:val="envelope return"/>
    <w:basedOn w:val="Normal"/>
    <w:uiPriority w:val="99"/>
    <w:semiHidden/>
    <w:unhideWhenUsed/>
    <w:rsid w:val="00D36EE9"/>
    <w:pPr>
      <w:spacing w:before="600"/>
    </w:pPr>
    <w:rPr>
      <w:sz w:val="26"/>
      <w:szCs w:val="26"/>
      <w:lang w:eastAsia="lv-LV"/>
    </w:rPr>
  </w:style>
  <w:style w:type="paragraph" w:customStyle="1" w:styleId="Tabletext">
    <w:name w:val="Table text"/>
    <w:basedOn w:val="Normal"/>
    <w:uiPriority w:val="99"/>
    <w:rsid w:val="0024122B"/>
    <w:pPr>
      <w:tabs>
        <w:tab w:val="right" w:pos="8504"/>
      </w:tabs>
      <w:spacing w:before="40" w:after="40" w:line="288" w:lineRule="auto"/>
      <w:jc w:val="both"/>
    </w:pPr>
    <w:rPr>
      <w:rFonts w:ascii="Arial" w:eastAsia="Times New Roman" w:hAnsi="Arial"/>
      <w:sz w:val="18"/>
      <w:szCs w:val="20"/>
      <w:lang w:val="de-DE" w:eastAsia="de-DE"/>
    </w:rPr>
  </w:style>
  <w:style w:type="character" w:styleId="Strong">
    <w:name w:val="Strong"/>
    <w:basedOn w:val="DefaultParagraphFont"/>
    <w:uiPriority w:val="22"/>
    <w:qFormat/>
    <w:rsid w:val="0024122B"/>
    <w:rPr>
      <w:b/>
      <w:bCs/>
    </w:rPr>
  </w:style>
  <w:style w:type="character" w:customStyle="1" w:styleId="Heading4Char">
    <w:name w:val="Heading 4 Char"/>
    <w:basedOn w:val="DefaultParagraphFont"/>
    <w:link w:val="Heading4"/>
    <w:uiPriority w:val="9"/>
    <w:semiHidden/>
    <w:rsid w:val="0047611C"/>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055CB0"/>
    <w:rPr>
      <w:i/>
      <w:iCs/>
    </w:rPr>
  </w:style>
  <w:style w:type="paragraph" w:customStyle="1" w:styleId="naisf">
    <w:name w:val="naisf"/>
    <w:basedOn w:val="Normal"/>
    <w:rsid w:val="006E3320"/>
    <w:pPr>
      <w:spacing w:before="75" w:after="75"/>
      <w:ind w:firstLine="375"/>
      <w:jc w:val="both"/>
    </w:pPr>
    <w:rPr>
      <w:rFonts w:eastAsia="Times New Roman"/>
      <w:sz w:val="24"/>
      <w:szCs w:val="24"/>
      <w:lang w:eastAsia="lv-LV"/>
    </w:rPr>
  </w:style>
  <w:style w:type="character" w:styleId="CommentReference">
    <w:name w:val="annotation reference"/>
    <w:basedOn w:val="DefaultParagraphFont"/>
    <w:uiPriority w:val="99"/>
    <w:semiHidden/>
    <w:unhideWhenUsed/>
    <w:rsid w:val="00A7502C"/>
    <w:rPr>
      <w:sz w:val="16"/>
      <w:szCs w:val="16"/>
    </w:rPr>
  </w:style>
  <w:style w:type="paragraph" w:styleId="CommentText">
    <w:name w:val="annotation text"/>
    <w:basedOn w:val="Normal"/>
    <w:link w:val="CommentTextChar"/>
    <w:uiPriority w:val="99"/>
    <w:semiHidden/>
    <w:unhideWhenUsed/>
    <w:rsid w:val="00A7502C"/>
    <w:rPr>
      <w:sz w:val="20"/>
      <w:szCs w:val="20"/>
    </w:rPr>
  </w:style>
  <w:style w:type="character" w:customStyle="1" w:styleId="CommentTextChar">
    <w:name w:val="Comment Text Char"/>
    <w:basedOn w:val="DefaultParagraphFont"/>
    <w:link w:val="CommentText"/>
    <w:uiPriority w:val="99"/>
    <w:semiHidden/>
    <w:rsid w:val="00A7502C"/>
    <w:rPr>
      <w:sz w:val="20"/>
      <w:szCs w:val="20"/>
    </w:rPr>
  </w:style>
  <w:style w:type="paragraph" w:styleId="CommentSubject">
    <w:name w:val="annotation subject"/>
    <w:basedOn w:val="CommentText"/>
    <w:next w:val="CommentText"/>
    <w:link w:val="CommentSubjectChar"/>
    <w:uiPriority w:val="99"/>
    <w:semiHidden/>
    <w:unhideWhenUsed/>
    <w:rsid w:val="00A335DF"/>
    <w:rPr>
      <w:b/>
      <w:bCs/>
    </w:rPr>
  </w:style>
  <w:style w:type="character" w:customStyle="1" w:styleId="CommentSubjectChar">
    <w:name w:val="Comment Subject Char"/>
    <w:basedOn w:val="CommentTextChar"/>
    <w:link w:val="CommentSubject"/>
    <w:uiPriority w:val="99"/>
    <w:semiHidden/>
    <w:rsid w:val="00A335DF"/>
    <w:rPr>
      <w:b/>
      <w:bCs/>
      <w:sz w:val="20"/>
      <w:szCs w:val="20"/>
    </w:rPr>
  </w:style>
  <w:style w:type="paragraph" w:customStyle="1" w:styleId="Subtitle1">
    <w:name w:val="Subtitle1"/>
    <w:basedOn w:val="Heading2"/>
    <w:link w:val="Subtitle1Char"/>
    <w:qFormat/>
    <w:rsid w:val="00A17D2E"/>
    <w:pPr>
      <w:numPr>
        <w:ilvl w:val="0"/>
        <w:numId w:val="0"/>
      </w:numPr>
      <w:ind w:firstLine="720"/>
    </w:pPr>
    <w:rPr>
      <w:i/>
    </w:rPr>
  </w:style>
  <w:style w:type="character" w:customStyle="1" w:styleId="Subtitle1Char">
    <w:name w:val="Subtitle1 Char"/>
    <w:basedOn w:val="Heading2Char"/>
    <w:link w:val="Subtitle1"/>
    <w:rsid w:val="00A17D2E"/>
    <w:rPr>
      <w:rFonts w:eastAsiaTheme="majorEastAsia" w:cstheme="majorBidi"/>
      <w:b/>
      <w:bCs/>
      <w:i/>
      <w:sz w:val="24"/>
      <w:szCs w:val="26"/>
    </w:rPr>
  </w:style>
  <w:style w:type="paragraph" w:customStyle="1" w:styleId="CM4">
    <w:name w:val="CM4"/>
    <w:basedOn w:val="Normal"/>
    <w:next w:val="Normal"/>
    <w:uiPriority w:val="99"/>
    <w:rsid w:val="00CB190B"/>
    <w:pPr>
      <w:autoSpaceDE w:val="0"/>
      <w:autoSpaceDN w:val="0"/>
      <w:adjustRightInd w:val="0"/>
    </w:pPr>
    <w:rPr>
      <w:rFonts w:ascii="EUAlbertina" w:hAnsi="EUAlbertina" w:cstheme="minorBidi"/>
      <w:sz w:val="24"/>
      <w:szCs w:val="24"/>
    </w:rPr>
  </w:style>
  <w:style w:type="paragraph" w:customStyle="1" w:styleId="CM1">
    <w:name w:val="CM1"/>
    <w:basedOn w:val="Default"/>
    <w:next w:val="Default"/>
    <w:uiPriority w:val="99"/>
    <w:rsid w:val="00CE1DB4"/>
    <w:pPr>
      <w:widowControl/>
    </w:pPr>
    <w:rPr>
      <w:rFonts w:ascii="EUAlbertina" w:eastAsiaTheme="minorHAnsi" w:hAnsi="EUAlbertina" w:cstheme="minorBidi"/>
      <w:color w:val="auto"/>
      <w:lang w:eastAsia="en-US"/>
    </w:rPr>
  </w:style>
  <w:style w:type="paragraph" w:customStyle="1" w:styleId="tv213">
    <w:name w:val="tv213"/>
    <w:basedOn w:val="Normal"/>
    <w:rsid w:val="00B31DFA"/>
    <w:pPr>
      <w:spacing w:before="100" w:beforeAutospacing="1" w:after="100" w:afterAutospacing="1"/>
    </w:pPr>
    <w:rPr>
      <w:rFonts w:eastAsia="Times New Roman"/>
      <w:sz w:val="24"/>
      <w:szCs w:val="24"/>
      <w:lang w:eastAsia="lv-LV"/>
    </w:rPr>
  </w:style>
  <w:style w:type="paragraph" w:styleId="Revision">
    <w:name w:val="Revision"/>
    <w:hidden/>
    <w:uiPriority w:val="99"/>
    <w:semiHidden/>
    <w:rsid w:val="004550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921470">
      <w:bodyDiv w:val="1"/>
      <w:marLeft w:val="0"/>
      <w:marRight w:val="0"/>
      <w:marTop w:val="0"/>
      <w:marBottom w:val="0"/>
      <w:divBdr>
        <w:top w:val="none" w:sz="0" w:space="0" w:color="auto"/>
        <w:left w:val="none" w:sz="0" w:space="0" w:color="auto"/>
        <w:bottom w:val="none" w:sz="0" w:space="0" w:color="auto"/>
        <w:right w:val="none" w:sz="0" w:space="0" w:color="auto"/>
      </w:divBdr>
    </w:div>
    <w:div w:id="587083923">
      <w:bodyDiv w:val="1"/>
      <w:marLeft w:val="0"/>
      <w:marRight w:val="0"/>
      <w:marTop w:val="0"/>
      <w:marBottom w:val="0"/>
      <w:divBdr>
        <w:top w:val="none" w:sz="0" w:space="0" w:color="auto"/>
        <w:left w:val="none" w:sz="0" w:space="0" w:color="auto"/>
        <w:bottom w:val="none" w:sz="0" w:space="0" w:color="auto"/>
        <w:right w:val="none" w:sz="0" w:space="0" w:color="auto"/>
      </w:divBdr>
    </w:div>
    <w:div w:id="853226783">
      <w:bodyDiv w:val="1"/>
      <w:marLeft w:val="0"/>
      <w:marRight w:val="0"/>
      <w:marTop w:val="0"/>
      <w:marBottom w:val="0"/>
      <w:divBdr>
        <w:top w:val="none" w:sz="0" w:space="0" w:color="auto"/>
        <w:left w:val="none" w:sz="0" w:space="0" w:color="auto"/>
        <w:bottom w:val="none" w:sz="0" w:space="0" w:color="auto"/>
        <w:right w:val="none" w:sz="0" w:space="0" w:color="auto"/>
      </w:divBdr>
    </w:div>
    <w:div w:id="914559276">
      <w:bodyDiv w:val="1"/>
      <w:marLeft w:val="0"/>
      <w:marRight w:val="0"/>
      <w:marTop w:val="0"/>
      <w:marBottom w:val="0"/>
      <w:divBdr>
        <w:top w:val="none" w:sz="0" w:space="0" w:color="auto"/>
        <w:left w:val="none" w:sz="0" w:space="0" w:color="auto"/>
        <w:bottom w:val="none" w:sz="0" w:space="0" w:color="auto"/>
        <w:right w:val="none" w:sz="0" w:space="0" w:color="auto"/>
      </w:divBdr>
    </w:div>
    <w:div w:id="956642978">
      <w:bodyDiv w:val="1"/>
      <w:marLeft w:val="0"/>
      <w:marRight w:val="0"/>
      <w:marTop w:val="0"/>
      <w:marBottom w:val="0"/>
      <w:divBdr>
        <w:top w:val="none" w:sz="0" w:space="0" w:color="auto"/>
        <w:left w:val="none" w:sz="0" w:space="0" w:color="auto"/>
        <w:bottom w:val="none" w:sz="0" w:space="0" w:color="auto"/>
        <w:right w:val="none" w:sz="0" w:space="0" w:color="auto"/>
      </w:divBdr>
    </w:div>
    <w:div w:id="1010716397">
      <w:bodyDiv w:val="1"/>
      <w:marLeft w:val="0"/>
      <w:marRight w:val="0"/>
      <w:marTop w:val="0"/>
      <w:marBottom w:val="0"/>
      <w:divBdr>
        <w:top w:val="none" w:sz="0" w:space="0" w:color="auto"/>
        <w:left w:val="none" w:sz="0" w:space="0" w:color="auto"/>
        <w:bottom w:val="none" w:sz="0" w:space="0" w:color="auto"/>
        <w:right w:val="none" w:sz="0" w:space="0" w:color="auto"/>
      </w:divBdr>
    </w:div>
    <w:div w:id="1016005781">
      <w:bodyDiv w:val="1"/>
      <w:marLeft w:val="0"/>
      <w:marRight w:val="0"/>
      <w:marTop w:val="0"/>
      <w:marBottom w:val="0"/>
      <w:divBdr>
        <w:top w:val="none" w:sz="0" w:space="0" w:color="auto"/>
        <w:left w:val="none" w:sz="0" w:space="0" w:color="auto"/>
        <w:bottom w:val="none" w:sz="0" w:space="0" w:color="auto"/>
        <w:right w:val="none" w:sz="0" w:space="0" w:color="auto"/>
      </w:divBdr>
    </w:div>
    <w:div w:id="1509055772">
      <w:bodyDiv w:val="1"/>
      <w:marLeft w:val="0"/>
      <w:marRight w:val="0"/>
      <w:marTop w:val="0"/>
      <w:marBottom w:val="0"/>
      <w:divBdr>
        <w:top w:val="none" w:sz="0" w:space="0" w:color="auto"/>
        <w:left w:val="none" w:sz="0" w:space="0" w:color="auto"/>
        <w:bottom w:val="none" w:sz="0" w:space="0" w:color="auto"/>
        <w:right w:val="none" w:sz="0" w:space="0" w:color="auto"/>
      </w:divBdr>
    </w:div>
    <w:div w:id="1585996872">
      <w:bodyDiv w:val="1"/>
      <w:marLeft w:val="0"/>
      <w:marRight w:val="0"/>
      <w:marTop w:val="0"/>
      <w:marBottom w:val="0"/>
      <w:divBdr>
        <w:top w:val="none" w:sz="0" w:space="0" w:color="auto"/>
        <w:left w:val="none" w:sz="0" w:space="0" w:color="auto"/>
        <w:bottom w:val="none" w:sz="0" w:space="0" w:color="auto"/>
        <w:right w:val="none" w:sz="0" w:space="0" w:color="auto"/>
      </w:divBdr>
    </w:div>
    <w:div w:id="1827353062">
      <w:bodyDiv w:val="1"/>
      <w:marLeft w:val="0"/>
      <w:marRight w:val="0"/>
      <w:marTop w:val="0"/>
      <w:marBottom w:val="0"/>
      <w:divBdr>
        <w:top w:val="none" w:sz="0" w:space="0" w:color="auto"/>
        <w:left w:val="none" w:sz="0" w:space="0" w:color="auto"/>
        <w:bottom w:val="none" w:sz="0" w:space="0" w:color="auto"/>
        <w:right w:val="none" w:sz="0" w:space="0" w:color="auto"/>
      </w:divBdr>
      <w:divsChild>
        <w:div w:id="583875824">
          <w:marLeft w:val="734"/>
          <w:marRight w:val="0"/>
          <w:marTop w:val="144"/>
          <w:marBottom w:val="0"/>
          <w:divBdr>
            <w:top w:val="none" w:sz="0" w:space="0" w:color="auto"/>
            <w:left w:val="none" w:sz="0" w:space="0" w:color="auto"/>
            <w:bottom w:val="none" w:sz="0" w:space="0" w:color="auto"/>
            <w:right w:val="none" w:sz="0" w:space="0" w:color="auto"/>
          </w:divBdr>
        </w:div>
        <w:div w:id="709912834">
          <w:marLeft w:val="734"/>
          <w:marRight w:val="0"/>
          <w:marTop w:val="144"/>
          <w:marBottom w:val="0"/>
          <w:divBdr>
            <w:top w:val="none" w:sz="0" w:space="0" w:color="auto"/>
            <w:left w:val="none" w:sz="0" w:space="0" w:color="auto"/>
            <w:bottom w:val="none" w:sz="0" w:space="0" w:color="auto"/>
            <w:right w:val="none" w:sz="0" w:space="0" w:color="auto"/>
          </w:divBdr>
        </w:div>
      </w:divsChild>
    </w:div>
    <w:div w:id="1855916224">
      <w:bodyDiv w:val="1"/>
      <w:marLeft w:val="0"/>
      <w:marRight w:val="0"/>
      <w:marTop w:val="0"/>
      <w:marBottom w:val="0"/>
      <w:divBdr>
        <w:top w:val="none" w:sz="0" w:space="0" w:color="auto"/>
        <w:left w:val="none" w:sz="0" w:space="0" w:color="auto"/>
        <w:bottom w:val="none" w:sz="0" w:space="0" w:color="auto"/>
        <w:right w:val="none" w:sz="0" w:space="0" w:color="auto"/>
      </w:divBdr>
    </w:div>
    <w:div w:id="1899318647">
      <w:bodyDiv w:val="1"/>
      <w:marLeft w:val="0"/>
      <w:marRight w:val="0"/>
      <w:marTop w:val="0"/>
      <w:marBottom w:val="0"/>
      <w:divBdr>
        <w:top w:val="none" w:sz="0" w:space="0" w:color="auto"/>
        <w:left w:val="none" w:sz="0" w:space="0" w:color="auto"/>
        <w:bottom w:val="none" w:sz="0" w:space="0" w:color="auto"/>
        <w:right w:val="none" w:sz="0" w:space="0" w:color="auto"/>
      </w:divBdr>
    </w:div>
    <w:div w:id="1973825808">
      <w:bodyDiv w:val="1"/>
      <w:marLeft w:val="0"/>
      <w:marRight w:val="0"/>
      <w:marTop w:val="0"/>
      <w:marBottom w:val="0"/>
      <w:divBdr>
        <w:top w:val="none" w:sz="0" w:space="0" w:color="auto"/>
        <w:left w:val="none" w:sz="0" w:space="0" w:color="auto"/>
        <w:bottom w:val="none" w:sz="0" w:space="0" w:color="auto"/>
        <w:right w:val="none" w:sz="0" w:space="0" w:color="auto"/>
      </w:divBdr>
    </w:div>
    <w:div w:id="198137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hart" Target="charts/chart4.xml"/><Relationship Id="rId18" Type="http://schemas.openxmlformats.org/officeDocument/2006/relationships/chart" Target="charts/chart8.xml"/><Relationship Id="rId26"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hyperlink" Target="http://ec.europa.eu/regional_policy/how/index_lv.cfm" TargetMode="External"/><Relationship Id="rId7" Type="http://schemas.openxmlformats.org/officeDocument/2006/relationships/webSettings" Target="webSettings.xml"/><Relationship Id="rId12" Type="http://schemas.openxmlformats.org/officeDocument/2006/relationships/chart" Target="charts/chart3.xml"/><Relationship Id="rId17" Type="http://schemas.openxmlformats.org/officeDocument/2006/relationships/chart" Target="charts/chart7.xml"/><Relationship Id="rId25" Type="http://schemas.openxmlformats.org/officeDocument/2006/relationships/hyperlink" Target="mailto:Dace.Suveizda@em.gov.lv" TargetMode="External"/><Relationship Id="rId2" Type="http://schemas.openxmlformats.org/officeDocument/2006/relationships/customXml" Target="../customXml/item2.xml"/><Relationship Id="rId16" Type="http://schemas.openxmlformats.org/officeDocument/2006/relationships/hyperlink" Target="http://www.em.gov.lv/em/2nd/?cat=30321" TargetMode="External"/><Relationship Id="rId20" Type="http://schemas.openxmlformats.org/officeDocument/2006/relationships/chart" Target="charts/chart9.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hart" Target="charts/chart2.xml"/><Relationship Id="rId24" Type="http://schemas.openxmlformats.org/officeDocument/2006/relationships/hyperlink" Target="mailto:Dzintars.Grasmanis@em.gov.lv" TargetMode="External"/><Relationship Id="rId5" Type="http://schemas.microsoft.com/office/2007/relationships/stylesWithEffects" Target="stylesWithEffects.xml"/><Relationship Id="rId15" Type="http://schemas.openxmlformats.org/officeDocument/2006/relationships/chart" Target="charts/chart6.xml"/><Relationship Id="rId23" Type="http://schemas.openxmlformats.org/officeDocument/2006/relationships/hyperlink" Target="mailto:Martins.Auders@em.gov.lv" TargetMode="External"/><Relationship Id="rId28" Type="http://schemas.openxmlformats.org/officeDocument/2006/relationships/footer" Target="footer2.xml"/><Relationship Id="rId10" Type="http://schemas.openxmlformats.org/officeDocument/2006/relationships/chart" Target="charts/chart1.xml"/><Relationship Id="rId19" Type="http://schemas.openxmlformats.org/officeDocument/2006/relationships/image" Target="media/image3.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chart" Target="charts/chart5.xml"/><Relationship Id="rId22" Type="http://schemas.openxmlformats.org/officeDocument/2006/relationships/hyperlink" Target="mailto:ilze.osa@em.gov.lv" TargetMode="External"/><Relationship Id="rId27" Type="http://schemas.openxmlformats.org/officeDocument/2006/relationships/footer" Target="footer1.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em.gov.lv/em/2nd/?cat=30252"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GrasmanisD\My%20Documents\ENERGOEFEKTIVITATE\_BPII%202010\Apartment%20block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GrasmanisD\My%20Documents\ENERGOEFEKTIVITATE\_BPII%202010\Apartment%20blocks.xlsx" TargetMode="External"/></Relationships>
</file>

<file path=word/charts/_rels/chart3.xml.rels><?xml version="1.0" encoding="UTF-8" standalone="yes"?>
<Relationships xmlns="http://schemas.openxmlformats.org/package/2006/relationships"><Relationship Id="rId3" Type="http://schemas.openxmlformats.org/officeDocument/2006/relationships/oleObject" Target="file:///C:\Documents%20and%20Settings\GrasmanisD\My%20Documents\ENERGOEFEKTIVITATE\_BPII%202010\U%20vertibas.xls" TargetMode="External"/><Relationship Id="rId2" Type="http://schemas.openxmlformats.org/officeDocument/2006/relationships/image" Target="../media/image2.jpeg"/><Relationship Id="rId1" Type="http://schemas.openxmlformats.org/officeDocument/2006/relationships/image" Target="../media/image1.jpeg"/></Relationships>
</file>

<file path=word/charts/_rels/chart4.xml.rels><?xml version="1.0" encoding="UTF-8" standalone="yes"?>
<Relationships xmlns="http://schemas.openxmlformats.org/package/2006/relationships"><Relationship Id="rId1" Type="http://schemas.openxmlformats.org/officeDocument/2006/relationships/oleObject" Target="file:///C:\Documents%20and%20Settings\GrasmanisD\My%20Documents\ENERGOEFEKTIVITATE\_BPII%202010\Ekas_material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Documents%20and%20Settings\GrasmanisD\My%20Documents\ENERGOEFEKTIVITATE\_BPII%202010\Ekas_material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Documents%20and%20Settings\GrasmanisD\Local%20Settings\Temporary%20Internet%20Files\Content.Outlook\4GDQSGBP\EN15%20EKAS%202000_2009_corr%20(2).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Documents%20and%20Settings\GrasmanisD\My%20Documents\ENERGOEFEKTIVITATE\_BPII%202010\ekas_pec_piederibas.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Documents%20and%20Settings\GrasmanisD\My%20Documents\MAJOKLIS\Procentu%20salidzinajum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Lbls>
            <c:showLegendKey val="0"/>
            <c:showVal val="0"/>
            <c:showCatName val="0"/>
            <c:showSerName val="0"/>
            <c:showPercent val="1"/>
            <c:showBubbleSize val="0"/>
            <c:showLeaderLines val="1"/>
          </c:dLbls>
          <c:cat>
            <c:strRef>
              <c:f>'apartment house materials'!$Z$88:$Z$94</c:f>
              <c:strCache>
                <c:ptCount val="7"/>
                <c:pt idx="0">
                  <c:v>Ķieģeļu mūris</c:v>
                </c:pt>
                <c:pt idx="1">
                  <c:v>Koks</c:v>
                </c:pt>
                <c:pt idx="2">
                  <c:v>Ķieģeļi/ paneļi</c:v>
                </c:pt>
                <c:pt idx="3">
                  <c:v>Dzelzsbetons/ betons</c:v>
                </c:pt>
                <c:pt idx="4">
                  <c:v>Vieglbetons</c:v>
                </c:pt>
                <c:pt idx="5">
                  <c:v>Koks/ mūris</c:v>
                </c:pt>
                <c:pt idx="6">
                  <c:v>Cits materiāls</c:v>
                </c:pt>
              </c:strCache>
            </c:strRef>
          </c:cat>
          <c:val>
            <c:numRef>
              <c:f>'apartment house materials'!$AA$88:$AA$94</c:f>
              <c:numCache>
                <c:formatCode>General</c:formatCode>
                <c:ptCount val="7"/>
                <c:pt idx="0">
                  <c:v>16039</c:v>
                </c:pt>
                <c:pt idx="1">
                  <c:v>10897</c:v>
                </c:pt>
                <c:pt idx="2">
                  <c:v>3439</c:v>
                </c:pt>
                <c:pt idx="3">
                  <c:v>2910</c:v>
                </c:pt>
                <c:pt idx="4">
                  <c:v>1730</c:v>
                </c:pt>
                <c:pt idx="5">
                  <c:v>1604</c:v>
                </c:pt>
                <c:pt idx="6">
                  <c:v>883</c:v>
                </c:pt>
              </c:numCache>
            </c:numRef>
          </c:val>
        </c:ser>
        <c:dLbls>
          <c:showLegendKey val="0"/>
          <c:showVal val="0"/>
          <c:showCatName val="0"/>
          <c:showSerName val="0"/>
          <c:showPercent val="1"/>
          <c:showBubbleSize val="0"/>
          <c:showLeaderLines val="1"/>
        </c:dLbls>
        <c:firstSliceAng val="0"/>
      </c:pieChart>
    </c:plotArea>
    <c:legend>
      <c:legendPos val="r"/>
      <c:layout>
        <c:manualLayout>
          <c:xMode val="edge"/>
          <c:yMode val="edge"/>
          <c:x val="0.70995691576288811"/>
          <c:y val="0.18341045207187273"/>
          <c:w val="0.26847974191905788"/>
          <c:h val="0.7824708397936746"/>
        </c:manualLayout>
      </c:layout>
      <c:overlay val="0"/>
    </c:legend>
    <c:plotVisOnly val="1"/>
    <c:dispBlanksAs val="zero"/>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715386520081218"/>
          <c:y val="0.13236873775057595"/>
          <c:w val="0.70581805576189771"/>
          <c:h val="0.81677635273756721"/>
        </c:manualLayout>
      </c:layout>
      <c:pieChart>
        <c:varyColors val="1"/>
        <c:ser>
          <c:idx val="0"/>
          <c:order val="0"/>
          <c:dLbls>
            <c:showLegendKey val="0"/>
            <c:showVal val="0"/>
            <c:showCatName val="0"/>
            <c:showSerName val="0"/>
            <c:showPercent val="1"/>
            <c:showBubbleSize val="0"/>
            <c:showLeaderLines val="1"/>
          </c:dLbls>
          <c:cat>
            <c:strRef>
              <c:f>'apartment house materials'!$Z$98:$Z$104</c:f>
              <c:strCache>
                <c:ptCount val="7"/>
                <c:pt idx="0">
                  <c:v>Ķieģeļu mūris</c:v>
                </c:pt>
                <c:pt idx="1">
                  <c:v>Koks</c:v>
                </c:pt>
                <c:pt idx="2">
                  <c:v>Ķieģeļi/ paneļi</c:v>
                </c:pt>
                <c:pt idx="3">
                  <c:v>Dzelzsbetons/ betons</c:v>
                </c:pt>
                <c:pt idx="4">
                  <c:v>Vieglbetons</c:v>
                </c:pt>
                <c:pt idx="5">
                  <c:v>Koks/ mūris</c:v>
                </c:pt>
                <c:pt idx="6">
                  <c:v>Cits materiāls</c:v>
                </c:pt>
              </c:strCache>
            </c:strRef>
          </c:cat>
          <c:val>
            <c:numRef>
              <c:f>'apartment house materials'!$AA$98:$AA$104</c:f>
              <c:numCache>
                <c:formatCode>0.0</c:formatCode>
                <c:ptCount val="7"/>
                <c:pt idx="0">
                  <c:v>18918.900000000001</c:v>
                </c:pt>
                <c:pt idx="1">
                  <c:v>2943.2</c:v>
                </c:pt>
                <c:pt idx="2">
                  <c:v>9523.2000000000007</c:v>
                </c:pt>
                <c:pt idx="3">
                  <c:v>12039.4</c:v>
                </c:pt>
                <c:pt idx="4">
                  <c:v>2920.6</c:v>
                </c:pt>
                <c:pt idx="5">
                  <c:v>612.29999999999995</c:v>
                </c:pt>
                <c:pt idx="6">
                  <c:v>431.7</c:v>
                </c:pt>
              </c:numCache>
            </c:numRef>
          </c:val>
        </c:ser>
        <c:dLbls>
          <c:showLegendKey val="0"/>
          <c:showVal val="0"/>
          <c:showCatName val="0"/>
          <c:showSerName val="0"/>
          <c:showPercent val="1"/>
          <c:showBubbleSize val="0"/>
          <c:showLeaderLines val="1"/>
        </c:dLbls>
        <c:firstSliceAng val="0"/>
      </c:pieChart>
    </c:plotArea>
    <c:plotVisOnly val="1"/>
    <c:dispBlanksAs val="zero"/>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1"/>
          <c:order val="0"/>
          <c:tx>
            <c:strRef>
              <c:f>'U vertibas (LV)'!$A$10</c:f>
              <c:strCache>
                <c:ptCount val="1"/>
                <c:pt idx="0">
                  <c:v>Sienas (vieglas)</c:v>
                </c:pt>
              </c:strCache>
            </c:strRef>
          </c:tx>
          <c:spPr>
            <a:blipFill>
              <a:blip xmlns:r="http://schemas.openxmlformats.org/officeDocument/2006/relationships" r:embed="rId1"/>
              <a:tile tx="0" ty="0" sx="100000" sy="100000" flip="none" algn="tl"/>
            </a:blipFill>
            <a:ln w="19050">
              <a:solidFill>
                <a:schemeClr val="bg2">
                  <a:lumMod val="75000"/>
                </a:schemeClr>
              </a:solidFill>
              <a:prstDash val="solid"/>
            </a:ln>
          </c:spPr>
          <c:invertIfNegative val="0"/>
          <c:pictureOptions>
            <c:pictureFormat val="stretch"/>
          </c:pictureOptions>
          <c:cat>
            <c:numRef>
              <c:f>'U vertibas (LV)'!$B$9:$D$9</c:f>
              <c:numCache>
                <c:formatCode>General</c:formatCode>
                <c:ptCount val="3"/>
                <c:pt idx="0">
                  <c:v>1979</c:v>
                </c:pt>
                <c:pt idx="1">
                  <c:v>1992</c:v>
                </c:pt>
                <c:pt idx="2">
                  <c:v>2003</c:v>
                </c:pt>
              </c:numCache>
            </c:numRef>
          </c:cat>
          <c:val>
            <c:numRef>
              <c:f>'U vertibas (LV)'!$B$10:$D$10</c:f>
              <c:numCache>
                <c:formatCode>0.00</c:formatCode>
                <c:ptCount val="3"/>
                <c:pt idx="0" formatCode="0.0">
                  <c:v>1.1000000000000001</c:v>
                </c:pt>
                <c:pt idx="1">
                  <c:v>0.42000000000000004</c:v>
                </c:pt>
                <c:pt idx="2">
                  <c:v>0.25</c:v>
                </c:pt>
              </c:numCache>
            </c:numRef>
          </c:val>
        </c:ser>
        <c:ser>
          <c:idx val="0"/>
          <c:order val="1"/>
          <c:tx>
            <c:strRef>
              <c:f>'U vertibas (LV)'!$A$11</c:f>
              <c:strCache>
                <c:ptCount val="1"/>
                <c:pt idx="0">
                  <c:v>Sienas (masīvas)</c:v>
                </c:pt>
              </c:strCache>
            </c:strRef>
          </c:tx>
          <c:spPr>
            <a:pattFill prst="horzBrick">
              <a:fgClr>
                <a:srgbClr val="FF9900"/>
              </a:fgClr>
              <a:bgClr>
                <a:srgbClr val="FFFFFF"/>
              </a:bgClr>
            </a:pattFill>
            <a:ln w="19050">
              <a:solidFill>
                <a:srgbClr val="FF0000"/>
              </a:solidFill>
              <a:prstDash val="solid"/>
            </a:ln>
          </c:spPr>
          <c:invertIfNegative val="0"/>
          <c:cat>
            <c:numRef>
              <c:f>'U vertibas (LV)'!$B$9:$D$9</c:f>
              <c:numCache>
                <c:formatCode>General</c:formatCode>
                <c:ptCount val="3"/>
                <c:pt idx="0">
                  <c:v>1979</c:v>
                </c:pt>
                <c:pt idx="1">
                  <c:v>1992</c:v>
                </c:pt>
                <c:pt idx="2">
                  <c:v>2003</c:v>
                </c:pt>
              </c:numCache>
            </c:numRef>
          </c:cat>
          <c:val>
            <c:numRef>
              <c:f>'U vertibas (LV)'!$B$11:$D$11</c:f>
              <c:numCache>
                <c:formatCode>0.00</c:formatCode>
                <c:ptCount val="3"/>
                <c:pt idx="0" formatCode="0.0">
                  <c:v>1.1000000000000001</c:v>
                </c:pt>
                <c:pt idx="1">
                  <c:v>0.42000000000000004</c:v>
                </c:pt>
                <c:pt idx="2">
                  <c:v>0.30000000000000004</c:v>
                </c:pt>
              </c:numCache>
            </c:numRef>
          </c:val>
        </c:ser>
        <c:ser>
          <c:idx val="3"/>
          <c:order val="2"/>
          <c:tx>
            <c:strRef>
              <c:f>'U vertibas (LV)'!$A$12</c:f>
              <c:strCache>
                <c:ptCount val="1"/>
                <c:pt idx="0">
                  <c:v>Jumti/ pārsegumi</c:v>
                </c:pt>
              </c:strCache>
            </c:strRef>
          </c:tx>
          <c:spPr>
            <a:blipFill>
              <a:blip xmlns:r="http://schemas.openxmlformats.org/officeDocument/2006/relationships" r:embed="rId2"/>
              <a:tile tx="0" ty="0" sx="100000" sy="100000" flip="none" algn="tl"/>
            </a:blipFill>
            <a:ln w="15875">
              <a:solidFill>
                <a:schemeClr val="bg1">
                  <a:lumMod val="50000"/>
                </a:schemeClr>
              </a:solidFill>
            </a:ln>
          </c:spPr>
          <c:invertIfNegative val="0"/>
          <c:cat>
            <c:numRef>
              <c:f>'U vertibas (LV)'!$B$9:$D$9</c:f>
              <c:numCache>
                <c:formatCode>General</c:formatCode>
                <c:ptCount val="3"/>
                <c:pt idx="0">
                  <c:v>1979</c:v>
                </c:pt>
                <c:pt idx="1">
                  <c:v>1992</c:v>
                </c:pt>
                <c:pt idx="2">
                  <c:v>2003</c:v>
                </c:pt>
              </c:numCache>
            </c:numRef>
          </c:cat>
          <c:val>
            <c:numRef>
              <c:f>'U vertibas (LV)'!$B$12:$D$12</c:f>
              <c:numCache>
                <c:formatCode>0.00</c:formatCode>
                <c:ptCount val="3"/>
                <c:pt idx="0" formatCode="0.0">
                  <c:v>0.91</c:v>
                </c:pt>
                <c:pt idx="1">
                  <c:v>0.33000000000000007</c:v>
                </c:pt>
                <c:pt idx="2" formatCode="0.0">
                  <c:v>0.2</c:v>
                </c:pt>
              </c:numCache>
            </c:numRef>
          </c:val>
        </c:ser>
        <c:ser>
          <c:idx val="2"/>
          <c:order val="3"/>
          <c:tx>
            <c:strRef>
              <c:f>'U vertibas (LV)'!$A$13</c:f>
              <c:strCache>
                <c:ptCount val="1"/>
                <c:pt idx="0">
                  <c:v>Logi</c:v>
                </c:pt>
              </c:strCache>
            </c:strRef>
          </c:tx>
          <c:spPr>
            <a:solidFill>
              <a:srgbClr val="CCFFFF"/>
            </a:solidFill>
            <a:ln w="19050">
              <a:solidFill>
                <a:srgbClr val="00CCFF"/>
              </a:solidFill>
              <a:prstDash val="solid"/>
            </a:ln>
          </c:spPr>
          <c:invertIfNegative val="0"/>
          <c:cat>
            <c:numRef>
              <c:f>'U vertibas (LV)'!$B$9:$D$9</c:f>
              <c:numCache>
                <c:formatCode>General</c:formatCode>
                <c:ptCount val="3"/>
                <c:pt idx="0">
                  <c:v>1979</c:v>
                </c:pt>
                <c:pt idx="1">
                  <c:v>1992</c:v>
                </c:pt>
                <c:pt idx="2">
                  <c:v>2003</c:v>
                </c:pt>
              </c:numCache>
            </c:numRef>
          </c:cat>
          <c:val>
            <c:numRef>
              <c:f>'U vertibas (LV)'!$B$13:$D$13</c:f>
              <c:numCache>
                <c:formatCode>0.0</c:formatCode>
                <c:ptCount val="3"/>
                <c:pt idx="0">
                  <c:v>2.4</c:v>
                </c:pt>
                <c:pt idx="1">
                  <c:v>2.2222222222222228</c:v>
                </c:pt>
                <c:pt idx="2">
                  <c:v>1.8</c:v>
                </c:pt>
              </c:numCache>
            </c:numRef>
          </c:val>
        </c:ser>
        <c:dLbls>
          <c:showLegendKey val="0"/>
          <c:showVal val="0"/>
          <c:showCatName val="0"/>
          <c:showSerName val="0"/>
          <c:showPercent val="0"/>
          <c:showBubbleSize val="0"/>
        </c:dLbls>
        <c:gapWidth val="150"/>
        <c:axId val="118493568"/>
        <c:axId val="118495104"/>
      </c:barChart>
      <c:catAx>
        <c:axId val="118493568"/>
        <c:scaling>
          <c:orientation val="minMax"/>
        </c:scaling>
        <c:delete val="0"/>
        <c:axPos val="b"/>
        <c:numFmt formatCode="General" sourceLinked="1"/>
        <c:majorTickMark val="none"/>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lv-LV"/>
          </a:p>
        </c:txPr>
        <c:crossAx val="118495104"/>
        <c:crosses val="autoZero"/>
        <c:auto val="1"/>
        <c:lblAlgn val="ctr"/>
        <c:lblOffset val="100"/>
        <c:tickLblSkip val="1"/>
        <c:tickMarkSkip val="1"/>
        <c:noMultiLvlLbl val="0"/>
      </c:catAx>
      <c:valAx>
        <c:axId val="118495104"/>
        <c:scaling>
          <c:orientation val="minMax"/>
          <c:max val="2.5"/>
        </c:scaling>
        <c:delete val="0"/>
        <c:axPos val="l"/>
        <c:majorGridlines>
          <c:spPr>
            <a:ln w="3175">
              <a:solidFill>
                <a:srgbClr val="000000"/>
              </a:solidFill>
              <a:prstDash val="solid"/>
            </a:ln>
          </c:spPr>
        </c:majorGridlines>
        <c:title>
          <c:tx>
            <c:rich>
              <a:bodyPr rot="0" vert="horz"/>
              <a:lstStyle/>
              <a:p>
                <a:pPr>
                  <a:defRPr b="1"/>
                </a:pPr>
                <a:r>
                  <a:rPr lang="lv-LV" b="1"/>
                  <a:t>U-vērtība</a:t>
                </a:r>
              </a:p>
              <a:p>
                <a:pPr>
                  <a:defRPr b="1"/>
                </a:pPr>
                <a:r>
                  <a:rPr lang="lv-LV" b="1"/>
                  <a:t>_</a:t>
                </a:r>
                <a:r>
                  <a:rPr lang="lv-LV" b="1" u="sng"/>
                  <a:t>W</a:t>
                </a:r>
                <a:r>
                  <a:rPr lang="lv-LV" b="1" u="none"/>
                  <a:t>_</a:t>
                </a:r>
              </a:p>
              <a:p>
                <a:pPr>
                  <a:defRPr b="1"/>
                </a:pPr>
                <a:r>
                  <a:rPr lang="lv-LV" b="1"/>
                  <a:t> m</a:t>
                </a:r>
                <a:r>
                  <a:rPr lang="lv-LV" b="1" baseline="30000"/>
                  <a:t>2</a:t>
                </a:r>
                <a:r>
                  <a:rPr lang="lv-LV" b="1"/>
                  <a:t> K</a:t>
                </a:r>
              </a:p>
            </c:rich>
          </c:tx>
          <c:overlay val="0"/>
        </c:title>
        <c:numFmt formatCode="0.0" sourceLinked="1"/>
        <c:majorTickMark val="none"/>
        <c:minorTickMark val="none"/>
        <c:tickLblPos val="nextTo"/>
        <c:txPr>
          <a:bodyPr rot="0" vert="horz"/>
          <a:lstStyle/>
          <a:p>
            <a:pPr>
              <a:defRPr sz="1000" b="0" i="0" u="none" strike="noStrike" baseline="0">
                <a:solidFill>
                  <a:srgbClr val="000000"/>
                </a:solidFill>
                <a:latin typeface="Arial"/>
                <a:ea typeface="Arial"/>
                <a:cs typeface="Arial"/>
              </a:defRPr>
            </a:pPr>
            <a:endParaRPr lang="lv-LV"/>
          </a:p>
        </c:txPr>
        <c:crossAx val="118493568"/>
        <c:crosses val="autoZero"/>
        <c:crossBetween val="between"/>
      </c:valAx>
      <c:dTable>
        <c:showHorzBorder val="1"/>
        <c:showVertBorder val="1"/>
        <c:showOutline val="1"/>
        <c:showKeys val="1"/>
      </c:dTable>
      <c:spPr>
        <a:noFill/>
        <a:ln w="25400">
          <a:noFill/>
        </a:ln>
      </c:spPr>
    </c:plotArea>
    <c:plotVisOnly val="1"/>
    <c:dispBlanksAs val="gap"/>
    <c:showDLblsOverMax val="0"/>
  </c:chart>
  <c:spPr>
    <a:solidFill>
      <a:srgbClr val="FFFFFF"/>
    </a:solidFill>
    <a:ln w="9525">
      <a:noFill/>
    </a:ln>
  </c:spPr>
  <c:txPr>
    <a:bodyPr/>
    <a:lstStyle/>
    <a:p>
      <a:pPr>
        <a:defRPr sz="1000" b="0" i="0" u="none" strike="noStrike" baseline="0">
          <a:solidFill>
            <a:srgbClr val="000000"/>
          </a:solidFill>
          <a:latin typeface="Arial"/>
          <a:ea typeface="Arial"/>
          <a:cs typeface="Arial"/>
        </a:defRPr>
      </a:pPr>
      <a:endParaRPr lang="lv-LV"/>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manualLayout>
          <c:layoutTarget val="inner"/>
          <c:xMode val="edge"/>
          <c:yMode val="edge"/>
          <c:x val="0.2358915135608049"/>
          <c:y val="0.24816038073061891"/>
          <c:w val="0.58637896578716031"/>
          <c:h val="0.65026461186515105"/>
        </c:manualLayout>
      </c:layout>
      <c:pieChart>
        <c:varyColors val="1"/>
        <c:ser>
          <c:idx val="0"/>
          <c:order val="0"/>
          <c:tx>
            <c:strRef>
              <c:f>Sheet2!$E$2</c:f>
              <c:strCache>
                <c:ptCount val="1"/>
                <c:pt idx="0">
                  <c:v>Ēku skaits</c:v>
                </c:pt>
              </c:strCache>
            </c:strRef>
          </c:tx>
          <c:dLbls>
            <c:txPr>
              <a:bodyPr/>
              <a:lstStyle/>
              <a:p>
                <a:pPr>
                  <a:defRPr sz="1000" b="0" i="0" u="none" strike="noStrike" baseline="0">
                    <a:solidFill>
                      <a:srgbClr val="000000"/>
                    </a:solidFill>
                    <a:latin typeface="Calibri"/>
                    <a:ea typeface="Calibri"/>
                    <a:cs typeface="Calibri"/>
                  </a:defRPr>
                </a:pPr>
                <a:endParaRPr lang="lv-LV"/>
              </a:p>
            </c:txPr>
            <c:showLegendKey val="0"/>
            <c:showVal val="0"/>
            <c:showCatName val="1"/>
            <c:showSerName val="0"/>
            <c:showPercent val="1"/>
            <c:showBubbleSize val="0"/>
            <c:showLeaderLines val="1"/>
          </c:dLbls>
          <c:cat>
            <c:strRef>
              <c:f>Sheet2!$D$3:$D$8</c:f>
              <c:strCache>
                <c:ptCount val="6"/>
                <c:pt idx="0">
                  <c:v>Līdz 1940.g.</c:v>
                </c:pt>
                <c:pt idx="1">
                  <c:v>1941.-1960.</c:v>
                </c:pt>
                <c:pt idx="2">
                  <c:v>1961.-1979.</c:v>
                </c:pt>
                <c:pt idx="3">
                  <c:v>1980.-1992.</c:v>
                </c:pt>
                <c:pt idx="4">
                  <c:v>1993.-2002.</c:v>
                </c:pt>
                <c:pt idx="5">
                  <c:v>Pēc 2003.g.</c:v>
                </c:pt>
              </c:strCache>
            </c:strRef>
          </c:cat>
          <c:val>
            <c:numRef>
              <c:f>Sheet2!$E$3:$E$8</c:f>
              <c:numCache>
                <c:formatCode>0.0%</c:formatCode>
                <c:ptCount val="6"/>
                <c:pt idx="0">
                  <c:v>0.40492813389283361</c:v>
                </c:pt>
                <c:pt idx="1">
                  <c:v>0.15534413736555291</c:v>
                </c:pt>
                <c:pt idx="2">
                  <c:v>0.18362332995707326</c:v>
                </c:pt>
                <c:pt idx="3">
                  <c:v>0.15632687020691652</c:v>
                </c:pt>
                <c:pt idx="4">
                  <c:v>0.12813509863502628</c:v>
                </c:pt>
                <c:pt idx="5">
                  <c:v>3.2843172719819409E-2</c:v>
                </c:pt>
              </c:numCache>
            </c:numRef>
          </c:val>
        </c:ser>
        <c:dLbls>
          <c:showLegendKey val="0"/>
          <c:showVal val="0"/>
          <c:showCatName val="1"/>
          <c:showSerName val="0"/>
          <c:showPercent val="1"/>
          <c:showBubbleSize val="0"/>
          <c:showLeaderLines val="1"/>
        </c:dLbls>
        <c:firstSliceAng val="0"/>
      </c:pieChart>
      <c:spPr>
        <a:noFill/>
        <a:ln w="25400">
          <a:noFill/>
        </a:ln>
      </c:spPr>
    </c:plotArea>
    <c:plotVisOnly val="1"/>
    <c:dispBlanksAs val="zero"/>
    <c:showDLblsOverMax val="0"/>
  </c:chart>
  <c:spPr>
    <a:ln>
      <a:noFill/>
    </a:ln>
  </c:spPr>
  <c:txPr>
    <a:bodyPr/>
    <a:lstStyle/>
    <a:p>
      <a:pPr>
        <a:defRPr sz="1000" b="0" i="0" u="none" strike="noStrike" baseline="0">
          <a:solidFill>
            <a:srgbClr val="000000"/>
          </a:solidFill>
          <a:latin typeface="Calibri"/>
          <a:ea typeface="Calibri"/>
          <a:cs typeface="Calibri"/>
        </a:defRPr>
      </a:pPr>
      <a:endParaRPr lang="lv-LV"/>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manualLayout>
          <c:layoutTarget val="inner"/>
          <c:xMode val="edge"/>
          <c:yMode val="edge"/>
          <c:x val="0.23537704251615021"/>
          <c:y val="0.22310688896681438"/>
          <c:w val="0.56766333501241639"/>
          <c:h val="0.68257494129022767"/>
        </c:manualLayout>
      </c:layout>
      <c:pieChart>
        <c:varyColors val="1"/>
        <c:ser>
          <c:idx val="0"/>
          <c:order val="0"/>
          <c:tx>
            <c:strRef>
              <c:f>Sheet2!$F$2</c:f>
              <c:strCache>
                <c:ptCount val="1"/>
                <c:pt idx="0">
                  <c:v>Ēku kopējā platība</c:v>
                </c:pt>
              </c:strCache>
            </c:strRef>
          </c:tx>
          <c:dLbls>
            <c:showLegendKey val="0"/>
            <c:showVal val="0"/>
            <c:showCatName val="1"/>
            <c:showSerName val="0"/>
            <c:showPercent val="1"/>
            <c:showBubbleSize val="0"/>
            <c:showLeaderLines val="1"/>
          </c:dLbls>
          <c:cat>
            <c:strRef>
              <c:f>Sheet2!$D$3:$D$8</c:f>
              <c:strCache>
                <c:ptCount val="6"/>
                <c:pt idx="0">
                  <c:v>Līdz 1940.g.</c:v>
                </c:pt>
                <c:pt idx="1">
                  <c:v>1941.-1960.</c:v>
                </c:pt>
                <c:pt idx="2">
                  <c:v>1961.-1979.</c:v>
                </c:pt>
                <c:pt idx="3">
                  <c:v>1980.-1992.</c:v>
                </c:pt>
                <c:pt idx="4">
                  <c:v>1993.-2002.</c:v>
                </c:pt>
                <c:pt idx="5">
                  <c:v>Pēc 2003.g.</c:v>
                </c:pt>
              </c:strCache>
            </c:strRef>
          </c:cat>
          <c:val>
            <c:numRef>
              <c:f>Sheet2!$F$3:$F$8</c:f>
              <c:numCache>
                <c:formatCode>0.0%</c:formatCode>
                <c:ptCount val="6"/>
                <c:pt idx="0">
                  <c:v>0.26015022080015893</c:v>
                </c:pt>
                <c:pt idx="1">
                  <c:v>8.8915672513471308E-2</c:v>
                </c:pt>
                <c:pt idx="2">
                  <c:v>0.29680993037487607</c:v>
                </c:pt>
                <c:pt idx="3">
                  <c:v>0.2463080063455417</c:v>
                </c:pt>
                <c:pt idx="4">
                  <c:v>5.8813489738789033E-2</c:v>
                </c:pt>
                <c:pt idx="5">
                  <c:v>4.9002680227172475E-2</c:v>
                </c:pt>
              </c:numCache>
            </c:numRef>
          </c:val>
        </c:ser>
        <c:dLbls>
          <c:showLegendKey val="0"/>
          <c:showVal val="0"/>
          <c:showCatName val="1"/>
          <c:showSerName val="0"/>
          <c:showPercent val="1"/>
          <c:showBubbleSize val="0"/>
          <c:showLeaderLines val="1"/>
        </c:dLbls>
        <c:firstSliceAng val="0"/>
      </c:pieChart>
    </c:plotArea>
    <c:plotVisOnly val="1"/>
    <c:dispBlanksAs val="zero"/>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305327152058166"/>
          <c:y val="3.4913583915218142E-2"/>
          <c:w val="0.87384961932632554"/>
          <c:h val="0.46145410628019334"/>
        </c:manualLayout>
      </c:layout>
      <c:lineChart>
        <c:grouping val="standard"/>
        <c:varyColors val="0"/>
        <c:ser>
          <c:idx val="0"/>
          <c:order val="0"/>
          <c:tx>
            <c:strRef>
              <c:f>'EN15 (GWh)'!$A$81</c:f>
              <c:strCache>
                <c:ptCount val="1"/>
                <c:pt idx="0">
                  <c:v>Vidējais mājsaimniecību enerģijas galapatēriņš uz dzīvojamo platību (faktiski)</c:v>
                </c:pt>
              </c:strCache>
            </c:strRef>
          </c:tx>
          <c:spPr>
            <a:ln>
              <a:solidFill>
                <a:srgbClr val="3366FF"/>
              </a:solidFill>
            </a:ln>
          </c:spPr>
          <c:marker>
            <c:symbol val="square"/>
            <c:size val="7"/>
            <c:spPr>
              <a:solidFill>
                <a:srgbClr val="3366FF"/>
              </a:solidFill>
              <a:ln>
                <a:noFill/>
              </a:ln>
            </c:spPr>
          </c:marker>
          <c:cat>
            <c:numRef>
              <c:f>'EN15 (GWh)'!$B$57:$K$57</c:f>
              <c:numCache>
                <c:formatCode>General</c:formatCode>
                <c:ptCount val="10"/>
                <c:pt idx="0">
                  <c:v>2000</c:v>
                </c:pt>
                <c:pt idx="1">
                  <c:v>2001</c:v>
                </c:pt>
                <c:pt idx="2">
                  <c:v>2002</c:v>
                </c:pt>
                <c:pt idx="3">
                  <c:v>2003</c:v>
                </c:pt>
                <c:pt idx="4">
                  <c:v>2004</c:v>
                </c:pt>
                <c:pt idx="5">
                  <c:v>2005</c:v>
                </c:pt>
                <c:pt idx="6">
                  <c:v>2006</c:v>
                </c:pt>
                <c:pt idx="7">
                  <c:v>2007</c:v>
                </c:pt>
                <c:pt idx="8">
                  <c:v>2008</c:v>
                </c:pt>
                <c:pt idx="9">
                  <c:v>2009</c:v>
                </c:pt>
              </c:numCache>
            </c:numRef>
          </c:cat>
          <c:val>
            <c:numRef>
              <c:f>'EN15 (GWh)'!$B$81:$K$81</c:f>
              <c:numCache>
                <c:formatCode>0</c:formatCode>
                <c:ptCount val="10"/>
                <c:pt idx="0">
                  <c:v>288.38525441329165</c:v>
                </c:pt>
                <c:pt idx="1">
                  <c:v>313.52024922118369</c:v>
                </c:pt>
                <c:pt idx="2">
                  <c:v>302.59595959595953</c:v>
                </c:pt>
                <c:pt idx="3">
                  <c:v>314.63096670677896</c:v>
                </c:pt>
                <c:pt idx="4">
                  <c:v>305.31293325410923</c:v>
                </c:pt>
                <c:pt idx="5">
                  <c:v>306.85672514619864</c:v>
                </c:pt>
                <c:pt idx="6">
                  <c:v>293.35604770016994</c:v>
                </c:pt>
                <c:pt idx="7">
                  <c:v>282.14549824366838</c:v>
                </c:pt>
                <c:pt idx="8">
                  <c:v>276.73952641165693</c:v>
                </c:pt>
                <c:pt idx="9">
                  <c:v>292.10310965630111</c:v>
                </c:pt>
              </c:numCache>
            </c:numRef>
          </c:val>
          <c:smooth val="0"/>
        </c:ser>
        <c:ser>
          <c:idx val="1"/>
          <c:order val="1"/>
          <c:tx>
            <c:strRef>
              <c:f>'EN15 (GWh)'!$A$82</c:f>
              <c:strCache>
                <c:ptCount val="1"/>
                <c:pt idx="0">
                  <c:v>Vidējais mājsaimniecību enerģijas galapatēriņš uz dzīvojamo platību (koriģēts ar klimata korekciju)</c:v>
                </c:pt>
              </c:strCache>
            </c:strRef>
          </c:tx>
          <c:spPr>
            <a:ln>
              <a:solidFill>
                <a:srgbClr val="3366FF"/>
              </a:solidFill>
              <a:prstDash val="sysDash"/>
            </a:ln>
          </c:spPr>
          <c:marker>
            <c:symbol val="square"/>
            <c:size val="7"/>
            <c:spPr>
              <a:solidFill>
                <a:schemeClr val="bg1"/>
              </a:solidFill>
              <a:ln>
                <a:solidFill>
                  <a:srgbClr val="3366FF"/>
                </a:solidFill>
              </a:ln>
            </c:spPr>
          </c:marker>
          <c:cat>
            <c:numRef>
              <c:f>'EN15 (GWh)'!$B$57:$K$57</c:f>
              <c:numCache>
                <c:formatCode>General</c:formatCode>
                <c:ptCount val="10"/>
                <c:pt idx="0">
                  <c:v>2000</c:v>
                </c:pt>
                <c:pt idx="1">
                  <c:v>2001</c:v>
                </c:pt>
                <c:pt idx="2">
                  <c:v>2002</c:v>
                </c:pt>
                <c:pt idx="3">
                  <c:v>2003</c:v>
                </c:pt>
                <c:pt idx="4">
                  <c:v>2004</c:v>
                </c:pt>
                <c:pt idx="5">
                  <c:v>2005</c:v>
                </c:pt>
                <c:pt idx="6">
                  <c:v>2006</c:v>
                </c:pt>
                <c:pt idx="7">
                  <c:v>2007</c:v>
                </c:pt>
                <c:pt idx="8">
                  <c:v>2008</c:v>
                </c:pt>
                <c:pt idx="9">
                  <c:v>2009</c:v>
                </c:pt>
              </c:numCache>
            </c:numRef>
          </c:cat>
          <c:val>
            <c:numRef>
              <c:f>'EN15 (GWh)'!$B$82:$K$82</c:f>
              <c:numCache>
                <c:formatCode>0</c:formatCode>
                <c:ptCount val="10"/>
                <c:pt idx="0">
                  <c:v>306.78594792870825</c:v>
                </c:pt>
                <c:pt idx="1">
                  <c:v>308.00571042983933</c:v>
                </c:pt>
                <c:pt idx="2">
                  <c:v>303.73595526834305</c:v>
                </c:pt>
                <c:pt idx="3">
                  <c:v>304.42820359824663</c:v>
                </c:pt>
                <c:pt idx="4">
                  <c:v>298.05762482838702</c:v>
                </c:pt>
                <c:pt idx="5">
                  <c:v>300.32347285765195</c:v>
                </c:pt>
                <c:pt idx="6">
                  <c:v>295.87685951360646</c:v>
                </c:pt>
                <c:pt idx="7">
                  <c:v>290.55335286501395</c:v>
                </c:pt>
                <c:pt idx="8">
                  <c:v>293.21885222985338</c:v>
                </c:pt>
                <c:pt idx="9">
                  <c:v>287.28412229259294</c:v>
                </c:pt>
              </c:numCache>
            </c:numRef>
          </c:val>
          <c:smooth val="0"/>
        </c:ser>
        <c:ser>
          <c:idx val="2"/>
          <c:order val="2"/>
          <c:tx>
            <c:strRef>
              <c:f>'EN15 (GWh)'!$A$87</c:f>
              <c:strCache>
                <c:ptCount val="1"/>
                <c:pt idx="0">
                  <c:v>Vidējais mājsaimniecību enerģijas galapatēriņš apkurei un karstajam ūdenim uz dzīvojamo platību (faktiski)</c:v>
                </c:pt>
              </c:strCache>
            </c:strRef>
          </c:tx>
          <c:spPr>
            <a:ln>
              <a:solidFill>
                <a:srgbClr val="FF0000"/>
              </a:solidFill>
            </a:ln>
          </c:spPr>
          <c:marker>
            <c:spPr>
              <a:solidFill>
                <a:srgbClr val="FF0000"/>
              </a:solidFill>
              <a:ln>
                <a:noFill/>
              </a:ln>
            </c:spPr>
          </c:marker>
          <c:val>
            <c:numRef>
              <c:f>'EN15 (GWh)'!$B$87:$K$87</c:f>
              <c:numCache>
                <c:formatCode>0</c:formatCode>
                <c:ptCount val="10"/>
                <c:pt idx="0">
                  <c:v>254.49998701973001</c:v>
                </c:pt>
                <c:pt idx="1">
                  <c:v>276.36809968847359</c:v>
                </c:pt>
                <c:pt idx="2">
                  <c:v>265.61873333333432</c:v>
                </c:pt>
                <c:pt idx="3">
                  <c:v>275.6481899318091</c:v>
                </c:pt>
                <c:pt idx="4">
                  <c:v>266.23287779758363</c:v>
                </c:pt>
                <c:pt idx="5">
                  <c:v>267.88592105263155</c:v>
                </c:pt>
                <c:pt idx="6">
                  <c:v>252.28620102214632</c:v>
                </c:pt>
                <c:pt idx="7">
                  <c:v>242.50405574043182</c:v>
                </c:pt>
                <c:pt idx="8">
                  <c:v>237.1657741347895</c:v>
                </c:pt>
                <c:pt idx="9">
                  <c:v>250.04026186579381</c:v>
                </c:pt>
              </c:numCache>
            </c:numRef>
          </c:val>
          <c:smooth val="0"/>
        </c:ser>
        <c:ser>
          <c:idx val="3"/>
          <c:order val="3"/>
          <c:tx>
            <c:strRef>
              <c:f>'EN15 (GWh)'!$A$88</c:f>
              <c:strCache>
                <c:ptCount val="1"/>
                <c:pt idx="0">
                  <c:v>Vidējais mājsaimniecību enerģijas galapatēriņš apkurei un karstajam ūdenim uz dzīvojamo platību (koriģēts ar klimata korekciju)</c:v>
                </c:pt>
              </c:strCache>
            </c:strRef>
          </c:tx>
          <c:spPr>
            <a:ln>
              <a:solidFill>
                <a:srgbClr val="FF0000"/>
              </a:solidFill>
              <a:prstDash val="sysDash"/>
            </a:ln>
          </c:spPr>
          <c:marker>
            <c:symbol val="triangle"/>
            <c:size val="7"/>
            <c:spPr>
              <a:solidFill>
                <a:schemeClr val="bg1"/>
              </a:solidFill>
              <a:ln>
                <a:solidFill>
                  <a:srgbClr val="FF0000"/>
                </a:solidFill>
              </a:ln>
            </c:spPr>
          </c:marker>
          <c:val>
            <c:numRef>
              <c:f>'EN15 (GWh)'!$B$88:$K$88</c:f>
              <c:numCache>
                <c:formatCode>0</c:formatCode>
                <c:ptCount val="10"/>
                <c:pt idx="0">
                  <c:v>276.12064129303792</c:v>
                </c:pt>
                <c:pt idx="1">
                  <c:v>270.04791426640605</c:v>
                </c:pt>
                <c:pt idx="2">
                  <c:v>266.94966810718205</c:v>
                </c:pt>
                <c:pt idx="3">
                  <c:v>263.72198044943519</c:v>
                </c:pt>
                <c:pt idx="4">
                  <c:v>257.60746909111901</c:v>
                </c:pt>
                <c:pt idx="5">
                  <c:v>259.95455394407907</c:v>
                </c:pt>
                <c:pt idx="6">
                  <c:v>255.44025905831705</c:v>
                </c:pt>
                <c:pt idx="7">
                  <c:v>253.19219637082847</c:v>
                </c:pt>
                <c:pt idx="8">
                  <c:v>258.49914857277895</c:v>
                </c:pt>
                <c:pt idx="9">
                  <c:v>243.98598404255074</c:v>
                </c:pt>
              </c:numCache>
            </c:numRef>
          </c:val>
          <c:smooth val="0"/>
        </c:ser>
        <c:dLbls>
          <c:showLegendKey val="0"/>
          <c:showVal val="0"/>
          <c:showCatName val="0"/>
          <c:showSerName val="0"/>
          <c:showPercent val="0"/>
          <c:showBubbleSize val="0"/>
        </c:dLbls>
        <c:marker val="1"/>
        <c:smooth val="0"/>
        <c:axId val="122161024"/>
        <c:axId val="122179584"/>
      </c:lineChart>
      <c:catAx>
        <c:axId val="122161024"/>
        <c:scaling>
          <c:orientation val="minMax"/>
        </c:scaling>
        <c:delete val="0"/>
        <c:axPos val="b"/>
        <c:numFmt formatCode="General" sourceLinked="1"/>
        <c:majorTickMark val="out"/>
        <c:minorTickMark val="none"/>
        <c:tickLblPos val="nextTo"/>
        <c:spPr>
          <a:ln>
            <a:solidFill>
              <a:schemeClr val="tx1"/>
            </a:solidFill>
          </a:ln>
        </c:spPr>
        <c:txPr>
          <a:bodyPr rot="0" vert="horz"/>
          <a:lstStyle/>
          <a:p>
            <a:pPr>
              <a:defRPr/>
            </a:pPr>
            <a:endParaRPr lang="lv-LV"/>
          </a:p>
        </c:txPr>
        <c:crossAx val="122179584"/>
        <c:crosses val="autoZero"/>
        <c:auto val="1"/>
        <c:lblAlgn val="ctr"/>
        <c:lblOffset val="100"/>
        <c:noMultiLvlLbl val="0"/>
      </c:catAx>
      <c:valAx>
        <c:axId val="122179584"/>
        <c:scaling>
          <c:orientation val="minMax"/>
          <c:max val="320"/>
          <c:min val="220"/>
        </c:scaling>
        <c:delete val="0"/>
        <c:axPos val="l"/>
        <c:majorGridlines>
          <c:spPr>
            <a:ln>
              <a:solidFill>
                <a:srgbClr val="868686"/>
              </a:solidFill>
              <a:prstDash val="sysDash"/>
            </a:ln>
          </c:spPr>
        </c:majorGridlines>
        <c:title>
          <c:tx>
            <c:rich>
              <a:bodyPr rot="-5400000" vert="horz"/>
              <a:lstStyle/>
              <a:p>
                <a:pPr>
                  <a:defRPr/>
                </a:pPr>
                <a:r>
                  <a:rPr lang="lv-LV"/>
                  <a:t>kWh/m</a:t>
                </a:r>
                <a:r>
                  <a:rPr lang="lv-LV" baseline="30000"/>
                  <a:t>2</a:t>
                </a:r>
              </a:p>
            </c:rich>
          </c:tx>
          <c:overlay val="0"/>
        </c:title>
        <c:numFmt formatCode="0" sourceLinked="1"/>
        <c:majorTickMark val="out"/>
        <c:minorTickMark val="none"/>
        <c:tickLblPos val="nextTo"/>
        <c:spPr>
          <a:ln>
            <a:solidFill>
              <a:sysClr val="windowText" lastClr="000000"/>
            </a:solidFill>
          </a:ln>
        </c:spPr>
        <c:crossAx val="122161024"/>
        <c:crosses val="autoZero"/>
        <c:crossBetween val="between"/>
        <c:majorUnit val="20"/>
      </c:valAx>
    </c:plotArea>
    <c:legend>
      <c:legendPos val="b"/>
      <c:layout>
        <c:manualLayout>
          <c:xMode val="edge"/>
          <c:yMode val="edge"/>
          <c:x val="3.2877421741044952E-2"/>
          <c:y val="0.62009130434783089"/>
          <c:w val="0.93016736414434875"/>
          <c:h val="0.36104082125603881"/>
        </c:manualLayout>
      </c:layout>
      <c:overlay val="0"/>
      <c:txPr>
        <a:bodyPr/>
        <a:lstStyle/>
        <a:p>
          <a:pPr>
            <a:defRPr sz="800"/>
          </a:pPr>
          <a:endParaRPr lang="lv-LV"/>
        </a:p>
      </c:txPr>
    </c:legend>
    <c:plotVisOnly val="1"/>
    <c:dispBlanksAs val="gap"/>
    <c:showDLblsOverMax val="0"/>
  </c:chart>
  <c:spPr>
    <a:ln>
      <a:noFill/>
    </a:ln>
  </c:spPr>
  <c:txPr>
    <a:bodyPr/>
    <a:lstStyle/>
    <a:p>
      <a:pPr>
        <a:defRPr>
          <a:latin typeface="Verdana" pitchFamily="34" charset="0"/>
        </a:defRPr>
      </a:pPr>
      <a:endParaRPr lang="lv-LV"/>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1215995368318655"/>
          <c:y val="0.12361111111111173"/>
          <c:w val="0.40063301391556527"/>
          <c:h val="0.80277777777777781"/>
        </c:manualLayout>
      </c:layout>
      <c:pieChart>
        <c:varyColors val="1"/>
        <c:ser>
          <c:idx val="0"/>
          <c:order val="0"/>
          <c:tx>
            <c:strRef>
              <c:f>Sheet1!$A$14</c:f>
              <c:strCache>
                <c:ptCount val="1"/>
                <c:pt idx="0">
                  <c:v>Latvija</c:v>
                </c:pt>
              </c:strCache>
            </c:strRef>
          </c:tx>
          <c:dLbls>
            <c:dLbl>
              <c:idx val="0"/>
              <c:layout>
                <c:manualLayout>
                  <c:x val="1.0063837359313274E-3"/>
                  <c:y val="0.14062919218431041"/>
                </c:manualLayout>
              </c:layout>
              <c:showLegendKey val="0"/>
              <c:showVal val="0"/>
              <c:showCatName val="1"/>
              <c:showSerName val="0"/>
              <c:showPercent val="1"/>
              <c:showBubbleSize val="0"/>
            </c:dLbl>
            <c:dLbl>
              <c:idx val="2"/>
              <c:layout>
                <c:manualLayout>
                  <c:x val="2.7295030917745679E-2"/>
                  <c:y val="-6.6752333041703818E-2"/>
                </c:manualLayout>
              </c:layout>
              <c:numFmt formatCode="0.0%" sourceLinked="0"/>
              <c:spPr/>
              <c:txPr>
                <a:bodyPr/>
                <a:lstStyle/>
                <a:p>
                  <a:pPr>
                    <a:defRPr sz="1050" b="1"/>
                  </a:pPr>
                  <a:endParaRPr lang="lv-LV"/>
                </a:p>
              </c:txPr>
              <c:showLegendKey val="0"/>
              <c:showVal val="0"/>
              <c:showCatName val="1"/>
              <c:showSerName val="0"/>
              <c:showPercent val="1"/>
              <c:showBubbleSize val="0"/>
            </c:dLbl>
            <c:numFmt formatCode="0.0%" sourceLinked="0"/>
            <c:txPr>
              <a:bodyPr/>
              <a:lstStyle/>
              <a:p>
                <a:pPr>
                  <a:defRPr sz="1100" b="1"/>
                </a:pPr>
                <a:endParaRPr lang="lv-LV"/>
              </a:p>
            </c:txPr>
            <c:showLegendKey val="0"/>
            <c:showVal val="0"/>
            <c:showCatName val="1"/>
            <c:showSerName val="0"/>
            <c:showPercent val="1"/>
            <c:showBubbleSize val="0"/>
            <c:showLeaderLines val="1"/>
          </c:dLbls>
          <c:cat>
            <c:strRef>
              <c:f>Sheet1!$C$13:$G$13</c:f>
              <c:strCache>
                <c:ptCount val="5"/>
                <c:pt idx="0">
                  <c:v>individuālā māja</c:v>
                </c:pt>
                <c:pt idx="1">
                  <c:v>dvīņu vai rindu māja</c:v>
                </c:pt>
                <c:pt idx="2">
                  <c:v>daudzdzīvokļu māja</c:v>
                </c:pt>
                <c:pt idx="3">
                  <c:v>nedzīvojamā ēka</c:v>
                </c:pt>
                <c:pt idx="4">
                  <c:v>nav norādīts</c:v>
                </c:pt>
              </c:strCache>
            </c:strRef>
          </c:cat>
          <c:val>
            <c:numRef>
              <c:f>Sheet1!$C$14:$G$14</c:f>
              <c:numCache>
                <c:formatCode>General</c:formatCode>
                <c:ptCount val="5"/>
                <c:pt idx="0">
                  <c:v>285160</c:v>
                </c:pt>
                <c:pt idx="1">
                  <c:v>16351</c:v>
                </c:pt>
                <c:pt idx="2">
                  <c:v>679991</c:v>
                </c:pt>
                <c:pt idx="3">
                  <c:v>1473</c:v>
                </c:pt>
                <c:pt idx="4">
                  <c:v>5233</c:v>
                </c:pt>
              </c:numCache>
            </c:numRef>
          </c:val>
        </c:ser>
        <c:dLbls>
          <c:showLegendKey val="0"/>
          <c:showVal val="0"/>
          <c:showCatName val="0"/>
          <c:showSerName val="0"/>
          <c:showPercent val="1"/>
          <c:showBubbleSize val="0"/>
          <c:showLeaderLines val="1"/>
        </c:dLbls>
        <c:firstSliceAng val="0"/>
      </c:pieChart>
    </c:plotArea>
    <c:plotVisOnly val="1"/>
    <c:dispBlanksAs val="zero"/>
    <c:showDLblsOverMax val="0"/>
  </c:chart>
  <c:spPr>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manualLayout>
          <c:layoutTarget val="inner"/>
          <c:xMode val="edge"/>
          <c:yMode val="edge"/>
          <c:x val="0.21967299955997244"/>
          <c:y val="0.23237150141002511"/>
          <c:w val="0.59435963254250923"/>
          <c:h val="0.71321793048759363"/>
        </c:manualLayout>
      </c:layout>
      <c:pieChart>
        <c:varyColors val="1"/>
        <c:ser>
          <c:idx val="0"/>
          <c:order val="0"/>
          <c:tx>
            <c:strRef>
              <c:f>'Dzivojamas ekas'!$B$31</c:f>
              <c:strCache>
                <c:ptCount val="1"/>
                <c:pt idx="0">
                  <c:v>Triju vai vairāku dzīvokļu māju piederība</c:v>
                </c:pt>
              </c:strCache>
            </c:strRef>
          </c:tx>
          <c:dLbls>
            <c:dLbl>
              <c:idx val="0"/>
              <c:layout>
                <c:manualLayout>
                  <c:x val="2.992779286868618E-2"/>
                  <c:y val="3.4123452571186541E-2"/>
                </c:manualLayout>
              </c:layout>
              <c:showLegendKey val="0"/>
              <c:showVal val="0"/>
              <c:showCatName val="1"/>
              <c:showSerName val="0"/>
              <c:showPercent val="1"/>
              <c:showBubbleSize val="0"/>
            </c:dLbl>
            <c:dLbl>
              <c:idx val="4"/>
              <c:layout>
                <c:manualLayout>
                  <c:x val="-4.5020445343801029E-2"/>
                  <c:y val="-2.8547062728958152E-2"/>
                </c:manualLayout>
              </c:layout>
              <c:showLegendKey val="0"/>
              <c:showVal val="0"/>
              <c:showCatName val="1"/>
              <c:showSerName val="0"/>
              <c:showPercent val="1"/>
              <c:showBubbleSize val="0"/>
            </c:dLbl>
            <c:dLbl>
              <c:idx val="5"/>
              <c:layout>
                <c:manualLayout>
                  <c:x val="-0.35507752119972363"/>
                  <c:y val="0.12639270831508767"/>
                </c:manualLayout>
              </c:layout>
              <c:showLegendKey val="0"/>
              <c:showVal val="0"/>
              <c:showCatName val="1"/>
              <c:showSerName val="0"/>
              <c:showPercent val="1"/>
              <c:showBubbleSize val="0"/>
            </c:dLbl>
            <c:numFmt formatCode="0.0%" sourceLinked="0"/>
            <c:showLegendKey val="0"/>
            <c:showVal val="0"/>
            <c:showCatName val="1"/>
            <c:showSerName val="0"/>
            <c:showPercent val="1"/>
            <c:showBubbleSize val="0"/>
            <c:showLeaderLines val="1"/>
          </c:dLbls>
          <c:cat>
            <c:strRef>
              <c:f>'Dzivojamas ekas'!$C$30:$H$30</c:f>
              <c:strCache>
                <c:ptCount val="6"/>
                <c:pt idx="0">
                  <c:v>Fiziska persona</c:v>
                </c:pt>
                <c:pt idx="1">
                  <c:v>Juridiska persona</c:v>
                </c:pt>
                <c:pt idx="2">
                  <c:v>Pašvaldība</c:v>
                </c:pt>
                <c:pt idx="3">
                  <c:v>Valsts</c:v>
                </c:pt>
                <c:pt idx="4">
                  <c:v>Jaukta piederība </c:v>
                </c:pt>
                <c:pt idx="5">
                  <c:v>Piederība nav noskaidrota</c:v>
                </c:pt>
              </c:strCache>
            </c:strRef>
          </c:cat>
          <c:val>
            <c:numRef>
              <c:f>'Dzivojamas ekas'!$C$31:$H$31</c:f>
              <c:numCache>
                <c:formatCode>General</c:formatCode>
                <c:ptCount val="6"/>
                <c:pt idx="0">
                  <c:v>11348</c:v>
                </c:pt>
                <c:pt idx="1">
                  <c:v>1846</c:v>
                </c:pt>
                <c:pt idx="2">
                  <c:v>2170</c:v>
                </c:pt>
                <c:pt idx="3">
                  <c:v>73</c:v>
                </c:pt>
                <c:pt idx="4">
                  <c:v>22780</c:v>
                </c:pt>
                <c:pt idx="5">
                  <c:v>382</c:v>
                </c:pt>
              </c:numCache>
            </c:numRef>
          </c:val>
        </c:ser>
        <c:dLbls>
          <c:showLegendKey val="0"/>
          <c:showVal val="0"/>
          <c:showCatName val="1"/>
          <c:showSerName val="0"/>
          <c:showPercent val="1"/>
          <c:showBubbleSize val="0"/>
          <c:showLeaderLines val="1"/>
        </c:dLbls>
        <c:firstSliceAng val="0"/>
      </c:pieChart>
    </c:plotArea>
    <c:plotVisOnly val="1"/>
    <c:dispBlanksAs val="zero"/>
    <c:showDLblsOverMax val="0"/>
  </c:chart>
  <c:spPr>
    <a:ln>
      <a:noFill/>
    </a:ln>
  </c:spPr>
  <c:txPr>
    <a:bodyPr/>
    <a:lstStyle/>
    <a:p>
      <a:pPr>
        <a:defRPr sz="1050" b="1"/>
      </a:pPr>
      <a:endParaRPr lang="lv-LV"/>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'5_7%'!$A$7</c:f>
              <c:strCache>
                <c:ptCount val="1"/>
                <c:pt idx="0">
                  <c:v>K(100%+P4.025%)</c:v>
                </c:pt>
              </c:strCache>
            </c:strRef>
          </c:tx>
          <c:spPr>
            <a:ln>
              <a:prstDash val="dash"/>
            </a:ln>
          </c:spPr>
          <c:cat>
            <c:numRef>
              <c:f>'5_7%'!$B$6:$L$6</c:f>
              <c:numCache>
                <c:formatCode>General</c:formatCode>
                <c:ptCount val="11"/>
                <c:pt idx="0">
                  <c:v>5</c:v>
                </c:pt>
                <c:pt idx="1">
                  <c:v>6</c:v>
                </c:pt>
                <c:pt idx="2">
                  <c:v>7</c:v>
                </c:pt>
                <c:pt idx="3">
                  <c:v>8</c:v>
                </c:pt>
                <c:pt idx="4">
                  <c:v>9</c:v>
                </c:pt>
                <c:pt idx="5">
                  <c:v>10</c:v>
                </c:pt>
                <c:pt idx="6">
                  <c:v>11</c:v>
                </c:pt>
                <c:pt idx="7">
                  <c:v>12</c:v>
                </c:pt>
                <c:pt idx="8">
                  <c:v>13</c:v>
                </c:pt>
                <c:pt idx="9">
                  <c:v>14</c:v>
                </c:pt>
                <c:pt idx="10">
                  <c:v>15</c:v>
                </c:pt>
              </c:numCache>
            </c:numRef>
          </c:cat>
          <c:val>
            <c:numRef>
              <c:f>'5_7%'!$B$7:$L$7</c:f>
              <c:numCache>
                <c:formatCode>0.0</c:formatCode>
                <c:ptCount val="11"/>
                <c:pt idx="0">
                  <c:v>21.811592880901916</c:v>
                </c:pt>
                <c:pt idx="1">
                  <c:v>26.714509494358268</c:v>
                </c:pt>
                <c:pt idx="2">
                  <c:v>31.814768501506165</c:v>
                </c:pt>
                <c:pt idx="3">
                  <c:v>37.120312933691949</c:v>
                </c:pt>
                <c:pt idx="4">
                  <c:v>42.639405529272864</c:v>
                </c:pt>
                <c:pt idx="5">
                  <c:v>48.380641601825964</c:v>
                </c:pt>
                <c:pt idx="6">
                  <c:v>54.352962426299477</c:v>
                </c:pt>
                <c:pt idx="7">
                  <c:v>60.56566916395812</c:v>
                </c:pt>
                <c:pt idx="8">
                  <c:v>67.028437347807227</c:v>
                </c:pt>
                <c:pt idx="9">
                  <c:v>73.751331951056486</c:v>
                </c:pt>
                <c:pt idx="10">
                  <c:v>80.744823062086667</c:v>
                </c:pt>
              </c:numCache>
            </c:numRef>
          </c:val>
          <c:smooth val="0"/>
        </c:ser>
        <c:ser>
          <c:idx val="1"/>
          <c:order val="1"/>
          <c:tx>
            <c:strRef>
              <c:f>'5_7%'!$A$8</c:f>
              <c:strCache>
                <c:ptCount val="1"/>
                <c:pt idx="0">
                  <c:v>D(50%)+K(50%+P7%)</c:v>
                </c:pt>
              </c:strCache>
            </c:strRef>
          </c:tx>
          <c:cat>
            <c:numRef>
              <c:f>'5_7%'!$B$6:$L$6</c:f>
              <c:numCache>
                <c:formatCode>General</c:formatCode>
                <c:ptCount val="11"/>
                <c:pt idx="0">
                  <c:v>5</c:v>
                </c:pt>
                <c:pt idx="1">
                  <c:v>6</c:v>
                </c:pt>
                <c:pt idx="2">
                  <c:v>7</c:v>
                </c:pt>
                <c:pt idx="3">
                  <c:v>8</c:v>
                </c:pt>
                <c:pt idx="4">
                  <c:v>9</c:v>
                </c:pt>
                <c:pt idx="5">
                  <c:v>10</c:v>
                </c:pt>
                <c:pt idx="6">
                  <c:v>11</c:v>
                </c:pt>
                <c:pt idx="7">
                  <c:v>12</c:v>
                </c:pt>
                <c:pt idx="8">
                  <c:v>13</c:v>
                </c:pt>
                <c:pt idx="9">
                  <c:v>14</c:v>
                </c:pt>
                <c:pt idx="10">
                  <c:v>15</c:v>
                </c:pt>
              </c:numCache>
            </c:numRef>
          </c:cat>
          <c:val>
            <c:numRef>
              <c:f>'5_7%'!$B$8:$L$8</c:f>
              <c:numCache>
                <c:formatCode>0.0</c:formatCode>
                <c:ptCount val="11"/>
                <c:pt idx="0">
                  <c:v>20.127586534999892</c:v>
                </c:pt>
                <c:pt idx="1">
                  <c:v>25.036517592449922</c:v>
                </c:pt>
                <c:pt idx="2">
                  <c:v>30.289073823921349</c:v>
                </c:pt>
                <c:pt idx="3">
                  <c:v>35.909308991595971</c:v>
                </c:pt>
                <c:pt idx="4">
                  <c:v>41.92296062100759</c:v>
                </c:pt>
                <c:pt idx="5">
                  <c:v>48.357567864478021</c:v>
                </c:pt>
                <c:pt idx="6">
                  <c:v>55.242597614991553</c:v>
                </c:pt>
                <c:pt idx="7">
                  <c:v>62.609579448040932</c:v>
                </c:pt>
                <c:pt idx="8">
                  <c:v>70.492250009403776</c:v>
                </c:pt>
                <c:pt idx="9">
                  <c:v>78.926707510061817</c:v>
                </c:pt>
                <c:pt idx="10">
                  <c:v>87.951577035766348</c:v>
                </c:pt>
              </c:numCache>
            </c:numRef>
          </c:val>
          <c:smooth val="0"/>
        </c:ser>
        <c:ser>
          <c:idx val="2"/>
          <c:order val="2"/>
          <c:tx>
            <c:strRef>
              <c:f>'5_7%'!$A$9</c:f>
              <c:strCache>
                <c:ptCount val="1"/>
                <c:pt idx="0">
                  <c:v>K(100%+P2.77%)</c:v>
                </c:pt>
              </c:strCache>
            </c:strRef>
          </c:tx>
          <c:spPr>
            <a:ln>
              <a:prstDash val="sysDot"/>
            </a:ln>
          </c:spPr>
          <c:cat>
            <c:numRef>
              <c:f>'5_7%'!$B$6:$L$6</c:f>
              <c:numCache>
                <c:formatCode>General</c:formatCode>
                <c:ptCount val="11"/>
                <c:pt idx="0">
                  <c:v>5</c:v>
                </c:pt>
                <c:pt idx="1">
                  <c:v>6</c:v>
                </c:pt>
                <c:pt idx="2">
                  <c:v>7</c:v>
                </c:pt>
                <c:pt idx="3">
                  <c:v>8</c:v>
                </c:pt>
                <c:pt idx="4">
                  <c:v>9</c:v>
                </c:pt>
                <c:pt idx="5">
                  <c:v>10</c:v>
                </c:pt>
                <c:pt idx="6">
                  <c:v>11</c:v>
                </c:pt>
                <c:pt idx="7">
                  <c:v>12</c:v>
                </c:pt>
                <c:pt idx="8">
                  <c:v>13</c:v>
                </c:pt>
                <c:pt idx="9">
                  <c:v>14</c:v>
                </c:pt>
                <c:pt idx="10">
                  <c:v>15</c:v>
                </c:pt>
              </c:numCache>
            </c:numRef>
          </c:cat>
          <c:val>
            <c:numRef>
              <c:f>'5_7%'!$B$9:$L$9</c:f>
              <c:numCache>
                <c:formatCode>0.0</c:formatCode>
                <c:ptCount val="11"/>
                <c:pt idx="0">
                  <c:v>14.638839930765116</c:v>
                </c:pt>
                <c:pt idx="1">
                  <c:v>17.814335796847331</c:v>
                </c:pt>
                <c:pt idx="2">
                  <c:v>21.077792898419972</c:v>
                </c:pt>
                <c:pt idx="3">
                  <c:v>24.431647761706227</c:v>
                </c:pt>
                <c:pt idx="4">
                  <c:v>27.878404404705506</c:v>
                </c:pt>
                <c:pt idx="5">
                  <c:v>31.420636206715749</c:v>
                </c:pt>
                <c:pt idx="6">
                  <c:v>35.060987829641874</c:v>
                </c:pt>
                <c:pt idx="7">
                  <c:v>38.802177192523011</c:v>
                </c:pt>
                <c:pt idx="8">
                  <c:v>42.646997500755873</c:v>
                </c:pt>
                <c:pt idx="9">
                  <c:v>46.59831933152698</c:v>
                </c:pt>
                <c:pt idx="10">
                  <c:v>50.659092777010095</c:v>
                </c:pt>
              </c:numCache>
            </c:numRef>
          </c:val>
          <c:smooth val="0"/>
        </c:ser>
        <c:ser>
          <c:idx val="3"/>
          <c:order val="3"/>
          <c:tx>
            <c:strRef>
              <c:f>'5_7%'!$A$10</c:f>
              <c:strCache>
                <c:ptCount val="1"/>
                <c:pt idx="0">
                  <c:v>D(50%)+K(50%+P5%)</c:v>
                </c:pt>
              </c:strCache>
            </c:strRef>
          </c:tx>
          <c:cat>
            <c:numRef>
              <c:f>'5_7%'!$B$6:$L$6</c:f>
              <c:numCache>
                <c:formatCode>General</c:formatCode>
                <c:ptCount val="11"/>
                <c:pt idx="0">
                  <c:v>5</c:v>
                </c:pt>
                <c:pt idx="1">
                  <c:v>6</c:v>
                </c:pt>
                <c:pt idx="2">
                  <c:v>7</c:v>
                </c:pt>
                <c:pt idx="3">
                  <c:v>8</c:v>
                </c:pt>
                <c:pt idx="4">
                  <c:v>9</c:v>
                </c:pt>
                <c:pt idx="5">
                  <c:v>10</c:v>
                </c:pt>
                <c:pt idx="6">
                  <c:v>11</c:v>
                </c:pt>
                <c:pt idx="7">
                  <c:v>12</c:v>
                </c:pt>
                <c:pt idx="8">
                  <c:v>13</c:v>
                </c:pt>
                <c:pt idx="9">
                  <c:v>14</c:v>
                </c:pt>
                <c:pt idx="10">
                  <c:v>15</c:v>
                </c:pt>
              </c:numCache>
            </c:numRef>
          </c:cat>
          <c:val>
            <c:numRef>
              <c:f>'5_7%'!$B$10:$L$10</c:f>
              <c:numCache>
                <c:formatCode>0.0</c:formatCode>
                <c:ptCount val="11"/>
                <c:pt idx="0">
                  <c:v>13.814078124999938</c:v>
                </c:pt>
                <c:pt idx="1">
                  <c:v>17.004782031249889</c:v>
                </c:pt>
                <c:pt idx="2">
                  <c:v>20.35502113281245</c:v>
                </c:pt>
                <c:pt idx="3">
                  <c:v>23.872772189453016</c:v>
                </c:pt>
                <c:pt idx="4">
                  <c:v>27.56641079892561</c:v>
                </c:pt>
                <c:pt idx="5">
                  <c:v>31.444731338871847</c:v>
                </c:pt>
                <c:pt idx="6">
                  <c:v>35.51696790581542</c:v>
                </c:pt>
                <c:pt idx="7">
                  <c:v>39.792816301106313</c:v>
                </c:pt>
                <c:pt idx="8">
                  <c:v>44.282457116161552</c:v>
                </c:pt>
                <c:pt idx="9">
                  <c:v>48.996579971969631</c:v>
                </c:pt>
                <c:pt idx="10">
                  <c:v>53.946408970568086</c:v>
                </c:pt>
              </c:numCache>
            </c:numRef>
          </c:val>
          <c:smooth val="0"/>
        </c:ser>
        <c:dLbls>
          <c:showLegendKey val="0"/>
          <c:showVal val="0"/>
          <c:showCatName val="0"/>
          <c:showSerName val="0"/>
          <c:showPercent val="0"/>
          <c:showBubbleSize val="0"/>
        </c:dLbls>
        <c:marker val="1"/>
        <c:smooth val="0"/>
        <c:axId val="124193024"/>
        <c:axId val="124207104"/>
      </c:lineChart>
      <c:catAx>
        <c:axId val="124193024"/>
        <c:scaling>
          <c:orientation val="minMax"/>
        </c:scaling>
        <c:delete val="0"/>
        <c:axPos val="b"/>
        <c:numFmt formatCode="General" sourceLinked="1"/>
        <c:majorTickMark val="out"/>
        <c:minorTickMark val="none"/>
        <c:tickLblPos val="nextTo"/>
        <c:crossAx val="124207104"/>
        <c:crosses val="autoZero"/>
        <c:auto val="1"/>
        <c:lblAlgn val="ctr"/>
        <c:lblOffset val="100"/>
        <c:noMultiLvlLbl val="0"/>
      </c:catAx>
      <c:valAx>
        <c:axId val="124207104"/>
        <c:scaling>
          <c:orientation val="minMax"/>
          <c:max val="90"/>
        </c:scaling>
        <c:delete val="0"/>
        <c:axPos val="l"/>
        <c:majorGridlines/>
        <c:title>
          <c:tx>
            <c:rich>
              <a:bodyPr rot="0" vert="horz"/>
              <a:lstStyle/>
              <a:p>
                <a:pPr algn="ctr">
                  <a:defRPr/>
                </a:pPr>
                <a:r>
                  <a:rPr lang="lv-LV"/>
                  <a:t>Izmaksu sadārdzinājums</a:t>
                </a:r>
                <a:r>
                  <a:rPr lang="lv-LV" baseline="0"/>
                  <a:t> procentos (%)</a:t>
                </a:r>
                <a:endParaRPr lang="lv-LV"/>
              </a:p>
            </c:rich>
          </c:tx>
          <c:overlay val="0"/>
        </c:title>
        <c:numFmt formatCode="0" sourceLinked="0"/>
        <c:majorTickMark val="out"/>
        <c:minorTickMark val="none"/>
        <c:tickLblPos val="nextTo"/>
        <c:crossAx val="124193024"/>
        <c:crosses val="autoZero"/>
        <c:crossBetween val="between"/>
      </c:valAx>
      <c:dTable>
        <c:showHorzBorder val="1"/>
        <c:showVertBorder val="1"/>
        <c:showOutline val="1"/>
        <c:showKeys val="1"/>
      </c:dTable>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E69EF7-68B8-452E-BD05-E7819D4A8AA1}">
  <ds:schemaRefs>
    <ds:schemaRef ds:uri="http://schemas.openxmlformats.org/officeDocument/2006/bibliography"/>
  </ds:schemaRefs>
</ds:datastoreItem>
</file>

<file path=customXml/itemProps2.xml><?xml version="1.0" encoding="utf-8"?>
<ds:datastoreItem xmlns:ds="http://schemas.openxmlformats.org/officeDocument/2006/customXml" ds:itemID="{2B2A4530-554D-44C0-AE69-8853B393B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48</Pages>
  <Words>80330</Words>
  <Characters>45789</Characters>
  <Application>Microsoft Office Word</Application>
  <DocSecurity>0</DocSecurity>
  <Lines>381</Lines>
  <Paragraphs>251</Paragraphs>
  <ScaleCrop>false</ScaleCrop>
  <HeadingPairs>
    <vt:vector size="2" baseType="variant">
      <vt:variant>
        <vt:lpstr>Title</vt:lpstr>
      </vt:variant>
      <vt:variant>
        <vt:i4>1</vt:i4>
      </vt:variant>
    </vt:vector>
  </HeadingPairs>
  <TitlesOfParts>
    <vt:vector size="1" baseType="lpstr">
      <vt:lpstr>Informatīvs ziņojums par ēku renovācijas finansēšanas risinājumiem</vt:lpstr>
    </vt:vector>
  </TitlesOfParts>
  <Company>LR Ekonomikas ministrija</Company>
  <LinksUpToDate>false</LinksUpToDate>
  <CharactersWithSpaces>125868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Informatīvs ziņojums par ēku renovācijas finansēšanas risinājumiem</dc:title>
  <dc:subject>ziņojums</dc:subject>
  <dc:creator>Dzintars Grasmanis</dc:creator>
  <cp:lastModifiedBy>Dzintars Grasmanis</cp:lastModifiedBy>
  <cp:revision>6</cp:revision>
  <cp:lastPrinted>2013-04-16T10:30:00Z</cp:lastPrinted>
  <dcterms:created xsi:type="dcterms:W3CDTF">2013-04-15T07:46:00Z</dcterms:created>
  <dcterms:modified xsi:type="dcterms:W3CDTF">2013-04-16T10:30:00Z</dcterms:modified>
</cp:coreProperties>
</file>