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E7" w:rsidRPr="000E7CD7" w:rsidRDefault="00E668E7" w:rsidP="00E668E7">
      <w:pPr>
        <w:pStyle w:val="Header"/>
        <w:tabs>
          <w:tab w:val="left" w:pos="720"/>
        </w:tabs>
        <w:jc w:val="center"/>
        <w:rPr>
          <w:b/>
          <w:smallCaps/>
          <w:sz w:val="28"/>
          <w:szCs w:val="28"/>
        </w:rPr>
      </w:pPr>
      <w:r w:rsidRPr="000E7CD7">
        <w:rPr>
          <w:b/>
          <w:smallCaps/>
          <w:sz w:val="28"/>
          <w:szCs w:val="28"/>
        </w:rPr>
        <w:t xml:space="preserve">Informatīvais </w:t>
      </w:r>
      <w:smartTag w:uri="schemas-tilde-lv/tildestengine" w:element="veidnes">
        <w:smartTagPr>
          <w:attr w:name="text" w:val="ziņojums"/>
          <w:attr w:name="id" w:val="-1"/>
          <w:attr w:name="baseform" w:val="ziņojum|s"/>
        </w:smartTagPr>
        <w:r w:rsidRPr="000E7CD7">
          <w:rPr>
            <w:b/>
            <w:smallCaps/>
            <w:sz w:val="28"/>
            <w:szCs w:val="28"/>
          </w:rPr>
          <w:t>ziņojums</w:t>
        </w:r>
      </w:smartTag>
    </w:p>
    <w:p w:rsidR="00E668E7" w:rsidRDefault="00E668E7" w:rsidP="00E668E7">
      <w:pPr>
        <w:pStyle w:val="Header"/>
        <w:tabs>
          <w:tab w:val="left" w:pos="720"/>
        </w:tabs>
        <w:jc w:val="center"/>
        <w:rPr>
          <w:b/>
          <w:sz w:val="28"/>
          <w:szCs w:val="28"/>
        </w:rPr>
      </w:pPr>
    </w:p>
    <w:p w:rsidR="00E668E7" w:rsidRPr="000E7CD7" w:rsidRDefault="00E668E7" w:rsidP="00E668E7">
      <w:pPr>
        <w:jc w:val="center"/>
        <w:rPr>
          <w:b/>
          <w:sz w:val="28"/>
          <w:szCs w:val="28"/>
        </w:rPr>
      </w:pPr>
      <w:bookmarkStart w:id="0" w:name="OLE_LINK3"/>
      <w:bookmarkStart w:id="1" w:name="OLE_LINK4"/>
      <w:r w:rsidRPr="000E7CD7">
        <w:rPr>
          <w:b/>
          <w:sz w:val="28"/>
          <w:szCs w:val="28"/>
        </w:rPr>
        <w:t xml:space="preserve">par Latvijas nacionālajām pozīcijām Eiropas Savienības Konkurētspējas ministru padomes 2011.gada </w:t>
      </w:r>
      <w:r w:rsidR="007F117C" w:rsidRPr="000E7CD7">
        <w:rPr>
          <w:b/>
          <w:sz w:val="28"/>
          <w:szCs w:val="28"/>
        </w:rPr>
        <w:t>30</w:t>
      </w:r>
      <w:r w:rsidRPr="000E7CD7">
        <w:rPr>
          <w:b/>
          <w:sz w:val="28"/>
          <w:szCs w:val="28"/>
        </w:rPr>
        <w:t>. m</w:t>
      </w:r>
      <w:r w:rsidR="007F117C" w:rsidRPr="000E7CD7">
        <w:rPr>
          <w:b/>
          <w:sz w:val="28"/>
          <w:szCs w:val="28"/>
        </w:rPr>
        <w:t>aija</w:t>
      </w:r>
      <w:r w:rsidRPr="000E7CD7">
        <w:rPr>
          <w:b/>
          <w:sz w:val="28"/>
          <w:szCs w:val="28"/>
        </w:rPr>
        <w:t xml:space="preserve"> sanāksmē izskatāmajos Ekonomikas ministrijas un </w:t>
      </w:r>
      <w:r w:rsidR="007F117C" w:rsidRPr="000E7CD7">
        <w:rPr>
          <w:b/>
          <w:sz w:val="28"/>
          <w:szCs w:val="28"/>
        </w:rPr>
        <w:t>Finanšu</w:t>
      </w:r>
      <w:r w:rsidRPr="000E7CD7">
        <w:rPr>
          <w:b/>
          <w:sz w:val="28"/>
          <w:szCs w:val="28"/>
        </w:rPr>
        <w:t xml:space="preserve"> ministrijas kompetences jautājumos </w:t>
      </w:r>
    </w:p>
    <w:bookmarkEnd w:id="0"/>
    <w:bookmarkEnd w:id="1"/>
    <w:p w:rsidR="00E668E7" w:rsidRDefault="00E668E7" w:rsidP="00E668E7">
      <w:pPr>
        <w:spacing w:after="120"/>
        <w:ind w:left="360"/>
        <w:rPr>
          <w:sz w:val="28"/>
          <w:szCs w:val="28"/>
        </w:rPr>
      </w:pPr>
    </w:p>
    <w:p w:rsidR="00897AEF" w:rsidRPr="000E7CD7" w:rsidRDefault="00897AEF" w:rsidP="00897AEF">
      <w:pPr>
        <w:tabs>
          <w:tab w:val="left" w:pos="9288"/>
        </w:tabs>
        <w:spacing w:after="120"/>
        <w:ind w:firstLine="720"/>
        <w:jc w:val="both"/>
        <w:rPr>
          <w:sz w:val="28"/>
          <w:szCs w:val="28"/>
        </w:rPr>
      </w:pPr>
      <w:r w:rsidRPr="000E7CD7">
        <w:rPr>
          <w:sz w:val="28"/>
          <w:szCs w:val="28"/>
        </w:rPr>
        <w:t xml:space="preserve">2011. gada </w:t>
      </w:r>
      <w:r w:rsidR="007F117C" w:rsidRPr="000E7CD7">
        <w:rPr>
          <w:sz w:val="28"/>
          <w:szCs w:val="28"/>
        </w:rPr>
        <w:t>30</w:t>
      </w:r>
      <w:r w:rsidRPr="000E7CD7">
        <w:rPr>
          <w:sz w:val="28"/>
          <w:szCs w:val="28"/>
        </w:rPr>
        <w:t>. ma</w:t>
      </w:r>
      <w:r w:rsidR="007F117C" w:rsidRPr="000E7CD7">
        <w:rPr>
          <w:sz w:val="28"/>
          <w:szCs w:val="28"/>
        </w:rPr>
        <w:t>ijā</w:t>
      </w:r>
      <w:r w:rsidRPr="000E7CD7">
        <w:rPr>
          <w:sz w:val="28"/>
          <w:szCs w:val="28"/>
        </w:rPr>
        <w:t xml:space="preserve"> Briselē, Beļģijā,  notiks Eiropas Savienības (turpmāk – ES) Konkurētspējas ministru padomes sanāksme. Paredzams, ka sanāksmes gaitā tiks izskatīti šādi Ekonomikas</w:t>
      </w:r>
      <w:r w:rsidR="007F117C" w:rsidRPr="000E7CD7">
        <w:rPr>
          <w:sz w:val="28"/>
          <w:szCs w:val="28"/>
        </w:rPr>
        <w:t xml:space="preserve"> ministrijas (EM) un Finanšu</w:t>
      </w:r>
      <w:r w:rsidRPr="000E7CD7">
        <w:rPr>
          <w:sz w:val="28"/>
          <w:szCs w:val="28"/>
        </w:rPr>
        <w:t xml:space="preserve"> ministrijas (</w:t>
      </w:r>
      <w:r w:rsidR="007F117C" w:rsidRPr="000E7CD7">
        <w:rPr>
          <w:sz w:val="28"/>
          <w:szCs w:val="28"/>
        </w:rPr>
        <w:t>F</w:t>
      </w:r>
      <w:r w:rsidRPr="000E7CD7">
        <w:rPr>
          <w:sz w:val="28"/>
          <w:szCs w:val="28"/>
        </w:rPr>
        <w:t>M) kompetencē esoši jautājumi:</w:t>
      </w:r>
    </w:p>
    <w:p w:rsidR="007A1C1C" w:rsidRPr="000E7CD7" w:rsidRDefault="007A1C1C" w:rsidP="00E668E7">
      <w:pPr>
        <w:tabs>
          <w:tab w:val="left" w:pos="9288"/>
        </w:tabs>
        <w:spacing w:after="120"/>
        <w:ind w:firstLine="720"/>
        <w:jc w:val="both"/>
        <w:rPr>
          <w:sz w:val="28"/>
          <w:szCs w:val="28"/>
        </w:rPr>
      </w:pPr>
    </w:p>
    <w:p w:rsidR="00897AEF" w:rsidRPr="00F97495" w:rsidRDefault="00897AEF" w:rsidP="00897AEF">
      <w:pPr>
        <w:pBdr>
          <w:bottom w:val="single" w:sz="4" w:space="1" w:color="auto"/>
        </w:pBdr>
        <w:tabs>
          <w:tab w:val="left" w:pos="9288"/>
        </w:tabs>
        <w:spacing w:after="120"/>
        <w:jc w:val="both"/>
        <w:rPr>
          <w:sz w:val="28"/>
          <w:szCs w:val="28"/>
        </w:rPr>
      </w:pPr>
      <w:r w:rsidRPr="000E7CD7">
        <w:rPr>
          <w:b/>
          <w:sz w:val="28"/>
          <w:szCs w:val="28"/>
        </w:rPr>
        <w:t>1.</w:t>
      </w:r>
      <w:r w:rsidR="00B10B7B" w:rsidRPr="000E7CD7">
        <w:rPr>
          <w:b/>
          <w:sz w:val="28"/>
          <w:szCs w:val="28"/>
        </w:rPr>
        <w:t xml:space="preserve"> Komisijas paziņojums Eiropas Parlamentam, Padomei, Eiropas Ekonomikas un sociālo lietu komitejai un Reģionu komitejai – Akts par vienoto tirgu</w:t>
      </w:r>
      <w:r w:rsidR="000E7CD7" w:rsidRPr="000E7CD7">
        <w:rPr>
          <w:b/>
          <w:sz w:val="28"/>
          <w:szCs w:val="28"/>
        </w:rPr>
        <w:t>.</w:t>
      </w:r>
      <w:r w:rsidR="00B10B7B" w:rsidRPr="000E7CD7">
        <w:rPr>
          <w:b/>
          <w:sz w:val="28"/>
          <w:szCs w:val="28"/>
        </w:rPr>
        <w:t xml:space="preserve"> Divpadsmit mehānismi, kā veicināt izaugsmi un vairot uzticēšanos „Kopīgiem spēkiem uz jaunu izaugsmi”</w:t>
      </w:r>
      <w:r w:rsidR="00F97495" w:rsidRPr="00F97495">
        <w:rPr>
          <w:b/>
          <w:i/>
          <w:sz w:val="28"/>
          <w:szCs w:val="28"/>
        </w:rPr>
        <w:t xml:space="preserve"> (EM kompetence)</w:t>
      </w:r>
    </w:p>
    <w:p w:rsidR="00BC4F29" w:rsidRPr="000E7CD7" w:rsidRDefault="00897AEF" w:rsidP="00FA22E5">
      <w:pPr>
        <w:tabs>
          <w:tab w:val="left" w:pos="284"/>
        </w:tabs>
        <w:jc w:val="both"/>
        <w:rPr>
          <w:sz w:val="28"/>
          <w:szCs w:val="28"/>
        </w:rPr>
      </w:pPr>
      <w:r w:rsidRPr="000E7CD7">
        <w:rPr>
          <w:i/>
          <w:sz w:val="28"/>
          <w:szCs w:val="28"/>
        </w:rPr>
        <w:t xml:space="preserve">- </w:t>
      </w:r>
      <w:r w:rsidR="00FA22E5" w:rsidRPr="000E7CD7">
        <w:rPr>
          <w:i/>
          <w:sz w:val="28"/>
          <w:szCs w:val="28"/>
        </w:rPr>
        <w:t>Padomes secinājumu pieņemšana</w:t>
      </w:r>
    </w:p>
    <w:p w:rsidR="005C21D5" w:rsidRPr="000E7CD7" w:rsidRDefault="005C21D5" w:rsidP="00FA22E5">
      <w:pPr>
        <w:tabs>
          <w:tab w:val="left" w:pos="284"/>
        </w:tabs>
        <w:jc w:val="both"/>
        <w:rPr>
          <w:sz w:val="28"/>
          <w:szCs w:val="28"/>
        </w:rPr>
      </w:pPr>
    </w:p>
    <w:p w:rsidR="00BC0957" w:rsidRDefault="005C21D5" w:rsidP="00BC0957">
      <w:pPr>
        <w:jc w:val="both"/>
        <w:rPr>
          <w:sz w:val="28"/>
          <w:szCs w:val="28"/>
        </w:rPr>
      </w:pPr>
      <w:bookmarkStart w:id="2" w:name="LWCons_Date"/>
      <w:r w:rsidRPr="000E7CD7">
        <w:rPr>
          <w:sz w:val="28"/>
          <w:szCs w:val="28"/>
        </w:rPr>
        <w:t>2011.gada 13. aprīlī</w:t>
      </w:r>
      <w:bookmarkEnd w:id="2"/>
      <w:r w:rsidRPr="000E7CD7">
        <w:rPr>
          <w:sz w:val="28"/>
          <w:szCs w:val="28"/>
        </w:rPr>
        <w:t xml:space="preserve"> tika</w:t>
      </w:r>
      <w:r w:rsidRPr="000E7CD7">
        <w:rPr>
          <w:b/>
          <w:sz w:val="28"/>
          <w:szCs w:val="28"/>
        </w:rPr>
        <w:t xml:space="preserve"> </w:t>
      </w:r>
      <w:r w:rsidRPr="000E7CD7">
        <w:rPr>
          <w:sz w:val="28"/>
          <w:szCs w:val="28"/>
        </w:rPr>
        <w:t>publicēts</w:t>
      </w:r>
      <w:r w:rsidRPr="000E7CD7">
        <w:rPr>
          <w:b/>
          <w:sz w:val="28"/>
          <w:szCs w:val="28"/>
        </w:rPr>
        <w:t xml:space="preserve"> </w:t>
      </w:r>
      <w:r w:rsidRPr="000E7CD7">
        <w:rPr>
          <w:sz w:val="28"/>
          <w:szCs w:val="28"/>
        </w:rPr>
        <w:t>Komisijas Paziņojums</w:t>
      </w:r>
      <w:r w:rsidR="00BC0957" w:rsidRPr="000E7CD7">
        <w:rPr>
          <w:sz w:val="28"/>
          <w:szCs w:val="28"/>
        </w:rPr>
        <w:t xml:space="preserve"> „</w:t>
      </w:r>
      <w:r w:rsidRPr="000E7CD7">
        <w:rPr>
          <w:sz w:val="28"/>
          <w:szCs w:val="28"/>
        </w:rPr>
        <w:t>Vienotā tirgus akts - divpadsmit mehānismi, kā veicināt izaugsmi un va</w:t>
      </w:r>
      <w:r w:rsidR="00BC0957" w:rsidRPr="000E7CD7">
        <w:rPr>
          <w:sz w:val="28"/>
          <w:szCs w:val="28"/>
        </w:rPr>
        <w:t xml:space="preserve">irot uzticēšanos: </w:t>
      </w:r>
      <w:r w:rsidRPr="000E7CD7">
        <w:rPr>
          <w:i/>
          <w:sz w:val="28"/>
          <w:szCs w:val="28"/>
        </w:rPr>
        <w:t>Kopī</w:t>
      </w:r>
      <w:r w:rsidR="00BC0957" w:rsidRPr="000E7CD7">
        <w:rPr>
          <w:i/>
          <w:sz w:val="28"/>
          <w:szCs w:val="28"/>
        </w:rPr>
        <w:t>giem spēkiem uz jaunu izaugsmi</w:t>
      </w:r>
      <w:r w:rsidR="00BC0957" w:rsidRPr="000E7CD7">
        <w:rPr>
          <w:sz w:val="28"/>
          <w:szCs w:val="28"/>
        </w:rPr>
        <w:t xml:space="preserve">”. </w:t>
      </w:r>
      <w:r w:rsidRPr="000E7CD7">
        <w:rPr>
          <w:sz w:val="28"/>
          <w:szCs w:val="28"/>
        </w:rPr>
        <w:t xml:space="preserve">Pamatojoties uz publiskajās </w:t>
      </w:r>
      <w:r w:rsidR="00BC0957" w:rsidRPr="000E7CD7">
        <w:rPr>
          <w:sz w:val="28"/>
          <w:szCs w:val="28"/>
        </w:rPr>
        <w:t xml:space="preserve">konsultācijas rezultātiem, kā arī Eiropas Parlamenta, Padomes, </w:t>
      </w:r>
      <w:r w:rsidRPr="000E7CD7">
        <w:rPr>
          <w:sz w:val="28"/>
          <w:szCs w:val="28"/>
        </w:rPr>
        <w:t xml:space="preserve">Reģionu komitejas un Eiropas Ekonomikas un sociālo lietu komitejas atzinumiem, Komisija ir formulējusi </w:t>
      </w:r>
      <w:r w:rsidR="000E7CD7">
        <w:rPr>
          <w:sz w:val="28"/>
          <w:szCs w:val="28"/>
        </w:rPr>
        <w:t xml:space="preserve">šādus </w:t>
      </w:r>
      <w:r w:rsidRPr="000E7CD7">
        <w:rPr>
          <w:b/>
          <w:sz w:val="28"/>
          <w:szCs w:val="28"/>
        </w:rPr>
        <w:t>divpadsmit mehānismus un to pamatdarbības</w:t>
      </w:r>
      <w:r w:rsidR="000E7CD7">
        <w:rPr>
          <w:sz w:val="28"/>
          <w:szCs w:val="28"/>
        </w:rPr>
        <w:t>:</w:t>
      </w:r>
    </w:p>
    <w:p w:rsidR="000E7CD7" w:rsidRPr="00526F0D" w:rsidRDefault="00050631" w:rsidP="00B63B1C">
      <w:pPr>
        <w:pStyle w:val="ListParagraph"/>
        <w:numPr>
          <w:ilvl w:val="0"/>
          <w:numId w:val="1"/>
        </w:numPr>
        <w:spacing w:before="120"/>
        <w:contextualSpacing w:val="0"/>
        <w:jc w:val="both"/>
        <w:rPr>
          <w:sz w:val="28"/>
          <w:szCs w:val="28"/>
        </w:rPr>
      </w:pPr>
      <w:r w:rsidRPr="00526F0D">
        <w:rPr>
          <w:sz w:val="28"/>
          <w:szCs w:val="28"/>
          <w:u w:val="single"/>
        </w:rPr>
        <w:t>Mazo un vidējo uzņēmumu</w:t>
      </w:r>
      <w:r w:rsidR="000E7CD7" w:rsidRPr="00526F0D">
        <w:rPr>
          <w:sz w:val="28"/>
          <w:szCs w:val="28"/>
          <w:u w:val="single"/>
        </w:rPr>
        <w:t xml:space="preserve"> piekļuve finansējumam</w:t>
      </w:r>
      <w:r w:rsidR="000E7CD7" w:rsidRPr="00526F0D">
        <w:rPr>
          <w:sz w:val="28"/>
          <w:szCs w:val="28"/>
        </w:rPr>
        <w:t xml:space="preserve"> – Likumdošana, kuras nolūks ir atvieglot vienā dalībvalstī veidotu riska kapitāla fondu ieguldījumus jebkurā citā dalībvalstī; </w:t>
      </w:r>
    </w:p>
    <w:p w:rsidR="000E7CD7" w:rsidRPr="00526F0D" w:rsidRDefault="000E7CD7" w:rsidP="00B63B1C">
      <w:pPr>
        <w:pStyle w:val="ListParagraph"/>
        <w:numPr>
          <w:ilvl w:val="0"/>
          <w:numId w:val="1"/>
        </w:numPr>
        <w:spacing w:before="120"/>
        <w:contextualSpacing w:val="0"/>
        <w:jc w:val="both"/>
        <w:rPr>
          <w:sz w:val="28"/>
          <w:szCs w:val="28"/>
        </w:rPr>
      </w:pPr>
      <w:r w:rsidRPr="00526F0D">
        <w:rPr>
          <w:sz w:val="28"/>
          <w:szCs w:val="28"/>
          <w:u w:val="single"/>
        </w:rPr>
        <w:t>Iedzīvotāju mobilitāte</w:t>
      </w:r>
      <w:r w:rsidRPr="00526F0D">
        <w:rPr>
          <w:sz w:val="28"/>
          <w:szCs w:val="28"/>
        </w:rPr>
        <w:t xml:space="preserve"> </w:t>
      </w:r>
      <w:r w:rsidR="00050631" w:rsidRPr="00526F0D">
        <w:rPr>
          <w:sz w:val="28"/>
          <w:szCs w:val="28"/>
        </w:rPr>
        <w:t>–</w:t>
      </w:r>
      <w:r w:rsidRPr="00526F0D">
        <w:rPr>
          <w:sz w:val="28"/>
          <w:szCs w:val="28"/>
        </w:rPr>
        <w:t xml:space="preserve"> Tiesību akti par profesionālās kvalifikācijas atzīšanu;</w:t>
      </w:r>
    </w:p>
    <w:p w:rsidR="000E7CD7" w:rsidRPr="00526F0D" w:rsidRDefault="000E7CD7" w:rsidP="00B63B1C">
      <w:pPr>
        <w:pStyle w:val="ListParagraph"/>
        <w:numPr>
          <w:ilvl w:val="0"/>
          <w:numId w:val="1"/>
        </w:numPr>
        <w:spacing w:before="120"/>
        <w:contextualSpacing w:val="0"/>
        <w:jc w:val="both"/>
        <w:rPr>
          <w:sz w:val="28"/>
          <w:szCs w:val="28"/>
        </w:rPr>
      </w:pPr>
      <w:r w:rsidRPr="00526F0D">
        <w:rPr>
          <w:sz w:val="28"/>
          <w:szCs w:val="28"/>
          <w:u w:val="single"/>
        </w:rPr>
        <w:t>Intelektuālā īpašuma tiesības</w:t>
      </w:r>
      <w:r w:rsidRPr="00526F0D">
        <w:rPr>
          <w:sz w:val="28"/>
          <w:szCs w:val="28"/>
        </w:rPr>
        <w:t xml:space="preserve"> </w:t>
      </w:r>
      <w:r w:rsidR="00526F0D">
        <w:rPr>
          <w:sz w:val="28"/>
          <w:szCs w:val="28"/>
        </w:rPr>
        <w:t>–</w:t>
      </w:r>
      <w:r w:rsidRPr="00526F0D">
        <w:rPr>
          <w:sz w:val="28"/>
          <w:szCs w:val="28"/>
        </w:rPr>
        <w:t xml:space="preserve"> Tiesību akti, </w:t>
      </w:r>
      <w:r w:rsidR="00050631" w:rsidRPr="00526F0D">
        <w:rPr>
          <w:sz w:val="28"/>
          <w:szCs w:val="28"/>
        </w:rPr>
        <w:t>kas</w:t>
      </w:r>
      <w:r w:rsidRPr="00526F0D">
        <w:rPr>
          <w:sz w:val="28"/>
          <w:szCs w:val="28"/>
        </w:rPr>
        <w:t xml:space="preserve"> izveido</w:t>
      </w:r>
      <w:r w:rsidR="00050631" w:rsidRPr="00526F0D">
        <w:rPr>
          <w:sz w:val="28"/>
          <w:szCs w:val="28"/>
        </w:rPr>
        <w:t>tu</w:t>
      </w:r>
      <w:r w:rsidRPr="00526F0D">
        <w:rPr>
          <w:sz w:val="28"/>
          <w:szCs w:val="28"/>
        </w:rPr>
        <w:t xml:space="preserve"> vienotu </w:t>
      </w:r>
      <w:proofErr w:type="spellStart"/>
      <w:r w:rsidRPr="00526F0D">
        <w:rPr>
          <w:sz w:val="28"/>
          <w:szCs w:val="28"/>
        </w:rPr>
        <w:t>patentaizsardzību</w:t>
      </w:r>
      <w:proofErr w:type="spellEnd"/>
      <w:r w:rsidRPr="00526F0D">
        <w:rPr>
          <w:sz w:val="28"/>
          <w:szCs w:val="28"/>
        </w:rPr>
        <w:t xml:space="preserve"> vairākumam dalībvalstu un vienotu strīdu risināšanas sistēmu;</w:t>
      </w:r>
    </w:p>
    <w:p w:rsidR="000E7CD7" w:rsidRPr="00526F0D" w:rsidRDefault="000E7CD7" w:rsidP="00B63B1C">
      <w:pPr>
        <w:pStyle w:val="ListParagraph"/>
        <w:numPr>
          <w:ilvl w:val="0"/>
          <w:numId w:val="1"/>
        </w:numPr>
        <w:spacing w:before="120"/>
        <w:contextualSpacing w:val="0"/>
        <w:jc w:val="both"/>
        <w:rPr>
          <w:sz w:val="28"/>
          <w:szCs w:val="28"/>
        </w:rPr>
      </w:pPr>
      <w:r w:rsidRPr="00526F0D">
        <w:rPr>
          <w:sz w:val="28"/>
          <w:szCs w:val="28"/>
          <w:u w:val="single"/>
        </w:rPr>
        <w:t>Patērētāji  - vienotā tirgus dalībnieki</w:t>
      </w:r>
      <w:r w:rsidR="00526F0D" w:rsidRPr="00526F0D">
        <w:rPr>
          <w:sz w:val="28"/>
          <w:szCs w:val="28"/>
        </w:rPr>
        <w:t xml:space="preserve"> –</w:t>
      </w:r>
      <w:r w:rsidRPr="00526F0D">
        <w:rPr>
          <w:sz w:val="28"/>
          <w:szCs w:val="28"/>
        </w:rPr>
        <w:t xml:space="preserve"> Tiesību akti par alternatīviem strīdu izšķiršanas mehānismiem; </w:t>
      </w:r>
    </w:p>
    <w:p w:rsidR="000E7CD7" w:rsidRPr="00526F0D" w:rsidRDefault="000E7CD7" w:rsidP="00B63B1C">
      <w:pPr>
        <w:pStyle w:val="ListParagraph"/>
        <w:numPr>
          <w:ilvl w:val="0"/>
          <w:numId w:val="1"/>
        </w:numPr>
        <w:spacing w:before="120"/>
        <w:contextualSpacing w:val="0"/>
        <w:jc w:val="both"/>
        <w:rPr>
          <w:sz w:val="28"/>
          <w:szCs w:val="28"/>
        </w:rPr>
      </w:pPr>
      <w:r w:rsidRPr="00526F0D">
        <w:rPr>
          <w:sz w:val="28"/>
          <w:szCs w:val="28"/>
          <w:u w:val="single"/>
        </w:rPr>
        <w:t>Pakalpojumi</w:t>
      </w:r>
      <w:r w:rsidRPr="00526F0D">
        <w:rPr>
          <w:sz w:val="28"/>
          <w:szCs w:val="28"/>
        </w:rPr>
        <w:t xml:space="preserve"> </w:t>
      </w:r>
      <w:r w:rsidR="00526F0D">
        <w:rPr>
          <w:sz w:val="28"/>
          <w:szCs w:val="28"/>
        </w:rPr>
        <w:t>–</w:t>
      </w:r>
      <w:r w:rsidRPr="00526F0D">
        <w:rPr>
          <w:sz w:val="28"/>
          <w:szCs w:val="28"/>
        </w:rPr>
        <w:t xml:space="preserve"> Tiesību akti par Eiropas standartizācijas sistēmas paplašināšanu; </w:t>
      </w:r>
    </w:p>
    <w:p w:rsidR="000E7CD7" w:rsidRPr="00526F0D" w:rsidRDefault="000E7CD7" w:rsidP="00B63B1C">
      <w:pPr>
        <w:pStyle w:val="ListParagraph"/>
        <w:numPr>
          <w:ilvl w:val="0"/>
          <w:numId w:val="1"/>
        </w:numPr>
        <w:spacing w:before="120"/>
        <w:contextualSpacing w:val="0"/>
        <w:jc w:val="both"/>
        <w:rPr>
          <w:sz w:val="28"/>
          <w:szCs w:val="28"/>
        </w:rPr>
      </w:pPr>
      <w:r w:rsidRPr="00526F0D">
        <w:rPr>
          <w:sz w:val="28"/>
          <w:szCs w:val="28"/>
          <w:u w:val="single"/>
        </w:rPr>
        <w:t>Tīkli</w:t>
      </w:r>
      <w:r w:rsidRPr="00526F0D">
        <w:rPr>
          <w:sz w:val="28"/>
          <w:szCs w:val="28"/>
        </w:rPr>
        <w:t xml:space="preserve"> </w:t>
      </w:r>
      <w:r w:rsidR="00526F0D">
        <w:rPr>
          <w:sz w:val="28"/>
          <w:szCs w:val="28"/>
        </w:rPr>
        <w:t>–</w:t>
      </w:r>
      <w:r w:rsidRPr="00526F0D">
        <w:rPr>
          <w:sz w:val="28"/>
          <w:szCs w:val="28"/>
        </w:rPr>
        <w:t xml:space="preserve"> Tiesību akti par enerģētikas un transporta infrastruktūru, lai identificētu un izvērstu stratēģiskus projektus; </w:t>
      </w:r>
    </w:p>
    <w:p w:rsidR="000E7CD7" w:rsidRPr="00526F0D" w:rsidRDefault="000E7CD7" w:rsidP="00B63B1C">
      <w:pPr>
        <w:pStyle w:val="ListParagraph"/>
        <w:numPr>
          <w:ilvl w:val="0"/>
          <w:numId w:val="1"/>
        </w:numPr>
        <w:spacing w:before="120"/>
        <w:contextualSpacing w:val="0"/>
        <w:jc w:val="both"/>
        <w:rPr>
          <w:sz w:val="28"/>
          <w:szCs w:val="28"/>
        </w:rPr>
      </w:pPr>
      <w:r w:rsidRPr="00526F0D">
        <w:rPr>
          <w:sz w:val="28"/>
          <w:szCs w:val="28"/>
          <w:u w:val="single"/>
        </w:rPr>
        <w:lastRenderedPageBreak/>
        <w:t>Digitālais vienotais tirgus</w:t>
      </w:r>
      <w:r w:rsidRPr="00526F0D">
        <w:rPr>
          <w:i/>
          <w:sz w:val="28"/>
          <w:szCs w:val="28"/>
        </w:rPr>
        <w:t xml:space="preserve"> </w:t>
      </w:r>
      <w:r w:rsidR="00526F0D">
        <w:rPr>
          <w:sz w:val="28"/>
          <w:szCs w:val="28"/>
        </w:rPr>
        <w:t>–</w:t>
      </w:r>
      <w:r w:rsidRPr="00526F0D">
        <w:rPr>
          <w:sz w:val="28"/>
          <w:szCs w:val="28"/>
        </w:rPr>
        <w:t xml:space="preserve"> </w:t>
      </w:r>
      <w:r w:rsidR="00050631" w:rsidRPr="00526F0D">
        <w:rPr>
          <w:sz w:val="28"/>
          <w:szCs w:val="28"/>
        </w:rPr>
        <w:t>T</w:t>
      </w:r>
      <w:r w:rsidRPr="00526F0D">
        <w:rPr>
          <w:sz w:val="28"/>
          <w:szCs w:val="28"/>
        </w:rPr>
        <w:t>i</w:t>
      </w:r>
      <w:r w:rsidR="00050631" w:rsidRPr="00526F0D">
        <w:rPr>
          <w:sz w:val="28"/>
          <w:szCs w:val="28"/>
        </w:rPr>
        <w:t>esību akti, kas nodrošinātu e-i</w:t>
      </w:r>
      <w:r w:rsidRPr="00526F0D">
        <w:rPr>
          <w:sz w:val="28"/>
          <w:szCs w:val="28"/>
        </w:rPr>
        <w:t>dentifikācijas un e-autentifikācijas savstarpējo atzīšanu ES un pārskatītu direktīvu par e-parakstu;</w:t>
      </w:r>
    </w:p>
    <w:p w:rsidR="000E7CD7" w:rsidRPr="00526F0D" w:rsidRDefault="000E7CD7" w:rsidP="00B63B1C">
      <w:pPr>
        <w:pStyle w:val="ListParagraph"/>
        <w:numPr>
          <w:ilvl w:val="0"/>
          <w:numId w:val="1"/>
        </w:numPr>
        <w:spacing w:before="120"/>
        <w:contextualSpacing w:val="0"/>
        <w:jc w:val="both"/>
        <w:rPr>
          <w:sz w:val="28"/>
          <w:szCs w:val="28"/>
        </w:rPr>
      </w:pPr>
      <w:r w:rsidRPr="00526F0D">
        <w:rPr>
          <w:sz w:val="28"/>
          <w:szCs w:val="28"/>
          <w:u w:val="single"/>
        </w:rPr>
        <w:t>Sociālā uzņēmējdarbība</w:t>
      </w:r>
      <w:r w:rsidR="00526F0D" w:rsidRPr="00526F0D">
        <w:rPr>
          <w:sz w:val="28"/>
          <w:szCs w:val="28"/>
        </w:rPr>
        <w:t xml:space="preserve"> </w:t>
      </w:r>
      <w:r w:rsidR="00526F0D">
        <w:rPr>
          <w:sz w:val="28"/>
          <w:szCs w:val="28"/>
        </w:rPr>
        <w:t>–</w:t>
      </w:r>
      <w:r w:rsidRPr="00526F0D">
        <w:rPr>
          <w:sz w:val="28"/>
          <w:szCs w:val="28"/>
        </w:rPr>
        <w:t xml:space="preserve"> </w:t>
      </w:r>
      <w:r w:rsidR="00050631" w:rsidRPr="00526F0D">
        <w:rPr>
          <w:sz w:val="28"/>
          <w:szCs w:val="28"/>
        </w:rPr>
        <w:t>T</w:t>
      </w:r>
      <w:r w:rsidRPr="00526F0D">
        <w:rPr>
          <w:sz w:val="28"/>
          <w:szCs w:val="28"/>
        </w:rPr>
        <w:t xml:space="preserve">iesību akti tāda Eiropas normatīvā satvara izveidei, kas vienkāršotu solidaritātes ieguldījumu fondu izveidi; </w:t>
      </w:r>
    </w:p>
    <w:p w:rsidR="000E7CD7" w:rsidRPr="00526F0D" w:rsidRDefault="000E7CD7" w:rsidP="00B63B1C">
      <w:pPr>
        <w:pStyle w:val="ListParagraph"/>
        <w:numPr>
          <w:ilvl w:val="0"/>
          <w:numId w:val="1"/>
        </w:numPr>
        <w:spacing w:before="120"/>
        <w:contextualSpacing w:val="0"/>
        <w:jc w:val="both"/>
        <w:rPr>
          <w:sz w:val="28"/>
          <w:szCs w:val="28"/>
        </w:rPr>
      </w:pPr>
      <w:r w:rsidRPr="00526F0D">
        <w:rPr>
          <w:sz w:val="28"/>
          <w:szCs w:val="28"/>
          <w:u w:val="single"/>
        </w:rPr>
        <w:t>Nodokļi</w:t>
      </w:r>
      <w:r w:rsidR="00526F0D" w:rsidRPr="00526F0D">
        <w:rPr>
          <w:sz w:val="28"/>
          <w:szCs w:val="28"/>
        </w:rPr>
        <w:t xml:space="preserve"> </w:t>
      </w:r>
      <w:r w:rsidR="00526F0D">
        <w:rPr>
          <w:sz w:val="28"/>
          <w:szCs w:val="28"/>
        </w:rPr>
        <w:t>–</w:t>
      </w:r>
      <w:r w:rsidR="00050631" w:rsidRPr="00526F0D">
        <w:rPr>
          <w:sz w:val="28"/>
          <w:szCs w:val="28"/>
        </w:rPr>
        <w:t xml:space="preserve"> E</w:t>
      </w:r>
      <w:r w:rsidRPr="00526F0D">
        <w:rPr>
          <w:sz w:val="28"/>
          <w:szCs w:val="28"/>
        </w:rPr>
        <w:t>nerģijas nodokļu direktīv</w:t>
      </w:r>
      <w:r w:rsidR="00050631" w:rsidRPr="00526F0D">
        <w:rPr>
          <w:sz w:val="28"/>
          <w:szCs w:val="28"/>
        </w:rPr>
        <w:t>as pārskatīšana, lai</w:t>
      </w:r>
      <w:r w:rsidRPr="00526F0D">
        <w:rPr>
          <w:sz w:val="28"/>
          <w:szCs w:val="28"/>
        </w:rPr>
        <w:t xml:space="preserve"> nodrošināt</w:t>
      </w:r>
      <w:r w:rsidR="00050631" w:rsidRPr="00526F0D">
        <w:rPr>
          <w:sz w:val="28"/>
          <w:szCs w:val="28"/>
        </w:rPr>
        <w:t>u</w:t>
      </w:r>
      <w:r w:rsidRPr="00526F0D">
        <w:rPr>
          <w:sz w:val="28"/>
          <w:szCs w:val="28"/>
        </w:rPr>
        <w:t xml:space="preserve"> konsekventu regulējumu dažādiem enerģijas avotiem; </w:t>
      </w:r>
    </w:p>
    <w:p w:rsidR="000E7CD7" w:rsidRPr="00526F0D" w:rsidRDefault="000E7CD7" w:rsidP="00B63B1C">
      <w:pPr>
        <w:pStyle w:val="ListParagraph"/>
        <w:numPr>
          <w:ilvl w:val="0"/>
          <w:numId w:val="1"/>
        </w:numPr>
        <w:spacing w:before="120"/>
        <w:contextualSpacing w:val="0"/>
        <w:jc w:val="both"/>
        <w:rPr>
          <w:sz w:val="28"/>
          <w:szCs w:val="28"/>
        </w:rPr>
      </w:pPr>
      <w:r w:rsidRPr="00526F0D">
        <w:rPr>
          <w:sz w:val="28"/>
          <w:szCs w:val="28"/>
          <w:u w:val="single"/>
        </w:rPr>
        <w:t>Sociālā kohēzija</w:t>
      </w:r>
      <w:r w:rsidRPr="00526F0D">
        <w:rPr>
          <w:sz w:val="28"/>
          <w:szCs w:val="28"/>
        </w:rPr>
        <w:t xml:space="preserve"> </w:t>
      </w:r>
      <w:r w:rsidR="00526F0D">
        <w:rPr>
          <w:sz w:val="28"/>
          <w:szCs w:val="28"/>
        </w:rPr>
        <w:t xml:space="preserve">– </w:t>
      </w:r>
      <w:r w:rsidR="00050631" w:rsidRPr="00526F0D">
        <w:rPr>
          <w:sz w:val="28"/>
          <w:szCs w:val="28"/>
        </w:rPr>
        <w:t>T</w:t>
      </w:r>
      <w:r w:rsidRPr="00526F0D">
        <w:rPr>
          <w:sz w:val="28"/>
          <w:szCs w:val="28"/>
        </w:rPr>
        <w:t xml:space="preserve">iesību akti, </w:t>
      </w:r>
      <w:r w:rsidR="00050631" w:rsidRPr="00526F0D">
        <w:rPr>
          <w:sz w:val="28"/>
          <w:szCs w:val="28"/>
        </w:rPr>
        <w:t>kas</w:t>
      </w:r>
      <w:r w:rsidRPr="00526F0D">
        <w:rPr>
          <w:sz w:val="28"/>
          <w:szCs w:val="28"/>
        </w:rPr>
        <w:t xml:space="preserve"> uzlabot</w:t>
      </w:r>
      <w:r w:rsidR="00050631" w:rsidRPr="00526F0D">
        <w:rPr>
          <w:sz w:val="28"/>
          <w:szCs w:val="28"/>
        </w:rPr>
        <w:t>u</w:t>
      </w:r>
      <w:r w:rsidRPr="00526F0D">
        <w:rPr>
          <w:sz w:val="28"/>
          <w:szCs w:val="28"/>
        </w:rPr>
        <w:t xml:space="preserve"> un pastiprināt</w:t>
      </w:r>
      <w:r w:rsidR="00050631" w:rsidRPr="00526F0D">
        <w:rPr>
          <w:sz w:val="28"/>
          <w:szCs w:val="28"/>
        </w:rPr>
        <w:t>u</w:t>
      </w:r>
      <w:r w:rsidRPr="00526F0D">
        <w:rPr>
          <w:sz w:val="28"/>
          <w:szCs w:val="28"/>
        </w:rPr>
        <w:t xml:space="preserve"> direktīvas par darba ņēmēju norīkošanu darbā transponēšanu, piemē</w:t>
      </w:r>
      <w:r w:rsidR="00050631" w:rsidRPr="00526F0D">
        <w:rPr>
          <w:sz w:val="28"/>
          <w:szCs w:val="28"/>
        </w:rPr>
        <w:t>rošanu un tās ievērošanu praksē</w:t>
      </w:r>
      <w:r w:rsidRPr="00526F0D">
        <w:rPr>
          <w:sz w:val="28"/>
          <w:szCs w:val="28"/>
        </w:rPr>
        <w:t xml:space="preserve">; </w:t>
      </w:r>
    </w:p>
    <w:p w:rsidR="000E7CD7" w:rsidRPr="00526F0D" w:rsidRDefault="000E7CD7" w:rsidP="00B63B1C">
      <w:pPr>
        <w:pStyle w:val="ListParagraph"/>
        <w:numPr>
          <w:ilvl w:val="0"/>
          <w:numId w:val="1"/>
        </w:numPr>
        <w:spacing w:before="120"/>
        <w:contextualSpacing w:val="0"/>
        <w:jc w:val="both"/>
        <w:rPr>
          <w:sz w:val="28"/>
          <w:szCs w:val="28"/>
        </w:rPr>
      </w:pPr>
      <w:r w:rsidRPr="00526F0D">
        <w:rPr>
          <w:sz w:val="28"/>
          <w:szCs w:val="28"/>
          <w:u w:val="single"/>
        </w:rPr>
        <w:t>Uzņēmumu regulatīvā vide</w:t>
      </w:r>
      <w:r w:rsidR="00526F0D" w:rsidRPr="00526F0D">
        <w:rPr>
          <w:sz w:val="28"/>
          <w:szCs w:val="28"/>
        </w:rPr>
        <w:t xml:space="preserve"> </w:t>
      </w:r>
      <w:r w:rsidR="00526F0D">
        <w:rPr>
          <w:sz w:val="28"/>
          <w:szCs w:val="28"/>
        </w:rPr>
        <w:t>–</w:t>
      </w:r>
      <w:r w:rsidRPr="00526F0D">
        <w:rPr>
          <w:sz w:val="28"/>
          <w:szCs w:val="28"/>
        </w:rPr>
        <w:t xml:space="preserve"> </w:t>
      </w:r>
      <w:r w:rsidR="00050631" w:rsidRPr="00526F0D">
        <w:rPr>
          <w:sz w:val="28"/>
          <w:szCs w:val="28"/>
        </w:rPr>
        <w:t>D</w:t>
      </w:r>
      <w:r w:rsidRPr="00526F0D">
        <w:rPr>
          <w:sz w:val="28"/>
          <w:szCs w:val="28"/>
        </w:rPr>
        <w:t>irektīvas par grāmatvedības standartiem</w:t>
      </w:r>
      <w:r w:rsidR="00050631" w:rsidRPr="00526F0D">
        <w:rPr>
          <w:sz w:val="28"/>
          <w:szCs w:val="28"/>
        </w:rPr>
        <w:t xml:space="preserve"> vienkāršošana</w:t>
      </w:r>
      <w:r w:rsidRPr="00526F0D">
        <w:rPr>
          <w:sz w:val="28"/>
          <w:szCs w:val="28"/>
        </w:rPr>
        <w:t xml:space="preserve">; </w:t>
      </w:r>
    </w:p>
    <w:p w:rsidR="000E7CD7" w:rsidRPr="00526F0D" w:rsidRDefault="000E7CD7" w:rsidP="00B63B1C">
      <w:pPr>
        <w:pStyle w:val="ListParagraph"/>
        <w:numPr>
          <w:ilvl w:val="0"/>
          <w:numId w:val="1"/>
        </w:numPr>
        <w:spacing w:before="120"/>
        <w:contextualSpacing w:val="0"/>
        <w:jc w:val="both"/>
        <w:rPr>
          <w:sz w:val="28"/>
          <w:szCs w:val="28"/>
        </w:rPr>
      </w:pPr>
      <w:r w:rsidRPr="00526F0D">
        <w:rPr>
          <w:sz w:val="28"/>
          <w:szCs w:val="28"/>
          <w:u w:val="single"/>
        </w:rPr>
        <w:t>Publiskie iepirkumi</w:t>
      </w:r>
      <w:r w:rsidRPr="00526F0D">
        <w:rPr>
          <w:sz w:val="28"/>
          <w:szCs w:val="28"/>
        </w:rPr>
        <w:t xml:space="preserve"> </w:t>
      </w:r>
      <w:r w:rsidR="00526F0D">
        <w:rPr>
          <w:sz w:val="28"/>
          <w:szCs w:val="28"/>
        </w:rPr>
        <w:t>–</w:t>
      </w:r>
      <w:r w:rsidRPr="00526F0D">
        <w:rPr>
          <w:sz w:val="28"/>
          <w:szCs w:val="28"/>
        </w:rPr>
        <w:t xml:space="preserve"> </w:t>
      </w:r>
      <w:r w:rsidR="00050631" w:rsidRPr="00526F0D">
        <w:rPr>
          <w:sz w:val="28"/>
          <w:szCs w:val="28"/>
        </w:rPr>
        <w:t>P</w:t>
      </w:r>
      <w:r w:rsidRPr="00526F0D">
        <w:rPr>
          <w:sz w:val="28"/>
          <w:szCs w:val="28"/>
        </w:rPr>
        <w:t>ublisko iepirkumu regulatīv</w:t>
      </w:r>
      <w:r w:rsidR="00050631" w:rsidRPr="00526F0D">
        <w:rPr>
          <w:sz w:val="28"/>
          <w:szCs w:val="28"/>
        </w:rPr>
        <w:t>ā</w:t>
      </w:r>
      <w:r w:rsidRPr="00526F0D">
        <w:rPr>
          <w:sz w:val="28"/>
          <w:szCs w:val="28"/>
        </w:rPr>
        <w:t xml:space="preserve"> </w:t>
      </w:r>
      <w:r w:rsidR="00050631" w:rsidRPr="00526F0D">
        <w:rPr>
          <w:sz w:val="28"/>
          <w:szCs w:val="28"/>
        </w:rPr>
        <w:t>ie</w:t>
      </w:r>
      <w:r w:rsidRPr="00526F0D">
        <w:rPr>
          <w:sz w:val="28"/>
          <w:szCs w:val="28"/>
        </w:rPr>
        <w:t>tvar</w:t>
      </w:r>
      <w:r w:rsidR="00050631" w:rsidRPr="00526F0D">
        <w:rPr>
          <w:sz w:val="28"/>
          <w:szCs w:val="28"/>
        </w:rPr>
        <w:t>a pārskatīšana</w:t>
      </w:r>
      <w:r w:rsidRPr="00526F0D">
        <w:rPr>
          <w:sz w:val="28"/>
          <w:szCs w:val="28"/>
        </w:rPr>
        <w:t>.</w:t>
      </w:r>
    </w:p>
    <w:p w:rsidR="00BC0957" w:rsidRPr="000E7CD7" w:rsidRDefault="00BC0957" w:rsidP="00BC0957">
      <w:pPr>
        <w:jc w:val="both"/>
        <w:rPr>
          <w:sz w:val="28"/>
          <w:szCs w:val="28"/>
        </w:rPr>
      </w:pPr>
    </w:p>
    <w:p w:rsidR="005C21D5" w:rsidRPr="000E7CD7" w:rsidRDefault="005C21D5" w:rsidP="00796D5E">
      <w:pPr>
        <w:jc w:val="both"/>
        <w:rPr>
          <w:sz w:val="28"/>
          <w:szCs w:val="28"/>
        </w:rPr>
      </w:pPr>
      <w:r w:rsidRPr="000E7CD7">
        <w:rPr>
          <w:sz w:val="28"/>
          <w:szCs w:val="28"/>
        </w:rPr>
        <w:t xml:space="preserve">Lai paustu Padomes atbalstu </w:t>
      </w:r>
      <w:r w:rsidR="00BC0957" w:rsidRPr="000E7CD7">
        <w:rPr>
          <w:sz w:val="28"/>
          <w:szCs w:val="28"/>
        </w:rPr>
        <w:t>K</w:t>
      </w:r>
      <w:r w:rsidRPr="000E7CD7">
        <w:rPr>
          <w:sz w:val="28"/>
          <w:szCs w:val="28"/>
        </w:rPr>
        <w:t>omisijas Vienotā tirgus aktam</w:t>
      </w:r>
      <w:r w:rsidR="00BC0957" w:rsidRPr="000E7CD7">
        <w:rPr>
          <w:sz w:val="28"/>
          <w:szCs w:val="28"/>
        </w:rPr>
        <w:t xml:space="preserve"> </w:t>
      </w:r>
      <w:r w:rsidRPr="000E7CD7">
        <w:rPr>
          <w:sz w:val="28"/>
          <w:szCs w:val="28"/>
        </w:rPr>
        <w:t>ir sagatav</w:t>
      </w:r>
      <w:r w:rsidR="00BC0957" w:rsidRPr="000E7CD7">
        <w:rPr>
          <w:sz w:val="28"/>
          <w:szCs w:val="28"/>
        </w:rPr>
        <w:t xml:space="preserve">ots Padomes secinājumu projekts, kuru ir plānots pieņemt </w:t>
      </w:r>
      <w:r w:rsidR="00CA1812" w:rsidRPr="000E7CD7">
        <w:rPr>
          <w:sz w:val="28"/>
          <w:szCs w:val="28"/>
        </w:rPr>
        <w:t>2011.gada 30</w:t>
      </w:r>
      <w:r w:rsidRPr="000E7CD7">
        <w:rPr>
          <w:sz w:val="28"/>
          <w:szCs w:val="28"/>
        </w:rPr>
        <w:t>.maija Konkurētspējas ministru padom</w:t>
      </w:r>
      <w:r w:rsidR="00796D5E" w:rsidRPr="000E7CD7">
        <w:rPr>
          <w:sz w:val="28"/>
          <w:szCs w:val="28"/>
        </w:rPr>
        <w:t>es sanāksmē</w:t>
      </w:r>
      <w:r w:rsidRPr="000E7CD7">
        <w:rPr>
          <w:sz w:val="28"/>
          <w:szCs w:val="28"/>
        </w:rPr>
        <w:t xml:space="preserve">. </w:t>
      </w:r>
      <w:r w:rsidR="00060A8D" w:rsidRPr="000E7CD7">
        <w:rPr>
          <w:sz w:val="28"/>
          <w:szCs w:val="28"/>
        </w:rPr>
        <w:t>Padome</w:t>
      </w:r>
      <w:r w:rsidRPr="000E7CD7">
        <w:rPr>
          <w:sz w:val="28"/>
          <w:szCs w:val="28"/>
        </w:rPr>
        <w:t xml:space="preserve"> norāda, ka nepieciešams veikt mērķtiecīgus pasākumus, lai panāktu patiesu un pilnīgu iekšējā tirgus funkcionēšanu un skaidru, saskaņotu konkurētspējas stratēģiju dažādās ES politikas jomās. </w:t>
      </w:r>
    </w:p>
    <w:p w:rsidR="00060A8D" w:rsidRPr="000E7CD7" w:rsidRDefault="00060A8D" w:rsidP="00060A8D">
      <w:pPr>
        <w:jc w:val="both"/>
        <w:textAlignment w:val="top"/>
        <w:rPr>
          <w:sz w:val="28"/>
          <w:szCs w:val="28"/>
        </w:rPr>
      </w:pPr>
    </w:p>
    <w:p w:rsidR="006503E2" w:rsidRDefault="005C21D5" w:rsidP="00825258">
      <w:pPr>
        <w:spacing w:after="120"/>
        <w:jc w:val="both"/>
        <w:rPr>
          <w:bCs/>
          <w:sz w:val="28"/>
          <w:szCs w:val="28"/>
        </w:rPr>
      </w:pPr>
      <w:r w:rsidRPr="00050631">
        <w:rPr>
          <w:b/>
          <w:bCs/>
          <w:sz w:val="28"/>
          <w:szCs w:val="28"/>
        </w:rPr>
        <w:t>Latvija atbalsta</w:t>
      </w:r>
      <w:r w:rsidRPr="000E7CD7">
        <w:rPr>
          <w:bCs/>
          <w:sz w:val="28"/>
          <w:szCs w:val="28"/>
        </w:rPr>
        <w:t xml:space="preserve"> sagatavoto Padomes secinājumu projektu</w:t>
      </w:r>
      <w:r w:rsidRPr="000E7CD7">
        <w:rPr>
          <w:b/>
          <w:bCs/>
          <w:sz w:val="28"/>
          <w:szCs w:val="28"/>
        </w:rPr>
        <w:t xml:space="preserve"> </w:t>
      </w:r>
      <w:r w:rsidRPr="000E7CD7">
        <w:rPr>
          <w:bCs/>
          <w:sz w:val="28"/>
          <w:szCs w:val="28"/>
        </w:rPr>
        <w:t>un tā pieņemšanu Konkurētspējas ministru padomē pašreizējā redakcijā</w:t>
      </w:r>
      <w:r w:rsidRPr="000E7CD7">
        <w:rPr>
          <w:b/>
          <w:bCs/>
          <w:sz w:val="28"/>
          <w:szCs w:val="28"/>
        </w:rPr>
        <w:t xml:space="preserve">. </w:t>
      </w:r>
      <w:r w:rsidRPr="000E7CD7">
        <w:rPr>
          <w:bCs/>
          <w:sz w:val="28"/>
          <w:szCs w:val="28"/>
        </w:rPr>
        <w:t xml:space="preserve">Latvija </w:t>
      </w:r>
      <w:r w:rsidR="00060A8D" w:rsidRPr="000E7CD7">
        <w:rPr>
          <w:bCs/>
          <w:sz w:val="28"/>
          <w:szCs w:val="28"/>
        </w:rPr>
        <w:t xml:space="preserve">piekrīt tam , ka vienotā tirgus jautājumiem tiek piešķirta prioritāte un nozīmīgums, </w:t>
      </w:r>
      <w:r w:rsidR="00825258" w:rsidRPr="000E7CD7">
        <w:rPr>
          <w:bCs/>
          <w:sz w:val="28"/>
          <w:szCs w:val="28"/>
        </w:rPr>
        <w:t>jo</w:t>
      </w:r>
      <w:r w:rsidR="00060A8D" w:rsidRPr="000E7CD7">
        <w:rPr>
          <w:bCs/>
          <w:sz w:val="28"/>
          <w:szCs w:val="28"/>
        </w:rPr>
        <w:t xml:space="preserve"> tas ir viens no ES integrācijas stūrakmeņiem. Latvija kopā ar citām ES </w:t>
      </w:r>
      <w:r w:rsidR="00825258" w:rsidRPr="000E7CD7">
        <w:rPr>
          <w:bCs/>
          <w:sz w:val="28"/>
          <w:szCs w:val="28"/>
        </w:rPr>
        <w:t>dalībvalstīm</w:t>
      </w:r>
      <w:r w:rsidR="00060A8D" w:rsidRPr="000E7CD7">
        <w:rPr>
          <w:bCs/>
          <w:sz w:val="28"/>
          <w:szCs w:val="28"/>
        </w:rPr>
        <w:t xml:space="preserve"> ar šo secinājumu palīdzību kopumā pauž atbalstu Komisijas izstrādātajam Vienotā tirgus aktam.</w:t>
      </w:r>
    </w:p>
    <w:p w:rsidR="00050631" w:rsidRDefault="00050631" w:rsidP="00825258">
      <w:pPr>
        <w:spacing w:after="120"/>
        <w:jc w:val="both"/>
        <w:rPr>
          <w:bCs/>
          <w:sz w:val="28"/>
          <w:szCs w:val="28"/>
        </w:rPr>
      </w:pPr>
      <w:r>
        <w:rPr>
          <w:b/>
          <w:bCs/>
          <w:sz w:val="28"/>
          <w:szCs w:val="28"/>
        </w:rPr>
        <w:t xml:space="preserve">Latvija pauž atbalstu </w:t>
      </w:r>
      <w:r>
        <w:rPr>
          <w:bCs/>
          <w:sz w:val="28"/>
          <w:szCs w:val="28"/>
        </w:rPr>
        <w:t xml:space="preserve">Komisijas sagatavotajiem </w:t>
      </w:r>
      <w:r w:rsidRPr="00050631">
        <w:rPr>
          <w:bCs/>
          <w:sz w:val="28"/>
          <w:szCs w:val="28"/>
        </w:rPr>
        <w:t>12 prioritār</w:t>
      </w:r>
      <w:r>
        <w:rPr>
          <w:bCs/>
          <w:sz w:val="28"/>
          <w:szCs w:val="28"/>
        </w:rPr>
        <w:t xml:space="preserve">iem pasākumiem, </w:t>
      </w:r>
      <w:r w:rsidRPr="00050631">
        <w:rPr>
          <w:bCs/>
          <w:sz w:val="28"/>
          <w:szCs w:val="28"/>
        </w:rPr>
        <w:t xml:space="preserve"> jo īpaši attiecībā </w:t>
      </w:r>
      <w:r>
        <w:rPr>
          <w:bCs/>
          <w:sz w:val="28"/>
          <w:szCs w:val="28"/>
        </w:rPr>
        <w:t xml:space="preserve">uz jautājumiem, kas saistīti ar </w:t>
      </w:r>
      <w:r w:rsidRPr="00050631">
        <w:rPr>
          <w:bCs/>
          <w:sz w:val="28"/>
          <w:szCs w:val="28"/>
          <w:u w:val="single"/>
        </w:rPr>
        <w:t xml:space="preserve">maziem un vidējiem uzņēmumiem (turpmāk – MVU), profesionālajām </w:t>
      </w:r>
      <w:proofErr w:type="spellStart"/>
      <w:r w:rsidRPr="00050631">
        <w:rPr>
          <w:bCs/>
          <w:sz w:val="28"/>
          <w:szCs w:val="28"/>
          <w:u w:val="single"/>
        </w:rPr>
        <w:t>kvalifikācijām</w:t>
      </w:r>
      <w:proofErr w:type="spellEnd"/>
      <w:r w:rsidRPr="00050631">
        <w:rPr>
          <w:bCs/>
          <w:sz w:val="28"/>
          <w:szCs w:val="28"/>
          <w:u w:val="single"/>
        </w:rPr>
        <w:t>, vienota spēka Eiropas patentu, elektronisko komerciju un digitālo vienoto tirgu, standartizāciju un pakalpojumu sektoru</w:t>
      </w:r>
      <w:r>
        <w:rPr>
          <w:bCs/>
          <w:sz w:val="28"/>
          <w:szCs w:val="28"/>
        </w:rPr>
        <w:t>.</w:t>
      </w:r>
      <w:r w:rsidRPr="00050631">
        <w:rPr>
          <w:bCs/>
          <w:sz w:val="28"/>
          <w:szCs w:val="28"/>
        </w:rPr>
        <w:t xml:space="preserve"> Latvija ļoti atzinīgi vērtē secinājum</w:t>
      </w:r>
      <w:r>
        <w:rPr>
          <w:bCs/>
          <w:sz w:val="28"/>
          <w:szCs w:val="28"/>
        </w:rPr>
        <w:t>os</w:t>
      </w:r>
      <w:r w:rsidRPr="00050631">
        <w:rPr>
          <w:bCs/>
          <w:sz w:val="28"/>
          <w:szCs w:val="28"/>
        </w:rPr>
        <w:t xml:space="preserve"> uzsvērto </w:t>
      </w:r>
      <w:r w:rsidRPr="00FF6369">
        <w:rPr>
          <w:bCs/>
          <w:sz w:val="28"/>
          <w:szCs w:val="28"/>
          <w:u w:val="single"/>
        </w:rPr>
        <w:t>integrētu Eiropas transporta un enerģijas tīklu svarīgumu</w:t>
      </w:r>
      <w:r w:rsidRPr="00050631">
        <w:rPr>
          <w:bCs/>
          <w:sz w:val="28"/>
          <w:szCs w:val="28"/>
        </w:rPr>
        <w:t>.</w:t>
      </w:r>
    </w:p>
    <w:p w:rsidR="00050631" w:rsidRPr="000E7CD7" w:rsidRDefault="00050631" w:rsidP="00825258">
      <w:pPr>
        <w:spacing w:after="120"/>
        <w:jc w:val="both"/>
        <w:rPr>
          <w:sz w:val="28"/>
          <w:szCs w:val="28"/>
        </w:rPr>
      </w:pPr>
    </w:p>
    <w:p w:rsidR="00B77240" w:rsidRDefault="00B77240">
      <w:pPr>
        <w:spacing w:after="200" w:line="276" w:lineRule="auto"/>
        <w:rPr>
          <w:b/>
          <w:sz w:val="28"/>
          <w:szCs w:val="28"/>
        </w:rPr>
      </w:pPr>
      <w:r>
        <w:rPr>
          <w:b/>
          <w:sz w:val="28"/>
          <w:szCs w:val="28"/>
        </w:rPr>
        <w:br w:type="page"/>
      </w:r>
    </w:p>
    <w:p w:rsidR="00897AEF" w:rsidRPr="000E7CD7" w:rsidRDefault="00FA22E5" w:rsidP="00FA22E5">
      <w:pPr>
        <w:pBdr>
          <w:bottom w:val="single" w:sz="4" w:space="1" w:color="auto"/>
        </w:pBdr>
        <w:tabs>
          <w:tab w:val="left" w:pos="9288"/>
        </w:tabs>
        <w:spacing w:after="120"/>
        <w:jc w:val="both"/>
        <w:rPr>
          <w:i/>
          <w:sz w:val="28"/>
          <w:szCs w:val="28"/>
        </w:rPr>
      </w:pPr>
      <w:r w:rsidRPr="000E7CD7">
        <w:rPr>
          <w:b/>
          <w:sz w:val="28"/>
          <w:szCs w:val="28"/>
        </w:rPr>
        <w:lastRenderedPageBreak/>
        <w:t>2</w:t>
      </w:r>
      <w:r w:rsidR="00897AEF" w:rsidRPr="000E7CD7">
        <w:rPr>
          <w:b/>
          <w:sz w:val="28"/>
          <w:szCs w:val="28"/>
        </w:rPr>
        <w:t xml:space="preserve">. </w:t>
      </w:r>
      <w:r w:rsidRPr="000E7CD7">
        <w:rPr>
          <w:b/>
          <w:sz w:val="28"/>
          <w:szCs w:val="28"/>
        </w:rPr>
        <w:t>Komisijas Paziņojums Eiropas Parlamentam, Padomei, Ekonomikas un Sociālo Lietu Komitejai un Reģionu Komitejai Pārskats par “Eiropas mazās uzņēmējdarbības aktu”</w:t>
      </w:r>
      <w:r w:rsidR="00F97495">
        <w:rPr>
          <w:b/>
          <w:sz w:val="28"/>
          <w:szCs w:val="28"/>
        </w:rPr>
        <w:t xml:space="preserve"> </w:t>
      </w:r>
      <w:r w:rsidR="00F97495" w:rsidRPr="00F97495">
        <w:rPr>
          <w:b/>
          <w:i/>
          <w:sz w:val="28"/>
          <w:szCs w:val="28"/>
        </w:rPr>
        <w:t>(EM kompetence)</w:t>
      </w:r>
    </w:p>
    <w:p w:rsidR="00897AEF" w:rsidRPr="000E7CD7" w:rsidRDefault="00897AEF" w:rsidP="00897AEF">
      <w:pPr>
        <w:tabs>
          <w:tab w:val="left" w:pos="9288"/>
        </w:tabs>
        <w:jc w:val="both"/>
        <w:rPr>
          <w:i/>
          <w:sz w:val="28"/>
          <w:szCs w:val="28"/>
        </w:rPr>
      </w:pPr>
      <w:r w:rsidRPr="000E7CD7">
        <w:rPr>
          <w:i/>
          <w:sz w:val="28"/>
          <w:szCs w:val="28"/>
        </w:rPr>
        <w:t xml:space="preserve">- Padomes </w:t>
      </w:r>
      <w:r w:rsidR="00FA22E5" w:rsidRPr="000E7CD7">
        <w:rPr>
          <w:i/>
          <w:sz w:val="28"/>
          <w:szCs w:val="28"/>
        </w:rPr>
        <w:t xml:space="preserve">secinājumu </w:t>
      </w:r>
      <w:r w:rsidRPr="000E7CD7">
        <w:rPr>
          <w:i/>
          <w:sz w:val="28"/>
          <w:szCs w:val="28"/>
        </w:rPr>
        <w:t>pieņemšana</w:t>
      </w:r>
    </w:p>
    <w:p w:rsidR="00897AEF" w:rsidRPr="000E7CD7" w:rsidRDefault="00897AEF" w:rsidP="00FF6369">
      <w:pPr>
        <w:tabs>
          <w:tab w:val="left" w:pos="9288"/>
        </w:tabs>
        <w:jc w:val="both"/>
        <w:rPr>
          <w:sz w:val="28"/>
          <w:szCs w:val="28"/>
        </w:rPr>
      </w:pPr>
    </w:p>
    <w:p w:rsidR="00FF6369" w:rsidRDefault="00796D5E" w:rsidP="00FF6369">
      <w:pPr>
        <w:ind w:left="34"/>
        <w:jc w:val="both"/>
        <w:rPr>
          <w:bCs/>
          <w:sz w:val="28"/>
          <w:szCs w:val="28"/>
        </w:rPr>
      </w:pPr>
      <w:r w:rsidRPr="000E7CD7">
        <w:rPr>
          <w:bCs/>
          <w:sz w:val="28"/>
          <w:szCs w:val="28"/>
        </w:rPr>
        <w:t xml:space="preserve">2011.gada 15.aprīlī Prezidentūra publicēja </w:t>
      </w:r>
      <w:r w:rsidRPr="000E7CD7">
        <w:rPr>
          <w:sz w:val="28"/>
          <w:szCs w:val="28"/>
        </w:rPr>
        <w:t>Padomes secinājumu projektu par „</w:t>
      </w:r>
      <w:r w:rsidRPr="000E7CD7">
        <w:rPr>
          <w:bCs/>
          <w:sz w:val="28"/>
          <w:szCs w:val="28"/>
        </w:rPr>
        <w:t>Vidēja termiņa pārskatu par Mazās uzņēmējdarbības akta Eiropai ieviešanu”</w:t>
      </w:r>
      <w:r w:rsidR="00CA1812" w:rsidRPr="000E7CD7">
        <w:rPr>
          <w:bCs/>
          <w:sz w:val="28"/>
          <w:szCs w:val="28"/>
        </w:rPr>
        <w:t xml:space="preserve">, kuru ir plānots pieņemt 2011.gada 30.maija Konkurētspējas Ministru Padomes sanāksmē. </w:t>
      </w:r>
    </w:p>
    <w:p w:rsidR="00CA1812" w:rsidRPr="000E7CD7" w:rsidRDefault="00CA1812" w:rsidP="00FF6369">
      <w:pPr>
        <w:ind w:left="34"/>
        <w:jc w:val="both"/>
        <w:rPr>
          <w:bCs/>
          <w:sz w:val="28"/>
          <w:szCs w:val="28"/>
        </w:rPr>
      </w:pPr>
      <w:r w:rsidRPr="000E7CD7">
        <w:rPr>
          <w:bCs/>
          <w:sz w:val="28"/>
          <w:szCs w:val="28"/>
        </w:rPr>
        <w:t xml:space="preserve">Secinājumos tiek uzsvērtas šādas jomas: </w:t>
      </w:r>
    </w:p>
    <w:p w:rsidR="00796D5E" w:rsidRPr="00FF6369" w:rsidRDefault="00FF6369" w:rsidP="00B63B1C">
      <w:pPr>
        <w:pStyle w:val="ListParagraph"/>
        <w:numPr>
          <w:ilvl w:val="0"/>
          <w:numId w:val="2"/>
        </w:numPr>
        <w:spacing w:before="120"/>
        <w:contextualSpacing w:val="0"/>
        <w:jc w:val="both"/>
        <w:rPr>
          <w:bCs/>
          <w:sz w:val="28"/>
          <w:szCs w:val="28"/>
        </w:rPr>
      </w:pPr>
      <w:r>
        <w:rPr>
          <w:bCs/>
          <w:sz w:val="28"/>
          <w:szCs w:val="28"/>
        </w:rPr>
        <w:t>L</w:t>
      </w:r>
      <w:r w:rsidR="00796D5E" w:rsidRPr="00FF6369">
        <w:rPr>
          <w:bCs/>
          <w:sz w:val="28"/>
          <w:szCs w:val="28"/>
        </w:rPr>
        <w:t>ietpratīgs regulējums</w:t>
      </w:r>
      <w:r w:rsidR="00CA1812" w:rsidRPr="00FF6369">
        <w:rPr>
          <w:bCs/>
          <w:sz w:val="28"/>
          <w:szCs w:val="28"/>
        </w:rPr>
        <w:t>;</w:t>
      </w:r>
    </w:p>
    <w:p w:rsidR="00796D5E" w:rsidRPr="00FF6369" w:rsidRDefault="00050631" w:rsidP="00B63B1C">
      <w:pPr>
        <w:pStyle w:val="ListParagraph"/>
        <w:numPr>
          <w:ilvl w:val="0"/>
          <w:numId w:val="2"/>
        </w:numPr>
        <w:spacing w:before="120"/>
        <w:contextualSpacing w:val="0"/>
        <w:jc w:val="both"/>
        <w:rPr>
          <w:sz w:val="28"/>
          <w:szCs w:val="28"/>
        </w:rPr>
      </w:pPr>
      <w:r w:rsidRPr="00FF6369">
        <w:rPr>
          <w:bCs/>
          <w:sz w:val="28"/>
          <w:szCs w:val="28"/>
        </w:rPr>
        <w:t>MVU</w:t>
      </w:r>
      <w:r w:rsidR="00796D5E" w:rsidRPr="00FF6369">
        <w:rPr>
          <w:bCs/>
          <w:sz w:val="28"/>
          <w:szCs w:val="28"/>
        </w:rPr>
        <w:t xml:space="preserve"> pieeja finansējumam</w:t>
      </w:r>
      <w:r w:rsidR="00CA1812" w:rsidRPr="00FF6369">
        <w:rPr>
          <w:bCs/>
          <w:sz w:val="28"/>
          <w:szCs w:val="28"/>
        </w:rPr>
        <w:t>;</w:t>
      </w:r>
    </w:p>
    <w:p w:rsidR="00796D5E" w:rsidRPr="00FF6369" w:rsidRDefault="00796D5E" w:rsidP="00B63B1C">
      <w:pPr>
        <w:pStyle w:val="ListParagraph"/>
        <w:numPr>
          <w:ilvl w:val="0"/>
          <w:numId w:val="2"/>
        </w:numPr>
        <w:spacing w:before="120"/>
        <w:contextualSpacing w:val="0"/>
        <w:jc w:val="both"/>
        <w:rPr>
          <w:sz w:val="28"/>
          <w:szCs w:val="28"/>
        </w:rPr>
      </w:pPr>
      <w:r w:rsidRPr="00FF6369">
        <w:rPr>
          <w:bCs/>
          <w:sz w:val="28"/>
          <w:szCs w:val="28"/>
        </w:rPr>
        <w:t>MVU pieeja tirgum</w:t>
      </w:r>
      <w:r w:rsidR="00CA1812" w:rsidRPr="00FF6369">
        <w:rPr>
          <w:bCs/>
          <w:sz w:val="28"/>
          <w:szCs w:val="28"/>
        </w:rPr>
        <w:t>;</w:t>
      </w:r>
    </w:p>
    <w:p w:rsidR="00796D5E" w:rsidRPr="00FF6369" w:rsidRDefault="00FF6369" w:rsidP="00B63B1C">
      <w:pPr>
        <w:pStyle w:val="ListParagraph"/>
        <w:numPr>
          <w:ilvl w:val="0"/>
          <w:numId w:val="2"/>
        </w:numPr>
        <w:spacing w:before="120"/>
        <w:contextualSpacing w:val="0"/>
        <w:jc w:val="both"/>
        <w:rPr>
          <w:sz w:val="28"/>
          <w:szCs w:val="28"/>
        </w:rPr>
      </w:pPr>
      <w:r>
        <w:rPr>
          <w:bCs/>
          <w:sz w:val="28"/>
          <w:szCs w:val="28"/>
        </w:rPr>
        <w:t>U</w:t>
      </w:r>
      <w:r w:rsidR="00796D5E" w:rsidRPr="00FF6369">
        <w:rPr>
          <w:bCs/>
          <w:sz w:val="28"/>
          <w:szCs w:val="28"/>
        </w:rPr>
        <w:t>zņēmējdarbība</w:t>
      </w:r>
      <w:r w:rsidR="00CA1812" w:rsidRPr="00FF6369">
        <w:rPr>
          <w:bCs/>
          <w:sz w:val="28"/>
          <w:szCs w:val="28"/>
        </w:rPr>
        <w:t>s veicināšana;</w:t>
      </w:r>
      <w:r w:rsidR="00796D5E" w:rsidRPr="00FF6369">
        <w:rPr>
          <w:bCs/>
          <w:sz w:val="28"/>
          <w:szCs w:val="28"/>
        </w:rPr>
        <w:t xml:space="preserve"> </w:t>
      </w:r>
    </w:p>
    <w:p w:rsidR="00796D5E" w:rsidRPr="00526F0D" w:rsidRDefault="00FF6369" w:rsidP="00B63B1C">
      <w:pPr>
        <w:pStyle w:val="ListParagraph"/>
        <w:numPr>
          <w:ilvl w:val="0"/>
          <w:numId w:val="2"/>
        </w:numPr>
        <w:spacing w:before="120"/>
        <w:contextualSpacing w:val="0"/>
        <w:jc w:val="both"/>
        <w:rPr>
          <w:sz w:val="28"/>
          <w:szCs w:val="28"/>
        </w:rPr>
      </w:pPr>
      <w:r>
        <w:rPr>
          <w:bCs/>
          <w:sz w:val="28"/>
          <w:szCs w:val="28"/>
        </w:rPr>
        <w:t>L</w:t>
      </w:r>
      <w:r w:rsidR="00796D5E" w:rsidRPr="00FF6369">
        <w:rPr>
          <w:bCs/>
          <w:sz w:val="28"/>
          <w:szCs w:val="28"/>
        </w:rPr>
        <w:t>abāka pārvaldība</w:t>
      </w:r>
      <w:r w:rsidR="00CA1812" w:rsidRPr="00FF6369">
        <w:rPr>
          <w:bCs/>
          <w:sz w:val="28"/>
          <w:szCs w:val="28"/>
        </w:rPr>
        <w:t>.</w:t>
      </w:r>
    </w:p>
    <w:p w:rsidR="00526F0D" w:rsidRPr="00526F0D" w:rsidRDefault="00526F0D" w:rsidP="00526F0D">
      <w:pPr>
        <w:spacing w:before="120"/>
        <w:jc w:val="both"/>
        <w:rPr>
          <w:sz w:val="28"/>
          <w:szCs w:val="28"/>
        </w:rPr>
      </w:pPr>
      <w:r>
        <w:rPr>
          <w:sz w:val="28"/>
          <w:szCs w:val="28"/>
        </w:rPr>
        <w:t>Latvijai īpaši nozīmīgas ir divas no šīm jomām: MVU pieeja finansējumam un MVU pieeja tirgum.</w:t>
      </w:r>
    </w:p>
    <w:p w:rsidR="00FF6369" w:rsidRDefault="00FF6369" w:rsidP="00FF6369">
      <w:pPr>
        <w:spacing w:before="120"/>
        <w:jc w:val="both"/>
        <w:rPr>
          <w:sz w:val="28"/>
          <w:szCs w:val="28"/>
        </w:rPr>
      </w:pPr>
      <w:r>
        <w:rPr>
          <w:sz w:val="28"/>
          <w:szCs w:val="28"/>
        </w:rPr>
        <w:t xml:space="preserve">Kas attiecās uz </w:t>
      </w:r>
      <w:r w:rsidRPr="00FF6369">
        <w:rPr>
          <w:sz w:val="28"/>
          <w:szCs w:val="28"/>
          <w:u w:val="single"/>
        </w:rPr>
        <w:t>MVU pieeju finansējumam</w:t>
      </w:r>
      <w:r>
        <w:rPr>
          <w:sz w:val="28"/>
          <w:szCs w:val="28"/>
        </w:rPr>
        <w:t xml:space="preserve">, </w:t>
      </w:r>
      <w:r w:rsidRPr="00FF6369">
        <w:rPr>
          <w:sz w:val="28"/>
          <w:szCs w:val="28"/>
        </w:rPr>
        <w:t xml:space="preserve">īpaša uzmanība tiek vērsta uz </w:t>
      </w:r>
      <w:proofErr w:type="spellStart"/>
      <w:r w:rsidRPr="00FF6369">
        <w:rPr>
          <w:sz w:val="28"/>
          <w:szCs w:val="28"/>
        </w:rPr>
        <w:t>mikro</w:t>
      </w:r>
      <w:proofErr w:type="spellEnd"/>
      <w:r w:rsidRPr="00FF6369">
        <w:rPr>
          <w:sz w:val="28"/>
          <w:szCs w:val="28"/>
        </w:rPr>
        <w:t xml:space="preserve"> un MVU vajadzībām,</w:t>
      </w:r>
      <w:r w:rsidRPr="00FF6369">
        <w:t xml:space="preserve"> </w:t>
      </w:r>
      <w:r w:rsidRPr="00FF6369">
        <w:rPr>
          <w:sz w:val="28"/>
          <w:szCs w:val="28"/>
        </w:rPr>
        <w:t>t.sk., pārrobežu riska kapitāla investīciju plūsmas nodrošināšanā un dubultās nodokļu aplikšanas novēršanā.</w:t>
      </w:r>
      <w:r>
        <w:rPr>
          <w:sz w:val="28"/>
          <w:szCs w:val="28"/>
        </w:rPr>
        <w:t xml:space="preserve"> </w:t>
      </w:r>
      <w:r w:rsidRPr="00FF6369">
        <w:rPr>
          <w:b/>
          <w:sz w:val="28"/>
          <w:szCs w:val="28"/>
        </w:rPr>
        <w:t xml:space="preserve">Latvija </w:t>
      </w:r>
      <w:r w:rsidR="00B63B1C" w:rsidRPr="00FF6369">
        <w:rPr>
          <w:b/>
          <w:sz w:val="28"/>
          <w:szCs w:val="28"/>
        </w:rPr>
        <w:t>uzsver</w:t>
      </w:r>
      <w:r w:rsidRPr="00FF6369">
        <w:rPr>
          <w:sz w:val="28"/>
          <w:szCs w:val="28"/>
        </w:rPr>
        <w:t xml:space="preserve">, ka uzņēmēju konkurētspējas veicināšanai joprojām jutīgs jautājums ir </w:t>
      </w:r>
      <w:r>
        <w:rPr>
          <w:sz w:val="28"/>
          <w:szCs w:val="28"/>
        </w:rPr>
        <w:t xml:space="preserve">tieši </w:t>
      </w:r>
      <w:r w:rsidRPr="00FF6369">
        <w:rPr>
          <w:sz w:val="28"/>
          <w:szCs w:val="28"/>
        </w:rPr>
        <w:t xml:space="preserve">finansējuma pieejamība. </w:t>
      </w:r>
      <w:r w:rsidR="00B63B1C">
        <w:rPr>
          <w:sz w:val="28"/>
          <w:szCs w:val="28"/>
        </w:rPr>
        <w:t>I</w:t>
      </w:r>
      <w:r>
        <w:rPr>
          <w:sz w:val="28"/>
          <w:szCs w:val="28"/>
        </w:rPr>
        <w:t>r n</w:t>
      </w:r>
      <w:r w:rsidRPr="00FF6369">
        <w:rPr>
          <w:sz w:val="28"/>
          <w:szCs w:val="28"/>
        </w:rPr>
        <w:t>epieciešams pilnveidot MVU piekļuvi finansējumam, īpaši inovācijas jomā, prioritāri uzsverot piekļuvi riska kapitālam u</w:t>
      </w:r>
      <w:r w:rsidR="00B63B1C">
        <w:rPr>
          <w:sz w:val="28"/>
          <w:szCs w:val="28"/>
        </w:rPr>
        <w:t>n agrīnās stadijas finansējumam.</w:t>
      </w:r>
      <w:r w:rsidRPr="00FF6369">
        <w:rPr>
          <w:sz w:val="28"/>
          <w:szCs w:val="28"/>
        </w:rPr>
        <w:t xml:space="preserve"> </w:t>
      </w:r>
      <w:r w:rsidR="00B63B1C">
        <w:rPr>
          <w:sz w:val="28"/>
          <w:szCs w:val="28"/>
        </w:rPr>
        <w:t>V</w:t>
      </w:r>
      <w:r w:rsidRPr="00FF6369">
        <w:rPr>
          <w:sz w:val="28"/>
          <w:szCs w:val="28"/>
        </w:rPr>
        <w:t>ienlīdz svarīgi ir sekmēt uzņēmēju un zinātnieku sadarbību.</w:t>
      </w:r>
    </w:p>
    <w:p w:rsidR="00FF6369" w:rsidRDefault="00FF6369" w:rsidP="00C35DE6">
      <w:pPr>
        <w:spacing w:before="120"/>
        <w:jc w:val="both"/>
      </w:pPr>
      <w:r>
        <w:rPr>
          <w:sz w:val="28"/>
          <w:szCs w:val="28"/>
        </w:rPr>
        <w:t xml:space="preserve">Kā primārie uzdevumi attiecībā uz </w:t>
      </w:r>
      <w:r w:rsidRPr="00FF6369">
        <w:rPr>
          <w:sz w:val="28"/>
          <w:szCs w:val="28"/>
          <w:u w:val="single"/>
        </w:rPr>
        <w:t>MVU pieeju tirgum</w:t>
      </w:r>
      <w:r>
        <w:rPr>
          <w:sz w:val="28"/>
          <w:szCs w:val="28"/>
        </w:rPr>
        <w:t xml:space="preserve"> ir izvirzīti </w:t>
      </w:r>
      <w:r w:rsidRPr="00FF6369">
        <w:rPr>
          <w:sz w:val="28"/>
          <w:szCs w:val="28"/>
        </w:rPr>
        <w:t xml:space="preserve">tehnoloģisko un ne-tehnoloģisko inovāciju attīstība, </w:t>
      </w:r>
      <w:r w:rsidR="00B63B1C">
        <w:rPr>
          <w:sz w:val="28"/>
          <w:szCs w:val="28"/>
        </w:rPr>
        <w:t>bez</w:t>
      </w:r>
      <w:r w:rsidRPr="00FF6369">
        <w:rPr>
          <w:sz w:val="28"/>
          <w:szCs w:val="28"/>
        </w:rPr>
        <w:t>maksas pieej</w:t>
      </w:r>
      <w:r w:rsidR="00B63B1C">
        <w:rPr>
          <w:sz w:val="28"/>
          <w:szCs w:val="28"/>
        </w:rPr>
        <w:t>a</w:t>
      </w:r>
      <w:r w:rsidRPr="00FF6369">
        <w:rPr>
          <w:sz w:val="28"/>
          <w:szCs w:val="28"/>
        </w:rPr>
        <w:t xml:space="preserve"> standartiem, publisko iepirkumu procedūru vienkāršošana attiecībā uz MVU</w:t>
      </w:r>
      <w:r>
        <w:rPr>
          <w:sz w:val="28"/>
          <w:szCs w:val="28"/>
        </w:rPr>
        <w:t xml:space="preserve">, kā arī </w:t>
      </w:r>
      <w:r w:rsidRPr="00FF6369">
        <w:rPr>
          <w:sz w:val="28"/>
          <w:szCs w:val="28"/>
        </w:rPr>
        <w:t>resursu efektīvas ekonomikas nodrošināšan</w:t>
      </w:r>
      <w:r w:rsidR="00B63B1C">
        <w:rPr>
          <w:sz w:val="28"/>
          <w:szCs w:val="28"/>
        </w:rPr>
        <w:t>a</w:t>
      </w:r>
      <w:r>
        <w:rPr>
          <w:sz w:val="28"/>
          <w:szCs w:val="28"/>
        </w:rPr>
        <w:t>.</w:t>
      </w:r>
      <w:r w:rsidR="00B63B1C">
        <w:rPr>
          <w:sz w:val="28"/>
          <w:szCs w:val="28"/>
        </w:rPr>
        <w:t xml:space="preserve"> </w:t>
      </w:r>
      <w:r w:rsidRPr="00FF6369">
        <w:rPr>
          <w:sz w:val="28"/>
          <w:szCs w:val="28"/>
        </w:rPr>
        <w:t xml:space="preserve">Tirgus pieejas kontekstā </w:t>
      </w:r>
      <w:r w:rsidRPr="00FF6369">
        <w:rPr>
          <w:b/>
          <w:sz w:val="28"/>
          <w:szCs w:val="28"/>
        </w:rPr>
        <w:t>Latvija</w:t>
      </w:r>
      <w:r w:rsidR="00B63B1C">
        <w:rPr>
          <w:b/>
          <w:sz w:val="28"/>
          <w:szCs w:val="28"/>
        </w:rPr>
        <w:t>s</w:t>
      </w:r>
      <w:r w:rsidRPr="00FF6369">
        <w:rPr>
          <w:b/>
          <w:sz w:val="28"/>
          <w:szCs w:val="28"/>
        </w:rPr>
        <w:t xml:space="preserve"> </w:t>
      </w:r>
      <w:r w:rsidR="00B63B1C">
        <w:rPr>
          <w:b/>
          <w:sz w:val="28"/>
          <w:szCs w:val="28"/>
        </w:rPr>
        <w:t>prioritāte ir</w:t>
      </w:r>
      <w:r w:rsidRPr="00FF6369">
        <w:rPr>
          <w:b/>
          <w:sz w:val="28"/>
          <w:szCs w:val="28"/>
        </w:rPr>
        <w:t xml:space="preserve"> </w:t>
      </w:r>
      <w:r w:rsidRPr="00FF6369">
        <w:rPr>
          <w:sz w:val="28"/>
          <w:szCs w:val="28"/>
        </w:rPr>
        <w:t>digitālā vienotā tirgus attīstība un šajā kontekstā arī pasākum</w:t>
      </w:r>
      <w:r w:rsidR="00B63B1C">
        <w:rPr>
          <w:sz w:val="28"/>
          <w:szCs w:val="28"/>
        </w:rPr>
        <w:t>i</w:t>
      </w:r>
      <w:r w:rsidRPr="00FF6369">
        <w:rPr>
          <w:sz w:val="28"/>
          <w:szCs w:val="28"/>
        </w:rPr>
        <w:t>, kas vērsti uz elektronisko procedūru savstarpēju salāgošanu un savstarpējās atzīšanas nodrošināšanu.</w:t>
      </w:r>
      <w:r w:rsidR="00C35DE6">
        <w:rPr>
          <w:sz w:val="28"/>
          <w:szCs w:val="28"/>
        </w:rPr>
        <w:t xml:space="preserve"> </w:t>
      </w:r>
      <w:r w:rsidRPr="00C35DE6">
        <w:rPr>
          <w:b/>
          <w:color w:val="000000"/>
          <w:sz w:val="28"/>
          <w:szCs w:val="28"/>
        </w:rPr>
        <w:t>Latvija uzskata</w:t>
      </w:r>
      <w:r w:rsidRPr="00C35DE6">
        <w:rPr>
          <w:color w:val="000000"/>
          <w:sz w:val="28"/>
          <w:szCs w:val="28"/>
        </w:rPr>
        <w:t>, ka gan nacionāla, gan starptautiska līmeņa klasteriem un dažādiem MVU tīklojumiem ir nozīmīga loma MVU konkurētspējas stiprināšanai.</w:t>
      </w:r>
      <w:r w:rsidRPr="005641D2">
        <w:rPr>
          <w:color w:val="000000"/>
        </w:rPr>
        <w:t xml:space="preserve"> </w:t>
      </w:r>
    </w:p>
    <w:p w:rsidR="00FF6369" w:rsidRDefault="00FF6369" w:rsidP="00FF6369">
      <w:pPr>
        <w:tabs>
          <w:tab w:val="left" w:pos="9288"/>
        </w:tabs>
        <w:jc w:val="both"/>
        <w:rPr>
          <w:sz w:val="28"/>
          <w:szCs w:val="28"/>
        </w:rPr>
      </w:pPr>
    </w:p>
    <w:p w:rsidR="00CA1812" w:rsidRDefault="00912896" w:rsidP="00912896">
      <w:pPr>
        <w:tabs>
          <w:tab w:val="left" w:pos="9288"/>
        </w:tabs>
        <w:jc w:val="both"/>
        <w:rPr>
          <w:sz w:val="28"/>
          <w:szCs w:val="28"/>
        </w:rPr>
      </w:pPr>
      <w:r w:rsidRPr="000E7CD7">
        <w:rPr>
          <w:b/>
          <w:sz w:val="28"/>
          <w:szCs w:val="28"/>
        </w:rPr>
        <w:t>Latvija kopumā atbalsta</w:t>
      </w:r>
      <w:r w:rsidRPr="000E7CD7">
        <w:rPr>
          <w:sz w:val="28"/>
          <w:szCs w:val="28"/>
        </w:rPr>
        <w:t xml:space="preserve"> sagatavoto Padomes secinājumu projektu par „Vidēja termiņa pārskatu par Mazās uzņēmējdarbības akta Eiropai ieviešanu” un uzskata, ka tajā izvirzītie mērķi un rīcības virzieni ir prioritāri turpmākai MVU vides sakātošanai.</w:t>
      </w:r>
    </w:p>
    <w:p w:rsidR="00B63B1C" w:rsidRDefault="00B63B1C" w:rsidP="00912896">
      <w:pPr>
        <w:tabs>
          <w:tab w:val="left" w:pos="9288"/>
        </w:tabs>
        <w:jc w:val="both"/>
        <w:rPr>
          <w:sz w:val="28"/>
          <w:szCs w:val="28"/>
        </w:rPr>
      </w:pPr>
    </w:p>
    <w:p w:rsidR="00897AEF" w:rsidRPr="000E7CD7" w:rsidRDefault="00FA22E5" w:rsidP="00FA22E5">
      <w:pPr>
        <w:pBdr>
          <w:bottom w:val="single" w:sz="4" w:space="1" w:color="auto"/>
        </w:pBdr>
        <w:tabs>
          <w:tab w:val="left" w:pos="9288"/>
        </w:tabs>
        <w:spacing w:after="120"/>
        <w:jc w:val="both"/>
        <w:rPr>
          <w:b/>
          <w:sz w:val="28"/>
          <w:szCs w:val="28"/>
        </w:rPr>
      </w:pPr>
      <w:r w:rsidRPr="000E7CD7">
        <w:rPr>
          <w:b/>
          <w:sz w:val="28"/>
          <w:szCs w:val="28"/>
        </w:rPr>
        <w:lastRenderedPageBreak/>
        <w:t>3</w:t>
      </w:r>
      <w:r w:rsidR="00897AEF" w:rsidRPr="000E7CD7">
        <w:rPr>
          <w:b/>
          <w:sz w:val="28"/>
          <w:szCs w:val="28"/>
        </w:rPr>
        <w:t xml:space="preserve">. </w:t>
      </w:r>
      <w:r w:rsidRPr="000E7CD7">
        <w:rPr>
          <w:b/>
          <w:sz w:val="28"/>
          <w:szCs w:val="28"/>
        </w:rPr>
        <w:t>Komisijas paziņojums Eiropas Parlamentam, Padomei, Eiropas Ekonomikas un sociālo lietu komitejai un Reģionu komitejai – Lietpratīgs regulējums Eiropas Savienībā</w:t>
      </w:r>
      <w:r w:rsidR="00F97495">
        <w:rPr>
          <w:b/>
          <w:sz w:val="28"/>
          <w:szCs w:val="28"/>
        </w:rPr>
        <w:t xml:space="preserve"> </w:t>
      </w:r>
      <w:r w:rsidR="00F97495" w:rsidRPr="00F97495">
        <w:rPr>
          <w:b/>
          <w:i/>
          <w:sz w:val="28"/>
          <w:szCs w:val="28"/>
        </w:rPr>
        <w:t>(EM kompetence)</w:t>
      </w:r>
    </w:p>
    <w:p w:rsidR="00FA22E5" w:rsidRPr="000E7CD7" w:rsidRDefault="00897AEF" w:rsidP="00FA22E5">
      <w:pPr>
        <w:tabs>
          <w:tab w:val="left" w:pos="9288"/>
        </w:tabs>
        <w:jc w:val="both"/>
        <w:rPr>
          <w:i/>
          <w:sz w:val="28"/>
          <w:szCs w:val="28"/>
        </w:rPr>
      </w:pPr>
      <w:r w:rsidRPr="000E7CD7">
        <w:rPr>
          <w:i/>
          <w:sz w:val="28"/>
          <w:szCs w:val="28"/>
        </w:rPr>
        <w:t xml:space="preserve">- </w:t>
      </w:r>
      <w:r w:rsidR="00FA22E5" w:rsidRPr="000E7CD7">
        <w:rPr>
          <w:i/>
          <w:sz w:val="28"/>
          <w:szCs w:val="28"/>
        </w:rPr>
        <w:t>Padomes secinājumu pieņemšana</w:t>
      </w:r>
    </w:p>
    <w:p w:rsidR="00897AEF" w:rsidRPr="000E7CD7" w:rsidRDefault="00897AEF" w:rsidP="00FA22E5">
      <w:pPr>
        <w:tabs>
          <w:tab w:val="left" w:pos="9288"/>
        </w:tabs>
        <w:jc w:val="both"/>
        <w:rPr>
          <w:sz w:val="28"/>
          <w:szCs w:val="28"/>
        </w:rPr>
      </w:pPr>
    </w:p>
    <w:p w:rsidR="00F97495" w:rsidRPr="00F97495" w:rsidRDefault="00D0106C" w:rsidP="00F97495">
      <w:pPr>
        <w:jc w:val="both"/>
        <w:rPr>
          <w:sz w:val="28"/>
          <w:szCs w:val="28"/>
        </w:rPr>
      </w:pPr>
      <w:r w:rsidRPr="000E7CD7">
        <w:rPr>
          <w:sz w:val="28"/>
          <w:szCs w:val="28"/>
        </w:rPr>
        <w:t>2011.gada 30.</w:t>
      </w:r>
      <w:r w:rsidR="00E967CD" w:rsidRPr="000E7CD7">
        <w:rPr>
          <w:sz w:val="28"/>
          <w:szCs w:val="28"/>
        </w:rPr>
        <w:t>maija ES Konkurētspējas ministru padomes</w:t>
      </w:r>
      <w:r w:rsidRPr="000E7CD7">
        <w:rPr>
          <w:sz w:val="28"/>
          <w:szCs w:val="28"/>
        </w:rPr>
        <w:t xml:space="preserve"> sanāksmes</w:t>
      </w:r>
      <w:r w:rsidR="00E967CD" w:rsidRPr="000E7CD7">
        <w:rPr>
          <w:sz w:val="28"/>
          <w:szCs w:val="28"/>
        </w:rPr>
        <w:t xml:space="preserve"> laikā plānots apstiprināt Padomes secinājumus par lietpratīgu regulējumu. </w:t>
      </w:r>
      <w:r w:rsidR="00F97495">
        <w:rPr>
          <w:sz w:val="28"/>
          <w:szCs w:val="28"/>
        </w:rPr>
        <w:t xml:space="preserve">Padomes secinājumos tiek </w:t>
      </w:r>
      <w:r w:rsidR="00F97495" w:rsidRPr="00F97495">
        <w:rPr>
          <w:sz w:val="28"/>
          <w:szCs w:val="28"/>
        </w:rPr>
        <w:t>uzsv</w:t>
      </w:r>
      <w:r w:rsidR="00F97495">
        <w:rPr>
          <w:sz w:val="28"/>
          <w:szCs w:val="28"/>
        </w:rPr>
        <w:t>ērti šādi</w:t>
      </w:r>
      <w:r w:rsidR="00F97495" w:rsidRPr="00F97495">
        <w:rPr>
          <w:sz w:val="28"/>
          <w:szCs w:val="28"/>
        </w:rPr>
        <w:t xml:space="preserve"> aspekt</w:t>
      </w:r>
      <w:r w:rsidR="00F97495">
        <w:rPr>
          <w:sz w:val="28"/>
          <w:szCs w:val="28"/>
        </w:rPr>
        <w:t>i:</w:t>
      </w:r>
      <w:r w:rsidR="00F97495" w:rsidRPr="00F97495">
        <w:rPr>
          <w:sz w:val="28"/>
          <w:szCs w:val="28"/>
        </w:rPr>
        <w:t xml:space="preserve"> </w:t>
      </w:r>
    </w:p>
    <w:p w:rsidR="00F97495" w:rsidRPr="00F97495" w:rsidRDefault="00F97495" w:rsidP="00B63B1C">
      <w:pPr>
        <w:pStyle w:val="ListParagraph"/>
        <w:numPr>
          <w:ilvl w:val="0"/>
          <w:numId w:val="3"/>
        </w:numPr>
        <w:spacing w:before="120"/>
        <w:contextualSpacing w:val="0"/>
        <w:jc w:val="both"/>
        <w:rPr>
          <w:sz w:val="28"/>
          <w:szCs w:val="28"/>
        </w:rPr>
      </w:pPr>
      <w:r w:rsidRPr="00F97495">
        <w:rPr>
          <w:sz w:val="28"/>
          <w:szCs w:val="28"/>
        </w:rPr>
        <w:t xml:space="preserve">Esošo ES tiesību aktu uzlabošana un jaunu tiesību aktu augstas kvalitātes nodrošināšana </w:t>
      </w:r>
      <w:r w:rsidR="00B63B1C">
        <w:rPr>
          <w:sz w:val="28"/>
          <w:szCs w:val="28"/>
        </w:rPr>
        <w:t>izmantojot</w:t>
      </w:r>
      <w:r w:rsidRPr="00F97495">
        <w:rPr>
          <w:sz w:val="28"/>
          <w:szCs w:val="28"/>
        </w:rPr>
        <w:t xml:space="preserve"> ietekmes novērtējum</w:t>
      </w:r>
      <w:r w:rsidR="00B63B1C">
        <w:rPr>
          <w:sz w:val="28"/>
          <w:szCs w:val="28"/>
        </w:rPr>
        <w:t>u</w:t>
      </w:r>
      <w:r w:rsidRPr="00F97495">
        <w:rPr>
          <w:sz w:val="28"/>
          <w:szCs w:val="28"/>
        </w:rPr>
        <w:t>, vienkāršošan</w:t>
      </w:r>
      <w:r w:rsidR="00B63B1C">
        <w:rPr>
          <w:sz w:val="28"/>
          <w:szCs w:val="28"/>
        </w:rPr>
        <w:t>u</w:t>
      </w:r>
      <w:r w:rsidRPr="00F97495">
        <w:rPr>
          <w:sz w:val="28"/>
          <w:szCs w:val="28"/>
        </w:rPr>
        <w:t xml:space="preserve"> un administratīvā sloga samazināšan</w:t>
      </w:r>
      <w:r w:rsidR="00B63B1C">
        <w:rPr>
          <w:sz w:val="28"/>
          <w:szCs w:val="28"/>
        </w:rPr>
        <w:t>u</w:t>
      </w:r>
      <w:r w:rsidRPr="00F97495">
        <w:rPr>
          <w:sz w:val="28"/>
          <w:szCs w:val="28"/>
        </w:rPr>
        <w:t>;</w:t>
      </w:r>
    </w:p>
    <w:p w:rsidR="00F97495" w:rsidRPr="00F97495" w:rsidRDefault="00F97495" w:rsidP="00B63B1C">
      <w:pPr>
        <w:pStyle w:val="ListParagraph"/>
        <w:numPr>
          <w:ilvl w:val="0"/>
          <w:numId w:val="3"/>
        </w:numPr>
        <w:spacing w:before="120"/>
        <w:contextualSpacing w:val="0"/>
        <w:jc w:val="both"/>
        <w:rPr>
          <w:sz w:val="28"/>
          <w:szCs w:val="28"/>
        </w:rPr>
      </w:pPr>
      <w:r w:rsidRPr="00F97495">
        <w:rPr>
          <w:sz w:val="28"/>
          <w:szCs w:val="28"/>
        </w:rPr>
        <w:t>Publiskās konsultācijas</w:t>
      </w:r>
      <w:r w:rsidRPr="00F97495">
        <w:t xml:space="preserve"> </w:t>
      </w:r>
      <w:r w:rsidRPr="00F97495">
        <w:rPr>
          <w:sz w:val="28"/>
          <w:szCs w:val="28"/>
        </w:rPr>
        <w:t>procesa pagarināšana;</w:t>
      </w:r>
    </w:p>
    <w:p w:rsidR="00F97495" w:rsidRPr="00F97495" w:rsidRDefault="00F97495" w:rsidP="00B63B1C">
      <w:pPr>
        <w:pStyle w:val="ListParagraph"/>
        <w:numPr>
          <w:ilvl w:val="0"/>
          <w:numId w:val="3"/>
        </w:numPr>
        <w:spacing w:before="120"/>
        <w:contextualSpacing w:val="0"/>
        <w:jc w:val="both"/>
        <w:rPr>
          <w:sz w:val="28"/>
          <w:szCs w:val="28"/>
        </w:rPr>
      </w:pPr>
      <w:r w:rsidRPr="00F97495">
        <w:rPr>
          <w:sz w:val="28"/>
          <w:szCs w:val="28"/>
        </w:rPr>
        <w:t>Pieejamāka likumdošana, lai sasniegtu saskaņotu tiesību aktu ieviešanu un atbilstību ES tiesībām;</w:t>
      </w:r>
    </w:p>
    <w:p w:rsidR="00F97495" w:rsidRPr="00F97495" w:rsidRDefault="00F97495" w:rsidP="00B63B1C">
      <w:pPr>
        <w:pStyle w:val="ListParagraph"/>
        <w:numPr>
          <w:ilvl w:val="0"/>
          <w:numId w:val="3"/>
        </w:numPr>
        <w:spacing w:before="120"/>
        <w:contextualSpacing w:val="0"/>
        <w:jc w:val="both"/>
        <w:rPr>
          <w:sz w:val="28"/>
          <w:szCs w:val="28"/>
        </w:rPr>
      </w:pPr>
      <w:r w:rsidRPr="00F97495">
        <w:rPr>
          <w:sz w:val="28"/>
          <w:szCs w:val="28"/>
        </w:rPr>
        <w:t>ES tiesību aktu ieviešanas uzlabošana.</w:t>
      </w:r>
    </w:p>
    <w:p w:rsidR="00E967CD" w:rsidRPr="000E7CD7" w:rsidRDefault="00E967CD" w:rsidP="00D0106C">
      <w:pPr>
        <w:jc w:val="both"/>
        <w:rPr>
          <w:sz w:val="28"/>
          <w:szCs w:val="28"/>
        </w:rPr>
      </w:pPr>
    </w:p>
    <w:p w:rsidR="00D0106C" w:rsidRDefault="00B63B1C" w:rsidP="00D0106C">
      <w:pPr>
        <w:jc w:val="both"/>
        <w:rPr>
          <w:sz w:val="28"/>
          <w:szCs w:val="28"/>
        </w:rPr>
      </w:pPr>
      <w:r>
        <w:rPr>
          <w:sz w:val="28"/>
          <w:szCs w:val="28"/>
        </w:rPr>
        <w:t>L</w:t>
      </w:r>
      <w:r w:rsidR="00D0106C" w:rsidRPr="000E7CD7">
        <w:rPr>
          <w:sz w:val="28"/>
          <w:szCs w:val="28"/>
        </w:rPr>
        <w:t>ietpratīgais regulējums ir viens no svarīgiem rīkiem, kas veicina konkur</w:t>
      </w:r>
      <w:r>
        <w:rPr>
          <w:sz w:val="28"/>
          <w:szCs w:val="28"/>
        </w:rPr>
        <w:t>ētspēju un nodrošina izaugsmi, t</w:t>
      </w:r>
      <w:r w:rsidR="00D0106C" w:rsidRPr="000E7CD7">
        <w:rPr>
          <w:sz w:val="28"/>
          <w:szCs w:val="28"/>
        </w:rPr>
        <w:t xml:space="preserve">āpēc </w:t>
      </w:r>
      <w:r w:rsidR="00D0106C" w:rsidRPr="000E7CD7">
        <w:rPr>
          <w:b/>
          <w:sz w:val="28"/>
          <w:szCs w:val="28"/>
        </w:rPr>
        <w:t>Latvija kopumā atbalsta</w:t>
      </w:r>
      <w:r w:rsidR="00D0106C" w:rsidRPr="000E7CD7">
        <w:rPr>
          <w:sz w:val="28"/>
          <w:szCs w:val="28"/>
        </w:rPr>
        <w:t xml:space="preserve"> Padomes secinājumus. </w:t>
      </w:r>
    </w:p>
    <w:p w:rsidR="00F97495" w:rsidRDefault="00F97495" w:rsidP="00D0106C">
      <w:pPr>
        <w:jc w:val="both"/>
        <w:rPr>
          <w:sz w:val="28"/>
          <w:szCs w:val="28"/>
        </w:rPr>
      </w:pPr>
    </w:p>
    <w:p w:rsidR="00F97495" w:rsidRDefault="00F97495" w:rsidP="00F97495">
      <w:pPr>
        <w:jc w:val="both"/>
        <w:rPr>
          <w:sz w:val="28"/>
          <w:szCs w:val="28"/>
        </w:rPr>
      </w:pPr>
      <w:r w:rsidRPr="00F97495">
        <w:rPr>
          <w:sz w:val="28"/>
          <w:szCs w:val="28"/>
        </w:rPr>
        <w:t xml:space="preserve">Latvija piekrīt secinājumam, ka ir </w:t>
      </w:r>
      <w:r w:rsidRPr="00F97495">
        <w:rPr>
          <w:sz w:val="28"/>
          <w:szCs w:val="28"/>
          <w:u w:val="single"/>
        </w:rPr>
        <w:t>jāuzlabo uzņēmējdarbības vidi reglamentējošo normatīvo aktu kvalitāte</w:t>
      </w:r>
      <w:r>
        <w:rPr>
          <w:sz w:val="28"/>
          <w:szCs w:val="28"/>
        </w:rPr>
        <w:t xml:space="preserve">. Kā arī </w:t>
      </w:r>
      <w:r w:rsidRPr="00F97495">
        <w:rPr>
          <w:sz w:val="28"/>
          <w:szCs w:val="28"/>
        </w:rPr>
        <w:t xml:space="preserve">atzinīgi vērtē Eiropas Komisijas uzsākto darbu pie </w:t>
      </w:r>
      <w:r w:rsidRPr="00F97495">
        <w:rPr>
          <w:sz w:val="28"/>
          <w:szCs w:val="28"/>
          <w:u w:val="single"/>
        </w:rPr>
        <w:t xml:space="preserve">grāmatvedības prasību pārskatīšanas </w:t>
      </w:r>
      <w:proofErr w:type="spellStart"/>
      <w:r w:rsidRPr="00F97495">
        <w:rPr>
          <w:sz w:val="28"/>
          <w:szCs w:val="28"/>
          <w:u w:val="single"/>
        </w:rPr>
        <w:t>mikrouzņēmumiem</w:t>
      </w:r>
      <w:proofErr w:type="spellEnd"/>
      <w:r>
        <w:rPr>
          <w:sz w:val="28"/>
          <w:szCs w:val="28"/>
        </w:rPr>
        <w:t xml:space="preserve">. </w:t>
      </w:r>
      <w:r w:rsidRPr="00F97495">
        <w:rPr>
          <w:sz w:val="28"/>
          <w:szCs w:val="28"/>
        </w:rPr>
        <w:t>Latvija atbalsta</w:t>
      </w:r>
      <w:r w:rsidRPr="00F97495">
        <w:rPr>
          <w:b/>
          <w:sz w:val="28"/>
          <w:szCs w:val="28"/>
        </w:rPr>
        <w:t xml:space="preserve"> </w:t>
      </w:r>
      <w:r w:rsidRPr="00F97495">
        <w:rPr>
          <w:sz w:val="28"/>
          <w:szCs w:val="28"/>
          <w:u w:val="single"/>
        </w:rPr>
        <w:t xml:space="preserve">publisko konsultāciju procesa pagarināšanu </w:t>
      </w:r>
      <w:r w:rsidRPr="00F97495">
        <w:rPr>
          <w:sz w:val="28"/>
          <w:szCs w:val="28"/>
        </w:rPr>
        <w:t>līdz 12 nedēļām un uzskata, ka šāds solis nodrošinās iespēju konsultācijās piedalīties pēc iespējas vairāk interesentiem</w:t>
      </w:r>
      <w:r>
        <w:rPr>
          <w:sz w:val="28"/>
          <w:szCs w:val="28"/>
        </w:rPr>
        <w:t>. G</w:t>
      </w:r>
      <w:r w:rsidRPr="00F97495">
        <w:rPr>
          <w:sz w:val="28"/>
          <w:szCs w:val="28"/>
        </w:rPr>
        <w:t>an ES institūcijām, gan dalībvalstīm ir jāturpina darbs pie valodas ziņā  vienkāršākiem un visiem</w:t>
      </w:r>
      <w:r>
        <w:rPr>
          <w:sz w:val="28"/>
          <w:szCs w:val="28"/>
        </w:rPr>
        <w:t xml:space="preserve"> </w:t>
      </w:r>
      <w:r w:rsidRPr="00F97495">
        <w:rPr>
          <w:sz w:val="28"/>
          <w:szCs w:val="28"/>
          <w:u w:val="single"/>
        </w:rPr>
        <w:t>saprotamākiem tiesību aktiem</w:t>
      </w:r>
      <w:r>
        <w:rPr>
          <w:sz w:val="28"/>
          <w:szCs w:val="28"/>
        </w:rPr>
        <w:t xml:space="preserve">. Kā arī ir svarīgi </w:t>
      </w:r>
      <w:r w:rsidRPr="00F97495">
        <w:rPr>
          <w:sz w:val="28"/>
          <w:szCs w:val="28"/>
          <w:u w:val="single"/>
        </w:rPr>
        <w:t>savlaicīgi un pareizi ieviest ES tiesību aktus</w:t>
      </w:r>
      <w:r w:rsidRPr="00F97495">
        <w:rPr>
          <w:sz w:val="28"/>
          <w:szCs w:val="28"/>
        </w:rPr>
        <w:t>.</w:t>
      </w:r>
    </w:p>
    <w:p w:rsidR="00D0106C" w:rsidRPr="000E7CD7" w:rsidRDefault="00D0106C" w:rsidP="00D0106C">
      <w:pPr>
        <w:jc w:val="both"/>
        <w:rPr>
          <w:sz w:val="28"/>
          <w:szCs w:val="28"/>
        </w:rPr>
      </w:pPr>
    </w:p>
    <w:p w:rsidR="00897AEF" w:rsidRPr="00F97495" w:rsidRDefault="00FA22E5" w:rsidP="00897AEF">
      <w:pPr>
        <w:pBdr>
          <w:bottom w:val="single" w:sz="4" w:space="1" w:color="auto"/>
        </w:pBdr>
        <w:tabs>
          <w:tab w:val="left" w:pos="9288"/>
        </w:tabs>
        <w:spacing w:after="120"/>
        <w:jc w:val="both"/>
        <w:rPr>
          <w:sz w:val="28"/>
          <w:szCs w:val="28"/>
        </w:rPr>
      </w:pPr>
      <w:r w:rsidRPr="000E7CD7">
        <w:rPr>
          <w:b/>
          <w:sz w:val="28"/>
          <w:szCs w:val="28"/>
        </w:rPr>
        <w:t>4</w:t>
      </w:r>
      <w:r w:rsidR="00897AEF" w:rsidRPr="000E7CD7">
        <w:rPr>
          <w:b/>
          <w:sz w:val="28"/>
          <w:szCs w:val="28"/>
        </w:rPr>
        <w:t xml:space="preserve">. </w:t>
      </w:r>
      <w:r w:rsidRPr="000E7CD7">
        <w:rPr>
          <w:b/>
          <w:sz w:val="28"/>
          <w:szCs w:val="28"/>
        </w:rPr>
        <w:t xml:space="preserve">Priekšlikums Eiropas Parlamenta un Padomes Direktīvai, ar ko attiecībā uz </w:t>
      </w:r>
      <w:proofErr w:type="spellStart"/>
      <w:r w:rsidRPr="000E7CD7">
        <w:rPr>
          <w:b/>
          <w:sz w:val="28"/>
          <w:szCs w:val="28"/>
        </w:rPr>
        <w:t>mikrouzņēmumiem</w:t>
      </w:r>
      <w:proofErr w:type="spellEnd"/>
      <w:r w:rsidRPr="000E7CD7">
        <w:rPr>
          <w:b/>
          <w:sz w:val="28"/>
          <w:szCs w:val="28"/>
        </w:rPr>
        <w:t xml:space="preserve"> groza Padomes Direktīvu 78/660/EEK par noteiktu veidu sabiedrību gada pārskatiem</w:t>
      </w:r>
      <w:r w:rsidR="00F97495">
        <w:rPr>
          <w:b/>
          <w:sz w:val="28"/>
          <w:szCs w:val="28"/>
        </w:rPr>
        <w:t xml:space="preserve"> </w:t>
      </w:r>
      <w:r w:rsidR="00F97495" w:rsidRPr="00F97495">
        <w:rPr>
          <w:b/>
          <w:i/>
          <w:sz w:val="28"/>
          <w:szCs w:val="28"/>
        </w:rPr>
        <w:t>(</w:t>
      </w:r>
      <w:r w:rsidR="00F97495">
        <w:rPr>
          <w:b/>
          <w:i/>
          <w:sz w:val="28"/>
          <w:szCs w:val="28"/>
        </w:rPr>
        <w:t>F</w:t>
      </w:r>
      <w:r w:rsidR="00F97495" w:rsidRPr="00F97495">
        <w:rPr>
          <w:b/>
          <w:i/>
          <w:sz w:val="28"/>
          <w:szCs w:val="28"/>
        </w:rPr>
        <w:t>M kompetence)</w:t>
      </w:r>
    </w:p>
    <w:p w:rsidR="00897AEF" w:rsidRPr="000E7CD7" w:rsidRDefault="00897AEF" w:rsidP="00897AEF">
      <w:pPr>
        <w:tabs>
          <w:tab w:val="left" w:pos="9288"/>
        </w:tabs>
        <w:spacing w:after="120"/>
        <w:jc w:val="both"/>
        <w:rPr>
          <w:i/>
          <w:sz w:val="28"/>
          <w:szCs w:val="28"/>
        </w:rPr>
      </w:pPr>
      <w:r w:rsidRPr="000E7CD7">
        <w:rPr>
          <w:i/>
          <w:sz w:val="28"/>
          <w:szCs w:val="28"/>
        </w:rPr>
        <w:t>-</w:t>
      </w:r>
      <w:r w:rsidR="00FA22E5" w:rsidRPr="000E7CD7">
        <w:rPr>
          <w:i/>
          <w:sz w:val="28"/>
          <w:szCs w:val="28"/>
        </w:rPr>
        <w:t>Politiska vienošanās</w:t>
      </w:r>
    </w:p>
    <w:p w:rsidR="00897AEF" w:rsidRPr="000E7CD7" w:rsidRDefault="00897AEF" w:rsidP="000442AD">
      <w:pPr>
        <w:jc w:val="both"/>
        <w:rPr>
          <w:sz w:val="28"/>
          <w:szCs w:val="28"/>
        </w:rPr>
      </w:pPr>
    </w:p>
    <w:p w:rsidR="00D0106C" w:rsidRPr="000E7CD7" w:rsidRDefault="00D0106C" w:rsidP="000442AD">
      <w:pPr>
        <w:jc w:val="both"/>
        <w:textAlignment w:val="top"/>
        <w:rPr>
          <w:color w:val="000000"/>
          <w:sz w:val="28"/>
          <w:szCs w:val="28"/>
        </w:rPr>
      </w:pPr>
      <w:r w:rsidRPr="000E7CD7">
        <w:rPr>
          <w:sz w:val="28"/>
          <w:szCs w:val="28"/>
        </w:rPr>
        <w:t xml:space="preserve">2011.gada 30.maija ES Konkurētspējas ministru padomes sanāksmes laikā </w:t>
      </w:r>
      <w:r w:rsidRPr="000E7CD7">
        <w:rPr>
          <w:color w:val="000000"/>
          <w:sz w:val="28"/>
          <w:szCs w:val="28"/>
        </w:rPr>
        <w:t xml:space="preserve"> tiek plānots panākt politisko vienošanos par Eiropas Komisijas sagatavotā direktīvas projekta (Prezidentūras kompromisa teksta redakcijā) tālāko virzību, arī saistībā ar šādiem  neatrisinātajiem jautājumiem: </w:t>
      </w:r>
    </w:p>
    <w:p w:rsidR="000442AD" w:rsidRPr="000E7CD7" w:rsidRDefault="000442AD" w:rsidP="000442AD">
      <w:pPr>
        <w:jc w:val="both"/>
        <w:textAlignment w:val="top"/>
        <w:rPr>
          <w:color w:val="000000"/>
          <w:sz w:val="28"/>
          <w:szCs w:val="28"/>
        </w:rPr>
      </w:pPr>
    </w:p>
    <w:p w:rsidR="00D0106C" w:rsidRPr="000E7CD7" w:rsidRDefault="00D0106C" w:rsidP="00B63B1C">
      <w:pPr>
        <w:numPr>
          <w:ilvl w:val="0"/>
          <w:numId w:val="4"/>
        </w:numPr>
        <w:jc w:val="both"/>
        <w:textAlignment w:val="top"/>
        <w:rPr>
          <w:color w:val="888888"/>
          <w:sz w:val="28"/>
          <w:szCs w:val="28"/>
        </w:rPr>
      </w:pPr>
      <w:proofErr w:type="spellStart"/>
      <w:r w:rsidRPr="000E7CD7">
        <w:rPr>
          <w:color w:val="000000"/>
          <w:sz w:val="28"/>
          <w:szCs w:val="28"/>
          <w:u w:val="single"/>
        </w:rPr>
        <w:lastRenderedPageBreak/>
        <w:t>Mikrouzņēmumu</w:t>
      </w:r>
      <w:proofErr w:type="spellEnd"/>
      <w:r w:rsidRPr="000E7CD7">
        <w:rPr>
          <w:color w:val="000000"/>
          <w:sz w:val="28"/>
          <w:szCs w:val="28"/>
          <w:u w:val="single"/>
        </w:rPr>
        <w:t xml:space="preserve"> definīcija</w:t>
      </w:r>
      <w:r w:rsidRPr="000E7CD7">
        <w:rPr>
          <w:color w:val="000000"/>
          <w:sz w:val="28"/>
          <w:szCs w:val="28"/>
        </w:rPr>
        <w:t xml:space="preserve"> – Direktīvas projekts paredz </w:t>
      </w:r>
      <w:r w:rsidRPr="000E7CD7">
        <w:rPr>
          <w:rStyle w:val="hps"/>
          <w:color w:val="000000"/>
          <w:sz w:val="28"/>
          <w:szCs w:val="28"/>
        </w:rPr>
        <w:t>ieviest</w:t>
      </w:r>
      <w:r w:rsidRPr="000E7CD7">
        <w:rPr>
          <w:color w:val="000000"/>
          <w:sz w:val="28"/>
          <w:szCs w:val="28"/>
        </w:rPr>
        <w:t xml:space="preserve"> </w:t>
      </w:r>
      <w:r w:rsidRPr="000E7CD7">
        <w:rPr>
          <w:rStyle w:val="hps"/>
          <w:color w:val="000000"/>
          <w:sz w:val="28"/>
          <w:szCs w:val="28"/>
        </w:rPr>
        <w:t>jaunu uzņēmumu kategoriju</w:t>
      </w:r>
      <w:r w:rsidRPr="000E7CD7">
        <w:rPr>
          <w:color w:val="000000"/>
          <w:sz w:val="28"/>
          <w:szCs w:val="28"/>
        </w:rPr>
        <w:t xml:space="preserve"> </w:t>
      </w:r>
      <w:r w:rsidRPr="000E7CD7">
        <w:rPr>
          <w:rStyle w:val="hps"/>
          <w:color w:val="000000"/>
          <w:sz w:val="28"/>
          <w:szCs w:val="28"/>
        </w:rPr>
        <w:t>(</w:t>
      </w:r>
      <w:r w:rsidRPr="000E7CD7">
        <w:rPr>
          <w:color w:val="000000"/>
          <w:sz w:val="28"/>
          <w:szCs w:val="28"/>
        </w:rPr>
        <w:t xml:space="preserve">t.s. </w:t>
      </w:r>
      <w:r w:rsidRPr="000E7CD7">
        <w:rPr>
          <w:rStyle w:val="hps"/>
          <w:color w:val="000000"/>
          <w:sz w:val="28"/>
          <w:szCs w:val="28"/>
        </w:rPr>
        <w:t>"</w:t>
      </w:r>
      <w:proofErr w:type="spellStart"/>
      <w:r w:rsidRPr="000E7CD7">
        <w:rPr>
          <w:color w:val="000000"/>
          <w:sz w:val="28"/>
          <w:szCs w:val="28"/>
        </w:rPr>
        <w:t>mikrouzņēmums</w:t>
      </w:r>
      <w:proofErr w:type="spellEnd"/>
      <w:r w:rsidRPr="000E7CD7">
        <w:rPr>
          <w:color w:val="000000"/>
          <w:sz w:val="28"/>
          <w:szCs w:val="28"/>
        </w:rPr>
        <w:t xml:space="preserve">"), kam paredz piemērot </w:t>
      </w:r>
      <w:r w:rsidRPr="000E7CD7">
        <w:rPr>
          <w:rStyle w:val="hps"/>
          <w:color w:val="000000"/>
          <w:sz w:val="28"/>
          <w:szCs w:val="28"/>
        </w:rPr>
        <w:t>vieglāku</w:t>
      </w:r>
      <w:r w:rsidRPr="000E7CD7">
        <w:rPr>
          <w:color w:val="000000"/>
          <w:sz w:val="28"/>
          <w:szCs w:val="28"/>
        </w:rPr>
        <w:t xml:space="preserve"> </w:t>
      </w:r>
      <w:r w:rsidRPr="000E7CD7">
        <w:rPr>
          <w:rStyle w:val="hps"/>
          <w:color w:val="000000"/>
          <w:sz w:val="28"/>
          <w:szCs w:val="28"/>
        </w:rPr>
        <w:t>grāmatvedības režīma</w:t>
      </w:r>
      <w:r w:rsidRPr="000E7CD7">
        <w:rPr>
          <w:color w:val="000000"/>
          <w:sz w:val="28"/>
          <w:szCs w:val="28"/>
        </w:rPr>
        <w:t xml:space="preserve">. </w:t>
      </w:r>
      <w:r w:rsidRPr="000E7CD7">
        <w:rPr>
          <w:rStyle w:val="hps"/>
          <w:color w:val="000000"/>
          <w:sz w:val="28"/>
          <w:szCs w:val="28"/>
        </w:rPr>
        <w:t>Lai</w:t>
      </w:r>
      <w:r w:rsidRPr="000E7CD7">
        <w:rPr>
          <w:color w:val="000000"/>
          <w:sz w:val="28"/>
          <w:szCs w:val="28"/>
        </w:rPr>
        <w:t xml:space="preserve"> </w:t>
      </w:r>
      <w:r w:rsidRPr="000E7CD7">
        <w:rPr>
          <w:rStyle w:val="hps"/>
          <w:color w:val="000000"/>
          <w:sz w:val="28"/>
          <w:szCs w:val="28"/>
        </w:rPr>
        <w:t>kļūtu par</w:t>
      </w:r>
      <w:r w:rsidRPr="000E7CD7">
        <w:rPr>
          <w:color w:val="000000"/>
          <w:sz w:val="28"/>
          <w:szCs w:val="28"/>
        </w:rPr>
        <w:t xml:space="preserve"> </w:t>
      </w:r>
      <w:r w:rsidRPr="000E7CD7">
        <w:rPr>
          <w:rStyle w:val="hps"/>
          <w:color w:val="000000"/>
          <w:sz w:val="28"/>
          <w:szCs w:val="28"/>
        </w:rPr>
        <w:t>"</w:t>
      </w:r>
      <w:proofErr w:type="spellStart"/>
      <w:r w:rsidRPr="000E7CD7">
        <w:rPr>
          <w:color w:val="000000"/>
          <w:sz w:val="28"/>
          <w:szCs w:val="28"/>
        </w:rPr>
        <w:t>mikrouzņēmumu</w:t>
      </w:r>
      <w:proofErr w:type="spellEnd"/>
      <w:r w:rsidRPr="000E7CD7">
        <w:rPr>
          <w:color w:val="000000"/>
          <w:sz w:val="28"/>
          <w:szCs w:val="28"/>
        </w:rPr>
        <w:t xml:space="preserve">" </w:t>
      </w:r>
      <w:r w:rsidRPr="000E7CD7">
        <w:rPr>
          <w:rStyle w:val="hps"/>
          <w:color w:val="000000"/>
          <w:sz w:val="28"/>
          <w:szCs w:val="28"/>
        </w:rPr>
        <w:t>uzņēmumam nevajadzētu</w:t>
      </w:r>
      <w:r w:rsidRPr="000E7CD7">
        <w:rPr>
          <w:color w:val="000000"/>
          <w:sz w:val="28"/>
          <w:szCs w:val="28"/>
        </w:rPr>
        <w:t xml:space="preserve"> </w:t>
      </w:r>
      <w:r w:rsidRPr="000E7CD7">
        <w:rPr>
          <w:rStyle w:val="hps"/>
          <w:color w:val="000000"/>
          <w:sz w:val="28"/>
          <w:szCs w:val="28"/>
        </w:rPr>
        <w:t>pārsniegt</w:t>
      </w:r>
      <w:r w:rsidRPr="000E7CD7">
        <w:rPr>
          <w:color w:val="000000"/>
          <w:sz w:val="28"/>
          <w:szCs w:val="28"/>
        </w:rPr>
        <w:t xml:space="preserve"> </w:t>
      </w:r>
      <w:r w:rsidRPr="000E7CD7">
        <w:rPr>
          <w:rStyle w:val="hps"/>
          <w:color w:val="000000"/>
          <w:sz w:val="28"/>
          <w:szCs w:val="28"/>
        </w:rPr>
        <w:t>divus no</w:t>
      </w:r>
      <w:r w:rsidRPr="000E7CD7">
        <w:rPr>
          <w:color w:val="000000"/>
          <w:sz w:val="28"/>
          <w:szCs w:val="28"/>
        </w:rPr>
        <w:t xml:space="preserve"> </w:t>
      </w:r>
      <w:r w:rsidRPr="000E7CD7">
        <w:rPr>
          <w:rStyle w:val="hps"/>
          <w:color w:val="000000"/>
          <w:sz w:val="28"/>
          <w:szCs w:val="28"/>
        </w:rPr>
        <w:t>šādiem trim</w:t>
      </w:r>
      <w:r w:rsidRPr="000E7CD7">
        <w:rPr>
          <w:color w:val="000000"/>
          <w:sz w:val="28"/>
          <w:szCs w:val="28"/>
        </w:rPr>
        <w:t xml:space="preserve"> </w:t>
      </w:r>
      <w:r w:rsidRPr="000E7CD7">
        <w:rPr>
          <w:rStyle w:val="hps"/>
          <w:color w:val="000000"/>
          <w:sz w:val="28"/>
          <w:szCs w:val="28"/>
        </w:rPr>
        <w:t>kritērijiem</w:t>
      </w:r>
      <w:r w:rsidRPr="000E7CD7">
        <w:rPr>
          <w:sz w:val="28"/>
          <w:szCs w:val="28"/>
        </w:rPr>
        <w:t xml:space="preserve"> bilances kopsumma – EUR 250 00 un neto apgrozījums – EUR  500 000 un vidējais darbinieku skaits – 10</w:t>
      </w:r>
      <w:r w:rsidRPr="000E7CD7">
        <w:rPr>
          <w:color w:val="000000"/>
          <w:sz w:val="28"/>
          <w:szCs w:val="28"/>
        </w:rPr>
        <w:t xml:space="preserve">. </w:t>
      </w:r>
      <w:r w:rsidRPr="000E7CD7">
        <w:rPr>
          <w:rStyle w:val="hps"/>
          <w:color w:val="000000"/>
          <w:sz w:val="28"/>
          <w:szCs w:val="28"/>
        </w:rPr>
        <w:t>Lai gan</w:t>
      </w:r>
      <w:r w:rsidRPr="000E7CD7">
        <w:rPr>
          <w:color w:val="000000"/>
          <w:sz w:val="28"/>
          <w:szCs w:val="28"/>
        </w:rPr>
        <w:t xml:space="preserve"> </w:t>
      </w:r>
      <w:r w:rsidRPr="000E7CD7">
        <w:rPr>
          <w:rStyle w:val="hps"/>
          <w:color w:val="000000"/>
          <w:sz w:val="28"/>
          <w:szCs w:val="28"/>
        </w:rPr>
        <w:t>kopumā vairākums dalībvalstu</w:t>
      </w:r>
      <w:r w:rsidRPr="000E7CD7">
        <w:rPr>
          <w:color w:val="000000"/>
          <w:sz w:val="28"/>
          <w:szCs w:val="28"/>
        </w:rPr>
        <w:t xml:space="preserve"> </w:t>
      </w:r>
      <w:r w:rsidRPr="000E7CD7">
        <w:rPr>
          <w:rStyle w:val="hps"/>
          <w:color w:val="000000"/>
          <w:sz w:val="28"/>
          <w:szCs w:val="28"/>
        </w:rPr>
        <w:t>atbalsta</w:t>
      </w:r>
      <w:r w:rsidRPr="000E7CD7">
        <w:rPr>
          <w:color w:val="000000"/>
          <w:sz w:val="28"/>
          <w:szCs w:val="28"/>
        </w:rPr>
        <w:t xml:space="preserve"> </w:t>
      </w:r>
      <w:r w:rsidRPr="000E7CD7">
        <w:rPr>
          <w:rStyle w:val="hps"/>
          <w:color w:val="000000"/>
          <w:sz w:val="28"/>
          <w:szCs w:val="28"/>
        </w:rPr>
        <w:t>piedāvātos kritērijus, tomēr dažas dalībvalstis</w:t>
      </w:r>
      <w:r w:rsidRPr="000E7CD7">
        <w:rPr>
          <w:color w:val="000000"/>
          <w:sz w:val="28"/>
          <w:szCs w:val="28"/>
        </w:rPr>
        <w:t xml:space="preserve"> </w:t>
      </w:r>
      <w:r w:rsidRPr="000E7CD7">
        <w:rPr>
          <w:rStyle w:val="hps"/>
          <w:color w:val="000000"/>
          <w:sz w:val="28"/>
          <w:szCs w:val="28"/>
        </w:rPr>
        <w:t>uzskata,</w:t>
      </w:r>
      <w:r w:rsidRPr="000E7CD7">
        <w:rPr>
          <w:color w:val="000000"/>
          <w:sz w:val="28"/>
          <w:szCs w:val="28"/>
        </w:rPr>
        <w:t xml:space="preserve"> </w:t>
      </w:r>
      <w:r w:rsidRPr="000E7CD7">
        <w:rPr>
          <w:rStyle w:val="hps"/>
          <w:color w:val="000000"/>
          <w:sz w:val="28"/>
          <w:szCs w:val="28"/>
        </w:rPr>
        <w:t>ka minētie kritēriji ir vai nu vēl jāsamazina vai jāpalielina.</w:t>
      </w:r>
    </w:p>
    <w:p w:rsidR="00D0106C" w:rsidRPr="000E7CD7" w:rsidRDefault="00D0106C" w:rsidP="00B63B1C">
      <w:pPr>
        <w:numPr>
          <w:ilvl w:val="0"/>
          <w:numId w:val="4"/>
        </w:numPr>
        <w:jc w:val="both"/>
        <w:textAlignment w:val="top"/>
        <w:rPr>
          <w:color w:val="888888"/>
          <w:sz w:val="28"/>
          <w:szCs w:val="28"/>
        </w:rPr>
      </w:pPr>
      <w:r w:rsidRPr="000E7CD7">
        <w:rPr>
          <w:rStyle w:val="hps"/>
          <w:color w:val="000000"/>
          <w:sz w:val="28"/>
          <w:szCs w:val="28"/>
          <w:u w:val="single"/>
        </w:rPr>
        <w:t xml:space="preserve">Atļauja </w:t>
      </w:r>
      <w:r w:rsidRPr="000E7CD7">
        <w:rPr>
          <w:sz w:val="28"/>
          <w:szCs w:val="28"/>
          <w:u w:val="single"/>
        </w:rPr>
        <w:t xml:space="preserve">nepublicēt gada pārskatus. </w:t>
      </w:r>
      <w:r w:rsidRPr="000E7CD7">
        <w:rPr>
          <w:rStyle w:val="hps"/>
          <w:color w:val="000000"/>
          <w:sz w:val="28"/>
          <w:szCs w:val="28"/>
        </w:rPr>
        <w:t>Direktīvas projekts</w:t>
      </w:r>
      <w:r w:rsidRPr="000E7CD7">
        <w:rPr>
          <w:color w:val="000000"/>
          <w:sz w:val="28"/>
          <w:szCs w:val="28"/>
        </w:rPr>
        <w:t xml:space="preserve"> paredz, ka </w:t>
      </w:r>
      <w:r w:rsidRPr="000E7CD7">
        <w:rPr>
          <w:rStyle w:val="hps"/>
          <w:color w:val="000000"/>
          <w:sz w:val="28"/>
          <w:szCs w:val="28"/>
        </w:rPr>
        <w:t xml:space="preserve">dalībvalstis var </w:t>
      </w:r>
      <w:r w:rsidRPr="000E7CD7">
        <w:rPr>
          <w:color w:val="000000"/>
          <w:sz w:val="28"/>
          <w:szCs w:val="28"/>
        </w:rPr>
        <w:t>atbrīvot</w:t>
      </w:r>
      <w:r w:rsidRPr="000E7CD7">
        <w:rPr>
          <w:rStyle w:val="hps"/>
          <w:color w:val="000000"/>
          <w:sz w:val="28"/>
          <w:szCs w:val="28"/>
        </w:rPr>
        <w:t xml:space="preserve"> </w:t>
      </w:r>
      <w:proofErr w:type="spellStart"/>
      <w:r w:rsidRPr="000E7CD7">
        <w:rPr>
          <w:rStyle w:val="hps"/>
          <w:color w:val="000000"/>
          <w:sz w:val="28"/>
          <w:szCs w:val="28"/>
        </w:rPr>
        <w:t>mikrouzņēmumus</w:t>
      </w:r>
      <w:proofErr w:type="spellEnd"/>
      <w:r w:rsidRPr="000E7CD7">
        <w:rPr>
          <w:color w:val="000000"/>
          <w:sz w:val="28"/>
          <w:szCs w:val="28"/>
        </w:rPr>
        <w:t xml:space="preserve"> </w:t>
      </w:r>
      <w:r w:rsidRPr="000E7CD7">
        <w:rPr>
          <w:rStyle w:val="hps"/>
          <w:color w:val="000000"/>
          <w:sz w:val="28"/>
          <w:szCs w:val="28"/>
        </w:rPr>
        <w:t>no gada</w:t>
      </w:r>
      <w:r w:rsidRPr="000E7CD7">
        <w:rPr>
          <w:color w:val="000000"/>
          <w:sz w:val="28"/>
          <w:szCs w:val="28"/>
        </w:rPr>
        <w:t xml:space="preserve"> </w:t>
      </w:r>
      <w:r w:rsidRPr="000E7CD7">
        <w:rPr>
          <w:rStyle w:val="hps"/>
          <w:color w:val="000000"/>
          <w:sz w:val="28"/>
          <w:szCs w:val="28"/>
        </w:rPr>
        <w:t>pārskatu publicēšanas.</w:t>
      </w:r>
      <w:r w:rsidRPr="000E7CD7">
        <w:rPr>
          <w:color w:val="000000"/>
          <w:sz w:val="28"/>
          <w:szCs w:val="28"/>
        </w:rPr>
        <w:t xml:space="preserve"> </w:t>
      </w:r>
      <w:r w:rsidRPr="000E7CD7">
        <w:rPr>
          <w:rStyle w:val="hps"/>
          <w:color w:val="000000"/>
          <w:sz w:val="28"/>
          <w:szCs w:val="28"/>
        </w:rPr>
        <w:t>Dažas</w:t>
      </w:r>
      <w:r w:rsidRPr="000E7CD7">
        <w:rPr>
          <w:color w:val="000000"/>
          <w:sz w:val="28"/>
          <w:szCs w:val="28"/>
        </w:rPr>
        <w:t xml:space="preserve"> </w:t>
      </w:r>
      <w:r w:rsidRPr="000E7CD7">
        <w:rPr>
          <w:rStyle w:val="hps"/>
          <w:color w:val="000000"/>
          <w:sz w:val="28"/>
          <w:szCs w:val="28"/>
        </w:rPr>
        <w:t>dalībvalstis</w:t>
      </w:r>
      <w:r w:rsidRPr="000E7CD7">
        <w:rPr>
          <w:color w:val="000000"/>
          <w:sz w:val="28"/>
          <w:szCs w:val="28"/>
        </w:rPr>
        <w:t xml:space="preserve"> </w:t>
      </w:r>
      <w:r w:rsidRPr="000E7CD7">
        <w:rPr>
          <w:rStyle w:val="hps"/>
          <w:color w:val="000000"/>
          <w:sz w:val="28"/>
          <w:szCs w:val="28"/>
        </w:rPr>
        <w:t>uzskata šo</w:t>
      </w:r>
      <w:r w:rsidRPr="000E7CD7">
        <w:rPr>
          <w:color w:val="000000"/>
          <w:sz w:val="28"/>
          <w:szCs w:val="28"/>
        </w:rPr>
        <w:t xml:space="preserve"> </w:t>
      </w:r>
      <w:r w:rsidRPr="000E7CD7">
        <w:rPr>
          <w:rStyle w:val="hps"/>
          <w:color w:val="000000"/>
          <w:sz w:val="28"/>
          <w:szCs w:val="28"/>
        </w:rPr>
        <w:t>fakultatīvo</w:t>
      </w:r>
      <w:r w:rsidRPr="000E7CD7">
        <w:rPr>
          <w:color w:val="000000"/>
          <w:sz w:val="28"/>
          <w:szCs w:val="28"/>
        </w:rPr>
        <w:t xml:space="preserve"> </w:t>
      </w:r>
      <w:r w:rsidRPr="000E7CD7">
        <w:rPr>
          <w:rStyle w:val="hps"/>
          <w:color w:val="000000"/>
          <w:sz w:val="28"/>
          <w:szCs w:val="28"/>
        </w:rPr>
        <w:t>izņēmumu</w:t>
      </w:r>
      <w:r w:rsidRPr="000E7CD7">
        <w:rPr>
          <w:color w:val="000000"/>
          <w:sz w:val="28"/>
          <w:szCs w:val="28"/>
        </w:rPr>
        <w:t xml:space="preserve"> </w:t>
      </w:r>
      <w:r w:rsidRPr="000E7CD7">
        <w:rPr>
          <w:rStyle w:val="hps"/>
          <w:color w:val="000000"/>
          <w:sz w:val="28"/>
          <w:szCs w:val="28"/>
        </w:rPr>
        <w:t xml:space="preserve">izdevīgu </w:t>
      </w:r>
      <w:proofErr w:type="spellStart"/>
      <w:r w:rsidRPr="000E7CD7">
        <w:rPr>
          <w:rStyle w:val="hps"/>
          <w:color w:val="000000"/>
          <w:sz w:val="28"/>
          <w:szCs w:val="28"/>
        </w:rPr>
        <w:t>mikrouzņēmumiem</w:t>
      </w:r>
      <w:proofErr w:type="spellEnd"/>
      <w:r w:rsidRPr="000E7CD7">
        <w:rPr>
          <w:color w:val="000000"/>
          <w:sz w:val="28"/>
          <w:szCs w:val="28"/>
        </w:rPr>
        <w:t xml:space="preserve">, jo tas </w:t>
      </w:r>
      <w:r w:rsidRPr="000E7CD7">
        <w:rPr>
          <w:rStyle w:val="hps"/>
          <w:color w:val="000000"/>
          <w:sz w:val="28"/>
          <w:szCs w:val="28"/>
        </w:rPr>
        <w:t>samazina būtiski administratīvo slogu</w:t>
      </w:r>
      <w:r w:rsidRPr="000E7CD7">
        <w:rPr>
          <w:color w:val="000000"/>
          <w:sz w:val="28"/>
          <w:szCs w:val="28"/>
        </w:rPr>
        <w:t xml:space="preserve">. </w:t>
      </w:r>
      <w:r w:rsidRPr="000E7CD7">
        <w:rPr>
          <w:rStyle w:val="hps"/>
          <w:color w:val="000000"/>
          <w:sz w:val="28"/>
          <w:szCs w:val="28"/>
        </w:rPr>
        <w:t>Tomēr</w:t>
      </w:r>
      <w:r w:rsidRPr="000E7CD7">
        <w:rPr>
          <w:color w:val="000000"/>
          <w:sz w:val="28"/>
          <w:szCs w:val="28"/>
        </w:rPr>
        <w:t xml:space="preserve"> </w:t>
      </w:r>
      <w:r w:rsidRPr="000E7CD7">
        <w:rPr>
          <w:rStyle w:val="hps"/>
          <w:color w:val="000000"/>
          <w:sz w:val="28"/>
          <w:szCs w:val="28"/>
        </w:rPr>
        <w:t xml:space="preserve">citas dalībvalstis </w:t>
      </w:r>
      <w:r w:rsidRPr="000E7CD7">
        <w:rPr>
          <w:color w:val="000000"/>
          <w:sz w:val="28"/>
          <w:szCs w:val="28"/>
        </w:rPr>
        <w:t xml:space="preserve"> </w:t>
      </w:r>
      <w:r w:rsidRPr="000E7CD7">
        <w:rPr>
          <w:rStyle w:val="hps"/>
          <w:color w:val="000000"/>
          <w:sz w:val="28"/>
          <w:szCs w:val="28"/>
        </w:rPr>
        <w:t>uzskata, ka</w:t>
      </w:r>
      <w:r w:rsidRPr="000E7CD7">
        <w:rPr>
          <w:color w:val="000000"/>
          <w:sz w:val="28"/>
          <w:szCs w:val="28"/>
        </w:rPr>
        <w:t xml:space="preserve"> minētais atvieglojums paredz risku attiecība uz </w:t>
      </w:r>
      <w:r w:rsidRPr="000E7CD7">
        <w:rPr>
          <w:sz w:val="28"/>
          <w:szCs w:val="28"/>
        </w:rPr>
        <w:t>publiskās informācijas turpmāku pieejamību.</w:t>
      </w:r>
    </w:p>
    <w:p w:rsidR="00D0106C" w:rsidRPr="000E7CD7" w:rsidRDefault="00D0106C" w:rsidP="00B63B1C">
      <w:pPr>
        <w:pStyle w:val="Default"/>
        <w:numPr>
          <w:ilvl w:val="0"/>
          <w:numId w:val="4"/>
        </w:numPr>
        <w:jc w:val="both"/>
        <w:rPr>
          <w:sz w:val="28"/>
          <w:szCs w:val="28"/>
        </w:rPr>
      </w:pPr>
      <w:r w:rsidRPr="000E7CD7">
        <w:rPr>
          <w:sz w:val="28"/>
          <w:szCs w:val="28"/>
          <w:u w:val="single"/>
        </w:rPr>
        <w:t>Uzskaites principi</w:t>
      </w:r>
      <w:r w:rsidRPr="000E7CD7">
        <w:rPr>
          <w:sz w:val="28"/>
          <w:szCs w:val="28"/>
        </w:rPr>
        <w:t xml:space="preserve"> ieņēmumu un izdevumu posteņu novērtēšanai  sadalījumā pa pārskata gadiem. Vairākas dalībvalstis kategoriski atteicās akceptēt pašreizējo priekšlikumu, argumentējot, ka palielināsies administratīvais slogs saistībā ar nodokļu un statistikas vajadzībām nepieciešamās informācijas sagatavošanu. Tomēr Prezidentūra norādīja, ka arī  šajā jautājumā  dalībvalstīm ir tiesības izvēlēties iekļaut vai neiekļaut šo iespēju nacionālajos normatīvajos aktos. Par šo jautājumu netika vēl panākta vienošanās. </w:t>
      </w:r>
    </w:p>
    <w:p w:rsidR="000442AD" w:rsidRPr="000E7CD7" w:rsidRDefault="000442AD" w:rsidP="000442AD">
      <w:pPr>
        <w:pStyle w:val="Default"/>
        <w:ind w:left="780"/>
        <w:jc w:val="both"/>
        <w:rPr>
          <w:sz w:val="28"/>
          <w:szCs w:val="28"/>
        </w:rPr>
      </w:pPr>
    </w:p>
    <w:p w:rsidR="00D0106C" w:rsidRPr="000E7CD7" w:rsidRDefault="00D0106C" w:rsidP="000442AD">
      <w:pPr>
        <w:pStyle w:val="Default"/>
        <w:jc w:val="both"/>
        <w:rPr>
          <w:color w:val="auto"/>
          <w:sz w:val="28"/>
          <w:szCs w:val="28"/>
        </w:rPr>
      </w:pPr>
      <w:r w:rsidRPr="000E7CD7">
        <w:rPr>
          <w:iCs/>
          <w:sz w:val="28"/>
          <w:szCs w:val="28"/>
        </w:rPr>
        <w:t>Lai samazinātu komercsabiedrībām administratīvo slogu, Eiropas Komisija sagatavoja un iesniedza 2009.gada 26.februārī Eiropas Parlamentam un Padomei priekšlikumus šim Direktīvas projektam un kopš tā laika ir notikušas aktīvas diskusijas dažādos līmeņos, lai rastu kompromisu un apstiprinātie priekšlikumi varētu staties spēkā.</w:t>
      </w:r>
      <w:r w:rsidRPr="000E7CD7">
        <w:rPr>
          <w:b/>
          <w:sz w:val="28"/>
          <w:szCs w:val="28"/>
        </w:rPr>
        <w:t xml:space="preserve"> </w:t>
      </w:r>
      <w:r w:rsidRPr="000E7CD7">
        <w:rPr>
          <w:sz w:val="28"/>
          <w:szCs w:val="28"/>
        </w:rPr>
        <w:t xml:space="preserve">Direktīvas projekta mērķis ir radīt vienkāršotu finanšu pārskatu sagatavošanas vidi </w:t>
      </w:r>
      <w:proofErr w:type="spellStart"/>
      <w:r w:rsidRPr="000E7CD7">
        <w:rPr>
          <w:sz w:val="28"/>
          <w:szCs w:val="28"/>
        </w:rPr>
        <w:t>mikrouzņēmumiem</w:t>
      </w:r>
      <w:proofErr w:type="spellEnd"/>
      <w:r w:rsidRPr="000E7CD7">
        <w:rPr>
          <w:sz w:val="28"/>
          <w:szCs w:val="28"/>
        </w:rPr>
        <w:t xml:space="preserve"> (komercsabiedrībām, kuru bilances kopsumma – EUR 250 000 un neto apgrozījums – EUR  500 000 un vidējais darbinieku skaits – 10), lai  dalībvalstis varētu piešķirt tiem visus vai dažus no šādiem  atvieglojumiem: neuzskaitīt nākamo periodu ieņēmumus un izdevumus, nesagatavot gada pārskata pielikumu un vadības ziņojumu, bet sniegt paskaidrojošu informāciju </w:t>
      </w:r>
      <w:proofErr w:type="spellStart"/>
      <w:r w:rsidRPr="000E7CD7">
        <w:rPr>
          <w:sz w:val="28"/>
          <w:szCs w:val="28"/>
        </w:rPr>
        <w:t>zembilancē</w:t>
      </w:r>
      <w:proofErr w:type="spellEnd"/>
      <w:r w:rsidRPr="000E7CD7">
        <w:rPr>
          <w:sz w:val="28"/>
          <w:szCs w:val="28"/>
        </w:rPr>
        <w:t xml:space="preserve">, nepublicēt gada pārskatus un atļaut sagatavot saīsinātu bilanci un saīsinātu peļņas vai zaudējumu aprēķinu. </w:t>
      </w:r>
    </w:p>
    <w:p w:rsidR="000442AD" w:rsidRPr="000E7CD7" w:rsidRDefault="000442AD" w:rsidP="000442AD">
      <w:pPr>
        <w:jc w:val="both"/>
        <w:rPr>
          <w:b/>
          <w:bCs/>
          <w:sz w:val="28"/>
          <w:szCs w:val="28"/>
        </w:rPr>
      </w:pPr>
    </w:p>
    <w:p w:rsidR="00D0106C" w:rsidRPr="000E7CD7" w:rsidRDefault="00D0106C" w:rsidP="000442AD">
      <w:pPr>
        <w:jc w:val="both"/>
        <w:rPr>
          <w:color w:val="000000"/>
          <w:sz w:val="28"/>
          <w:szCs w:val="28"/>
        </w:rPr>
      </w:pPr>
      <w:r w:rsidRPr="000E7CD7">
        <w:rPr>
          <w:b/>
          <w:bCs/>
          <w:sz w:val="28"/>
          <w:szCs w:val="28"/>
        </w:rPr>
        <w:t>Latvija kopumā atbalsta</w:t>
      </w:r>
      <w:r w:rsidRPr="000E7CD7">
        <w:rPr>
          <w:bCs/>
          <w:sz w:val="28"/>
          <w:szCs w:val="28"/>
        </w:rPr>
        <w:t xml:space="preserve"> </w:t>
      </w:r>
      <w:r w:rsidRPr="000E7CD7">
        <w:rPr>
          <w:color w:val="000000"/>
          <w:sz w:val="28"/>
          <w:szCs w:val="28"/>
        </w:rPr>
        <w:t xml:space="preserve">Direktīvas projektu, jo tādejādi tiktu samazināts </w:t>
      </w:r>
      <w:proofErr w:type="spellStart"/>
      <w:r w:rsidRPr="000E7CD7">
        <w:rPr>
          <w:color w:val="000000"/>
          <w:sz w:val="28"/>
          <w:szCs w:val="28"/>
        </w:rPr>
        <w:t>mikrouzņēmumu</w:t>
      </w:r>
      <w:proofErr w:type="spellEnd"/>
      <w:r w:rsidRPr="000E7CD7">
        <w:rPr>
          <w:color w:val="000000"/>
          <w:sz w:val="28"/>
          <w:szCs w:val="28"/>
        </w:rPr>
        <w:t xml:space="preserve"> administratīvais slogs, stiprināta to konkurētspēja, kā arī tiktu veicināta jaunu komercsabiedrību izveide. Vienlaikus tiek nodrošināta proporcionalitāte grāmatvedības regulējuma piemērošanā atsevišķām komercsabiedrībām un dota iespēja dalībvalstīm, t.sk. Latvijai izvēlēties </w:t>
      </w:r>
      <w:r w:rsidRPr="000E7CD7">
        <w:rPr>
          <w:color w:val="000000"/>
          <w:sz w:val="28"/>
          <w:szCs w:val="28"/>
        </w:rPr>
        <w:lastRenderedPageBreak/>
        <w:t xml:space="preserve">attiecīgus administratīvā sloga samazināšanas pasākumus </w:t>
      </w:r>
      <w:proofErr w:type="spellStart"/>
      <w:r w:rsidRPr="000E7CD7">
        <w:rPr>
          <w:color w:val="000000"/>
          <w:sz w:val="28"/>
          <w:szCs w:val="28"/>
        </w:rPr>
        <w:t>mikrouzņēmumu</w:t>
      </w:r>
      <w:proofErr w:type="spellEnd"/>
      <w:r w:rsidRPr="000E7CD7">
        <w:rPr>
          <w:color w:val="000000"/>
          <w:sz w:val="28"/>
          <w:szCs w:val="28"/>
        </w:rPr>
        <w:t xml:space="preserve"> kategorijai. </w:t>
      </w:r>
    </w:p>
    <w:p w:rsidR="000442AD" w:rsidRPr="000E7CD7" w:rsidRDefault="000442AD" w:rsidP="000442AD">
      <w:pPr>
        <w:jc w:val="both"/>
        <w:rPr>
          <w:color w:val="000000"/>
          <w:sz w:val="28"/>
          <w:szCs w:val="28"/>
        </w:rPr>
      </w:pPr>
    </w:p>
    <w:p w:rsidR="00D0106C" w:rsidRPr="000E7CD7" w:rsidRDefault="00D0106C" w:rsidP="000442AD">
      <w:pPr>
        <w:jc w:val="both"/>
        <w:rPr>
          <w:sz w:val="26"/>
          <w:szCs w:val="26"/>
        </w:rPr>
      </w:pPr>
      <w:r w:rsidRPr="000E7CD7">
        <w:rPr>
          <w:bCs/>
          <w:sz w:val="28"/>
          <w:szCs w:val="28"/>
        </w:rPr>
        <w:t xml:space="preserve">Attiecībā uz šobrīd Direktīvas projekta neatrisinātajiem jautājumiem par </w:t>
      </w:r>
      <w:proofErr w:type="spellStart"/>
      <w:r w:rsidRPr="000E7CD7">
        <w:rPr>
          <w:bCs/>
          <w:sz w:val="28"/>
          <w:szCs w:val="28"/>
        </w:rPr>
        <w:t>mikrouzņēmuma</w:t>
      </w:r>
      <w:proofErr w:type="spellEnd"/>
      <w:r w:rsidRPr="000E7CD7">
        <w:rPr>
          <w:bCs/>
          <w:sz w:val="28"/>
          <w:szCs w:val="28"/>
        </w:rPr>
        <w:t xml:space="preserve"> definīciju, atbrīvojumu no gada pārskatu publicēšanas un uzskaites principiem, tad kompromisa vārdā Latvija varētu atbalstīt arī tās dalībvalstis, kas vēlas šos nosacījumus mainīt, bet </w:t>
      </w:r>
      <w:r w:rsidRPr="000E7CD7">
        <w:rPr>
          <w:b/>
          <w:bCs/>
          <w:sz w:val="28"/>
          <w:szCs w:val="28"/>
        </w:rPr>
        <w:t xml:space="preserve">saglabājot Direktīvas projekta </w:t>
      </w:r>
      <w:r w:rsidRPr="000E7CD7">
        <w:rPr>
          <w:b/>
          <w:sz w:val="28"/>
          <w:szCs w:val="28"/>
        </w:rPr>
        <w:t xml:space="preserve">mērķi - dot dalībvalstīm iespēju radīt </w:t>
      </w:r>
      <w:proofErr w:type="spellStart"/>
      <w:r w:rsidRPr="000E7CD7">
        <w:rPr>
          <w:b/>
          <w:sz w:val="28"/>
          <w:szCs w:val="28"/>
        </w:rPr>
        <w:t>mikrouzņēmumiem</w:t>
      </w:r>
      <w:proofErr w:type="spellEnd"/>
      <w:r w:rsidRPr="000E7CD7">
        <w:rPr>
          <w:b/>
          <w:sz w:val="28"/>
          <w:szCs w:val="28"/>
        </w:rPr>
        <w:t xml:space="preserve"> vienkāršotu finanšu pārskatu sagatavošanas vidi. </w:t>
      </w:r>
    </w:p>
    <w:p w:rsidR="00B03397" w:rsidRPr="000E7CD7" w:rsidRDefault="00B03397" w:rsidP="00897AEF">
      <w:pPr>
        <w:jc w:val="both"/>
        <w:rPr>
          <w:sz w:val="28"/>
          <w:szCs w:val="28"/>
        </w:rPr>
      </w:pPr>
    </w:p>
    <w:p w:rsidR="00526F0D" w:rsidRDefault="00526F0D" w:rsidP="00E21948">
      <w:pPr>
        <w:tabs>
          <w:tab w:val="right" w:pos="8364"/>
        </w:tabs>
        <w:spacing w:after="120"/>
        <w:rPr>
          <w:sz w:val="28"/>
          <w:szCs w:val="28"/>
        </w:rPr>
      </w:pPr>
    </w:p>
    <w:p w:rsidR="00E21948" w:rsidRPr="000E7CD7" w:rsidRDefault="00E21948" w:rsidP="00E21948">
      <w:pPr>
        <w:tabs>
          <w:tab w:val="right" w:pos="8364"/>
        </w:tabs>
        <w:spacing w:after="120"/>
        <w:rPr>
          <w:sz w:val="28"/>
          <w:szCs w:val="28"/>
        </w:rPr>
      </w:pPr>
      <w:r w:rsidRPr="000E7CD7">
        <w:rPr>
          <w:sz w:val="28"/>
          <w:szCs w:val="28"/>
        </w:rPr>
        <w:t>Iesniedzējs: Ekonomikas ministrs</w:t>
      </w:r>
      <w:r w:rsidRPr="000E7CD7">
        <w:rPr>
          <w:sz w:val="28"/>
          <w:szCs w:val="28"/>
        </w:rPr>
        <w:tab/>
        <w:t>A. Kampars</w:t>
      </w:r>
      <w:r w:rsidRPr="000E7CD7">
        <w:rPr>
          <w:sz w:val="28"/>
          <w:szCs w:val="28"/>
        </w:rPr>
        <w:tab/>
      </w:r>
      <w:r w:rsidRPr="000E7CD7">
        <w:rPr>
          <w:sz w:val="28"/>
          <w:szCs w:val="28"/>
        </w:rPr>
        <w:tab/>
      </w:r>
    </w:p>
    <w:p w:rsidR="002D40CD" w:rsidRDefault="002D40CD" w:rsidP="00E21948">
      <w:pPr>
        <w:spacing w:after="120"/>
        <w:rPr>
          <w:sz w:val="28"/>
          <w:szCs w:val="28"/>
        </w:rPr>
      </w:pPr>
    </w:p>
    <w:p w:rsidR="00526F0D" w:rsidRPr="000E7CD7" w:rsidRDefault="00526F0D" w:rsidP="00E21948">
      <w:pPr>
        <w:spacing w:after="120"/>
        <w:rPr>
          <w:sz w:val="28"/>
          <w:szCs w:val="28"/>
        </w:rPr>
      </w:pPr>
    </w:p>
    <w:p w:rsidR="00447246" w:rsidRDefault="00447246" w:rsidP="00447246">
      <w:pPr>
        <w:tabs>
          <w:tab w:val="right" w:pos="8364"/>
        </w:tabs>
        <w:spacing w:after="120"/>
        <w:rPr>
          <w:sz w:val="28"/>
          <w:szCs w:val="28"/>
        </w:rPr>
      </w:pPr>
      <w:r w:rsidRPr="000E7CD7">
        <w:rPr>
          <w:sz w:val="28"/>
          <w:szCs w:val="28"/>
        </w:rPr>
        <w:t>Vizē: Valsts sekretārs</w:t>
      </w:r>
      <w:r w:rsidRPr="000E7CD7">
        <w:rPr>
          <w:sz w:val="28"/>
          <w:szCs w:val="28"/>
        </w:rPr>
        <w:tab/>
        <w:t xml:space="preserve"> J. Pūce</w:t>
      </w:r>
    </w:p>
    <w:p w:rsidR="006A6F9B" w:rsidRDefault="006A6F9B" w:rsidP="00447246">
      <w:pPr>
        <w:tabs>
          <w:tab w:val="right" w:pos="8364"/>
        </w:tabs>
        <w:spacing w:after="120"/>
        <w:rPr>
          <w:sz w:val="28"/>
          <w:szCs w:val="28"/>
        </w:rPr>
      </w:pPr>
    </w:p>
    <w:p w:rsidR="00526F0D" w:rsidRPr="000E7CD7" w:rsidRDefault="00526F0D" w:rsidP="00447246">
      <w:pPr>
        <w:tabs>
          <w:tab w:val="right" w:pos="8364"/>
        </w:tabs>
        <w:spacing w:after="120"/>
        <w:rPr>
          <w:sz w:val="28"/>
          <w:szCs w:val="28"/>
        </w:rPr>
      </w:pPr>
    </w:p>
    <w:p w:rsidR="00422C05" w:rsidRPr="000E7CD7" w:rsidRDefault="00422C05" w:rsidP="00422C05">
      <w:pPr>
        <w:rPr>
          <w:sz w:val="20"/>
          <w:szCs w:val="20"/>
        </w:rPr>
      </w:pPr>
      <w:r w:rsidRPr="000E7CD7">
        <w:rPr>
          <w:sz w:val="20"/>
          <w:szCs w:val="20"/>
        </w:rPr>
        <w:t xml:space="preserve">Atbildīgā amatpersona: </w:t>
      </w:r>
    </w:p>
    <w:p w:rsidR="00447246" w:rsidRPr="000E7CD7" w:rsidRDefault="00447246" w:rsidP="00447246">
      <w:pPr>
        <w:rPr>
          <w:sz w:val="20"/>
          <w:szCs w:val="20"/>
        </w:rPr>
      </w:pPr>
      <w:r w:rsidRPr="000E7CD7">
        <w:rPr>
          <w:sz w:val="20"/>
          <w:szCs w:val="20"/>
        </w:rPr>
        <w:t>Rota Šņuka</w:t>
      </w:r>
    </w:p>
    <w:p w:rsidR="00447246" w:rsidRPr="000E7CD7" w:rsidRDefault="00447246" w:rsidP="00447246">
      <w:pPr>
        <w:rPr>
          <w:sz w:val="20"/>
          <w:szCs w:val="20"/>
        </w:rPr>
      </w:pPr>
      <w:r w:rsidRPr="000E7CD7">
        <w:rPr>
          <w:sz w:val="20"/>
          <w:szCs w:val="20"/>
        </w:rPr>
        <w:t>Ekonomikas ministrijas</w:t>
      </w:r>
    </w:p>
    <w:p w:rsidR="00447246" w:rsidRPr="000E7CD7" w:rsidRDefault="00447246" w:rsidP="00850787">
      <w:pPr>
        <w:tabs>
          <w:tab w:val="left" w:pos="6882"/>
        </w:tabs>
        <w:rPr>
          <w:sz w:val="20"/>
          <w:szCs w:val="20"/>
        </w:rPr>
      </w:pPr>
      <w:r w:rsidRPr="000E7CD7">
        <w:rPr>
          <w:sz w:val="20"/>
          <w:szCs w:val="20"/>
        </w:rPr>
        <w:t>Ārējo ekonomisko attiecību departamenta direktores vietniece</w:t>
      </w:r>
      <w:r w:rsidR="00850787" w:rsidRPr="000E7CD7">
        <w:rPr>
          <w:sz w:val="20"/>
          <w:szCs w:val="20"/>
        </w:rPr>
        <w:tab/>
      </w:r>
    </w:p>
    <w:p w:rsidR="00447246" w:rsidRPr="000E7CD7" w:rsidRDefault="00447246" w:rsidP="00447246">
      <w:pPr>
        <w:rPr>
          <w:sz w:val="20"/>
          <w:szCs w:val="20"/>
        </w:rPr>
      </w:pPr>
      <w:r w:rsidRPr="000E7CD7">
        <w:rPr>
          <w:sz w:val="20"/>
          <w:szCs w:val="20"/>
        </w:rPr>
        <w:t>tālr.:67013234</w:t>
      </w:r>
    </w:p>
    <w:p w:rsidR="00447246" w:rsidRPr="000E7CD7" w:rsidRDefault="00447246" w:rsidP="00447246">
      <w:pPr>
        <w:rPr>
          <w:sz w:val="20"/>
          <w:szCs w:val="20"/>
        </w:rPr>
      </w:pPr>
      <w:r w:rsidRPr="000E7CD7">
        <w:rPr>
          <w:sz w:val="20"/>
          <w:szCs w:val="20"/>
        </w:rPr>
        <w:t xml:space="preserve">faksa numurs 67280882 </w:t>
      </w:r>
    </w:p>
    <w:p w:rsidR="00447246" w:rsidRPr="000E7CD7" w:rsidRDefault="00447246" w:rsidP="00447246">
      <w:pPr>
        <w:jc w:val="both"/>
        <w:rPr>
          <w:sz w:val="20"/>
          <w:szCs w:val="20"/>
        </w:rPr>
      </w:pPr>
      <w:r w:rsidRPr="000E7CD7">
        <w:rPr>
          <w:sz w:val="20"/>
          <w:szCs w:val="20"/>
        </w:rPr>
        <w:t xml:space="preserve">e-pasts: </w:t>
      </w:r>
      <w:hyperlink r:id="rId8" w:history="1">
        <w:r w:rsidRPr="000E7CD7">
          <w:rPr>
            <w:sz w:val="18"/>
            <w:szCs w:val="18"/>
          </w:rPr>
          <w:t>Rota.Snuka@em.gov.lv</w:t>
        </w:r>
      </w:hyperlink>
    </w:p>
    <w:p w:rsidR="00422C05" w:rsidRPr="000E7CD7" w:rsidRDefault="00422C05" w:rsidP="00422C05">
      <w:pPr>
        <w:jc w:val="both"/>
        <w:rPr>
          <w:u w:val="single"/>
        </w:rPr>
      </w:pPr>
    </w:p>
    <w:p w:rsidR="00447246" w:rsidRPr="000E7CD7" w:rsidRDefault="00980EB0" w:rsidP="00447246">
      <w:pPr>
        <w:jc w:val="both"/>
        <w:rPr>
          <w:sz w:val="18"/>
          <w:szCs w:val="18"/>
        </w:rPr>
      </w:pPr>
      <w:fldSimple w:instr=" DATE   \* MERGEFORMAT ">
        <w:r w:rsidR="00B77240" w:rsidRPr="00B77240">
          <w:rPr>
            <w:noProof/>
            <w:sz w:val="18"/>
            <w:szCs w:val="18"/>
          </w:rPr>
          <w:t>23.05.2011</w:t>
        </w:r>
      </w:fldSimple>
      <w:r w:rsidR="00447246" w:rsidRPr="000E7CD7">
        <w:rPr>
          <w:sz w:val="18"/>
          <w:szCs w:val="18"/>
        </w:rPr>
        <w:t xml:space="preserve"> </w:t>
      </w:r>
      <w:r w:rsidRPr="000E7CD7">
        <w:rPr>
          <w:sz w:val="18"/>
          <w:szCs w:val="18"/>
        </w:rPr>
        <w:fldChar w:fldCharType="begin"/>
      </w:r>
      <w:r w:rsidR="00447246" w:rsidRPr="000E7CD7">
        <w:rPr>
          <w:sz w:val="18"/>
          <w:szCs w:val="18"/>
        </w:rPr>
        <w:instrText xml:space="preserve"> TIME  \@ "HH:mm"  \* MERGEFORMAT </w:instrText>
      </w:r>
      <w:r w:rsidRPr="000E7CD7">
        <w:rPr>
          <w:sz w:val="18"/>
          <w:szCs w:val="18"/>
        </w:rPr>
        <w:fldChar w:fldCharType="separate"/>
      </w:r>
      <w:r w:rsidR="00B77240">
        <w:rPr>
          <w:noProof/>
          <w:sz w:val="18"/>
          <w:szCs w:val="18"/>
        </w:rPr>
        <w:t>15:59</w:t>
      </w:r>
      <w:r w:rsidRPr="000E7CD7">
        <w:rPr>
          <w:sz w:val="18"/>
          <w:szCs w:val="18"/>
        </w:rPr>
        <w:fldChar w:fldCharType="end"/>
      </w:r>
    </w:p>
    <w:p w:rsidR="00447246" w:rsidRPr="000E7CD7" w:rsidRDefault="00980EB0" w:rsidP="00447246">
      <w:pPr>
        <w:jc w:val="both"/>
        <w:rPr>
          <w:sz w:val="18"/>
          <w:szCs w:val="18"/>
        </w:rPr>
      </w:pPr>
      <w:fldSimple w:instr=" NUMWORDS   \* MERGEFORMAT ">
        <w:r w:rsidR="00B77240" w:rsidRPr="00B77240">
          <w:rPr>
            <w:noProof/>
            <w:sz w:val="18"/>
            <w:szCs w:val="18"/>
          </w:rPr>
          <w:t>1393</w:t>
        </w:r>
      </w:fldSimple>
    </w:p>
    <w:p w:rsidR="00447246" w:rsidRPr="000E7CD7" w:rsidRDefault="006A6F9B" w:rsidP="00447246">
      <w:pPr>
        <w:rPr>
          <w:sz w:val="18"/>
        </w:rPr>
      </w:pPr>
      <w:r>
        <w:rPr>
          <w:sz w:val="18"/>
        </w:rPr>
        <w:t xml:space="preserve">Marija </w:t>
      </w:r>
      <w:r w:rsidR="00447246" w:rsidRPr="000E7CD7">
        <w:rPr>
          <w:sz w:val="18"/>
        </w:rPr>
        <w:t>Zjurikova</w:t>
      </w:r>
    </w:p>
    <w:p w:rsidR="00447246" w:rsidRPr="000E7CD7" w:rsidRDefault="00447246" w:rsidP="00447246">
      <w:pPr>
        <w:rPr>
          <w:sz w:val="18"/>
        </w:rPr>
      </w:pPr>
      <w:r w:rsidRPr="000E7CD7">
        <w:rPr>
          <w:sz w:val="18"/>
        </w:rPr>
        <w:t>Ekonomikas ministrijas</w:t>
      </w:r>
    </w:p>
    <w:p w:rsidR="00447246" w:rsidRPr="000E7CD7" w:rsidRDefault="00447246" w:rsidP="00447246">
      <w:pPr>
        <w:rPr>
          <w:sz w:val="18"/>
        </w:rPr>
      </w:pPr>
      <w:r w:rsidRPr="000E7CD7">
        <w:rPr>
          <w:sz w:val="18"/>
        </w:rPr>
        <w:t>Ārējo ekonomisko attiecību departaments</w:t>
      </w:r>
    </w:p>
    <w:p w:rsidR="00447246" w:rsidRPr="000E7CD7" w:rsidRDefault="00447246" w:rsidP="00447246">
      <w:pPr>
        <w:rPr>
          <w:sz w:val="18"/>
        </w:rPr>
      </w:pPr>
      <w:r w:rsidRPr="000E7CD7">
        <w:rPr>
          <w:sz w:val="18"/>
        </w:rPr>
        <w:t xml:space="preserve">67013001, Marija.Zjurikova@em.gov.lv </w:t>
      </w:r>
    </w:p>
    <w:p w:rsidR="00447246" w:rsidRPr="000E7CD7" w:rsidRDefault="00447246" w:rsidP="00447246"/>
    <w:sectPr w:rsidR="00447246" w:rsidRPr="000E7CD7" w:rsidSect="00FF6369">
      <w:headerReference w:type="default" r:id="rId9"/>
      <w:footerReference w:type="default" r:id="rId10"/>
      <w:footerReference w:type="first" r:id="rId11"/>
      <w:pgSz w:w="11906" w:h="16838"/>
      <w:pgMar w:top="1276" w:right="1133" w:bottom="1440" w:left="1800"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F0D" w:rsidRDefault="00526F0D" w:rsidP="0079342A">
      <w:r>
        <w:separator/>
      </w:r>
    </w:p>
  </w:endnote>
  <w:endnote w:type="continuationSeparator" w:id="0">
    <w:p w:rsidR="00526F0D" w:rsidRDefault="00526F0D" w:rsidP="00793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F0D" w:rsidRPr="008A616D" w:rsidRDefault="00526F0D" w:rsidP="008A616D">
    <w:pPr>
      <w:rPr>
        <w:sz w:val="20"/>
        <w:szCs w:val="20"/>
        <w:lang w:eastAsia="en-US"/>
      </w:rPr>
    </w:pPr>
    <w:r>
      <w:rPr>
        <w:sz w:val="20"/>
        <w:szCs w:val="20"/>
        <w:lang w:eastAsia="en-US"/>
      </w:rPr>
      <w:t>EMZino_</w:t>
    </w:r>
    <w:r w:rsidR="00A15143">
      <w:rPr>
        <w:sz w:val="20"/>
        <w:szCs w:val="20"/>
        <w:lang w:eastAsia="en-US"/>
      </w:rPr>
      <w:t>23</w:t>
    </w:r>
    <w:r w:rsidRPr="00D24C05">
      <w:rPr>
        <w:sz w:val="20"/>
        <w:szCs w:val="20"/>
        <w:lang w:eastAsia="en-US"/>
      </w:rPr>
      <w:t>0</w:t>
    </w:r>
    <w:r>
      <w:rPr>
        <w:sz w:val="20"/>
        <w:szCs w:val="20"/>
        <w:lang w:eastAsia="en-US"/>
      </w:rPr>
      <w:t>5</w:t>
    </w:r>
    <w:r w:rsidRPr="00D24C05">
      <w:rPr>
        <w:sz w:val="20"/>
        <w:szCs w:val="20"/>
        <w:lang w:eastAsia="en-US"/>
      </w:rPr>
      <w:t xml:space="preserve">11_COMPET; Informatīvais ziņojums par </w:t>
    </w:r>
    <w:r w:rsidRPr="00FA22E5">
      <w:rPr>
        <w:sz w:val="20"/>
        <w:szCs w:val="20"/>
        <w:lang w:eastAsia="en-US"/>
      </w:rPr>
      <w:t>Latvijas nacionālajām pozīcijām Eiropas Savienības Konkurētspējas ministru padomes 2011.gada 30. maija sanāksmē izskatāmajos Ekonomikas ministrijas un Finanšu ministrijas kompetences jautājumos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F0D" w:rsidRPr="00D24C05" w:rsidRDefault="00526F0D" w:rsidP="00F354C7">
    <w:pPr>
      <w:rPr>
        <w:sz w:val="20"/>
        <w:szCs w:val="20"/>
        <w:lang w:eastAsia="en-US"/>
      </w:rPr>
    </w:pPr>
    <w:r>
      <w:rPr>
        <w:sz w:val="20"/>
        <w:szCs w:val="20"/>
        <w:lang w:eastAsia="en-US"/>
      </w:rPr>
      <w:t>EMZino_</w:t>
    </w:r>
    <w:r w:rsidR="00A15143">
      <w:rPr>
        <w:sz w:val="20"/>
        <w:szCs w:val="20"/>
        <w:lang w:eastAsia="en-US"/>
      </w:rPr>
      <w:t>23</w:t>
    </w:r>
    <w:r w:rsidRPr="00D24C05">
      <w:rPr>
        <w:sz w:val="20"/>
        <w:szCs w:val="20"/>
        <w:lang w:eastAsia="en-US"/>
      </w:rPr>
      <w:t>0</w:t>
    </w:r>
    <w:r>
      <w:rPr>
        <w:sz w:val="20"/>
        <w:szCs w:val="20"/>
        <w:lang w:eastAsia="en-US"/>
      </w:rPr>
      <w:t>5</w:t>
    </w:r>
    <w:r w:rsidRPr="00D24C05">
      <w:rPr>
        <w:sz w:val="20"/>
        <w:szCs w:val="20"/>
        <w:lang w:eastAsia="en-US"/>
      </w:rPr>
      <w:t xml:space="preserve">11_COMPET; Informatīvais ziņojums par </w:t>
    </w:r>
    <w:r w:rsidRPr="00FA22E5">
      <w:rPr>
        <w:sz w:val="20"/>
        <w:szCs w:val="20"/>
        <w:lang w:eastAsia="en-US"/>
      </w:rPr>
      <w:t>Latvijas nacionālajām pozīcijām Eiropas Savienības Konkurētspējas ministru padomes 2011.gada 30. maija sanāksmē izskatāmajos Ekonomikas ministrijas un Finanšu ministrijas kompetences jautājumos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F0D" w:rsidRDefault="00526F0D" w:rsidP="0079342A">
      <w:r>
        <w:separator/>
      </w:r>
    </w:p>
  </w:footnote>
  <w:footnote w:type="continuationSeparator" w:id="0">
    <w:p w:rsidR="00526F0D" w:rsidRDefault="00526F0D" w:rsidP="00793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0564"/>
      <w:docPartObj>
        <w:docPartGallery w:val="Page Numbers (Top of Page)"/>
        <w:docPartUnique/>
      </w:docPartObj>
    </w:sdtPr>
    <w:sdtContent>
      <w:p w:rsidR="00526F0D" w:rsidRDefault="00980EB0">
        <w:pPr>
          <w:pStyle w:val="Header"/>
          <w:jc w:val="center"/>
        </w:pPr>
        <w:fldSimple w:instr=" PAGE   \* MERGEFORMAT ">
          <w:r w:rsidR="00B77240">
            <w:rPr>
              <w:noProof/>
            </w:rPr>
            <w:t>6</w:t>
          </w:r>
        </w:fldSimple>
      </w:p>
    </w:sdtContent>
  </w:sdt>
  <w:p w:rsidR="00526F0D" w:rsidRDefault="00526F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562B"/>
    <w:multiLevelType w:val="hybridMultilevel"/>
    <w:tmpl w:val="E7BCC83C"/>
    <w:lvl w:ilvl="0" w:tplc="F8B6289E">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9B1F21"/>
    <w:multiLevelType w:val="hybridMultilevel"/>
    <w:tmpl w:val="C6263240"/>
    <w:lvl w:ilvl="0" w:tplc="F8B6289E">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C644289"/>
    <w:multiLevelType w:val="hybridMultilevel"/>
    <w:tmpl w:val="962A345E"/>
    <w:lvl w:ilvl="0" w:tplc="F8B6289E">
      <w:start w:val="1"/>
      <w:numFmt w:val="bullet"/>
      <w:lvlText w:val=""/>
      <w:lvlJc w:val="left"/>
      <w:pPr>
        <w:ind w:left="780" w:hanging="360"/>
      </w:pPr>
      <w:rPr>
        <w:rFonts w:ascii="Symbol" w:hAnsi="Symbol" w:hint="default"/>
        <w:color w:val="auto"/>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5AFE0019"/>
    <w:multiLevelType w:val="hybridMultilevel"/>
    <w:tmpl w:val="C076EA40"/>
    <w:lvl w:ilvl="0" w:tplc="F8B6289E">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21948"/>
    <w:rsid w:val="000163A1"/>
    <w:rsid w:val="00017CA9"/>
    <w:rsid w:val="00022163"/>
    <w:rsid w:val="000230C6"/>
    <w:rsid w:val="000304D8"/>
    <w:rsid w:val="00037E43"/>
    <w:rsid w:val="000442AD"/>
    <w:rsid w:val="00045380"/>
    <w:rsid w:val="00050631"/>
    <w:rsid w:val="00053471"/>
    <w:rsid w:val="000538D0"/>
    <w:rsid w:val="00054145"/>
    <w:rsid w:val="00060563"/>
    <w:rsid w:val="00060A8D"/>
    <w:rsid w:val="00071F6B"/>
    <w:rsid w:val="00074A8E"/>
    <w:rsid w:val="00076994"/>
    <w:rsid w:val="0008031F"/>
    <w:rsid w:val="0009144F"/>
    <w:rsid w:val="000A0F01"/>
    <w:rsid w:val="000A4383"/>
    <w:rsid w:val="000A599E"/>
    <w:rsid w:val="000A61D6"/>
    <w:rsid w:val="000A7576"/>
    <w:rsid w:val="000B468F"/>
    <w:rsid w:val="000C5C3C"/>
    <w:rsid w:val="000E7CD7"/>
    <w:rsid w:val="00117654"/>
    <w:rsid w:val="00117904"/>
    <w:rsid w:val="00121DEA"/>
    <w:rsid w:val="00126A02"/>
    <w:rsid w:val="00150BB3"/>
    <w:rsid w:val="00156ECD"/>
    <w:rsid w:val="00157C4A"/>
    <w:rsid w:val="001620EA"/>
    <w:rsid w:val="00165624"/>
    <w:rsid w:val="0016779A"/>
    <w:rsid w:val="001754CA"/>
    <w:rsid w:val="001829A7"/>
    <w:rsid w:val="00184B27"/>
    <w:rsid w:val="00185F95"/>
    <w:rsid w:val="00191F45"/>
    <w:rsid w:val="001B0568"/>
    <w:rsid w:val="001B3F3D"/>
    <w:rsid w:val="001B697D"/>
    <w:rsid w:val="001C32B3"/>
    <w:rsid w:val="001E5AD7"/>
    <w:rsid w:val="001E6160"/>
    <w:rsid w:val="002025A8"/>
    <w:rsid w:val="0021101E"/>
    <w:rsid w:val="002148A4"/>
    <w:rsid w:val="002173E3"/>
    <w:rsid w:val="00224DC4"/>
    <w:rsid w:val="0023457E"/>
    <w:rsid w:val="00246F3B"/>
    <w:rsid w:val="002609E5"/>
    <w:rsid w:val="002855EB"/>
    <w:rsid w:val="002B0D2A"/>
    <w:rsid w:val="002B221A"/>
    <w:rsid w:val="002C06DC"/>
    <w:rsid w:val="002D40CD"/>
    <w:rsid w:val="002D63C1"/>
    <w:rsid w:val="002D6A46"/>
    <w:rsid w:val="002E3144"/>
    <w:rsid w:val="002F7E81"/>
    <w:rsid w:val="003148EC"/>
    <w:rsid w:val="003159AD"/>
    <w:rsid w:val="00316C2A"/>
    <w:rsid w:val="00322A7A"/>
    <w:rsid w:val="00324917"/>
    <w:rsid w:val="00327E46"/>
    <w:rsid w:val="00360015"/>
    <w:rsid w:val="00370A43"/>
    <w:rsid w:val="0039412A"/>
    <w:rsid w:val="00397317"/>
    <w:rsid w:val="003A2C6E"/>
    <w:rsid w:val="003A2FBC"/>
    <w:rsid w:val="003A3A6A"/>
    <w:rsid w:val="003C0B95"/>
    <w:rsid w:val="003D478B"/>
    <w:rsid w:val="003E5D30"/>
    <w:rsid w:val="003E7BA4"/>
    <w:rsid w:val="003F3BE3"/>
    <w:rsid w:val="003F5E8D"/>
    <w:rsid w:val="003F69B8"/>
    <w:rsid w:val="00400142"/>
    <w:rsid w:val="00403309"/>
    <w:rsid w:val="0041089F"/>
    <w:rsid w:val="0041577A"/>
    <w:rsid w:val="00416C71"/>
    <w:rsid w:val="00422C05"/>
    <w:rsid w:val="00425B59"/>
    <w:rsid w:val="00434636"/>
    <w:rsid w:val="00447246"/>
    <w:rsid w:val="00473B73"/>
    <w:rsid w:val="00485409"/>
    <w:rsid w:val="00485CF8"/>
    <w:rsid w:val="00487A4D"/>
    <w:rsid w:val="0049471A"/>
    <w:rsid w:val="004A242B"/>
    <w:rsid w:val="004A70CD"/>
    <w:rsid w:val="004B1495"/>
    <w:rsid w:val="004B1EFF"/>
    <w:rsid w:val="004B6217"/>
    <w:rsid w:val="004C79B5"/>
    <w:rsid w:val="004E4F37"/>
    <w:rsid w:val="004F6998"/>
    <w:rsid w:val="00513E2C"/>
    <w:rsid w:val="00526F0D"/>
    <w:rsid w:val="00546424"/>
    <w:rsid w:val="00546D6E"/>
    <w:rsid w:val="005530C8"/>
    <w:rsid w:val="00555DE2"/>
    <w:rsid w:val="005605FC"/>
    <w:rsid w:val="00560716"/>
    <w:rsid w:val="00562471"/>
    <w:rsid w:val="005854CF"/>
    <w:rsid w:val="005A0176"/>
    <w:rsid w:val="005A18ED"/>
    <w:rsid w:val="005B3E55"/>
    <w:rsid w:val="005B51CA"/>
    <w:rsid w:val="005C21D5"/>
    <w:rsid w:val="005C626C"/>
    <w:rsid w:val="005D0EFD"/>
    <w:rsid w:val="005E12D5"/>
    <w:rsid w:val="005E3C2B"/>
    <w:rsid w:val="005E404D"/>
    <w:rsid w:val="005F1DED"/>
    <w:rsid w:val="005F63AD"/>
    <w:rsid w:val="006257E0"/>
    <w:rsid w:val="00633000"/>
    <w:rsid w:val="006503E2"/>
    <w:rsid w:val="00667663"/>
    <w:rsid w:val="00675358"/>
    <w:rsid w:val="00680623"/>
    <w:rsid w:val="00681AEA"/>
    <w:rsid w:val="006864E7"/>
    <w:rsid w:val="00695AE0"/>
    <w:rsid w:val="006A351C"/>
    <w:rsid w:val="006A6F9B"/>
    <w:rsid w:val="006A7943"/>
    <w:rsid w:val="006C6B13"/>
    <w:rsid w:val="006F14FA"/>
    <w:rsid w:val="006F20B1"/>
    <w:rsid w:val="006F43E3"/>
    <w:rsid w:val="006F75AF"/>
    <w:rsid w:val="00710606"/>
    <w:rsid w:val="00723271"/>
    <w:rsid w:val="00734C81"/>
    <w:rsid w:val="00746BF8"/>
    <w:rsid w:val="00775AA0"/>
    <w:rsid w:val="00786F42"/>
    <w:rsid w:val="0079342A"/>
    <w:rsid w:val="007967D1"/>
    <w:rsid w:val="00796D5E"/>
    <w:rsid w:val="007A1C1C"/>
    <w:rsid w:val="007C77E8"/>
    <w:rsid w:val="007D1D18"/>
    <w:rsid w:val="007D2EBA"/>
    <w:rsid w:val="007F00EE"/>
    <w:rsid w:val="007F117C"/>
    <w:rsid w:val="00825258"/>
    <w:rsid w:val="00846BE1"/>
    <w:rsid w:val="00850787"/>
    <w:rsid w:val="00854390"/>
    <w:rsid w:val="008700B2"/>
    <w:rsid w:val="00870F11"/>
    <w:rsid w:val="008821AF"/>
    <w:rsid w:val="00896F4A"/>
    <w:rsid w:val="00897AEF"/>
    <w:rsid w:val="008A0506"/>
    <w:rsid w:val="008A2C1F"/>
    <w:rsid w:val="008A616D"/>
    <w:rsid w:val="008D4FE7"/>
    <w:rsid w:val="008E3674"/>
    <w:rsid w:val="00904C0B"/>
    <w:rsid w:val="00912896"/>
    <w:rsid w:val="00924B70"/>
    <w:rsid w:val="00934B08"/>
    <w:rsid w:val="00951C74"/>
    <w:rsid w:val="00963DAB"/>
    <w:rsid w:val="0096439C"/>
    <w:rsid w:val="0097688B"/>
    <w:rsid w:val="00977A26"/>
    <w:rsid w:val="00980300"/>
    <w:rsid w:val="00980EB0"/>
    <w:rsid w:val="0098644A"/>
    <w:rsid w:val="009A2C41"/>
    <w:rsid w:val="009A316F"/>
    <w:rsid w:val="009B1561"/>
    <w:rsid w:val="009D085B"/>
    <w:rsid w:val="009E5CC0"/>
    <w:rsid w:val="00A005C0"/>
    <w:rsid w:val="00A0668A"/>
    <w:rsid w:val="00A1088E"/>
    <w:rsid w:val="00A10DC8"/>
    <w:rsid w:val="00A15143"/>
    <w:rsid w:val="00A1553F"/>
    <w:rsid w:val="00A17A32"/>
    <w:rsid w:val="00A210CC"/>
    <w:rsid w:val="00A30D3A"/>
    <w:rsid w:val="00A33C17"/>
    <w:rsid w:val="00A37CB5"/>
    <w:rsid w:val="00A55C2C"/>
    <w:rsid w:val="00AA384A"/>
    <w:rsid w:val="00AA3CE0"/>
    <w:rsid w:val="00AA5E1C"/>
    <w:rsid w:val="00AC4C9E"/>
    <w:rsid w:val="00AD16CF"/>
    <w:rsid w:val="00AD3DE8"/>
    <w:rsid w:val="00AE0A6E"/>
    <w:rsid w:val="00AE6BB9"/>
    <w:rsid w:val="00AF0F88"/>
    <w:rsid w:val="00AF5DCC"/>
    <w:rsid w:val="00B03397"/>
    <w:rsid w:val="00B10B7B"/>
    <w:rsid w:val="00B13B5D"/>
    <w:rsid w:val="00B17F0A"/>
    <w:rsid w:val="00B213AE"/>
    <w:rsid w:val="00B30428"/>
    <w:rsid w:val="00B3370D"/>
    <w:rsid w:val="00B4215A"/>
    <w:rsid w:val="00B56BD0"/>
    <w:rsid w:val="00B63B1C"/>
    <w:rsid w:val="00B77240"/>
    <w:rsid w:val="00B81671"/>
    <w:rsid w:val="00B93D2C"/>
    <w:rsid w:val="00B97E85"/>
    <w:rsid w:val="00BC0957"/>
    <w:rsid w:val="00BC4F29"/>
    <w:rsid w:val="00BC6383"/>
    <w:rsid w:val="00BD3934"/>
    <w:rsid w:val="00C03FB0"/>
    <w:rsid w:val="00C23657"/>
    <w:rsid w:val="00C333F6"/>
    <w:rsid w:val="00C34C3A"/>
    <w:rsid w:val="00C35DE6"/>
    <w:rsid w:val="00C41C4F"/>
    <w:rsid w:val="00C71669"/>
    <w:rsid w:val="00C7312E"/>
    <w:rsid w:val="00C749ED"/>
    <w:rsid w:val="00C93E8A"/>
    <w:rsid w:val="00C96037"/>
    <w:rsid w:val="00CA1812"/>
    <w:rsid w:val="00CA4B5F"/>
    <w:rsid w:val="00CB6938"/>
    <w:rsid w:val="00CD0C6C"/>
    <w:rsid w:val="00CD6990"/>
    <w:rsid w:val="00D0106C"/>
    <w:rsid w:val="00D114E1"/>
    <w:rsid w:val="00D24C05"/>
    <w:rsid w:val="00D2629B"/>
    <w:rsid w:val="00D40C4A"/>
    <w:rsid w:val="00D41260"/>
    <w:rsid w:val="00D51484"/>
    <w:rsid w:val="00D5482D"/>
    <w:rsid w:val="00D75B14"/>
    <w:rsid w:val="00D86467"/>
    <w:rsid w:val="00D96C7D"/>
    <w:rsid w:val="00DB28C9"/>
    <w:rsid w:val="00DC4379"/>
    <w:rsid w:val="00DC570D"/>
    <w:rsid w:val="00DD2747"/>
    <w:rsid w:val="00DD59D6"/>
    <w:rsid w:val="00DE740D"/>
    <w:rsid w:val="00E01CA3"/>
    <w:rsid w:val="00E07C92"/>
    <w:rsid w:val="00E14379"/>
    <w:rsid w:val="00E21948"/>
    <w:rsid w:val="00E24AB6"/>
    <w:rsid w:val="00E425A3"/>
    <w:rsid w:val="00E44D2E"/>
    <w:rsid w:val="00E618DC"/>
    <w:rsid w:val="00E63036"/>
    <w:rsid w:val="00E64D23"/>
    <w:rsid w:val="00E668E7"/>
    <w:rsid w:val="00E73BA7"/>
    <w:rsid w:val="00E80E96"/>
    <w:rsid w:val="00E91A3C"/>
    <w:rsid w:val="00E967CD"/>
    <w:rsid w:val="00EA0064"/>
    <w:rsid w:val="00EA2D67"/>
    <w:rsid w:val="00EC7A4B"/>
    <w:rsid w:val="00ED2A26"/>
    <w:rsid w:val="00EF37FF"/>
    <w:rsid w:val="00EF384A"/>
    <w:rsid w:val="00F0485B"/>
    <w:rsid w:val="00F11439"/>
    <w:rsid w:val="00F13033"/>
    <w:rsid w:val="00F24451"/>
    <w:rsid w:val="00F354C7"/>
    <w:rsid w:val="00F36847"/>
    <w:rsid w:val="00F46112"/>
    <w:rsid w:val="00F476CA"/>
    <w:rsid w:val="00F618D1"/>
    <w:rsid w:val="00F66029"/>
    <w:rsid w:val="00F74CC4"/>
    <w:rsid w:val="00F772B8"/>
    <w:rsid w:val="00F80F85"/>
    <w:rsid w:val="00F930E0"/>
    <w:rsid w:val="00F93FFB"/>
    <w:rsid w:val="00F97495"/>
    <w:rsid w:val="00FA22E5"/>
    <w:rsid w:val="00FC09B8"/>
    <w:rsid w:val="00FD2BBE"/>
    <w:rsid w:val="00FD7764"/>
    <w:rsid w:val="00FF5A09"/>
    <w:rsid w:val="00FF636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48"/>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5E12D5"/>
    <w:pPr>
      <w:keepNext/>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1948"/>
    <w:pPr>
      <w:tabs>
        <w:tab w:val="center" w:pos="4153"/>
        <w:tab w:val="right" w:pos="8306"/>
      </w:tabs>
    </w:pPr>
  </w:style>
  <w:style w:type="character" w:customStyle="1" w:styleId="HeaderChar">
    <w:name w:val="Header Char"/>
    <w:basedOn w:val="DefaultParagraphFont"/>
    <w:link w:val="Header"/>
    <w:uiPriority w:val="99"/>
    <w:rsid w:val="00E21948"/>
    <w:rPr>
      <w:rFonts w:ascii="Times New Roman" w:eastAsia="Times New Roman" w:hAnsi="Times New Roman" w:cs="Times New Roman"/>
      <w:sz w:val="24"/>
      <w:szCs w:val="24"/>
      <w:lang w:eastAsia="lv-LV"/>
    </w:rPr>
  </w:style>
  <w:style w:type="paragraph" w:styleId="BodyText2">
    <w:name w:val="Body Text 2"/>
    <w:basedOn w:val="Normal"/>
    <w:link w:val="BodyText2Char"/>
    <w:rsid w:val="00E21948"/>
    <w:pPr>
      <w:jc w:val="center"/>
    </w:pPr>
    <w:rPr>
      <w:sz w:val="32"/>
      <w:lang w:eastAsia="en-US"/>
    </w:rPr>
  </w:style>
  <w:style w:type="character" w:customStyle="1" w:styleId="BodyText2Char">
    <w:name w:val="Body Text 2 Char"/>
    <w:basedOn w:val="DefaultParagraphFont"/>
    <w:link w:val="BodyText2"/>
    <w:rsid w:val="00E21948"/>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E21948"/>
    <w:rPr>
      <w:rFonts w:ascii="Tahoma" w:hAnsi="Tahoma" w:cs="Tahoma"/>
      <w:sz w:val="16"/>
      <w:szCs w:val="16"/>
    </w:rPr>
  </w:style>
  <w:style w:type="character" w:customStyle="1" w:styleId="BalloonTextChar">
    <w:name w:val="Balloon Text Char"/>
    <w:basedOn w:val="DefaultParagraphFont"/>
    <w:link w:val="BalloonText"/>
    <w:uiPriority w:val="99"/>
    <w:semiHidden/>
    <w:rsid w:val="00E21948"/>
    <w:rPr>
      <w:rFonts w:ascii="Tahoma" w:eastAsia="Times New Roman" w:hAnsi="Tahoma" w:cs="Tahoma"/>
      <w:sz w:val="16"/>
      <w:szCs w:val="16"/>
      <w:lang w:eastAsia="lv-LV"/>
    </w:rPr>
  </w:style>
  <w:style w:type="paragraph" w:styleId="ListParagraph">
    <w:name w:val="List Paragraph"/>
    <w:basedOn w:val="Normal"/>
    <w:uiPriority w:val="34"/>
    <w:qFormat/>
    <w:rsid w:val="0079342A"/>
    <w:pPr>
      <w:ind w:left="720"/>
      <w:contextualSpacing/>
    </w:pPr>
  </w:style>
  <w:style w:type="paragraph" w:styleId="Footer">
    <w:name w:val="footer"/>
    <w:basedOn w:val="Normal"/>
    <w:link w:val="FooterChar"/>
    <w:unhideWhenUsed/>
    <w:rsid w:val="0079342A"/>
    <w:pPr>
      <w:tabs>
        <w:tab w:val="center" w:pos="4153"/>
        <w:tab w:val="right" w:pos="8306"/>
      </w:tabs>
    </w:pPr>
  </w:style>
  <w:style w:type="character" w:customStyle="1" w:styleId="FooterChar">
    <w:name w:val="Footer Char"/>
    <w:basedOn w:val="DefaultParagraphFont"/>
    <w:link w:val="Footer"/>
    <w:rsid w:val="0079342A"/>
    <w:rPr>
      <w:rFonts w:ascii="Times New Roman" w:eastAsia="Times New Roman" w:hAnsi="Times New Roman" w:cs="Times New Roman"/>
      <w:sz w:val="24"/>
      <w:szCs w:val="24"/>
      <w:lang w:eastAsia="lv-LV"/>
    </w:rPr>
  </w:style>
  <w:style w:type="paragraph" w:styleId="Title">
    <w:name w:val="Title"/>
    <w:basedOn w:val="Normal"/>
    <w:link w:val="TitleChar"/>
    <w:qFormat/>
    <w:rsid w:val="0079342A"/>
    <w:pPr>
      <w:jc w:val="center"/>
    </w:pPr>
    <w:rPr>
      <w:sz w:val="28"/>
      <w:szCs w:val="28"/>
      <w:lang w:eastAsia="en-US"/>
    </w:rPr>
  </w:style>
  <w:style w:type="character" w:customStyle="1" w:styleId="TitleChar">
    <w:name w:val="Title Char"/>
    <w:basedOn w:val="DefaultParagraphFont"/>
    <w:link w:val="Title"/>
    <w:rsid w:val="0079342A"/>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546D6E"/>
    <w:pPr>
      <w:spacing w:after="120" w:line="480" w:lineRule="auto"/>
      <w:ind w:left="283"/>
    </w:pPr>
  </w:style>
  <w:style w:type="character" w:customStyle="1" w:styleId="BodyTextIndent2Char">
    <w:name w:val="Body Text Indent 2 Char"/>
    <w:basedOn w:val="DefaultParagraphFont"/>
    <w:link w:val="BodyTextIndent2"/>
    <w:uiPriority w:val="99"/>
    <w:semiHidden/>
    <w:rsid w:val="00546D6E"/>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26A02"/>
    <w:pPr>
      <w:spacing w:before="100" w:beforeAutospacing="1" w:after="100" w:afterAutospacing="1"/>
    </w:pPr>
    <w:rPr>
      <w:rFonts w:eastAsiaTheme="minorHAnsi"/>
    </w:rPr>
  </w:style>
  <w:style w:type="character" w:styleId="Emphasis">
    <w:name w:val="Emphasis"/>
    <w:basedOn w:val="DefaultParagraphFont"/>
    <w:uiPriority w:val="20"/>
    <w:qFormat/>
    <w:rsid w:val="00126A02"/>
    <w:rPr>
      <w:i/>
      <w:iCs/>
    </w:rPr>
  </w:style>
  <w:style w:type="character" w:customStyle="1" w:styleId="Heading4Char">
    <w:name w:val="Heading 4 Char"/>
    <w:basedOn w:val="DefaultParagraphFont"/>
    <w:link w:val="Heading4"/>
    <w:rsid w:val="005E12D5"/>
    <w:rPr>
      <w:rFonts w:ascii="Times New Roman" w:eastAsia="Times New Roman" w:hAnsi="Times New Roman" w:cs="Times New Roman"/>
      <w:b/>
      <w:bCs/>
      <w:sz w:val="28"/>
      <w:szCs w:val="24"/>
    </w:rPr>
  </w:style>
  <w:style w:type="character" w:styleId="PlaceholderText">
    <w:name w:val="Placeholder Text"/>
    <w:basedOn w:val="DefaultParagraphFont"/>
    <w:uiPriority w:val="99"/>
    <w:semiHidden/>
    <w:rsid w:val="00422C05"/>
    <w:rPr>
      <w:color w:val="808080"/>
    </w:rPr>
  </w:style>
  <w:style w:type="paragraph" w:customStyle="1" w:styleId="Point0">
    <w:name w:val="Point 0"/>
    <w:basedOn w:val="Normal"/>
    <w:rsid w:val="000538D0"/>
    <w:pPr>
      <w:spacing w:before="120" w:after="120"/>
      <w:ind w:left="850" w:hanging="850"/>
      <w:jc w:val="both"/>
    </w:pPr>
    <w:rPr>
      <w:lang w:eastAsia="de-DE"/>
    </w:rPr>
  </w:style>
  <w:style w:type="character" w:styleId="Hyperlink">
    <w:name w:val="Hyperlink"/>
    <w:basedOn w:val="DefaultParagraphFont"/>
    <w:uiPriority w:val="99"/>
    <w:unhideWhenUsed/>
    <w:rsid w:val="003F5E8D"/>
    <w:rPr>
      <w:color w:val="0000FF" w:themeColor="hyperlink"/>
      <w:u w:val="single"/>
    </w:rPr>
  </w:style>
  <w:style w:type="paragraph" w:customStyle="1" w:styleId="EntEmet">
    <w:name w:val="EntEmet"/>
    <w:basedOn w:val="Normal"/>
    <w:rsid w:val="002173E3"/>
    <w:pPr>
      <w:widowControl w:val="0"/>
      <w:tabs>
        <w:tab w:val="left" w:pos="284"/>
        <w:tab w:val="left" w:pos="567"/>
        <w:tab w:val="left" w:pos="851"/>
        <w:tab w:val="left" w:pos="1134"/>
        <w:tab w:val="left" w:pos="1418"/>
      </w:tabs>
      <w:spacing w:before="40"/>
    </w:pPr>
    <w:rPr>
      <w:szCs w:val="20"/>
      <w:lang w:val="en-GB" w:eastAsia="fr-BE"/>
    </w:rPr>
  </w:style>
  <w:style w:type="paragraph" w:styleId="FootnoteText">
    <w:name w:val="footnote text"/>
    <w:basedOn w:val="Normal"/>
    <w:link w:val="FootnoteTextChar"/>
    <w:uiPriority w:val="99"/>
    <w:unhideWhenUsed/>
    <w:rsid w:val="008821AF"/>
    <w:rPr>
      <w:sz w:val="20"/>
      <w:szCs w:val="20"/>
    </w:rPr>
  </w:style>
  <w:style w:type="character" w:customStyle="1" w:styleId="FootnoteTextChar">
    <w:name w:val="Footnote Text Char"/>
    <w:basedOn w:val="DefaultParagraphFont"/>
    <w:link w:val="FootnoteText"/>
    <w:uiPriority w:val="99"/>
    <w:rsid w:val="008821AF"/>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basedOn w:val="DefaultParagraphFont"/>
    <w:uiPriority w:val="99"/>
    <w:unhideWhenUsed/>
    <w:rsid w:val="008821AF"/>
    <w:rPr>
      <w:rFonts w:ascii="Times New Roman" w:hAnsi="Times New Roman" w:cs="Times New Roman" w:hint="default"/>
      <w:vertAlign w:val="superscript"/>
    </w:rPr>
  </w:style>
  <w:style w:type="character" w:customStyle="1" w:styleId="at4">
    <w:name w:val="a__t4"/>
    <w:basedOn w:val="DefaultParagraphFont"/>
    <w:rsid w:val="005A18ED"/>
  </w:style>
  <w:style w:type="paragraph" w:customStyle="1" w:styleId="a3520normal">
    <w:name w:val="a___35__20_normal"/>
    <w:basedOn w:val="Normal"/>
    <w:rsid w:val="005A18ED"/>
    <w:pPr>
      <w:spacing w:before="100" w:beforeAutospacing="1" w:after="100" w:afterAutospacing="1"/>
    </w:pPr>
  </w:style>
  <w:style w:type="character" w:customStyle="1" w:styleId="at9">
    <w:name w:val="a__t9"/>
    <w:basedOn w:val="DefaultParagraphFont"/>
    <w:rsid w:val="005A18ED"/>
  </w:style>
  <w:style w:type="paragraph" w:customStyle="1" w:styleId="Default">
    <w:name w:val="Default"/>
    <w:rsid w:val="00D0106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ps">
    <w:name w:val="hps"/>
    <w:rsid w:val="00D01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6827">
      <w:bodyDiv w:val="1"/>
      <w:marLeft w:val="0"/>
      <w:marRight w:val="0"/>
      <w:marTop w:val="0"/>
      <w:marBottom w:val="0"/>
      <w:divBdr>
        <w:top w:val="none" w:sz="0" w:space="0" w:color="auto"/>
        <w:left w:val="none" w:sz="0" w:space="0" w:color="auto"/>
        <w:bottom w:val="none" w:sz="0" w:space="0" w:color="auto"/>
        <w:right w:val="none" w:sz="0" w:space="0" w:color="auto"/>
      </w:divBdr>
    </w:div>
    <w:div w:id="80880028">
      <w:bodyDiv w:val="1"/>
      <w:marLeft w:val="0"/>
      <w:marRight w:val="0"/>
      <w:marTop w:val="0"/>
      <w:marBottom w:val="0"/>
      <w:divBdr>
        <w:top w:val="none" w:sz="0" w:space="0" w:color="auto"/>
        <w:left w:val="none" w:sz="0" w:space="0" w:color="auto"/>
        <w:bottom w:val="none" w:sz="0" w:space="0" w:color="auto"/>
        <w:right w:val="none" w:sz="0" w:space="0" w:color="auto"/>
      </w:divBdr>
    </w:div>
    <w:div w:id="83113023">
      <w:bodyDiv w:val="1"/>
      <w:marLeft w:val="0"/>
      <w:marRight w:val="0"/>
      <w:marTop w:val="0"/>
      <w:marBottom w:val="0"/>
      <w:divBdr>
        <w:top w:val="none" w:sz="0" w:space="0" w:color="auto"/>
        <w:left w:val="none" w:sz="0" w:space="0" w:color="auto"/>
        <w:bottom w:val="none" w:sz="0" w:space="0" w:color="auto"/>
        <w:right w:val="none" w:sz="0" w:space="0" w:color="auto"/>
      </w:divBdr>
    </w:div>
    <w:div w:id="255360369">
      <w:bodyDiv w:val="1"/>
      <w:marLeft w:val="0"/>
      <w:marRight w:val="0"/>
      <w:marTop w:val="0"/>
      <w:marBottom w:val="0"/>
      <w:divBdr>
        <w:top w:val="none" w:sz="0" w:space="0" w:color="auto"/>
        <w:left w:val="none" w:sz="0" w:space="0" w:color="auto"/>
        <w:bottom w:val="none" w:sz="0" w:space="0" w:color="auto"/>
        <w:right w:val="none" w:sz="0" w:space="0" w:color="auto"/>
      </w:divBdr>
    </w:div>
    <w:div w:id="301497381">
      <w:bodyDiv w:val="1"/>
      <w:marLeft w:val="0"/>
      <w:marRight w:val="0"/>
      <w:marTop w:val="0"/>
      <w:marBottom w:val="0"/>
      <w:divBdr>
        <w:top w:val="none" w:sz="0" w:space="0" w:color="auto"/>
        <w:left w:val="none" w:sz="0" w:space="0" w:color="auto"/>
        <w:bottom w:val="none" w:sz="0" w:space="0" w:color="auto"/>
        <w:right w:val="none" w:sz="0" w:space="0" w:color="auto"/>
      </w:divBdr>
    </w:div>
    <w:div w:id="350184115">
      <w:bodyDiv w:val="1"/>
      <w:marLeft w:val="0"/>
      <w:marRight w:val="0"/>
      <w:marTop w:val="0"/>
      <w:marBottom w:val="0"/>
      <w:divBdr>
        <w:top w:val="none" w:sz="0" w:space="0" w:color="auto"/>
        <w:left w:val="none" w:sz="0" w:space="0" w:color="auto"/>
        <w:bottom w:val="none" w:sz="0" w:space="0" w:color="auto"/>
        <w:right w:val="none" w:sz="0" w:space="0" w:color="auto"/>
      </w:divBdr>
    </w:div>
    <w:div w:id="374432434">
      <w:bodyDiv w:val="1"/>
      <w:marLeft w:val="0"/>
      <w:marRight w:val="0"/>
      <w:marTop w:val="0"/>
      <w:marBottom w:val="0"/>
      <w:divBdr>
        <w:top w:val="none" w:sz="0" w:space="0" w:color="auto"/>
        <w:left w:val="none" w:sz="0" w:space="0" w:color="auto"/>
        <w:bottom w:val="none" w:sz="0" w:space="0" w:color="auto"/>
        <w:right w:val="none" w:sz="0" w:space="0" w:color="auto"/>
      </w:divBdr>
    </w:div>
    <w:div w:id="422579833">
      <w:bodyDiv w:val="1"/>
      <w:marLeft w:val="0"/>
      <w:marRight w:val="0"/>
      <w:marTop w:val="0"/>
      <w:marBottom w:val="0"/>
      <w:divBdr>
        <w:top w:val="none" w:sz="0" w:space="0" w:color="auto"/>
        <w:left w:val="none" w:sz="0" w:space="0" w:color="auto"/>
        <w:bottom w:val="none" w:sz="0" w:space="0" w:color="auto"/>
        <w:right w:val="none" w:sz="0" w:space="0" w:color="auto"/>
      </w:divBdr>
    </w:div>
    <w:div w:id="465010091">
      <w:bodyDiv w:val="1"/>
      <w:marLeft w:val="0"/>
      <w:marRight w:val="0"/>
      <w:marTop w:val="0"/>
      <w:marBottom w:val="0"/>
      <w:divBdr>
        <w:top w:val="none" w:sz="0" w:space="0" w:color="auto"/>
        <w:left w:val="none" w:sz="0" w:space="0" w:color="auto"/>
        <w:bottom w:val="none" w:sz="0" w:space="0" w:color="auto"/>
        <w:right w:val="none" w:sz="0" w:space="0" w:color="auto"/>
      </w:divBdr>
    </w:div>
    <w:div w:id="478108874">
      <w:bodyDiv w:val="1"/>
      <w:marLeft w:val="0"/>
      <w:marRight w:val="0"/>
      <w:marTop w:val="0"/>
      <w:marBottom w:val="0"/>
      <w:divBdr>
        <w:top w:val="none" w:sz="0" w:space="0" w:color="auto"/>
        <w:left w:val="none" w:sz="0" w:space="0" w:color="auto"/>
        <w:bottom w:val="none" w:sz="0" w:space="0" w:color="auto"/>
        <w:right w:val="none" w:sz="0" w:space="0" w:color="auto"/>
      </w:divBdr>
    </w:div>
    <w:div w:id="775490075">
      <w:bodyDiv w:val="1"/>
      <w:marLeft w:val="0"/>
      <w:marRight w:val="0"/>
      <w:marTop w:val="0"/>
      <w:marBottom w:val="0"/>
      <w:divBdr>
        <w:top w:val="none" w:sz="0" w:space="0" w:color="auto"/>
        <w:left w:val="none" w:sz="0" w:space="0" w:color="auto"/>
        <w:bottom w:val="none" w:sz="0" w:space="0" w:color="auto"/>
        <w:right w:val="none" w:sz="0" w:space="0" w:color="auto"/>
      </w:divBdr>
    </w:div>
    <w:div w:id="926034701">
      <w:bodyDiv w:val="1"/>
      <w:marLeft w:val="0"/>
      <w:marRight w:val="0"/>
      <w:marTop w:val="0"/>
      <w:marBottom w:val="0"/>
      <w:divBdr>
        <w:top w:val="none" w:sz="0" w:space="0" w:color="auto"/>
        <w:left w:val="none" w:sz="0" w:space="0" w:color="auto"/>
        <w:bottom w:val="none" w:sz="0" w:space="0" w:color="auto"/>
        <w:right w:val="none" w:sz="0" w:space="0" w:color="auto"/>
      </w:divBdr>
    </w:div>
    <w:div w:id="1064838030">
      <w:bodyDiv w:val="1"/>
      <w:marLeft w:val="0"/>
      <w:marRight w:val="0"/>
      <w:marTop w:val="0"/>
      <w:marBottom w:val="0"/>
      <w:divBdr>
        <w:top w:val="none" w:sz="0" w:space="0" w:color="auto"/>
        <w:left w:val="none" w:sz="0" w:space="0" w:color="auto"/>
        <w:bottom w:val="none" w:sz="0" w:space="0" w:color="auto"/>
        <w:right w:val="none" w:sz="0" w:space="0" w:color="auto"/>
      </w:divBdr>
    </w:div>
    <w:div w:id="1408303710">
      <w:bodyDiv w:val="1"/>
      <w:marLeft w:val="0"/>
      <w:marRight w:val="0"/>
      <w:marTop w:val="0"/>
      <w:marBottom w:val="0"/>
      <w:divBdr>
        <w:top w:val="none" w:sz="0" w:space="0" w:color="auto"/>
        <w:left w:val="none" w:sz="0" w:space="0" w:color="auto"/>
        <w:bottom w:val="none" w:sz="0" w:space="0" w:color="auto"/>
        <w:right w:val="none" w:sz="0" w:space="0" w:color="auto"/>
      </w:divBdr>
    </w:div>
    <w:div w:id="1425493503">
      <w:bodyDiv w:val="1"/>
      <w:marLeft w:val="0"/>
      <w:marRight w:val="0"/>
      <w:marTop w:val="0"/>
      <w:marBottom w:val="0"/>
      <w:divBdr>
        <w:top w:val="none" w:sz="0" w:space="0" w:color="auto"/>
        <w:left w:val="none" w:sz="0" w:space="0" w:color="auto"/>
        <w:bottom w:val="none" w:sz="0" w:space="0" w:color="auto"/>
        <w:right w:val="none" w:sz="0" w:space="0" w:color="auto"/>
      </w:divBdr>
    </w:div>
    <w:div w:id="1536842844">
      <w:bodyDiv w:val="1"/>
      <w:marLeft w:val="0"/>
      <w:marRight w:val="0"/>
      <w:marTop w:val="0"/>
      <w:marBottom w:val="0"/>
      <w:divBdr>
        <w:top w:val="none" w:sz="0" w:space="0" w:color="auto"/>
        <w:left w:val="none" w:sz="0" w:space="0" w:color="auto"/>
        <w:bottom w:val="none" w:sz="0" w:space="0" w:color="auto"/>
        <w:right w:val="none" w:sz="0" w:space="0" w:color="auto"/>
      </w:divBdr>
    </w:div>
    <w:div w:id="1670132468">
      <w:bodyDiv w:val="1"/>
      <w:marLeft w:val="0"/>
      <w:marRight w:val="0"/>
      <w:marTop w:val="0"/>
      <w:marBottom w:val="0"/>
      <w:divBdr>
        <w:top w:val="none" w:sz="0" w:space="0" w:color="auto"/>
        <w:left w:val="none" w:sz="0" w:space="0" w:color="auto"/>
        <w:bottom w:val="none" w:sz="0" w:space="0" w:color="auto"/>
        <w:right w:val="none" w:sz="0" w:space="0" w:color="auto"/>
      </w:divBdr>
    </w:div>
    <w:div w:id="1829130082">
      <w:bodyDiv w:val="1"/>
      <w:marLeft w:val="0"/>
      <w:marRight w:val="0"/>
      <w:marTop w:val="0"/>
      <w:marBottom w:val="0"/>
      <w:divBdr>
        <w:top w:val="none" w:sz="0" w:space="0" w:color="auto"/>
        <w:left w:val="none" w:sz="0" w:space="0" w:color="auto"/>
        <w:bottom w:val="none" w:sz="0" w:space="0" w:color="auto"/>
        <w:right w:val="none" w:sz="0" w:space="0" w:color="auto"/>
      </w:divBdr>
    </w:div>
    <w:div w:id="1848594988">
      <w:bodyDiv w:val="1"/>
      <w:marLeft w:val="0"/>
      <w:marRight w:val="0"/>
      <w:marTop w:val="0"/>
      <w:marBottom w:val="0"/>
      <w:divBdr>
        <w:top w:val="none" w:sz="0" w:space="0" w:color="auto"/>
        <w:left w:val="none" w:sz="0" w:space="0" w:color="auto"/>
        <w:bottom w:val="none" w:sz="0" w:space="0" w:color="auto"/>
        <w:right w:val="none" w:sz="0" w:space="0" w:color="auto"/>
      </w:divBdr>
    </w:div>
    <w:div w:id="1960261717">
      <w:bodyDiv w:val="1"/>
      <w:marLeft w:val="0"/>
      <w:marRight w:val="0"/>
      <w:marTop w:val="0"/>
      <w:marBottom w:val="0"/>
      <w:divBdr>
        <w:top w:val="none" w:sz="0" w:space="0" w:color="auto"/>
        <w:left w:val="none" w:sz="0" w:space="0" w:color="auto"/>
        <w:bottom w:val="none" w:sz="0" w:space="0" w:color="auto"/>
        <w:right w:val="none" w:sz="0" w:space="0" w:color="auto"/>
      </w:divBdr>
    </w:div>
    <w:div w:id="21472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ta.Snuk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E9E4C-DDAA-4EEE-9289-BF6F5CC7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1766</TotalTime>
  <Pages>6</Pages>
  <Words>1414</Words>
  <Characters>10327</Characters>
  <Application>Microsoft Office Word</Application>
  <DocSecurity>0</DocSecurity>
  <Lines>234</Lines>
  <Paragraphs>78</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11663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Zjurikova</dc:creator>
  <cp:keywords/>
  <dc:description/>
  <cp:lastModifiedBy>Marija Zjurikova</cp:lastModifiedBy>
  <cp:revision>183</cp:revision>
  <cp:lastPrinted>2011-05-23T12:59:00Z</cp:lastPrinted>
  <dcterms:created xsi:type="dcterms:W3CDTF">2010-09-30T07:29:00Z</dcterms:created>
  <dcterms:modified xsi:type="dcterms:W3CDTF">2011-05-23T12:59:00Z</dcterms:modified>
</cp:coreProperties>
</file>