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E7" w:rsidRPr="00264C71" w:rsidRDefault="00E668E7" w:rsidP="006031F7">
      <w:pPr>
        <w:pStyle w:val="Header"/>
        <w:tabs>
          <w:tab w:val="left" w:pos="720"/>
        </w:tabs>
        <w:jc w:val="center"/>
        <w:rPr>
          <w:b/>
          <w:smallCaps/>
          <w:sz w:val="28"/>
          <w:szCs w:val="28"/>
        </w:rPr>
      </w:pPr>
      <w:r w:rsidRPr="00264C71">
        <w:rPr>
          <w:b/>
          <w:smallCaps/>
          <w:sz w:val="28"/>
          <w:szCs w:val="28"/>
        </w:rPr>
        <w:t>Informatīvais ziņojums</w:t>
      </w:r>
    </w:p>
    <w:p w:rsidR="00E668E7" w:rsidRPr="00264C71" w:rsidRDefault="00E668E7" w:rsidP="006031F7">
      <w:pPr>
        <w:pStyle w:val="Header"/>
        <w:tabs>
          <w:tab w:val="left" w:pos="720"/>
        </w:tabs>
        <w:jc w:val="center"/>
        <w:rPr>
          <w:b/>
          <w:sz w:val="28"/>
          <w:szCs w:val="28"/>
        </w:rPr>
      </w:pPr>
    </w:p>
    <w:p w:rsidR="00E668E7" w:rsidRPr="00264C71" w:rsidRDefault="00E668E7" w:rsidP="006031F7">
      <w:pPr>
        <w:jc w:val="center"/>
        <w:rPr>
          <w:b/>
          <w:sz w:val="28"/>
          <w:szCs w:val="28"/>
        </w:rPr>
      </w:pPr>
      <w:bookmarkStart w:id="0" w:name="OLE_LINK3"/>
      <w:bookmarkStart w:id="1" w:name="OLE_LINK4"/>
      <w:r w:rsidRPr="00264C71">
        <w:rPr>
          <w:b/>
          <w:sz w:val="28"/>
          <w:szCs w:val="28"/>
        </w:rPr>
        <w:t>par Latvijas</w:t>
      </w:r>
      <w:r w:rsidR="003B32E1" w:rsidRPr="00264C71">
        <w:rPr>
          <w:b/>
          <w:sz w:val="28"/>
          <w:szCs w:val="28"/>
        </w:rPr>
        <w:t xml:space="preserve"> Republikas</w:t>
      </w:r>
      <w:r w:rsidRPr="00264C71">
        <w:rPr>
          <w:b/>
          <w:sz w:val="28"/>
          <w:szCs w:val="28"/>
        </w:rPr>
        <w:t xml:space="preserve"> </w:t>
      </w:r>
      <w:r w:rsidR="002357E6" w:rsidRPr="00264C71">
        <w:rPr>
          <w:b/>
          <w:sz w:val="28"/>
          <w:szCs w:val="28"/>
        </w:rPr>
        <w:t>nostāju</w:t>
      </w:r>
      <w:r w:rsidRPr="00264C71">
        <w:rPr>
          <w:b/>
          <w:sz w:val="28"/>
          <w:szCs w:val="28"/>
        </w:rPr>
        <w:t xml:space="preserve"> Eiropas Savienības Konkurētspējas ministru padomes 201</w:t>
      </w:r>
      <w:r w:rsidR="004F1BA9" w:rsidRPr="00264C71">
        <w:rPr>
          <w:b/>
          <w:sz w:val="28"/>
          <w:szCs w:val="28"/>
        </w:rPr>
        <w:t>3</w:t>
      </w:r>
      <w:r w:rsidRPr="00264C71">
        <w:rPr>
          <w:b/>
          <w:sz w:val="28"/>
          <w:szCs w:val="28"/>
        </w:rPr>
        <w:t xml:space="preserve">.gada </w:t>
      </w:r>
      <w:r w:rsidR="00485EC4">
        <w:rPr>
          <w:b/>
          <w:sz w:val="28"/>
          <w:szCs w:val="28"/>
        </w:rPr>
        <w:t>2</w:t>
      </w:r>
      <w:r w:rsidRPr="00264C71">
        <w:rPr>
          <w:b/>
          <w:sz w:val="28"/>
          <w:szCs w:val="28"/>
        </w:rPr>
        <w:t>.</w:t>
      </w:r>
      <w:r w:rsidR="00485EC4">
        <w:rPr>
          <w:b/>
          <w:sz w:val="28"/>
          <w:szCs w:val="28"/>
        </w:rPr>
        <w:t>decembra</w:t>
      </w:r>
      <w:r w:rsidRPr="00264C71">
        <w:rPr>
          <w:b/>
          <w:sz w:val="28"/>
          <w:szCs w:val="28"/>
        </w:rPr>
        <w:t xml:space="preserve"> sanāksmē izskat</w:t>
      </w:r>
      <w:r w:rsidR="00505AE3" w:rsidRPr="00264C71">
        <w:rPr>
          <w:b/>
          <w:sz w:val="28"/>
          <w:szCs w:val="28"/>
        </w:rPr>
        <w:t xml:space="preserve">āmajos </w:t>
      </w:r>
      <w:r w:rsidRPr="00264C71">
        <w:rPr>
          <w:b/>
          <w:sz w:val="28"/>
          <w:szCs w:val="28"/>
        </w:rPr>
        <w:t>jautājumos</w:t>
      </w:r>
    </w:p>
    <w:bookmarkEnd w:id="0"/>
    <w:bookmarkEnd w:id="1"/>
    <w:p w:rsidR="00E668E7" w:rsidRPr="00264C71" w:rsidRDefault="00E668E7" w:rsidP="006031F7">
      <w:pPr>
        <w:spacing w:after="120"/>
        <w:jc w:val="both"/>
        <w:rPr>
          <w:sz w:val="28"/>
          <w:szCs w:val="28"/>
        </w:rPr>
      </w:pPr>
    </w:p>
    <w:p w:rsidR="00E668E7" w:rsidRPr="00264C71" w:rsidRDefault="00E668E7" w:rsidP="006031F7">
      <w:pPr>
        <w:spacing w:before="120" w:after="120"/>
        <w:rPr>
          <w:b/>
          <w:sz w:val="28"/>
          <w:szCs w:val="28"/>
        </w:rPr>
      </w:pPr>
      <w:r w:rsidRPr="00264C71">
        <w:rPr>
          <w:b/>
          <w:sz w:val="28"/>
          <w:szCs w:val="28"/>
        </w:rPr>
        <w:t>1. Konkurētspējas ministru padomes sanāksmes darba kārtība</w:t>
      </w:r>
    </w:p>
    <w:p w:rsidR="00897AEF" w:rsidRPr="00264C71" w:rsidRDefault="00897AEF" w:rsidP="004F0096">
      <w:pPr>
        <w:tabs>
          <w:tab w:val="left" w:pos="9288"/>
        </w:tabs>
        <w:ind w:firstLine="851"/>
        <w:jc w:val="both"/>
        <w:rPr>
          <w:sz w:val="28"/>
          <w:szCs w:val="28"/>
        </w:rPr>
      </w:pPr>
      <w:r w:rsidRPr="00264C71">
        <w:rPr>
          <w:sz w:val="28"/>
          <w:szCs w:val="28"/>
        </w:rPr>
        <w:t>201</w:t>
      </w:r>
      <w:r w:rsidR="004F1BA9" w:rsidRPr="00264C71">
        <w:rPr>
          <w:sz w:val="28"/>
          <w:szCs w:val="28"/>
        </w:rPr>
        <w:t>3</w:t>
      </w:r>
      <w:r w:rsidR="00505AE3" w:rsidRPr="00264C71">
        <w:rPr>
          <w:sz w:val="28"/>
          <w:szCs w:val="28"/>
        </w:rPr>
        <w:t>.</w:t>
      </w:r>
      <w:r w:rsidRPr="00264C71">
        <w:rPr>
          <w:sz w:val="28"/>
          <w:szCs w:val="28"/>
        </w:rPr>
        <w:t xml:space="preserve">gada </w:t>
      </w:r>
      <w:r w:rsidR="00485EC4">
        <w:rPr>
          <w:sz w:val="28"/>
          <w:szCs w:val="28"/>
        </w:rPr>
        <w:t>2</w:t>
      </w:r>
      <w:r w:rsidRPr="00264C71">
        <w:rPr>
          <w:sz w:val="28"/>
          <w:szCs w:val="28"/>
        </w:rPr>
        <w:t>.</w:t>
      </w:r>
      <w:r w:rsidR="00EF5A24">
        <w:rPr>
          <w:sz w:val="28"/>
          <w:szCs w:val="28"/>
        </w:rPr>
        <w:t>decembrī</w:t>
      </w:r>
      <w:r w:rsidRPr="00264C71">
        <w:rPr>
          <w:sz w:val="28"/>
          <w:szCs w:val="28"/>
        </w:rPr>
        <w:t xml:space="preserve"> </w:t>
      </w:r>
      <w:r w:rsidR="00271604" w:rsidRPr="00264C71">
        <w:rPr>
          <w:sz w:val="28"/>
          <w:szCs w:val="28"/>
        </w:rPr>
        <w:t>Briselē</w:t>
      </w:r>
      <w:r w:rsidRPr="00264C71">
        <w:rPr>
          <w:sz w:val="28"/>
          <w:szCs w:val="28"/>
        </w:rPr>
        <w:t xml:space="preserve"> notiks Eiropas Savienības (turpmāk – ES) Konkurētspējas ministru padomes sanāksme (turpmāk – </w:t>
      </w:r>
      <w:r w:rsidR="0013164E" w:rsidRPr="00264C71">
        <w:rPr>
          <w:sz w:val="28"/>
          <w:szCs w:val="28"/>
        </w:rPr>
        <w:t>s</w:t>
      </w:r>
      <w:r w:rsidRPr="00264C71">
        <w:rPr>
          <w:sz w:val="28"/>
          <w:szCs w:val="28"/>
        </w:rPr>
        <w:t>anāksme). Paredzams, ka sanāksmes gaitā tiks izskatīti šādi Ekonomikas ministrijas (</w:t>
      </w:r>
      <w:r w:rsidR="00E730E6" w:rsidRPr="00264C71">
        <w:rPr>
          <w:sz w:val="28"/>
          <w:szCs w:val="28"/>
        </w:rPr>
        <w:t xml:space="preserve">turpmāk - </w:t>
      </w:r>
      <w:r w:rsidR="00485EC4">
        <w:rPr>
          <w:sz w:val="28"/>
          <w:szCs w:val="28"/>
        </w:rPr>
        <w:t>EM),</w:t>
      </w:r>
      <w:r w:rsidR="004F1BA9" w:rsidRPr="00264C71">
        <w:rPr>
          <w:sz w:val="28"/>
          <w:szCs w:val="28"/>
        </w:rPr>
        <w:t xml:space="preserve"> </w:t>
      </w:r>
      <w:r w:rsidR="00485EC4">
        <w:rPr>
          <w:sz w:val="28"/>
          <w:szCs w:val="28"/>
        </w:rPr>
        <w:t>Finanšu ministrijas (turpmāk - FM), Tieslietu ministrijas (turpmāk - T</w:t>
      </w:r>
      <w:r w:rsidR="00485EC4" w:rsidRPr="00485EC4">
        <w:rPr>
          <w:sz w:val="28"/>
          <w:szCs w:val="28"/>
        </w:rPr>
        <w:t>M)</w:t>
      </w:r>
      <w:r w:rsidR="00485EC4">
        <w:rPr>
          <w:sz w:val="28"/>
          <w:szCs w:val="28"/>
        </w:rPr>
        <w:t xml:space="preserve">, Kultūras ministrijas (turpmāk - KM) un  </w:t>
      </w:r>
      <w:r w:rsidR="00B347A6" w:rsidRPr="00264C71">
        <w:rPr>
          <w:sz w:val="28"/>
          <w:szCs w:val="28"/>
        </w:rPr>
        <w:t>Aizsardzības ministrijas (turpmāk - A</w:t>
      </w:r>
      <w:r w:rsidR="003E6BBB" w:rsidRPr="00264C71">
        <w:rPr>
          <w:sz w:val="28"/>
          <w:szCs w:val="28"/>
        </w:rPr>
        <w:t>M)</w:t>
      </w:r>
      <w:r w:rsidR="005A7F37" w:rsidRPr="00264C71">
        <w:rPr>
          <w:sz w:val="28"/>
          <w:szCs w:val="28"/>
        </w:rPr>
        <w:t xml:space="preserve"> </w:t>
      </w:r>
      <w:r w:rsidRPr="00264C71">
        <w:rPr>
          <w:sz w:val="28"/>
          <w:szCs w:val="28"/>
        </w:rPr>
        <w:t>kompetencē esoši jautājumi:</w:t>
      </w:r>
    </w:p>
    <w:p w:rsidR="00BD6689" w:rsidRPr="00264C71" w:rsidRDefault="00BD6689" w:rsidP="004F0096">
      <w:pPr>
        <w:tabs>
          <w:tab w:val="left" w:pos="9288"/>
        </w:tabs>
        <w:ind w:firstLine="851"/>
        <w:jc w:val="both"/>
        <w:rPr>
          <w:sz w:val="28"/>
          <w:szCs w:val="28"/>
        </w:rPr>
      </w:pPr>
    </w:p>
    <w:p w:rsidR="00897AEF" w:rsidRPr="00264C71" w:rsidRDefault="00897AEF" w:rsidP="006031F7">
      <w:pPr>
        <w:pBdr>
          <w:bottom w:val="single" w:sz="4" w:space="1" w:color="auto"/>
        </w:pBdr>
        <w:tabs>
          <w:tab w:val="left" w:pos="1290"/>
        </w:tabs>
        <w:autoSpaceDE w:val="0"/>
        <w:autoSpaceDN w:val="0"/>
        <w:adjustRightInd w:val="0"/>
        <w:jc w:val="both"/>
        <w:rPr>
          <w:sz w:val="28"/>
          <w:szCs w:val="28"/>
          <w:highlight w:val="yellow"/>
        </w:rPr>
      </w:pPr>
      <w:r w:rsidRPr="00264C71">
        <w:rPr>
          <w:b/>
          <w:sz w:val="28"/>
          <w:szCs w:val="28"/>
        </w:rPr>
        <w:t>1.</w:t>
      </w:r>
      <w:r w:rsidR="00B03397" w:rsidRPr="00264C71">
        <w:rPr>
          <w:b/>
          <w:sz w:val="28"/>
          <w:szCs w:val="28"/>
        </w:rPr>
        <w:t>1.</w:t>
      </w:r>
      <w:r w:rsidRPr="00264C71">
        <w:rPr>
          <w:b/>
          <w:sz w:val="28"/>
          <w:szCs w:val="28"/>
        </w:rPr>
        <w:t xml:space="preserve"> </w:t>
      </w:r>
      <w:r w:rsidR="00AB05BE" w:rsidRPr="00AB05BE">
        <w:rPr>
          <w:b/>
          <w:sz w:val="28"/>
          <w:szCs w:val="28"/>
        </w:rPr>
        <w:t>Eiropas Parlamenta un Padomes Direktīva par elektronisko rēķinu ieviešan</w:t>
      </w:r>
      <w:r w:rsidR="00AB05BE">
        <w:rPr>
          <w:b/>
          <w:sz w:val="28"/>
          <w:szCs w:val="28"/>
        </w:rPr>
        <w:t xml:space="preserve">u publiskā iepirkuma procedūrās </w:t>
      </w:r>
      <w:r w:rsidR="00AB05BE" w:rsidRPr="00AB05BE">
        <w:rPr>
          <w:b/>
          <w:sz w:val="28"/>
          <w:szCs w:val="28"/>
        </w:rPr>
        <w:t>(pirmais lasījums)</w:t>
      </w:r>
      <w:r w:rsidR="00DE50F6" w:rsidRPr="00264C71">
        <w:rPr>
          <w:b/>
          <w:sz w:val="28"/>
          <w:szCs w:val="28"/>
        </w:rPr>
        <w:t xml:space="preserve"> </w:t>
      </w:r>
      <w:r w:rsidR="002D5915" w:rsidRPr="00264C71">
        <w:rPr>
          <w:i/>
          <w:sz w:val="28"/>
          <w:szCs w:val="28"/>
        </w:rPr>
        <w:t>(</w:t>
      </w:r>
      <w:r w:rsidR="00AB05BE">
        <w:rPr>
          <w:i/>
          <w:sz w:val="28"/>
          <w:szCs w:val="28"/>
        </w:rPr>
        <w:t>F</w:t>
      </w:r>
      <w:r w:rsidR="00DE50F6" w:rsidRPr="00264C71">
        <w:rPr>
          <w:i/>
          <w:sz w:val="28"/>
          <w:szCs w:val="28"/>
        </w:rPr>
        <w:t>M</w:t>
      </w:r>
      <w:r w:rsidR="004F0096" w:rsidRPr="00264C71">
        <w:rPr>
          <w:i/>
          <w:sz w:val="28"/>
          <w:szCs w:val="28"/>
        </w:rPr>
        <w:t xml:space="preserve"> kompetence</w:t>
      </w:r>
      <w:r w:rsidR="004A5B6D" w:rsidRPr="00264C71">
        <w:rPr>
          <w:i/>
          <w:sz w:val="28"/>
          <w:szCs w:val="28"/>
        </w:rPr>
        <w:t xml:space="preserve"> – sagatavota </w:t>
      </w:r>
      <w:r w:rsidR="00DE50F6" w:rsidRPr="00264C71">
        <w:rPr>
          <w:i/>
          <w:sz w:val="28"/>
          <w:szCs w:val="28"/>
        </w:rPr>
        <w:t>pozīcija</w:t>
      </w:r>
      <w:r w:rsidR="004F0096" w:rsidRPr="00264C71">
        <w:rPr>
          <w:i/>
          <w:sz w:val="28"/>
          <w:szCs w:val="28"/>
        </w:rPr>
        <w:t>)</w:t>
      </w:r>
    </w:p>
    <w:p w:rsidR="00E730E6" w:rsidRPr="00264C71" w:rsidRDefault="002D5915" w:rsidP="006031F7">
      <w:pPr>
        <w:tabs>
          <w:tab w:val="left" w:pos="284"/>
        </w:tabs>
        <w:jc w:val="both"/>
        <w:rPr>
          <w:i/>
          <w:sz w:val="28"/>
          <w:szCs w:val="28"/>
        </w:rPr>
      </w:pPr>
      <w:r w:rsidRPr="00264C71">
        <w:rPr>
          <w:i/>
          <w:sz w:val="28"/>
          <w:szCs w:val="28"/>
        </w:rPr>
        <w:t xml:space="preserve">- </w:t>
      </w:r>
      <w:r w:rsidR="00AB05BE">
        <w:rPr>
          <w:i/>
          <w:sz w:val="28"/>
          <w:szCs w:val="28"/>
        </w:rPr>
        <w:t>vispārēja pieeja</w:t>
      </w:r>
    </w:p>
    <w:p w:rsidR="00897AEF" w:rsidRPr="00264C71" w:rsidRDefault="00897AEF" w:rsidP="006031F7">
      <w:pPr>
        <w:tabs>
          <w:tab w:val="left" w:pos="284"/>
        </w:tabs>
        <w:ind w:firstLine="851"/>
        <w:jc w:val="both"/>
        <w:rPr>
          <w:sz w:val="28"/>
          <w:szCs w:val="28"/>
          <w:highlight w:val="yellow"/>
        </w:rPr>
      </w:pPr>
    </w:p>
    <w:p w:rsidR="00811DD9" w:rsidRPr="00811DD9" w:rsidRDefault="00811DD9" w:rsidP="00811DD9">
      <w:pPr>
        <w:ind w:firstLine="720"/>
        <w:jc w:val="both"/>
        <w:rPr>
          <w:sz w:val="28"/>
          <w:szCs w:val="26"/>
        </w:rPr>
      </w:pPr>
      <w:r w:rsidRPr="00811DD9">
        <w:rPr>
          <w:sz w:val="28"/>
          <w:szCs w:val="26"/>
        </w:rPr>
        <w:t xml:space="preserve">2013.gada 1.jūlijā </w:t>
      </w:r>
      <w:r w:rsidR="009D1C3F">
        <w:rPr>
          <w:sz w:val="28"/>
          <w:szCs w:val="26"/>
        </w:rPr>
        <w:t xml:space="preserve">Eiropas </w:t>
      </w:r>
      <w:r w:rsidRPr="00811DD9">
        <w:rPr>
          <w:sz w:val="28"/>
          <w:szCs w:val="26"/>
        </w:rPr>
        <w:t>Komisija</w:t>
      </w:r>
      <w:r w:rsidR="009D1C3F">
        <w:rPr>
          <w:sz w:val="28"/>
          <w:szCs w:val="26"/>
        </w:rPr>
        <w:t xml:space="preserve"> (turpmāk - EK)</w:t>
      </w:r>
      <w:r w:rsidRPr="00811DD9">
        <w:rPr>
          <w:sz w:val="28"/>
          <w:szCs w:val="26"/>
        </w:rPr>
        <w:t xml:space="preserve"> iesniedza Padomei un Eiropas Parlamentam</w:t>
      </w:r>
      <w:r w:rsidR="00F207AC">
        <w:rPr>
          <w:sz w:val="28"/>
          <w:szCs w:val="26"/>
        </w:rPr>
        <w:t xml:space="preserve"> (turpmāk - EP)</w:t>
      </w:r>
      <w:r w:rsidRPr="00811DD9">
        <w:rPr>
          <w:sz w:val="28"/>
          <w:szCs w:val="26"/>
        </w:rPr>
        <w:t xml:space="preserve"> priekšlikumu direktīvai par elektro</w:t>
      </w:r>
      <w:r>
        <w:rPr>
          <w:sz w:val="28"/>
          <w:szCs w:val="26"/>
        </w:rPr>
        <w:t>niskajiem rēķiniem (turpmāk – e</w:t>
      </w:r>
      <w:r w:rsidRPr="00811DD9">
        <w:rPr>
          <w:sz w:val="28"/>
          <w:szCs w:val="26"/>
        </w:rPr>
        <w:t>–rēķini) publiskajos iepirkumos, ar kuru tiek paredzēts vienādot e-rēķinu tehniskās prasības, pilnībā tās savietojot visās dalībvalstīs. Pilna savietojamība ietver spēju rēķinus savstarpēji savietot trīs dažādos līmeņos: rēķina saturu, kas satur zināmu daudzumu</w:t>
      </w:r>
      <w:r w:rsidR="00F207AC">
        <w:rPr>
          <w:sz w:val="28"/>
          <w:szCs w:val="26"/>
        </w:rPr>
        <w:t xml:space="preserve"> nepieciešamās informācijas, un</w:t>
      </w:r>
      <w:r w:rsidRPr="00811DD9">
        <w:rPr>
          <w:sz w:val="28"/>
          <w:szCs w:val="26"/>
        </w:rPr>
        <w:t xml:space="preserve"> saprotams nepārprotamā veidā (semantika), formātu vai lietoto valodu, kas nozīmē, ka datu elementi elektroniskajā rēķinā, ir jāsniedz tādā formātā, ar kuriem var apmainīties tieši starp pasūtītāju un saņēmēju, un apstrādāt automātiski (sintakse), un tās pārraides metode.</w:t>
      </w:r>
    </w:p>
    <w:p w:rsidR="00811DD9" w:rsidRDefault="00811DD9" w:rsidP="00811DD9">
      <w:pPr>
        <w:ind w:firstLine="720"/>
        <w:jc w:val="both"/>
        <w:rPr>
          <w:sz w:val="28"/>
          <w:szCs w:val="26"/>
        </w:rPr>
      </w:pPr>
      <w:r w:rsidRPr="00811DD9">
        <w:rPr>
          <w:sz w:val="28"/>
          <w:szCs w:val="26"/>
        </w:rPr>
        <w:t>Elektronisko rēķinu izmantošana radītu būtiskas priekšrocības attiecībā uz laika ietaupījumiem</w:t>
      </w:r>
      <w:r w:rsidR="00F207AC">
        <w:rPr>
          <w:sz w:val="28"/>
          <w:szCs w:val="26"/>
        </w:rPr>
        <w:t xml:space="preserve"> rēķinu apstrādē</w:t>
      </w:r>
      <w:r w:rsidRPr="00811DD9">
        <w:rPr>
          <w:sz w:val="28"/>
          <w:szCs w:val="26"/>
        </w:rPr>
        <w:t xml:space="preserve"> un administratīvā sloga samazināšanu. Pēc direktīvas pārņemšanas e-rēķini būtu jāpieņem pasūtītājiem vai sabiedrisko pakalpojumu sniedzējiem, kas ir subjekti atbilstoši direktīvām 2004/17/EC, 2004/18/EC (vai jaunajām direktīvām), 2009/81/EC, kā arī jaunās izstrādātās koncesiju direktīvas subjektiem.</w:t>
      </w:r>
    </w:p>
    <w:p w:rsidR="00811DD9" w:rsidRPr="00811DD9" w:rsidRDefault="00811DD9" w:rsidP="00811DD9">
      <w:pPr>
        <w:ind w:firstLine="720"/>
        <w:jc w:val="both"/>
        <w:rPr>
          <w:sz w:val="28"/>
          <w:szCs w:val="26"/>
        </w:rPr>
      </w:pPr>
      <w:r w:rsidRPr="00811DD9">
        <w:rPr>
          <w:sz w:val="28"/>
          <w:szCs w:val="26"/>
        </w:rPr>
        <w:t xml:space="preserve">Sanāksmes laikā ministri tiks lūgti apstiprināt vispārējo pieeju par elektroniskajiem rēķiniem publiskajā iepirkumā un dot Prezidentūrai mandātu uzsākt sarunas ar </w:t>
      </w:r>
      <w:r w:rsidR="00F207AC">
        <w:rPr>
          <w:sz w:val="28"/>
          <w:szCs w:val="26"/>
        </w:rPr>
        <w:t>EP</w:t>
      </w:r>
      <w:r w:rsidRPr="00811DD9">
        <w:rPr>
          <w:sz w:val="28"/>
          <w:szCs w:val="26"/>
        </w:rPr>
        <w:t xml:space="preserve"> nolūkā apst</w:t>
      </w:r>
      <w:r w:rsidR="00F207AC">
        <w:rPr>
          <w:sz w:val="28"/>
          <w:szCs w:val="26"/>
        </w:rPr>
        <w:t>iprināt direktīvas priekšlikumu</w:t>
      </w:r>
      <w:r w:rsidRPr="00811DD9">
        <w:rPr>
          <w:sz w:val="28"/>
          <w:szCs w:val="26"/>
        </w:rPr>
        <w:t xml:space="preserve"> pirmajā lasījumā.</w:t>
      </w:r>
    </w:p>
    <w:p w:rsidR="00811DD9" w:rsidRPr="00264C71" w:rsidRDefault="00811DD9" w:rsidP="00811DD9">
      <w:pPr>
        <w:ind w:firstLine="720"/>
        <w:jc w:val="both"/>
        <w:rPr>
          <w:sz w:val="28"/>
          <w:szCs w:val="26"/>
          <w:lang w:eastAsia="en-US"/>
        </w:rPr>
      </w:pPr>
    </w:p>
    <w:p w:rsidR="000E0775" w:rsidRPr="00264C71" w:rsidRDefault="000E0775" w:rsidP="000E0775">
      <w:pPr>
        <w:jc w:val="both"/>
        <w:rPr>
          <w:b/>
          <w:i/>
          <w:sz w:val="28"/>
          <w:szCs w:val="26"/>
          <w:u w:val="single"/>
          <w:lang w:eastAsia="en-US"/>
        </w:rPr>
      </w:pPr>
      <w:r w:rsidRPr="00264C71">
        <w:rPr>
          <w:b/>
          <w:i/>
          <w:sz w:val="28"/>
          <w:szCs w:val="26"/>
          <w:u w:val="single"/>
          <w:lang w:eastAsia="en-US"/>
        </w:rPr>
        <w:t>Latvijas pozīcija:</w:t>
      </w:r>
    </w:p>
    <w:p w:rsidR="00811DD9" w:rsidRPr="00811DD9" w:rsidRDefault="000E0775" w:rsidP="00811DD9">
      <w:pPr>
        <w:jc w:val="both"/>
        <w:rPr>
          <w:sz w:val="28"/>
          <w:szCs w:val="26"/>
        </w:rPr>
      </w:pPr>
      <w:r w:rsidRPr="00264C71">
        <w:rPr>
          <w:b/>
          <w:sz w:val="28"/>
          <w:szCs w:val="26"/>
        </w:rPr>
        <w:tab/>
      </w:r>
      <w:r w:rsidR="00811DD9" w:rsidRPr="00811DD9">
        <w:rPr>
          <w:b/>
          <w:sz w:val="28"/>
          <w:szCs w:val="26"/>
        </w:rPr>
        <w:t>Latvija kopumā atbalsta</w:t>
      </w:r>
      <w:r w:rsidR="00811DD9" w:rsidRPr="00811DD9">
        <w:rPr>
          <w:sz w:val="28"/>
          <w:szCs w:val="26"/>
        </w:rPr>
        <w:t xml:space="preserve"> </w:t>
      </w:r>
      <w:r w:rsidR="00F207AC">
        <w:rPr>
          <w:sz w:val="28"/>
          <w:szCs w:val="26"/>
        </w:rPr>
        <w:t>EK</w:t>
      </w:r>
      <w:r w:rsidR="00811DD9" w:rsidRPr="00811DD9">
        <w:rPr>
          <w:sz w:val="28"/>
          <w:szCs w:val="26"/>
        </w:rPr>
        <w:t xml:space="preserve"> priekšlikumu izstrādāt likumdošanas instrumentu, kas ļautu </w:t>
      </w:r>
      <w:r w:rsidR="00F207AC">
        <w:rPr>
          <w:sz w:val="28"/>
          <w:szCs w:val="26"/>
        </w:rPr>
        <w:t>ES</w:t>
      </w:r>
      <w:r w:rsidR="00811DD9" w:rsidRPr="00811DD9">
        <w:rPr>
          <w:sz w:val="28"/>
          <w:szCs w:val="26"/>
        </w:rPr>
        <w:t xml:space="preserve"> uzlabot iekšējā tirgus darbību, ieviešot mehānismus, </w:t>
      </w:r>
      <w:r w:rsidR="00811DD9" w:rsidRPr="00811DD9">
        <w:rPr>
          <w:sz w:val="28"/>
          <w:szCs w:val="26"/>
        </w:rPr>
        <w:lastRenderedPageBreak/>
        <w:t>kas mazinātu tirgus piekļuves šķēršļus pārrobežu publiskajā iepirkumā, ko rada nepietiekama sadarbība</w:t>
      </w:r>
      <w:r w:rsidR="00F207AC">
        <w:rPr>
          <w:sz w:val="28"/>
          <w:szCs w:val="26"/>
        </w:rPr>
        <w:t xml:space="preserve"> attiecībā uz</w:t>
      </w:r>
      <w:r w:rsidR="00811DD9" w:rsidRPr="00811DD9">
        <w:rPr>
          <w:sz w:val="28"/>
          <w:szCs w:val="26"/>
        </w:rPr>
        <w:t xml:space="preserve"> e-rēķinu tehniskajām prasībām vai standartiem.</w:t>
      </w:r>
    </w:p>
    <w:p w:rsidR="00811DD9" w:rsidRPr="00811DD9" w:rsidRDefault="00811DD9" w:rsidP="00811DD9">
      <w:pPr>
        <w:jc w:val="both"/>
        <w:rPr>
          <w:sz w:val="28"/>
          <w:szCs w:val="26"/>
        </w:rPr>
      </w:pPr>
      <w:r w:rsidRPr="00811DD9">
        <w:rPr>
          <w:sz w:val="28"/>
          <w:szCs w:val="26"/>
        </w:rPr>
        <w:tab/>
      </w:r>
      <w:r w:rsidRPr="00811DD9">
        <w:rPr>
          <w:b/>
          <w:sz w:val="28"/>
          <w:szCs w:val="26"/>
        </w:rPr>
        <w:t>Latvija atbalsta</w:t>
      </w:r>
      <w:r w:rsidRPr="00811DD9">
        <w:rPr>
          <w:sz w:val="28"/>
          <w:szCs w:val="26"/>
        </w:rPr>
        <w:t xml:space="preserve"> 24.un 25. oktobra Eiropadomes secinājumus, kas aicina ātru ES līmeņa e-rēķinu ieviešanu, līdz ar to aicinām prezidentūru pēc vienošanās panākšanas ar dalībvalstīm uzsākt trialogus pēc iespējas ātrāk</w:t>
      </w:r>
      <w:r w:rsidR="00F207AC">
        <w:rPr>
          <w:sz w:val="28"/>
          <w:szCs w:val="26"/>
        </w:rPr>
        <w:t>,</w:t>
      </w:r>
      <w:r w:rsidRPr="00811DD9">
        <w:rPr>
          <w:sz w:val="28"/>
          <w:szCs w:val="26"/>
        </w:rPr>
        <w:t xml:space="preserve"> </w:t>
      </w:r>
      <w:r w:rsidR="00F207AC">
        <w:rPr>
          <w:sz w:val="28"/>
          <w:szCs w:val="26"/>
        </w:rPr>
        <w:t>lai</w:t>
      </w:r>
      <w:r w:rsidRPr="00811DD9">
        <w:rPr>
          <w:sz w:val="28"/>
          <w:szCs w:val="26"/>
        </w:rPr>
        <w:t xml:space="preserve"> panākt</w:t>
      </w:r>
      <w:r w:rsidR="00F207AC">
        <w:rPr>
          <w:sz w:val="28"/>
          <w:szCs w:val="26"/>
        </w:rPr>
        <w:t>u</w:t>
      </w:r>
      <w:r w:rsidRPr="00811DD9">
        <w:rPr>
          <w:sz w:val="28"/>
          <w:szCs w:val="26"/>
        </w:rPr>
        <w:t xml:space="preserve"> vienoša</w:t>
      </w:r>
      <w:r w:rsidR="00C6196F">
        <w:rPr>
          <w:sz w:val="28"/>
          <w:szCs w:val="26"/>
        </w:rPr>
        <w:t>nos par direktīvu 1.lasījumā.</w:t>
      </w:r>
    </w:p>
    <w:p w:rsidR="00811DD9" w:rsidRPr="00811DD9" w:rsidRDefault="00811DD9" w:rsidP="00811DD9">
      <w:pPr>
        <w:jc w:val="both"/>
        <w:rPr>
          <w:sz w:val="28"/>
          <w:szCs w:val="26"/>
        </w:rPr>
      </w:pPr>
      <w:r w:rsidRPr="00811DD9">
        <w:rPr>
          <w:sz w:val="28"/>
          <w:szCs w:val="26"/>
        </w:rPr>
        <w:tab/>
      </w:r>
      <w:r w:rsidRPr="00811DD9">
        <w:rPr>
          <w:b/>
          <w:sz w:val="28"/>
          <w:szCs w:val="26"/>
        </w:rPr>
        <w:t>Papildus Latvija norāda</w:t>
      </w:r>
      <w:r w:rsidRPr="00811DD9">
        <w:rPr>
          <w:sz w:val="28"/>
          <w:szCs w:val="26"/>
        </w:rPr>
        <w:t>, ka šīs direktīvas ātrai ieviešanai svarīgi vienoties par kvalitatīviem e-rēķina standartiem.</w:t>
      </w:r>
    </w:p>
    <w:p w:rsidR="00811DD9" w:rsidRPr="00264C71" w:rsidRDefault="00811DD9" w:rsidP="00811DD9">
      <w:pPr>
        <w:jc w:val="both"/>
        <w:rPr>
          <w:sz w:val="28"/>
          <w:szCs w:val="26"/>
        </w:rPr>
      </w:pPr>
    </w:p>
    <w:p w:rsidR="00897AEF" w:rsidRPr="00264C71" w:rsidRDefault="00B03397" w:rsidP="00AB05BE">
      <w:pPr>
        <w:pBdr>
          <w:bottom w:val="single" w:sz="4" w:space="1" w:color="auto"/>
        </w:pBdr>
        <w:tabs>
          <w:tab w:val="left" w:pos="284"/>
        </w:tabs>
        <w:jc w:val="both"/>
        <w:rPr>
          <w:i/>
          <w:sz w:val="28"/>
          <w:szCs w:val="28"/>
          <w:u w:val="single"/>
        </w:rPr>
      </w:pPr>
      <w:r w:rsidRPr="00264C71">
        <w:rPr>
          <w:b/>
          <w:sz w:val="28"/>
          <w:szCs w:val="28"/>
        </w:rPr>
        <w:t>1.</w:t>
      </w:r>
      <w:r w:rsidR="00897AEF" w:rsidRPr="00264C71">
        <w:rPr>
          <w:b/>
          <w:sz w:val="28"/>
          <w:szCs w:val="28"/>
        </w:rPr>
        <w:t>2.</w:t>
      </w:r>
      <w:r w:rsidR="00AB05BE" w:rsidRPr="00AB05BE">
        <w:rPr>
          <w:b/>
          <w:sz w:val="28"/>
          <w:szCs w:val="28"/>
        </w:rPr>
        <w:t xml:space="preserve"> </w:t>
      </w:r>
      <w:r w:rsidR="00F207AC">
        <w:rPr>
          <w:b/>
          <w:sz w:val="28"/>
          <w:szCs w:val="28"/>
        </w:rPr>
        <w:t>EP</w:t>
      </w:r>
      <w:r w:rsidR="00AB05BE" w:rsidRPr="00AB05BE">
        <w:rPr>
          <w:b/>
          <w:sz w:val="28"/>
          <w:szCs w:val="28"/>
        </w:rPr>
        <w:t xml:space="preserve"> un Padomes Direktīva par atsevišķiem noteikumiem, kuri valstu tiesībās reglamentē zaudējumu atlīdzināšanas prasības par dalībvalstu un </w:t>
      </w:r>
      <w:r w:rsidR="00F207AC">
        <w:rPr>
          <w:b/>
          <w:sz w:val="28"/>
          <w:szCs w:val="28"/>
        </w:rPr>
        <w:t>ES</w:t>
      </w:r>
      <w:r w:rsidR="00AB05BE" w:rsidRPr="00AB05BE">
        <w:rPr>
          <w:b/>
          <w:sz w:val="28"/>
          <w:szCs w:val="28"/>
        </w:rPr>
        <w:t xml:space="preserve"> konkurences tiesību pārkāpumiem (pirmais lasījums)</w:t>
      </w:r>
      <w:r w:rsidR="00AB05BE">
        <w:rPr>
          <w:b/>
          <w:sz w:val="28"/>
          <w:szCs w:val="28"/>
        </w:rPr>
        <w:t xml:space="preserve"> </w:t>
      </w:r>
      <w:r w:rsidR="00AB05BE" w:rsidRPr="00264C71">
        <w:rPr>
          <w:i/>
          <w:sz w:val="28"/>
          <w:szCs w:val="28"/>
        </w:rPr>
        <w:t>(EM kompetence – sagatavota pozīcija)</w:t>
      </w:r>
    </w:p>
    <w:p w:rsidR="00DE50F6" w:rsidRPr="00264C71" w:rsidRDefault="00DE50F6" w:rsidP="00DE50F6">
      <w:pPr>
        <w:jc w:val="both"/>
        <w:rPr>
          <w:bCs/>
          <w:i/>
          <w:sz w:val="28"/>
        </w:rPr>
      </w:pPr>
      <w:r w:rsidRPr="00264C71">
        <w:rPr>
          <w:bCs/>
          <w:i/>
          <w:sz w:val="28"/>
        </w:rPr>
        <w:t>–</w:t>
      </w:r>
      <w:r w:rsidR="00AB05BE">
        <w:rPr>
          <w:bCs/>
          <w:i/>
          <w:sz w:val="28"/>
        </w:rPr>
        <w:t>vispārēja</w:t>
      </w:r>
      <w:r w:rsidRPr="00264C71">
        <w:rPr>
          <w:bCs/>
          <w:i/>
          <w:sz w:val="28"/>
        </w:rPr>
        <w:t xml:space="preserve"> </w:t>
      </w:r>
      <w:r w:rsidR="00AB05BE">
        <w:rPr>
          <w:bCs/>
          <w:i/>
          <w:sz w:val="28"/>
        </w:rPr>
        <w:t>pieeja</w:t>
      </w:r>
    </w:p>
    <w:p w:rsidR="00DE50F6" w:rsidRPr="00264C71" w:rsidRDefault="00DE50F6" w:rsidP="00DE50F6">
      <w:pPr>
        <w:jc w:val="both"/>
        <w:rPr>
          <w:bCs/>
          <w:sz w:val="28"/>
          <w:highlight w:val="yellow"/>
        </w:rPr>
      </w:pPr>
    </w:p>
    <w:p w:rsidR="00F0020B" w:rsidRDefault="005C2D2C" w:rsidP="00AB05BE">
      <w:pPr>
        <w:pStyle w:val="BodyText2"/>
        <w:jc w:val="both"/>
        <w:rPr>
          <w:bCs/>
          <w:sz w:val="28"/>
        </w:rPr>
      </w:pPr>
      <w:r w:rsidRPr="00264C71">
        <w:rPr>
          <w:bCs/>
          <w:sz w:val="28"/>
        </w:rPr>
        <w:tab/>
      </w:r>
      <w:r w:rsidR="00F0020B">
        <w:rPr>
          <w:bCs/>
          <w:sz w:val="28"/>
        </w:rPr>
        <w:t>Sanāksmē plānot</w:t>
      </w:r>
      <w:r w:rsidR="008C4101" w:rsidRPr="00F0020B">
        <w:rPr>
          <w:bCs/>
          <w:sz w:val="28"/>
        </w:rPr>
        <w:t>s</w:t>
      </w:r>
      <w:r w:rsidR="00F0020B">
        <w:rPr>
          <w:bCs/>
          <w:sz w:val="28"/>
        </w:rPr>
        <w:t xml:space="preserve"> pieņemt vispārējo pieeju par</w:t>
      </w:r>
      <w:r w:rsidR="00EC36F9">
        <w:rPr>
          <w:bCs/>
          <w:sz w:val="28"/>
        </w:rPr>
        <w:t xml:space="preserve"> </w:t>
      </w:r>
      <w:r w:rsidR="00F0020B">
        <w:rPr>
          <w:bCs/>
          <w:sz w:val="28"/>
        </w:rPr>
        <w:t>Direktīv</w:t>
      </w:r>
      <w:r w:rsidR="00F207AC">
        <w:rPr>
          <w:bCs/>
          <w:sz w:val="28"/>
        </w:rPr>
        <w:t>u</w:t>
      </w:r>
      <w:r w:rsidR="00F0020B" w:rsidRPr="00F0020B">
        <w:rPr>
          <w:bCs/>
          <w:sz w:val="28"/>
        </w:rPr>
        <w:t xml:space="preserve"> par atsevišķiem noteikumiem, kuri valstu tiesībās reglamentē zaudējumu atlīdzināšanas prasības par dalībvalstu un </w:t>
      </w:r>
      <w:r w:rsidR="00F207AC">
        <w:rPr>
          <w:bCs/>
          <w:sz w:val="28"/>
        </w:rPr>
        <w:t>ES</w:t>
      </w:r>
      <w:r w:rsidR="00F0020B" w:rsidRPr="00F0020B">
        <w:rPr>
          <w:bCs/>
          <w:sz w:val="28"/>
        </w:rPr>
        <w:t xml:space="preserve"> konkurences tiesību pārkāpumiem</w:t>
      </w:r>
      <w:r w:rsidR="00EC36F9">
        <w:rPr>
          <w:bCs/>
          <w:sz w:val="28"/>
        </w:rPr>
        <w:t xml:space="preserve"> (turpmāk - Priekšlikums)</w:t>
      </w:r>
      <w:r w:rsidR="00F0020B">
        <w:rPr>
          <w:bCs/>
          <w:sz w:val="28"/>
        </w:rPr>
        <w:t>.</w:t>
      </w:r>
    </w:p>
    <w:p w:rsidR="00F0020B" w:rsidRDefault="00F0020B" w:rsidP="00F0020B">
      <w:pPr>
        <w:pStyle w:val="BodyText2"/>
        <w:jc w:val="both"/>
        <w:rPr>
          <w:bCs/>
          <w:sz w:val="28"/>
        </w:rPr>
      </w:pPr>
      <w:r>
        <w:rPr>
          <w:bCs/>
          <w:sz w:val="28"/>
        </w:rPr>
        <w:tab/>
      </w:r>
      <w:r w:rsidRPr="00F0020B">
        <w:rPr>
          <w:bCs/>
          <w:sz w:val="28"/>
        </w:rPr>
        <w:t>Priekšlikuma mērķis ir nodrošināt ES konkurences notei</w:t>
      </w:r>
      <w:r w:rsidR="00995EC6">
        <w:rPr>
          <w:bCs/>
          <w:sz w:val="28"/>
        </w:rPr>
        <w:t xml:space="preserve">kumu efektīvu īstenošanu, proti, </w:t>
      </w:r>
      <w:r w:rsidRPr="00F0020B">
        <w:rPr>
          <w:bCs/>
          <w:sz w:val="28"/>
        </w:rPr>
        <w:t>panākt optimālāku mijiedarbību starp konkurences tiesību</w:t>
      </w:r>
      <w:r w:rsidR="00995EC6">
        <w:rPr>
          <w:bCs/>
          <w:sz w:val="28"/>
        </w:rPr>
        <w:t xml:space="preserve"> publisko un privāto īstenošanu</w:t>
      </w:r>
      <w:r w:rsidRPr="00F0020B">
        <w:rPr>
          <w:bCs/>
          <w:sz w:val="28"/>
        </w:rPr>
        <w:t xml:space="preserve"> un</w:t>
      </w:r>
      <w:r>
        <w:rPr>
          <w:bCs/>
          <w:sz w:val="28"/>
        </w:rPr>
        <w:t xml:space="preserve"> </w:t>
      </w:r>
      <w:r w:rsidR="00995EC6">
        <w:rPr>
          <w:bCs/>
          <w:sz w:val="28"/>
        </w:rPr>
        <w:t>nodrošinā</w:t>
      </w:r>
      <w:r w:rsidRPr="00F0020B">
        <w:rPr>
          <w:bCs/>
          <w:sz w:val="28"/>
        </w:rPr>
        <w:t>t, ka ES konkurences noteikumu pārkāpumu rezultātā cietušās personas var saņemt pilnu atlīdzību par tām nodarīto kaitējumu.</w:t>
      </w:r>
    </w:p>
    <w:p w:rsidR="00E847E3" w:rsidRDefault="00E847E3" w:rsidP="00F0020B">
      <w:pPr>
        <w:pStyle w:val="BodyText2"/>
        <w:jc w:val="both"/>
        <w:rPr>
          <w:bCs/>
          <w:sz w:val="28"/>
        </w:rPr>
      </w:pPr>
      <w:r>
        <w:rPr>
          <w:bCs/>
          <w:sz w:val="28"/>
        </w:rPr>
        <w:tab/>
        <w:t>Pēdējo reizi priekšlikums skatīts 2013.gada 22.novembrī</w:t>
      </w:r>
      <w:r w:rsidRPr="00E847E3">
        <w:rPr>
          <w:bCs/>
          <w:sz w:val="28"/>
        </w:rPr>
        <w:t xml:space="preserve"> COREPER I sanāksmē, kurā atsevišķi tika izskatīti Priekšlikuma strīdīgākie jautājumi – 6.pants (konkurences iestādes lietas materiālos esošu pierādījumu atklāšanas ierobežojumi), 9.pants (valstu nolēmumu spēks) un 11.pants (solidāra atbildība), kā arī citi jautājumi. Sanāksmē tika pausti viedokļi, ka Priekšlikums tiek virzīts pārāk strauji, tomēr tika nolemts doties uz COMPET Padomi lūgt vispārējo pieeju.</w:t>
      </w:r>
    </w:p>
    <w:p w:rsidR="00F0020B" w:rsidRDefault="00F0020B" w:rsidP="00AB05BE">
      <w:pPr>
        <w:pStyle w:val="BodyText2"/>
        <w:jc w:val="both"/>
        <w:rPr>
          <w:bCs/>
          <w:sz w:val="28"/>
        </w:rPr>
      </w:pPr>
    </w:p>
    <w:p w:rsidR="00F0020B" w:rsidRPr="00264C71" w:rsidRDefault="00F0020B" w:rsidP="00F0020B">
      <w:pPr>
        <w:jc w:val="both"/>
        <w:rPr>
          <w:b/>
          <w:i/>
          <w:sz w:val="28"/>
          <w:szCs w:val="26"/>
          <w:u w:val="single"/>
          <w:lang w:eastAsia="en-US"/>
        </w:rPr>
      </w:pPr>
      <w:r w:rsidRPr="00264C71">
        <w:rPr>
          <w:b/>
          <w:i/>
          <w:sz w:val="28"/>
          <w:szCs w:val="26"/>
          <w:u w:val="single"/>
          <w:lang w:eastAsia="en-US"/>
        </w:rPr>
        <w:t>Latvijas pozīcija:</w:t>
      </w:r>
    </w:p>
    <w:p w:rsidR="00F0020B" w:rsidRDefault="00F0020B" w:rsidP="00467EE3">
      <w:pPr>
        <w:jc w:val="both"/>
        <w:rPr>
          <w:sz w:val="28"/>
          <w:szCs w:val="26"/>
        </w:rPr>
      </w:pPr>
      <w:r w:rsidRPr="00264C71">
        <w:rPr>
          <w:b/>
          <w:sz w:val="28"/>
          <w:szCs w:val="26"/>
        </w:rPr>
        <w:tab/>
      </w:r>
      <w:r w:rsidR="00467EE3" w:rsidRPr="00467EE3">
        <w:rPr>
          <w:b/>
          <w:sz w:val="28"/>
          <w:szCs w:val="26"/>
        </w:rPr>
        <w:t>Latvija atbalst</w:t>
      </w:r>
      <w:r w:rsidR="00F207AC">
        <w:rPr>
          <w:b/>
          <w:sz w:val="28"/>
          <w:szCs w:val="26"/>
        </w:rPr>
        <w:t>a</w:t>
      </w:r>
      <w:r w:rsidR="00467EE3" w:rsidRPr="00467EE3">
        <w:rPr>
          <w:sz w:val="28"/>
          <w:szCs w:val="26"/>
        </w:rPr>
        <w:t xml:space="preserve"> Prezidentūras sagatavoto Direktīvas projekta kompromisa tekstu piedāvātajā redakcijā un tā iekļaušanu COMPET dienaskārtībā, apstiprinot vispārējo pieeju.</w:t>
      </w:r>
    </w:p>
    <w:p w:rsidR="001A45A3" w:rsidRDefault="00467EE3" w:rsidP="00E847E3">
      <w:pPr>
        <w:jc w:val="both"/>
        <w:rPr>
          <w:sz w:val="28"/>
          <w:szCs w:val="26"/>
        </w:rPr>
      </w:pPr>
      <w:r>
        <w:rPr>
          <w:sz w:val="28"/>
          <w:szCs w:val="26"/>
        </w:rPr>
        <w:tab/>
      </w:r>
      <w:r w:rsidR="00F207AC" w:rsidRPr="00F207AC">
        <w:rPr>
          <w:sz w:val="28"/>
          <w:szCs w:val="26"/>
        </w:rPr>
        <w:t>Tāpat</w:t>
      </w:r>
      <w:r w:rsidR="00F207AC" w:rsidRPr="00F207AC">
        <w:rPr>
          <w:b/>
          <w:sz w:val="28"/>
          <w:szCs w:val="26"/>
        </w:rPr>
        <w:t xml:space="preserve"> Latvija var būt elastīga</w:t>
      </w:r>
      <w:r w:rsidR="00F207AC" w:rsidRPr="00F207AC">
        <w:rPr>
          <w:sz w:val="28"/>
          <w:szCs w:val="26"/>
        </w:rPr>
        <w:t>, attiecībā uz Direktīvas juridisko pamatu, par kuru šobrīd ir diskusijas – izmantot LESD 103.pantu un 114.pantu vai tikai 103. pantu.</w:t>
      </w:r>
    </w:p>
    <w:p w:rsidR="00EC36F9" w:rsidRDefault="00EC36F9" w:rsidP="00467EE3">
      <w:pPr>
        <w:jc w:val="both"/>
        <w:rPr>
          <w:sz w:val="28"/>
          <w:szCs w:val="26"/>
        </w:rPr>
      </w:pPr>
      <w:r>
        <w:rPr>
          <w:sz w:val="28"/>
          <w:szCs w:val="26"/>
        </w:rPr>
        <w:tab/>
      </w:r>
    </w:p>
    <w:p w:rsidR="00AB05BE" w:rsidRPr="00264C71" w:rsidRDefault="002365AA" w:rsidP="00AB05BE">
      <w:pPr>
        <w:pBdr>
          <w:bottom w:val="single" w:sz="4" w:space="1" w:color="auto"/>
        </w:pBdr>
        <w:tabs>
          <w:tab w:val="left" w:pos="284"/>
        </w:tabs>
        <w:jc w:val="both"/>
        <w:rPr>
          <w:i/>
          <w:sz w:val="28"/>
          <w:szCs w:val="28"/>
          <w:u w:val="single"/>
        </w:rPr>
      </w:pPr>
      <w:r>
        <w:rPr>
          <w:b/>
          <w:sz w:val="28"/>
          <w:szCs w:val="28"/>
        </w:rPr>
        <w:lastRenderedPageBreak/>
        <w:t>1.3</w:t>
      </w:r>
      <w:r w:rsidR="00AB05BE" w:rsidRPr="00264C71">
        <w:rPr>
          <w:b/>
          <w:sz w:val="28"/>
          <w:szCs w:val="28"/>
        </w:rPr>
        <w:t>.</w:t>
      </w:r>
      <w:r w:rsidR="00AB05BE" w:rsidRPr="00AB05BE">
        <w:rPr>
          <w:b/>
          <w:sz w:val="28"/>
          <w:szCs w:val="28"/>
        </w:rPr>
        <w:t xml:space="preserve"> Eiropas preču zīmju sistēmas pārskatīšana (pirmais lasījums)</w:t>
      </w:r>
      <w:r w:rsidR="00AB05BE">
        <w:rPr>
          <w:b/>
          <w:sz w:val="28"/>
          <w:szCs w:val="28"/>
        </w:rPr>
        <w:t xml:space="preserve"> </w:t>
      </w:r>
      <w:r w:rsidR="00AB05BE">
        <w:rPr>
          <w:i/>
          <w:sz w:val="28"/>
          <w:szCs w:val="28"/>
        </w:rPr>
        <w:t>(TM kompetence</w:t>
      </w:r>
      <w:r w:rsidR="00AB05BE" w:rsidRPr="00264C71">
        <w:rPr>
          <w:i/>
          <w:sz w:val="28"/>
          <w:szCs w:val="28"/>
        </w:rPr>
        <w:t>)</w:t>
      </w:r>
      <w:r w:rsidR="00AB05BE">
        <w:rPr>
          <w:rStyle w:val="FootnoteReference"/>
          <w:i/>
          <w:sz w:val="28"/>
          <w:szCs w:val="28"/>
        </w:rPr>
        <w:footnoteReference w:id="1"/>
      </w:r>
    </w:p>
    <w:p w:rsidR="002365AA" w:rsidRDefault="002365AA" w:rsidP="002365AA">
      <w:pPr>
        <w:jc w:val="both"/>
        <w:rPr>
          <w:bCs/>
          <w:i/>
          <w:sz w:val="28"/>
        </w:rPr>
      </w:pPr>
      <w:r>
        <w:rPr>
          <w:bCs/>
          <w:i/>
          <w:sz w:val="28"/>
        </w:rPr>
        <w:t xml:space="preserve">a) </w:t>
      </w:r>
      <w:r w:rsidRPr="002365AA">
        <w:rPr>
          <w:bCs/>
          <w:i/>
          <w:sz w:val="28"/>
        </w:rPr>
        <w:t xml:space="preserve">Priekšlikums – </w:t>
      </w:r>
      <w:r w:rsidR="00F207AC">
        <w:rPr>
          <w:bCs/>
          <w:i/>
          <w:sz w:val="28"/>
        </w:rPr>
        <w:t>EP</w:t>
      </w:r>
      <w:r w:rsidRPr="002365AA">
        <w:rPr>
          <w:bCs/>
          <w:i/>
          <w:sz w:val="28"/>
        </w:rPr>
        <w:t xml:space="preserve"> un Padomes Direktīva, ar ko tuvina dalībvalstu tiesību aktus attiecībā uz preču zīmēm (pārstrādāta redakcija)</w:t>
      </w:r>
    </w:p>
    <w:p w:rsidR="002365AA" w:rsidRDefault="002365AA" w:rsidP="002365AA">
      <w:pPr>
        <w:jc w:val="both"/>
        <w:rPr>
          <w:bCs/>
          <w:i/>
          <w:sz w:val="28"/>
        </w:rPr>
      </w:pPr>
      <w:r>
        <w:rPr>
          <w:bCs/>
          <w:i/>
          <w:sz w:val="28"/>
        </w:rPr>
        <w:t xml:space="preserve">b) </w:t>
      </w:r>
      <w:r w:rsidRPr="002365AA">
        <w:rPr>
          <w:bCs/>
          <w:i/>
          <w:sz w:val="28"/>
        </w:rPr>
        <w:t xml:space="preserve">Priekšlikums – </w:t>
      </w:r>
      <w:r w:rsidR="00F207AC">
        <w:rPr>
          <w:bCs/>
          <w:i/>
          <w:sz w:val="28"/>
        </w:rPr>
        <w:t>EP</w:t>
      </w:r>
      <w:r w:rsidRPr="002365AA">
        <w:rPr>
          <w:bCs/>
          <w:i/>
          <w:sz w:val="28"/>
        </w:rPr>
        <w:t xml:space="preserve"> un Padomes Regula, ar ko groza Padomes Regulu (EK) Nr. 207/2009 par Kopienas preču zīmi</w:t>
      </w:r>
    </w:p>
    <w:p w:rsidR="00AB05BE" w:rsidRPr="00264C71" w:rsidRDefault="00AB05BE" w:rsidP="00AB05BE">
      <w:pPr>
        <w:jc w:val="both"/>
        <w:rPr>
          <w:bCs/>
          <w:i/>
          <w:sz w:val="28"/>
        </w:rPr>
      </w:pPr>
      <w:r w:rsidRPr="00264C71">
        <w:rPr>
          <w:bCs/>
          <w:i/>
          <w:sz w:val="28"/>
        </w:rPr>
        <w:t>–</w:t>
      </w:r>
      <w:r w:rsidR="002365AA">
        <w:rPr>
          <w:bCs/>
          <w:i/>
          <w:sz w:val="28"/>
        </w:rPr>
        <w:t>progresa ziņojums</w:t>
      </w:r>
    </w:p>
    <w:p w:rsidR="00AB05BE" w:rsidRPr="00264C71" w:rsidRDefault="00AB05BE" w:rsidP="00AB05BE">
      <w:pPr>
        <w:jc w:val="both"/>
        <w:rPr>
          <w:bCs/>
          <w:sz w:val="28"/>
          <w:highlight w:val="yellow"/>
        </w:rPr>
      </w:pPr>
    </w:p>
    <w:p w:rsidR="00C04858" w:rsidRPr="00C04858" w:rsidRDefault="00AB05BE" w:rsidP="00C04858">
      <w:pPr>
        <w:pStyle w:val="BodyText2"/>
        <w:jc w:val="both"/>
        <w:rPr>
          <w:bCs/>
          <w:sz w:val="28"/>
        </w:rPr>
      </w:pPr>
      <w:r w:rsidRPr="00264C71">
        <w:rPr>
          <w:bCs/>
          <w:sz w:val="28"/>
        </w:rPr>
        <w:tab/>
      </w:r>
      <w:r w:rsidR="00F207AC">
        <w:rPr>
          <w:bCs/>
          <w:sz w:val="28"/>
        </w:rPr>
        <w:t>EK</w:t>
      </w:r>
      <w:r w:rsidR="00C04858" w:rsidRPr="00C04858">
        <w:rPr>
          <w:bCs/>
          <w:sz w:val="28"/>
        </w:rPr>
        <w:t xml:space="preserve"> priekšlikuma </w:t>
      </w:r>
      <w:r w:rsidR="00F207AC">
        <w:rPr>
          <w:bCs/>
          <w:i/>
          <w:sz w:val="28"/>
        </w:rPr>
        <w:t>EP</w:t>
      </w:r>
      <w:r w:rsidR="00C04858" w:rsidRPr="00C04858">
        <w:rPr>
          <w:bCs/>
          <w:i/>
          <w:sz w:val="28"/>
        </w:rPr>
        <w:t xml:space="preserve"> un Padomes Direktīvai, ar ko tuvina dalībvalstu tiesību aktus attiecībā uz preču zīmēm</w:t>
      </w:r>
      <w:r w:rsidR="00C04858" w:rsidRPr="00C04858">
        <w:rPr>
          <w:bCs/>
          <w:sz w:val="28"/>
        </w:rPr>
        <w:t xml:space="preserve"> un </w:t>
      </w:r>
      <w:r w:rsidR="00F207AC">
        <w:rPr>
          <w:bCs/>
          <w:sz w:val="28"/>
        </w:rPr>
        <w:t>EK</w:t>
      </w:r>
      <w:r w:rsidR="00C04858" w:rsidRPr="00C04858">
        <w:rPr>
          <w:bCs/>
          <w:sz w:val="28"/>
        </w:rPr>
        <w:t xml:space="preserve"> priekšlikuma </w:t>
      </w:r>
      <w:r w:rsidR="00F207AC">
        <w:rPr>
          <w:bCs/>
          <w:i/>
          <w:sz w:val="28"/>
        </w:rPr>
        <w:t>EP</w:t>
      </w:r>
      <w:r w:rsidR="00C04858" w:rsidRPr="00C04858">
        <w:rPr>
          <w:bCs/>
          <w:i/>
          <w:sz w:val="28"/>
        </w:rPr>
        <w:t xml:space="preserve"> un Padomes Regulai, ar ko groza Padomes regulu (EK) Nr.207/2009 par Kopienas preču zīmi</w:t>
      </w:r>
      <w:r w:rsidR="00C04858" w:rsidRPr="00C04858">
        <w:rPr>
          <w:bCs/>
          <w:sz w:val="28"/>
        </w:rPr>
        <w:t xml:space="preserve"> mērķis ir veicināt inovāciju un ekonomikas izaugsmi, padarot preču zīmju reģistrācijas sistēmas uzņēmumiem pieejamākas un efektīvākas visā ES, risinot jautājumus par zemākām izmaksām un mazāku sarežģītību, procedūru tuvināšanu, precizēšanu un paātrināšanu, lielāku paredzamību un juridisko noteiktību.</w:t>
      </w:r>
    </w:p>
    <w:p w:rsidR="00AB05BE" w:rsidRDefault="00C04858" w:rsidP="00C04858">
      <w:pPr>
        <w:pStyle w:val="BodyText2"/>
        <w:jc w:val="both"/>
        <w:rPr>
          <w:bCs/>
          <w:sz w:val="28"/>
        </w:rPr>
      </w:pPr>
      <w:r>
        <w:rPr>
          <w:bCs/>
          <w:sz w:val="28"/>
        </w:rPr>
        <w:tab/>
      </w:r>
      <w:r w:rsidRPr="00C04858">
        <w:rPr>
          <w:bCs/>
          <w:sz w:val="28"/>
        </w:rPr>
        <w:t xml:space="preserve">Ar pašreizējo tiesisko regulējumu preču zīmju reģistrēšanas sistēmu īpatnības, procedūras detaļas un efektivitāte dažādās </w:t>
      </w:r>
      <w:r w:rsidR="00F207AC">
        <w:rPr>
          <w:bCs/>
          <w:sz w:val="28"/>
        </w:rPr>
        <w:t>ES</w:t>
      </w:r>
      <w:r w:rsidRPr="00C04858">
        <w:rPr>
          <w:bCs/>
          <w:sz w:val="28"/>
        </w:rPr>
        <w:t xml:space="preserve"> dalībvalstīs var atšķirties, tādējādi radot šķēršļus to pieejamībai un kvalitātei. Līdz ar direktīvas un regulas pieņemšanu paredzēts mazināt preču zīmju reģistrēšanas sistēmu sarežģītību, precizējot procedūras, uzlabojot juridisko noteiktību un paredzamību</w:t>
      </w:r>
      <w:r>
        <w:rPr>
          <w:bCs/>
          <w:sz w:val="28"/>
        </w:rPr>
        <w:t>,</w:t>
      </w:r>
      <w:r w:rsidRPr="00C04858">
        <w:rPr>
          <w:bCs/>
          <w:sz w:val="28"/>
        </w:rPr>
        <w:t xml:space="preserve"> tādējādi radot mūsdienīgu, konsekventu un visaptverošu mehānismu preču zīmju aizsardzībai.</w:t>
      </w:r>
    </w:p>
    <w:p w:rsidR="00C04858" w:rsidRDefault="00C04858" w:rsidP="00C04858">
      <w:pPr>
        <w:pStyle w:val="BodyText2"/>
        <w:jc w:val="both"/>
        <w:rPr>
          <w:bCs/>
          <w:sz w:val="28"/>
        </w:rPr>
      </w:pPr>
    </w:p>
    <w:p w:rsidR="00C04858" w:rsidRPr="00264C71" w:rsidRDefault="00C04858" w:rsidP="00C04858">
      <w:pPr>
        <w:jc w:val="both"/>
        <w:rPr>
          <w:b/>
          <w:i/>
          <w:sz w:val="28"/>
          <w:szCs w:val="26"/>
          <w:u w:val="single"/>
          <w:lang w:eastAsia="en-US"/>
        </w:rPr>
      </w:pPr>
      <w:r w:rsidRPr="00264C71">
        <w:rPr>
          <w:b/>
          <w:i/>
          <w:sz w:val="28"/>
          <w:szCs w:val="26"/>
          <w:u w:val="single"/>
          <w:lang w:eastAsia="en-US"/>
        </w:rPr>
        <w:t>Latvijas pozīcija:</w:t>
      </w:r>
      <w:r>
        <w:rPr>
          <w:rStyle w:val="FootnoteReference"/>
          <w:b/>
          <w:i/>
          <w:sz w:val="28"/>
          <w:szCs w:val="26"/>
          <w:u w:val="single"/>
          <w:lang w:eastAsia="en-US"/>
        </w:rPr>
        <w:footnoteReference w:id="2"/>
      </w:r>
    </w:p>
    <w:p w:rsidR="00C04858" w:rsidRPr="00C04858" w:rsidRDefault="00C04858" w:rsidP="00C04858">
      <w:pPr>
        <w:pStyle w:val="BodyText2"/>
        <w:jc w:val="both"/>
        <w:rPr>
          <w:bCs/>
          <w:iCs/>
          <w:sz w:val="28"/>
        </w:rPr>
      </w:pPr>
      <w:r>
        <w:rPr>
          <w:bCs/>
          <w:iCs/>
          <w:sz w:val="28"/>
        </w:rPr>
        <w:tab/>
      </w:r>
      <w:r w:rsidRPr="00C04858">
        <w:rPr>
          <w:b/>
          <w:bCs/>
          <w:iCs/>
          <w:sz w:val="28"/>
        </w:rPr>
        <w:t>Latvija uzskata</w:t>
      </w:r>
      <w:r w:rsidRPr="00C04858">
        <w:rPr>
          <w:bCs/>
          <w:iCs/>
          <w:sz w:val="28"/>
        </w:rPr>
        <w:t xml:space="preserve">, ka vienots, labāk saskaņots preču zīmju aizsardzības regulējums stiprinās preču zīmju tiesisko aizsardzību Eiropā. Vienlaikus Latvijas prioritāte reformas ietvaros ir saglabāt nacionālo preču zīmju konkurētspēju salīdzinājumā ar </w:t>
      </w:r>
      <w:r w:rsidR="00F207AC">
        <w:rPr>
          <w:bCs/>
          <w:iCs/>
          <w:sz w:val="28"/>
        </w:rPr>
        <w:t>ES</w:t>
      </w:r>
      <w:r w:rsidRPr="00C04858">
        <w:rPr>
          <w:bCs/>
          <w:iCs/>
          <w:sz w:val="28"/>
        </w:rPr>
        <w:t xml:space="preserve"> preču zīmi, nodrošinot to uzņēmumu interešu aizsardzību, kuriem nav nepieciešamības savas preču zīmes aizsargāt ES līmenī, bet kuri ir ieinteresēti nacionālā līmeņa aizsardzībā.</w:t>
      </w:r>
    </w:p>
    <w:p w:rsidR="00C04858" w:rsidRPr="00C04858" w:rsidRDefault="00C04858" w:rsidP="00C04858">
      <w:pPr>
        <w:pStyle w:val="BodyText2"/>
        <w:jc w:val="both"/>
        <w:rPr>
          <w:bCs/>
          <w:iCs/>
          <w:sz w:val="28"/>
        </w:rPr>
      </w:pPr>
      <w:r>
        <w:rPr>
          <w:bCs/>
          <w:iCs/>
          <w:sz w:val="28"/>
        </w:rPr>
        <w:tab/>
      </w:r>
      <w:r w:rsidRPr="00C04858">
        <w:rPr>
          <w:b/>
          <w:bCs/>
          <w:iCs/>
          <w:sz w:val="28"/>
        </w:rPr>
        <w:t>Latvija konceptuāli atbalsta</w:t>
      </w:r>
      <w:r w:rsidRPr="00C04858">
        <w:rPr>
          <w:bCs/>
          <w:iCs/>
          <w:sz w:val="28"/>
        </w:rPr>
        <w:t>, ka līdz ar direktīvas un regulas pieņemšanu:</w:t>
      </w:r>
    </w:p>
    <w:p w:rsidR="00C04858" w:rsidRPr="00C04858" w:rsidRDefault="00C04858" w:rsidP="00C04858">
      <w:pPr>
        <w:pStyle w:val="BodyText2"/>
        <w:numPr>
          <w:ilvl w:val="0"/>
          <w:numId w:val="16"/>
        </w:numPr>
        <w:ind w:left="284" w:hanging="294"/>
        <w:jc w:val="both"/>
        <w:rPr>
          <w:bCs/>
          <w:iCs/>
          <w:sz w:val="28"/>
        </w:rPr>
      </w:pPr>
      <w:r w:rsidRPr="00C04858">
        <w:rPr>
          <w:bCs/>
          <w:iCs/>
          <w:sz w:val="28"/>
        </w:rPr>
        <w:t>tiktu modernizēti un uzlaboti direktīvas spēkā esošie noteikumi, izdarot grozījumus novecojušajos noteikumos, palielinot juridisko noteiktību un izskaidrojot preču zīmju tiesības attiecībā uz to apjomu un ierobežojumiem;</w:t>
      </w:r>
    </w:p>
    <w:p w:rsidR="00C04858" w:rsidRPr="00C04858" w:rsidRDefault="00C04858" w:rsidP="00C04858">
      <w:pPr>
        <w:pStyle w:val="BodyText2"/>
        <w:numPr>
          <w:ilvl w:val="0"/>
          <w:numId w:val="16"/>
        </w:numPr>
        <w:ind w:left="284" w:hanging="294"/>
        <w:jc w:val="both"/>
        <w:rPr>
          <w:bCs/>
          <w:iCs/>
          <w:sz w:val="28"/>
        </w:rPr>
      </w:pPr>
      <w:r w:rsidRPr="00C04858">
        <w:rPr>
          <w:bCs/>
          <w:iCs/>
          <w:sz w:val="28"/>
        </w:rPr>
        <w:t>valstu preču zīmju tiesību aktu un procedūru lielākas tuvināšanas nolūkā tās tiktu padarītas saskanīgākas ar Kopienas preču zīmju sistēmu, pievienojot būtiskus papildu noteikumus, kā arī ieviešot svarīgus procesuālus noteikumus;</w:t>
      </w:r>
    </w:p>
    <w:p w:rsidR="00C04858" w:rsidRPr="00C04858" w:rsidRDefault="00C04858" w:rsidP="00C04858">
      <w:pPr>
        <w:pStyle w:val="BodyText2"/>
        <w:numPr>
          <w:ilvl w:val="0"/>
          <w:numId w:val="16"/>
        </w:numPr>
        <w:ind w:left="284" w:hanging="294"/>
        <w:jc w:val="both"/>
        <w:rPr>
          <w:bCs/>
          <w:iCs/>
          <w:sz w:val="28"/>
        </w:rPr>
      </w:pPr>
      <w:r w:rsidRPr="00C04858">
        <w:rPr>
          <w:bCs/>
          <w:iCs/>
          <w:sz w:val="28"/>
        </w:rPr>
        <w:lastRenderedPageBreak/>
        <w:t>tiktu sekmēta sadarbība starp dalībvalstu preču zīmju reģistrācijas  iestādēm un Iekšējā tirgus saskaņošanas biroju (ITSB), lai veicinātu prakses konverģenci un kopīgu instrumentu izstrādi, nosakot juridisko pamatu šādai sadarbībai;</w:t>
      </w:r>
    </w:p>
    <w:p w:rsidR="00C04858" w:rsidRPr="00C04858" w:rsidRDefault="00C04858" w:rsidP="00C04858">
      <w:pPr>
        <w:pStyle w:val="BodyText2"/>
        <w:numPr>
          <w:ilvl w:val="0"/>
          <w:numId w:val="16"/>
        </w:numPr>
        <w:ind w:left="284" w:hanging="294"/>
        <w:jc w:val="both"/>
        <w:rPr>
          <w:bCs/>
          <w:iCs/>
          <w:sz w:val="28"/>
        </w:rPr>
      </w:pPr>
      <w:r w:rsidRPr="00C04858">
        <w:rPr>
          <w:bCs/>
          <w:iCs/>
          <w:sz w:val="28"/>
        </w:rPr>
        <w:t>terminoloģija tiktu pielāgota Lisabonas līgumam;</w:t>
      </w:r>
    </w:p>
    <w:p w:rsidR="00C04858" w:rsidRDefault="00C04858" w:rsidP="00C04858">
      <w:pPr>
        <w:pStyle w:val="BodyText2"/>
        <w:numPr>
          <w:ilvl w:val="0"/>
          <w:numId w:val="16"/>
        </w:numPr>
        <w:ind w:left="284" w:hanging="294"/>
        <w:jc w:val="both"/>
        <w:rPr>
          <w:bCs/>
          <w:iCs/>
          <w:sz w:val="28"/>
        </w:rPr>
      </w:pPr>
      <w:r w:rsidRPr="00C04858">
        <w:rPr>
          <w:bCs/>
          <w:iCs/>
          <w:sz w:val="28"/>
        </w:rPr>
        <w:t>tiktu vienkāršotas Eiropas preču zīmju pieteikšanas un reģistrēšanas procedūras, ciktāl tas saskan ar centieniem saglabāt Savienības un valstu preču zīmju sistēmu līdzāspastāvēšanu un komplementaritāti visu lietotāju interesēs, ieskaitot mazo un vidējo uzņēmumu vajadzības.</w:t>
      </w:r>
    </w:p>
    <w:p w:rsidR="00287D76" w:rsidRDefault="00287D76" w:rsidP="00AB05BE">
      <w:pPr>
        <w:pStyle w:val="BodyText2"/>
        <w:jc w:val="both"/>
        <w:rPr>
          <w:bCs/>
          <w:iCs/>
          <w:sz w:val="28"/>
        </w:rPr>
      </w:pPr>
    </w:p>
    <w:p w:rsidR="002365AA" w:rsidRPr="00264C71" w:rsidRDefault="002365AA" w:rsidP="002365AA">
      <w:pPr>
        <w:pBdr>
          <w:bottom w:val="single" w:sz="4" w:space="1" w:color="auto"/>
        </w:pBdr>
        <w:tabs>
          <w:tab w:val="left" w:pos="284"/>
        </w:tabs>
        <w:jc w:val="both"/>
        <w:rPr>
          <w:i/>
          <w:sz w:val="28"/>
          <w:szCs w:val="28"/>
          <w:u w:val="single"/>
        </w:rPr>
      </w:pPr>
      <w:r w:rsidRPr="00264C71">
        <w:rPr>
          <w:b/>
          <w:sz w:val="28"/>
          <w:szCs w:val="28"/>
        </w:rPr>
        <w:t>1.</w:t>
      </w:r>
      <w:r>
        <w:rPr>
          <w:b/>
          <w:sz w:val="28"/>
          <w:szCs w:val="28"/>
        </w:rPr>
        <w:t>4</w:t>
      </w:r>
      <w:r w:rsidRPr="00264C71">
        <w:rPr>
          <w:b/>
          <w:sz w:val="28"/>
          <w:szCs w:val="28"/>
        </w:rPr>
        <w:t>.</w:t>
      </w:r>
      <w:r w:rsidRPr="00AB05BE">
        <w:rPr>
          <w:b/>
          <w:sz w:val="28"/>
          <w:szCs w:val="28"/>
        </w:rPr>
        <w:t xml:space="preserve"> </w:t>
      </w:r>
      <w:r w:rsidRPr="002365AA">
        <w:rPr>
          <w:b/>
          <w:sz w:val="28"/>
          <w:szCs w:val="28"/>
        </w:rPr>
        <w:t xml:space="preserve">Ieguldījums Eiropas </w:t>
      </w:r>
      <w:r w:rsidR="00A4226A">
        <w:rPr>
          <w:b/>
          <w:sz w:val="28"/>
          <w:szCs w:val="28"/>
        </w:rPr>
        <w:t>semestrī</w:t>
      </w:r>
      <w:r w:rsidRPr="002365AA">
        <w:rPr>
          <w:b/>
          <w:sz w:val="28"/>
          <w:szCs w:val="28"/>
        </w:rPr>
        <w:t xml:space="preserve"> un gaidāmajās Eiropadomes sanāksmēs</w:t>
      </w:r>
      <w:r>
        <w:rPr>
          <w:b/>
          <w:sz w:val="28"/>
          <w:szCs w:val="28"/>
        </w:rPr>
        <w:t xml:space="preserve"> </w:t>
      </w:r>
      <w:r w:rsidRPr="00264C71">
        <w:rPr>
          <w:i/>
          <w:sz w:val="28"/>
          <w:szCs w:val="28"/>
        </w:rPr>
        <w:t>(EM kompetence – sagatavota</w:t>
      </w:r>
      <w:r w:rsidR="004C5258">
        <w:rPr>
          <w:i/>
          <w:sz w:val="28"/>
          <w:szCs w:val="28"/>
        </w:rPr>
        <w:t>s trīs</w:t>
      </w:r>
      <w:r w:rsidRPr="00264C71">
        <w:rPr>
          <w:i/>
          <w:sz w:val="28"/>
          <w:szCs w:val="28"/>
        </w:rPr>
        <w:t xml:space="preserve"> pozīcija</w:t>
      </w:r>
      <w:r w:rsidR="004C5258">
        <w:rPr>
          <w:i/>
          <w:sz w:val="28"/>
          <w:szCs w:val="28"/>
        </w:rPr>
        <w:t>s</w:t>
      </w:r>
      <w:r w:rsidRPr="00264C71">
        <w:rPr>
          <w:i/>
          <w:sz w:val="28"/>
          <w:szCs w:val="28"/>
        </w:rPr>
        <w:t>)</w:t>
      </w:r>
    </w:p>
    <w:p w:rsidR="002365AA" w:rsidRDefault="002365AA" w:rsidP="002365AA">
      <w:pPr>
        <w:jc w:val="both"/>
        <w:rPr>
          <w:bCs/>
          <w:i/>
          <w:sz w:val="28"/>
        </w:rPr>
      </w:pPr>
      <w:r w:rsidRPr="00264C71">
        <w:rPr>
          <w:bCs/>
          <w:i/>
          <w:sz w:val="28"/>
        </w:rPr>
        <w:t>–</w:t>
      </w:r>
      <w:r>
        <w:rPr>
          <w:bCs/>
          <w:i/>
          <w:sz w:val="28"/>
        </w:rPr>
        <w:t>politikas</w:t>
      </w:r>
      <w:r w:rsidRPr="00264C71">
        <w:rPr>
          <w:bCs/>
          <w:i/>
          <w:sz w:val="28"/>
        </w:rPr>
        <w:t xml:space="preserve"> </w:t>
      </w:r>
      <w:r>
        <w:rPr>
          <w:bCs/>
          <w:i/>
          <w:sz w:val="28"/>
        </w:rPr>
        <w:t>debates</w:t>
      </w:r>
    </w:p>
    <w:p w:rsidR="00216286" w:rsidRDefault="00216286" w:rsidP="002365AA">
      <w:pPr>
        <w:jc w:val="both"/>
        <w:rPr>
          <w:bCs/>
          <w:i/>
          <w:sz w:val="28"/>
        </w:rPr>
      </w:pPr>
    </w:p>
    <w:p w:rsidR="003D70C6" w:rsidRDefault="003D70C6" w:rsidP="00F0020B">
      <w:pPr>
        <w:pStyle w:val="BodyText2"/>
        <w:jc w:val="both"/>
        <w:rPr>
          <w:bCs/>
          <w:sz w:val="28"/>
        </w:rPr>
      </w:pPr>
      <w:r>
        <w:rPr>
          <w:bCs/>
          <w:sz w:val="28"/>
        </w:rPr>
        <w:tab/>
        <w:t xml:space="preserve">Ar </w:t>
      </w:r>
      <w:r w:rsidR="00F207AC">
        <w:rPr>
          <w:bCs/>
          <w:sz w:val="28"/>
        </w:rPr>
        <w:t>EK</w:t>
      </w:r>
      <w:r>
        <w:rPr>
          <w:bCs/>
          <w:sz w:val="28"/>
        </w:rPr>
        <w:t xml:space="preserve"> 2013.gada 13.novembrī pieņemto Ikgadējo</w:t>
      </w:r>
      <w:r w:rsidRPr="003D70C6">
        <w:rPr>
          <w:bCs/>
          <w:sz w:val="28"/>
        </w:rPr>
        <w:t xml:space="preserve"> izaug</w:t>
      </w:r>
      <w:r>
        <w:rPr>
          <w:bCs/>
          <w:sz w:val="28"/>
        </w:rPr>
        <w:t>smes ziņojumu</w:t>
      </w:r>
      <w:r w:rsidRPr="003D70C6">
        <w:rPr>
          <w:bCs/>
          <w:sz w:val="28"/>
        </w:rPr>
        <w:t xml:space="preserve"> </w:t>
      </w:r>
      <w:r>
        <w:rPr>
          <w:bCs/>
          <w:sz w:val="28"/>
        </w:rPr>
        <w:t>par 2014. gadu tiek sākts 2014.</w:t>
      </w:r>
      <w:r w:rsidRPr="003D70C6">
        <w:rPr>
          <w:bCs/>
          <w:sz w:val="28"/>
        </w:rPr>
        <w:t>gada Eiropas ekonomi</w:t>
      </w:r>
      <w:r w:rsidR="00EF5A24">
        <w:rPr>
          <w:bCs/>
          <w:sz w:val="28"/>
        </w:rPr>
        <w:t>s</w:t>
      </w:r>
      <w:r w:rsidRPr="003D70C6">
        <w:rPr>
          <w:bCs/>
          <w:sz w:val="28"/>
        </w:rPr>
        <w:t>k</w:t>
      </w:r>
      <w:r w:rsidR="00EF5A24">
        <w:rPr>
          <w:bCs/>
          <w:sz w:val="28"/>
        </w:rPr>
        <w:t>ā</w:t>
      </w:r>
      <w:r w:rsidRPr="003D70C6">
        <w:rPr>
          <w:bCs/>
          <w:sz w:val="28"/>
        </w:rPr>
        <w:t xml:space="preserve">s politikas koordinēšanas </w:t>
      </w:r>
      <w:r w:rsidR="00EF5A24">
        <w:rPr>
          <w:bCs/>
          <w:sz w:val="28"/>
        </w:rPr>
        <w:t>cikls – Eiropas semestris</w:t>
      </w:r>
      <w:r w:rsidRPr="003D70C6">
        <w:rPr>
          <w:bCs/>
          <w:sz w:val="28"/>
        </w:rPr>
        <w:t>, ar kura palīdzību tiek nodrošināts, ka dalībvalstis savu budžeta un ekonomikas politiku saskaņo ar Stabilitātes un</w:t>
      </w:r>
      <w:r>
        <w:rPr>
          <w:bCs/>
          <w:sz w:val="28"/>
        </w:rPr>
        <w:t xml:space="preserve"> izaugsmes paktu un </w:t>
      </w:r>
      <w:r w:rsidRPr="003D70C6">
        <w:rPr>
          <w:bCs/>
          <w:sz w:val="28"/>
        </w:rPr>
        <w:t>E</w:t>
      </w:r>
      <w:r>
        <w:rPr>
          <w:bCs/>
          <w:sz w:val="28"/>
        </w:rPr>
        <w:t>iropa 2020</w:t>
      </w:r>
      <w:r w:rsidR="00EF5A24">
        <w:rPr>
          <w:bCs/>
          <w:sz w:val="28"/>
        </w:rPr>
        <w:t xml:space="preserve"> stratēģiju</w:t>
      </w:r>
      <w:r w:rsidRPr="003D70C6">
        <w:rPr>
          <w:bCs/>
          <w:sz w:val="28"/>
        </w:rPr>
        <w:t xml:space="preserve">. Prezidentvalsts Lietuva ir ierosinājusi trīs Padomes secinājumu kopumus, ko paredzēts pieņemt </w:t>
      </w:r>
      <w:r>
        <w:rPr>
          <w:bCs/>
          <w:sz w:val="28"/>
        </w:rPr>
        <w:t>2.decembra</w:t>
      </w:r>
      <w:r w:rsidRPr="003D70C6">
        <w:rPr>
          <w:bCs/>
          <w:sz w:val="28"/>
        </w:rPr>
        <w:t xml:space="preserve"> sanāksmē. Šajos secinājumu projektos izklāstīta</w:t>
      </w:r>
      <w:r w:rsidR="00F207AC">
        <w:rPr>
          <w:bCs/>
          <w:sz w:val="28"/>
        </w:rPr>
        <w:t xml:space="preserve"> Eiropas rūpniecības politika, V</w:t>
      </w:r>
      <w:r w:rsidRPr="003D70C6">
        <w:rPr>
          <w:bCs/>
          <w:sz w:val="28"/>
        </w:rPr>
        <w:t xml:space="preserve">ienotā tirgus politika un </w:t>
      </w:r>
      <w:r w:rsidR="00EF5A24">
        <w:rPr>
          <w:bCs/>
          <w:sz w:val="28"/>
        </w:rPr>
        <w:t>lietpratīgs</w:t>
      </w:r>
      <w:r w:rsidRPr="003D70C6">
        <w:rPr>
          <w:bCs/>
          <w:sz w:val="28"/>
        </w:rPr>
        <w:t xml:space="preserve"> regulējums.</w:t>
      </w:r>
    </w:p>
    <w:p w:rsidR="00A4226A" w:rsidRDefault="003D70C6" w:rsidP="00F0020B">
      <w:pPr>
        <w:pStyle w:val="BodyText2"/>
        <w:jc w:val="both"/>
        <w:rPr>
          <w:bCs/>
          <w:sz w:val="28"/>
        </w:rPr>
      </w:pPr>
      <w:r>
        <w:rPr>
          <w:bCs/>
          <w:sz w:val="28"/>
        </w:rPr>
        <w:tab/>
      </w:r>
      <w:r w:rsidRPr="003D70C6">
        <w:rPr>
          <w:bCs/>
          <w:sz w:val="28"/>
        </w:rPr>
        <w:t xml:space="preserve">Prezidentvalsts šajā </w:t>
      </w:r>
      <w:r>
        <w:rPr>
          <w:bCs/>
          <w:sz w:val="28"/>
        </w:rPr>
        <w:t>saistībā</w:t>
      </w:r>
      <w:r w:rsidRPr="003D70C6">
        <w:rPr>
          <w:bCs/>
          <w:sz w:val="28"/>
        </w:rPr>
        <w:t xml:space="preserve"> ierosina ministriem politikas debates kā ieguldījumu turpmākajās diskusijās par Eiropas </w:t>
      </w:r>
      <w:r w:rsidR="00EF5A24">
        <w:rPr>
          <w:bCs/>
          <w:sz w:val="28"/>
        </w:rPr>
        <w:t>semestri</w:t>
      </w:r>
      <w:r w:rsidRPr="003D70C6">
        <w:rPr>
          <w:bCs/>
          <w:sz w:val="28"/>
        </w:rPr>
        <w:t xml:space="preserve"> un gaidāma</w:t>
      </w:r>
      <w:r>
        <w:rPr>
          <w:bCs/>
          <w:sz w:val="28"/>
        </w:rPr>
        <w:t>jās Eiropadomes sanāksmēs 2013.gada decembrī un 2014.</w:t>
      </w:r>
      <w:r w:rsidRPr="003D70C6">
        <w:rPr>
          <w:bCs/>
          <w:sz w:val="28"/>
        </w:rPr>
        <w:t xml:space="preserve">gada februārī. Lai orientētu diskusijas, prezidentvalsts ierosina, ka ministriem būtu jākoncentrējas uz </w:t>
      </w:r>
      <w:r w:rsidRPr="003D70C6">
        <w:rPr>
          <w:b/>
          <w:bCs/>
          <w:sz w:val="28"/>
          <w:u w:val="single"/>
        </w:rPr>
        <w:t>šādiem jautājumiem</w:t>
      </w:r>
      <w:r w:rsidRPr="003D70C6">
        <w:rPr>
          <w:bCs/>
          <w:sz w:val="28"/>
        </w:rPr>
        <w:t>:</w:t>
      </w:r>
    </w:p>
    <w:p w:rsidR="009B5AB5" w:rsidRDefault="009B5AB5" w:rsidP="00F0020B">
      <w:pPr>
        <w:pStyle w:val="BodyText2"/>
        <w:jc w:val="both"/>
        <w:rPr>
          <w:bCs/>
          <w:sz w:val="28"/>
        </w:rPr>
      </w:pPr>
    </w:p>
    <w:p w:rsidR="00A4226A" w:rsidRPr="00E128DA" w:rsidRDefault="009B5AB5" w:rsidP="009B5AB5">
      <w:pPr>
        <w:pStyle w:val="BodyText2"/>
        <w:jc w:val="both"/>
        <w:rPr>
          <w:b/>
          <w:bCs/>
          <w:i/>
          <w:sz w:val="28"/>
        </w:rPr>
      </w:pPr>
      <w:r w:rsidRPr="003D70C6">
        <w:rPr>
          <w:b/>
          <w:bCs/>
          <w:i/>
          <w:sz w:val="28"/>
        </w:rPr>
        <w:t>a)</w:t>
      </w:r>
      <w:r w:rsidR="003D70C6" w:rsidRPr="003D70C6">
        <w:rPr>
          <w:b/>
          <w:bCs/>
          <w:i/>
          <w:sz w:val="28"/>
        </w:rPr>
        <w:t xml:space="preserve"> Kādas varētu būt Konkurētspējas padomes pārziņā esošas ekonomikas politikas ciešākas koordinācijas jomas, tostarp saistībā ar strukturālo reformu progresa uzraudzību, ar nozīmīgāko pozitīvo ietekmi uz konkurētspēju?</w:t>
      </w:r>
    </w:p>
    <w:p w:rsidR="00A4226A" w:rsidRPr="003D70C6" w:rsidRDefault="00A4226A" w:rsidP="00A4226A">
      <w:pPr>
        <w:spacing w:before="120" w:after="120"/>
        <w:jc w:val="both"/>
        <w:rPr>
          <w:rFonts w:eastAsia="Calibri"/>
          <w:b/>
          <w:sz w:val="28"/>
          <w:szCs w:val="28"/>
          <w:u w:val="single"/>
          <w:lang w:eastAsia="en-US"/>
        </w:rPr>
      </w:pPr>
      <w:r w:rsidRPr="003D70C6">
        <w:rPr>
          <w:rFonts w:eastAsia="Calibri"/>
          <w:b/>
          <w:sz w:val="28"/>
          <w:szCs w:val="28"/>
          <w:u w:val="single"/>
          <w:lang w:eastAsia="en-US"/>
        </w:rPr>
        <w:t>Latvijas nostāja:</w:t>
      </w:r>
    </w:p>
    <w:p w:rsidR="003D70C6" w:rsidRDefault="003D70C6" w:rsidP="009B5AB5">
      <w:pPr>
        <w:pStyle w:val="BodyText2"/>
        <w:jc w:val="both"/>
        <w:rPr>
          <w:bCs/>
          <w:sz w:val="28"/>
        </w:rPr>
      </w:pPr>
      <w:r>
        <w:rPr>
          <w:bCs/>
          <w:sz w:val="28"/>
        </w:rPr>
        <w:tab/>
      </w:r>
      <w:r w:rsidRPr="003D70C6">
        <w:rPr>
          <w:b/>
          <w:bCs/>
          <w:sz w:val="28"/>
        </w:rPr>
        <w:t>Latvija saredz paralēles</w:t>
      </w:r>
      <w:r>
        <w:rPr>
          <w:bCs/>
          <w:sz w:val="28"/>
        </w:rPr>
        <w:t xml:space="preserve"> šajā jautājumā ar stiprinātās Ekonomiskās un monetārās savienības ietvaros ierosināto </w:t>
      </w:r>
      <w:r w:rsidRPr="003D70C6">
        <w:rPr>
          <w:bCs/>
          <w:i/>
          <w:sz w:val="28"/>
        </w:rPr>
        <w:t>ex ante</w:t>
      </w:r>
      <w:r>
        <w:rPr>
          <w:bCs/>
          <w:sz w:val="28"/>
        </w:rPr>
        <w:t xml:space="preserve"> politikas koordinācijas jautājumu. </w:t>
      </w:r>
      <w:r w:rsidRPr="003D70C6">
        <w:rPr>
          <w:b/>
          <w:bCs/>
          <w:sz w:val="28"/>
        </w:rPr>
        <w:t>Latvija uzskata</w:t>
      </w:r>
      <w:r>
        <w:rPr>
          <w:bCs/>
          <w:sz w:val="28"/>
        </w:rPr>
        <w:t xml:space="preserve">, ka ciešāka ekonomisko politiku koordinācija pieprasa stingru līdzsvaru starp integrāciju un solidaritāti ES līmenī, kā arī labu pārvaldību un atbildību </w:t>
      </w:r>
      <w:r w:rsidRPr="003D70C6">
        <w:rPr>
          <w:bCs/>
          <w:i/>
          <w:sz w:val="28"/>
        </w:rPr>
        <w:t>(ownership)</w:t>
      </w:r>
      <w:r>
        <w:rPr>
          <w:bCs/>
          <w:sz w:val="28"/>
        </w:rPr>
        <w:t xml:space="preserve"> nacionālajā līmenī. Lai noteiktu ciešākai koordinācijai piemērotās politikas jomas, nepieciešams saprast un atšķirt tās politikas jomas, kurām ir pēc iespējas lielāka starpvalstu ietekme </w:t>
      </w:r>
      <w:r w:rsidRPr="003D70C6">
        <w:rPr>
          <w:bCs/>
          <w:i/>
          <w:sz w:val="28"/>
        </w:rPr>
        <w:t>(spill</w:t>
      </w:r>
      <w:r>
        <w:rPr>
          <w:bCs/>
          <w:i/>
          <w:sz w:val="28"/>
        </w:rPr>
        <w:t xml:space="preserve"> </w:t>
      </w:r>
      <w:r w:rsidRPr="003D70C6">
        <w:rPr>
          <w:bCs/>
          <w:i/>
          <w:sz w:val="28"/>
        </w:rPr>
        <w:t>over effect)</w:t>
      </w:r>
      <w:r>
        <w:rPr>
          <w:bCs/>
          <w:sz w:val="28"/>
        </w:rPr>
        <w:t xml:space="preserve">. </w:t>
      </w:r>
      <w:r w:rsidRPr="003D70C6">
        <w:rPr>
          <w:b/>
          <w:bCs/>
          <w:sz w:val="28"/>
        </w:rPr>
        <w:t>Latvijas skatījumā</w:t>
      </w:r>
      <w:r>
        <w:rPr>
          <w:bCs/>
          <w:sz w:val="28"/>
        </w:rPr>
        <w:t xml:space="preserve"> </w:t>
      </w:r>
      <w:r w:rsidR="00ED5E87">
        <w:rPr>
          <w:bCs/>
          <w:sz w:val="28"/>
        </w:rPr>
        <w:t xml:space="preserve">Konkurētspējas padomes ietvaros skatītajām </w:t>
      </w:r>
      <w:r>
        <w:rPr>
          <w:bCs/>
          <w:sz w:val="28"/>
        </w:rPr>
        <w:t>politikām, kas saistītas ar Vienoto tirgu un Pakalpojumu direktīvu</w:t>
      </w:r>
      <w:r w:rsidR="00ED5E87">
        <w:rPr>
          <w:bCs/>
          <w:sz w:val="28"/>
        </w:rPr>
        <w:t>,</w:t>
      </w:r>
      <w:r>
        <w:rPr>
          <w:bCs/>
          <w:sz w:val="28"/>
        </w:rPr>
        <w:t xml:space="preserve"> </w:t>
      </w:r>
      <w:r>
        <w:rPr>
          <w:bCs/>
          <w:sz w:val="28"/>
        </w:rPr>
        <w:lastRenderedPageBreak/>
        <w:t>ir liela ietekme uz visām dalībvalstīm</w:t>
      </w:r>
      <w:r w:rsidR="00ED5E87">
        <w:rPr>
          <w:bCs/>
          <w:sz w:val="28"/>
        </w:rPr>
        <w:t>, kā arī</w:t>
      </w:r>
      <w:r>
        <w:rPr>
          <w:bCs/>
          <w:sz w:val="28"/>
        </w:rPr>
        <w:t xml:space="preserve"> </w:t>
      </w:r>
      <w:r w:rsidR="00ED5E87">
        <w:rPr>
          <w:bCs/>
          <w:sz w:val="28"/>
        </w:rPr>
        <w:t xml:space="preserve">ir liels </w:t>
      </w:r>
      <w:r>
        <w:rPr>
          <w:bCs/>
          <w:sz w:val="28"/>
        </w:rPr>
        <w:t>ie</w:t>
      </w:r>
      <w:r w:rsidR="00ED5E87">
        <w:rPr>
          <w:bCs/>
          <w:sz w:val="28"/>
        </w:rPr>
        <w:t>spaids uz</w:t>
      </w:r>
      <w:r>
        <w:rPr>
          <w:bCs/>
          <w:sz w:val="28"/>
        </w:rPr>
        <w:t xml:space="preserve"> konkurētspēju</w:t>
      </w:r>
      <w:r w:rsidR="00ED5E87">
        <w:rPr>
          <w:bCs/>
          <w:sz w:val="28"/>
        </w:rPr>
        <w:t>, līdz ar to tās būtu atbilstošas ciešākai koordinācijai.</w:t>
      </w:r>
    </w:p>
    <w:p w:rsidR="003D70C6" w:rsidRDefault="003D70C6" w:rsidP="009B5AB5">
      <w:pPr>
        <w:pStyle w:val="BodyText2"/>
        <w:jc w:val="both"/>
        <w:rPr>
          <w:bCs/>
          <w:sz w:val="28"/>
        </w:rPr>
      </w:pPr>
    </w:p>
    <w:p w:rsidR="009B5AB5" w:rsidRDefault="009B5AB5" w:rsidP="009B5AB5">
      <w:pPr>
        <w:pStyle w:val="BodyText2"/>
        <w:jc w:val="both"/>
        <w:rPr>
          <w:bCs/>
          <w:sz w:val="28"/>
        </w:rPr>
      </w:pPr>
    </w:p>
    <w:p w:rsidR="009B5AB5" w:rsidRPr="003D70C6" w:rsidRDefault="00362AD7" w:rsidP="009B5AB5">
      <w:pPr>
        <w:pStyle w:val="BodyText2"/>
        <w:jc w:val="both"/>
        <w:rPr>
          <w:b/>
          <w:bCs/>
          <w:i/>
          <w:sz w:val="28"/>
        </w:rPr>
      </w:pPr>
      <w:r w:rsidRPr="003D70C6">
        <w:rPr>
          <w:b/>
          <w:bCs/>
          <w:i/>
          <w:sz w:val="28"/>
        </w:rPr>
        <w:t xml:space="preserve">b) </w:t>
      </w:r>
      <w:r w:rsidR="003D70C6" w:rsidRPr="003D70C6">
        <w:rPr>
          <w:b/>
          <w:bCs/>
          <w:i/>
          <w:sz w:val="28"/>
        </w:rPr>
        <w:t>Pamatojoties uz līdzšinējām sarunām par Padomes secinājumiem un diskusijām ar ieinteresētajām personām, kādi ir trīs galvenie vēstījumi, ko Konkurētspējas padome varētu nosūtīt 2014. gada februārī paredzētajai Eiropadomei, lai veicinātu rūpniecības konkurētspēju Eiropā?</w:t>
      </w:r>
    </w:p>
    <w:p w:rsidR="00A4226A" w:rsidRPr="003D70C6" w:rsidRDefault="00A4226A" w:rsidP="00A4226A">
      <w:pPr>
        <w:spacing w:before="120" w:after="120"/>
        <w:jc w:val="both"/>
        <w:rPr>
          <w:rFonts w:eastAsia="Calibri"/>
          <w:b/>
          <w:sz w:val="28"/>
          <w:szCs w:val="28"/>
          <w:u w:val="single"/>
          <w:lang w:eastAsia="en-US"/>
        </w:rPr>
      </w:pPr>
      <w:r w:rsidRPr="003D70C6">
        <w:rPr>
          <w:rFonts w:eastAsia="Calibri"/>
          <w:b/>
          <w:sz w:val="28"/>
          <w:szCs w:val="28"/>
          <w:u w:val="single"/>
          <w:lang w:eastAsia="en-US"/>
        </w:rPr>
        <w:t>Latvijas nostāja:</w:t>
      </w:r>
    </w:p>
    <w:p w:rsidR="009B5AB5" w:rsidRPr="009B5AB5" w:rsidRDefault="00897C3C" w:rsidP="009B5AB5">
      <w:pPr>
        <w:pStyle w:val="BodyText2"/>
        <w:jc w:val="both"/>
        <w:rPr>
          <w:bCs/>
          <w:sz w:val="28"/>
        </w:rPr>
      </w:pPr>
      <w:r>
        <w:rPr>
          <w:b/>
          <w:bCs/>
          <w:sz w:val="28"/>
        </w:rPr>
        <w:tab/>
      </w:r>
      <w:r w:rsidRPr="00897C3C">
        <w:rPr>
          <w:b/>
          <w:bCs/>
          <w:sz w:val="28"/>
        </w:rPr>
        <w:t>Latvija uzskata</w:t>
      </w:r>
      <w:r>
        <w:rPr>
          <w:bCs/>
          <w:sz w:val="28"/>
        </w:rPr>
        <w:t>, ka Konkurētspējas p</w:t>
      </w:r>
      <w:r w:rsidR="009B5AB5" w:rsidRPr="009B5AB5">
        <w:rPr>
          <w:bCs/>
          <w:sz w:val="28"/>
        </w:rPr>
        <w:t>adome ir institūcija, kurai jāuzņemas vadošā loma ES rūpniecības politikas veidošanā un tās lēmumiem ir jāatspoguļojas Eiropadomē, lai nodrošinātu izvirzīto rūpniecības prioritāšu un politikas virzienu saskaņotību un ilgtspēju visā ES.</w:t>
      </w:r>
    </w:p>
    <w:p w:rsidR="009B5AB5" w:rsidRPr="009B5AB5" w:rsidRDefault="009B5AB5" w:rsidP="009B5AB5">
      <w:pPr>
        <w:pStyle w:val="BodyText2"/>
        <w:jc w:val="both"/>
        <w:rPr>
          <w:bCs/>
          <w:sz w:val="28"/>
        </w:rPr>
      </w:pPr>
      <w:r w:rsidRPr="009B5AB5">
        <w:rPr>
          <w:bCs/>
          <w:sz w:val="28"/>
        </w:rPr>
        <w:t xml:space="preserve"> </w:t>
      </w:r>
      <w:r w:rsidR="00897C3C">
        <w:rPr>
          <w:bCs/>
          <w:sz w:val="28"/>
        </w:rPr>
        <w:tab/>
      </w:r>
      <w:r w:rsidRPr="00897C3C">
        <w:rPr>
          <w:b/>
          <w:bCs/>
          <w:sz w:val="28"/>
        </w:rPr>
        <w:t>Latvijas rekomendācijas</w:t>
      </w:r>
      <w:r w:rsidRPr="009B5AB5">
        <w:rPr>
          <w:bCs/>
          <w:sz w:val="28"/>
        </w:rPr>
        <w:t xml:space="preserve"> </w:t>
      </w:r>
      <w:r w:rsidR="00F8565C">
        <w:rPr>
          <w:bCs/>
          <w:sz w:val="28"/>
        </w:rPr>
        <w:t xml:space="preserve">rūpniecības konkurētspējas veicināšanai Eiropā </w:t>
      </w:r>
      <w:r w:rsidRPr="009B5AB5">
        <w:rPr>
          <w:bCs/>
          <w:sz w:val="28"/>
        </w:rPr>
        <w:t>ir:</w:t>
      </w:r>
    </w:p>
    <w:p w:rsidR="009B5AB5" w:rsidRPr="009B5AB5" w:rsidRDefault="009B5AB5" w:rsidP="00897C3C">
      <w:pPr>
        <w:pStyle w:val="BodyText2"/>
        <w:numPr>
          <w:ilvl w:val="0"/>
          <w:numId w:val="18"/>
        </w:numPr>
        <w:jc w:val="both"/>
        <w:rPr>
          <w:bCs/>
          <w:sz w:val="28"/>
        </w:rPr>
      </w:pPr>
      <w:r w:rsidRPr="009B5AB5">
        <w:rPr>
          <w:bCs/>
          <w:sz w:val="28"/>
        </w:rPr>
        <w:t>ES rūpniecības politika un izaicinājumi ES rūpniecības konkurētspējas paaugstināšanai ir jāņem vērā dažādos formātos ES un nacionālā līmenī notiekošajās un plānotajās citu nozaru politiku vai likumdošanas iniciatīvu diskusijās.</w:t>
      </w:r>
    </w:p>
    <w:p w:rsidR="009B5AB5" w:rsidRPr="009B5AB5" w:rsidRDefault="009B5AB5" w:rsidP="00897C3C">
      <w:pPr>
        <w:pStyle w:val="BodyText2"/>
        <w:numPr>
          <w:ilvl w:val="0"/>
          <w:numId w:val="18"/>
        </w:numPr>
        <w:jc w:val="both"/>
        <w:rPr>
          <w:bCs/>
          <w:sz w:val="28"/>
        </w:rPr>
      </w:pPr>
      <w:r w:rsidRPr="009B5AB5">
        <w:rPr>
          <w:bCs/>
          <w:sz w:val="28"/>
        </w:rPr>
        <w:t>Svarīga Vienotā tirgus tālāka integrācija, tostarp novēršot atlikušos šķēršļus patiesa ES enerģijas tirgus izveidei un atvēršanai.</w:t>
      </w:r>
    </w:p>
    <w:p w:rsidR="009B5AB5" w:rsidRPr="009B5AB5" w:rsidRDefault="009B5AB5" w:rsidP="00897C3C">
      <w:pPr>
        <w:pStyle w:val="BodyText2"/>
        <w:numPr>
          <w:ilvl w:val="0"/>
          <w:numId w:val="18"/>
        </w:numPr>
        <w:jc w:val="both"/>
        <w:rPr>
          <w:bCs/>
          <w:sz w:val="28"/>
        </w:rPr>
      </w:pPr>
      <w:r w:rsidRPr="009B5AB5">
        <w:rPr>
          <w:bCs/>
          <w:sz w:val="28"/>
        </w:rPr>
        <w:t>Jāvērtē visas iespējas samazināt energoresursu izmaksas, kā arī uzlabot izejvielu pieejamību rūpniecībai, tai skaitā – jāpaplašina energoresursu piegādes avoti, kā arī jāapgūst alternatīvo energoresursu avoti un inovatīvu energoresursu pieejamības risinājumi.</w:t>
      </w:r>
    </w:p>
    <w:p w:rsidR="009B5AB5" w:rsidRDefault="009B5AB5" w:rsidP="00897C3C">
      <w:pPr>
        <w:pStyle w:val="BodyText2"/>
        <w:numPr>
          <w:ilvl w:val="0"/>
          <w:numId w:val="18"/>
        </w:numPr>
        <w:jc w:val="both"/>
        <w:rPr>
          <w:bCs/>
          <w:sz w:val="28"/>
        </w:rPr>
      </w:pPr>
      <w:r w:rsidRPr="009B5AB5">
        <w:rPr>
          <w:bCs/>
          <w:sz w:val="28"/>
        </w:rPr>
        <w:t xml:space="preserve">Jāturpina darbs ES ārējās tirdzniecības dimensijas jomā, lai sekmētu ES uzņēmumu starptautisko konkurētspēju un darbību ārējos tirgos. Jāveicina ātrāka vienošanās ar tām trešajām valstīm, ar kurām ir uzsāktas </w:t>
      </w:r>
      <w:r w:rsidR="00F207AC">
        <w:rPr>
          <w:bCs/>
          <w:sz w:val="28"/>
        </w:rPr>
        <w:t>brīvās tirdzniecības līgumu (BTL</w:t>
      </w:r>
      <w:r w:rsidRPr="009B5AB5">
        <w:rPr>
          <w:bCs/>
          <w:sz w:val="28"/>
        </w:rPr>
        <w:t>) sarunas.</w:t>
      </w:r>
    </w:p>
    <w:p w:rsidR="00F0020B" w:rsidRDefault="00F0020B" w:rsidP="002365AA">
      <w:pPr>
        <w:jc w:val="both"/>
        <w:rPr>
          <w:bCs/>
          <w:i/>
          <w:sz w:val="28"/>
        </w:rPr>
      </w:pPr>
    </w:p>
    <w:p w:rsidR="002365AA" w:rsidRPr="002365AA" w:rsidRDefault="002365AA" w:rsidP="002365AA">
      <w:pPr>
        <w:jc w:val="both"/>
        <w:rPr>
          <w:bCs/>
          <w:i/>
          <w:sz w:val="28"/>
        </w:rPr>
      </w:pPr>
      <w:r>
        <w:rPr>
          <w:bCs/>
          <w:i/>
          <w:sz w:val="28"/>
        </w:rPr>
        <w:t xml:space="preserve">a) </w:t>
      </w:r>
      <w:r w:rsidR="00F207AC">
        <w:rPr>
          <w:bCs/>
          <w:i/>
          <w:sz w:val="28"/>
        </w:rPr>
        <w:t>EK</w:t>
      </w:r>
      <w:r w:rsidRPr="002365AA">
        <w:rPr>
          <w:bCs/>
          <w:i/>
          <w:sz w:val="28"/>
        </w:rPr>
        <w:t xml:space="preserve"> paziņojums par "</w:t>
      </w:r>
      <w:r w:rsidR="00EF5A24" w:rsidRPr="00EF5A24">
        <w:rPr>
          <w:bCs/>
          <w:i/>
          <w:sz w:val="28"/>
        </w:rPr>
        <w:t>Ikgadēj</w:t>
      </w:r>
      <w:r w:rsidR="00EF5A24">
        <w:rPr>
          <w:bCs/>
          <w:i/>
          <w:sz w:val="28"/>
        </w:rPr>
        <w:t>o</w:t>
      </w:r>
      <w:r w:rsidR="00EF5A24" w:rsidRPr="00EF5A24">
        <w:rPr>
          <w:bCs/>
          <w:i/>
          <w:sz w:val="28"/>
        </w:rPr>
        <w:t xml:space="preserve"> izaugsmes ziņojum</w:t>
      </w:r>
      <w:r w:rsidR="00EF5A24">
        <w:rPr>
          <w:bCs/>
          <w:i/>
          <w:sz w:val="28"/>
        </w:rPr>
        <w:t>u</w:t>
      </w:r>
      <w:r w:rsidR="00EF5A24" w:rsidRPr="00EF5A24">
        <w:rPr>
          <w:bCs/>
          <w:i/>
          <w:sz w:val="28"/>
        </w:rPr>
        <w:t xml:space="preserve"> 2014.gadam </w:t>
      </w:r>
      <w:r w:rsidRPr="002365AA">
        <w:rPr>
          <w:bCs/>
          <w:i/>
          <w:sz w:val="28"/>
        </w:rPr>
        <w:t>" un "Vienotā tirgus integrācijas ikgadējo ziņojumu"</w:t>
      </w:r>
      <w:r w:rsidR="004C5258">
        <w:rPr>
          <w:bCs/>
          <w:i/>
          <w:sz w:val="28"/>
        </w:rPr>
        <w:t xml:space="preserve"> </w:t>
      </w:r>
    </w:p>
    <w:p w:rsidR="002365AA" w:rsidRDefault="002365AA" w:rsidP="002365AA">
      <w:pPr>
        <w:jc w:val="both"/>
        <w:rPr>
          <w:bCs/>
          <w:i/>
          <w:sz w:val="28"/>
        </w:rPr>
      </w:pPr>
      <w:r>
        <w:rPr>
          <w:bCs/>
          <w:i/>
          <w:sz w:val="28"/>
        </w:rPr>
        <w:t>–</w:t>
      </w:r>
      <w:r w:rsidRPr="002365AA">
        <w:rPr>
          <w:bCs/>
          <w:i/>
          <w:sz w:val="28"/>
        </w:rPr>
        <w:t>Komisijas sniegta informācija</w:t>
      </w:r>
    </w:p>
    <w:p w:rsidR="0068539B" w:rsidRDefault="0068539B" w:rsidP="002365AA">
      <w:pPr>
        <w:jc w:val="both"/>
        <w:rPr>
          <w:bCs/>
          <w:i/>
          <w:sz w:val="28"/>
        </w:rPr>
      </w:pPr>
    </w:p>
    <w:p w:rsidR="0068539B" w:rsidRPr="0068539B" w:rsidRDefault="0068539B" w:rsidP="0068539B">
      <w:pPr>
        <w:jc w:val="both"/>
        <w:rPr>
          <w:bCs/>
          <w:sz w:val="28"/>
        </w:rPr>
      </w:pPr>
      <w:r>
        <w:rPr>
          <w:bCs/>
          <w:sz w:val="28"/>
        </w:rPr>
        <w:tab/>
      </w:r>
      <w:r w:rsidRPr="0068539B">
        <w:rPr>
          <w:bCs/>
          <w:sz w:val="28"/>
        </w:rPr>
        <w:t xml:space="preserve">2013.gada 13.novembrī </w:t>
      </w:r>
      <w:r>
        <w:rPr>
          <w:bCs/>
          <w:sz w:val="28"/>
        </w:rPr>
        <w:t xml:space="preserve">publicēts </w:t>
      </w:r>
      <w:r w:rsidR="00F207AC">
        <w:rPr>
          <w:bCs/>
          <w:sz w:val="28"/>
        </w:rPr>
        <w:t>EK</w:t>
      </w:r>
      <w:r w:rsidRPr="0068539B">
        <w:rPr>
          <w:bCs/>
          <w:sz w:val="28"/>
        </w:rPr>
        <w:t xml:space="preserve"> </w:t>
      </w:r>
      <w:r>
        <w:rPr>
          <w:bCs/>
          <w:sz w:val="28"/>
        </w:rPr>
        <w:t>2014.gada Ikgadējais</w:t>
      </w:r>
      <w:r w:rsidRPr="0068539B">
        <w:rPr>
          <w:bCs/>
          <w:sz w:val="28"/>
        </w:rPr>
        <w:t xml:space="preserve"> izaugsmes ziņojum</w:t>
      </w:r>
      <w:r>
        <w:rPr>
          <w:bCs/>
          <w:sz w:val="28"/>
        </w:rPr>
        <w:t>s</w:t>
      </w:r>
      <w:r w:rsidRPr="0068539B">
        <w:rPr>
          <w:bCs/>
          <w:sz w:val="28"/>
        </w:rPr>
        <w:t xml:space="preserve">, ar ko tiek uzsākts jauns Eiropas ekonomiskās politikas koordinēšanas cikls – Eiropas semestris, kas nodrošina, ka ES un ES dalībvalstis koordinē ekonomisko politiku vērstu uz izaugsmi un </w:t>
      </w:r>
      <w:r>
        <w:rPr>
          <w:bCs/>
          <w:sz w:val="28"/>
        </w:rPr>
        <w:t>nodarbinātību. Līdzīgi</w:t>
      </w:r>
      <w:r w:rsidRPr="0068539B">
        <w:rPr>
          <w:bCs/>
          <w:sz w:val="28"/>
        </w:rPr>
        <w:t xml:space="preserve"> kā iepriekšējo gadu Ikgadējos izaugsmes ziņojumos, arī 2014.gada Ikgadējā izaugsmes ziņojumā tiek apskatīta ekonomiskā un sociālā situācija ES, un noteiktas vispārējās 2014.gada politikas prioritātes ES.</w:t>
      </w:r>
    </w:p>
    <w:p w:rsidR="0068539B" w:rsidRPr="0068539B" w:rsidRDefault="0068539B" w:rsidP="0068539B">
      <w:pPr>
        <w:jc w:val="both"/>
        <w:rPr>
          <w:bCs/>
          <w:sz w:val="28"/>
        </w:rPr>
      </w:pPr>
      <w:r>
        <w:rPr>
          <w:bCs/>
          <w:sz w:val="28"/>
        </w:rPr>
        <w:lastRenderedPageBreak/>
        <w:tab/>
      </w:r>
      <w:r w:rsidRPr="0068539B">
        <w:rPr>
          <w:bCs/>
          <w:sz w:val="28"/>
        </w:rPr>
        <w:t xml:space="preserve">Pēc </w:t>
      </w:r>
      <w:r w:rsidR="00F207AC">
        <w:rPr>
          <w:bCs/>
          <w:sz w:val="28"/>
        </w:rPr>
        <w:t>EK</w:t>
      </w:r>
      <w:r>
        <w:rPr>
          <w:bCs/>
          <w:sz w:val="28"/>
        </w:rPr>
        <w:t xml:space="preserve"> domām</w:t>
      </w:r>
      <w:r w:rsidRPr="0068539B">
        <w:rPr>
          <w:bCs/>
          <w:sz w:val="28"/>
        </w:rPr>
        <w:t xml:space="preserve"> ir būtiski saglabāt pēdējos gados noteikto rīcībpolitikas kursu. Saglabājot tās pašas vidējā termiņa prioritātes kā pagājušajā gadā, </w:t>
      </w:r>
      <w:r w:rsidR="00F207AC">
        <w:rPr>
          <w:bCs/>
          <w:sz w:val="28"/>
        </w:rPr>
        <w:t>EK</w:t>
      </w:r>
      <w:r w:rsidRPr="0068539B">
        <w:rPr>
          <w:bCs/>
          <w:sz w:val="28"/>
        </w:rPr>
        <w:t xml:space="preserve"> ierosina pielāgot to īstenošanu mainīgajiem ekonomiskajiem un sociālajiem apstākļiem. ES un ES dalībvalstīm būtu jāturpina, un atsevišķos gadījumos pastiprināti jācenšas, panākt progresu šādās piecās prioritārās jomās:</w:t>
      </w:r>
    </w:p>
    <w:p w:rsidR="0068539B" w:rsidRPr="0068539B" w:rsidRDefault="0068539B" w:rsidP="0068539B">
      <w:pPr>
        <w:pStyle w:val="ListParagraph"/>
        <w:numPr>
          <w:ilvl w:val="0"/>
          <w:numId w:val="17"/>
        </w:numPr>
        <w:jc w:val="both"/>
        <w:rPr>
          <w:bCs/>
          <w:sz w:val="28"/>
        </w:rPr>
      </w:pPr>
      <w:r w:rsidRPr="0068539B">
        <w:rPr>
          <w:bCs/>
          <w:sz w:val="28"/>
        </w:rPr>
        <w:t>izaugsmei draudzīgas, diferencētas fiskālās konsolidācijas īstenošana;</w:t>
      </w:r>
    </w:p>
    <w:p w:rsidR="0068539B" w:rsidRPr="0068539B" w:rsidRDefault="0068539B" w:rsidP="0068539B">
      <w:pPr>
        <w:pStyle w:val="ListParagraph"/>
        <w:numPr>
          <w:ilvl w:val="0"/>
          <w:numId w:val="17"/>
        </w:numPr>
        <w:jc w:val="both"/>
        <w:rPr>
          <w:bCs/>
          <w:sz w:val="28"/>
        </w:rPr>
      </w:pPr>
      <w:r w:rsidRPr="0068539B">
        <w:rPr>
          <w:bCs/>
          <w:sz w:val="28"/>
        </w:rPr>
        <w:t>kreditēšanas atjaunošana ekonomikā;</w:t>
      </w:r>
    </w:p>
    <w:p w:rsidR="0068539B" w:rsidRPr="0068539B" w:rsidRDefault="0068539B" w:rsidP="0068539B">
      <w:pPr>
        <w:pStyle w:val="ListParagraph"/>
        <w:numPr>
          <w:ilvl w:val="0"/>
          <w:numId w:val="17"/>
        </w:numPr>
        <w:jc w:val="both"/>
        <w:rPr>
          <w:bCs/>
          <w:sz w:val="28"/>
        </w:rPr>
      </w:pPr>
      <w:r w:rsidRPr="0068539B">
        <w:rPr>
          <w:bCs/>
          <w:sz w:val="28"/>
        </w:rPr>
        <w:t>izaugsmes un konkurētspējas šodienai un rītdienai sekmēšana;</w:t>
      </w:r>
    </w:p>
    <w:p w:rsidR="0068539B" w:rsidRPr="0068539B" w:rsidRDefault="0068539B" w:rsidP="0068539B">
      <w:pPr>
        <w:pStyle w:val="ListParagraph"/>
        <w:numPr>
          <w:ilvl w:val="0"/>
          <w:numId w:val="17"/>
        </w:numPr>
        <w:jc w:val="both"/>
        <w:rPr>
          <w:bCs/>
          <w:sz w:val="28"/>
        </w:rPr>
      </w:pPr>
      <w:r w:rsidRPr="0068539B">
        <w:rPr>
          <w:bCs/>
          <w:sz w:val="28"/>
        </w:rPr>
        <w:t>bezdarba un krīzes sociālo seku novēršana;</w:t>
      </w:r>
    </w:p>
    <w:p w:rsidR="0068539B" w:rsidRPr="0068539B" w:rsidRDefault="0068539B" w:rsidP="0068539B">
      <w:pPr>
        <w:pStyle w:val="ListParagraph"/>
        <w:numPr>
          <w:ilvl w:val="0"/>
          <w:numId w:val="17"/>
        </w:numPr>
        <w:jc w:val="both"/>
        <w:rPr>
          <w:bCs/>
          <w:sz w:val="28"/>
        </w:rPr>
      </w:pPr>
      <w:r w:rsidRPr="0068539B">
        <w:rPr>
          <w:bCs/>
          <w:sz w:val="28"/>
        </w:rPr>
        <w:t>valsts pārvaldes modernizācija.</w:t>
      </w:r>
    </w:p>
    <w:p w:rsidR="0068539B" w:rsidRDefault="0068539B" w:rsidP="002365AA">
      <w:pPr>
        <w:jc w:val="both"/>
        <w:rPr>
          <w:bCs/>
          <w:sz w:val="28"/>
        </w:rPr>
      </w:pPr>
    </w:p>
    <w:p w:rsidR="00405269" w:rsidRPr="00405269" w:rsidRDefault="00405269" w:rsidP="00405269">
      <w:pPr>
        <w:jc w:val="both"/>
        <w:rPr>
          <w:bCs/>
          <w:sz w:val="28"/>
        </w:rPr>
      </w:pPr>
      <w:r>
        <w:rPr>
          <w:bCs/>
          <w:sz w:val="28"/>
        </w:rPr>
        <w:tab/>
      </w:r>
      <w:r w:rsidR="00F207AC">
        <w:rPr>
          <w:bCs/>
          <w:sz w:val="28"/>
        </w:rPr>
        <w:t>EK</w:t>
      </w:r>
      <w:r>
        <w:rPr>
          <w:bCs/>
          <w:sz w:val="28"/>
        </w:rPr>
        <w:t xml:space="preserve"> 2014.gada Izaugsmes ziņojuma pielikums </w:t>
      </w:r>
      <w:r w:rsidRPr="00405269">
        <w:rPr>
          <w:bCs/>
          <w:sz w:val="28"/>
        </w:rPr>
        <w:t>„Ikgadējais Vienotā tirgus integrācijas ziņojums 2014” izstrādāts ar mērķi Eiropa 2020</w:t>
      </w:r>
      <w:r>
        <w:rPr>
          <w:bCs/>
          <w:sz w:val="28"/>
        </w:rPr>
        <w:t xml:space="preserve"> stratēģijas</w:t>
      </w:r>
      <w:r w:rsidRPr="00405269">
        <w:rPr>
          <w:bCs/>
          <w:sz w:val="28"/>
        </w:rPr>
        <w:t xml:space="preserve"> kontekstā pārraudzīt to, kā Vienotais tirgus funkcionē dažādās ES dalībvalstīs. Tāpat kā pagājušā gada paziņojumā, arī šajā uzsvars ir likts uz trīs jomām, kurās izaugsmes potenciāls ir vislielākais: pakalpojumi, tīkli un digitālais tirgus, kā arī papildus novērtēti finanšu tirgi un pārrobežu ražošanas ķēdes.</w:t>
      </w:r>
    </w:p>
    <w:p w:rsidR="00405269" w:rsidRDefault="00405269" w:rsidP="00405269">
      <w:pPr>
        <w:jc w:val="both"/>
        <w:rPr>
          <w:bCs/>
          <w:sz w:val="28"/>
        </w:rPr>
      </w:pPr>
      <w:r>
        <w:rPr>
          <w:bCs/>
          <w:sz w:val="28"/>
        </w:rPr>
        <w:tab/>
      </w:r>
      <w:r w:rsidRPr="00405269">
        <w:rPr>
          <w:bCs/>
          <w:sz w:val="28"/>
        </w:rPr>
        <w:t xml:space="preserve">Latvija pilnībā atbalsta Vienotā tirgus integrācijas ziņojumā minēto reformu nepieciešamību un ir uzsākusi darbu pie atsevišķu pasākumu īstenošanas, piemēram, Pakalpojumu direktīvas ietvaros izveidotā Vienotā pakalpojumu kontaktpunkta (www.latvija.lv) pārveides, trešās enerģētikas paketes direktīvu pilnvērtīgas ieviešanas un Eiropas transporta tīkla (TEN-T) programmas ietvaros paredzētās transporta infrastruktūras modernizēšanas. Vienlaikus, Latvijai ir svarīga ne tikai jaunu ES Vienotā tirgus iniciatīvu izstrāde, bet arī tiesību aktu pilnvērtīga ieviešana un efektīva piemērošana, kā arī pastāvošā tiesiskā regulējuma pārskatīšana, tā kvalitātes uzlabošana, pielāgojot to aktuālajām norisēm un ekonomiskajai attīstībai, vienlaikus mazinot administratīvo slogu visā </w:t>
      </w:r>
      <w:r w:rsidR="00F207AC">
        <w:rPr>
          <w:bCs/>
          <w:sz w:val="28"/>
        </w:rPr>
        <w:t>ES</w:t>
      </w:r>
      <w:r w:rsidRPr="00405269">
        <w:rPr>
          <w:bCs/>
          <w:sz w:val="28"/>
        </w:rPr>
        <w:t>.</w:t>
      </w:r>
    </w:p>
    <w:p w:rsidR="00405269" w:rsidRDefault="00405269" w:rsidP="002365AA">
      <w:pPr>
        <w:jc w:val="both"/>
        <w:rPr>
          <w:bCs/>
          <w:sz w:val="28"/>
        </w:rPr>
      </w:pPr>
    </w:p>
    <w:p w:rsidR="0068539B" w:rsidRPr="00264C71" w:rsidRDefault="0068539B" w:rsidP="0068539B">
      <w:pPr>
        <w:jc w:val="both"/>
        <w:rPr>
          <w:b/>
          <w:i/>
          <w:sz w:val="28"/>
          <w:szCs w:val="26"/>
          <w:u w:val="single"/>
          <w:lang w:eastAsia="en-US"/>
        </w:rPr>
      </w:pPr>
      <w:r w:rsidRPr="00264C71">
        <w:rPr>
          <w:b/>
          <w:i/>
          <w:sz w:val="28"/>
          <w:szCs w:val="26"/>
          <w:u w:val="single"/>
          <w:lang w:eastAsia="en-US"/>
        </w:rPr>
        <w:t>Latvijas pozīcija:</w:t>
      </w:r>
      <w:r w:rsidR="009D70F9">
        <w:rPr>
          <w:rStyle w:val="FootnoteReference"/>
          <w:b/>
          <w:i/>
          <w:sz w:val="28"/>
          <w:szCs w:val="26"/>
          <w:u w:val="single"/>
          <w:lang w:eastAsia="en-US"/>
        </w:rPr>
        <w:footnoteReference w:id="3"/>
      </w:r>
    </w:p>
    <w:p w:rsidR="0068539B" w:rsidRDefault="0068539B" w:rsidP="0068539B">
      <w:pPr>
        <w:jc w:val="both"/>
        <w:rPr>
          <w:sz w:val="28"/>
          <w:szCs w:val="26"/>
        </w:rPr>
      </w:pPr>
      <w:r w:rsidRPr="00264C71">
        <w:rPr>
          <w:b/>
          <w:sz w:val="28"/>
          <w:szCs w:val="26"/>
        </w:rPr>
        <w:tab/>
      </w:r>
      <w:r w:rsidRPr="0068539B">
        <w:rPr>
          <w:b/>
          <w:sz w:val="28"/>
          <w:szCs w:val="26"/>
        </w:rPr>
        <w:t>Latvija vēlas pateikties</w:t>
      </w:r>
      <w:r w:rsidRPr="0068539B">
        <w:rPr>
          <w:sz w:val="28"/>
          <w:szCs w:val="26"/>
        </w:rPr>
        <w:t xml:space="preserve"> </w:t>
      </w:r>
      <w:r w:rsidR="00F207AC">
        <w:rPr>
          <w:sz w:val="28"/>
          <w:szCs w:val="26"/>
        </w:rPr>
        <w:t>EK</w:t>
      </w:r>
      <w:r w:rsidRPr="0068539B">
        <w:rPr>
          <w:sz w:val="28"/>
          <w:szCs w:val="26"/>
        </w:rPr>
        <w:t xml:space="preserve"> par savlaicīgi publicēto 2014.g</w:t>
      </w:r>
      <w:r>
        <w:rPr>
          <w:sz w:val="28"/>
          <w:szCs w:val="26"/>
        </w:rPr>
        <w:t>ada Ikgadējo izaugsmes ziņojumu, jo</w:t>
      </w:r>
      <w:r w:rsidRPr="0068539B">
        <w:rPr>
          <w:sz w:val="28"/>
          <w:szCs w:val="26"/>
        </w:rPr>
        <w:t xml:space="preserve"> </w:t>
      </w:r>
      <w:r>
        <w:rPr>
          <w:sz w:val="28"/>
          <w:szCs w:val="26"/>
        </w:rPr>
        <w:t>t</w:t>
      </w:r>
      <w:r w:rsidRPr="0068539B">
        <w:rPr>
          <w:sz w:val="28"/>
          <w:szCs w:val="26"/>
        </w:rPr>
        <w:t>as palīdzēs ES dalībvalstīm labāk sagatavoties turpmākām diskusijām 2014.gada Eiropas semestra ietvaros par ES līmeņa ekonomiskās politikas prioritātēm un ES dalībvalstu progresu ES Padomes valstu specifisko rekomendāciju īstenošanā.</w:t>
      </w:r>
    </w:p>
    <w:p w:rsidR="0068539B" w:rsidRPr="0068539B" w:rsidRDefault="0068539B" w:rsidP="0068539B">
      <w:pPr>
        <w:jc w:val="both"/>
        <w:rPr>
          <w:sz w:val="28"/>
          <w:szCs w:val="26"/>
        </w:rPr>
      </w:pPr>
      <w:r>
        <w:rPr>
          <w:sz w:val="28"/>
          <w:szCs w:val="26"/>
        </w:rPr>
        <w:tab/>
      </w:r>
      <w:r w:rsidRPr="0068539B">
        <w:rPr>
          <w:b/>
          <w:sz w:val="28"/>
          <w:szCs w:val="26"/>
        </w:rPr>
        <w:t>Latvija kopumā atbalsta</w:t>
      </w:r>
      <w:r w:rsidRPr="0068539B">
        <w:rPr>
          <w:sz w:val="28"/>
          <w:szCs w:val="26"/>
        </w:rPr>
        <w:t xml:space="preserve"> </w:t>
      </w:r>
      <w:r w:rsidR="00F207AC">
        <w:rPr>
          <w:sz w:val="28"/>
          <w:szCs w:val="26"/>
        </w:rPr>
        <w:t>EK</w:t>
      </w:r>
      <w:r w:rsidRPr="0068539B">
        <w:rPr>
          <w:sz w:val="28"/>
          <w:szCs w:val="26"/>
        </w:rPr>
        <w:t xml:space="preserve"> viedokli par to, ka ES un ES dalībvalstu līmenī jāturpina jau iepriekš uzsāktās reformas piecu Ikgadējā izaugsmes ziņojuma prioritāšu ietvaros, tāpēc atbalstām prioritāšu nemainību arī 2014.gada Ikgadējā izaugsmes ziņojumā.</w:t>
      </w:r>
    </w:p>
    <w:p w:rsidR="0068539B" w:rsidRDefault="009D70F9" w:rsidP="002365AA">
      <w:pPr>
        <w:jc w:val="both"/>
        <w:rPr>
          <w:bCs/>
          <w:sz w:val="28"/>
        </w:rPr>
      </w:pPr>
      <w:r>
        <w:rPr>
          <w:bCs/>
          <w:sz w:val="28"/>
        </w:rPr>
        <w:tab/>
      </w:r>
      <w:r w:rsidRPr="00130EEA">
        <w:rPr>
          <w:b/>
          <w:bCs/>
          <w:sz w:val="28"/>
        </w:rPr>
        <w:t>Latvija piekrīt</w:t>
      </w:r>
      <w:r w:rsidRPr="009D70F9">
        <w:rPr>
          <w:bCs/>
          <w:sz w:val="28"/>
        </w:rPr>
        <w:t xml:space="preserve"> </w:t>
      </w:r>
      <w:r w:rsidR="00F207AC">
        <w:rPr>
          <w:bCs/>
          <w:sz w:val="28"/>
        </w:rPr>
        <w:t>EK</w:t>
      </w:r>
      <w:r w:rsidRPr="009D70F9">
        <w:rPr>
          <w:bCs/>
          <w:sz w:val="28"/>
        </w:rPr>
        <w:t xml:space="preserve">, ka galvenie uzdevumi, kas ES kopumā būtu jāturpina arī 2014.gadā, ir saistīti ar atbildīgās fiskālās politikas īstenošanu ar </w:t>
      </w:r>
      <w:r w:rsidRPr="009D70F9">
        <w:rPr>
          <w:bCs/>
          <w:sz w:val="28"/>
        </w:rPr>
        <w:lastRenderedPageBreak/>
        <w:t>mērķi veicināt starptautisko finanšu tirgu uzticību ES un eirozonai; kreditēšanas pieejamības uzlabošanu uzņēmumiem; bezdarba un sociālās atstumtības mazināšanu; ilgtermiņa ieguldījumu veikšanu izglītībā, pētniecībā, inovācijās, transporta un enerģētikas infrastruktūrā, energoefektivitātē ar mērķi nodrošināt konkurētspēju un izaugsmi; kā arī jāturpina valsts pārvaldes modernizācija ar mērķi padarīt valsts sektoru efektīvāku un produktīvāku, mazināt administratīvo slogu iedzīvotājiem un uzņēmējiem.</w:t>
      </w:r>
    </w:p>
    <w:p w:rsidR="00EF5A24" w:rsidRDefault="00EF5A24" w:rsidP="002365AA">
      <w:pPr>
        <w:jc w:val="both"/>
        <w:rPr>
          <w:bCs/>
          <w:sz w:val="28"/>
        </w:rPr>
      </w:pPr>
      <w:r>
        <w:rPr>
          <w:bCs/>
          <w:sz w:val="28"/>
        </w:rPr>
        <w:tab/>
      </w:r>
      <w:r w:rsidRPr="00EF5A24">
        <w:rPr>
          <w:b/>
          <w:bCs/>
          <w:sz w:val="28"/>
        </w:rPr>
        <w:t>Kopumā piekrītam</w:t>
      </w:r>
      <w:r w:rsidRPr="00EF5A24">
        <w:rPr>
          <w:bCs/>
          <w:sz w:val="28"/>
        </w:rPr>
        <w:t xml:space="preserve"> arī </w:t>
      </w:r>
      <w:r w:rsidR="00F207AC">
        <w:rPr>
          <w:bCs/>
          <w:sz w:val="28"/>
        </w:rPr>
        <w:t>EK</w:t>
      </w:r>
      <w:r w:rsidRPr="00EF5A24">
        <w:rPr>
          <w:bCs/>
          <w:sz w:val="28"/>
        </w:rPr>
        <w:t xml:space="preserve"> vispārīgam vērtējumam par Latvijas progresu 2013.gada ES Padomes valstu specifisko rekomendāciju izpildē. Tas parāda, ka kopumā Latvija ir uz pareizā ceļa. Attiecībā uz reformām izglītības, sociālās drošības un enerģētikas jomā, Latvija turpina to īstenošanu, par ko detalizēti informēja </w:t>
      </w:r>
      <w:r w:rsidR="00F207AC">
        <w:rPr>
          <w:bCs/>
          <w:sz w:val="28"/>
        </w:rPr>
        <w:t>EK</w:t>
      </w:r>
      <w:r w:rsidRPr="00EF5A24">
        <w:rPr>
          <w:bCs/>
          <w:sz w:val="28"/>
        </w:rPr>
        <w:t xml:space="preserve"> pēdējās divpusējās sarunās 2013.gada 24.oktobrī. Vienlaikus vēlamies uzsvērt, ka Latvija ir veikusi pasākumus, lai palielinātu bērnu aprūpes un izglītības pakalpojumu pieejamību. Tādēļ uzskatām, ka informācija par Latvijas progresu šajā jomā nav pilnīgi atspoguļota 2014.gada Ikgadējā izaugsmes ziņojuma pielikumā par ES Padomes valstu specifisko rekomendāciju izpildi ES dalībvalstīs.</w:t>
      </w:r>
    </w:p>
    <w:p w:rsidR="0068539B" w:rsidRPr="002365AA" w:rsidRDefault="00130EEA" w:rsidP="002365AA">
      <w:pPr>
        <w:jc w:val="both"/>
        <w:rPr>
          <w:bCs/>
          <w:i/>
          <w:sz w:val="28"/>
        </w:rPr>
      </w:pPr>
      <w:r>
        <w:rPr>
          <w:bCs/>
          <w:sz w:val="28"/>
        </w:rPr>
        <w:tab/>
      </w:r>
    </w:p>
    <w:p w:rsidR="002365AA" w:rsidRPr="002365AA" w:rsidRDefault="002365AA" w:rsidP="002365AA">
      <w:pPr>
        <w:jc w:val="both"/>
        <w:rPr>
          <w:bCs/>
          <w:i/>
          <w:sz w:val="28"/>
        </w:rPr>
      </w:pPr>
      <w:r>
        <w:rPr>
          <w:bCs/>
          <w:i/>
          <w:sz w:val="28"/>
        </w:rPr>
        <w:t xml:space="preserve">b) </w:t>
      </w:r>
      <w:r w:rsidRPr="002365AA">
        <w:rPr>
          <w:bCs/>
          <w:i/>
          <w:sz w:val="28"/>
        </w:rPr>
        <w:t>Eiropas rūpniecības politika</w:t>
      </w:r>
    </w:p>
    <w:p w:rsidR="002365AA" w:rsidRDefault="002365AA" w:rsidP="002365AA">
      <w:pPr>
        <w:jc w:val="both"/>
        <w:rPr>
          <w:bCs/>
          <w:i/>
          <w:sz w:val="28"/>
        </w:rPr>
      </w:pPr>
      <w:r>
        <w:rPr>
          <w:bCs/>
          <w:i/>
          <w:sz w:val="28"/>
        </w:rPr>
        <w:t>–</w:t>
      </w:r>
      <w:r w:rsidRPr="002365AA">
        <w:rPr>
          <w:bCs/>
          <w:i/>
          <w:sz w:val="28"/>
        </w:rPr>
        <w:t>Padomes secinājumu pieņemšana</w:t>
      </w:r>
    </w:p>
    <w:p w:rsidR="001A45A3" w:rsidRDefault="001A45A3" w:rsidP="002365AA">
      <w:pPr>
        <w:jc w:val="both"/>
        <w:rPr>
          <w:bCs/>
          <w:i/>
          <w:sz w:val="28"/>
        </w:rPr>
      </w:pPr>
    </w:p>
    <w:p w:rsidR="001A45A3" w:rsidRDefault="001A45A3" w:rsidP="002365AA">
      <w:pPr>
        <w:jc w:val="both"/>
        <w:rPr>
          <w:bCs/>
          <w:sz w:val="28"/>
        </w:rPr>
      </w:pPr>
      <w:r>
        <w:rPr>
          <w:bCs/>
          <w:sz w:val="28"/>
        </w:rPr>
        <w:tab/>
        <w:t>Padomes secinājumi izstrādāti</w:t>
      </w:r>
      <w:r w:rsidRPr="001A45A3">
        <w:rPr>
          <w:bCs/>
          <w:sz w:val="28"/>
        </w:rPr>
        <w:t>, domājot par 2014.gada februārī plānotajām diskusijām Eiropadomē par rūpniecības konkurētspēju, kā arī atsaucoties uz Eiropadomes 2013.gada 27.-28.jūnija secinājumos izteikto aicinājumu īstenot „plašu horizontālu un saskaņotu pieeju modernai Eiropas rūpniecības politikai, kas papildinātu strukturālas pārmaiņas un ekonomikas atjaunotni.”</w:t>
      </w:r>
    </w:p>
    <w:p w:rsidR="00B64213" w:rsidRDefault="00B64213" w:rsidP="002365AA">
      <w:pPr>
        <w:jc w:val="both"/>
        <w:rPr>
          <w:bCs/>
          <w:sz w:val="28"/>
        </w:rPr>
      </w:pPr>
      <w:r>
        <w:rPr>
          <w:bCs/>
          <w:sz w:val="28"/>
        </w:rPr>
        <w:tab/>
      </w:r>
      <w:r w:rsidRPr="00B64213">
        <w:rPr>
          <w:bCs/>
          <w:sz w:val="28"/>
        </w:rPr>
        <w:t>Padome secinājumos uzsver nepieciešamību paaugstināt Eiropas ekonomikas dinamiku, atsaucoties uz 2012.gadā piedzīvoto produktivitātes pieauguma un ES rūpniecības īpatsvara samazinājumu iekšzemes kopproduktā (</w:t>
      </w:r>
      <w:r>
        <w:rPr>
          <w:bCs/>
          <w:sz w:val="28"/>
        </w:rPr>
        <w:t xml:space="preserve">turpmāk - </w:t>
      </w:r>
      <w:r w:rsidRPr="00B64213">
        <w:rPr>
          <w:bCs/>
          <w:sz w:val="28"/>
        </w:rPr>
        <w:t xml:space="preserve">IKP), tostarp ņemot vērā </w:t>
      </w:r>
      <w:r>
        <w:rPr>
          <w:bCs/>
          <w:sz w:val="28"/>
        </w:rPr>
        <w:t>Komisijas</w:t>
      </w:r>
      <w:r w:rsidRPr="00B64213">
        <w:rPr>
          <w:bCs/>
          <w:sz w:val="28"/>
        </w:rPr>
        <w:t xml:space="preserve"> nodomu līdz 2020.gadam panākt rūpniecības īpatsvara pieaugumu vismaz līdz </w:t>
      </w:r>
      <w:r>
        <w:rPr>
          <w:bCs/>
          <w:sz w:val="28"/>
        </w:rPr>
        <w:t>20% no IKP. Padome atzīst, ka dalībvalstis</w:t>
      </w:r>
      <w:r w:rsidRPr="00B64213">
        <w:rPr>
          <w:bCs/>
          <w:sz w:val="28"/>
        </w:rPr>
        <w:t xml:space="preserve"> ir sasniegušas progresu vairākās jomās, vienlaikus uzsverot, ka aktīva rūpniecības politika ir galvenais elements ES ekonomikas atveseļošanai, uzsverot nepieciešamību pēc ambiciozām ES un DV rīcībām. Padome atkārtoti uzsver nep</w:t>
      </w:r>
      <w:r>
        <w:rPr>
          <w:bCs/>
          <w:sz w:val="28"/>
        </w:rPr>
        <w:t>ieciešamību turpināt 2010.gada</w:t>
      </w:r>
      <w:r w:rsidRPr="001B0DF5">
        <w:rPr>
          <w:rStyle w:val="FootnoteReference"/>
          <w:rFonts w:ascii="Cambria" w:hAnsi="Cambria"/>
        </w:rPr>
        <w:footnoteReference w:id="4"/>
      </w:r>
      <w:r>
        <w:rPr>
          <w:bCs/>
          <w:sz w:val="28"/>
        </w:rPr>
        <w:t xml:space="preserve"> </w:t>
      </w:r>
      <w:r w:rsidRPr="00B64213">
        <w:rPr>
          <w:bCs/>
          <w:sz w:val="28"/>
        </w:rPr>
        <w:t>un 2012.gada</w:t>
      </w:r>
      <w:r>
        <w:rPr>
          <w:rStyle w:val="FootnoteReference"/>
          <w:rFonts w:ascii="Cambria" w:hAnsi="Cambria"/>
        </w:rPr>
        <w:footnoteReference w:id="5"/>
      </w:r>
      <w:r w:rsidRPr="00B64213">
        <w:rPr>
          <w:bCs/>
          <w:sz w:val="28"/>
        </w:rPr>
        <w:t xml:space="preserve"> EK paziņojumu ieviešanu.</w:t>
      </w:r>
    </w:p>
    <w:p w:rsidR="00B64213" w:rsidRDefault="00B64213" w:rsidP="002365AA">
      <w:pPr>
        <w:jc w:val="both"/>
        <w:rPr>
          <w:bCs/>
          <w:sz w:val="28"/>
        </w:rPr>
      </w:pPr>
      <w:r>
        <w:rPr>
          <w:bCs/>
          <w:sz w:val="28"/>
        </w:rPr>
        <w:tab/>
      </w:r>
      <w:r w:rsidRPr="00B64213">
        <w:rPr>
          <w:bCs/>
          <w:sz w:val="28"/>
        </w:rPr>
        <w:t xml:space="preserve">Padome secinājumos uzsver, ka Eiropas rūpniecībai nepieciešams stabils un paredzami konkurētspējīgs ietvars, kas sekmē ražošanas un pakalpojumu produktivitātes piegumu: efektīvi funkcionējošs vienotais tirgus, </w:t>
      </w:r>
      <w:r w:rsidRPr="00B64213">
        <w:rPr>
          <w:bCs/>
          <w:sz w:val="28"/>
        </w:rPr>
        <w:lastRenderedPageBreak/>
        <w:t>izaugsmei un inovācijai draudzīga normatīvā vide, izmaksu efektīva, ilgtspējīga un droša enerģijas un izejvielu piegāde, pastiprināts un efektīvs atbalsts inovācijai un radošumam, atbilstošas prasmes, uzlabota piekļuve finansējumam un ārējiem tirgiem.</w:t>
      </w:r>
    </w:p>
    <w:p w:rsidR="00B64213" w:rsidRDefault="00B64213" w:rsidP="002365AA">
      <w:pPr>
        <w:jc w:val="both"/>
        <w:rPr>
          <w:bCs/>
          <w:sz w:val="28"/>
        </w:rPr>
      </w:pPr>
      <w:r>
        <w:rPr>
          <w:bCs/>
          <w:sz w:val="28"/>
        </w:rPr>
        <w:tab/>
      </w:r>
      <w:r w:rsidRPr="00B64213">
        <w:rPr>
          <w:bCs/>
          <w:sz w:val="28"/>
        </w:rPr>
        <w:t>Padome secinājumos aicina izstrādāt visaptverošu pi</w:t>
      </w:r>
      <w:r>
        <w:rPr>
          <w:bCs/>
          <w:sz w:val="28"/>
        </w:rPr>
        <w:t>eeju starp ES līmeņa un dalībvalstu</w:t>
      </w:r>
      <w:r w:rsidRPr="00B64213">
        <w:rPr>
          <w:bCs/>
          <w:sz w:val="28"/>
        </w:rPr>
        <w:t xml:space="preserve"> rūpniecības politikām, t.sk. plašāk attīstīt sinerģiju starp visām saistītajām ES un nacionālajām politikām. Padome pozitīvi novērtē </w:t>
      </w:r>
      <w:r w:rsidR="00041C3F">
        <w:rPr>
          <w:bCs/>
          <w:sz w:val="28"/>
        </w:rPr>
        <w:t xml:space="preserve">Komisijas </w:t>
      </w:r>
      <w:r w:rsidRPr="00B64213">
        <w:rPr>
          <w:bCs/>
          <w:sz w:val="28"/>
        </w:rPr>
        <w:t>2013.gadā publicē</w:t>
      </w:r>
      <w:r w:rsidR="00041C3F">
        <w:rPr>
          <w:bCs/>
          <w:sz w:val="28"/>
        </w:rPr>
        <w:t>to Konkurētspējas ziņojumu un dalībvalstu</w:t>
      </w:r>
      <w:r w:rsidRPr="00B64213">
        <w:rPr>
          <w:bCs/>
          <w:sz w:val="28"/>
        </w:rPr>
        <w:t xml:space="preserve"> konkurētspējas izvērtējumus, vienlaikus aicino</w:t>
      </w:r>
      <w:r w:rsidR="00041C3F">
        <w:rPr>
          <w:bCs/>
          <w:sz w:val="28"/>
        </w:rPr>
        <w:t>t Komisiju</w:t>
      </w:r>
      <w:r w:rsidRPr="00B64213">
        <w:rPr>
          <w:bCs/>
          <w:sz w:val="28"/>
        </w:rPr>
        <w:t xml:space="preserve"> paplašināt ikgadējo ziņojumu ietvaru ar vērtējumu</w:t>
      </w:r>
      <w:r w:rsidR="00041C3F">
        <w:rPr>
          <w:bCs/>
          <w:sz w:val="28"/>
        </w:rPr>
        <w:t>,</w:t>
      </w:r>
      <w:r w:rsidRPr="00B64213">
        <w:rPr>
          <w:bCs/>
          <w:sz w:val="28"/>
        </w:rPr>
        <w:t xml:space="preserve"> kā rūpniecības konkurētspējas dimensija tiek integrēta saistītajās ES </w:t>
      </w:r>
      <w:r w:rsidR="00041C3F">
        <w:rPr>
          <w:bCs/>
          <w:sz w:val="28"/>
        </w:rPr>
        <w:t>politiku jomās. Padome aicina Komisiju</w:t>
      </w:r>
      <w:r w:rsidRPr="00B64213">
        <w:rPr>
          <w:bCs/>
          <w:sz w:val="28"/>
        </w:rPr>
        <w:t xml:space="preserve"> nākt klajā ar tās izstrādāto rūpniecības paketi, lai veicinātu un radītu politikas ietvaru investīcijām konkurētspējā un ES rūpniecības, t.sk. saistīto pakalpojumu modernizācijai.</w:t>
      </w:r>
    </w:p>
    <w:p w:rsidR="00B64213" w:rsidRDefault="00B64213" w:rsidP="002365AA">
      <w:pPr>
        <w:jc w:val="both"/>
        <w:rPr>
          <w:bCs/>
          <w:sz w:val="28"/>
        </w:rPr>
      </w:pPr>
    </w:p>
    <w:p w:rsidR="00B64213" w:rsidRPr="00264C71" w:rsidRDefault="00B64213" w:rsidP="00B64213">
      <w:pPr>
        <w:jc w:val="both"/>
        <w:rPr>
          <w:b/>
          <w:i/>
          <w:sz w:val="28"/>
          <w:szCs w:val="26"/>
          <w:u w:val="single"/>
          <w:lang w:eastAsia="en-US"/>
        </w:rPr>
      </w:pPr>
      <w:r w:rsidRPr="00264C71">
        <w:rPr>
          <w:b/>
          <w:i/>
          <w:sz w:val="28"/>
          <w:szCs w:val="26"/>
          <w:u w:val="single"/>
          <w:lang w:eastAsia="en-US"/>
        </w:rPr>
        <w:t>Latvijas pozīcija:</w:t>
      </w:r>
    </w:p>
    <w:p w:rsidR="00B64213" w:rsidRDefault="00B64213" w:rsidP="00B64213">
      <w:pPr>
        <w:jc w:val="both"/>
        <w:rPr>
          <w:sz w:val="28"/>
          <w:szCs w:val="26"/>
        </w:rPr>
      </w:pPr>
      <w:r w:rsidRPr="00264C71">
        <w:rPr>
          <w:b/>
          <w:sz w:val="28"/>
          <w:szCs w:val="26"/>
        </w:rPr>
        <w:tab/>
      </w:r>
      <w:r w:rsidR="00041C3F" w:rsidRPr="00041C3F">
        <w:rPr>
          <w:b/>
          <w:sz w:val="28"/>
          <w:szCs w:val="26"/>
        </w:rPr>
        <w:t>Latvija kopumā atbalsta</w:t>
      </w:r>
      <w:r w:rsidR="00041C3F" w:rsidRPr="00041C3F">
        <w:rPr>
          <w:sz w:val="28"/>
          <w:szCs w:val="26"/>
        </w:rPr>
        <w:t xml:space="preserve"> Padomes secinājumu apstiprināšanu. </w:t>
      </w:r>
      <w:r w:rsidR="00041C3F" w:rsidRPr="00041C3F">
        <w:rPr>
          <w:b/>
          <w:sz w:val="28"/>
          <w:szCs w:val="26"/>
        </w:rPr>
        <w:t>Uzskatām</w:t>
      </w:r>
      <w:r w:rsidR="00041C3F" w:rsidRPr="00041C3F">
        <w:rPr>
          <w:sz w:val="28"/>
          <w:szCs w:val="26"/>
        </w:rPr>
        <w:t xml:space="preserve">, ka </w:t>
      </w:r>
      <w:r w:rsidR="00F207AC">
        <w:rPr>
          <w:sz w:val="28"/>
          <w:szCs w:val="26"/>
        </w:rPr>
        <w:t>secinājumos ietverts</w:t>
      </w:r>
      <w:r w:rsidR="00041C3F" w:rsidRPr="00041C3F">
        <w:rPr>
          <w:sz w:val="28"/>
          <w:szCs w:val="26"/>
        </w:rPr>
        <w:t xml:space="preserve"> skaidr</w:t>
      </w:r>
      <w:r w:rsidR="00F207AC">
        <w:rPr>
          <w:sz w:val="28"/>
          <w:szCs w:val="26"/>
        </w:rPr>
        <w:t>s</w:t>
      </w:r>
      <w:r w:rsidR="00041C3F" w:rsidRPr="00041C3F">
        <w:rPr>
          <w:sz w:val="28"/>
          <w:szCs w:val="26"/>
        </w:rPr>
        <w:t xml:space="preserve"> vēstījum</w:t>
      </w:r>
      <w:r w:rsidR="00F207AC">
        <w:rPr>
          <w:sz w:val="28"/>
          <w:szCs w:val="26"/>
        </w:rPr>
        <w:t>s</w:t>
      </w:r>
      <w:r w:rsidR="00041C3F" w:rsidRPr="00041C3F">
        <w:rPr>
          <w:sz w:val="28"/>
          <w:szCs w:val="26"/>
        </w:rPr>
        <w:t xml:space="preserve"> par izaicinājumiem, kuriem jāpievērš uzmanīb</w:t>
      </w:r>
      <w:r w:rsidR="00041C3F">
        <w:rPr>
          <w:sz w:val="28"/>
          <w:szCs w:val="26"/>
        </w:rPr>
        <w:t>a</w:t>
      </w:r>
      <w:r w:rsidR="00041C3F" w:rsidRPr="00041C3F">
        <w:rPr>
          <w:sz w:val="28"/>
          <w:szCs w:val="26"/>
        </w:rPr>
        <w:t xml:space="preserve">, lai uzlabotu ES rūpniecības konkurētspēju un globālās pozīcijas. </w:t>
      </w:r>
      <w:r w:rsidR="00F207AC">
        <w:rPr>
          <w:sz w:val="28"/>
          <w:szCs w:val="26"/>
        </w:rPr>
        <w:t>I</w:t>
      </w:r>
      <w:r w:rsidR="00041C3F" w:rsidRPr="00041C3F">
        <w:rPr>
          <w:sz w:val="28"/>
          <w:szCs w:val="26"/>
        </w:rPr>
        <w:t xml:space="preserve">zvirzītās prioritātes ES rūpniecības konkurētspējai saskan arī ar galvenajiem rīcības virzieniem Latvijas Nacionālās industriālās politikas ietvarā, kas tika noteikti, ņemot vērā Latvijas uzņēmumu </w:t>
      </w:r>
      <w:r w:rsidR="00365CDE">
        <w:rPr>
          <w:sz w:val="28"/>
          <w:szCs w:val="26"/>
        </w:rPr>
        <w:t>intereses</w:t>
      </w:r>
      <w:r w:rsidR="00041C3F" w:rsidRPr="00041C3F">
        <w:rPr>
          <w:sz w:val="28"/>
          <w:szCs w:val="26"/>
        </w:rPr>
        <w:t xml:space="preserve"> un galvenos izaicinājumus.</w:t>
      </w:r>
    </w:p>
    <w:p w:rsidR="00041C3F" w:rsidRDefault="00041C3F" w:rsidP="00B64213">
      <w:pPr>
        <w:jc w:val="both"/>
        <w:rPr>
          <w:sz w:val="28"/>
          <w:szCs w:val="26"/>
        </w:rPr>
      </w:pPr>
      <w:r>
        <w:rPr>
          <w:sz w:val="28"/>
          <w:szCs w:val="26"/>
        </w:rPr>
        <w:tab/>
      </w:r>
      <w:r w:rsidRPr="00041C3F">
        <w:rPr>
          <w:b/>
          <w:sz w:val="28"/>
          <w:szCs w:val="26"/>
        </w:rPr>
        <w:t>Latvija uzskata</w:t>
      </w:r>
      <w:r w:rsidRPr="00041C3F">
        <w:rPr>
          <w:sz w:val="28"/>
          <w:szCs w:val="26"/>
        </w:rPr>
        <w:t>, ka ES rūpniecības politika un izaicinājumi ES rūpniecības konkurētspējas paaugstināšanai ir</w:t>
      </w:r>
      <w:r w:rsidR="00365CDE">
        <w:rPr>
          <w:sz w:val="28"/>
          <w:szCs w:val="26"/>
        </w:rPr>
        <w:t xml:space="preserve"> horizontāls jautājums, kas</w:t>
      </w:r>
      <w:r w:rsidRPr="00041C3F">
        <w:rPr>
          <w:sz w:val="28"/>
          <w:szCs w:val="26"/>
        </w:rPr>
        <w:t xml:space="preserve"> jāņem vērā dažādos formātos ES un nacionālā līmenī notiekošajās un plānotajās citu nozaru politiku vai likumdošanas iniciatīvu diskusijās. Vienlaikus </w:t>
      </w:r>
      <w:r w:rsidRPr="00041C3F">
        <w:rPr>
          <w:b/>
          <w:sz w:val="28"/>
          <w:szCs w:val="26"/>
        </w:rPr>
        <w:t>atbalstām</w:t>
      </w:r>
      <w:r>
        <w:rPr>
          <w:sz w:val="28"/>
          <w:szCs w:val="26"/>
        </w:rPr>
        <w:t xml:space="preserve"> aicinājumu </w:t>
      </w:r>
      <w:r w:rsidR="00365CDE">
        <w:rPr>
          <w:sz w:val="28"/>
          <w:szCs w:val="26"/>
        </w:rPr>
        <w:t>EK</w:t>
      </w:r>
      <w:r w:rsidRPr="00041C3F">
        <w:rPr>
          <w:sz w:val="28"/>
          <w:szCs w:val="26"/>
        </w:rPr>
        <w:t xml:space="preserve"> paplašināt ikgadējo ziņojumu saturu, sniedzot pārskatu par rūpniecības politikas integrāciju un sasaisti</w:t>
      </w:r>
      <w:r w:rsidR="00365CDE">
        <w:rPr>
          <w:sz w:val="28"/>
          <w:szCs w:val="26"/>
        </w:rPr>
        <w:t xml:space="preserve"> ar</w:t>
      </w:r>
      <w:r w:rsidRPr="00041C3F">
        <w:rPr>
          <w:sz w:val="28"/>
          <w:szCs w:val="26"/>
        </w:rPr>
        <w:t xml:space="preserve"> citām ES politikām, kas varētu nodrošinātu, ka citu politiku ietvaros pieņemtie lēmumi ir atbilstoši ES rūpniecības prioritātēm un sniedz ieguldījumu pastāvošo izaicinājumu risināšanā.</w:t>
      </w:r>
      <w:r>
        <w:rPr>
          <w:sz w:val="28"/>
          <w:szCs w:val="26"/>
        </w:rPr>
        <w:t xml:space="preserve"> </w:t>
      </w:r>
      <w:r w:rsidRPr="00041C3F">
        <w:rPr>
          <w:b/>
          <w:sz w:val="28"/>
          <w:szCs w:val="26"/>
        </w:rPr>
        <w:t>Uzskatām</w:t>
      </w:r>
      <w:r w:rsidRPr="00041C3F">
        <w:rPr>
          <w:sz w:val="28"/>
          <w:szCs w:val="26"/>
        </w:rPr>
        <w:t>, ka regulāras EK konkurētspēj</w:t>
      </w:r>
      <w:r w:rsidR="00365CDE">
        <w:rPr>
          <w:sz w:val="28"/>
          <w:szCs w:val="26"/>
        </w:rPr>
        <w:t>a</w:t>
      </w:r>
      <w:r w:rsidRPr="00041C3F">
        <w:rPr>
          <w:sz w:val="28"/>
          <w:szCs w:val="26"/>
        </w:rPr>
        <w:t xml:space="preserve">s pārbaudes </w:t>
      </w:r>
      <w:r w:rsidRPr="00041C3F">
        <w:rPr>
          <w:i/>
          <w:sz w:val="28"/>
          <w:szCs w:val="26"/>
        </w:rPr>
        <w:t>(competitiveness proofing)</w:t>
      </w:r>
      <w:r w:rsidRPr="00041C3F">
        <w:rPr>
          <w:sz w:val="28"/>
          <w:szCs w:val="26"/>
        </w:rPr>
        <w:t xml:space="preserve"> jauniem politiku priekšlikumiem un iniciatīvām var sniegt būtisku ieguldījumu, lai izvairītos no </w:t>
      </w:r>
      <w:r w:rsidR="00297798">
        <w:rPr>
          <w:sz w:val="28"/>
          <w:szCs w:val="26"/>
        </w:rPr>
        <w:t>nepamatota</w:t>
      </w:r>
      <w:r w:rsidRPr="00041C3F">
        <w:rPr>
          <w:sz w:val="28"/>
          <w:szCs w:val="26"/>
        </w:rPr>
        <w:t xml:space="preserve"> sloga ES rūpniecības komersantiem.</w:t>
      </w:r>
    </w:p>
    <w:p w:rsidR="00CD7E2D" w:rsidRDefault="00CD7E2D" w:rsidP="00B64213">
      <w:pPr>
        <w:jc w:val="both"/>
        <w:rPr>
          <w:sz w:val="28"/>
          <w:szCs w:val="26"/>
        </w:rPr>
      </w:pPr>
      <w:r>
        <w:rPr>
          <w:sz w:val="28"/>
          <w:szCs w:val="26"/>
        </w:rPr>
        <w:tab/>
      </w:r>
      <w:r w:rsidRPr="00CD7E2D">
        <w:rPr>
          <w:b/>
          <w:sz w:val="28"/>
          <w:szCs w:val="26"/>
        </w:rPr>
        <w:t>Latvija atzīst</w:t>
      </w:r>
      <w:r w:rsidRPr="00CD7E2D">
        <w:rPr>
          <w:sz w:val="28"/>
          <w:szCs w:val="26"/>
        </w:rPr>
        <w:t xml:space="preserve"> ES Vienotā tirgus tālākas integrācijas nozīmību ES rūpniecības konkurētspējas celšanai, lai ES uzņēmējiem nodrošinātu vienādus nosacījumus un vieglāku piekļuvi ES Vienotā tirgus sniegtajām priekšrocībām un iespējām.</w:t>
      </w:r>
      <w:r>
        <w:rPr>
          <w:sz w:val="28"/>
          <w:szCs w:val="26"/>
        </w:rPr>
        <w:t xml:space="preserve"> </w:t>
      </w:r>
    </w:p>
    <w:p w:rsidR="00CD7E2D" w:rsidRDefault="00CD7E2D" w:rsidP="00B64213">
      <w:pPr>
        <w:jc w:val="both"/>
        <w:rPr>
          <w:sz w:val="28"/>
          <w:szCs w:val="26"/>
        </w:rPr>
      </w:pPr>
      <w:r>
        <w:rPr>
          <w:sz w:val="28"/>
          <w:szCs w:val="26"/>
        </w:rPr>
        <w:tab/>
      </w:r>
      <w:r w:rsidRPr="00CD7E2D">
        <w:rPr>
          <w:b/>
          <w:sz w:val="28"/>
          <w:szCs w:val="26"/>
        </w:rPr>
        <w:t>Latvija norāda</w:t>
      </w:r>
      <w:r w:rsidRPr="00CD7E2D">
        <w:rPr>
          <w:sz w:val="28"/>
          <w:szCs w:val="26"/>
        </w:rPr>
        <w:t>, ka nepieciešams turpināt darbu pie pastāvošo šķēršļu novēršanas, kas kavē patiesu ES enerģijas tirgus atvēršanu visiem spēlētajiem. Kā primārie pasākumi šajā aspektā jāmin enerģētikas infrastruktūras attīstība</w:t>
      </w:r>
      <w:r>
        <w:rPr>
          <w:sz w:val="28"/>
          <w:szCs w:val="26"/>
        </w:rPr>
        <w:t xml:space="preserve">. </w:t>
      </w:r>
      <w:r w:rsidRPr="00CD7E2D">
        <w:rPr>
          <w:sz w:val="28"/>
          <w:szCs w:val="26"/>
        </w:rPr>
        <w:t xml:space="preserve">Apzinoties enerģijas cenu negatīvo ietekmi uz ES rūpniecības konkurētspēju, </w:t>
      </w:r>
      <w:r w:rsidRPr="00CD7E2D">
        <w:rPr>
          <w:b/>
          <w:sz w:val="28"/>
          <w:szCs w:val="26"/>
        </w:rPr>
        <w:lastRenderedPageBreak/>
        <w:t>Latvija pozitīvi vērtē</w:t>
      </w:r>
      <w:r>
        <w:rPr>
          <w:sz w:val="28"/>
          <w:szCs w:val="26"/>
        </w:rPr>
        <w:t xml:space="preserve"> Komisijas</w:t>
      </w:r>
      <w:r w:rsidRPr="00CD7E2D">
        <w:rPr>
          <w:sz w:val="28"/>
          <w:szCs w:val="26"/>
        </w:rPr>
        <w:t xml:space="preserve"> analīzi par enerģijas cenu un izmaksu ietekmējošiem faktoriem dalībvalstīs.</w:t>
      </w:r>
    </w:p>
    <w:p w:rsidR="00CD7E2D" w:rsidRDefault="00CD7E2D" w:rsidP="00B64213">
      <w:pPr>
        <w:jc w:val="both"/>
        <w:rPr>
          <w:sz w:val="28"/>
          <w:szCs w:val="26"/>
        </w:rPr>
      </w:pPr>
      <w:r>
        <w:rPr>
          <w:sz w:val="28"/>
          <w:szCs w:val="26"/>
        </w:rPr>
        <w:tab/>
      </w:r>
      <w:r w:rsidRPr="00CD7E2D">
        <w:rPr>
          <w:b/>
          <w:sz w:val="28"/>
          <w:szCs w:val="26"/>
        </w:rPr>
        <w:t>Latvija īpaši atbalsta</w:t>
      </w:r>
      <w:r w:rsidRPr="00CD7E2D">
        <w:rPr>
          <w:sz w:val="28"/>
          <w:szCs w:val="26"/>
        </w:rPr>
        <w:t xml:space="preserve"> nepieciešamību sekmēt visa veida inovāciju un inovatīvu risinājumu attīstīšanu, pielietošanu un izplatīšanu ilgtspējīgai un konkurētspējīgai rūpniecībai. </w:t>
      </w:r>
      <w:r w:rsidRPr="006B6817">
        <w:rPr>
          <w:b/>
          <w:sz w:val="28"/>
          <w:szCs w:val="26"/>
        </w:rPr>
        <w:t>Piekrītam</w:t>
      </w:r>
      <w:r w:rsidRPr="00CD7E2D">
        <w:rPr>
          <w:sz w:val="28"/>
          <w:szCs w:val="26"/>
        </w:rPr>
        <w:t>, ka jāuzlabo centieni rūpniecisko pētījumu rezultātu komercializācijas jomā, kas joprojām ir izaicinājums un prioritāte arī Latvijas inovācijas sistēmas ietvarā.</w:t>
      </w:r>
    </w:p>
    <w:p w:rsidR="00B736DE" w:rsidRPr="00041C3F" w:rsidRDefault="00B736DE" w:rsidP="00B64213">
      <w:pPr>
        <w:jc w:val="both"/>
        <w:rPr>
          <w:sz w:val="28"/>
          <w:szCs w:val="26"/>
        </w:rPr>
      </w:pPr>
      <w:r>
        <w:rPr>
          <w:sz w:val="28"/>
          <w:szCs w:val="26"/>
        </w:rPr>
        <w:tab/>
      </w:r>
      <w:r w:rsidRPr="00B736DE">
        <w:rPr>
          <w:b/>
          <w:sz w:val="28"/>
          <w:szCs w:val="26"/>
        </w:rPr>
        <w:t>Latvija atzīst</w:t>
      </w:r>
      <w:r w:rsidRPr="00B736DE">
        <w:rPr>
          <w:sz w:val="28"/>
          <w:szCs w:val="26"/>
        </w:rPr>
        <w:t>, ka labākas finanšu pieejamības MVU nodrošināšana ir aktuāls izaicinājums gan nacionālā, gan ES līmenī. Atbilstošu finanšu resursu pieejamība ir nozīmīga ES rūpniecības spējai, piemēram, modernizēt rūpniecības infrastruktūru, radīt jaunas darbavietas, komercializēt pētnieciskās iestrādnes vai ieviest ražošanā un izmantot ražošanas procesos videi draudzīgākus risinājumus.</w:t>
      </w:r>
    </w:p>
    <w:p w:rsidR="001A45A3" w:rsidRDefault="00B736DE" w:rsidP="002365AA">
      <w:pPr>
        <w:jc w:val="both"/>
        <w:rPr>
          <w:bCs/>
          <w:sz w:val="28"/>
        </w:rPr>
      </w:pPr>
      <w:r>
        <w:rPr>
          <w:bCs/>
          <w:sz w:val="28"/>
        </w:rPr>
        <w:tab/>
      </w:r>
      <w:r w:rsidRPr="00B736DE">
        <w:rPr>
          <w:b/>
          <w:bCs/>
          <w:sz w:val="28"/>
        </w:rPr>
        <w:t>Latvija uzskata</w:t>
      </w:r>
      <w:r w:rsidRPr="00B736DE">
        <w:rPr>
          <w:bCs/>
          <w:sz w:val="28"/>
        </w:rPr>
        <w:t>, ka modernai ES rūpniecībai svarīgi ir pasākumi, kas vērsti uz ieguldījumu palielināšanu cilvēkresursos un piekļuvi nepieciešamajām prasmēm, atbilstoši darbaspēka pieprasījuma un piedāvājuma tendencēm īsākā un ilgākā termiņā.</w:t>
      </w:r>
    </w:p>
    <w:p w:rsidR="00B736DE" w:rsidRPr="001A45A3" w:rsidRDefault="00B736DE" w:rsidP="002365AA">
      <w:pPr>
        <w:jc w:val="both"/>
        <w:rPr>
          <w:bCs/>
          <w:sz w:val="28"/>
        </w:rPr>
      </w:pPr>
    </w:p>
    <w:p w:rsidR="002365AA" w:rsidRPr="002365AA" w:rsidRDefault="002365AA" w:rsidP="002365AA">
      <w:pPr>
        <w:jc w:val="both"/>
        <w:rPr>
          <w:bCs/>
          <w:i/>
          <w:sz w:val="28"/>
        </w:rPr>
      </w:pPr>
      <w:r>
        <w:rPr>
          <w:bCs/>
          <w:i/>
          <w:sz w:val="28"/>
        </w:rPr>
        <w:t xml:space="preserve">c) </w:t>
      </w:r>
      <w:r w:rsidRPr="002365AA">
        <w:rPr>
          <w:bCs/>
          <w:i/>
          <w:sz w:val="28"/>
        </w:rPr>
        <w:t>Vienotā tirgus politika</w:t>
      </w:r>
    </w:p>
    <w:p w:rsidR="002365AA" w:rsidRDefault="002365AA" w:rsidP="002365AA">
      <w:pPr>
        <w:jc w:val="both"/>
        <w:rPr>
          <w:bCs/>
          <w:i/>
          <w:sz w:val="28"/>
        </w:rPr>
      </w:pPr>
      <w:r>
        <w:rPr>
          <w:bCs/>
          <w:i/>
          <w:sz w:val="28"/>
        </w:rPr>
        <w:t>–</w:t>
      </w:r>
      <w:r w:rsidRPr="002365AA">
        <w:rPr>
          <w:bCs/>
          <w:i/>
          <w:sz w:val="28"/>
        </w:rPr>
        <w:t>Padomes secinājumu pieņemšana</w:t>
      </w:r>
    </w:p>
    <w:p w:rsidR="00AD78E8" w:rsidRPr="00AD78E8" w:rsidRDefault="00AD78E8" w:rsidP="002365AA">
      <w:pPr>
        <w:jc w:val="both"/>
        <w:rPr>
          <w:bCs/>
          <w:sz w:val="28"/>
        </w:rPr>
      </w:pPr>
    </w:p>
    <w:p w:rsidR="00AD78E8" w:rsidRDefault="00AD78E8" w:rsidP="002365AA">
      <w:pPr>
        <w:jc w:val="both"/>
        <w:rPr>
          <w:bCs/>
          <w:sz w:val="28"/>
        </w:rPr>
      </w:pPr>
      <w:r>
        <w:rPr>
          <w:bCs/>
          <w:sz w:val="28"/>
        </w:rPr>
        <w:tab/>
        <w:t xml:space="preserve">Sanāksmēs paredzēts pieņemt Padomes secinājumus </w:t>
      </w:r>
      <w:r w:rsidRPr="00AD78E8">
        <w:rPr>
          <w:bCs/>
          <w:sz w:val="28"/>
        </w:rPr>
        <w:t>par Vienotā tirgus politiku</w:t>
      </w:r>
      <w:r>
        <w:rPr>
          <w:bCs/>
          <w:sz w:val="28"/>
        </w:rPr>
        <w:t>, l</w:t>
      </w:r>
      <w:r w:rsidRPr="00AD78E8">
        <w:rPr>
          <w:bCs/>
          <w:sz w:val="28"/>
        </w:rPr>
        <w:t>ai paustu Padome</w:t>
      </w:r>
      <w:r>
        <w:rPr>
          <w:bCs/>
          <w:sz w:val="28"/>
        </w:rPr>
        <w:t>s</w:t>
      </w:r>
      <w:r w:rsidRPr="00AD78E8">
        <w:rPr>
          <w:bCs/>
          <w:sz w:val="28"/>
        </w:rPr>
        <w:t xml:space="preserve"> atbalstu ES Vienotā tirgus attīstībai, kā arī akcentētu galvenās nepieciešamās darbības tā stiprināšanai</w:t>
      </w:r>
      <w:r>
        <w:rPr>
          <w:bCs/>
          <w:sz w:val="28"/>
        </w:rPr>
        <w:t>.</w:t>
      </w:r>
    </w:p>
    <w:p w:rsidR="00AD78E8" w:rsidRDefault="00AD78E8" w:rsidP="002365AA">
      <w:pPr>
        <w:jc w:val="both"/>
        <w:rPr>
          <w:bCs/>
          <w:sz w:val="28"/>
        </w:rPr>
      </w:pPr>
      <w:r>
        <w:rPr>
          <w:bCs/>
          <w:sz w:val="28"/>
        </w:rPr>
        <w:tab/>
      </w:r>
      <w:r w:rsidRPr="00AD78E8">
        <w:rPr>
          <w:bCs/>
          <w:sz w:val="28"/>
        </w:rPr>
        <w:t>Padome secinājumos uzsver, ka tālāka ES Vienotā tirgus attīstība ir ļoti būtiska izaugsmes veicināšanai un darbavietu radīšanai, kā arī atzīst, ka turpmāka ES Vienotā tirgus integrācijas padziļināšana – nepamatotu šķēršļu novēršana – ir galvenais priekšnoteikums, lai sasniegtu šo mērķi. Tā uzsver, ka nepieciešams stiprināt jau izveidotās struktūras, lai palielinātu ES Vienotā tirgus politikas pārskatāmību un efektivitāti.</w:t>
      </w:r>
    </w:p>
    <w:p w:rsidR="000B5F1C" w:rsidRDefault="000B5F1C" w:rsidP="002365AA">
      <w:pPr>
        <w:jc w:val="both"/>
        <w:rPr>
          <w:bCs/>
          <w:sz w:val="28"/>
        </w:rPr>
      </w:pPr>
      <w:r>
        <w:rPr>
          <w:bCs/>
          <w:sz w:val="28"/>
        </w:rPr>
        <w:tab/>
      </w:r>
      <w:r w:rsidRPr="000B5F1C">
        <w:rPr>
          <w:bCs/>
          <w:sz w:val="28"/>
        </w:rPr>
        <w:t>Padome sagaida diskusijas par prioritārajām darbībām ES un dal</w:t>
      </w:r>
      <w:r w:rsidR="00EF5A24">
        <w:rPr>
          <w:bCs/>
          <w:sz w:val="28"/>
        </w:rPr>
        <w:t>ībvalstu līmenī, kas noteiktas Ikgadējā</w:t>
      </w:r>
      <w:r w:rsidRPr="000B5F1C">
        <w:rPr>
          <w:bCs/>
          <w:sz w:val="28"/>
        </w:rPr>
        <w:t xml:space="preserve"> izaugsmes ziņojumā un Vienotā tirgus integrācijas ziņojumā, atzīst Konkurētspējas un izaugsmes Augsta līmeņa darba grupas stiprināšanas nepieciešamību un aicina </w:t>
      </w:r>
      <w:r>
        <w:rPr>
          <w:bCs/>
          <w:sz w:val="28"/>
        </w:rPr>
        <w:t>Komisiju</w:t>
      </w:r>
      <w:r w:rsidRPr="000B5F1C">
        <w:rPr>
          <w:bCs/>
          <w:sz w:val="28"/>
        </w:rPr>
        <w:t xml:space="preserve"> izstrādāt Vienotā tirgus integrācijas ziņojuma detalizētāku analīzi.</w:t>
      </w:r>
      <w:r>
        <w:rPr>
          <w:bCs/>
          <w:sz w:val="28"/>
        </w:rPr>
        <w:t xml:space="preserve"> Tāpat </w:t>
      </w:r>
      <w:r w:rsidRPr="000B5F1C">
        <w:rPr>
          <w:bCs/>
          <w:sz w:val="28"/>
        </w:rPr>
        <w:t>Padome aicina Komisiju sadarbībā ar dalībvalstīm līdz 2014.gada beigām iesniegt priekšlikumus kvalitatīvajiem un kvantitatīvajiem indikatoriem, ar kuriem iespējams noteikt ES Vienotā tirgus noteikumu piemērošanas efektivitāti.</w:t>
      </w:r>
    </w:p>
    <w:p w:rsidR="000B5F1C" w:rsidRDefault="000B5F1C" w:rsidP="002365AA">
      <w:pPr>
        <w:jc w:val="both"/>
        <w:rPr>
          <w:bCs/>
          <w:sz w:val="28"/>
        </w:rPr>
      </w:pPr>
      <w:r>
        <w:rPr>
          <w:bCs/>
          <w:sz w:val="28"/>
        </w:rPr>
        <w:tab/>
      </w:r>
      <w:r w:rsidRPr="000B5F1C">
        <w:rPr>
          <w:bCs/>
          <w:sz w:val="28"/>
        </w:rPr>
        <w:t xml:space="preserve">Padome mudina dalībvalstis ātri un atbilstoši ieviest ar ES Vienoto tirgu saistītos noteikumus un aicina </w:t>
      </w:r>
      <w:r w:rsidR="00644F61">
        <w:rPr>
          <w:bCs/>
          <w:sz w:val="28"/>
        </w:rPr>
        <w:t>EK</w:t>
      </w:r>
      <w:r w:rsidRPr="000B5F1C">
        <w:rPr>
          <w:bCs/>
          <w:sz w:val="28"/>
        </w:rPr>
        <w:t xml:space="preserve">, cita starpā ar </w:t>
      </w:r>
      <w:r>
        <w:rPr>
          <w:bCs/>
          <w:sz w:val="28"/>
        </w:rPr>
        <w:t xml:space="preserve">Eiropas semestra ietvaros </w:t>
      </w:r>
      <w:r w:rsidRPr="000B5F1C">
        <w:rPr>
          <w:bCs/>
          <w:sz w:val="28"/>
        </w:rPr>
        <w:t xml:space="preserve">dalībvalstīm adresēto </w:t>
      </w:r>
      <w:r>
        <w:rPr>
          <w:bCs/>
          <w:sz w:val="28"/>
        </w:rPr>
        <w:t xml:space="preserve">specifisko </w:t>
      </w:r>
      <w:r w:rsidRPr="000B5F1C">
        <w:rPr>
          <w:bCs/>
          <w:sz w:val="28"/>
        </w:rPr>
        <w:t xml:space="preserve">rekomendāciju palīdzību, uzraudzīt noteikumu ieviešanu, kā arī uzsver, ka likumdevējiem jānodrošina ES tiesību aktu konsistence un kvalitāte, neradot nevajadzīgus regulatīvos šķēršļus. </w:t>
      </w:r>
      <w:r w:rsidRPr="000B5F1C">
        <w:rPr>
          <w:bCs/>
          <w:sz w:val="28"/>
        </w:rPr>
        <w:lastRenderedPageBreak/>
        <w:t>Tiesību aktu vide ir jāveido tāda, lai patērētājiem tiktu sniegtas visplašākās izvēles iespējas, kā arī lai uzņēmējiem ir iespējas pārdot preces un piedāvāt pakalpojumus visur ES, ieskaitot tīmeklī, nesaskaroties ar nepamatotiem un nesamērīgiem ierobežojumiem.</w:t>
      </w:r>
    </w:p>
    <w:p w:rsidR="00657C82" w:rsidRDefault="00657C82" w:rsidP="002365AA">
      <w:pPr>
        <w:jc w:val="both"/>
        <w:rPr>
          <w:bCs/>
          <w:sz w:val="28"/>
        </w:rPr>
      </w:pPr>
      <w:r>
        <w:rPr>
          <w:bCs/>
          <w:sz w:val="28"/>
        </w:rPr>
        <w:tab/>
      </w:r>
      <w:r w:rsidRPr="00657C82">
        <w:rPr>
          <w:bCs/>
          <w:sz w:val="28"/>
        </w:rPr>
        <w:t xml:space="preserve">Vienlaikus Padome aicina </w:t>
      </w:r>
      <w:r w:rsidR="00644F61">
        <w:rPr>
          <w:bCs/>
          <w:sz w:val="28"/>
        </w:rPr>
        <w:t>EK</w:t>
      </w:r>
      <w:r w:rsidRPr="00657C82">
        <w:rPr>
          <w:bCs/>
          <w:sz w:val="28"/>
        </w:rPr>
        <w:t xml:space="preserve"> sadarbībā ar dalībvalstīm stiprināt koordināciju elektronisko ES Vienotā tirgus pārvaldības mehānismu un nacionālo informācijas un paziņošanas sistēmu jomā. Tā atzīst Iekšējā tirgus informācijas sistēmas (</w:t>
      </w:r>
      <w:r>
        <w:rPr>
          <w:bCs/>
          <w:sz w:val="28"/>
        </w:rPr>
        <w:t xml:space="preserve">turpmāk - </w:t>
      </w:r>
      <w:r w:rsidRPr="00657C82">
        <w:rPr>
          <w:bCs/>
          <w:sz w:val="28"/>
        </w:rPr>
        <w:t>IMI) nozīmi labāk funkcionējoša ES Vienotā tirgus nodrošināšanai un uzsver IMI paziņojumos ietvertās informācijas turpmākas analīzes nozīmi, tādēļ aicina Komisiju veikt šādu analīzi. Tāpat Padome atzīst nozīmīgo</w:t>
      </w:r>
      <w:r w:rsidR="00644F61">
        <w:rPr>
          <w:bCs/>
          <w:sz w:val="28"/>
        </w:rPr>
        <w:t xml:space="preserve"> Alternatīvā strīdus risināšanas mehānisma (turpmāk –</w:t>
      </w:r>
      <w:r w:rsidRPr="00657C82">
        <w:rPr>
          <w:bCs/>
          <w:sz w:val="28"/>
        </w:rPr>
        <w:t xml:space="preserve"> SOLVIT</w:t>
      </w:r>
      <w:r w:rsidR="00644F61">
        <w:rPr>
          <w:bCs/>
          <w:sz w:val="28"/>
        </w:rPr>
        <w:t>)</w:t>
      </w:r>
      <w:r w:rsidRPr="00657C82">
        <w:rPr>
          <w:bCs/>
          <w:sz w:val="28"/>
        </w:rPr>
        <w:t xml:space="preserve"> lomu, risinot pilsoņu un uzņēmumu problēmas ES Vienotajā tirgū. Tā akceptē Komisijas 2013.gada Ieteikumu par principiem, kas reglamentē SOLVIT darbību, un aicina Komisiju nodrošināt labāku koordināciju starp SOLVIT tīklu un EU-Pilot, kā arī prezentēt SOLVIT turpmākas attīstības ceļvedi.</w:t>
      </w:r>
    </w:p>
    <w:p w:rsidR="00AD78E8" w:rsidRDefault="00657C82" w:rsidP="002365AA">
      <w:pPr>
        <w:jc w:val="both"/>
        <w:rPr>
          <w:bCs/>
          <w:sz w:val="28"/>
        </w:rPr>
      </w:pPr>
      <w:r>
        <w:rPr>
          <w:bCs/>
          <w:sz w:val="28"/>
        </w:rPr>
        <w:tab/>
      </w:r>
      <w:r w:rsidR="00A235C1" w:rsidRPr="00A235C1">
        <w:rPr>
          <w:bCs/>
          <w:sz w:val="28"/>
        </w:rPr>
        <w:t xml:space="preserve">Padome secinājumos atzinīgi vērtē Pakalpojumu direktīvas profesionālizvērtējuma </w:t>
      </w:r>
      <w:r w:rsidR="00A235C1" w:rsidRPr="00A235C1">
        <w:rPr>
          <w:bCs/>
          <w:i/>
          <w:sz w:val="28"/>
        </w:rPr>
        <w:t>(peer review)</w:t>
      </w:r>
      <w:r w:rsidR="00A235C1" w:rsidRPr="00A235C1">
        <w:rPr>
          <w:bCs/>
          <w:sz w:val="28"/>
        </w:rPr>
        <w:t xml:space="preserve"> rezultātus, kas pierāda, ka nepieciešamas mērķtiecīgas darbības, lai novērstu atlikušās nepamatotās vai neproporcionālās barjeras. Tā aicina dalībvalstis veikt proporcionalitātes novērtējumus regulatīvajām prasībām un nosaka, ka Padomei 2014.gada beigās un ik gadu pēc tam jāvērtē progress šajā jomā.</w:t>
      </w:r>
    </w:p>
    <w:p w:rsidR="00A235C1" w:rsidRDefault="00A235C1" w:rsidP="002365AA">
      <w:pPr>
        <w:jc w:val="both"/>
        <w:rPr>
          <w:bCs/>
          <w:sz w:val="28"/>
        </w:rPr>
      </w:pPr>
      <w:r>
        <w:rPr>
          <w:bCs/>
          <w:sz w:val="28"/>
        </w:rPr>
        <w:tab/>
      </w:r>
      <w:r w:rsidRPr="00A235C1">
        <w:rPr>
          <w:bCs/>
          <w:sz w:val="28"/>
        </w:rPr>
        <w:t xml:space="preserve">Padome aicina </w:t>
      </w:r>
      <w:r w:rsidR="00644F61">
        <w:rPr>
          <w:bCs/>
          <w:sz w:val="28"/>
        </w:rPr>
        <w:t>EK</w:t>
      </w:r>
      <w:r w:rsidRPr="00A235C1">
        <w:rPr>
          <w:bCs/>
          <w:sz w:val="28"/>
        </w:rPr>
        <w:t xml:space="preserve"> koncentrēties uz proporcionalitātes novērtējumu un Pakalpojumu direktīvā ietvertās pakalpojumu sniegšanas</w:t>
      </w:r>
      <w:r>
        <w:rPr>
          <w:bCs/>
          <w:sz w:val="28"/>
        </w:rPr>
        <w:t xml:space="preserve"> brīvības klauzulas piemērošanu, kā arī </w:t>
      </w:r>
      <w:r w:rsidRPr="00A235C1">
        <w:rPr>
          <w:bCs/>
          <w:sz w:val="28"/>
        </w:rPr>
        <w:t>atgādina par nepieciešamību sasniegt progresu savstarpējās atzīšanas jautājumos profesionālo kvalifikāciju jomā, aizvien vairāk samazinot reglamentēto profesiju skaitu.</w:t>
      </w:r>
      <w:r>
        <w:rPr>
          <w:bCs/>
          <w:sz w:val="28"/>
        </w:rPr>
        <w:t xml:space="preserve"> </w:t>
      </w:r>
      <w:r w:rsidRPr="00A235C1">
        <w:rPr>
          <w:bCs/>
          <w:sz w:val="28"/>
        </w:rPr>
        <w:t>Padome atzīst, ka daudzi vienotie kontaktpunkti (turpmāk – PSC) joprojām neatbilst Pakalpojumu direktīvas prasībām, tādēļ aicina dalībvalstis līdz 2014.gada beigām uzlabot savus PSC, lai tie atbilstu pārrobežu uzņēmējdarbības veicēju prasībām.</w:t>
      </w:r>
      <w:r>
        <w:rPr>
          <w:bCs/>
          <w:sz w:val="28"/>
        </w:rPr>
        <w:t xml:space="preserve"> </w:t>
      </w:r>
      <w:r w:rsidRPr="00A235C1">
        <w:rPr>
          <w:bCs/>
          <w:sz w:val="28"/>
        </w:rPr>
        <w:t>Padome aicina Komisiju līdz 2015.gada beigām prezentēt izvērtējumu par atlikušajiem pakalpojumu tirgus šķēršļiem, pēc iespējas aptverot neregulatīvās vides prasības.</w:t>
      </w:r>
      <w:r>
        <w:rPr>
          <w:bCs/>
          <w:sz w:val="28"/>
        </w:rPr>
        <w:t xml:space="preserve"> Tāpat, </w:t>
      </w:r>
      <w:r w:rsidRPr="00A235C1">
        <w:rPr>
          <w:bCs/>
          <w:sz w:val="28"/>
        </w:rPr>
        <w:t>Padome aicina Komisiju kopā ar dalībvalstīm novērst nepamatotus šķēršļus pārrobežu mazumtirdzniecības darbībām.</w:t>
      </w:r>
    </w:p>
    <w:p w:rsidR="00A235C1" w:rsidRDefault="00A235C1" w:rsidP="002365AA">
      <w:pPr>
        <w:jc w:val="both"/>
        <w:rPr>
          <w:bCs/>
          <w:sz w:val="28"/>
        </w:rPr>
      </w:pPr>
      <w:r>
        <w:rPr>
          <w:bCs/>
          <w:sz w:val="28"/>
        </w:rPr>
        <w:tab/>
      </w:r>
      <w:r w:rsidRPr="00A235C1">
        <w:rPr>
          <w:bCs/>
          <w:sz w:val="28"/>
        </w:rPr>
        <w:t>Padome atkārtoti uzsver e-tirdzniecības un tiešsaistes pakalpojumu nozīmi un cerīgi skatās uz paku sūtījumu ceļvedi (vēl tiks pieņemts), kā svarīgu soli, lai uzlabotu pārrobežu paku piegādi.</w:t>
      </w:r>
    </w:p>
    <w:p w:rsidR="00A235C1" w:rsidRDefault="00A235C1" w:rsidP="002365AA">
      <w:pPr>
        <w:jc w:val="both"/>
        <w:rPr>
          <w:bCs/>
          <w:sz w:val="28"/>
        </w:rPr>
      </w:pPr>
      <w:r>
        <w:rPr>
          <w:bCs/>
          <w:sz w:val="28"/>
        </w:rPr>
        <w:tab/>
      </w:r>
      <w:r w:rsidRPr="00A235C1">
        <w:rPr>
          <w:bCs/>
          <w:sz w:val="28"/>
        </w:rPr>
        <w:t>Padome atzinīgi vērtē vispārējo vienošanos par pārskatītajām publiskā iepirkuma direktīvām, it īpaši termiņus, kas noteikti saistībā ar e-iepirkumu īstenošanu. Tāpat Padome atzinīgi vērtē Komisijas rīcību, lai veicinātu pāreju uz pilnvērtīgu e-iepirkumu, it īpaši saistībā ar e-rēķinu ieviešanu praksē.</w:t>
      </w:r>
    </w:p>
    <w:p w:rsidR="00657C82" w:rsidRDefault="00657C82" w:rsidP="002365AA">
      <w:pPr>
        <w:jc w:val="both"/>
        <w:rPr>
          <w:bCs/>
          <w:sz w:val="28"/>
        </w:rPr>
      </w:pPr>
    </w:p>
    <w:p w:rsidR="00E128DA" w:rsidRDefault="00E128DA" w:rsidP="002365AA">
      <w:pPr>
        <w:jc w:val="both"/>
        <w:rPr>
          <w:bCs/>
          <w:sz w:val="28"/>
        </w:rPr>
      </w:pPr>
    </w:p>
    <w:p w:rsidR="00A235C1" w:rsidRPr="00264C71" w:rsidRDefault="00A235C1" w:rsidP="00A235C1">
      <w:pPr>
        <w:jc w:val="both"/>
        <w:rPr>
          <w:b/>
          <w:i/>
          <w:sz w:val="28"/>
          <w:szCs w:val="26"/>
          <w:u w:val="single"/>
          <w:lang w:eastAsia="en-US"/>
        </w:rPr>
      </w:pPr>
      <w:r w:rsidRPr="00264C71">
        <w:rPr>
          <w:b/>
          <w:i/>
          <w:sz w:val="28"/>
          <w:szCs w:val="26"/>
          <w:u w:val="single"/>
          <w:lang w:eastAsia="en-US"/>
        </w:rPr>
        <w:lastRenderedPageBreak/>
        <w:t>Latvijas pozīcija:</w:t>
      </w:r>
    </w:p>
    <w:p w:rsidR="00A235C1" w:rsidRDefault="00A235C1" w:rsidP="00A235C1">
      <w:pPr>
        <w:jc w:val="both"/>
        <w:rPr>
          <w:sz w:val="28"/>
          <w:szCs w:val="26"/>
        </w:rPr>
      </w:pPr>
      <w:r w:rsidRPr="00264C71">
        <w:rPr>
          <w:b/>
          <w:sz w:val="28"/>
          <w:szCs w:val="26"/>
        </w:rPr>
        <w:tab/>
      </w:r>
      <w:r w:rsidRPr="00A235C1">
        <w:rPr>
          <w:b/>
          <w:sz w:val="28"/>
          <w:szCs w:val="26"/>
        </w:rPr>
        <w:t>Latvija augsti vērtē</w:t>
      </w:r>
      <w:r w:rsidRPr="00A235C1">
        <w:rPr>
          <w:sz w:val="28"/>
          <w:szCs w:val="26"/>
        </w:rPr>
        <w:t xml:space="preserve"> efektīvi funkcionējoša ES Vienotā tirgus nozīmi, tā lomu ES integrācijā un Latvijas konkurētspējas celšanā, kā arī atbalsta diskusiju Konkurētspējas ministru padomē par ES Vienotā tirgus politiku.</w:t>
      </w:r>
    </w:p>
    <w:p w:rsidR="00A235C1" w:rsidRDefault="00A235C1" w:rsidP="00A235C1">
      <w:pPr>
        <w:jc w:val="both"/>
        <w:rPr>
          <w:sz w:val="28"/>
          <w:szCs w:val="26"/>
        </w:rPr>
      </w:pPr>
      <w:r>
        <w:rPr>
          <w:sz w:val="28"/>
          <w:szCs w:val="26"/>
        </w:rPr>
        <w:tab/>
      </w:r>
      <w:r w:rsidRPr="00A235C1">
        <w:rPr>
          <w:b/>
          <w:sz w:val="28"/>
          <w:szCs w:val="26"/>
        </w:rPr>
        <w:t>Latvija kopumā atbalsta</w:t>
      </w:r>
      <w:r w:rsidRPr="00A235C1">
        <w:rPr>
          <w:sz w:val="28"/>
          <w:szCs w:val="26"/>
        </w:rPr>
        <w:t xml:space="preserve"> Prezidentūras piedāvāto Padomes secinājumu redakciju, kas ir pietiekami ambicioza un sniedz vairākus priekšlikumus ES Vienotā tirgus stiprināšanai, tādējādi atbalsta Padomes secinājumu apstiprināšanu ES Konkurētspējas ministru padomē un atzinīgi vērtē, ka uzsvars l</w:t>
      </w:r>
      <w:r w:rsidR="00396164">
        <w:rPr>
          <w:sz w:val="28"/>
          <w:szCs w:val="26"/>
        </w:rPr>
        <w:t>ikts uz pakalpojumu sektoru un V</w:t>
      </w:r>
      <w:r w:rsidRPr="00A235C1">
        <w:rPr>
          <w:sz w:val="28"/>
          <w:szCs w:val="26"/>
        </w:rPr>
        <w:t>ienotā tirgus pārvaldību.</w:t>
      </w:r>
    </w:p>
    <w:p w:rsidR="00A235C1" w:rsidRPr="00A4226A" w:rsidRDefault="00A235C1" w:rsidP="002365AA">
      <w:pPr>
        <w:jc w:val="both"/>
        <w:rPr>
          <w:sz w:val="28"/>
          <w:szCs w:val="26"/>
        </w:rPr>
      </w:pPr>
      <w:r>
        <w:rPr>
          <w:sz w:val="28"/>
          <w:szCs w:val="26"/>
        </w:rPr>
        <w:tab/>
      </w:r>
      <w:r w:rsidRPr="00A235C1">
        <w:rPr>
          <w:b/>
          <w:sz w:val="28"/>
          <w:szCs w:val="26"/>
        </w:rPr>
        <w:t>Latvijai ir svarīgi</w:t>
      </w:r>
      <w:r w:rsidRPr="00A235C1">
        <w:rPr>
          <w:sz w:val="28"/>
          <w:szCs w:val="26"/>
        </w:rPr>
        <w:t xml:space="preserve">, ka ES </w:t>
      </w:r>
      <w:r w:rsidR="00396164">
        <w:rPr>
          <w:sz w:val="28"/>
          <w:szCs w:val="26"/>
        </w:rPr>
        <w:t>V</w:t>
      </w:r>
      <w:r w:rsidRPr="00A235C1">
        <w:rPr>
          <w:sz w:val="28"/>
          <w:szCs w:val="26"/>
        </w:rPr>
        <w:t xml:space="preserve">ienotā tirgus attīstībai tiek saglabāta augsta politiskā prioritāte un lai tiktu darīts viss izvirzīto mērķu sasniegšanai un ieviešanai praksē iespējami ātrākos laika termiņos. Tāpat </w:t>
      </w:r>
      <w:r w:rsidRPr="00A235C1">
        <w:rPr>
          <w:b/>
          <w:sz w:val="28"/>
          <w:szCs w:val="26"/>
        </w:rPr>
        <w:t>Latvija uzskata</w:t>
      </w:r>
      <w:r w:rsidRPr="00A235C1">
        <w:rPr>
          <w:sz w:val="28"/>
          <w:szCs w:val="26"/>
        </w:rPr>
        <w:t xml:space="preserve">, ka ir nepieciešama integrēta pieeja un koordinācija visos līmeņos no dalībvalstu puses (nevalstiskais sektors, valstu vadītāji, ekspertu grupas), kā arī koordinēta darbība dažādās Padomes un </w:t>
      </w:r>
      <w:r w:rsidR="00396164">
        <w:rPr>
          <w:sz w:val="28"/>
          <w:szCs w:val="26"/>
        </w:rPr>
        <w:t>EK</w:t>
      </w:r>
      <w:r w:rsidRPr="00A235C1">
        <w:rPr>
          <w:sz w:val="28"/>
          <w:szCs w:val="26"/>
        </w:rPr>
        <w:t xml:space="preserve"> aktivitātēs un procesos, ieskaitot ES likumdošanas izstrādes un pieņemšanas procesos, lai nodrošinātu regulatīvās vides vienveidību, kvalitāti un saskaņotību un to, lai neradītu šķēršļus pārrobežu tirdzniecībai.</w:t>
      </w:r>
    </w:p>
    <w:p w:rsidR="00A235C1" w:rsidRPr="00AD78E8" w:rsidRDefault="00A235C1" w:rsidP="002365AA">
      <w:pPr>
        <w:jc w:val="both"/>
        <w:rPr>
          <w:bCs/>
          <w:sz w:val="28"/>
        </w:rPr>
      </w:pPr>
    </w:p>
    <w:p w:rsidR="002365AA" w:rsidRPr="002365AA" w:rsidRDefault="002365AA" w:rsidP="002365AA">
      <w:pPr>
        <w:jc w:val="both"/>
        <w:rPr>
          <w:bCs/>
          <w:i/>
          <w:sz w:val="28"/>
        </w:rPr>
      </w:pPr>
      <w:r>
        <w:rPr>
          <w:bCs/>
          <w:i/>
          <w:sz w:val="28"/>
        </w:rPr>
        <w:t xml:space="preserve">d) </w:t>
      </w:r>
      <w:r w:rsidRPr="002365AA">
        <w:rPr>
          <w:bCs/>
          <w:i/>
          <w:sz w:val="28"/>
        </w:rPr>
        <w:t xml:space="preserve">Lietpratīgs regulējums </w:t>
      </w:r>
    </w:p>
    <w:p w:rsidR="002365AA" w:rsidRPr="00264C71" w:rsidRDefault="002365AA" w:rsidP="002365AA">
      <w:pPr>
        <w:jc w:val="both"/>
        <w:rPr>
          <w:bCs/>
          <w:i/>
          <w:sz w:val="28"/>
        </w:rPr>
      </w:pPr>
      <w:r>
        <w:rPr>
          <w:bCs/>
          <w:i/>
          <w:sz w:val="28"/>
        </w:rPr>
        <w:t>–</w:t>
      </w:r>
      <w:r w:rsidRPr="002365AA">
        <w:rPr>
          <w:bCs/>
          <w:i/>
          <w:sz w:val="28"/>
        </w:rPr>
        <w:t>Padomes secinājumu pieņemšana</w:t>
      </w:r>
    </w:p>
    <w:p w:rsidR="002365AA" w:rsidRPr="00264C71" w:rsidRDefault="002365AA" w:rsidP="002365AA">
      <w:pPr>
        <w:jc w:val="both"/>
        <w:rPr>
          <w:bCs/>
          <w:sz w:val="28"/>
          <w:highlight w:val="yellow"/>
        </w:rPr>
      </w:pPr>
    </w:p>
    <w:p w:rsidR="00795FBC" w:rsidRPr="00795FBC" w:rsidRDefault="00795FBC" w:rsidP="00795FBC">
      <w:pPr>
        <w:pStyle w:val="BodyText2"/>
        <w:jc w:val="both"/>
        <w:rPr>
          <w:bCs/>
          <w:sz w:val="28"/>
        </w:rPr>
      </w:pPr>
      <w:r>
        <w:rPr>
          <w:bCs/>
          <w:sz w:val="28"/>
        </w:rPr>
        <w:tab/>
      </w:r>
      <w:r w:rsidRPr="00795FBC">
        <w:rPr>
          <w:bCs/>
          <w:sz w:val="28"/>
        </w:rPr>
        <w:t xml:space="preserve">Padomes secinājumu projekts par lietpratīgu regulējumu balstās uz 2013.gada 24. un 25.oktobra  Eiropadomes secinājumiem, </w:t>
      </w:r>
      <w:r w:rsidR="00396164">
        <w:rPr>
          <w:bCs/>
          <w:sz w:val="28"/>
        </w:rPr>
        <w:t>EK</w:t>
      </w:r>
      <w:r w:rsidRPr="00795FBC">
        <w:rPr>
          <w:bCs/>
          <w:sz w:val="28"/>
        </w:rPr>
        <w:t xml:space="preserve"> 2013.gada 2.oktobra paziņojumu </w:t>
      </w:r>
      <w:r w:rsidRPr="00795FBC">
        <w:rPr>
          <w:bCs/>
          <w:i/>
          <w:sz w:val="28"/>
        </w:rPr>
        <w:t>Normatīvās atbilstības un izpildes programma (REFIT): rezultāti un turpmākie pasākumi</w:t>
      </w:r>
      <w:r w:rsidRPr="00795FBC">
        <w:rPr>
          <w:bCs/>
          <w:sz w:val="28"/>
        </w:rPr>
        <w:t xml:space="preserve">, kā arī Komisijas 2013.gada 2.oktobra paziņojumu </w:t>
      </w:r>
      <w:r w:rsidRPr="00795FBC">
        <w:rPr>
          <w:bCs/>
          <w:i/>
          <w:sz w:val="28"/>
        </w:rPr>
        <w:t>Nostiprinot lietpratīga regulējuma  pamatus – izvērtējumu uzlabošana</w:t>
      </w:r>
      <w:r w:rsidRPr="00795FBC">
        <w:rPr>
          <w:bCs/>
          <w:sz w:val="28"/>
        </w:rPr>
        <w:t xml:space="preserve">. </w:t>
      </w:r>
    </w:p>
    <w:p w:rsidR="00795FBC" w:rsidRPr="00795FBC" w:rsidRDefault="00795FBC" w:rsidP="00795FBC">
      <w:pPr>
        <w:pStyle w:val="BodyText2"/>
        <w:jc w:val="both"/>
        <w:rPr>
          <w:bCs/>
          <w:sz w:val="28"/>
        </w:rPr>
      </w:pPr>
      <w:r>
        <w:rPr>
          <w:bCs/>
          <w:sz w:val="28"/>
        </w:rPr>
        <w:tab/>
      </w:r>
      <w:r w:rsidRPr="00795FBC">
        <w:rPr>
          <w:bCs/>
          <w:sz w:val="28"/>
        </w:rPr>
        <w:t>Secinājumos Padome uzsver, ka, lai sasniegtu dažādu</w:t>
      </w:r>
      <w:r w:rsidR="00396164">
        <w:rPr>
          <w:bCs/>
          <w:sz w:val="28"/>
        </w:rPr>
        <w:t xml:space="preserve"> ES politiku mērķus, t. sk. ES V</w:t>
      </w:r>
      <w:r w:rsidRPr="00795FBC">
        <w:rPr>
          <w:bCs/>
          <w:sz w:val="28"/>
        </w:rPr>
        <w:t>ienotā tirgus optimālu funkcionēšanu, ir nepieciešams ES regulējums, taču, ņemot vērā izaicinājumus, ar kādiem sastopas Eiropas ekonomika šobrīd,  ir jānodrošina, ka ES regulējums ir caurspīdīgs, vienkāršs un ar pēc iespējas zemākām izmaksām, tajā pašā laikā sekmējot konkurētspēju un jaunu darba vietu radīšanu.</w:t>
      </w:r>
    </w:p>
    <w:p w:rsidR="00795FBC" w:rsidRPr="00795FBC" w:rsidRDefault="00795FBC" w:rsidP="00795FBC">
      <w:pPr>
        <w:pStyle w:val="BodyText2"/>
        <w:jc w:val="both"/>
        <w:rPr>
          <w:bCs/>
          <w:sz w:val="28"/>
        </w:rPr>
      </w:pPr>
      <w:r>
        <w:rPr>
          <w:bCs/>
          <w:sz w:val="28"/>
        </w:rPr>
        <w:tab/>
      </w:r>
      <w:r w:rsidRPr="00795FBC">
        <w:rPr>
          <w:bCs/>
          <w:sz w:val="28"/>
        </w:rPr>
        <w:t xml:space="preserve">Padome atzinīgi vērtē Komisijas paziņojumu </w:t>
      </w:r>
      <w:r w:rsidRPr="00BF2422">
        <w:rPr>
          <w:bCs/>
          <w:i/>
          <w:sz w:val="28"/>
        </w:rPr>
        <w:t>Normatīvās atbilstības un izpildes programma (REFIT): rezultāti un turpmākie pasākumi</w:t>
      </w:r>
      <w:r w:rsidRPr="00795FBC">
        <w:rPr>
          <w:bCs/>
          <w:sz w:val="28"/>
        </w:rPr>
        <w:t>, kurā ietverts visaptverošs plāns ES tiesību aktu kopuma pārskatīšanā un tā sistemātiskā analīzē un gaida turpmāku konkrētu, savlaicīgu un caurskatāmu ar regulējuma uzlabošanu saistītu rīcību ES līmenī un dalībvalstīs.</w:t>
      </w:r>
    </w:p>
    <w:p w:rsidR="00795FBC" w:rsidRPr="00795FBC" w:rsidRDefault="00795FBC" w:rsidP="00795FBC">
      <w:pPr>
        <w:pStyle w:val="BodyText2"/>
        <w:jc w:val="both"/>
        <w:rPr>
          <w:bCs/>
          <w:sz w:val="28"/>
        </w:rPr>
      </w:pPr>
      <w:r>
        <w:rPr>
          <w:bCs/>
          <w:sz w:val="28"/>
        </w:rPr>
        <w:tab/>
      </w:r>
      <w:r w:rsidRPr="00795FBC">
        <w:rPr>
          <w:bCs/>
          <w:sz w:val="28"/>
        </w:rPr>
        <w:t xml:space="preserve">Secinājumos izteikts Padomes atbalsts Komisijas paziņojumam </w:t>
      </w:r>
      <w:r w:rsidRPr="00BF2422">
        <w:rPr>
          <w:bCs/>
          <w:i/>
          <w:sz w:val="28"/>
        </w:rPr>
        <w:t>Nostiprinot lietpratīga regulējuma pamatus –izvērtējumu uzlabošana</w:t>
      </w:r>
      <w:r w:rsidRPr="00795FBC">
        <w:rPr>
          <w:bCs/>
          <w:sz w:val="28"/>
        </w:rPr>
        <w:t xml:space="preserve">, kura mērķis ir turpmāka Komisijas izvērtējumu sistēmas uzlabošana, pilnībā to </w:t>
      </w:r>
      <w:r w:rsidRPr="00795FBC">
        <w:rPr>
          <w:bCs/>
          <w:sz w:val="28"/>
        </w:rPr>
        <w:lastRenderedPageBreak/>
        <w:t>integrējot politikas veidošanas ciklā un padarot caurspīdīgāku,</w:t>
      </w:r>
      <w:r>
        <w:rPr>
          <w:bCs/>
          <w:sz w:val="28"/>
        </w:rPr>
        <w:t xml:space="preserve"> kritiskāku un visaptverošāku.</w:t>
      </w:r>
    </w:p>
    <w:p w:rsidR="002365AA" w:rsidRDefault="00795FBC" w:rsidP="00795FBC">
      <w:pPr>
        <w:pStyle w:val="BodyText2"/>
        <w:jc w:val="both"/>
        <w:rPr>
          <w:bCs/>
          <w:sz w:val="28"/>
        </w:rPr>
      </w:pPr>
      <w:r>
        <w:rPr>
          <w:bCs/>
          <w:sz w:val="28"/>
        </w:rPr>
        <w:tab/>
      </w:r>
      <w:r w:rsidRPr="00795FBC">
        <w:rPr>
          <w:bCs/>
          <w:sz w:val="28"/>
        </w:rPr>
        <w:t>Padome aicina Komisiju turpināt meklēt iespējas, kā samazināt regulējuma radīto slogu, jo īpaši kas attiecas uz MVU saistībā ar REFIT programmu, izmantojot dalībvalstu un ieinteresēto personu ieguldījumu un konsultācijas, lai precīzāk izprastu MVU vajadzības.</w:t>
      </w:r>
    </w:p>
    <w:p w:rsidR="00BF2422" w:rsidRDefault="00BF2422" w:rsidP="00795FBC">
      <w:pPr>
        <w:pStyle w:val="BodyText2"/>
        <w:jc w:val="both"/>
        <w:rPr>
          <w:bCs/>
          <w:sz w:val="28"/>
        </w:rPr>
      </w:pPr>
    </w:p>
    <w:p w:rsidR="00BF2422" w:rsidRPr="00264C71" w:rsidRDefault="00BF2422" w:rsidP="00BF2422">
      <w:pPr>
        <w:jc w:val="both"/>
        <w:rPr>
          <w:b/>
          <w:i/>
          <w:sz w:val="28"/>
          <w:szCs w:val="26"/>
          <w:u w:val="single"/>
          <w:lang w:eastAsia="en-US"/>
        </w:rPr>
      </w:pPr>
      <w:r w:rsidRPr="00264C71">
        <w:rPr>
          <w:b/>
          <w:i/>
          <w:sz w:val="28"/>
          <w:szCs w:val="26"/>
          <w:u w:val="single"/>
          <w:lang w:eastAsia="en-US"/>
        </w:rPr>
        <w:t>Latvijas pozīcija:</w:t>
      </w:r>
    </w:p>
    <w:p w:rsidR="00BF2422" w:rsidRPr="00264C71" w:rsidRDefault="00BF2422" w:rsidP="00BF2422">
      <w:pPr>
        <w:jc w:val="both"/>
        <w:rPr>
          <w:sz w:val="28"/>
          <w:szCs w:val="26"/>
        </w:rPr>
      </w:pPr>
      <w:r w:rsidRPr="00264C71">
        <w:rPr>
          <w:b/>
          <w:sz w:val="28"/>
          <w:szCs w:val="26"/>
        </w:rPr>
        <w:tab/>
      </w:r>
      <w:r w:rsidRPr="00BF2422">
        <w:rPr>
          <w:b/>
          <w:sz w:val="28"/>
          <w:szCs w:val="26"/>
        </w:rPr>
        <w:t xml:space="preserve">Latvija atbalsta </w:t>
      </w:r>
      <w:r w:rsidRPr="00BF2422">
        <w:rPr>
          <w:sz w:val="28"/>
          <w:szCs w:val="26"/>
        </w:rPr>
        <w:t>Padomes secinājumus par lietpratīgu regulējumu, jo lietpratīgs regulējums palīdz uzlabot ES tiesību akt</w:t>
      </w:r>
      <w:r w:rsidR="00396164">
        <w:rPr>
          <w:sz w:val="28"/>
          <w:szCs w:val="26"/>
        </w:rPr>
        <w:t>u kvalitāti, tādējādi sekmējot V</w:t>
      </w:r>
      <w:r w:rsidRPr="00BF2422">
        <w:rPr>
          <w:sz w:val="28"/>
          <w:szCs w:val="26"/>
        </w:rPr>
        <w:t>ienot</w:t>
      </w:r>
      <w:r w:rsidR="00396164">
        <w:rPr>
          <w:sz w:val="28"/>
          <w:szCs w:val="26"/>
        </w:rPr>
        <w:t>ā</w:t>
      </w:r>
      <w:r w:rsidRPr="00BF2422">
        <w:rPr>
          <w:sz w:val="28"/>
          <w:szCs w:val="26"/>
        </w:rPr>
        <w:t xml:space="preserve"> tirgus optimālu darbī</w:t>
      </w:r>
      <w:r>
        <w:rPr>
          <w:sz w:val="28"/>
          <w:szCs w:val="26"/>
        </w:rPr>
        <w:t>bu, novēršot tā sadrumstalotību</w:t>
      </w:r>
      <w:r w:rsidRPr="00BF2422">
        <w:rPr>
          <w:sz w:val="28"/>
          <w:szCs w:val="26"/>
        </w:rPr>
        <w:t xml:space="preserve"> un veicinot uzņēmumu konkurētspēju, lai ES varētu atgriezties uz ilgtspējīgas izaugsmes ceļa.</w:t>
      </w:r>
    </w:p>
    <w:p w:rsidR="00BF2422" w:rsidRDefault="00CE31B1" w:rsidP="00795FBC">
      <w:pPr>
        <w:pStyle w:val="BodyText2"/>
        <w:jc w:val="both"/>
        <w:rPr>
          <w:bCs/>
          <w:sz w:val="28"/>
        </w:rPr>
      </w:pPr>
      <w:r>
        <w:rPr>
          <w:bCs/>
          <w:sz w:val="28"/>
        </w:rPr>
        <w:tab/>
      </w:r>
      <w:r w:rsidRPr="00CE31B1">
        <w:rPr>
          <w:bCs/>
          <w:sz w:val="28"/>
        </w:rPr>
        <w:t xml:space="preserve">Apzinoties ES līmeņa regulējuma lielo nozīmi līdzvērtīgu apstākļu nodrošināšanā tādās jomās kā konkurence, tirdzniecība un iekšējais tirgus, </w:t>
      </w:r>
      <w:r w:rsidRPr="00CE31B1">
        <w:rPr>
          <w:b/>
          <w:bCs/>
          <w:sz w:val="28"/>
        </w:rPr>
        <w:t>Latvija atzinīgi vērtē</w:t>
      </w:r>
      <w:r w:rsidRPr="00CE31B1">
        <w:rPr>
          <w:bCs/>
          <w:sz w:val="28"/>
        </w:rPr>
        <w:t xml:space="preserve"> </w:t>
      </w:r>
      <w:r w:rsidR="00396164">
        <w:rPr>
          <w:bCs/>
          <w:sz w:val="28"/>
        </w:rPr>
        <w:t>EK</w:t>
      </w:r>
      <w:r w:rsidRPr="00CE31B1">
        <w:rPr>
          <w:bCs/>
          <w:sz w:val="28"/>
        </w:rPr>
        <w:t xml:space="preserve"> darbu REFIT programmas (Regulējuma piemērotības un izpildes programma) īstenošanā. </w:t>
      </w:r>
      <w:r w:rsidRPr="00CE31B1">
        <w:rPr>
          <w:b/>
          <w:bCs/>
          <w:sz w:val="28"/>
        </w:rPr>
        <w:t>Uzskatām</w:t>
      </w:r>
      <w:r w:rsidRPr="00CE31B1">
        <w:rPr>
          <w:bCs/>
          <w:sz w:val="28"/>
        </w:rPr>
        <w:t>, ka nodrošinot ES tiesību aktu atbilstību to mērķim, tiek atjaunota virzība uz labāku izaugsmi un nodarbinātību Eiropā, t.sk. arī Latvijā.</w:t>
      </w:r>
    </w:p>
    <w:p w:rsidR="00BF2422" w:rsidRDefault="00CE31B1" w:rsidP="00795FBC">
      <w:pPr>
        <w:pStyle w:val="BodyText2"/>
        <w:jc w:val="both"/>
        <w:rPr>
          <w:bCs/>
          <w:sz w:val="28"/>
        </w:rPr>
      </w:pPr>
      <w:r>
        <w:rPr>
          <w:bCs/>
          <w:sz w:val="28"/>
        </w:rPr>
        <w:tab/>
      </w:r>
      <w:r w:rsidRPr="00CE31B1">
        <w:rPr>
          <w:b/>
          <w:bCs/>
          <w:sz w:val="28"/>
        </w:rPr>
        <w:t>Latvijas galvenie akcenti</w:t>
      </w:r>
      <w:r w:rsidRPr="00CE31B1">
        <w:rPr>
          <w:bCs/>
          <w:sz w:val="28"/>
        </w:rPr>
        <w:t xml:space="preserve"> turpmākajā administratīvā sloga samazināšanas pasākumu īstenošanā Latvijā ir:</w:t>
      </w:r>
    </w:p>
    <w:p w:rsidR="00CE31B1" w:rsidRPr="00CE31B1" w:rsidRDefault="00CE31B1" w:rsidP="00CE31B1">
      <w:pPr>
        <w:pStyle w:val="BodyText2"/>
        <w:numPr>
          <w:ilvl w:val="0"/>
          <w:numId w:val="8"/>
        </w:numPr>
        <w:ind w:left="284" w:hanging="284"/>
        <w:jc w:val="both"/>
        <w:rPr>
          <w:bCs/>
          <w:iCs/>
          <w:sz w:val="28"/>
        </w:rPr>
      </w:pPr>
      <w:r w:rsidRPr="00CE31B1">
        <w:rPr>
          <w:bCs/>
          <w:iCs/>
          <w:sz w:val="28"/>
        </w:rPr>
        <w:t>pārliekas regulācijas novēršana – ES pārņemto normatīvo aktu prasību pārbaude, novēršot iespējas neadekvāti striktu prasību pārņemšanai nacionālajā likumdošanā, maksimāli samazinot administratīvo slogu;</w:t>
      </w:r>
    </w:p>
    <w:p w:rsidR="00CE31B1" w:rsidRPr="00CE31B1" w:rsidRDefault="00CE31B1" w:rsidP="00CE31B1">
      <w:pPr>
        <w:pStyle w:val="BodyText2"/>
        <w:numPr>
          <w:ilvl w:val="0"/>
          <w:numId w:val="8"/>
        </w:numPr>
        <w:ind w:left="284" w:hanging="284"/>
        <w:jc w:val="both"/>
        <w:rPr>
          <w:bCs/>
          <w:iCs/>
          <w:sz w:val="28"/>
        </w:rPr>
      </w:pPr>
      <w:r w:rsidRPr="00CE31B1">
        <w:rPr>
          <w:bCs/>
          <w:iCs/>
          <w:sz w:val="28"/>
        </w:rPr>
        <w:t>tiesību aktu sākotnējās novērtēšanas mehānisma pilnveidošana, nodrošinot, ka uzņēmējiem radītais administratīvais slogs tiek pēc iespējas minimizēts. Tas sevī ietver gan sākotnējās izvērtēšanas procesa uzlabošanu (sākotnēju novērtējumu par informācijas sniegšanas pienākumu radītajām izmaksām uzņēmumiem), kas ticis pārskatīts, un Ministru kabinetā šā gada 30.aprīlī apstiprināti grozījumi attiecīgajos tiesību aktos, kā arī tiesību aktu izstrādē iesaistīto zināšanu un izpratnes līmeņa paaugstināšanu;</w:t>
      </w:r>
    </w:p>
    <w:p w:rsidR="00BF2422" w:rsidRDefault="00CE31B1" w:rsidP="00CE31B1">
      <w:pPr>
        <w:pStyle w:val="BodyText2"/>
        <w:numPr>
          <w:ilvl w:val="0"/>
          <w:numId w:val="8"/>
        </w:numPr>
        <w:ind w:left="284" w:hanging="284"/>
        <w:jc w:val="both"/>
        <w:rPr>
          <w:bCs/>
          <w:iCs/>
          <w:sz w:val="28"/>
        </w:rPr>
      </w:pPr>
      <w:r w:rsidRPr="00CE31B1">
        <w:rPr>
          <w:bCs/>
          <w:iCs/>
          <w:sz w:val="28"/>
        </w:rPr>
        <w:t>valsts pārvaldes pakalpojumu, īpaši e-pakalpojumu, izstrāde, uzlabošana un ieviešana.</w:t>
      </w:r>
    </w:p>
    <w:p w:rsidR="00664033" w:rsidRDefault="00664033" w:rsidP="005B2C5A">
      <w:pPr>
        <w:jc w:val="both"/>
        <w:rPr>
          <w:bCs/>
          <w:iCs/>
          <w:sz w:val="28"/>
        </w:rPr>
      </w:pPr>
    </w:p>
    <w:p w:rsidR="00E128DA" w:rsidRDefault="00E128DA">
      <w:pPr>
        <w:spacing w:after="200" w:line="276" w:lineRule="auto"/>
        <w:rPr>
          <w:b/>
          <w:sz w:val="28"/>
          <w:szCs w:val="28"/>
        </w:rPr>
      </w:pPr>
      <w:r>
        <w:rPr>
          <w:b/>
          <w:sz w:val="28"/>
          <w:szCs w:val="28"/>
        </w:rPr>
        <w:br w:type="page"/>
      </w:r>
    </w:p>
    <w:p w:rsidR="00B03397" w:rsidRPr="00264C71" w:rsidRDefault="00B120E4" w:rsidP="009C3C35">
      <w:pPr>
        <w:pBdr>
          <w:bottom w:val="single" w:sz="4" w:space="1" w:color="auto"/>
        </w:pBdr>
        <w:tabs>
          <w:tab w:val="left" w:pos="9288"/>
        </w:tabs>
        <w:spacing w:after="120"/>
        <w:jc w:val="both"/>
        <w:rPr>
          <w:b/>
          <w:sz w:val="28"/>
          <w:szCs w:val="28"/>
        </w:rPr>
      </w:pPr>
      <w:r w:rsidRPr="00264C71">
        <w:rPr>
          <w:b/>
          <w:sz w:val="28"/>
          <w:szCs w:val="28"/>
        </w:rPr>
        <w:lastRenderedPageBreak/>
        <w:t>1.</w:t>
      </w:r>
      <w:r w:rsidR="002365AA">
        <w:rPr>
          <w:b/>
          <w:sz w:val="28"/>
          <w:szCs w:val="28"/>
        </w:rPr>
        <w:t>5</w:t>
      </w:r>
      <w:r w:rsidR="00B03397" w:rsidRPr="00264C71">
        <w:rPr>
          <w:b/>
          <w:sz w:val="28"/>
          <w:szCs w:val="28"/>
        </w:rPr>
        <w:t xml:space="preserve">. Citi jautājumi </w:t>
      </w:r>
    </w:p>
    <w:p w:rsidR="00B03397" w:rsidRPr="00264C71" w:rsidRDefault="00B03397" w:rsidP="004C1552">
      <w:pPr>
        <w:jc w:val="both"/>
        <w:rPr>
          <w:sz w:val="28"/>
          <w:szCs w:val="28"/>
          <w:highlight w:val="yellow"/>
        </w:rPr>
      </w:pPr>
    </w:p>
    <w:p w:rsidR="00B03397" w:rsidRPr="00264C71" w:rsidRDefault="002365AA" w:rsidP="002365AA">
      <w:pPr>
        <w:pStyle w:val="ListParagraph"/>
        <w:numPr>
          <w:ilvl w:val="0"/>
          <w:numId w:val="1"/>
        </w:numPr>
        <w:tabs>
          <w:tab w:val="left" w:pos="284"/>
        </w:tabs>
        <w:jc w:val="both"/>
        <w:rPr>
          <w:b/>
          <w:sz w:val="28"/>
          <w:szCs w:val="28"/>
        </w:rPr>
      </w:pPr>
      <w:r w:rsidRPr="002365AA">
        <w:rPr>
          <w:b/>
          <w:sz w:val="28"/>
          <w:szCs w:val="28"/>
        </w:rPr>
        <w:t xml:space="preserve">Priekšlikums – </w:t>
      </w:r>
      <w:r w:rsidR="00396164">
        <w:rPr>
          <w:b/>
          <w:sz w:val="28"/>
          <w:szCs w:val="28"/>
        </w:rPr>
        <w:t>EP</w:t>
      </w:r>
      <w:r w:rsidRPr="002365AA">
        <w:rPr>
          <w:b/>
          <w:sz w:val="28"/>
          <w:szCs w:val="28"/>
        </w:rPr>
        <w:t xml:space="preserve"> un Padomes Direktīva par autortiesību un blakustiesību kolektīvo pārvaldījumu un muzikālo darbu tiešsaistes tiesību daudzteritoriālo licencēšanu iekšējā tirgū (pirmais lasījums) </w:t>
      </w:r>
      <w:r w:rsidR="00730AEA" w:rsidRPr="00264C71">
        <w:rPr>
          <w:i/>
          <w:sz w:val="28"/>
          <w:szCs w:val="28"/>
        </w:rPr>
        <w:t>(</w:t>
      </w:r>
      <w:r>
        <w:rPr>
          <w:i/>
          <w:sz w:val="28"/>
          <w:szCs w:val="28"/>
        </w:rPr>
        <w:t>K</w:t>
      </w:r>
      <w:r w:rsidR="00134B9F" w:rsidRPr="00264C71">
        <w:rPr>
          <w:i/>
          <w:sz w:val="28"/>
          <w:szCs w:val="28"/>
        </w:rPr>
        <w:t>M</w:t>
      </w:r>
      <w:r w:rsidR="00730AEA" w:rsidRPr="00264C71">
        <w:rPr>
          <w:i/>
          <w:sz w:val="28"/>
          <w:szCs w:val="28"/>
        </w:rPr>
        <w:t xml:space="preserve"> kompetence</w:t>
      </w:r>
      <w:r w:rsidR="00013A67" w:rsidRPr="00264C71">
        <w:rPr>
          <w:i/>
          <w:sz w:val="28"/>
          <w:szCs w:val="28"/>
        </w:rPr>
        <w:t>)</w:t>
      </w:r>
    </w:p>
    <w:p w:rsidR="00B03397" w:rsidRDefault="00730AEA" w:rsidP="00730AEA">
      <w:pPr>
        <w:tabs>
          <w:tab w:val="left" w:pos="284"/>
        </w:tabs>
        <w:ind w:left="360"/>
        <w:jc w:val="both"/>
        <w:rPr>
          <w:i/>
          <w:sz w:val="28"/>
          <w:szCs w:val="28"/>
        </w:rPr>
      </w:pPr>
      <w:r w:rsidRPr="00264C71">
        <w:rPr>
          <w:i/>
          <w:sz w:val="28"/>
          <w:szCs w:val="28"/>
        </w:rPr>
        <w:t>-</w:t>
      </w:r>
      <w:r w:rsidR="002365AA">
        <w:rPr>
          <w:i/>
          <w:sz w:val="28"/>
          <w:szCs w:val="28"/>
        </w:rPr>
        <w:t>prezidentvalsts</w:t>
      </w:r>
      <w:r w:rsidR="00DE50F6" w:rsidRPr="00264C71">
        <w:rPr>
          <w:i/>
          <w:sz w:val="28"/>
          <w:szCs w:val="28"/>
        </w:rPr>
        <w:t xml:space="preserve"> sniegta informācija</w:t>
      </w:r>
    </w:p>
    <w:p w:rsidR="00F87D49" w:rsidRPr="00264C71" w:rsidRDefault="00F87D49" w:rsidP="00C90A02">
      <w:pPr>
        <w:jc w:val="both"/>
        <w:rPr>
          <w:sz w:val="28"/>
          <w:szCs w:val="28"/>
          <w:highlight w:val="yellow"/>
        </w:rPr>
      </w:pPr>
    </w:p>
    <w:p w:rsidR="00795FBC" w:rsidRPr="00795FBC" w:rsidRDefault="00CD417C" w:rsidP="00795FBC">
      <w:pPr>
        <w:jc w:val="both"/>
        <w:rPr>
          <w:sz w:val="28"/>
          <w:szCs w:val="28"/>
        </w:rPr>
      </w:pPr>
      <w:r w:rsidRPr="00264C71">
        <w:rPr>
          <w:sz w:val="28"/>
          <w:szCs w:val="28"/>
        </w:rPr>
        <w:tab/>
      </w:r>
      <w:r w:rsidR="00795FBC">
        <w:rPr>
          <w:sz w:val="28"/>
          <w:szCs w:val="28"/>
        </w:rPr>
        <w:t>Sanāksmē prezidentvalsts</w:t>
      </w:r>
      <w:r w:rsidR="00F42B98" w:rsidRPr="00264C71">
        <w:rPr>
          <w:sz w:val="28"/>
          <w:szCs w:val="28"/>
        </w:rPr>
        <w:t xml:space="preserve"> sniegs</w:t>
      </w:r>
      <w:r w:rsidR="00795FBC">
        <w:rPr>
          <w:sz w:val="28"/>
          <w:szCs w:val="28"/>
        </w:rPr>
        <w:t xml:space="preserve"> aktuālo informāciju</w:t>
      </w:r>
      <w:r w:rsidR="00F42B98" w:rsidRPr="00264C71">
        <w:rPr>
          <w:sz w:val="28"/>
          <w:szCs w:val="28"/>
        </w:rPr>
        <w:t xml:space="preserve"> par </w:t>
      </w:r>
      <w:r w:rsidR="00795FBC">
        <w:rPr>
          <w:sz w:val="28"/>
          <w:szCs w:val="28"/>
        </w:rPr>
        <w:t xml:space="preserve">priekšlikumu </w:t>
      </w:r>
      <w:r w:rsidR="00396164">
        <w:rPr>
          <w:sz w:val="28"/>
          <w:szCs w:val="28"/>
        </w:rPr>
        <w:t>EP</w:t>
      </w:r>
      <w:r w:rsidR="00795FBC" w:rsidRPr="00795FBC">
        <w:rPr>
          <w:sz w:val="28"/>
          <w:szCs w:val="28"/>
        </w:rPr>
        <w:t xml:space="preserve"> un Padomes Direktīva</w:t>
      </w:r>
      <w:r w:rsidR="00795FBC">
        <w:rPr>
          <w:sz w:val="28"/>
          <w:szCs w:val="28"/>
        </w:rPr>
        <w:t>i</w:t>
      </w:r>
      <w:r w:rsidR="00795FBC" w:rsidRPr="00795FBC">
        <w:rPr>
          <w:sz w:val="28"/>
          <w:szCs w:val="28"/>
        </w:rPr>
        <w:t xml:space="preserve"> par autortiesību un blakustiesību kolektīvo pārvaldījumu un muzikālo darbu tiešsaistes tiesību daudzteritoriālo licencēšanu iekšējā tirgū</w:t>
      </w:r>
      <w:r w:rsidR="00795FBC">
        <w:rPr>
          <w:sz w:val="28"/>
          <w:szCs w:val="28"/>
        </w:rPr>
        <w:t xml:space="preserve">. </w:t>
      </w:r>
      <w:r w:rsidR="00795FBC" w:rsidRPr="00795FBC">
        <w:rPr>
          <w:sz w:val="28"/>
          <w:szCs w:val="28"/>
        </w:rPr>
        <w:t>Priekšlikums direktīvai tika publicēts 2012.gada 17.jūlijā, un tā mērķis ir radīt atbilstošu tiesisko regulējumu autortiesību un blakustiesību kolektīvajam pārvaldījumam, ko veic mantisko tiesību kolektīvā pārvaldījuma organizācijas, paredzot noteikumus, kas nodrošinātu minēto organizāciju labāku pārvaldību un caurskatāmību, kā arī sekmējot muzikālo darbu autortiesību daudzteritoriālo licencēšanu tiešsaistē.</w:t>
      </w:r>
    </w:p>
    <w:p w:rsidR="00795FBC" w:rsidRPr="00264C71" w:rsidRDefault="00795FBC" w:rsidP="00795FBC">
      <w:pPr>
        <w:jc w:val="both"/>
        <w:rPr>
          <w:sz w:val="28"/>
          <w:szCs w:val="28"/>
        </w:rPr>
      </w:pPr>
      <w:r>
        <w:rPr>
          <w:sz w:val="28"/>
          <w:szCs w:val="28"/>
        </w:rPr>
        <w:tab/>
      </w:r>
      <w:r w:rsidRPr="00795FBC">
        <w:rPr>
          <w:sz w:val="28"/>
          <w:szCs w:val="28"/>
        </w:rPr>
        <w:t>2013.gada 4.jūlijā ES Padome vienojās par mandāta sniegšanu prezidentūrai neformālo trialogu uzsākšanai ar Eiropas Parlamentu. Lietuvas prezidentūras laikā priekšlikums direktīvai tika apspriests vairākos neformālajos trialogos ar Eiropas Parlamentu. Plānots, ka Eiropas Parlaments pieņems priekšlikumu direktīvai 1.lasījumā 2014.gada 13.janvārī.</w:t>
      </w:r>
    </w:p>
    <w:p w:rsidR="00E56454" w:rsidRPr="00264C71" w:rsidRDefault="00E56454" w:rsidP="00E56454">
      <w:pPr>
        <w:jc w:val="both"/>
        <w:rPr>
          <w:sz w:val="28"/>
          <w:szCs w:val="28"/>
        </w:rPr>
      </w:pPr>
    </w:p>
    <w:p w:rsidR="0003473A" w:rsidRPr="00964FC6" w:rsidRDefault="00E01BC1" w:rsidP="00E01BC1">
      <w:pPr>
        <w:pStyle w:val="ListParagraph"/>
        <w:numPr>
          <w:ilvl w:val="0"/>
          <w:numId w:val="1"/>
        </w:numPr>
        <w:tabs>
          <w:tab w:val="left" w:pos="284"/>
        </w:tabs>
        <w:jc w:val="both"/>
        <w:rPr>
          <w:b/>
          <w:sz w:val="28"/>
          <w:szCs w:val="28"/>
        </w:rPr>
      </w:pPr>
      <w:r w:rsidRPr="00E01BC1">
        <w:rPr>
          <w:b/>
          <w:sz w:val="28"/>
          <w:szCs w:val="28"/>
        </w:rPr>
        <w:t xml:space="preserve">Vienota spēka Eiropas patents un Vienotā patentu tiesa </w:t>
      </w:r>
      <w:r>
        <w:rPr>
          <w:i/>
          <w:sz w:val="28"/>
          <w:szCs w:val="28"/>
        </w:rPr>
        <w:t>(T</w:t>
      </w:r>
      <w:r w:rsidR="0003473A" w:rsidRPr="00964FC6">
        <w:rPr>
          <w:i/>
          <w:sz w:val="28"/>
          <w:szCs w:val="28"/>
        </w:rPr>
        <w:t>M kompetence)</w:t>
      </w:r>
    </w:p>
    <w:p w:rsidR="0003473A" w:rsidRPr="00264C71" w:rsidRDefault="0003473A" w:rsidP="0003473A">
      <w:pPr>
        <w:tabs>
          <w:tab w:val="left" w:pos="284"/>
        </w:tabs>
        <w:ind w:left="360"/>
        <w:jc w:val="both"/>
        <w:rPr>
          <w:i/>
          <w:sz w:val="28"/>
          <w:szCs w:val="28"/>
        </w:rPr>
      </w:pPr>
      <w:r w:rsidRPr="00964FC6">
        <w:rPr>
          <w:i/>
          <w:sz w:val="28"/>
          <w:szCs w:val="28"/>
        </w:rPr>
        <w:t>-</w:t>
      </w:r>
      <w:r w:rsidR="00E01BC1" w:rsidRPr="00E01BC1">
        <w:t xml:space="preserve"> </w:t>
      </w:r>
      <w:r w:rsidR="00E01BC1" w:rsidRPr="00E01BC1">
        <w:rPr>
          <w:i/>
          <w:sz w:val="28"/>
          <w:szCs w:val="28"/>
        </w:rPr>
        <w:t>prezidentvalsts un sagatavošanas un īpašās komitejas sniegta informācija</w:t>
      </w:r>
    </w:p>
    <w:p w:rsidR="006E0C4F" w:rsidRDefault="006E0C4F" w:rsidP="00603AFF">
      <w:pPr>
        <w:jc w:val="both"/>
        <w:rPr>
          <w:sz w:val="28"/>
          <w:szCs w:val="28"/>
        </w:rPr>
      </w:pPr>
    </w:p>
    <w:p w:rsidR="00272097" w:rsidRDefault="00272097" w:rsidP="0015570E">
      <w:pPr>
        <w:jc w:val="both"/>
        <w:rPr>
          <w:sz w:val="28"/>
          <w:szCs w:val="28"/>
        </w:rPr>
      </w:pPr>
      <w:r>
        <w:rPr>
          <w:sz w:val="28"/>
          <w:szCs w:val="28"/>
        </w:rPr>
        <w:tab/>
      </w:r>
      <w:r w:rsidR="00AA3A1E" w:rsidRPr="00AA3A1E">
        <w:rPr>
          <w:sz w:val="28"/>
          <w:szCs w:val="28"/>
        </w:rPr>
        <w:t>Ar mērķi stiprināt pastāvošo Eiropas patenta sistēmu, lai izveidotu vienoto patentaizsardzības s</w:t>
      </w:r>
      <w:r w:rsidR="00AA3A1E">
        <w:rPr>
          <w:sz w:val="28"/>
          <w:szCs w:val="28"/>
        </w:rPr>
        <w:t xml:space="preserve">istēmu </w:t>
      </w:r>
      <w:r w:rsidR="00396164">
        <w:rPr>
          <w:sz w:val="28"/>
          <w:szCs w:val="28"/>
        </w:rPr>
        <w:t>ES</w:t>
      </w:r>
      <w:r w:rsidR="00AA3A1E">
        <w:rPr>
          <w:sz w:val="28"/>
          <w:szCs w:val="28"/>
        </w:rPr>
        <w:t>, 2009.</w:t>
      </w:r>
      <w:r w:rsidR="00AA3A1E" w:rsidRPr="00AA3A1E">
        <w:rPr>
          <w:sz w:val="28"/>
          <w:szCs w:val="28"/>
        </w:rPr>
        <w:t xml:space="preserve">gada decembrī </w:t>
      </w:r>
      <w:r w:rsidR="00396164">
        <w:rPr>
          <w:sz w:val="28"/>
          <w:szCs w:val="28"/>
        </w:rPr>
        <w:t>ES</w:t>
      </w:r>
      <w:r w:rsidR="00AA3A1E" w:rsidRPr="00AA3A1E">
        <w:rPr>
          <w:sz w:val="28"/>
          <w:szCs w:val="28"/>
        </w:rPr>
        <w:t xml:space="preserve"> dalībvalstis vienojās par patentu sistēmas uzlabošanu, tajā skaitā arī par </w:t>
      </w:r>
      <w:r w:rsidR="00396164">
        <w:rPr>
          <w:sz w:val="28"/>
          <w:szCs w:val="28"/>
        </w:rPr>
        <w:t>ES</w:t>
      </w:r>
      <w:r w:rsidR="00AA3A1E" w:rsidRPr="00AA3A1E">
        <w:rPr>
          <w:sz w:val="28"/>
          <w:szCs w:val="28"/>
        </w:rPr>
        <w:t xml:space="preserve"> patenta galvenajām iezīmēm, izņemot tulkošanas kārtību. Dalībvalstis atzina, ka šajā jautājumā ir n</w:t>
      </w:r>
      <w:r w:rsidR="00AA3A1E">
        <w:rPr>
          <w:sz w:val="28"/>
          <w:szCs w:val="28"/>
        </w:rPr>
        <w:t>epieciešama jauna regula. 2010.</w:t>
      </w:r>
      <w:r w:rsidR="00AA3A1E" w:rsidRPr="00AA3A1E">
        <w:rPr>
          <w:sz w:val="28"/>
          <w:szCs w:val="28"/>
        </w:rPr>
        <w:t xml:space="preserve">gada jūlijā </w:t>
      </w:r>
      <w:r w:rsidR="00396164">
        <w:rPr>
          <w:sz w:val="28"/>
          <w:szCs w:val="28"/>
        </w:rPr>
        <w:t>EK</w:t>
      </w:r>
      <w:r w:rsidR="00AA3A1E" w:rsidRPr="00AA3A1E">
        <w:rPr>
          <w:sz w:val="28"/>
          <w:szCs w:val="28"/>
        </w:rPr>
        <w:t xml:space="preserve"> iesniedza priekšlikumu par </w:t>
      </w:r>
      <w:r w:rsidR="00396164">
        <w:rPr>
          <w:sz w:val="28"/>
          <w:szCs w:val="28"/>
        </w:rPr>
        <w:t>ES</w:t>
      </w:r>
      <w:r w:rsidR="00AA3A1E" w:rsidRPr="00AA3A1E">
        <w:rPr>
          <w:sz w:val="28"/>
          <w:szCs w:val="28"/>
        </w:rPr>
        <w:t xml:space="preserve"> patenta tulkošanas kārtību. Tomēr vienošanās par piemērojamo tulkošanas </w:t>
      </w:r>
      <w:r w:rsidR="00AA3A1E">
        <w:rPr>
          <w:sz w:val="28"/>
          <w:szCs w:val="28"/>
        </w:rPr>
        <w:t>kārtību netika panākta. 2010.</w:t>
      </w:r>
      <w:r w:rsidR="00AA3A1E" w:rsidRPr="00AA3A1E">
        <w:rPr>
          <w:sz w:val="28"/>
          <w:szCs w:val="28"/>
        </w:rPr>
        <w:t>gada decembrī tika secināts, ka pastāv nepārvaramas grūtības, kuras neļauj ieviest šo režīmu</w:t>
      </w:r>
      <w:r w:rsidR="00AA3A1E">
        <w:rPr>
          <w:sz w:val="28"/>
          <w:szCs w:val="28"/>
        </w:rPr>
        <w:t xml:space="preserve"> saprātīgā laika periodā. 2010.gada 14.</w:t>
      </w:r>
      <w:r w:rsidR="00AA3A1E" w:rsidRPr="00AA3A1E">
        <w:rPr>
          <w:sz w:val="28"/>
          <w:szCs w:val="28"/>
        </w:rPr>
        <w:t xml:space="preserve">decembrī pēc 12 dalībvalstu pieprasījuma </w:t>
      </w:r>
      <w:r w:rsidR="00396164">
        <w:rPr>
          <w:sz w:val="28"/>
          <w:szCs w:val="28"/>
        </w:rPr>
        <w:t>EK</w:t>
      </w:r>
      <w:r w:rsidR="00AA3A1E" w:rsidRPr="00AA3A1E">
        <w:rPr>
          <w:sz w:val="28"/>
          <w:szCs w:val="28"/>
        </w:rPr>
        <w:t xml:space="preserve"> ierosināja izveidot ciešāku sadarbību vienotas patentaizsardzības jomā. Pēc </w:t>
      </w:r>
      <w:r w:rsidR="00396164">
        <w:rPr>
          <w:sz w:val="28"/>
          <w:szCs w:val="28"/>
        </w:rPr>
        <w:t>EK</w:t>
      </w:r>
      <w:r w:rsidR="00AA3A1E" w:rsidRPr="00AA3A1E">
        <w:rPr>
          <w:sz w:val="28"/>
          <w:szCs w:val="28"/>
        </w:rPr>
        <w:t xml:space="preserve"> lēmuma arī citas 13 dalībvalstis iesniedza savus lūgumus pievienoties ciešākajai sadarbībai (vienotās patentu aizsardzības izveidē šobrīd nepiedalās Spānija un Itālija).</w:t>
      </w:r>
    </w:p>
    <w:p w:rsidR="00AA3A1E" w:rsidRDefault="00AA3A1E" w:rsidP="0015570E">
      <w:pPr>
        <w:jc w:val="both"/>
        <w:rPr>
          <w:sz w:val="28"/>
          <w:szCs w:val="28"/>
        </w:rPr>
      </w:pPr>
      <w:r>
        <w:rPr>
          <w:sz w:val="28"/>
          <w:szCs w:val="28"/>
        </w:rPr>
        <w:tab/>
        <w:t>Rezultātā 2012.</w:t>
      </w:r>
      <w:r w:rsidRPr="00AA3A1E">
        <w:rPr>
          <w:sz w:val="28"/>
          <w:szCs w:val="28"/>
        </w:rPr>
        <w:t xml:space="preserve">gada 17.decembrī tika pieņemtas divas regulas: 1) </w:t>
      </w:r>
      <w:r w:rsidR="00396164">
        <w:rPr>
          <w:i/>
          <w:sz w:val="28"/>
          <w:szCs w:val="28"/>
        </w:rPr>
        <w:t>EP</w:t>
      </w:r>
      <w:r w:rsidRPr="00AA3A1E">
        <w:rPr>
          <w:i/>
          <w:sz w:val="28"/>
          <w:szCs w:val="28"/>
        </w:rPr>
        <w:t xml:space="preserve"> un Padomes regula (ES) Nr. 1257/2012, ar ko īsteno ciešāku sadarbību attiecībā uz vienotās patentaizsardzības izveidi</w:t>
      </w:r>
      <w:r w:rsidRPr="00AA3A1E">
        <w:rPr>
          <w:sz w:val="28"/>
          <w:szCs w:val="28"/>
        </w:rPr>
        <w:t xml:space="preserve">; 2) </w:t>
      </w:r>
      <w:r w:rsidR="00396164">
        <w:rPr>
          <w:i/>
          <w:sz w:val="28"/>
          <w:szCs w:val="28"/>
        </w:rPr>
        <w:t>EP</w:t>
      </w:r>
      <w:r w:rsidRPr="00AA3A1E">
        <w:rPr>
          <w:i/>
          <w:sz w:val="28"/>
          <w:szCs w:val="28"/>
        </w:rPr>
        <w:t xml:space="preserve"> un Pa</w:t>
      </w:r>
      <w:r>
        <w:rPr>
          <w:i/>
          <w:sz w:val="28"/>
          <w:szCs w:val="28"/>
        </w:rPr>
        <w:t xml:space="preserve">domes regula </w:t>
      </w:r>
      <w:r>
        <w:rPr>
          <w:i/>
          <w:sz w:val="28"/>
          <w:szCs w:val="28"/>
        </w:rPr>
        <w:lastRenderedPageBreak/>
        <w:t>(ES) Nr. 1260/2012</w:t>
      </w:r>
      <w:r w:rsidRPr="00AA3A1E">
        <w:rPr>
          <w:i/>
          <w:sz w:val="28"/>
          <w:szCs w:val="28"/>
        </w:rPr>
        <w:t>, ar ko īsteno ciešāku sadarbību attiecībā uz vienotas patentaizsardzības izveidi, ciktāl tas attiecas uz piemērojamo tulkošanas kārtību</w:t>
      </w:r>
      <w:r w:rsidRPr="00AA3A1E">
        <w:rPr>
          <w:sz w:val="28"/>
          <w:szCs w:val="28"/>
        </w:rPr>
        <w:t xml:space="preserve"> (turpmāk – Regula).</w:t>
      </w:r>
    </w:p>
    <w:p w:rsidR="00AA3A1E" w:rsidRDefault="00AA3A1E" w:rsidP="0015570E">
      <w:pPr>
        <w:jc w:val="both"/>
        <w:rPr>
          <w:sz w:val="28"/>
          <w:szCs w:val="28"/>
        </w:rPr>
      </w:pPr>
      <w:r>
        <w:rPr>
          <w:sz w:val="28"/>
          <w:szCs w:val="28"/>
        </w:rPr>
        <w:tab/>
      </w:r>
      <w:r w:rsidRPr="00AA3A1E">
        <w:rPr>
          <w:sz w:val="28"/>
          <w:szCs w:val="28"/>
        </w:rPr>
        <w:t xml:space="preserve">Lai varētu sākt piemērot minētās regulas, ir jāpiepildās nosacījumam - spēkā </w:t>
      </w:r>
      <w:r>
        <w:rPr>
          <w:sz w:val="28"/>
          <w:szCs w:val="28"/>
        </w:rPr>
        <w:t xml:space="preserve">stājies starptautiskais līgums </w:t>
      </w:r>
      <w:r w:rsidRPr="00AA3A1E">
        <w:rPr>
          <w:i/>
          <w:sz w:val="28"/>
          <w:szCs w:val="28"/>
        </w:rPr>
        <w:t>Vienotās Patentu tiesas izveides nolīgums</w:t>
      </w:r>
      <w:r w:rsidRPr="00AA3A1E">
        <w:rPr>
          <w:sz w:val="28"/>
          <w:szCs w:val="28"/>
        </w:rPr>
        <w:t xml:space="preserve">, kuru Vienotās Patentu tiesas izveidei 2013.gada 19.februārī parakstīja visas līgumslēdzējvalstis (25 ES dalībvalstis, izņemot Spāniju un Itāliju), tai skaitā Latvija (turpmāk – Līgums). Līgums stāsies spēkā, kad to būs ratificējušas vismaz 13 dalībvalstis (ieskaitot trīs valstis ar lielāko spēkā esošo Eiropas patentu skaitu - Francija, Vācija un Apvienotā Karaliste). Uz šo brīdi līgumu </w:t>
      </w:r>
      <w:r>
        <w:rPr>
          <w:sz w:val="28"/>
          <w:szCs w:val="28"/>
        </w:rPr>
        <w:t>ir ratificējusi</w:t>
      </w:r>
      <w:r w:rsidRPr="00AA3A1E">
        <w:rPr>
          <w:sz w:val="28"/>
          <w:szCs w:val="28"/>
        </w:rPr>
        <w:t xml:space="preserve"> tikai Austrija.</w:t>
      </w:r>
    </w:p>
    <w:p w:rsidR="00AA3A1E" w:rsidRPr="00AA3A1E" w:rsidRDefault="00AA3A1E" w:rsidP="00AA3A1E">
      <w:pPr>
        <w:jc w:val="both"/>
        <w:rPr>
          <w:sz w:val="28"/>
          <w:szCs w:val="28"/>
        </w:rPr>
      </w:pPr>
      <w:r>
        <w:rPr>
          <w:sz w:val="28"/>
          <w:szCs w:val="28"/>
        </w:rPr>
        <w:tab/>
      </w:r>
      <w:r w:rsidRPr="00AA3A1E">
        <w:rPr>
          <w:sz w:val="28"/>
          <w:szCs w:val="28"/>
        </w:rPr>
        <w:t>Līgums un Regulas veido vienotu paketi, kurai ir četri galvenie elementi:</w:t>
      </w:r>
    </w:p>
    <w:p w:rsidR="00AA3A1E" w:rsidRPr="00AA3A1E" w:rsidRDefault="00AA3A1E" w:rsidP="00AA3A1E">
      <w:pPr>
        <w:pStyle w:val="ListParagraph"/>
        <w:numPr>
          <w:ilvl w:val="0"/>
          <w:numId w:val="12"/>
        </w:numPr>
        <w:jc w:val="both"/>
        <w:rPr>
          <w:sz w:val="28"/>
          <w:szCs w:val="28"/>
        </w:rPr>
      </w:pPr>
      <w:r w:rsidRPr="00AA3A1E">
        <w:rPr>
          <w:sz w:val="28"/>
          <w:szCs w:val="28"/>
        </w:rPr>
        <w:t xml:space="preserve">tā izveido Vienotā spēka Eiropas patentu ar vienoto aizsardzību iesaistīto 25 </w:t>
      </w:r>
      <w:r w:rsidR="00396164">
        <w:rPr>
          <w:sz w:val="28"/>
          <w:szCs w:val="28"/>
        </w:rPr>
        <w:t>ES</w:t>
      </w:r>
      <w:r w:rsidRPr="00AA3A1E">
        <w:rPr>
          <w:sz w:val="28"/>
          <w:szCs w:val="28"/>
        </w:rPr>
        <w:t xml:space="preserve"> dalībvalstu teritorijā;</w:t>
      </w:r>
    </w:p>
    <w:p w:rsidR="00AA3A1E" w:rsidRPr="00AA3A1E" w:rsidRDefault="00AA3A1E" w:rsidP="00AA3A1E">
      <w:pPr>
        <w:pStyle w:val="ListParagraph"/>
        <w:numPr>
          <w:ilvl w:val="0"/>
          <w:numId w:val="12"/>
        </w:numPr>
        <w:jc w:val="both"/>
        <w:rPr>
          <w:sz w:val="28"/>
          <w:szCs w:val="28"/>
        </w:rPr>
      </w:pPr>
      <w:r w:rsidRPr="00AA3A1E">
        <w:rPr>
          <w:sz w:val="28"/>
          <w:szCs w:val="28"/>
        </w:rPr>
        <w:t>Vienotā spēka Eiropas patents būs pieejams „vienas pieturas aģentūrā”, jo to centralizēti piešķirs Eiropas Patentu iestāde un tam nebūs nepieciešama turpmāka apstiprināšana katrā dalībvalstī;</w:t>
      </w:r>
    </w:p>
    <w:p w:rsidR="00AA3A1E" w:rsidRPr="00AA3A1E" w:rsidRDefault="00AA3A1E" w:rsidP="00AA3A1E">
      <w:pPr>
        <w:pStyle w:val="ListParagraph"/>
        <w:numPr>
          <w:ilvl w:val="0"/>
          <w:numId w:val="12"/>
        </w:numPr>
        <w:jc w:val="both"/>
        <w:rPr>
          <w:sz w:val="28"/>
          <w:szCs w:val="28"/>
        </w:rPr>
      </w:pPr>
      <w:r w:rsidRPr="00AA3A1E">
        <w:rPr>
          <w:sz w:val="28"/>
          <w:szCs w:val="28"/>
        </w:rPr>
        <w:t>tā iesaistītajām dalībvalstīm izveidos vienotu un specializētu tiesvedību patentu jautājumos, tādā veidā novēršot nepieciešamību dublēt tiesvedības procesus dažādās iesaistīto dalībvalstu tiesās un vairojot juridisko noteiktību. Tiks novērsts risks, ka vairākos paralēli noritošos tiesas procesos var tikt pieņemti atšķirīgi lēmumi;</w:t>
      </w:r>
    </w:p>
    <w:p w:rsidR="00AA3A1E" w:rsidRPr="00AA3A1E" w:rsidRDefault="00AA3A1E" w:rsidP="00AA3A1E">
      <w:pPr>
        <w:pStyle w:val="ListParagraph"/>
        <w:numPr>
          <w:ilvl w:val="0"/>
          <w:numId w:val="12"/>
        </w:numPr>
        <w:jc w:val="both"/>
        <w:rPr>
          <w:sz w:val="28"/>
          <w:szCs w:val="28"/>
        </w:rPr>
      </w:pPr>
      <w:r w:rsidRPr="00AA3A1E">
        <w:rPr>
          <w:sz w:val="28"/>
          <w:szCs w:val="28"/>
        </w:rPr>
        <w:t xml:space="preserve">pateicoties mašīntulkošanas pakalpojumiem, kuri bez maksas būs pieejami tiešsaistē, tiks nodrošināta patentu informācijas izplatīšana visās </w:t>
      </w:r>
      <w:r w:rsidR="00396164">
        <w:rPr>
          <w:sz w:val="28"/>
          <w:szCs w:val="28"/>
        </w:rPr>
        <w:t>ES</w:t>
      </w:r>
      <w:r w:rsidRPr="00AA3A1E">
        <w:rPr>
          <w:sz w:val="28"/>
          <w:szCs w:val="28"/>
        </w:rPr>
        <w:t xml:space="preserve"> valodās.</w:t>
      </w:r>
    </w:p>
    <w:p w:rsidR="00E626F6" w:rsidRPr="00264C71" w:rsidRDefault="00E626F6" w:rsidP="00603AFF">
      <w:pPr>
        <w:jc w:val="both"/>
        <w:rPr>
          <w:sz w:val="28"/>
          <w:szCs w:val="28"/>
        </w:rPr>
      </w:pPr>
    </w:p>
    <w:p w:rsidR="0003473A" w:rsidRPr="00264C71" w:rsidRDefault="00E01BC1" w:rsidP="00E01BC1">
      <w:pPr>
        <w:pStyle w:val="ListParagraph"/>
        <w:numPr>
          <w:ilvl w:val="0"/>
          <w:numId w:val="1"/>
        </w:numPr>
        <w:tabs>
          <w:tab w:val="left" w:pos="284"/>
        </w:tabs>
        <w:jc w:val="both"/>
        <w:rPr>
          <w:b/>
          <w:sz w:val="28"/>
          <w:szCs w:val="28"/>
        </w:rPr>
      </w:pPr>
      <w:r w:rsidRPr="00E01BC1">
        <w:rPr>
          <w:b/>
          <w:sz w:val="28"/>
          <w:szCs w:val="28"/>
        </w:rPr>
        <w:t xml:space="preserve">Vispārējā grupu atbrīvojuma regula (GBER) </w:t>
      </w:r>
      <w:r>
        <w:rPr>
          <w:i/>
          <w:sz w:val="28"/>
          <w:szCs w:val="28"/>
        </w:rPr>
        <w:t>(F</w:t>
      </w:r>
      <w:r w:rsidR="0003473A" w:rsidRPr="00264C71">
        <w:rPr>
          <w:i/>
          <w:sz w:val="28"/>
          <w:szCs w:val="28"/>
        </w:rPr>
        <w:t>M kompetence)</w:t>
      </w:r>
    </w:p>
    <w:p w:rsidR="0003473A" w:rsidRPr="00264C71" w:rsidRDefault="0003473A" w:rsidP="0003473A">
      <w:pPr>
        <w:tabs>
          <w:tab w:val="left" w:pos="284"/>
        </w:tabs>
        <w:ind w:left="360"/>
        <w:jc w:val="both"/>
        <w:rPr>
          <w:i/>
          <w:sz w:val="28"/>
          <w:szCs w:val="28"/>
        </w:rPr>
      </w:pPr>
      <w:r w:rsidRPr="00264C71">
        <w:rPr>
          <w:i/>
          <w:sz w:val="28"/>
          <w:szCs w:val="28"/>
        </w:rPr>
        <w:t>-</w:t>
      </w:r>
      <w:r w:rsidR="00E01BC1" w:rsidRPr="00E01BC1">
        <w:rPr>
          <w:i/>
          <w:sz w:val="28"/>
          <w:szCs w:val="28"/>
        </w:rPr>
        <w:t>Komisijas sniegta informācija (pēc Čehijas Republikas delegācijas lūguma)</w:t>
      </w:r>
    </w:p>
    <w:p w:rsidR="00B21D93" w:rsidRDefault="00CB1FD8" w:rsidP="0015570E">
      <w:pPr>
        <w:spacing w:before="120"/>
        <w:jc w:val="both"/>
        <w:rPr>
          <w:sz w:val="28"/>
          <w:szCs w:val="28"/>
        </w:rPr>
      </w:pPr>
      <w:r w:rsidRPr="00264C71">
        <w:rPr>
          <w:sz w:val="28"/>
          <w:szCs w:val="28"/>
        </w:rPr>
        <w:tab/>
      </w:r>
      <w:r w:rsidR="00D20CA0">
        <w:rPr>
          <w:sz w:val="28"/>
          <w:szCs w:val="28"/>
        </w:rPr>
        <w:t xml:space="preserve">Jautājums iekļauts sanāksmes darba kārtībā pēc Čehijas ierosinājuma. </w:t>
      </w:r>
      <w:r w:rsidR="00D20CA0" w:rsidRPr="00D20CA0">
        <w:rPr>
          <w:sz w:val="28"/>
          <w:szCs w:val="28"/>
        </w:rPr>
        <w:t xml:space="preserve">Plānots, ka sanāksmē </w:t>
      </w:r>
      <w:r w:rsidR="00D20CA0">
        <w:rPr>
          <w:sz w:val="28"/>
          <w:szCs w:val="28"/>
        </w:rPr>
        <w:t xml:space="preserve">Konkurētspējas </w:t>
      </w:r>
      <w:r w:rsidR="00D20CA0" w:rsidRPr="00D20CA0">
        <w:rPr>
          <w:sz w:val="28"/>
          <w:szCs w:val="28"/>
        </w:rPr>
        <w:t>komisārs</w:t>
      </w:r>
      <w:r w:rsidR="00D20CA0">
        <w:rPr>
          <w:sz w:val="28"/>
          <w:szCs w:val="28"/>
        </w:rPr>
        <w:t xml:space="preserve"> </w:t>
      </w:r>
      <w:r w:rsidR="00D20CA0" w:rsidRPr="00D20CA0">
        <w:rPr>
          <w:sz w:val="28"/>
          <w:szCs w:val="28"/>
        </w:rPr>
        <w:t xml:space="preserve">J.Almunja atbildēs uz dalībvalstu pausto viedokli par </w:t>
      </w:r>
      <w:r w:rsidR="00D20CA0" w:rsidRPr="00F8565C">
        <w:rPr>
          <w:sz w:val="28"/>
          <w:szCs w:val="28"/>
        </w:rPr>
        <w:t xml:space="preserve">Vispārējās grupu atbrīvojuma regulas un </w:t>
      </w:r>
      <w:r w:rsidR="00EF5A24" w:rsidRPr="00EF5A24">
        <w:rPr>
          <w:sz w:val="28"/>
          <w:szCs w:val="28"/>
        </w:rPr>
        <w:t>Komisijas regula</w:t>
      </w:r>
      <w:r w:rsidR="00EF5A24">
        <w:rPr>
          <w:sz w:val="28"/>
          <w:szCs w:val="28"/>
        </w:rPr>
        <w:t xml:space="preserve">s </w:t>
      </w:r>
      <w:r w:rsidR="00EF5A24" w:rsidRPr="00EF5A24">
        <w:rPr>
          <w:sz w:val="28"/>
          <w:szCs w:val="28"/>
        </w:rPr>
        <w:t xml:space="preserve">par Līguma par Eiropas Savienības darbību 107. un 108. panta piemērošanu </w:t>
      </w:r>
      <w:r w:rsidR="00EF5A24" w:rsidRPr="00EF5A24">
        <w:rPr>
          <w:i/>
          <w:sz w:val="28"/>
          <w:szCs w:val="28"/>
        </w:rPr>
        <w:t>de minimis</w:t>
      </w:r>
      <w:r w:rsidR="00EF5A24" w:rsidRPr="00EF5A24">
        <w:rPr>
          <w:sz w:val="28"/>
          <w:szCs w:val="28"/>
        </w:rPr>
        <w:t xml:space="preserve"> atbalstam</w:t>
      </w:r>
      <w:r w:rsidR="00EF5A24">
        <w:rPr>
          <w:sz w:val="28"/>
          <w:szCs w:val="28"/>
        </w:rPr>
        <w:t xml:space="preserve"> (turpmāk - </w:t>
      </w:r>
      <w:r w:rsidR="00D20CA0" w:rsidRPr="00F8565C">
        <w:rPr>
          <w:i/>
          <w:sz w:val="28"/>
          <w:szCs w:val="28"/>
        </w:rPr>
        <w:t>de minimis</w:t>
      </w:r>
      <w:r w:rsidR="00D20CA0" w:rsidRPr="00F8565C">
        <w:rPr>
          <w:sz w:val="28"/>
          <w:szCs w:val="28"/>
        </w:rPr>
        <w:t xml:space="preserve"> regulas</w:t>
      </w:r>
      <w:r w:rsidR="00EF5A24">
        <w:rPr>
          <w:sz w:val="28"/>
          <w:szCs w:val="28"/>
        </w:rPr>
        <w:t>)</w:t>
      </w:r>
      <w:r w:rsidR="00D20CA0" w:rsidRPr="00F8565C">
        <w:rPr>
          <w:sz w:val="28"/>
          <w:szCs w:val="28"/>
        </w:rPr>
        <w:t xml:space="preserve"> projektiem.</w:t>
      </w:r>
      <w:r w:rsidR="00D20CA0">
        <w:rPr>
          <w:sz w:val="28"/>
          <w:szCs w:val="28"/>
        </w:rPr>
        <w:t xml:space="preserve"> Jautājums </w:t>
      </w:r>
      <w:r w:rsidR="00D20CA0" w:rsidRPr="00D20CA0">
        <w:rPr>
          <w:sz w:val="28"/>
          <w:szCs w:val="28"/>
        </w:rPr>
        <w:t>pēc Čehij</w:t>
      </w:r>
      <w:r w:rsidR="00D20CA0">
        <w:rPr>
          <w:sz w:val="28"/>
          <w:szCs w:val="28"/>
        </w:rPr>
        <w:t>as ierosinājuma bija ietverts jau 2013</w:t>
      </w:r>
      <w:r w:rsidR="00D20CA0" w:rsidRPr="00D20CA0">
        <w:rPr>
          <w:sz w:val="28"/>
          <w:szCs w:val="28"/>
        </w:rPr>
        <w:t>.</w:t>
      </w:r>
      <w:r w:rsidR="00D20CA0">
        <w:rPr>
          <w:sz w:val="28"/>
          <w:szCs w:val="28"/>
        </w:rPr>
        <w:t xml:space="preserve">gada </w:t>
      </w:r>
      <w:r w:rsidR="00D20CA0" w:rsidRPr="00D20CA0">
        <w:rPr>
          <w:sz w:val="28"/>
          <w:szCs w:val="28"/>
        </w:rPr>
        <w:t xml:space="preserve">26.septembra padomes sēdes darba kārtībā, taču Konkurētspējas komisārs sanāksmē nepiedalījās un </w:t>
      </w:r>
      <w:r w:rsidR="00396164">
        <w:rPr>
          <w:sz w:val="28"/>
          <w:szCs w:val="28"/>
        </w:rPr>
        <w:t>EK</w:t>
      </w:r>
      <w:r w:rsidR="00D20CA0" w:rsidRPr="00D20CA0">
        <w:rPr>
          <w:sz w:val="28"/>
          <w:szCs w:val="28"/>
        </w:rPr>
        <w:t xml:space="preserve"> pārstāvis informēja, ka pie šī jautājuma un atbilžu sniegšanas uz dalībvalstu izteiktajām bažām varētu</w:t>
      </w:r>
      <w:r w:rsidR="00D20CA0">
        <w:rPr>
          <w:sz w:val="28"/>
          <w:szCs w:val="28"/>
        </w:rPr>
        <w:t xml:space="preserve"> atgriezties nākamajā sanāksmē.</w:t>
      </w:r>
    </w:p>
    <w:p w:rsidR="00867BB1" w:rsidRPr="00867BB1" w:rsidRDefault="00867BB1" w:rsidP="0015570E">
      <w:pPr>
        <w:spacing w:before="120"/>
        <w:jc w:val="both"/>
        <w:rPr>
          <w:b/>
          <w:i/>
          <w:sz w:val="28"/>
          <w:szCs w:val="28"/>
          <w:u w:val="single"/>
        </w:rPr>
      </w:pPr>
      <w:r w:rsidRPr="00867BB1">
        <w:rPr>
          <w:b/>
          <w:i/>
          <w:sz w:val="28"/>
          <w:szCs w:val="28"/>
          <w:u w:val="single"/>
        </w:rPr>
        <w:t>Latvijas nostāja:</w:t>
      </w:r>
    </w:p>
    <w:p w:rsidR="00867BB1" w:rsidRPr="00867BB1" w:rsidRDefault="00867BB1" w:rsidP="00867BB1">
      <w:pPr>
        <w:spacing w:before="120"/>
        <w:jc w:val="both"/>
        <w:rPr>
          <w:sz w:val="28"/>
          <w:szCs w:val="28"/>
        </w:rPr>
      </w:pPr>
      <w:r>
        <w:rPr>
          <w:b/>
          <w:sz w:val="28"/>
          <w:szCs w:val="28"/>
        </w:rPr>
        <w:tab/>
      </w:r>
      <w:r w:rsidRPr="00867BB1">
        <w:rPr>
          <w:b/>
          <w:sz w:val="28"/>
          <w:szCs w:val="28"/>
        </w:rPr>
        <w:t>Latvija pieņem zināšanai</w:t>
      </w:r>
      <w:r w:rsidRPr="00867BB1">
        <w:rPr>
          <w:sz w:val="28"/>
          <w:szCs w:val="28"/>
        </w:rPr>
        <w:t xml:space="preserve"> Komisijas pausto informāciju.</w:t>
      </w:r>
    </w:p>
    <w:p w:rsidR="00867BB1" w:rsidRPr="00867BB1" w:rsidRDefault="00867BB1" w:rsidP="00867BB1">
      <w:pPr>
        <w:spacing w:before="120"/>
        <w:jc w:val="both"/>
        <w:rPr>
          <w:sz w:val="28"/>
          <w:szCs w:val="28"/>
        </w:rPr>
      </w:pPr>
      <w:r>
        <w:rPr>
          <w:sz w:val="28"/>
          <w:szCs w:val="28"/>
        </w:rPr>
        <w:lastRenderedPageBreak/>
        <w:tab/>
      </w:r>
      <w:r w:rsidRPr="00867BB1">
        <w:rPr>
          <w:b/>
          <w:sz w:val="28"/>
          <w:szCs w:val="28"/>
        </w:rPr>
        <w:t>Latvija uzskata</w:t>
      </w:r>
      <w:r w:rsidRPr="00867BB1">
        <w:rPr>
          <w:sz w:val="28"/>
          <w:szCs w:val="28"/>
        </w:rPr>
        <w:t xml:space="preserve">, ka valsts atbalsta modernizācijas kontekstā būtiski fokusēties uz to atbalstu, kas potenciāli visvairāk kropļo ES iekšējo tirgu, tādējādi modernizācijas procesā vienlaikus nepadarot ierobežojošākus nosacījumus attiecībā uz Vispārējo grupu atbrīvojuma regulu un </w:t>
      </w:r>
      <w:r w:rsidRPr="00E106A0">
        <w:rPr>
          <w:i/>
          <w:sz w:val="28"/>
          <w:szCs w:val="28"/>
        </w:rPr>
        <w:t>de minimis</w:t>
      </w:r>
      <w:r w:rsidRPr="00867BB1">
        <w:rPr>
          <w:sz w:val="28"/>
          <w:szCs w:val="28"/>
        </w:rPr>
        <w:t xml:space="preserve"> regulu. </w:t>
      </w:r>
    </w:p>
    <w:p w:rsidR="00867BB1" w:rsidRPr="00867BB1" w:rsidRDefault="00867BB1" w:rsidP="00867BB1">
      <w:pPr>
        <w:spacing w:before="120"/>
        <w:jc w:val="both"/>
        <w:rPr>
          <w:sz w:val="28"/>
          <w:szCs w:val="28"/>
        </w:rPr>
      </w:pPr>
      <w:r>
        <w:rPr>
          <w:sz w:val="28"/>
          <w:szCs w:val="28"/>
        </w:rPr>
        <w:tab/>
      </w:r>
      <w:r w:rsidRPr="00867BB1">
        <w:rPr>
          <w:b/>
          <w:sz w:val="28"/>
          <w:szCs w:val="28"/>
        </w:rPr>
        <w:t>Latvija ir neitrāla attiecībā</w:t>
      </w:r>
      <w:r w:rsidRPr="00867BB1">
        <w:rPr>
          <w:sz w:val="28"/>
          <w:szCs w:val="28"/>
        </w:rPr>
        <w:t xml:space="preserve"> uz Vispārējās grupu atbrīvojuma regulas nosacījum</w:t>
      </w:r>
      <w:r w:rsidR="00627E80">
        <w:rPr>
          <w:sz w:val="28"/>
          <w:szCs w:val="28"/>
        </w:rPr>
        <w:t>u par slieksni, virs kura valsts</w:t>
      </w:r>
      <w:r w:rsidRPr="00867BB1">
        <w:rPr>
          <w:sz w:val="28"/>
          <w:szCs w:val="28"/>
        </w:rPr>
        <w:t xml:space="preserve"> atbalsta shēma būtu paziņojama EK, ja tā pārsniegtu kumulatīvi 0.01% no IKP gadā un 100 miljonus EUR.</w:t>
      </w:r>
    </w:p>
    <w:p w:rsidR="00867BB1" w:rsidRDefault="00867BB1" w:rsidP="00867BB1">
      <w:pPr>
        <w:spacing w:before="120"/>
        <w:jc w:val="both"/>
        <w:rPr>
          <w:sz w:val="28"/>
          <w:szCs w:val="28"/>
        </w:rPr>
      </w:pPr>
      <w:r>
        <w:rPr>
          <w:sz w:val="28"/>
          <w:szCs w:val="28"/>
        </w:rPr>
        <w:tab/>
      </w:r>
      <w:r w:rsidRPr="00867BB1">
        <w:rPr>
          <w:b/>
          <w:sz w:val="28"/>
          <w:szCs w:val="28"/>
        </w:rPr>
        <w:t>Latvija rosinātu atkārtoti izvērtēt</w:t>
      </w:r>
      <w:r w:rsidRPr="00867BB1">
        <w:rPr>
          <w:sz w:val="28"/>
          <w:szCs w:val="28"/>
        </w:rPr>
        <w:t xml:space="preserve">, vai </w:t>
      </w:r>
      <w:r w:rsidRPr="00867BB1">
        <w:rPr>
          <w:i/>
          <w:sz w:val="28"/>
          <w:szCs w:val="28"/>
        </w:rPr>
        <w:t>de minimis</w:t>
      </w:r>
      <w:r w:rsidRPr="00867BB1">
        <w:rPr>
          <w:sz w:val="28"/>
          <w:szCs w:val="28"/>
        </w:rPr>
        <w:t xml:space="preserve"> valsts atbalsta sniegšana būtu apgrūtināma ar prasību par centrālo datu bāzi, jo </w:t>
      </w:r>
      <w:r w:rsidRPr="00867BB1">
        <w:rPr>
          <w:i/>
          <w:sz w:val="28"/>
          <w:szCs w:val="28"/>
        </w:rPr>
        <w:t>de minimis</w:t>
      </w:r>
      <w:r w:rsidRPr="00867BB1">
        <w:rPr>
          <w:sz w:val="28"/>
          <w:szCs w:val="28"/>
        </w:rPr>
        <w:t xml:space="preserve"> ir ierobežota apmēra atbalsts, kam nav ievērojamas ietekmes uz konkurenci.</w:t>
      </w:r>
    </w:p>
    <w:p w:rsidR="0015570E" w:rsidRDefault="0015570E" w:rsidP="0015570E">
      <w:pPr>
        <w:spacing w:before="120"/>
        <w:jc w:val="both"/>
        <w:rPr>
          <w:sz w:val="28"/>
          <w:szCs w:val="28"/>
        </w:rPr>
      </w:pPr>
    </w:p>
    <w:p w:rsidR="009D65A5" w:rsidRPr="00264C71" w:rsidRDefault="009D65A5" w:rsidP="009D65A5">
      <w:pPr>
        <w:pStyle w:val="ListParagraph"/>
        <w:numPr>
          <w:ilvl w:val="0"/>
          <w:numId w:val="1"/>
        </w:numPr>
        <w:tabs>
          <w:tab w:val="left" w:pos="284"/>
        </w:tabs>
        <w:jc w:val="both"/>
        <w:rPr>
          <w:b/>
          <w:sz w:val="28"/>
          <w:szCs w:val="28"/>
        </w:rPr>
      </w:pPr>
      <w:r w:rsidRPr="009D65A5">
        <w:rPr>
          <w:b/>
          <w:sz w:val="28"/>
          <w:szCs w:val="28"/>
        </w:rPr>
        <w:t>Nākamās prezidentvalsts darba programma</w:t>
      </w:r>
    </w:p>
    <w:p w:rsidR="009D65A5" w:rsidRPr="00264C71" w:rsidRDefault="009D65A5" w:rsidP="009D65A5">
      <w:pPr>
        <w:tabs>
          <w:tab w:val="left" w:pos="284"/>
        </w:tabs>
        <w:ind w:left="360"/>
        <w:jc w:val="both"/>
        <w:rPr>
          <w:i/>
          <w:sz w:val="28"/>
          <w:szCs w:val="28"/>
        </w:rPr>
      </w:pPr>
      <w:r w:rsidRPr="00264C71">
        <w:rPr>
          <w:i/>
          <w:sz w:val="28"/>
          <w:szCs w:val="28"/>
        </w:rPr>
        <w:t>-</w:t>
      </w:r>
      <w:r w:rsidRPr="009D65A5">
        <w:rPr>
          <w:i/>
          <w:sz w:val="28"/>
          <w:szCs w:val="28"/>
        </w:rPr>
        <w:t>Grieķijas delegācijas sniegta informācija</w:t>
      </w:r>
    </w:p>
    <w:p w:rsidR="009D65A5" w:rsidRDefault="009D65A5" w:rsidP="0015570E">
      <w:pPr>
        <w:spacing w:before="120"/>
        <w:jc w:val="both"/>
        <w:rPr>
          <w:sz w:val="28"/>
          <w:szCs w:val="28"/>
        </w:rPr>
      </w:pPr>
      <w:r w:rsidRPr="00264C71">
        <w:rPr>
          <w:sz w:val="28"/>
          <w:szCs w:val="28"/>
        </w:rPr>
        <w:tab/>
      </w:r>
      <w:r w:rsidR="00E700F3" w:rsidRPr="00E700F3">
        <w:rPr>
          <w:sz w:val="28"/>
          <w:szCs w:val="28"/>
        </w:rPr>
        <w:t>Sanāksmē Grieķijas delegācija sniegs informāciju par Grieķijas prezidentūras</w:t>
      </w:r>
      <w:r w:rsidR="00BB7090">
        <w:rPr>
          <w:sz w:val="28"/>
          <w:szCs w:val="28"/>
        </w:rPr>
        <w:t xml:space="preserve"> </w:t>
      </w:r>
      <w:r w:rsidR="00396164">
        <w:rPr>
          <w:sz w:val="28"/>
          <w:szCs w:val="28"/>
        </w:rPr>
        <w:t>ES</w:t>
      </w:r>
      <w:r w:rsidR="00BB7090">
        <w:rPr>
          <w:sz w:val="28"/>
          <w:szCs w:val="28"/>
        </w:rPr>
        <w:t xml:space="preserve"> Padomē</w:t>
      </w:r>
      <w:r w:rsidR="00E700F3" w:rsidRPr="00E700F3">
        <w:rPr>
          <w:sz w:val="28"/>
          <w:szCs w:val="28"/>
        </w:rPr>
        <w:t xml:space="preserve"> darba programmu 2014.gada pirmajā pusē</w:t>
      </w:r>
      <w:r w:rsidRPr="00E700F3">
        <w:rPr>
          <w:sz w:val="28"/>
          <w:szCs w:val="28"/>
        </w:rPr>
        <w:t>.</w:t>
      </w:r>
    </w:p>
    <w:p w:rsidR="003F290F" w:rsidRDefault="003F290F" w:rsidP="00B21D93">
      <w:pPr>
        <w:spacing w:before="240" w:line="276" w:lineRule="auto"/>
        <w:jc w:val="both"/>
        <w:rPr>
          <w:sz w:val="28"/>
          <w:szCs w:val="28"/>
        </w:rPr>
      </w:pPr>
      <w:r>
        <w:rPr>
          <w:sz w:val="28"/>
          <w:szCs w:val="28"/>
        </w:rPr>
        <w:br w:type="page"/>
      </w:r>
    </w:p>
    <w:p w:rsidR="0049471A" w:rsidRPr="00264C71" w:rsidRDefault="0049471A" w:rsidP="000017A5">
      <w:pPr>
        <w:jc w:val="both"/>
        <w:rPr>
          <w:b/>
          <w:sz w:val="28"/>
          <w:szCs w:val="28"/>
        </w:rPr>
      </w:pPr>
      <w:r w:rsidRPr="00264C71">
        <w:rPr>
          <w:b/>
          <w:sz w:val="28"/>
          <w:szCs w:val="28"/>
        </w:rPr>
        <w:lastRenderedPageBreak/>
        <w:t>2.  Latvijas delegācija</w:t>
      </w:r>
    </w:p>
    <w:p w:rsidR="0066585F" w:rsidRPr="00264C71" w:rsidRDefault="0066585F" w:rsidP="0066585F">
      <w:pPr>
        <w:ind w:left="2977" w:hanging="2977"/>
        <w:jc w:val="both"/>
        <w:rPr>
          <w:sz w:val="28"/>
          <w:szCs w:val="28"/>
        </w:rPr>
      </w:pPr>
      <w:r w:rsidRPr="00264C71">
        <w:rPr>
          <w:sz w:val="28"/>
          <w:szCs w:val="28"/>
        </w:rPr>
        <w:t xml:space="preserve">Delegācijas vadītājs: </w:t>
      </w:r>
      <w:r w:rsidRPr="00264C71">
        <w:rPr>
          <w:sz w:val="28"/>
          <w:szCs w:val="28"/>
        </w:rPr>
        <w:tab/>
      </w:r>
      <w:r w:rsidR="00C26BFC" w:rsidRPr="00264C71">
        <w:rPr>
          <w:b/>
          <w:sz w:val="28"/>
          <w:szCs w:val="28"/>
        </w:rPr>
        <w:t xml:space="preserve">Juris </w:t>
      </w:r>
      <w:r w:rsidR="00C26BFC">
        <w:rPr>
          <w:b/>
          <w:sz w:val="28"/>
          <w:szCs w:val="28"/>
        </w:rPr>
        <w:t>Pūce</w:t>
      </w:r>
      <w:r w:rsidR="00C26BFC" w:rsidRPr="00264C71">
        <w:rPr>
          <w:sz w:val="28"/>
          <w:szCs w:val="28"/>
        </w:rPr>
        <w:t xml:space="preserve">, </w:t>
      </w:r>
      <w:r w:rsidR="00C26BFC">
        <w:rPr>
          <w:sz w:val="28"/>
          <w:szCs w:val="28"/>
        </w:rPr>
        <w:t>Ekonomikas ministrijas valsts sekretārs</w:t>
      </w:r>
      <w:r w:rsidRPr="00264C71">
        <w:rPr>
          <w:sz w:val="28"/>
          <w:szCs w:val="28"/>
        </w:rPr>
        <w:t>.</w:t>
      </w:r>
    </w:p>
    <w:p w:rsidR="0066585F" w:rsidRPr="00264C71" w:rsidRDefault="0066585F" w:rsidP="0066585F">
      <w:pPr>
        <w:ind w:left="2977" w:hanging="2977"/>
        <w:jc w:val="both"/>
        <w:rPr>
          <w:sz w:val="28"/>
          <w:szCs w:val="28"/>
        </w:rPr>
      </w:pPr>
    </w:p>
    <w:p w:rsidR="00601F9C" w:rsidRPr="00264C71" w:rsidRDefault="0066585F" w:rsidP="00601F9C">
      <w:pPr>
        <w:ind w:left="2977" w:hanging="2977"/>
        <w:jc w:val="both"/>
        <w:rPr>
          <w:sz w:val="28"/>
          <w:szCs w:val="28"/>
        </w:rPr>
      </w:pPr>
      <w:r w:rsidRPr="00264C71">
        <w:rPr>
          <w:sz w:val="28"/>
          <w:szCs w:val="28"/>
        </w:rPr>
        <w:t xml:space="preserve">Delegācijas dalībnieki: </w:t>
      </w:r>
      <w:r w:rsidRPr="00264C71">
        <w:rPr>
          <w:sz w:val="28"/>
          <w:szCs w:val="28"/>
        </w:rPr>
        <w:tab/>
      </w:r>
      <w:r w:rsidR="00C26BFC" w:rsidRPr="00264C71">
        <w:rPr>
          <w:b/>
          <w:sz w:val="28"/>
          <w:szCs w:val="28"/>
        </w:rPr>
        <w:t>Juris Štālmeistars</w:t>
      </w:r>
      <w:r w:rsidR="00C26BFC" w:rsidRPr="00264C71">
        <w:rPr>
          <w:sz w:val="28"/>
          <w:szCs w:val="28"/>
        </w:rPr>
        <w:t>, Latvijas Republikas pastāvīgā pārstāvja Eiropas Savienībā vietnieks</w:t>
      </w:r>
      <w:r w:rsidR="00C26BFC">
        <w:rPr>
          <w:sz w:val="28"/>
          <w:szCs w:val="28"/>
        </w:rPr>
        <w:t>, vēstnieks</w:t>
      </w:r>
      <w:r w:rsidR="00601F9C" w:rsidRPr="00264C71">
        <w:rPr>
          <w:sz w:val="28"/>
          <w:szCs w:val="28"/>
        </w:rPr>
        <w:t>;</w:t>
      </w:r>
    </w:p>
    <w:p w:rsidR="00601F9C" w:rsidRDefault="009A3B70" w:rsidP="00601F9C">
      <w:pPr>
        <w:ind w:left="2977"/>
        <w:jc w:val="both"/>
        <w:rPr>
          <w:sz w:val="28"/>
          <w:szCs w:val="28"/>
        </w:rPr>
      </w:pPr>
      <w:r w:rsidRPr="00264C71">
        <w:rPr>
          <w:b/>
          <w:sz w:val="28"/>
          <w:szCs w:val="28"/>
        </w:rPr>
        <w:t>Inese Balode</w:t>
      </w:r>
      <w:r w:rsidR="0066585F" w:rsidRPr="00264C71">
        <w:rPr>
          <w:sz w:val="28"/>
          <w:szCs w:val="28"/>
        </w:rPr>
        <w:t xml:space="preserve">, Ekonomikas ministrijas </w:t>
      </w:r>
      <w:r w:rsidR="00766219" w:rsidRPr="00264C71">
        <w:rPr>
          <w:sz w:val="28"/>
          <w:szCs w:val="28"/>
        </w:rPr>
        <w:t>Ārējo ekonomisko attiecību departamenta</w:t>
      </w:r>
      <w:r w:rsidRPr="00264C71">
        <w:rPr>
          <w:sz w:val="28"/>
          <w:szCs w:val="28"/>
        </w:rPr>
        <w:t xml:space="preserve"> direktore</w:t>
      </w:r>
      <w:r w:rsidR="0066585F" w:rsidRPr="00264C71">
        <w:rPr>
          <w:sz w:val="28"/>
          <w:szCs w:val="28"/>
        </w:rPr>
        <w:t>;</w:t>
      </w:r>
    </w:p>
    <w:p w:rsidR="00FF342E" w:rsidRPr="00264C71" w:rsidRDefault="00FF342E" w:rsidP="00FF342E">
      <w:pPr>
        <w:ind w:left="2977"/>
        <w:jc w:val="both"/>
        <w:rPr>
          <w:sz w:val="28"/>
          <w:szCs w:val="28"/>
        </w:rPr>
      </w:pPr>
      <w:r w:rsidRPr="00264C71">
        <w:rPr>
          <w:b/>
          <w:sz w:val="28"/>
          <w:szCs w:val="28"/>
        </w:rPr>
        <w:t>In</w:t>
      </w:r>
      <w:r>
        <w:rPr>
          <w:b/>
          <w:sz w:val="28"/>
          <w:szCs w:val="28"/>
        </w:rPr>
        <w:t>ga</w:t>
      </w:r>
      <w:r w:rsidRPr="00264C71">
        <w:rPr>
          <w:b/>
          <w:sz w:val="28"/>
          <w:szCs w:val="28"/>
        </w:rPr>
        <w:t xml:space="preserve"> </w:t>
      </w:r>
      <w:r>
        <w:rPr>
          <w:b/>
          <w:sz w:val="28"/>
          <w:szCs w:val="28"/>
        </w:rPr>
        <w:t>Apsīte</w:t>
      </w:r>
      <w:r w:rsidRPr="00264C71">
        <w:rPr>
          <w:sz w:val="28"/>
          <w:szCs w:val="28"/>
        </w:rPr>
        <w:t xml:space="preserve">, Ekonomikas ministrijas </w:t>
      </w:r>
      <w:r>
        <w:rPr>
          <w:sz w:val="28"/>
          <w:szCs w:val="28"/>
        </w:rPr>
        <w:t xml:space="preserve">Iekšējā tirgus </w:t>
      </w:r>
      <w:r w:rsidRPr="00264C71">
        <w:rPr>
          <w:sz w:val="28"/>
          <w:szCs w:val="28"/>
        </w:rPr>
        <w:t>departamenta direktore;</w:t>
      </w:r>
    </w:p>
    <w:p w:rsidR="0066585F" w:rsidRPr="00264C71" w:rsidRDefault="004D1754" w:rsidP="0066585F">
      <w:pPr>
        <w:ind w:left="2977"/>
        <w:jc w:val="both"/>
        <w:rPr>
          <w:sz w:val="28"/>
          <w:szCs w:val="28"/>
        </w:rPr>
      </w:pPr>
      <w:r w:rsidRPr="00264C71">
        <w:rPr>
          <w:b/>
          <w:sz w:val="28"/>
          <w:szCs w:val="28"/>
        </w:rPr>
        <w:t xml:space="preserve">Aivars </w:t>
      </w:r>
      <w:r w:rsidR="0066585F" w:rsidRPr="00264C71">
        <w:rPr>
          <w:b/>
          <w:sz w:val="28"/>
          <w:szCs w:val="28"/>
        </w:rPr>
        <w:t>Neimanis</w:t>
      </w:r>
      <w:r w:rsidR="0066585F" w:rsidRPr="00264C71">
        <w:rPr>
          <w:sz w:val="28"/>
          <w:szCs w:val="28"/>
        </w:rPr>
        <w:t>, Ekonomikas ministrijas nozares padomnieks Latvijas Republikas Pastāvīgajā pārstāvniecībā Eiropas Savienībā;</w:t>
      </w:r>
    </w:p>
    <w:p w:rsidR="0066585F" w:rsidRPr="00264C71" w:rsidRDefault="0066585F" w:rsidP="0066585F">
      <w:pPr>
        <w:ind w:left="2977"/>
        <w:jc w:val="both"/>
        <w:rPr>
          <w:bCs/>
          <w:sz w:val="28"/>
          <w:szCs w:val="28"/>
        </w:rPr>
      </w:pPr>
      <w:r w:rsidRPr="00264C71">
        <w:rPr>
          <w:b/>
          <w:bCs/>
          <w:sz w:val="28"/>
          <w:szCs w:val="28"/>
        </w:rPr>
        <w:t>Anna Upena</w:t>
      </w:r>
      <w:r w:rsidRPr="00264C71">
        <w:rPr>
          <w:bCs/>
          <w:sz w:val="28"/>
          <w:szCs w:val="28"/>
        </w:rPr>
        <w:t>,</w:t>
      </w:r>
      <w:r w:rsidRPr="00264C71">
        <w:rPr>
          <w:b/>
          <w:bCs/>
          <w:sz w:val="28"/>
          <w:szCs w:val="28"/>
        </w:rPr>
        <w:t xml:space="preserve"> </w:t>
      </w:r>
      <w:r w:rsidRPr="00264C71">
        <w:rPr>
          <w:bCs/>
          <w:sz w:val="28"/>
          <w:szCs w:val="28"/>
        </w:rPr>
        <w:t xml:space="preserve">Ekonomikas ministrijas nozares padomniece Latvijas Republikas </w:t>
      </w:r>
      <w:r w:rsidRPr="00264C71">
        <w:rPr>
          <w:sz w:val="28"/>
          <w:szCs w:val="28"/>
        </w:rPr>
        <w:t xml:space="preserve">Pastāvīgajā pārstāvniecībā </w:t>
      </w:r>
      <w:r w:rsidR="0046554A" w:rsidRPr="00264C71">
        <w:rPr>
          <w:bCs/>
          <w:sz w:val="28"/>
          <w:szCs w:val="28"/>
        </w:rPr>
        <w:t>Eiropas Savienībā</w:t>
      </w:r>
      <w:r w:rsidR="009A3B70" w:rsidRPr="00264C71">
        <w:rPr>
          <w:bCs/>
          <w:sz w:val="28"/>
          <w:szCs w:val="28"/>
        </w:rPr>
        <w:t>;</w:t>
      </w:r>
    </w:p>
    <w:p w:rsidR="00356D6C" w:rsidRPr="00264C71" w:rsidRDefault="00356D6C" w:rsidP="0066585F">
      <w:pPr>
        <w:ind w:left="2977"/>
        <w:jc w:val="both"/>
        <w:rPr>
          <w:bCs/>
          <w:sz w:val="28"/>
          <w:szCs w:val="28"/>
        </w:rPr>
      </w:pPr>
      <w:r w:rsidRPr="00264C71">
        <w:rPr>
          <w:b/>
          <w:bCs/>
          <w:sz w:val="28"/>
          <w:szCs w:val="28"/>
        </w:rPr>
        <w:t>Rinalds</w:t>
      </w:r>
      <w:r w:rsidR="00AC75DB" w:rsidRPr="00264C71">
        <w:rPr>
          <w:b/>
          <w:bCs/>
          <w:sz w:val="28"/>
          <w:szCs w:val="28"/>
        </w:rPr>
        <w:t xml:space="preserve"> Celmiņš</w:t>
      </w:r>
      <w:r w:rsidR="00D94E99" w:rsidRPr="00264C71">
        <w:rPr>
          <w:bCs/>
          <w:sz w:val="28"/>
          <w:szCs w:val="28"/>
        </w:rPr>
        <w:t>, Ekonomikas ministrijas Uzņēmējdarbības konkurētspējas departamenta ārštata eksperts;</w:t>
      </w:r>
    </w:p>
    <w:p w:rsidR="00FF342E" w:rsidRDefault="00617AE4" w:rsidP="0066585F">
      <w:pPr>
        <w:ind w:left="2977"/>
        <w:jc w:val="both"/>
        <w:rPr>
          <w:bCs/>
          <w:sz w:val="28"/>
          <w:szCs w:val="28"/>
        </w:rPr>
      </w:pPr>
      <w:r w:rsidRPr="00617AE4">
        <w:rPr>
          <w:b/>
          <w:bCs/>
          <w:sz w:val="28"/>
          <w:szCs w:val="28"/>
        </w:rPr>
        <w:t>B</w:t>
      </w:r>
      <w:r>
        <w:rPr>
          <w:b/>
          <w:bCs/>
          <w:sz w:val="28"/>
          <w:szCs w:val="28"/>
        </w:rPr>
        <w:t xml:space="preserve">aiba </w:t>
      </w:r>
      <w:r w:rsidRPr="00617AE4">
        <w:rPr>
          <w:b/>
          <w:bCs/>
          <w:sz w:val="28"/>
          <w:szCs w:val="28"/>
        </w:rPr>
        <w:t>Jugane</w:t>
      </w:r>
      <w:r>
        <w:rPr>
          <w:bCs/>
          <w:sz w:val="28"/>
          <w:szCs w:val="28"/>
        </w:rPr>
        <w:t>,</w:t>
      </w:r>
      <w:r w:rsidRPr="00617AE4">
        <w:rPr>
          <w:bCs/>
          <w:sz w:val="28"/>
          <w:szCs w:val="28"/>
        </w:rPr>
        <w:t xml:space="preserve"> Tieslietu ministrija</w:t>
      </w:r>
      <w:r>
        <w:rPr>
          <w:bCs/>
          <w:sz w:val="28"/>
          <w:szCs w:val="28"/>
        </w:rPr>
        <w:t>s</w:t>
      </w:r>
      <w:r w:rsidRPr="00617AE4">
        <w:rPr>
          <w:bCs/>
          <w:sz w:val="28"/>
          <w:szCs w:val="28"/>
        </w:rPr>
        <w:t xml:space="preserve"> </w:t>
      </w:r>
      <w:r>
        <w:rPr>
          <w:bCs/>
          <w:sz w:val="28"/>
          <w:szCs w:val="28"/>
        </w:rPr>
        <w:t>tieslietu padomniece Briselē</w:t>
      </w:r>
      <w:r w:rsidR="00FF342E">
        <w:rPr>
          <w:bCs/>
          <w:sz w:val="28"/>
          <w:szCs w:val="28"/>
        </w:rPr>
        <w:t>;</w:t>
      </w:r>
    </w:p>
    <w:p w:rsidR="0049471A" w:rsidRPr="00264C71" w:rsidRDefault="0049471A" w:rsidP="00CA30F2">
      <w:pPr>
        <w:tabs>
          <w:tab w:val="right" w:pos="9071"/>
        </w:tabs>
        <w:spacing w:after="120"/>
        <w:jc w:val="both"/>
        <w:rPr>
          <w:sz w:val="28"/>
          <w:szCs w:val="28"/>
        </w:rPr>
      </w:pPr>
    </w:p>
    <w:p w:rsidR="00543611" w:rsidRPr="00264C71" w:rsidRDefault="00543611" w:rsidP="00025B33">
      <w:pPr>
        <w:tabs>
          <w:tab w:val="right" w:pos="8931"/>
        </w:tabs>
        <w:spacing w:after="120"/>
        <w:rPr>
          <w:sz w:val="28"/>
          <w:szCs w:val="28"/>
        </w:rPr>
      </w:pPr>
    </w:p>
    <w:p w:rsidR="00084744" w:rsidRPr="00264C71" w:rsidRDefault="003840A0" w:rsidP="00025B33">
      <w:pPr>
        <w:tabs>
          <w:tab w:val="right" w:pos="8931"/>
        </w:tabs>
        <w:spacing w:after="120"/>
        <w:rPr>
          <w:sz w:val="28"/>
          <w:szCs w:val="28"/>
        </w:rPr>
      </w:pPr>
      <w:r w:rsidRPr="00264C71">
        <w:rPr>
          <w:sz w:val="28"/>
          <w:szCs w:val="28"/>
        </w:rPr>
        <w:t xml:space="preserve">Iesniedzējs: </w:t>
      </w:r>
      <w:r w:rsidR="00025B33" w:rsidRPr="00264C71">
        <w:rPr>
          <w:sz w:val="28"/>
          <w:szCs w:val="28"/>
        </w:rPr>
        <w:tab/>
      </w:r>
    </w:p>
    <w:p w:rsidR="00484651" w:rsidRPr="00264C71" w:rsidRDefault="00D813CF" w:rsidP="00D813CF">
      <w:pPr>
        <w:tabs>
          <w:tab w:val="right" w:pos="8931"/>
        </w:tabs>
        <w:spacing w:after="120"/>
        <w:rPr>
          <w:sz w:val="28"/>
          <w:szCs w:val="28"/>
        </w:rPr>
      </w:pPr>
      <w:r w:rsidRPr="00264C71">
        <w:rPr>
          <w:sz w:val="28"/>
          <w:szCs w:val="28"/>
        </w:rPr>
        <w:t xml:space="preserve">Ekonomikas </w:t>
      </w:r>
      <w:r w:rsidR="00084744" w:rsidRPr="00264C71">
        <w:rPr>
          <w:sz w:val="28"/>
          <w:szCs w:val="28"/>
        </w:rPr>
        <w:t>ministrs</w:t>
      </w:r>
      <w:r w:rsidRPr="00264C71">
        <w:rPr>
          <w:sz w:val="28"/>
          <w:szCs w:val="28"/>
        </w:rPr>
        <w:tab/>
        <w:t>D</w:t>
      </w:r>
      <w:r w:rsidR="00084744" w:rsidRPr="00264C71">
        <w:rPr>
          <w:sz w:val="28"/>
          <w:szCs w:val="28"/>
        </w:rPr>
        <w:t>.</w:t>
      </w:r>
      <w:r w:rsidRPr="00264C71">
        <w:rPr>
          <w:sz w:val="28"/>
          <w:szCs w:val="28"/>
        </w:rPr>
        <w:t>Pavļuts</w:t>
      </w:r>
    </w:p>
    <w:p w:rsidR="003840A0" w:rsidRPr="00264C71" w:rsidRDefault="003840A0" w:rsidP="00977FEC">
      <w:pPr>
        <w:spacing w:after="120"/>
        <w:jc w:val="both"/>
        <w:rPr>
          <w:sz w:val="28"/>
          <w:szCs w:val="28"/>
        </w:rPr>
      </w:pPr>
    </w:p>
    <w:p w:rsidR="00B77079" w:rsidRDefault="00B77079" w:rsidP="00977FEC">
      <w:pPr>
        <w:spacing w:after="120"/>
        <w:jc w:val="both"/>
        <w:rPr>
          <w:sz w:val="28"/>
          <w:szCs w:val="28"/>
        </w:rPr>
      </w:pPr>
    </w:p>
    <w:p w:rsidR="007D243D" w:rsidRPr="00264C71" w:rsidRDefault="007D243D" w:rsidP="00977FEC">
      <w:pPr>
        <w:spacing w:after="120"/>
        <w:jc w:val="both"/>
        <w:rPr>
          <w:sz w:val="28"/>
          <w:szCs w:val="28"/>
        </w:rPr>
      </w:pPr>
    </w:p>
    <w:p w:rsidR="0066585F" w:rsidRPr="00264C71" w:rsidRDefault="001B24AB" w:rsidP="00025B33">
      <w:pPr>
        <w:tabs>
          <w:tab w:val="right" w:pos="8931"/>
        </w:tabs>
        <w:spacing w:after="120"/>
        <w:rPr>
          <w:sz w:val="28"/>
          <w:szCs w:val="28"/>
        </w:rPr>
      </w:pPr>
      <w:r w:rsidRPr="00264C71">
        <w:rPr>
          <w:sz w:val="28"/>
          <w:szCs w:val="28"/>
        </w:rPr>
        <w:t>Vī</w:t>
      </w:r>
      <w:r w:rsidR="003840A0" w:rsidRPr="00264C71">
        <w:rPr>
          <w:sz w:val="28"/>
          <w:szCs w:val="28"/>
        </w:rPr>
        <w:t xml:space="preserve">zē: </w:t>
      </w:r>
      <w:r w:rsidR="00025B33" w:rsidRPr="00264C71">
        <w:rPr>
          <w:sz w:val="28"/>
          <w:szCs w:val="28"/>
        </w:rPr>
        <w:tab/>
      </w:r>
      <w:r w:rsidR="003840A0" w:rsidRPr="00264C71">
        <w:rPr>
          <w:sz w:val="28"/>
          <w:szCs w:val="28"/>
        </w:rPr>
        <w:t>Valsts sekretārs</w:t>
      </w:r>
    </w:p>
    <w:p w:rsidR="003840A0" w:rsidRPr="00264C71" w:rsidRDefault="003840A0" w:rsidP="00025B33">
      <w:pPr>
        <w:tabs>
          <w:tab w:val="right" w:pos="8931"/>
        </w:tabs>
        <w:spacing w:after="120"/>
        <w:rPr>
          <w:sz w:val="28"/>
          <w:szCs w:val="28"/>
        </w:rPr>
      </w:pPr>
      <w:r w:rsidRPr="00264C71">
        <w:rPr>
          <w:sz w:val="28"/>
          <w:szCs w:val="28"/>
        </w:rPr>
        <w:tab/>
        <w:t xml:space="preserve">   J. Pūce</w:t>
      </w:r>
    </w:p>
    <w:p w:rsidR="00422C05" w:rsidRPr="00264C71" w:rsidRDefault="00422C05" w:rsidP="00025B33">
      <w:pPr>
        <w:jc w:val="both"/>
        <w:rPr>
          <w:sz w:val="18"/>
          <w:szCs w:val="18"/>
          <w:u w:val="single"/>
        </w:rPr>
      </w:pPr>
    </w:p>
    <w:p w:rsidR="0079598D" w:rsidRPr="00264C71" w:rsidRDefault="0079598D" w:rsidP="00025B33">
      <w:pPr>
        <w:jc w:val="both"/>
        <w:rPr>
          <w:sz w:val="18"/>
          <w:szCs w:val="18"/>
          <w:u w:val="single"/>
        </w:rPr>
      </w:pPr>
    </w:p>
    <w:p w:rsidR="0079598D" w:rsidRPr="00264C71" w:rsidRDefault="0079598D" w:rsidP="00025B33">
      <w:pPr>
        <w:jc w:val="both"/>
        <w:rPr>
          <w:sz w:val="18"/>
          <w:szCs w:val="18"/>
          <w:u w:val="single"/>
        </w:rPr>
      </w:pPr>
    </w:p>
    <w:p w:rsidR="00271604" w:rsidRPr="00264C71" w:rsidRDefault="000C1FAA" w:rsidP="00025B33">
      <w:pPr>
        <w:jc w:val="both"/>
        <w:rPr>
          <w:sz w:val="20"/>
        </w:rPr>
      </w:pPr>
      <w:r w:rsidRPr="00264C71">
        <w:rPr>
          <w:sz w:val="20"/>
        </w:rPr>
        <w:t>2</w:t>
      </w:r>
      <w:r w:rsidR="00E90C2F">
        <w:rPr>
          <w:sz w:val="20"/>
        </w:rPr>
        <w:t>5.11</w:t>
      </w:r>
      <w:r w:rsidR="00271604" w:rsidRPr="00264C71">
        <w:rPr>
          <w:sz w:val="20"/>
        </w:rPr>
        <w:t>.201</w:t>
      </w:r>
      <w:r w:rsidR="00EF4F93">
        <w:rPr>
          <w:sz w:val="20"/>
        </w:rPr>
        <w:t>3. 1</w:t>
      </w:r>
      <w:r w:rsidR="00737E3E">
        <w:rPr>
          <w:sz w:val="20"/>
        </w:rPr>
        <w:t>2</w:t>
      </w:r>
      <w:bookmarkStart w:id="2" w:name="_GoBack"/>
      <w:bookmarkEnd w:id="2"/>
      <w:r w:rsidR="00271604" w:rsidRPr="00264C71">
        <w:rPr>
          <w:sz w:val="20"/>
        </w:rPr>
        <w:t>:</w:t>
      </w:r>
      <w:r w:rsidR="00E90C2F">
        <w:rPr>
          <w:sz w:val="20"/>
        </w:rPr>
        <w:t>30</w:t>
      </w:r>
    </w:p>
    <w:p w:rsidR="00447246" w:rsidRPr="00264C71" w:rsidRDefault="004D1754" w:rsidP="00025B33">
      <w:pPr>
        <w:jc w:val="both"/>
        <w:rPr>
          <w:sz w:val="20"/>
          <w:szCs w:val="18"/>
        </w:rPr>
      </w:pPr>
      <w:r w:rsidRPr="00264C71">
        <w:rPr>
          <w:sz w:val="28"/>
        </w:rPr>
        <w:fldChar w:fldCharType="begin"/>
      </w:r>
      <w:r w:rsidRPr="00264C71">
        <w:rPr>
          <w:sz w:val="28"/>
        </w:rPr>
        <w:instrText xml:space="preserve"> NUMWORDS   \* MERGEFORMAT </w:instrText>
      </w:r>
      <w:r w:rsidRPr="00264C71">
        <w:rPr>
          <w:sz w:val="28"/>
        </w:rPr>
        <w:fldChar w:fldCharType="separate"/>
      </w:r>
      <w:r w:rsidR="00737E3E" w:rsidRPr="00737E3E">
        <w:rPr>
          <w:noProof/>
          <w:sz w:val="20"/>
          <w:szCs w:val="18"/>
        </w:rPr>
        <w:t>4429</w:t>
      </w:r>
      <w:r w:rsidRPr="00264C71">
        <w:rPr>
          <w:sz w:val="20"/>
          <w:szCs w:val="18"/>
        </w:rPr>
        <w:fldChar w:fldCharType="end"/>
      </w:r>
    </w:p>
    <w:p w:rsidR="00447246" w:rsidRPr="00264C71" w:rsidRDefault="00DC4512" w:rsidP="00025B33">
      <w:pPr>
        <w:jc w:val="both"/>
        <w:rPr>
          <w:sz w:val="20"/>
          <w:szCs w:val="18"/>
        </w:rPr>
      </w:pPr>
      <w:r w:rsidRPr="00264C71">
        <w:rPr>
          <w:sz w:val="20"/>
          <w:szCs w:val="18"/>
        </w:rPr>
        <w:t>K</w:t>
      </w:r>
      <w:r w:rsidR="00447246" w:rsidRPr="00264C71">
        <w:rPr>
          <w:sz w:val="20"/>
          <w:szCs w:val="18"/>
        </w:rPr>
        <w:t>.</w:t>
      </w:r>
      <w:r w:rsidRPr="00264C71">
        <w:rPr>
          <w:sz w:val="20"/>
          <w:szCs w:val="18"/>
        </w:rPr>
        <w:t>Stabiņš</w:t>
      </w:r>
    </w:p>
    <w:p w:rsidR="00447246" w:rsidRPr="00264C71" w:rsidRDefault="00447246" w:rsidP="00025B33">
      <w:pPr>
        <w:jc w:val="both"/>
        <w:rPr>
          <w:sz w:val="20"/>
          <w:szCs w:val="18"/>
        </w:rPr>
      </w:pPr>
      <w:r w:rsidRPr="00264C71">
        <w:rPr>
          <w:sz w:val="20"/>
          <w:szCs w:val="18"/>
        </w:rPr>
        <w:t>Ekonomikas ministrijas</w:t>
      </w:r>
    </w:p>
    <w:p w:rsidR="00447246" w:rsidRPr="00264C71" w:rsidRDefault="00447246" w:rsidP="00025B33">
      <w:pPr>
        <w:jc w:val="both"/>
        <w:rPr>
          <w:sz w:val="20"/>
          <w:szCs w:val="18"/>
        </w:rPr>
      </w:pPr>
      <w:r w:rsidRPr="00264C71">
        <w:rPr>
          <w:sz w:val="20"/>
          <w:szCs w:val="18"/>
        </w:rPr>
        <w:t>Ārējo ekonomisko attiecību departaments</w:t>
      </w:r>
    </w:p>
    <w:p w:rsidR="00447246" w:rsidRPr="00264C71" w:rsidRDefault="00DC4512" w:rsidP="00025B33">
      <w:pPr>
        <w:jc w:val="both"/>
        <w:rPr>
          <w:sz w:val="32"/>
          <w:szCs w:val="28"/>
        </w:rPr>
      </w:pPr>
      <w:r w:rsidRPr="00264C71">
        <w:rPr>
          <w:sz w:val="20"/>
          <w:szCs w:val="18"/>
        </w:rPr>
        <w:t>67013046</w:t>
      </w:r>
      <w:r w:rsidR="00447246" w:rsidRPr="00264C71">
        <w:rPr>
          <w:sz w:val="20"/>
          <w:szCs w:val="18"/>
        </w:rPr>
        <w:t xml:space="preserve">, </w:t>
      </w:r>
      <w:r w:rsidRPr="00264C71">
        <w:rPr>
          <w:sz w:val="20"/>
          <w:szCs w:val="18"/>
        </w:rPr>
        <w:t>Kaspars</w:t>
      </w:r>
      <w:r w:rsidR="00447246" w:rsidRPr="00264C71">
        <w:rPr>
          <w:sz w:val="20"/>
          <w:szCs w:val="18"/>
        </w:rPr>
        <w:t>.</w:t>
      </w:r>
      <w:r w:rsidRPr="00264C71">
        <w:rPr>
          <w:sz w:val="20"/>
          <w:szCs w:val="18"/>
        </w:rPr>
        <w:t>Stabins</w:t>
      </w:r>
      <w:r w:rsidR="00447246" w:rsidRPr="00264C71">
        <w:rPr>
          <w:sz w:val="20"/>
          <w:szCs w:val="18"/>
        </w:rPr>
        <w:t xml:space="preserve">@em.gov.lv </w:t>
      </w:r>
    </w:p>
    <w:sectPr w:rsidR="00447246" w:rsidRPr="00264C71" w:rsidSect="00FB544A">
      <w:headerReference w:type="default" r:id="rId9"/>
      <w:footerReference w:type="default" r:id="rId10"/>
      <w:footerReference w:type="first" r:id="rId11"/>
      <w:pgSz w:w="11906" w:h="16838"/>
      <w:pgMar w:top="993"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02" w:rsidRDefault="00F33D02" w:rsidP="0079342A">
      <w:r>
        <w:separator/>
      </w:r>
    </w:p>
  </w:endnote>
  <w:endnote w:type="continuationSeparator" w:id="0">
    <w:p w:rsidR="00F33D02" w:rsidRDefault="00F33D02" w:rsidP="0079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69" w:rsidRPr="00A95769" w:rsidRDefault="00662FF5">
    <w:pPr>
      <w:rPr>
        <w:szCs w:val="20"/>
      </w:rPr>
    </w:pPr>
    <w:r>
      <w:rPr>
        <w:sz w:val="20"/>
        <w:szCs w:val="20"/>
        <w:lang w:eastAsia="en-US"/>
      </w:rPr>
      <w:t>EMZino_2611</w:t>
    </w:r>
    <w:r w:rsidR="00A95769" w:rsidRPr="00A95769">
      <w:rPr>
        <w:sz w:val="20"/>
        <w:szCs w:val="20"/>
        <w:lang w:eastAsia="en-US"/>
      </w:rPr>
      <w:t>13_COMPET; Informatīvais zi</w:t>
    </w:r>
    <w:r w:rsidR="00A95769">
      <w:rPr>
        <w:sz w:val="20"/>
        <w:szCs w:val="20"/>
        <w:lang w:eastAsia="en-US"/>
      </w:rPr>
      <w:t>ņojums par</w:t>
    </w:r>
    <w:r w:rsidR="00A95769" w:rsidRPr="00A95769">
      <w:rPr>
        <w:sz w:val="20"/>
        <w:szCs w:val="20"/>
        <w:lang w:eastAsia="en-US"/>
      </w:rPr>
      <w:t xml:space="preserve"> Latvijas Republikas nostāju Eiropas Savienības Konkurētspē</w:t>
    </w:r>
    <w:r>
      <w:rPr>
        <w:sz w:val="20"/>
        <w:szCs w:val="20"/>
        <w:lang w:eastAsia="en-US"/>
      </w:rPr>
      <w:t>jas ministru padomes 2013.gada 2</w:t>
    </w:r>
    <w:r w:rsidR="00A95769" w:rsidRPr="00A95769">
      <w:rPr>
        <w:sz w:val="20"/>
        <w:szCs w:val="20"/>
        <w:lang w:eastAsia="en-US"/>
      </w:rPr>
      <w:t>.</w:t>
    </w:r>
    <w:r>
      <w:rPr>
        <w:sz w:val="20"/>
        <w:szCs w:val="20"/>
        <w:lang w:eastAsia="en-US"/>
      </w:rPr>
      <w:t>decembra</w:t>
    </w:r>
    <w:r w:rsidR="00A95769" w:rsidRPr="00A95769">
      <w:rPr>
        <w:sz w:val="20"/>
        <w:szCs w:val="20"/>
        <w:lang w:eastAsia="en-US"/>
      </w:rPr>
      <w:t xml:space="preserve"> sanāksmē izskatāmajos jautājumos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92" w:rsidRPr="0079598D" w:rsidRDefault="00662FF5" w:rsidP="0079598D">
    <w:pPr>
      <w:rPr>
        <w:szCs w:val="20"/>
      </w:rPr>
    </w:pPr>
    <w:r>
      <w:rPr>
        <w:sz w:val="20"/>
        <w:szCs w:val="20"/>
        <w:lang w:eastAsia="en-US"/>
      </w:rPr>
      <w:t>EMZino_2611</w:t>
    </w:r>
    <w:r w:rsidR="0079598D" w:rsidRPr="00A95769">
      <w:rPr>
        <w:sz w:val="20"/>
        <w:szCs w:val="20"/>
        <w:lang w:eastAsia="en-US"/>
      </w:rPr>
      <w:t>13_COMPET; Informatīvais zi</w:t>
    </w:r>
    <w:r w:rsidR="0079598D">
      <w:rPr>
        <w:sz w:val="20"/>
        <w:szCs w:val="20"/>
        <w:lang w:eastAsia="en-US"/>
      </w:rPr>
      <w:t>ņojums par</w:t>
    </w:r>
    <w:r w:rsidR="0079598D" w:rsidRPr="00A95769">
      <w:rPr>
        <w:sz w:val="20"/>
        <w:szCs w:val="20"/>
        <w:lang w:eastAsia="en-US"/>
      </w:rPr>
      <w:t xml:space="preserve"> Latvijas Republikas nostāju Eiropas Savienības Konkurētspē</w:t>
    </w:r>
    <w:r w:rsidR="0079598D">
      <w:rPr>
        <w:sz w:val="20"/>
        <w:szCs w:val="20"/>
        <w:lang w:eastAsia="en-US"/>
      </w:rPr>
      <w:t>jas ministru padomes 2013.gada 2</w:t>
    </w:r>
    <w:r w:rsidR="0079598D" w:rsidRPr="00A95769">
      <w:rPr>
        <w:sz w:val="20"/>
        <w:szCs w:val="20"/>
        <w:lang w:eastAsia="en-US"/>
      </w:rPr>
      <w:t>.</w:t>
    </w:r>
    <w:r>
      <w:rPr>
        <w:sz w:val="20"/>
        <w:szCs w:val="20"/>
        <w:lang w:eastAsia="en-US"/>
      </w:rPr>
      <w:t>decembra</w:t>
    </w:r>
    <w:r w:rsidR="0079598D" w:rsidRPr="00A95769">
      <w:rPr>
        <w:sz w:val="20"/>
        <w:szCs w:val="20"/>
        <w:lang w:eastAsia="en-US"/>
      </w:rPr>
      <w:t xml:space="preserve"> sanāksmē izskatāmajos jautājumos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02" w:rsidRDefault="00F33D02" w:rsidP="0079342A">
      <w:r>
        <w:separator/>
      </w:r>
    </w:p>
  </w:footnote>
  <w:footnote w:type="continuationSeparator" w:id="0">
    <w:p w:rsidR="00F33D02" w:rsidRDefault="00F33D02" w:rsidP="0079342A">
      <w:r>
        <w:continuationSeparator/>
      </w:r>
    </w:p>
  </w:footnote>
  <w:footnote w:id="1">
    <w:p w:rsidR="00AB05BE" w:rsidRDefault="00AB05BE">
      <w:pPr>
        <w:pStyle w:val="FootnoteText"/>
      </w:pPr>
      <w:r>
        <w:rPr>
          <w:rStyle w:val="FootnoteReference"/>
        </w:rPr>
        <w:footnoteRef/>
      </w:r>
      <w:r>
        <w:t xml:space="preserve"> Sākotnējo pozīciju par šo jautājumu paredzēts apstiprināt Ministru kabineta 2013.gada 26.novembra sēdē.</w:t>
      </w:r>
    </w:p>
  </w:footnote>
  <w:footnote w:id="2">
    <w:p w:rsidR="00C04858" w:rsidRDefault="00C04858">
      <w:pPr>
        <w:pStyle w:val="FootnoteText"/>
      </w:pPr>
      <w:r>
        <w:rPr>
          <w:rStyle w:val="FootnoteReference"/>
        </w:rPr>
        <w:footnoteRef/>
      </w:r>
      <w:r>
        <w:t xml:space="preserve"> Latvijas sākotnējā nacionālā pozīcija sagatavota iesniegšanai Ministru Kabineta 26.novembra sēdē.</w:t>
      </w:r>
    </w:p>
  </w:footnote>
  <w:footnote w:id="3">
    <w:p w:rsidR="009D70F9" w:rsidRDefault="009D70F9">
      <w:pPr>
        <w:pStyle w:val="FootnoteText"/>
      </w:pPr>
      <w:r>
        <w:rPr>
          <w:rStyle w:val="FootnoteReference"/>
        </w:rPr>
        <w:footnoteRef/>
      </w:r>
      <w:r>
        <w:t xml:space="preserve"> Sākotnējo nacionālo pozīciju par Ikgadējo izaugsmes ziņojumu paredzēts apstiprināt 26.novembra Ministru Kabineta sēdē, kā arī prezentēt š.g. 29.novembra Saeimas Eiropas lietu komisijas sēdē.</w:t>
      </w:r>
    </w:p>
  </w:footnote>
  <w:footnote w:id="4">
    <w:p w:rsidR="00B64213" w:rsidRPr="001B0DF5" w:rsidRDefault="00B64213" w:rsidP="00B64213">
      <w:pPr>
        <w:pStyle w:val="FootnoteText"/>
        <w:tabs>
          <w:tab w:val="left" w:pos="0"/>
        </w:tabs>
        <w:jc w:val="both"/>
        <w:rPr>
          <w:rFonts w:ascii="Cambria" w:hAnsi="Cambria"/>
        </w:rPr>
      </w:pPr>
      <w:r w:rsidRPr="001B0DF5">
        <w:rPr>
          <w:rStyle w:val="FootnoteReference"/>
          <w:rFonts w:ascii="Cambria" w:hAnsi="Cambria"/>
        </w:rPr>
        <w:footnoteRef/>
      </w:r>
      <w:r w:rsidRPr="001B0DF5">
        <w:rPr>
          <w:rFonts w:ascii="Cambria" w:hAnsi="Cambria"/>
        </w:rPr>
        <w:t xml:space="preserve"> COM(2010)614 „Integrēta rūpniecības politika globalizācijas laikmetam: prioritāte konkurētspējai un ilgtspējai”</w:t>
      </w:r>
    </w:p>
  </w:footnote>
  <w:footnote w:id="5">
    <w:p w:rsidR="00B64213" w:rsidRPr="00AF01E0" w:rsidRDefault="00B64213" w:rsidP="00B64213">
      <w:pPr>
        <w:pStyle w:val="FootnoteText"/>
        <w:tabs>
          <w:tab w:val="left" w:pos="0"/>
        </w:tabs>
        <w:jc w:val="both"/>
      </w:pPr>
      <w:r>
        <w:rPr>
          <w:rStyle w:val="FootnoteReference"/>
        </w:rPr>
        <w:footnoteRef/>
      </w:r>
      <w:r>
        <w:t xml:space="preserve"> </w:t>
      </w:r>
      <w:r>
        <w:rPr>
          <w:rFonts w:ascii="Cambria" w:hAnsi="Cambria"/>
        </w:rPr>
        <w:t>COM(2012)</w:t>
      </w:r>
      <w:r w:rsidRPr="001B0DF5">
        <w:rPr>
          <w:rFonts w:ascii="Cambria" w:hAnsi="Cambria"/>
        </w:rPr>
        <w:t>582 „Spēcīgāka Eiropas rūpniecība izaugsmei un ekonomikas atveseļošanai: Atjaunināts paziņojums par rūpniecības politiku”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564"/>
      <w:docPartObj>
        <w:docPartGallery w:val="Page Numbers (Top of Page)"/>
        <w:docPartUnique/>
      </w:docPartObj>
    </w:sdtPr>
    <w:sdtEndPr/>
    <w:sdtContent>
      <w:p w:rsidR="00713692" w:rsidRDefault="00713692">
        <w:pPr>
          <w:pStyle w:val="Header"/>
          <w:jc w:val="center"/>
        </w:pPr>
        <w:r>
          <w:fldChar w:fldCharType="begin"/>
        </w:r>
        <w:r>
          <w:instrText xml:space="preserve"> PAGE   \* MERGEFORMAT </w:instrText>
        </w:r>
        <w:r>
          <w:fldChar w:fldCharType="separate"/>
        </w:r>
        <w:r w:rsidR="00737E3E">
          <w:rPr>
            <w:noProof/>
          </w:rPr>
          <w:t>16</w:t>
        </w:r>
        <w:r>
          <w:rPr>
            <w:noProof/>
          </w:rPr>
          <w:fldChar w:fldCharType="end"/>
        </w:r>
      </w:p>
    </w:sdtContent>
  </w:sdt>
  <w:p w:rsidR="00713692" w:rsidRDefault="00713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8F4"/>
    <w:multiLevelType w:val="hybridMultilevel"/>
    <w:tmpl w:val="9C70F2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823B45"/>
    <w:multiLevelType w:val="hybridMultilevel"/>
    <w:tmpl w:val="0F8239F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94B3B29"/>
    <w:multiLevelType w:val="hybridMultilevel"/>
    <w:tmpl w:val="CB2E3394"/>
    <w:lvl w:ilvl="0" w:tplc="9ABED88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241A2CAB"/>
    <w:multiLevelType w:val="hybridMultilevel"/>
    <w:tmpl w:val="8C503D8C"/>
    <w:lvl w:ilvl="0" w:tplc="9ABED88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25305623"/>
    <w:multiLevelType w:val="hybridMultilevel"/>
    <w:tmpl w:val="7430BE64"/>
    <w:lvl w:ilvl="0" w:tplc="9ABED88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25902D69"/>
    <w:multiLevelType w:val="hybridMultilevel"/>
    <w:tmpl w:val="C4BAC8BC"/>
    <w:lvl w:ilvl="0" w:tplc="04260001">
      <w:start w:val="1"/>
      <w:numFmt w:val="bullet"/>
      <w:lvlText w:val=""/>
      <w:lvlJc w:val="left"/>
      <w:pPr>
        <w:ind w:left="720" w:hanging="720"/>
      </w:pPr>
      <w:rPr>
        <w:rFonts w:ascii="Symbol" w:hAnsi="Symbol" w:hint="default"/>
      </w:rPr>
    </w:lvl>
    <w:lvl w:ilvl="1" w:tplc="998E5CB4">
      <w:start w:val="3"/>
      <w:numFmt w:val="bullet"/>
      <w:lvlText w:val="-"/>
      <w:lvlJc w:val="left"/>
      <w:pPr>
        <w:ind w:left="1440" w:hanging="72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306C4E45"/>
    <w:multiLevelType w:val="hybridMultilevel"/>
    <w:tmpl w:val="F59C1A6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3C317450"/>
    <w:multiLevelType w:val="hybridMultilevel"/>
    <w:tmpl w:val="D4CAF70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3E767367"/>
    <w:multiLevelType w:val="hybridMultilevel"/>
    <w:tmpl w:val="7116C6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3F270B14"/>
    <w:multiLevelType w:val="hybridMultilevel"/>
    <w:tmpl w:val="6D42E30C"/>
    <w:lvl w:ilvl="0" w:tplc="22E6521C">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2E33128"/>
    <w:multiLevelType w:val="hybridMultilevel"/>
    <w:tmpl w:val="1CF446B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48B622CD"/>
    <w:multiLevelType w:val="hybridMultilevel"/>
    <w:tmpl w:val="49BAC8F0"/>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50DA1177"/>
    <w:multiLevelType w:val="hybridMultilevel"/>
    <w:tmpl w:val="4A5ADB44"/>
    <w:lvl w:ilvl="0" w:tplc="4F526DA8">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54410760"/>
    <w:multiLevelType w:val="hybridMultilevel"/>
    <w:tmpl w:val="2020BDD4"/>
    <w:lvl w:ilvl="0" w:tplc="4F526DA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78313D6"/>
    <w:multiLevelType w:val="hybridMultilevel"/>
    <w:tmpl w:val="7116C6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64C51F1E"/>
    <w:multiLevelType w:val="hybridMultilevel"/>
    <w:tmpl w:val="EAC07582"/>
    <w:lvl w:ilvl="0" w:tplc="4F526DA8">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66982112"/>
    <w:multiLevelType w:val="hybridMultilevel"/>
    <w:tmpl w:val="DC820456"/>
    <w:lvl w:ilvl="0" w:tplc="22E6521C">
      <w:start w:val="1"/>
      <w:numFmt w:val="decimal"/>
      <w:lvlText w:val="%1)"/>
      <w:lvlJc w:val="left"/>
      <w:pPr>
        <w:ind w:left="720" w:hanging="720"/>
      </w:pPr>
      <w:rPr>
        <w:rFonts w:hint="default"/>
      </w:rPr>
    </w:lvl>
    <w:lvl w:ilvl="1" w:tplc="998E5CB4">
      <w:start w:val="3"/>
      <w:numFmt w:val="bullet"/>
      <w:lvlText w:val="-"/>
      <w:lvlJc w:val="left"/>
      <w:pPr>
        <w:ind w:left="1440" w:hanging="72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77D90279"/>
    <w:multiLevelType w:val="hybridMultilevel"/>
    <w:tmpl w:val="D2E885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1"/>
  </w:num>
  <w:num w:numId="2">
    <w:abstractNumId w:val="1"/>
  </w:num>
  <w:num w:numId="3">
    <w:abstractNumId w:val="8"/>
  </w:num>
  <w:num w:numId="4">
    <w:abstractNumId w:val="6"/>
  </w:num>
  <w:num w:numId="5">
    <w:abstractNumId w:val="14"/>
  </w:num>
  <w:num w:numId="6">
    <w:abstractNumId w:val="7"/>
  </w:num>
  <w:num w:numId="7">
    <w:abstractNumId w:val="17"/>
  </w:num>
  <w:num w:numId="8">
    <w:abstractNumId w:val="16"/>
  </w:num>
  <w:num w:numId="9">
    <w:abstractNumId w:val="0"/>
  </w:num>
  <w:num w:numId="10">
    <w:abstractNumId w:val="5"/>
  </w:num>
  <w:num w:numId="11">
    <w:abstractNumId w:val="10"/>
  </w:num>
  <w:num w:numId="12">
    <w:abstractNumId w:val="3"/>
  </w:num>
  <w:num w:numId="13">
    <w:abstractNumId w:val="9"/>
  </w:num>
  <w:num w:numId="14">
    <w:abstractNumId w:val="13"/>
  </w:num>
  <w:num w:numId="15">
    <w:abstractNumId w:val="12"/>
  </w:num>
  <w:num w:numId="16">
    <w:abstractNumId w:val="15"/>
  </w:num>
  <w:num w:numId="17">
    <w:abstractNumId w:val="2"/>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48"/>
    <w:rsid w:val="000017A5"/>
    <w:rsid w:val="0000312B"/>
    <w:rsid w:val="00010DE8"/>
    <w:rsid w:val="00013A67"/>
    <w:rsid w:val="00014E4E"/>
    <w:rsid w:val="000163A1"/>
    <w:rsid w:val="00017CA9"/>
    <w:rsid w:val="00022163"/>
    <w:rsid w:val="000230C6"/>
    <w:rsid w:val="00025575"/>
    <w:rsid w:val="00025B33"/>
    <w:rsid w:val="000304D8"/>
    <w:rsid w:val="00030F27"/>
    <w:rsid w:val="00033500"/>
    <w:rsid w:val="0003473A"/>
    <w:rsid w:val="00037E43"/>
    <w:rsid w:val="00041C3F"/>
    <w:rsid w:val="00041EC0"/>
    <w:rsid w:val="00045380"/>
    <w:rsid w:val="00053471"/>
    <w:rsid w:val="000538D0"/>
    <w:rsid w:val="00054145"/>
    <w:rsid w:val="00060563"/>
    <w:rsid w:val="00071F6B"/>
    <w:rsid w:val="00074A8E"/>
    <w:rsid w:val="00076994"/>
    <w:rsid w:val="00077875"/>
    <w:rsid w:val="0008031F"/>
    <w:rsid w:val="00084744"/>
    <w:rsid w:val="00090630"/>
    <w:rsid w:val="0009144F"/>
    <w:rsid w:val="0009145C"/>
    <w:rsid w:val="00091A36"/>
    <w:rsid w:val="00096172"/>
    <w:rsid w:val="000A4383"/>
    <w:rsid w:val="000A4384"/>
    <w:rsid w:val="000A5454"/>
    <w:rsid w:val="000A599E"/>
    <w:rsid w:val="000A61D6"/>
    <w:rsid w:val="000A7576"/>
    <w:rsid w:val="000A7F3E"/>
    <w:rsid w:val="000B028B"/>
    <w:rsid w:val="000B468F"/>
    <w:rsid w:val="000B5EF5"/>
    <w:rsid w:val="000B5F1C"/>
    <w:rsid w:val="000B652B"/>
    <w:rsid w:val="000C1FAA"/>
    <w:rsid w:val="000C343D"/>
    <w:rsid w:val="000C5C3C"/>
    <w:rsid w:val="000C66EB"/>
    <w:rsid w:val="000C6C6B"/>
    <w:rsid w:val="000D0931"/>
    <w:rsid w:val="000D4D8D"/>
    <w:rsid w:val="000E0775"/>
    <w:rsid w:val="000E2988"/>
    <w:rsid w:val="000E727E"/>
    <w:rsid w:val="000F3D38"/>
    <w:rsid w:val="00101390"/>
    <w:rsid w:val="00102C66"/>
    <w:rsid w:val="001118E5"/>
    <w:rsid w:val="001129BD"/>
    <w:rsid w:val="00115604"/>
    <w:rsid w:val="00115BF7"/>
    <w:rsid w:val="001169E7"/>
    <w:rsid w:val="001172C0"/>
    <w:rsid w:val="00117654"/>
    <w:rsid w:val="00117904"/>
    <w:rsid w:val="00121DEA"/>
    <w:rsid w:val="00122F72"/>
    <w:rsid w:val="00126A02"/>
    <w:rsid w:val="00130680"/>
    <w:rsid w:val="00130EEA"/>
    <w:rsid w:val="0013164E"/>
    <w:rsid w:val="00134B9F"/>
    <w:rsid w:val="001350F0"/>
    <w:rsid w:val="001445E2"/>
    <w:rsid w:val="00144612"/>
    <w:rsid w:val="0014548F"/>
    <w:rsid w:val="00150BB3"/>
    <w:rsid w:val="00151AE5"/>
    <w:rsid w:val="0015570E"/>
    <w:rsid w:val="00155A62"/>
    <w:rsid w:val="0015651B"/>
    <w:rsid w:val="00156ECD"/>
    <w:rsid w:val="00157C4A"/>
    <w:rsid w:val="0016098B"/>
    <w:rsid w:val="001620EA"/>
    <w:rsid w:val="0016420F"/>
    <w:rsid w:val="00165624"/>
    <w:rsid w:val="001659A7"/>
    <w:rsid w:val="0016779A"/>
    <w:rsid w:val="00170158"/>
    <w:rsid w:val="001734C8"/>
    <w:rsid w:val="001754CA"/>
    <w:rsid w:val="001829A7"/>
    <w:rsid w:val="00184B27"/>
    <w:rsid w:val="00185F79"/>
    <w:rsid w:val="00185F95"/>
    <w:rsid w:val="0018606F"/>
    <w:rsid w:val="001865A3"/>
    <w:rsid w:val="00190A30"/>
    <w:rsid w:val="001917E7"/>
    <w:rsid w:val="00191F45"/>
    <w:rsid w:val="00191FBE"/>
    <w:rsid w:val="001A45A3"/>
    <w:rsid w:val="001A59C1"/>
    <w:rsid w:val="001A65F8"/>
    <w:rsid w:val="001B0568"/>
    <w:rsid w:val="001B24AB"/>
    <w:rsid w:val="001B3F3D"/>
    <w:rsid w:val="001B697D"/>
    <w:rsid w:val="001C32B3"/>
    <w:rsid w:val="001C7C93"/>
    <w:rsid w:val="001D1B26"/>
    <w:rsid w:val="001D356E"/>
    <w:rsid w:val="001D37E5"/>
    <w:rsid w:val="001D3D90"/>
    <w:rsid w:val="001D4277"/>
    <w:rsid w:val="001E5AD7"/>
    <w:rsid w:val="001E6160"/>
    <w:rsid w:val="001E7413"/>
    <w:rsid w:val="001E7D11"/>
    <w:rsid w:val="001F4412"/>
    <w:rsid w:val="002025A8"/>
    <w:rsid w:val="00202CFB"/>
    <w:rsid w:val="002041E0"/>
    <w:rsid w:val="002045B3"/>
    <w:rsid w:val="002077AF"/>
    <w:rsid w:val="0021101E"/>
    <w:rsid w:val="002148A4"/>
    <w:rsid w:val="00216286"/>
    <w:rsid w:val="002173E3"/>
    <w:rsid w:val="00224DC4"/>
    <w:rsid w:val="00225EEF"/>
    <w:rsid w:val="00227FFB"/>
    <w:rsid w:val="00230201"/>
    <w:rsid w:val="0023457E"/>
    <w:rsid w:val="0023512B"/>
    <w:rsid w:val="002357E6"/>
    <w:rsid w:val="002365AA"/>
    <w:rsid w:val="00242E0C"/>
    <w:rsid w:val="0024322A"/>
    <w:rsid w:val="002443C6"/>
    <w:rsid w:val="00246F3B"/>
    <w:rsid w:val="002508A5"/>
    <w:rsid w:val="002609E5"/>
    <w:rsid w:val="00264C71"/>
    <w:rsid w:val="00271604"/>
    <w:rsid w:val="00272097"/>
    <w:rsid w:val="00272170"/>
    <w:rsid w:val="0027559A"/>
    <w:rsid w:val="00276553"/>
    <w:rsid w:val="0028329A"/>
    <w:rsid w:val="002837CA"/>
    <w:rsid w:val="002855EB"/>
    <w:rsid w:val="00287D76"/>
    <w:rsid w:val="002902E4"/>
    <w:rsid w:val="002948F4"/>
    <w:rsid w:val="00297798"/>
    <w:rsid w:val="002B0D2A"/>
    <w:rsid w:val="002B221A"/>
    <w:rsid w:val="002B7000"/>
    <w:rsid w:val="002B7AA4"/>
    <w:rsid w:val="002C06DC"/>
    <w:rsid w:val="002C657D"/>
    <w:rsid w:val="002D40CD"/>
    <w:rsid w:val="002D5915"/>
    <w:rsid w:val="002D63C1"/>
    <w:rsid w:val="002D6A46"/>
    <w:rsid w:val="002E3144"/>
    <w:rsid w:val="002F2F94"/>
    <w:rsid w:val="002F40AD"/>
    <w:rsid w:val="002F4A07"/>
    <w:rsid w:val="002F6F25"/>
    <w:rsid w:val="002F7E81"/>
    <w:rsid w:val="00314886"/>
    <w:rsid w:val="003148EC"/>
    <w:rsid w:val="003159AD"/>
    <w:rsid w:val="00316C2A"/>
    <w:rsid w:val="003221A2"/>
    <w:rsid w:val="00322629"/>
    <w:rsid w:val="00322A7A"/>
    <w:rsid w:val="00324917"/>
    <w:rsid w:val="00327E46"/>
    <w:rsid w:val="003313D6"/>
    <w:rsid w:val="00332C3B"/>
    <w:rsid w:val="00340539"/>
    <w:rsid w:val="00340656"/>
    <w:rsid w:val="00340D8E"/>
    <w:rsid w:val="0034189E"/>
    <w:rsid w:val="00342A27"/>
    <w:rsid w:val="00347129"/>
    <w:rsid w:val="003529E3"/>
    <w:rsid w:val="0035644F"/>
    <w:rsid w:val="00356D6C"/>
    <w:rsid w:val="00360015"/>
    <w:rsid w:val="00361012"/>
    <w:rsid w:val="00362AD7"/>
    <w:rsid w:val="00365CDE"/>
    <w:rsid w:val="00370A43"/>
    <w:rsid w:val="00373C0C"/>
    <w:rsid w:val="003761F1"/>
    <w:rsid w:val="003840A0"/>
    <w:rsid w:val="0039412A"/>
    <w:rsid w:val="00395770"/>
    <w:rsid w:val="00396164"/>
    <w:rsid w:val="00397317"/>
    <w:rsid w:val="003A2C6E"/>
    <w:rsid w:val="003A2FBC"/>
    <w:rsid w:val="003A3A6A"/>
    <w:rsid w:val="003A5335"/>
    <w:rsid w:val="003A66DB"/>
    <w:rsid w:val="003A7387"/>
    <w:rsid w:val="003B0E9A"/>
    <w:rsid w:val="003B32E1"/>
    <w:rsid w:val="003C0B95"/>
    <w:rsid w:val="003C7819"/>
    <w:rsid w:val="003D004F"/>
    <w:rsid w:val="003D478B"/>
    <w:rsid w:val="003D62AC"/>
    <w:rsid w:val="003D70C6"/>
    <w:rsid w:val="003E1378"/>
    <w:rsid w:val="003E1585"/>
    <w:rsid w:val="003E5A59"/>
    <w:rsid w:val="003E5D30"/>
    <w:rsid w:val="003E6BBB"/>
    <w:rsid w:val="003E7BA4"/>
    <w:rsid w:val="003F0D2C"/>
    <w:rsid w:val="003F290F"/>
    <w:rsid w:val="003F3BE3"/>
    <w:rsid w:val="003F5E8D"/>
    <w:rsid w:val="003F69B8"/>
    <w:rsid w:val="00400142"/>
    <w:rsid w:val="0040145B"/>
    <w:rsid w:val="00403309"/>
    <w:rsid w:val="00405269"/>
    <w:rsid w:val="0041089F"/>
    <w:rsid w:val="0041577A"/>
    <w:rsid w:val="00415CBE"/>
    <w:rsid w:val="00416C71"/>
    <w:rsid w:val="00422C05"/>
    <w:rsid w:val="00422C77"/>
    <w:rsid w:val="00425B59"/>
    <w:rsid w:val="00426FD3"/>
    <w:rsid w:val="00434636"/>
    <w:rsid w:val="00440F51"/>
    <w:rsid w:val="00441C49"/>
    <w:rsid w:val="004459DC"/>
    <w:rsid w:val="00447246"/>
    <w:rsid w:val="0046554A"/>
    <w:rsid w:val="00467EE3"/>
    <w:rsid w:val="004718E2"/>
    <w:rsid w:val="00473B73"/>
    <w:rsid w:val="004806CF"/>
    <w:rsid w:val="00484651"/>
    <w:rsid w:val="00485409"/>
    <w:rsid w:val="00485CF8"/>
    <w:rsid w:val="00485EC4"/>
    <w:rsid w:val="00487328"/>
    <w:rsid w:val="00487A4D"/>
    <w:rsid w:val="00492566"/>
    <w:rsid w:val="00492CE1"/>
    <w:rsid w:val="0049471A"/>
    <w:rsid w:val="004973D5"/>
    <w:rsid w:val="004A0174"/>
    <w:rsid w:val="004A20A2"/>
    <w:rsid w:val="004A242B"/>
    <w:rsid w:val="004A40D6"/>
    <w:rsid w:val="004A45FE"/>
    <w:rsid w:val="004A5B6D"/>
    <w:rsid w:val="004A5BAC"/>
    <w:rsid w:val="004A70CD"/>
    <w:rsid w:val="004B1495"/>
    <w:rsid w:val="004B1EFF"/>
    <w:rsid w:val="004B6217"/>
    <w:rsid w:val="004C1552"/>
    <w:rsid w:val="004C5258"/>
    <w:rsid w:val="004C559D"/>
    <w:rsid w:val="004C79B5"/>
    <w:rsid w:val="004C79CA"/>
    <w:rsid w:val="004C7C91"/>
    <w:rsid w:val="004D1284"/>
    <w:rsid w:val="004D1754"/>
    <w:rsid w:val="004D3C1B"/>
    <w:rsid w:val="004E4F37"/>
    <w:rsid w:val="004E6111"/>
    <w:rsid w:val="004F0096"/>
    <w:rsid w:val="004F1BA9"/>
    <w:rsid w:val="004F6998"/>
    <w:rsid w:val="004F7D9E"/>
    <w:rsid w:val="00505AE3"/>
    <w:rsid w:val="005064B6"/>
    <w:rsid w:val="00510883"/>
    <w:rsid w:val="005125D9"/>
    <w:rsid w:val="00512B4C"/>
    <w:rsid w:val="00513109"/>
    <w:rsid w:val="00513117"/>
    <w:rsid w:val="00513E2C"/>
    <w:rsid w:val="005140D4"/>
    <w:rsid w:val="0051795D"/>
    <w:rsid w:val="00517B0E"/>
    <w:rsid w:val="00521DE7"/>
    <w:rsid w:val="00527AAD"/>
    <w:rsid w:val="00543611"/>
    <w:rsid w:val="00546424"/>
    <w:rsid w:val="00546D6E"/>
    <w:rsid w:val="00550122"/>
    <w:rsid w:val="005506F5"/>
    <w:rsid w:val="005530C8"/>
    <w:rsid w:val="00557BF9"/>
    <w:rsid w:val="005600F0"/>
    <w:rsid w:val="005605FC"/>
    <w:rsid w:val="00560716"/>
    <w:rsid w:val="0056075A"/>
    <w:rsid w:val="00562471"/>
    <w:rsid w:val="005628B2"/>
    <w:rsid w:val="00567871"/>
    <w:rsid w:val="005814EA"/>
    <w:rsid w:val="005832F8"/>
    <w:rsid w:val="005854CF"/>
    <w:rsid w:val="00590FA5"/>
    <w:rsid w:val="005A0176"/>
    <w:rsid w:val="005A080A"/>
    <w:rsid w:val="005A18ED"/>
    <w:rsid w:val="005A7F37"/>
    <w:rsid w:val="005B2C5A"/>
    <w:rsid w:val="005B2D33"/>
    <w:rsid w:val="005B3E55"/>
    <w:rsid w:val="005B51CA"/>
    <w:rsid w:val="005C2D2C"/>
    <w:rsid w:val="005C4CFD"/>
    <w:rsid w:val="005C626C"/>
    <w:rsid w:val="005C725A"/>
    <w:rsid w:val="005D0EFD"/>
    <w:rsid w:val="005E12D5"/>
    <w:rsid w:val="005E3C2B"/>
    <w:rsid w:val="005E404D"/>
    <w:rsid w:val="005E628E"/>
    <w:rsid w:val="005E7680"/>
    <w:rsid w:val="005F1DED"/>
    <w:rsid w:val="005F63AD"/>
    <w:rsid w:val="00600516"/>
    <w:rsid w:val="00601F9C"/>
    <w:rsid w:val="006031F7"/>
    <w:rsid w:val="00603AFF"/>
    <w:rsid w:val="00604D12"/>
    <w:rsid w:val="006165B4"/>
    <w:rsid w:val="00617AE4"/>
    <w:rsid w:val="00622251"/>
    <w:rsid w:val="0062313A"/>
    <w:rsid w:val="00624224"/>
    <w:rsid w:val="00624F83"/>
    <w:rsid w:val="006257E0"/>
    <w:rsid w:val="0062606F"/>
    <w:rsid w:val="00627E80"/>
    <w:rsid w:val="00630538"/>
    <w:rsid w:val="00633000"/>
    <w:rsid w:val="00634469"/>
    <w:rsid w:val="006344FD"/>
    <w:rsid w:val="00644203"/>
    <w:rsid w:val="00644F61"/>
    <w:rsid w:val="00645A81"/>
    <w:rsid w:val="00650183"/>
    <w:rsid w:val="0065425C"/>
    <w:rsid w:val="00657C82"/>
    <w:rsid w:val="0066198E"/>
    <w:rsid w:val="00662FF5"/>
    <w:rsid w:val="00664033"/>
    <w:rsid w:val="0066585F"/>
    <w:rsid w:val="00667663"/>
    <w:rsid w:val="00675A3F"/>
    <w:rsid w:val="00677633"/>
    <w:rsid w:val="00680623"/>
    <w:rsid w:val="00681AEA"/>
    <w:rsid w:val="006839D7"/>
    <w:rsid w:val="00683E64"/>
    <w:rsid w:val="0068539B"/>
    <w:rsid w:val="006864E7"/>
    <w:rsid w:val="00695AE0"/>
    <w:rsid w:val="006A351C"/>
    <w:rsid w:val="006A6785"/>
    <w:rsid w:val="006B1326"/>
    <w:rsid w:val="006B4243"/>
    <w:rsid w:val="006B6817"/>
    <w:rsid w:val="006B7C72"/>
    <w:rsid w:val="006C1461"/>
    <w:rsid w:val="006C47A5"/>
    <w:rsid w:val="006C6B13"/>
    <w:rsid w:val="006D0D2A"/>
    <w:rsid w:val="006E0C4F"/>
    <w:rsid w:val="006E1708"/>
    <w:rsid w:val="006E6817"/>
    <w:rsid w:val="006F14FA"/>
    <w:rsid w:val="006F20B1"/>
    <w:rsid w:val="006F43E3"/>
    <w:rsid w:val="006F63B2"/>
    <w:rsid w:val="006F75AF"/>
    <w:rsid w:val="00701C77"/>
    <w:rsid w:val="00704A96"/>
    <w:rsid w:val="00710606"/>
    <w:rsid w:val="00711538"/>
    <w:rsid w:val="00713692"/>
    <w:rsid w:val="00715746"/>
    <w:rsid w:val="00722983"/>
    <w:rsid w:val="00723271"/>
    <w:rsid w:val="00723387"/>
    <w:rsid w:val="0072363B"/>
    <w:rsid w:val="00730AEA"/>
    <w:rsid w:val="00734C81"/>
    <w:rsid w:val="00737E3E"/>
    <w:rsid w:val="0074076F"/>
    <w:rsid w:val="00746BF8"/>
    <w:rsid w:val="00751190"/>
    <w:rsid w:val="007549E1"/>
    <w:rsid w:val="0075704F"/>
    <w:rsid w:val="0076578F"/>
    <w:rsid w:val="00766219"/>
    <w:rsid w:val="007662DA"/>
    <w:rsid w:val="00767288"/>
    <w:rsid w:val="00767B38"/>
    <w:rsid w:val="00767D2C"/>
    <w:rsid w:val="007742B9"/>
    <w:rsid w:val="00775AA0"/>
    <w:rsid w:val="00777E82"/>
    <w:rsid w:val="00785D93"/>
    <w:rsid w:val="00786F42"/>
    <w:rsid w:val="00792331"/>
    <w:rsid w:val="0079342A"/>
    <w:rsid w:val="00793C52"/>
    <w:rsid w:val="00793F22"/>
    <w:rsid w:val="0079483C"/>
    <w:rsid w:val="0079598D"/>
    <w:rsid w:val="00795FBC"/>
    <w:rsid w:val="007967D1"/>
    <w:rsid w:val="00796BEA"/>
    <w:rsid w:val="007A1C1C"/>
    <w:rsid w:val="007A66B5"/>
    <w:rsid w:val="007B7E2A"/>
    <w:rsid w:val="007C28E9"/>
    <w:rsid w:val="007C418C"/>
    <w:rsid w:val="007C77E8"/>
    <w:rsid w:val="007D1D18"/>
    <w:rsid w:val="007D243D"/>
    <w:rsid w:val="007D422C"/>
    <w:rsid w:val="007E262E"/>
    <w:rsid w:val="007F00EE"/>
    <w:rsid w:val="007F4FBC"/>
    <w:rsid w:val="00802906"/>
    <w:rsid w:val="00806061"/>
    <w:rsid w:val="00811DD9"/>
    <w:rsid w:val="00813445"/>
    <w:rsid w:val="008172F3"/>
    <w:rsid w:val="008227B5"/>
    <w:rsid w:val="00835194"/>
    <w:rsid w:val="008441C1"/>
    <w:rsid w:val="00845033"/>
    <w:rsid w:val="00846BE1"/>
    <w:rsid w:val="00850787"/>
    <w:rsid w:val="00850B6B"/>
    <w:rsid w:val="0085787A"/>
    <w:rsid w:val="00861264"/>
    <w:rsid w:val="0086412A"/>
    <w:rsid w:val="00867BB1"/>
    <w:rsid w:val="008700B2"/>
    <w:rsid w:val="00870885"/>
    <w:rsid w:val="00870F11"/>
    <w:rsid w:val="008821AF"/>
    <w:rsid w:val="00887393"/>
    <w:rsid w:val="00887D0C"/>
    <w:rsid w:val="008944A8"/>
    <w:rsid w:val="00895A74"/>
    <w:rsid w:val="00897AEF"/>
    <w:rsid w:val="00897C3C"/>
    <w:rsid w:val="008A2C1F"/>
    <w:rsid w:val="008A3E73"/>
    <w:rsid w:val="008A7414"/>
    <w:rsid w:val="008B10DC"/>
    <w:rsid w:val="008B61E4"/>
    <w:rsid w:val="008B6386"/>
    <w:rsid w:val="008C25BB"/>
    <w:rsid w:val="008C37EF"/>
    <w:rsid w:val="008C4101"/>
    <w:rsid w:val="008D4FE7"/>
    <w:rsid w:val="008E021A"/>
    <w:rsid w:val="008E3674"/>
    <w:rsid w:val="008E6DD3"/>
    <w:rsid w:val="008F0EB0"/>
    <w:rsid w:val="00903C50"/>
    <w:rsid w:val="00904C0B"/>
    <w:rsid w:val="00913690"/>
    <w:rsid w:val="00916B92"/>
    <w:rsid w:val="00920D5B"/>
    <w:rsid w:val="00923F93"/>
    <w:rsid w:val="00924B70"/>
    <w:rsid w:val="00924C1F"/>
    <w:rsid w:val="00934B08"/>
    <w:rsid w:val="00937056"/>
    <w:rsid w:val="0093740A"/>
    <w:rsid w:val="00943764"/>
    <w:rsid w:val="00951B2F"/>
    <w:rsid w:val="00951C74"/>
    <w:rsid w:val="009571CF"/>
    <w:rsid w:val="00963DAB"/>
    <w:rsid w:val="0096439C"/>
    <w:rsid w:val="00964FC6"/>
    <w:rsid w:val="00966CAE"/>
    <w:rsid w:val="009673C3"/>
    <w:rsid w:val="00972DB8"/>
    <w:rsid w:val="0097688B"/>
    <w:rsid w:val="00977A26"/>
    <w:rsid w:val="00977FEC"/>
    <w:rsid w:val="00980300"/>
    <w:rsid w:val="009831FF"/>
    <w:rsid w:val="0098644A"/>
    <w:rsid w:val="009904D2"/>
    <w:rsid w:val="009908C1"/>
    <w:rsid w:val="00995EC6"/>
    <w:rsid w:val="009A2C41"/>
    <w:rsid w:val="009A3B70"/>
    <w:rsid w:val="009B1561"/>
    <w:rsid w:val="009B22CA"/>
    <w:rsid w:val="009B5AB5"/>
    <w:rsid w:val="009C20E7"/>
    <w:rsid w:val="009C3BAD"/>
    <w:rsid w:val="009C3C35"/>
    <w:rsid w:val="009D085B"/>
    <w:rsid w:val="009D1C3F"/>
    <w:rsid w:val="009D2DE7"/>
    <w:rsid w:val="009D3FB4"/>
    <w:rsid w:val="009D65A5"/>
    <w:rsid w:val="009D70F9"/>
    <w:rsid w:val="009E0216"/>
    <w:rsid w:val="009E5CC0"/>
    <w:rsid w:val="009F0BE2"/>
    <w:rsid w:val="009F5B9C"/>
    <w:rsid w:val="00A004FB"/>
    <w:rsid w:val="00A00574"/>
    <w:rsid w:val="00A005C0"/>
    <w:rsid w:val="00A02671"/>
    <w:rsid w:val="00A03833"/>
    <w:rsid w:val="00A0668A"/>
    <w:rsid w:val="00A0761F"/>
    <w:rsid w:val="00A07FC8"/>
    <w:rsid w:val="00A1088E"/>
    <w:rsid w:val="00A10DC8"/>
    <w:rsid w:val="00A12727"/>
    <w:rsid w:val="00A1553F"/>
    <w:rsid w:val="00A16DF9"/>
    <w:rsid w:val="00A17A32"/>
    <w:rsid w:val="00A20530"/>
    <w:rsid w:val="00A210CC"/>
    <w:rsid w:val="00A2191E"/>
    <w:rsid w:val="00A235C1"/>
    <w:rsid w:val="00A27AF2"/>
    <w:rsid w:val="00A30479"/>
    <w:rsid w:val="00A30D3A"/>
    <w:rsid w:val="00A30FB4"/>
    <w:rsid w:val="00A33C17"/>
    <w:rsid w:val="00A37CB5"/>
    <w:rsid w:val="00A4226A"/>
    <w:rsid w:val="00A50C8B"/>
    <w:rsid w:val="00A50CE7"/>
    <w:rsid w:val="00A55C2C"/>
    <w:rsid w:val="00A57BEB"/>
    <w:rsid w:val="00A62015"/>
    <w:rsid w:val="00A80535"/>
    <w:rsid w:val="00A86514"/>
    <w:rsid w:val="00A87A3A"/>
    <w:rsid w:val="00A95769"/>
    <w:rsid w:val="00AA11F8"/>
    <w:rsid w:val="00AA384A"/>
    <w:rsid w:val="00AA3A1E"/>
    <w:rsid w:val="00AA3CE0"/>
    <w:rsid w:val="00AA4E1F"/>
    <w:rsid w:val="00AA5E1C"/>
    <w:rsid w:val="00AB05BE"/>
    <w:rsid w:val="00AB3E2F"/>
    <w:rsid w:val="00AB472F"/>
    <w:rsid w:val="00AC4C9E"/>
    <w:rsid w:val="00AC618A"/>
    <w:rsid w:val="00AC75DB"/>
    <w:rsid w:val="00AC7D60"/>
    <w:rsid w:val="00AC7E1F"/>
    <w:rsid w:val="00AD06FC"/>
    <w:rsid w:val="00AD16CF"/>
    <w:rsid w:val="00AD3DE8"/>
    <w:rsid w:val="00AD78E8"/>
    <w:rsid w:val="00AE0A6E"/>
    <w:rsid w:val="00AE6BB9"/>
    <w:rsid w:val="00AF0F88"/>
    <w:rsid w:val="00AF1DE3"/>
    <w:rsid w:val="00AF5DCC"/>
    <w:rsid w:val="00AF61D5"/>
    <w:rsid w:val="00B0050E"/>
    <w:rsid w:val="00B006D2"/>
    <w:rsid w:val="00B011C1"/>
    <w:rsid w:val="00B03397"/>
    <w:rsid w:val="00B04358"/>
    <w:rsid w:val="00B05021"/>
    <w:rsid w:val="00B05824"/>
    <w:rsid w:val="00B120E4"/>
    <w:rsid w:val="00B13B5D"/>
    <w:rsid w:val="00B17F0A"/>
    <w:rsid w:val="00B213AE"/>
    <w:rsid w:val="00B21D93"/>
    <w:rsid w:val="00B222DB"/>
    <w:rsid w:val="00B30030"/>
    <w:rsid w:val="00B3370D"/>
    <w:rsid w:val="00B347A6"/>
    <w:rsid w:val="00B35468"/>
    <w:rsid w:val="00B4215A"/>
    <w:rsid w:val="00B5276D"/>
    <w:rsid w:val="00B54D3B"/>
    <w:rsid w:val="00B56BD0"/>
    <w:rsid w:val="00B608EA"/>
    <w:rsid w:val="00B64213"/>
    <w:rsid w:val="00B65751"/>
    <w:rsid w:val="00B67FB5"/>
    <w:rsid w:val="00B7324C"/>
    <w:rsid w:val="00B736DE"/>
    <w:rsid w:val="00B76071"/>
    <w:rsid w:val="00B768EB"/>
    <w:rsid w:val="00B77079"/>
    <w:rsid w:val="00B80E99"/>
    <w:rsid w:val="00B81671"/>
    <w:rsid w:val="00B92A91"/>
    <w:rsid w:val="00B93D2C"/>
    <w:rsid w:val="00B9793B"/>
    <w:rsid w:val="00B97E85"/>
    <w:rsid w:val="00BA4D1F"/>
    <w:rsid w:val="00BB0CC4"/>
    <w:rsid w:val="00BB3D23"/>
    <w:rsid w:val="00BB7090"/>
    <w:rsid w:val="00BC2BEF"/>
    <w:rsid w:val="00BC5C11"/>
    <w:rsid w:val="00BC6383"/>
    <w:rsid w:val="00BC63CF"/>
    <w:rsid w:val="00BC652F"/>
    <w:rsid w:val="00BC6BF9"/>
    <w:rsid w:val="00BD3934"/>
    <w:rsid w:val="00BD6689"/>
    <w:rsid w:val="00BF1FF9"/>
    <w:rsid w:val="00BF2422"/>
    <w:rsid w:val="00C02122"/>
    <w:rsid w:val="00C03FB0"/>
    <w:rsid w:val="00C04858"/>
    <w:rsid w:val="00C04CB6"/>
    <w:rsid w:val="00C05062"/>
    <w:rsid w:val="00C053B2"/>
    <w:rsid w:val="00C1024F"/>
    <w:rsid w:val="00C16B4C"/>
    <w:rsid w:val="00C177D7"/>
    <w:rsid w:val="00C23657"/>
    <w:rsid w:val="00C25DFD"/>
    <w:rsid w:val="00C26BFC"/>
    <w:rsid w:val="00C333F6"/>
    <w:rsid w:val="00C34C3A"/>
    <w:rsid w:val="00C36131"/>
    <w:rsid w:val="00C41C4F"/>
    <w:rsid w:val="00C4225A"/>
    <w:rsid w:val="00C5515B"/>
    <w:rsid w:val="00C56D9B"/>
    <w:rsid w:val="00C608C5"/>
    <w:rsid w:val="00C6196F"/>
    <w:rsid w:val="00C6391A"/>
    <w:rsid w:val="00C70903"/>
    <w:rsid w:val="00C71669"/>
    <w:rsid w:val="00C71685"/>
    <w:rsid w:val="00C718DB"/>
    <w:rsid w:val="00C7312E"/>
    <w:rsid w:val="00C749ED"/>
    <w:rsid w:val="00C87A7A"/>
    <w:rsid w:val="00C90A02"/>
    <w:rsid w:val="00C93E8A"/>
    <w:rsid w:val="00C94ACC"/>
    <w:rsid w:val="00C96037"/>
    <w:rsid w:val="00CA2A1A"/>
    <w:rsid w:val="00CA30F2"/>
    <w:rsid w:val="00CA35A0"/>
    <w:rsid w:val="00CA4B5F"/>
    <w:rsid w:val="00CA75DE"/>
    <w:rsid w:val="00CB1FD8"/>
    <w:rsid w:val="00CB6938"/>
    <w:rsid w:val="00CB7ADD"/>
    <w:rsid w:val="00CC0AAE"/>
    <w:rsid w:val="00CD0C6C"/>
    <w:rsid w:val="00CD14A8"/>
    <w:rsid w:val="00CD417C"/>
    <w:rsid w:val="00CD6990"/>
    <w:rsid w:val="00CD7727"/>
    <w:rsid w:val="00CD7E2D"/>
    <w:rsid w:val="00CE31B1"/>
    <w:rsid w:val="00CF2763"/>
    <w:rsid w:val="00D00F9B"/>
    <w:rsid w:val="00D0626A"/>
    <w:rsid w:val="00D114E1"/>
    <w:rsid w:val="00D209C6"/>
    <w:rsid w:val="00D20CA0"/>
    <w:rsid w:val="00D24C05"/>
    <w:rsid w:val="00D2629B"/>
    <w:rsid w:val="00D34A1A"/>
    <w:rsid w:val="00D354CF"/>
    <w:rsid w:val="00D35CDE"/>
    <w:rsid w:val="00D40A79"/>
    <w:rsid w:val="00D40C4A"/>
    <w:rsid w:val="00D41260"/>
    <w:rsid w:val="00D469F2"/>
    <w:rsid w:val="00D51484"/>
    <w:rsid w:val="00D5482D"/>
    <w:rsid w:val="00D563DD"/>
    <w:rsid w:val="00D603C1"/>
    <w:rsid w:val="00D6075A"/>
    <w:rsid w:val="00D67C1F"/>
    <w:rsid w:val="00D704EC"/>
    <w:rsid w:val="00D739DF"/>
    <w:rsid w:val="00D75B14"/>
    <w:rsid w:val="00D773D0"/>
    <w:rsid w:val="00D813CF"/>
    <w:rsid w:val="00D86467"/>
    <w:rsid w:val="00D86711"/>
    <w:rsid w:val="00D91B93"/>
    <w:rsid w:val="00D94E99"/>
    <w:rsid w:val="00D96C7D"/>
    <w:rsid w:val="00DA05BD"/>
    <w:rsid w:val="00DB28C9"/>
    <w:rsid w:val="00DC0DC2"/>
    <w:rsid w:val="00DC4512"/>
    <w:rsid w:val="00DC522E"/>
    <w:rsid w:val="00DC570D"/>
    <w:rsid w:val="00DC6AEB"/>
    <w:rsid w:val="00DC7C9D"/>
    <w:rsid w:val="00DD2747"/>
    <w:rsid w:val="00DD3197"/>
    <w:rsid w:val="00DD59D6"/>
    <w:rsid w:val="00DD5D86"/>
    <w:rsid w:val="00DE07DD"/>
    <w:rsid w:val="00DE50F6"/>
    <w:rsid w:val="00DE740D"/>
    <w:rsid w:val="00DF2B1E"/>
    <w:rsid w:val="00E01BC1"/>
    <w:rsid w:val="00E01CA3"/>
    <w:rsid w:val="00E0563D"/>
    <w:rsid w:val="00E07C92"/>
    <w:rsid w:val="00E106A0"/>
    <w:rsid w:val="00E110BE"/>
    <w:rsid w:val="00E1217B"/>
    <w:rsid w:val="00E128DA"/>
    <w:rsid w:val="00E14379"/>
    <w:rsid w:val="00E145F1"/>
    <w:rsid w:val="00E14B01"/>
    <w:rsid w:val="00E204B9"/>
    <w:rsid w:val="00E21948"/>
    <w:rsid w:val="00E24AB6"/>
    <w:rsid w:val="00E32C1F"/>
    <w:rsid w:val="00E32F93"/>
    <w:rsid w:val="00E34604"/>
    <w:rsid w:val="00E369AA"/>
    <w:rsid w:val="00E44D2E"/>
    <w:rsid w:val="00E56454"/>
    <w:rsid w:val="00E618DC"/>
    <w:rsid w:val="00E626F6"/>
    <w:rsid w:val="00E63036"/>
    <w:rsid w:val="00E64D23"/>
    <w:rsid w:val="00E65BD6"/>
    <w:rsid w:val="00E668E7"/>
    <w:rsid w:val="00E700F3"/>
    <w:rsid w:val="00E730E6"/>
    <w:rsid w:val="00E73BA7"/>
    <w:rsid w:val="00E752DA"/>
    <w:rsid w:val="00E75342"/>
    <w:rsid w:val="00E80E96"/>
    <w:rsid w:val="00E847E3"/>
    <w:rsid w:val="00E85613"/>
    <w:rsid w:val="00E85892"/>
    <w:rsid w:val="00E90C2F"/>
    <w:rsid w:val="00E91A3C"/>
    <w:rsid w:val="00EA0064"/>
    <w:rsid w:val="00EA2D67"/>
    <w:rsid w:val="00EA682D"/>
    <w:rsid w:val="00EB53B9"/>
    <w:rsid w:val="00EC2B9B"/>
    <w:rsid w:val="00EC36F9"/>
    <w:rsid w:val="00EC7A4B"/>
    <w:rsid w:val="00ED2A26"/>
    <w:rsid w:val="00ED4F7F"/>
    <w:rsid w:val="00ED5E87"/>
    <w:rsid w:val="00ED6E57"/>
    <w:rsid w:val="00EE285B"/>
    <w:rsid w:val="00EE47E2"/>
    <w:rsid w:val="00EE66F8"/>
    <w:rsid w:val="00EF384A"/>
    <w:rsid w:val="00EF4F93"/>
    <w:rsid w:val="00EF5A24"/>
    <w:rsid w:val="00F0020B"/>
    <w:rsid w:val="00F0485B"/>
    <w:rsid w:val="00F048D2"/>
    <w:rsid w:val="00F05D6B"/>
    <w:rsid w:val="00F06F52"/>
    <w:rsid w:val="00F11439"/>
    <w:rsid w:val="00F13033"/>
    <w:rsid w:val="00F207AC"/>
    <w:rsid w:val="00F24451"/>
    <w:rsid w:val="00F24D17"/>
    <w:rsid w:val="00F25B38"/>
    <w:rsid w:val="00F33D02"/>
    <w:rsid w:val="00F354C7"/>
    <w:rsid w:val="00F35C72"/>
    <w:rsid w:val="00F363BE"/>
    <w:rsid w:val="00F36847"/>
    <w:rsid w:val="00F40DA5"/>
    <w:rsid w:val="00F42B98"/>
    <w:rsid w:val="00F44044"/>
    <w:rsid w:val="00F46112"/>
    <w:rsid w:val="00F476CA"/>
    <w:rsid w:val="00F50CEC"/>
    <w:rsid w:val="00F56B55"/>
    <w:rsid w:val="00F56DFF"/>
    <w:rsid w:val="00F618D1"/>
    <w:rsid w:val="00F62D75"/>
    <w:rsid w:val="00F66029"/>
    <w:rsid w:val="00F71F1B"/>
    <w:rsid w:val="00F74CC4"/>
    <w:rsid w:val="00F76A94"/>
    <w:rsid w:val="00F772B8"/>
    <w:rsid w:val="00F80F85"/>
    <w:rsid w:val="00F8565C"/>
    <w:rsid w:val="00F87D49"/>
    <w:rsid w:val="00F930E0"/>
    <w:rsid w:val="00F93FFB"/>
    <w:rsid w:val="00FB168B"/>
    <w:rsid w:val="00FB544A"/>
    <w:rsid w:val="00FC09B8"/>
    <w:rsid w:val="00FC1C37"/>
    <w:rsid w:val="00FC2F31"/>
    <w:rsid w:val="00FC3D6C"/>
    <w:rsid w:val="00FD1332"/>
    <w:rsid w:val="00FD2BBE"/>
    <w:rsid w:val="00FD335D"/>
    <w:rsid w:val="00FD5BAA"/>
    <w:rsid w:val="00FD7764"/>
    <w:rsid w:val="00FE28C5"/>
    <w:rsid w:val="00FF342E"/>
    <w:rsid w:val="00FF5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C1"/>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link w:val="ListParagraphChar"/>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821AF"/>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8821A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basedOn w:val="DefaultParagraphFont"/>
    <w:uiPriority w:val="99"/>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styleId="CommentText">
    <w:name w:val="annotation text"/>
    <w:basedOn w:val="Normal"/>
    <w:link w:val="CommentTextChar"/>
    <w:semiHidden/>
    <w:rsid w:val="009D2DE7"/>
    <w:rPr>
      <w:sz w:val="20"/>
      <w:szCs w:val="20"/>
      <w:lang w:val="en-GB" w:eastAsia="en-US"/>
    </w:rPr>
  </w:style>
  <w:style w:type="character" w:customStyle="1" w:styleId="CommentTextChar">
    <w:name w:val="Comment Text Char"/>
    <w:basedOn w:val="DefaultParagraphFont"/>
    <w:link w:val="CommentText"/>
    <w:semiHidden/>
    <w:rsid w:val="009D2DE7"/>
    <w:rPr>
      <w:rFonts w:ascii="Times New Roman" w:eastAsia="Times New Roman" w:hAnsi="Times New Roman" w:cs="Times New Roman"/>
      <w:sz w:val="20"/>
      <w:szCs w:val="20"/>
      <w:lang w:val="en-GB"/>
    </w:rPr>
  </w:style>
  <w:style w:type="paragraph" w:customStyle="1" w:styleId="naiskr">
    <w:name w:val="naiskr"/>
    <w:basedOn w:val="Normal"/>
    <w:rsid w:val="00BD6689"/>
    <w:pPr>
      <w:spacing w:before="100" w:beforeAutospacing="1" w:after="100" w:afterAutospacing="1"/>
    </w:pPr>
    <w:rPr>
      <w:lang w:eastAsia="en-US"/>
    </w:rPr>
  </w:style>
  <w:style w:type="paragraph" w:styleId="BodyText">
    <w:name w:val="Body Text"/>
    <w:basedOn w:val="Normal"/>
    <w:link w:val="BodyTextChar"/>
    <w:rsid w:val="00A00574"/>
    <w:pPr>
      <w:spacing w:after="120"/>
    </w:pPr>
  </w:style>
  <w:style w:type="character" w:customStyle="1" w:styleId="BodyTextChar">
    <w:name w:val="Body Text Char"/>
    <w:basedOn w:val="DefaultParagraphFont"/>
    <w:link w:val="BodyText"/>
    <w:rsid w:val="00A0057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16DF9"/>
    <w:rPr>
      <w:sz w:val="16"/>
      <w:szCs w:val="16"/>
    </w:rPr>
  </w:style>
  <w:style w:type="paragraph" w:styleId="CommentSubject">
    <w:name w:val="annotation subject"/>
    <w:basedOn w:val="CommentText"/>
    <w:next w:val="CommentText"/>
    <w:link w:val="CommentSubjectChar"/>
    <w:uiPriority w:val="99"/>
    <w:semiHidden/>
    <w:unhideWhenUsed/>
    <w:rsid w:val="00A16DF9"/>
    <w:rPr>
      <w:b/>
      <w:bCs/>
      <w:lang w:val="lv-LV" w:eastAsia="lv-LV"/>
    </w:rPr>
  </w:style>
  <w:style w:type="character" w:customStyle="1" w:styleId="CommentSubjectChar">
    <w:name w:val="Comment Subject Char"/>
    <w:basedOn w:val="CommentTextChar"/>
    <w:link w:val="CommentSubject"/>
    <w:uiPriority w:val="99"/>
    <w:semiHidden/>
    <w:rsid w:val="00A16DF9"/>
    <w:rPr>
      <w:rFonts w:ascii="Times New Roman" w:eastAsia="Times New Roman" w:hAnsi="Times New Roman" w:cs="Times New Roman"/>
      <w:b/>
      <w:bCs/>
      <w:sz w:val="20"/>
      <w:szCs w:val="20"/>
      <w:lang w:val="en-GB" w:eastAsia="lv-LV"/>
    </w:rPr>
  </w:style>
  <w:style w:type="character" w:customStyle="1" w:styleId="ListParagraphChar">
    <w:name w:val="List Paragraph Char"/>
    <w:link w:val="ListParagraph"/>
    <w:uiPriority w:val="34"/>
    <w:locked/>
    <w:rsid w:val="0035644F"/>
    <w:rPr>
      <w:rFonts w:ascii="Times New Roman" w:eastAsia="Times New Roman" w:hAnsi="Times New Roman" w:cs="Times New Roman"/>
      <w:sz w:val="24"/>
      <w:szCs w:val="24"/>
      <w:lang w:eastAsia="lv-LV"/>
    </w:rPr>
  </w:style>
  <w:style w:type="character" w:styleId="Strong">
    <w:name w:val="Strong"/>
    <w:uiPriority w:val="22"/>
    <w:qFormat/>
    <w:rsid w:val="0035644F"/>
    <w:rPr>
      <w:b/>
      <w:bCs/>
    </w:rPr>
  </w:style>
  <w:style w:type="paragraph" w:customStyle="1" w:styleId="EntRefer">
    <w:name w:val="EntRefer"/>
    <w:basedOn w:val="Normal"/>
    <w:rsid w:val="0035644F"/>
    <w:rPr>
      <w:b/>
      <w:szCs w:val="20"/>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C1"/>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link w:val="ListParagraphChar"/>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821AF"/>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8821A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basedOn w:val="DefaultParagraphFont"/>
    <w:uiPriority w:val="99"/>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styleId="CommentText">
    <w:name w:val="annotation text"/>
    <w:basedOn w:val="Normal"/>
    <w:link w:val="CommentTextChar"/>
    <w:semiHidden/>
    <w:rsid w:val="009D2DE7"/>
    <w:rPr>
      <w:sz w:val="20"/>
      <w:szCs w:val="20"/>
      <w:lang w:val="en-GB" w:eastAsia="en-US"/>
    </w:rPr>
  </w:style>
  <w:style w:type="character" w:customStyle="1" w:styleId="CommentTextChar">
    <w:name w:val="Comment Text Char"/>
    <w:basedOn w:val="DefaultParagraphFont"/>
    <w:link w:val="CommentText"/>
    <w:semiHidden/>
    <w:rsid w:val="009D2DE7"/>
    <w:rPr>
      <w:rFonts w:ascii="Times New Roman" w:eastAsia="Times New Roman" w:hAnsi="Times New Roman" w:cs="Times New Roman"/>
      <w:sz w:val="20"/>
      <w:szCs w:val="20"/>
      <w:lang w:val="en-GB"/>
    </w:rPr>
  </w:style>
  <w:style w:type="paragraph" w:customStyle="1" w:styleId="naiskr">
    <w:name w:val="naiskr"/>
    <w:basedOn w:val="Normal"/>
    <w:rsid w:val="00BD6689"/>
    <w:pPr>
      <w:spacing w:before="100" w:beforeAutospacing="1" w:after="100" w:afterAutospacing="1"/>
    </w:pPr>
    <w:rPr>
      <w:lang w:eastAsia="en-US"/>
    </w:rPr>
  </w:style>
  <w:style w:type="paragraph" w:styleId="BodyText">
    <w:name w:val="Body Text"/>
    <w:basedOn w:val="Normal"/>
    <w:link w:val="BodyTextChar"/>
    <w:rsid w:val="00A00574"/>
    <w:pPr>
      <w:spacing w:after="120"/>
    </w:pPr>
  </w:style>
  <w:style w:type="character" w:customStyle="1" w:styleId="BodyTextChar">
    <w:name w:val="Body Text Char"/>
    <w:basedOn w:val="DefaultParagraphFont"/>
    <w:link w:val="BodyText"/>
    <w:rsid w:val="00A0057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16DF9"/>
    <w:rPr>
      <w:sz w:val="16"/>
      <w:szCs w:val="16"/>
    </w:rPr>
  </w:style>
  <w:style w:type="paragraph" w:styleId="CommentSubject">
    <w:name w:val="annotation subject"/>
    <w:basedOn w:val="CommentText"/>
    <w:next w:val="CommentText"/>
    <w:link w:val="CommentSubjectChar"/>
    <w:uiPriority w:val="99"/>
    <w:semiHidden/>
    <w:unhideWhenUsed/>
    <w:rsid w:val="00A16DF9"/>
    <w:rPr>
      <w:b/>
      <w:bCs/>
      <w:lang w:val="lv-LV" w:eastAsia="lv-LV"/>
    </w:rPr>
  </w:style>
  <w:style w:type="character" w:customStyle="1" w:styleId="CommentSubjectChar">
    <w:name w:val="Comment Subject Char"/>
    <w:basedOn w:val="CommentTextChar"/>
    <w:link w:val="CommentSubject"/>
    <w:uiPriority w:val="99"/>
    <w:semiHidden/>
    <w:rsid w:val="00A16DF9"/>
    <w:rPr>
      <w:rFonts w:ascii="Times New Roman" w:eastAsia="Times New Roman" w:hAnsi="Times New Roman" w:cs="Times New Roman"/>
      <w:b/>
      <w:bCs/>
      <w:sz w:val="20"/>
      <w:szCs w:val="20"/>
      <w:lang w:val="en-GB" w:eastAsia="lv-LV"/>
    </w:rPr>
  </w:style>
  <w:style w:type="character" w:customStyle="1" w:styleId="ListParagraphChar">
    <w:name w:val="List Paragraph Char"/>
    <w:link w:val="ListParagraph"/>
    <w:uiPriority w:val="34"/>
    <w:locked/>
    <w:rsid w:val="0035644F"/>
    <w:rPr>
      <w:rFonts w:ascii="Times New Roman" w:eastAsia="Times New Roman" w:hAnsi="Times New Roman" w:cs="Times New Roman"/>
      <w:sz w:val="24"/>
      <w:szCs w:val="24"/>
      <w:lang w:eastAsia="lv-LV"/>
    </w:rPr>
  </w:style>
  <w:style w:type="character" w:styleId="Strong">
    <w:name w:val="Strong"/>
    <w:uiPriority w:val="22"/>
    <w:qFormat/>
    <w:rsid w:val="0035644F"/>
    <w:rPr>
      <w:b/>
      <w:bCs/>
    </w:rPr>
  </w:style>
  <w:style w:type="paragraph" w:customStyle="1" w:styleId="EntRefer">
    <w:name w:val="EntRefer"/>
    <w:basedOn w:val="Normal"/>
    <w:rsid w:val="0035644F"/>
    <w:rPr>
      <w:b/>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27">
      <w:bodyDiv w:val="1"/>
      <w:marLeft w:val="0"/>
      <w:marRight w:val="0"/>
      <w:marTop w:val="0"/>
      <w:marBottom w:val="0"/>
      <w:divBdr>
        <w:top w:val="none" w:sz="0" w:space="0" w:color="auto"/>
        <w:left w:val="none" w:sz="0" w:space="0" w:color="auto"/>
        <w:bottom w:val="none" w:sz="0" w:space="0" w:color="auto"/>
        <w:right w:val="none" w:sz="0" w:space="0" w:color="auto"/>
      </w:divBdr>
    </w:div>
    <w:div w:id="80880028">
      <w:bodyDiv w:val="1"/>
      <w:marLeft w:val="0"/>
      <w:marRight w:val="0"/>
      <w:marTop w:val="0"/>
      <w:marBottom w:val="0"/>
      <w:divBdr>
        <w:top w:val="none" w:sz="0" w:space="0" w:color="auto"/>
        <w:left w:val="none" w:sz="0" w:space="0" w:color="auto"/>
        <w:bottom w:val="none" w:sz="0" w:space="0" w:color="auto"/>
        <w:right w:val="none" w:sz="0" w:space="0" w:color="auto"/>
      </w:divBdr>
    </w:div>
    <w:div w:id="83113023">
      <w:bodyDiv w:val="1"/>
      <w:marLeft w:val="0"/>
      <w:marRight w:val="0"/>
      <w:marTop w:val="0"/>
      <w:marBottom w:val="0"/>
      <w:divBdr>
        <w:top w:val="none" w:sz="0" w:space="0" w:color="auto"/>
        <w:left w:val="none" w:sz="0" w:space="0" w:color="auto"/>
        <w:bottom w:val="none" w:sz="0" w:space="0" w:color="auto"/>
        <w:right w:val="none" w:sz="0" w:space="0" w:color="auto"/>
      </w:divBdr>
    </w:div>
    <w:div w:id="184294766">
      <w:bodyDiv w:val="1"/>
      <w:marLeft w:val="0"/>
      <w:marRight w:val="0"/>
      <w:marTop w:val="0"/>
      <w:marBottom w:val="0"/>
      <w:divBdr>
        <w:top w:val="none" w:sz="0" w:space="0" w:color="auto"/>
        <w:left w:val="none" w:sz="0" w:space="0" w:color="auto"/>
        <w:bottom w:val="none" w:sz="0" w:space="0" w:color="auto"/>
        <w:right w:val="none" w:sz="0" w:space="0" w:color="auto"/>
      </w:divBdr>
    </w:div>
    <w:div w:id="255360369">
      <w:bodyDiv w:val="1"/>
      <w:marLeft w:val="0"/>
      <w:marRight w:val="0"/>
      <w:marTop w:val="0"/>
      <w:marBottom w:val="0"/>
      <w:divBdr>
        <w:top w:val="none" w:sz="0" w:space="0" w:color="auto"/>
        <w:left w:val="none" w:sz="0" w:space="0" w:color="auto"/>
        <w:bottom w:val="none" w:sz="0" w:space="0" w:color="auto"/>
        <w:right w:val="none" w:sz="0" w:space="0" w:color="auto"/>
      </w:divBdr>
    </w:div>
    <w:div w:id="301497381">
      <w:bodyDiv w:val="1"/>
      <w:marLeft w:val="0"/>
      <w:marRight w:val="0"/>
      <w:marTop w:val="0"/>
      <w:marBottom w:val="0"/>
      <w:divBdr>
        <w:top w:val="none" w:sz="0" w:space="0" w:color="auto"/>
        <w:left w:val="none" w:sz="0" w:space="0" w:color="auto"/>
        <w:bottom w:val="none" w:sz="0" w:space="0" w:color="auto"/>
        <w:right w:val="none" w:sz="0" w:space="0" w:color="auto"/>
      </w:divBdr>
    </w:div>
    <w:div w:id="350184115">
      <w:bodyDiv w:val="1"/>
      <w:marLeft w:val="0"/>
      <w:marRight w:val="0"/>
      <w:marTop w:val="0"/>
      <w:marBottom w:val="0"/>
      <w:divBdr>
        <w:top w:val="none" w:sz="0" w:space="0" w:color="auto"/>
        <w:left w:val="none" w:sz="0" w:space="0" w:color="auto"/>
        <w:bottom w:val="none" w:sz="0" w:space="0" w:color="auto"/>
        <w:right w:val="none" w:sz="0" w:space="0" w:color="auto"/>
      </w:divBdr>
    </w:div>
    <w:div w:id="374432434">
      <w:bodyDiv w:val="1"/>
      <w:marLeft w:val="0"/>
      <w:marRight w:val="0"/>
      <w:marTop w:val="0"/>
      <w:marBottom w:val="0"/>
      <w:divBdr>
        <w:top w:val="none" w:sz="0" w:space="0" w:color="auto"/>
        <w:left w:val="none" w:sz="0" w:space="0" w:color="auto"/>
        <w:bottom w:val="none" w:sz="0" w:space="0" w:color="auto"/>
        <w:right w:val="none" w:sz="0" w:space="0" w:color="auto"/>
      </w:divBdr>
    </w:div>
    <w:div w:id="422579833">
      <w:bodyDiv w:val="1"/>
      <w:marLeft w:val="0"/>
      <w:marRight w:val="0"/>
      <w:marTop w:val="0"/>
      <w:marBottom w:val="0"/>
      <w:divBdr>
        <w:top w:val="none" w:sz="0" w:space="0" w:color="auto"/>
        <w:left w:val="none" w:sz="0" w:space="0" w:color="auto"/>
        <w:bottom w:val="none" w:sz="0" w:space="0" w:color="auto"/>
        <w:right w:val="none" w:sz="0" w:space="0" w:color="auto"/>
      </w:divBdr>
    </w:div>
    <w:div w:id="465010091">
      <w:bodyDiv w:val="1"/>
      <w:marLeft w:val="0"/>
      <w:marRight w:val="0"/>
      <w:marTop w:val="0"/>
      <w:marBottom w:val="0"/>
      <w:divBdr>
        <w:top w:val="none" w:sz="0" w:space="0" w:color="auto"/>
        <w:left w:val="none" w:sz="0" w:space="0" w:color="auto"/>
        <w:bottom w:val="none" w:sz="0" w:space="0" w:color="auto"/>
        <w:right w:val="none" w:sz="0" w:space="0" w:color="auto"/>
      </w:divBdr>
    </w:div>
    <w:div w:id="478108874">
      <w:bodyDiv w:val="1"/>
      <w:marLeft w:val="0"/>
      <w:marRight w:val="0"/>
      <w:marTop w:val="0"/>
      <w:marBottom w:val="0"/>
      <w:divBdr>
        <w:top w:val="none" w:sz="0" w:space="0" w:color="auto"/>
        <w:left w:val="none" w:sz="0" w:space="0" w:color="auto"/>
        <w:bottom w:val="none" w:sz="0" w:space="0" w:color="auto"/>
        <w:right w:val="none" w:sz="0" w:space="0" w:color="auto"/>
      </w:divBdr>
    </w:div>
    <w:div w:id="775490075">
      <w:bodyDiv w:val="1"/>
      <w:marLeft w:val="0"/>
      <w:marRight w:val="0"/>
      <w:marTop w:val="0"/>
      <w:marBottom w:val="0"/>
      <w:divBdr>
        <w:top w:val="none" w:sz="0" w:space="0" w:color="auto"/>
        <w:left w:val="none" w:sz="0" w:space="0" w:color="auto"/>
        <w:bottom w:val="none" w:sz="0" w:space="0" w:color="auto"/>
        <w:right w:val="none" w:sz="0" w:space="0" w:color="auto"/>
      </w:divBdr>
    </w:div>
    <w:div w:id="926034701">
      <w:bodyDiv w:val="1"/>
      <w:marLeft w:val="0"/>
      <w:marRight w:val="0"/>
      <w:marTop w:val="0"/>
      <w:marBottom w:val="0"/>
      <w:divBdr>
        <w:top w:val="none" w:sz="0" w:space="0" w:color="auto"/>
        <w:left w:val="none" w:sz="0" w:space="0" w:color="auto"/>
        <w:bottom w:val="none" w:sz="0" w:space="0" w:color="auto"/>
        <w:right w:val="none" w:sz="0" w:space="0" w:color="auto"/>
      </w:divBdr>
    </w:div>
    <w:div w:id="937063143">
      <w:bodyDiv w:val="1"/>
      <w:marLeft w:val="0"/>
      <w:marRight w:val="0"/>
      <w:marTop w:val="0"/>
      <w:marBottom w:val="0"/>
      <w:divBdr>
        <w:top w:val="none" w:sz="0" w:space="0" w:color="auto"/>
        <w:left w:val="none" w:sz="0" w:space="0" w:color="auto"/>
        <w:bottom w:val="none" w:sz="0" w:space="0" w:color="auto"/>
        <w:right w:val="none" w:sz="0" w:space="0" w:color="auto"/>
      </w:divBdr>
    </w:div>
    <w:div w:id="1064838030">
      <w:bodyDiv w:val="1"/>
      <w:marLeft w:val="0"/>
      <w:marRight w:val="0"/>
      <w:marTop w:val="0"/>
      <w:marBottom w:val="0"/>
      <w:divBdr>
        <w:top w:val="none" w:sz="0" w:space="0" w:color="auto"/>
        <w:left w:val="none" w:sz="0" w:space="0" w:color="auto"/>
        <w:bottom w:val="none" w:sz="0" w:space="0" w:color="auto"/>
        <w:right w:val="none" w:sz="0" w:space="0" w:color="auto"/>
      </w:divBdr>
    </w:div>
    <w:div w:id="1408303710">
      <w:bodyDiv w:val="1"/>
      <w:marLeft w:val="0"/>
      <w:marRight w:val="0"/>
      <w:marTop w:val="0"/>
      <w:marBottom w:val="0"/>
      <w:divBdr>
        <w:top w:val="none" w:sz="0" w:space="0" w:color="auto"/>
        <w:left w:val="none" w:sz="0" w:space="0" w:color="auto"/>
        <w:bottom w:val="none" w:sz="0" w:space="0" w:color="auto"/>
        <w:right w:val="none" w:sz="0" w:space="0" w:color="auto"/>
      </w:divBdr>
    </w:div>
    <w:div w:id="1425493503">
      <w:bodyDiv w:val="1"/>
      <w:marLeft w:val="0"/>
      <w:marRight w:val="0"/>
      <w:marTop w:val="0"/>
      <w:marBottom w:val="0"/>
      <w:divBdr>
        <w:top w:val="none" w:sz="0" w:space="0" w:color="auto"/>
        <w:left w:val="none" w:sz="0" w:space="0" w:color="auto"/>
        <w:bottom w:val="none" w:sz="0" w:space="0" w:color="auto"/>
        <w:right w:val="none" w:sz="0" w:space="0" w:color="auto"/>
      </w:divBdr>
    </w:div>
    <w:div w:id="1536842844">
      <w:bodyDiv w:val="1"/>
      <w:marLeft w:val="0"/>
      <w:marRight w:val="0"/>
      <w:marTop w:val="0"/>
      <w:marBottom w:val="0"/>
      <w:divBdr>
        <w:top w:val="none" w:sz="0" w:space="0" w:color="auto"/>
        <w:left w:val="none" w:sz="0" w:space="0" w:color="auto"/>
        <w:bottom w:val="none" w:sz="0" w:space="0" w:color="auto"/>
        <w:right w:val="none" w:sz="0" w:space="0" w:color="auto"/>
      </w:divBdr>
    </w:div>
    <w:div w:id="1670132468">
      <w:bodyDiv w:val="1"/>
      <w:marLeft w:val="0"/>
      <w:marRight w:val="0"/>
      <w:marTop w:val="0"/>
      <w:marBottom w:val="0"/>
      <w:divBdr>
        <w:top w:val="none" w:sz="0" w:space="0" w:color="auto"/>
        <w:left w:val="none" w:sz="0" w:space="0" w:color="auto"/>
        <w:bottom w:val="none" w:sz="0" w:space="0" w:color="auto"/>
        <w:right w:val="none" w:sz="0" w:space="0" w:color="auto"/>
      </w:divBdr>
    </w:div>
    <w:div w:id="1829130082">
      <w:bodyDiv w:val="1"/>
      <w:marLeft w:val="0"/>
      <w:marRight w:val="0"/>
      <w:marTop w:val="0"/>
      <w:marBottom w:val="0"/>
      <w:divBdr>
        <w:top w:val="none" w:sz="0" w:space="0" w:color="auto"/>
        <w:left w:val="none" w:sz="0" w:space="0" w:color="auto"/>
        <w:bottom w:val="none" w:sz="0" w:space="0" w:color="auto"/>
        <w:right w:val="none" w:sz="0" w:space="0" w:color="auto"/>
      </w:divBdr>
    </w:div>
    <w:div w:id="1846240810">
      <w:bodyDiv w:val="1"/>
      <w:marLeft w:val="0"/>
      <w:marRight w:val="0"/>
      <w:marTop w:val="0"/>
      <w:marBottom w:val="0"/>
      <w:divBdr>
        <w:top w:val="none" w:sz="0" w:space="0" w:color="auto"/>
        <w:left w:val="none" w:sz="0" w:space="0" w:color="auto"/>
        <w:bottom w:val="none" w:sz="0" w:space="0" w:color="auto"/>
        <w:right w:val="none" w:sz="0" w:space="0" w:color="auto"/>
      </w:divBdr>
    </w:div>
    <w:div w:id="1848594988">
      <w:bodyDiv w:val="1"/>
      <w:marLeft w:val="0"/>
      <w:marRight w:val="0"/>
      <w:marTop w:val="0"/>
      <w:marBottom w:val="0"/>
      <w:divBdr>
        <w:top w:val="none" w:sz="0" w:space="0" w:color="auto"/>
        <w:left w:val="none" w:sz="0" w:space="0" w:color="auto"/>
        <w:bottom w:val="none" w:sz="0" w:space="0" w:color="auto"/>
        <w:right w:val="none" w:sz="0" w:space="0" w:color="auto"/>
      </w:divBdr>
    </w:div>
    <w:div w:id="1960261717">
      <w:bodyDiv w:val="1"/>
      <w:marLeft w:val="0"/>
      <w:marRight w:val="0"/>
      <w:marTop w:val="0"/>
      <w:marBottom w:val="0"/>
      <w:divBdr>
        <w:top w:val="none" w:sz="0" w:space="0" w:color="auto"/>
        <w:left w:val="none" w:sz="0" w:space="0" w:color="auto"/>
        <w:bottom w:val="none" w:sz="0" w:space="0" w:color="auto"/>
        <w:right w:val="none" w:sz="0" w:space="0" w:color="auto"/>
      </w:divBdr>
    </w:div>
    <w:div w:id="2006515892">
      <w:bodyDiv w:val="1"/>
      <w:marLeft w:val="0"/>
      <w:marRight w:val="0"/>
      <w:marTop w:val="0"/>
      <w:marBottom w:val="0"/>
      <w:divBdr>
        <w:top w:val="none" w:sz="0" w:space="0" w:color="auto"/>
        <w:left w:val="none" w:sz="0" w:space="0" w:color="auto"/>
        <w:bottom w:val="none" w:sz="0" w:space="0" w:color="auto"/>
        <w:right w:val="none" w:sz="0" w:space="0" w:color="auto"/>
      </w:divBdr>
    </w:div>
    <w:div w:id="2084789003">
      <w:bodyDiv w:val="1"/>
      <w:marLeft w:val="0"/>
      <w:marRight w:val="0"/>
      <w:marTop w:val="0"/>
      <w:marBottom w:val="0"/>
      <w:divBdr>
        <w:top w:val="none" w:sz="0" w:space="0" w:color="auto"/>
        <w:left w:val="none" w:sz="0" w:space="0" w:color="auto"/>
        <w:bottom w:val="none" w:sz="0" w:space="0" w:color="auto"/>
        <w:right w:val="none" w:sz="0" w:space="0" w:color="auto"/>
      </w:divBdr>
      <w:divsChild>
        <w:div w:id="220292595">
          <w:marLeft w:val="284"/>
          <w:marRight w:val="0"/>
          <w:marTop w:val="0"/>
          <w:marBottom w:val="0"/>
          <w:divBdr>
            <w:top w:val="none" w:sz="0" w:space="0" w:color="auto"/>
            <w:left w:val="none" w:sz="0" w:space="0" w:color="auto"/>
            <w:bottom w:val="none" w:sz="0" w:space="0" w:color="auto"/>
            <w:right w:val="none" w:sz="0" w:space="0" w:color="auto"/>
          </w:divBdr>
        </w:div>
        <w:div w:id="946351809">
          <w:marLeft w:val="0"/>
          <w:marRight w:val="0"/>
          <w:marTop w:val="0"/>
          <w:marBottom w:val="0"/>
          <w:divBdr>
            <w:top w:val="none" w:sz="0" w:space="0" w:color="auto"/>
            <w:left w:val="none" w:sz="0" w:space="0" w:color="auto"/>
            <w:bottom w:val="none" w:sz="0" w:space="0" w:color="auto"/>
            <w:right w:val="none" w:sz="0" w:space="0" w:color="auto"/>
          </w:divBdr>
        </w:div>
        <w:div w:id="979305097">
          <w:marLeft w:val="284"/>
          <w:marRight w:val="0"/>
          <w:marTop w:val="0"/>
          <w:marBottom w:val="0"/>
          <w:divBdr>
            <w:top w:val="none" w:sz="0" w:space="0" w:color="auto"/>
            <w:left w:val="none" w:sz="0" w:space="0" w:color="auto"/>
            <w:bottom w:val="none" w:sz="0" w:space="0" w:color="auto"/>
            <w:right w:val="none" w:sz="0" w:space="0" w:color="auto"/>
          </w:divBdr>
        </w:div>
        <w:div w:id="1284380873">
          <w:marLeft w:val="709"/>
          <w:marRight w:val="0"/>
          <w:marTop w:val="0"/>
          <w:marBottom w:val="0"/>
          <w:divBdr>
            <w:top w:val="none" w:sz="0" w:space="0" w:color="auto"/>
            <w:left w:val="none" w:sz="0" w:space="0" w:color="auto"/>
            <w:bottom w:val="none" w:sz="0" w:space="0" w:color="auto"/>
            <w:right w:val="none" w:sz="0" w:space="0" w:color="auto"/>
          </w:divBdr>
        </w:div>
        <w:div w:id="1418794704">
          <w:marLeft w:val="709"/>
          <w:marRight w:val="0"/>
          <w:marTop w:val="0"/>
          <w:marBottom w:val="0"/>
          <w:divBdr>
            <w:top w:val="none" w:sz="0" w:space="0" w:color="auto"/>
            <w:left w:val="none" w:sz="0" w:space="0" w:color="auto"/>
            <w:bottom w:val="none" w:sz="0" w:space="0" w:color="auto"/>
            <w:right w:val="none" w:sz="0" w:space="0" w:color="auto"/>
          </w:divBdr>
        </w:div>
        <w:div w:id="785733723">
          <w:marLeft w:val="709"/>
          <w:marRight w:val="0"/>
          <w:marTop w:val="0"/>
          <w:marBottom w:val="0"/>
          <w:divBdr>
            <w:top w:val="none" w:sz="0" w:space="0" w:color="auto"/>
            <w:left w:val="none" w:sz="0" w:space="0" w:color="auto"/>
            <w:bottom w:val="none" w:sz="0" w:space="0" w:color="auto"/>
            <w:right w:val="none" w:sz="0" w:space="0" w:color="auto"/>
          </w:divBdr>
        </w:div>
        <w:div w:id="1153178262">
          <w:marLeft w:val="709"/>
          <w:marRight w:val="0"/>
          <w:marTop w:val="0"/>
          <w:marBottom w:val="0"/>
          <w:divBdr>
            <w:top w:val="none" w:sz="0" w:space="0" w:color="auto"/>
            <w:left w:val="none" w:sz="0" w:space="0" w:color="auto"/>
            <w:bottom w:val="none" w:sz="0" w:space="0" w:color="auto"/>
            <w:right w:val="none" w:sz="0" w:space="0" w:color="auto"/>
          </w:divBdr>
        </w:div>
      </w:divsChild>
    </w:div>
    <w:div w:id="21472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004EF-94CC-460A-81EF-52BC9CE0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16</Pages>
  <Words>4446</Words>
  <Characters>32196</Characters>
  <Application>Microsoft Office Word</Application>
  <DocSecurity>0</DocSecurity>
  <Lines>643</Lines>
  <Paragraphs>175</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36467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Zjurikova</dc:creator>
  <cp:keywords/>
  <dc:description/>
  <cp:lastModifiedBy>Kaspars Stabiņš</cp:lastModifiedBy>
  <cp:revision>282</cp:revision>
  <cp:lastPrinted>2013-11-25T08:24:00Z</cp:lastPrinted>
  <dcterms:created xsi:type="dcterms:W3CDTF">2013-02-08T09:35:00Z</dcterms:created>
  <dcterms:modified xsi:type="dcterms:W3CDTF">2013-11-25T11:33:00Z</dcterms:modified>
</cp:coreProperties>
</file>