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4D" w:rsidRDefault="00BF7462" w:rsidP="00BF7462">
      <w:pPr>
        <w:spacing w:after="0" w:line="240" w:lineRule="auto"/>
        <w:jc w:val="center"/>
        <w:rPr>
          <w:rFonts w:ascii="Times New Roman" w:hAnsi="Times New Roman" w:cs="Times New Roman"/>
          <w:b/>
          <w:sz w:val="28"/>
          <w:szCs w:val="28"/>
        </w:rPr>
      </w:pPr>
      <w:r w:rsidRPr="00BF7462">
        <w:rPr>
          <w:rFonts w:ascii="Times New Roman" w:hAnsi="Times New Roman" w:cs="Times New Roman"/>
          <w:b/>
          <w:sz w:val="28"/>
          <w:szCs w:val="28"/>
        </w:rPr>
        <w:t>Informatīvais ziņojums</w:t>
      </w:r>
    </w:p>
    <w:p w:rsidR="00BF7462" w:rsidRDefault="007D1417" w:rsidP="00D54F4B">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BF7462">
        <w:rPr>
          <w:rFonts w:ascii="Times New Roman" w:hAnsi="Times New Roman" w:cs="Times New Roman"/>
          <w:b/>
          <w:sz w:val="28"/>
          <w:szCs w:val="28"/>
        </w:rPr>
        <w:t xml:space="preserve">ar normatīvajiem aktiem, kas nosaka dažādu atļauju (licenču) izsniegšanu un </w:t>
      </w:r>
      <w:r w:rsidR="00197732">
        <w:rPr>
          <w:rFonts w:ascii="Times New Roman" w:hAnsi="Times New Roman" w:cs="Times New Roman"/>
          <w:b/>
          <w:sz w:val="28"/>
          <w:szCs w:val="28"/>
        </w:rPr>
        <w:t xml:space="preserve">tajos paredzēto </w:t>
      </w:r>
      <w:r w:rsidR="003D32CD">
        <w:rPr>
          <w:rFonts w:ascii="Times New Roman" w:hAnsi="Times New Roman" w:cs="Times New Roman"/>
          <w:b/>
          <w:sz w:val="28"/>
          <w:szCs w:val="28"/>
        </w:rPr>
        <w:t xml:space="preserve">anulēšanas </w:t>
      </w:r>
      <w:r w:rsidR="00197732">
        <w:rPr>
          <w:rFonts w:ascii="Times New Roman" w:hAnsi="Times New Roman" w:cs="Times New Roman"/>
          <w:b/>
          <w:sz w:val="28"/>
          <w:szCs w:val="28"/>
        </w:rPr>
        <w:t xml:space="preserve">kārtību </w:t>
      </w:r>
      <w:r w:rsidR="00BF7462">
        <w:rPr>
          <w:rFonts w:ascii="Times New Roman" w:hAnsi="Times New Roman" w:cs="Times New Roman"/>
          <w:b/>
          <w:sz w:val="28"/>
          <w:szCs w:val="28"/>
        </w:rPr>
        <w:t xml:space="preserve">par nopietniem </w:t>
      </w:r>
      <w:r w:rsidR="00792283">
        <w:rPr>
          <w:rFonts w:ascii="Times New Roman" w:hAnsi="Times New Roman" w:cs="Times New Roman"/>
          <w:b/>
          <w:sz w:val="28"/>
          <w:szCs w:val="28"/>
        </w:rPr>
        <w:t>saimnieciskās darbības</w:t>
      </w:r>
      <w:r w:rsidR="00BF7462">
        <w:rPr>
          <w:rFonts w:ascii="Times New Roman" w:hAnsi="Times New Roman" w:cs="Times New Roman"/>
          <w:b/>
          <w:sz w:val="28"/>
          <w:szCs w:val="28"/>
        </w:rPr>
        <w:t xml:space="preserve"> pārkāpumiem</w:t>
      </w:r>
      <w:r>
        <w:rPr>
          <w:rFonts w:ascii="Times New Roman" w:hAnsi="Times New Roman" w:cs="Times New Roman"/>
          <w:b/>
          <w:sz w:val="28"/>
          <w:szCs w:val="28"/>
        </w:rPr>
        <w:t>”</w:t>
      </w:r>
    </w:p>
    <w:p w:rsidR="00792283" w:rsidRPr="00D54F4B" w:rsidRDefault="00D54F4B" w:rsidP="00D54F4B">
      <w:pPr>
        <w:pStyle w:val="ListParagraph"/>
        <w:numPr>
          <w:ilvl w:val="0"/>
          <w:numId w:val="6"/>
        </w:numPr>
        <w:spacing w:after="12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Ievads</w:t>
      </w:r>
    </w:p>
    <w:p w:rsidR="00792283" w:rsidRPr="007761BA" w:rsidRDefault="00792283" w:rsidP="0074330B">
      <w:pPr>
        <w:spacing w:after="60" w:line="240" w:lineRule="auto"/>
        <w:ind w:right="45" w:firstLine="720"/>
        <w:jc w:val="both"/>
        <w:rPr>
          <w:rFonts w:ascii="Times New Roman" w:hAnsi="Times New Roman" w:cs="Times New Roman"/>
          <w:sz w:val="26"/>
          <w:szCs w:val="26"/>
        </w:rPr>
      </w:pPr>
      <w:r w:rsidRPr="007761BA">
        <w:rPr>
          <w:rFonts w:ascii="Times New Roman" w:hAnsi="Times New Roman" w:cs="Times New Roman"/>
          <w:sz w:val="26"/>
          <w:szCs w:val="26"/>
        </w:rPr>
        <w:t>Saskaņā ar Ministru kabineta 2010.gada 26.augusta rīkojumu Nr.513 „Par Pasākumu plānu ēnu ekonomikas apkarošanai un godīgas konkurences nodrošināšanai 2010.</w:t>
      </w:r>
      <w:r w:rsidRPr="007761BA">
        <w:rPr>
          <w:rFonts w:ascii="Times New Roman" w:hAnsi="Times New Roman" w:cs="Times New Roman"/>
          <w:color w:val="000000"/>
          <w:sz w:val="26"/>
          <w:szCs w:val="26"/>
        </w:rPr>
        <w:t>–</w:t>
      </w:r>
      <w:r w:rsidRPr="007761BA">
        <w:rPr>
          <w:rFonts w:ascii="Times New Roman" w:hAnsi="Times New Roman" w:cs="Times New Roman"/>
          <w:sz w:val="26"/>
          <w:szCs w:val="26"/>
        </w:rPr>
        <w:t>2013.gadam” tika apstiprināts Pasākumu plāns ēnu ekonomikas apkarošanai un godīgas konkurences nodrošināšanai 2010.</w:t>
      </w:r>
      <w:r w:rsidRPr="007761BA">
        <w:rPr>
          <w:rFonts w:ascii="Times New Roman" w:hAnsi="Times New Roman" w:cs="Times New Roman"/>
          <w:color w:val="000000"/>
          <w:sz w:val="26"/>
          <w:szCs w:val="26"/>
        </w:rPr>
        <w:t>–</w:t>
      </w:r>
      <w:r w:rsidR="00F578BB" w:rsidRPr="007761BA">
        <w:rPr>
          <w:rFonts w:ascii="Times New Roman" w:hAnsi="Times New Roman" w:cs="Times New Roman"/>
          <w:sz w:val="26"/>
          <w:szCs w:val="26"/>
        </w:rPr>
        <w:t>2013.</w:t>
      </w:r>
      <w:r w:rsidRPr="007761BA">
        <w:rPr>
          <w:rFonts w:ascii="Times New Roman" w:hAnsi="Times New Roman" w:cs="Times New Roman"/>
          <w:sz w:val="26"/>
          <w:szCs w:val="26"/>
        </w:rPr>
        <w:t>gadam (turpmāk - Plāns)</w:t>
      </w:r>
      <w:r w:rsidR="00F578BB" w:rsidRPr="007761BA">
        <w:rPr>
          <w:rFonts w:ascii="Times New Roman" w:hAnsi="Times New Roman" w:cs="Times New Roman"/>
          <w:sz w:val="26"/>
          <w:szCs w:val="26"/>
        </w:rPr>
        <w:t>, kurā mērķis ir padarīt darbošanos ēnu ekonomikā pēc iespējas neizdevīgāku, bet darbošanos legālajā ekonomikā - pēc iespējas izdevīgāku, atvieglojot pāreju uz legālo ekonomiku un uzlabojot komunikāciju starp publisko pārvaldi un sabiedrību.</w:t>
      </w:r>
    </w:p>
    <w:p w:rsidR="00F578BB" w:rsidRPr="007761BA" w:rsidRDefault="00D75962" w:rsidP="0074330B">
      <w:pPr>
        <w:spacing w:after="60" w:line="240" w:lineRule="auto"/>
        <w:ind w:right="45" w:firstLine="720"/>
        <w:jc w:val="both"/>
        <w:rPr>
          <w:rFonts w:ascii="Times New Roman" w:eastAsia="SimSun" w:hAnsi="Times New Roman" w:cs="Times New Roman"/>
          <w:sz w:val="26"/>
          <w:szCs w:val="26"/>
          <w:lang w:eastAsia="zh-CN"/>
        </w:rPr>
      </w:pPr>
      <w:r w:rsidRPr="007761BA">
        <w:rPr>
          <w:rFonts w:ascii="Times New Roman" w:hAnsi="Times New Roman" w:cs="Times New Roman"/>
          <w:sz w:val="26"/>
          <w:szCs w:val="26"/>
        </w:rPr>
        <w:t xml:space="preserve">Plāna 32.pasākums paredz uzdevumu Ekonomikas ministrijai izstrādāt informatīvo ziņojumu </w:t>
      </w:r>
      <w:r w:rsidRPr="007761BA">
        <w:rPr>
          <w:rFonts w:ascii="Times New Roman" w:hAnsi="Times New Roman" w:cs="Times New Roman"/>
          <w:color w:val="000000"/>
          <w:sz w:val="26"/>
          <w:szCs w:val="26"/>
        </w:rPr>
        <w:t>attiecībā uz normatīvajiem aktiem, kas nosaka dažādu atļauju (licenču) izsniegšanu</w:t>
      </w:r>
      <w:r w:rsidR="0074626B" w:rsidRPr="007761BA">
        <w:rPr>
          <w:rFonts w:ascii="Times New Roman" w:hAnsi="Times New Roman" w:cs="Times New Roman"/>
          <w:color w:val="000000"/>
          <w:sz w:val="26"/>
          <w:szCs w:val="26"/>
        </w:rPr>
        <w:t>,</w:t>
      </w:r>
      <w:r w:rsidRPr="007761BA">
        <w:rPr>
          <w:rFonts w:ascii="Times New Roman" w:hAnsi="Times New Roman" w:cs="Times New Roman"/>
          <w:color w:val="000000"/>
          <w:sz w:val="26"/>
          <w:szCs w:val="26"/>
        </w:rPr>
        <w:t xml:space="preserve"> </w:t>
      </w:r>
      <w:r w:rsidR="0074626B" w:rsidRPr="007761BA">
        <w:rPr>
          <w:rFonts w:ascii="Times New Roman" w:hAnsi="Times New Roman" w:cs="Times New Roman"/>
          <w:color w:val="000000"/>
          <w:sz w:val="26"/>
          <w:szCs w:val="26"/>
        </w:rPr>
        <w:t xml:space="preserve">izvērtējot, </w:t>
      </w:r>
      <w:r w:rsidRPr="007761BA">
        <w:rPr>
          <w:rFonts w:ascii="Times New Roman" w:hAnsi="Times New Roman" w:cs="Times New Roman"/>
          <w:color w:val="000000"/>
          <w:sz w:val="26"/>
          <w:szCs w:val="26"/>
        </w:rPr>
        <w:t xml:space="preserve">vai tajos ir noteikts, ka minētās atļaujas (licences) tiek </w:t>
      </w:r>
      <w:r w:rsidR="00D54F4B">
        <w:rPr>
          <w:rFonts w:ascii="Times New Roman" w:hAnsi="Times New Roman" w:cs="Times New Roman"/>
          <w:color w:val="000000"/>
          <w:sz w:val="26"/>
          <w:szCs w:val="26"/>
        </w:rPr>
        <w:t>anulētas</w:t>
      </w:r>
      <w:r w:rsidRPr="007761BA">
        <w:rPr>
          <w:rFonts w:ascii="Times New Roman" w:hAnsi="Times New Roman" w:cs="Times New Roman"/>
          <w:color w:val="000000"/>
          <w:sz w:val="26"/>
          <w:szCs w:val="26"/>
        </w:rPr>
        <w:t xml:space="preserve">, ja personai tiek atklāti nopietni </w:t>
      </w:r>
      <w:r w:rsidR="0074626B" w:rsidRPr="007761BA">
        <w:rPr>
          <w:rFonts w:ascii="Times New Roman" w:hAnsi="Times New Roman" w:cs="Times New Roman"/>
          <w:color w:val="000000"/>
          <w:sz w:val="26"/>
          <w:szCs w:val="26"/>
        </w:rPr>
        <w:t xml:space="preserve">saimnieciskās darbības </w:t>
      </w:r>
      <w:r w:rsidRPr="007761BA">
        <w:rPr>
          <w:rFonts w:ascii="Times New Roman" w:hAnsi="Times New Roman" w:cs="Times New Roman"/>
          <w:color w:val="000000"/>
          <w:sz w:val="26"/>
          <w:szCs w:val="26"/>
        </w:rPr>
        <w:t>pārkāpumi.</w:t>
      </w:r>
      <w:r w:rsidR="0074626B" w:rsidRPr="007761BA">
        <w:rPr>
          <w:rFonts w:ascii="Times New Roman" w:hAnsi="Times New Roman" w:cs="Times New Roman"/>
          <w:color w:val="000000"/>
          <w:sz w:val="26"/>
          <w:szCs w:val="26"/>
        </w:rPr>
        <w:t xml:space="preserve"> </w:t>
      </w:r>
      <w:r w:rsidR="00C272FA" w:rsidRPr="007761BA">
        <w:rPr>
          <w:rFonts w:ascii="Times New Roman" w:hAnsi="Times New Roman" w:cs="Times New Roman"/>
          <w:color w:val="000000"/>
          <w:sz w:val="26"/>
          <w:szCs w:val="26"/>
        </w:rPr>
        <w:t xml:space="preserve">Tāpat </w:t>
      </w:r>
      <w:r w:rsidR="0074626B" w:rsidRPr="007761BA">
        <w:rPr>
          <w:rFonts w:ascii="Times New Roman" w:hAnsi="Times New Roman" w:cs="Times New Roman"/>
          <w:color w:val="000000"/>
          <w:sz w:val="26"/>
          <w:szCs w:val="26"/>
        </w:rPr>
        <w:t>Plāna 32.pasākums paredz uzdevumu visām ministrijām līdz 2011.gada 1.janvārim sniegt informāciju par normatīvajiem aktiem, kas nosaka atļauju (licenču) izsniegšanas un anulēšanas kārtību.</w:t>
      </w:r>
      <w:r w:rsidR="00A53B0B" w:rsidRPr="007761BA">
        <w:rPr>
          <w:rFonts w:ascii="Times New Roman" w:hAnsi="Times New Roman" w:cs="Times New Roman"/>
          <w:color w:val="000000"/>
          <w:sz w:val="26"/>
          <w:szCs w:val="26"/>
        </w:rPr>
        <w:t xml:space="preserve"> Atbilstoši Plāna 32.pasākuma sadaļai „Darbības rezultāti un rādītāji” informatīvā ziņojuma izstrāde</w:t>
      </w:r>
      <w:r w:rsidR="00FF2F54" w:rsidRPr="007761BA">
        <w:rPr>
          <w:rFonts w:ascii="Times New Roman" w:hAnsi="Times New Roman" w:cs="Times New Roman"/>
          <w:color w:val="000000"/>
          <w:sz w:val="26"/>
          <w:szCs w:val="26"/>
        </w:rPr>
        <w:t>s</w:t>
      </w:r>
      <w:r w:rsidR="00A53B0B" w:rsidRPr="007761BA">
        <w:rPr>
          <w:rFonts w:ascii="Times New Roman" w:hAnsi="Times New Roman" w:cs="Times New Roman"/>
          <w:color w:val="000000"/>
          <w:sz w:val="26"/>
          <w:szCs w:val="26"/>
        </w:rPr>
        <w:t xml:space="preserve"> </w:t>
      </w:r>
      <w:r w:rsidR="00FF2F54" w:rsidRPr="007761BA">
        <w:rPr>
          <w:rFonts w:ascii="Times New Roman" w:hAnsi="Times New Roman" w:cs="Times New Roman"/>
          <w:color w:val="000000"/>
          <w:sz w:val="26"/>
          <w:szCs w:val="26"/>
        </w:rPr>
        <w:t xml:space="preserve">rezultātā </w:t>
      </w:r>
      <w:r w:rsidR="00A53B0B" w:rsidRPr="007761BA">
        <w:rPr>
          <w:rFonts w:ascii="Times New Roman" w:hAnsi="Times New Roman" w:cs="Times New Roman"/>
          <w:color w:val="000000"/>
          <w:sz w:val="26"/>
          <w:szCs w:val="26"/>
        </w:rPr>
        <w:t>k</w:t>
      </w:r>
      <w:r w:rsidR="00A53B0B" w:rsidRPr="007761BA">
        <w:rPr>
          <w:rFonts w:ascii="Times New Roman" w:eastAsia="SimSun" w:hAnsi="Times New Roman" w:cs="Times New Roman"/>
          <w:sz w:val="26"/>
          <w:szCs w:val="26"/>
          <w:lang w:eastAsia="zh-CN"/>
        </w:rPr>
        <w:t>omersanti, kuru saimnieciskās darbības veikšanai ir nepieciešamas atļaujas (licences), uzmanīgāk attie</w:t>
      </w:r>
      <w:r w:rsidR="00FF2F54" w:rsidRPr="007761BA">
        <w:rPr>
          <w:rFonts w:ascii="Times New Roman" w:eastAsia="SimSun" w:hAnsi="Times New Roman" w:cs="Times New Roman"/>
          <w:sz w:val="26"/>
          <w:szCs w:val="26"/>
          <w:lang w:eastAsia="zh-CN"/>
        </w:rPr>
        <w:t>ktos</w:t>
      </w:r>
      <w:r w:rsidR="00A53B0B" w:rsidRPr="007761BA">
        <w:rPr>
          <w:rFonts w:ascii="Times New Roman" w:eastAsia="SimSun" w:hAnsi="Times New Roman" w:cs="Times New Roman"/>
          <w:sz w:val="26"/>
          <w:szCs w:val="26"/>
          <w:lang w:eastAsia="zh-CN"/>
        </w:rPr>
        <w:t xml:space="preserve"> pret saviem pienākumiem un saistībām pret valsti, pretējā gadījumā tik</w:t>
      </w:r>
      <w:r w:rsidR="00FF2F54" w:rsidRPr="007761BA">
        <w:rPr>
          <w:rFonts w:ascii="Times New Roman" w:eastAsia="SimSun" w:hAnsi="Times New Roman" w:cs="Times New Roman"/>
          <w:sz w:val="26"/>
          <w:szCs w:val="26"/>
          <w:lang w:eastAsia="zh-CN"/>
        </w:rPr>
        <w:t>tu</w:t>
      </w:r>
      <w:r w:rsidR="00A53B0B" w:rsidRPr="007761BA">
        <w:rPr>
          <w:rFonts w:ascii="Times New Roman" w:eastAsia="SimSun" w:hAnsi="Times New Roman" w:cs="Times New Roman"/>
          <w:sz w:val="26"/>
          <w:szCs w:val="26"/>
          <w:lang w:eastAsia="zh-CN"/>
        </w:rPr>
        <w:t xml:space="preserve"> ierobežotas viņu iespējas veikt konkrēto saimniecisko darbību.</w:t>
      </w:r>
    </w:p>
    <w:p w:rsidR="00CF5A19" w:rsidRPr="007761BA" w:rsidRDefault="00750ABB" w:rsidP="0074330B">
      <w:pPr>
        <w:pStyle w:val="NormalWeb"/>
        <w:spacing w:before="0" w:beforeAutospacing="0" w:after="60" w:afterAutospacing="0"/>
        <w:ind w:firstLine="720"/>
        <w:jc w:val="both"/>
        <w:rPr>
          <w:sz w:val="26"/>
          <w:szCs w:val="26"/>
        </w:rPr>
      </w:pPr>
      <w:r w:rsidRPr="007761BA">
        <w:rPr>
          <w:sz w:val="26"/>
          <w:szCs w:val="26"/>
        </w:rPr>
        <w:t>Pasākumu plānā ēnu ekonomikas apkarošanai, kas apstipri</w:t>
      </w:r>
      <w:r w:rsidR="00913F4D" w:rsidRPr="007761BA">
        <w:rPr>
          <w:sz w:val="26"/>
          <w:szCs w:val="26"/>
        </w:rPr>
        <w:t>nāts ar Ministru kabineta 2010.gada 27.maija rīkojumu Nr.</w:t>
      </w:r>
      <w:r w:rsidRPr="007761BA">
        <w:rPr>
          <w:sz w:val="26"/>
          <w:szCs w:val="26"/>
        </w:rPr>
        <w:t>287 „Par Pasākumu plānu ēnu ekonomikas apkarošanai” (turpmāk -</w:t>
      </w:r>
      <w:r w:rsidR="00913F4D" w:rsidRPr="007761BA">
        <w:rPr>
          <w:sz w:val="26"/>
          <w:szCs w:val="26"/>
        </w:rPr>
        <w:t xml:space="preserve"> P</w:t>
      </w:r>
      <w:r w:rsidRPr="007761BA">
        <w:rPr>
          <w:sz w:val="26"/>
          <w:szCs w:val="26"/>
        </w:rPr>
        <w:t xml:space="preserve">asākumu plāns), </w:t>
      </w:r>
      <w:r w:rsidR="00913F4D" w:rsidRPr="007761BA">
        <w:rPr>
          <w:sz w:val="26"/>
          <w:szCs w:val="26"/>
        </w:rPr>
        <w:t>secināts,</w:t>
      </w:r>
      <w:r w:rsidRPr="007761BA">
        <w:rPr>
          <w:sz w:val="26"/>
          <w:szCs w:val="26"/>
        </w:rPr>
        <w:t xml:space="preserve"> </w:t>
      </w:r>
      <w:r w:rsidR="00913F4D" w:rsidRPr="007761BA">
        <w:rPr>
          <w:sz w:val="26"/>
          <w:szCs w:val="26"/>
        </w:rPr>
        <w:t>ka nav vienotas ēnu ekonomikas definīcijas, tomēr izplatītākā definīcija ir „ēnu ekonomika ir iekšzemes kopprodukts, kas nedeklarēšanas un (vai) nepilnīgas deklarēšanas rezultātā nav uzskaitīts oficiālajā statistikā” vai „ēnu ekonomika ir legālu vai nelegālu preču un pakalpojumu ražošana, kas netiek ietverta oficiālajā iekšzemes kopprodukta novērtējumā”.</w:t>
      </w:r>
      <w:r w:rsidR="00D228F0" w:rsidRPr="007761BA">
        <w:rPr>
          <w:sz w:val="26"/>
          <w:szCs w:val="26"/>
        </w:rPr>
        <w:t xml:space="preserve"> Ē</w:t>
      </w:r>
      <w:r w:rsidR="00CF5A19" w:rsidRPr="007761BA">
        <w:rPr>
          <w:sz w:val="26"/>
          <w:szCs w:val="26"/>
        </w:rPr>
        <w:t>nu ekonomikas aktivitātes galv</w:t>
      </w:r>
      <w:r w:rsidR="008857FE">
        <w:rPr>
          <w:sz w:val="26"/>
          <w:szCs w:val="26"/>
        </w:rPr>
        <w:t>enokārt koncentrētas darbietilpī</w:t>
      </w:r>
      <w:r w:rsidR="00CF5A19" w:rsidRPr="007761BA">
        <w:rPr>
          <w:sz w:val="26"/>
          <w:szCs w:val="26"/>
        </w:rPr>
        <w:t>gajos sektoros, kā rezultātā, legālajā sektorā darbaspēks kļūst dārgāks racionalizācijas un kapitāla-intensīvas ražošanas dēļ. Ņemot vērā, ka ēnu ekonomikā darbojošās personas var atklāt, ēnu ekonomikas sektorā darb</w:t>
      </w:r>
      <w:r w:rsidR="00D228F0" w:rsidRPr="007761BA">
        <w:rPr>
          <w:sz w:val="26"/>
          <w:szCs w:val="26"/>
        </w:rPr>
        <w:t>inieku apmācība nav izdevīga,</w:t>
      </w:r>
      <w:r w:rsidR="00CE2E12">
        <w:rPr>
          <w:sz w:val="26"/>
          <w:szCs w:val="26"/>
        </w:rPr>
        <w:t xml:space="preserve"> </w:t>
      </w:r>
      <w:r w:rsidR="00D228F0" w:rsidRPr="007761BA">
        <w:rPr>
          <w:sz w:val="26"/>
          <w:szCs w:val="26"/>
        </w:rPr>
        <w:t>līdz ar to</w:t>
      </w:r>
      <w:r w:rsidR="00CF5A19" w:rsidRPr="007761BA">
        <w:rPr>
          <w:sz w:val="26"/>
          <w:szCs w:val="26"/>
        </w:rPr>
        <w:t xml:space="preserve"> </w:t>
      </w:r>
      <w:r w:rsidR="00D228F0" w:rsidRPr="007761BA">
        <w:rPr>
          <w:sz w:val="26"/>
          <w:szCs w:val="26"/>
        </w:rPr>
        <w:t>c</w:t>
      </w:r>
      <w:r w:rsidR="00CF5A19" w:rsidRPr="007761BA">
        <w:rPr>
          <w:sz w:val="26"/>
          <w:szCs w:val="26"/>
        </w:rPr>
        <w:t>ilvēku resursu un kapitāla deficītam ēnu ekonomikā ir tālejošas negatīvas ekonomiskās izaugsmes sekas</w:t>
      </w:r>
      <w:r w:rsidR="00D228F0" w:rsidRPr="007761BA">
        <w:rPr>
          <w:sz w:val="26"/>
          <w:szCs w:val="26"/>
        </w:rPr>
        <w:t>.</w:t>
      </w:r>
      <w:r w:rsidR="00CF5A19" w:rsidRPr="007761BA">
        <w:rPr>
          <w:sz w:val="26"/>
          <w:szCs w:val="26"/>
        </w:rPr>
        <w:t xml:space="preserve"> Ilgā laika periodā </w:t>
      </w:r>
      <w:r w:rsidR="00D54F4B">
        <w:rPr>
          <w:sz w:val="26"/>
          <w:szCs w:val="26"/>
        </w:rPr>
        <w:t>nepietiekošie</w:t>
      </w:r>
      <w:r w:rsidR="00CF5A19" w:rsidRPr="007761BA">
        <w:rPr>
          <w:sz w:val="26"/>
          <w:szCs w:val="26"/>
        </w:rPr>
        <w:t xml:space="preserve"> cilvēka resursi samazina izaugsmes potenciālu, samazinās jauno tehnoloģiju attīstība un to </w:t>
      </w:r>
      <w:r w:rsidR="00D54F4B">
        <w:rPr>
          <w:sz w:val="26"/>
          <w:szCs w:val="26"/>
        </w:rPr>
        <w:t>izmantošanas</w:t>
      </w:r>
      <w:r w:rsidR="00CF5A19" w:rsidRPr="007761BA">
        <w:rPr>
          <w:sz w:val="26"/>
          <w:szCs w:val="26"/>
        </w:rPr>
        <w:t xml:space="preserve"> iespējas</w:t>
      </w:r>
      <w:r w:rsidR="00D228F0" w:rsidRPr="007761BA">
        <w:rPr>
          <w:sz w:val="26"/>
          <w:szCs w:val="26"/>
        </w:rPr>
        <w:t>. Tādējādi ēnu ekonomika veicina nevienlīdzīgu konkurenci, izkropļo tirgu un negatīvi ietekmē nodokļu iekasēšanu, kā arī tās dēļ pieejamie statistikas dati var sniegt politikas veidotājiem maldīgu priekšstatu par norisēm tautsaimniecībā.</w:t>
      </w:r>
    </w:p>
    <w:p w:rsidR="00251E05" w:rsidRPr="007761BA" w:rsidRDefault="00D228F0" w:rsidP="0074330B">
      <w:pPr>
        <w:spacing w:after="60" w:line="240" w:lineRule="auto"/>
        <w:ind w:firstLine="720"/>
        <w:jc w:val="both"/>
        <w:rPr>
          <w:rFonts w:ascii="Times New Roman" w:hAnsi="Times New Roman" w:cs="Times New Roman"/>
          <w:color w:val="000000"/>
          <w:sz w:val="26"/>
          <w:szCs w:val="26"/>
        </w:rPr>
      </w:pPr>
      <w:r w:rsidRPr="007761BA">
        <w:rPr>
          <w:rFonts w:ascii="Times New Roman" w:hAnsi="Times New Roman" w:cs="Times New Roman"/>
          <w:color w:val="000000"/>
          <w:sz w:val="26"/>
          <w:szCs w:val="26"/>
        </w:rPr>
        <w:t xml:space="preserve">Ņemot vērā </w:t>
      </w:r>
      <w:r w:rsidR="00BA2EF6" w:rsidRPr="007761BA">
        <w:rPr>
          <w:rFonts w:ascii="Times New Roman" w:hAnsi="Times New Roman" w:cs="Times New Roman"/>
          <w:color w:val="000000"/>
          <w:sz w:val="26"/>
          <w:szCs w:val="26"/>
        </w:rPr>
        <w:t>Pasākumu plānā</w:t>
      </w:r>
      <w:r w:rsidRPr="007761BA">
        <w:rPr>
          <w:rFonts w:ascii="Times New Roman" w:hAnsi="Times New Roman" w:cs="Times New Roman"/>
          <w:color w:val="000000"/>
          <w:sz w:val="26"/>
          <w:szCs w:val="26"/>
        </w:rPr>
        <w:t xml:space="preserve"> minēto, var secināt, ka </w:t>
      </w:r>
      <w:r w:rsidR="00D54F4B">
        <w:rPr>
          <w:rFonts w:ascii="Times New Roman" w:hAnsi="Times New Roman" w:cs="Times New Roman"/>
          <w:color w:val="000000"/>
          <w:sz w:val="26"/>
          <w:szCs w:val="26"/>
        </w:rPr>
        <w:t xml:space="preserve">ēnu ekonomika </w:t>
      </w:r>
      <w:r w:rsidR="00E0522C" w:rsidRPr="007761BA">
        <w:rPr>
          <w:rFonts w:ascii="Times New Roman" w:hAnsi="Times New Roman" w:cs="Times New Roman"/>
          <w:color w:val="000000"/>
          <w:sz w:val="26"/>
          <w:szCs w:val="26"/>
        </w:rPr>
        <w:t xml:space="preserve">tieši vai netieši </w:t>
      </w:r>
      <w:r w:rsidR="00D54F4B">
        <w:rPr>
          <w:rFonts w:ascii="Times New Roman" w:hAnsi="Times New Roman" w:cs="Times New Roman"/>
          <w:color w:val="000000"/>
          <w:sz w:val="26"/>
          <w:szCs w:val="26"/>
        </w:rPr>
        <w:t xml:space="preserve">skar </w:t>
      </w:r>
      <w:r w:rsidR="00E0522C" w:rsidRPr="007761BA">
        <w:rPr>
          <w:rFonts w:ascii="Times New Roman" w:hAnsi="Times New Roman" w:cs="Times New Roman"/>
          <w:color w:val="000000"/>
          <w:sz w:val="26"/>
          <w:szCs w:val="26"/>
        </w:rPr>
        <w:t xml:space="preserve">visas jomas, tomēr </w:t>
      </w:r>
      <w:r w:rsidR="00750ABB" w:rsidRPr="007761BA">
        <w:rPr>
          <w:rFonts w:ascii="Times New Roman" w:hAnsi="Times New Roman" w:cs="Times New Roman"/>
          <w:color w:val="000000"/>
          <w:sz w:val="26"/>
          <w:szCs w:val="26"/>
        </w:rPr>
        <w:t>būtiskākās jomas ēnu ekonomikas apkarošanā un godīgas konkurences nodrošināšanā ir nodarbinātības, konkurences un nodokļu joma</w:t>
      </w:r>
      <w:r w:rsidR="00CA35B9" w:rsidRPr="007761BA">
        <w:rPr>
          <w:rFonts w:ascii="Times New Roman" w:hAnsi="Times New Roman" w:cs="Times New Roman"/>
          <w:color w:val="000000"/>
          <w:sz w:val="26"/>
          <w:szCs w:val="26"/>
        </w:rPr>
        <w:t xml:space="preserve">. Līdz ar to, informatīvajā ziņojumā </w:t>
      </w:r>
      <w:r w:rsidR="00251E05" w:rsidRPr="007761BA">
        <w:rPr>
          <w:rFonts w:ascii="Times New Roman" w:hAnsi="Times New Roman" w:cs="Times New Roman"/>
          <w:color w:val="000000"/>
          <w:sz w:val="26"/>
          <w:szCs w:val="26"/>
        </w:rPr>
        <w:t>iz</w:t>
      </w:r>
      <w:r w:rsidR="00CA35B9" w:rsidRPr="007761BA">
        <w:rPr>
          <w:rFonts w:ascii="Times New Roman" w:hAnsi="Times New Roman" w:cs="Times New Roman"/>
          <w:color w:val="000000"/>
          <w:sz w:val="26"/>
          <w:szCs w:val="26"/>
        </w:rPr>
        <w:t>vērtēt</w:t>
      </w:r>
      <w:r w:rsidR="007C7886">
        <w:rPr>
          <w:rFonts w:ascii="Times New Roman" w:hAnsi="Times New Roman" w:cs="Times New Roman"/>
          <w:color w:val="000000"/>
          <w:sz w:val="26"/>
          <w:szCs w:val="26"/>
        </w:rPr>
        <w:t>s</w:t>
      </w:r>
      <w:r w:rsidR="00CA35B9" w:rsidRPr="007761BA">
        <w:rPr>
          <w:rFonts w:ascii="Times New Roman" w:hAnsi="Times New Roman" w:cs="Times New Roman"/>
          <w:color w:val="000000"/>
          <w:sz w:val="26"/>
          <w:szCs w:val="26"/>
        </w:rPr>
        <w:t xml:space="preserve"> ne tikai normatīvo aktu regulējum</w:t>
      </w:r>
      <w:r w:rsidR="007300A9">
        <w:rPr>
          <w:rFonts w:ascii="Times New Roman" w:hAnsi="Times New Roman" w:cs="Times New Roman"/>
          <w:color w:val="000000"/>
          <w:sz w:val="26"/>
          <w:szCs w:val="26"/>
        </w:rPr>
        <w:t>s</w:t>
      </w:r>
      <w:r w:rsidR="00CA35B9" w:rsidRPr="007761BA">
        <w:rPr>
          <w:rFonts w:ascii="Times New Roman" w:hAnsi="Times New Roman" w:cs="Times New Roman"/>
          <w:color w:val="000000"/>
          <w:sz w:val="26"/>
          <w:szCs w:val="26"/>
        </w:rPr>
        <w:t xml:space="preserve"> par </w:t>
      </w:r>
      <w:r w:rsidR="00CA35B9" w:rsidRPr="007761BA">
        <w:rPr>
          <w:rFonts w:ascii="Times New Roman" w:hAnsi="Times New Roman" w:cs="Times New Roman"/>
          <w:color w:val="000000"/>
          <w:sz w:val="26"/>
          <w:szCs w:val="26"/>
        </w:rPr>
        <w:lastRenderedPageBreak/>
        <w:t xml:space="preserve">konkrētās atļaujas (licences) saimnieciskajā darbībā izdarītajiem pārkāpumiem, bet arī paredzētās </w:t>
      </w:r>
      <w:r w:rsidR="003B1BDC" w:rsidRPr="007761BA">
        <w:rPr>
          <w:rFonts w:ascii="Times New Roman" w:hAnsi="Times New Roman" w:cs="Times New Roman"/>
          <w:color w:val="000000"/>
          <w:sz w:val="26"/>
          <w:szCs w:val="26"/>
        </w:rPr>
        <w:t>atļaujas (licences) anulēšanas iespējas</w:t>
      </w:r>
      <w:r w:rsidR="00CA35B9" w:rsidRPr="007761BA">
        <w:rPr>
          <w:rFonts w:ascii="Times New Roman" w:hAnsi="Times New Roman" w:cs="Times New Roman"/>
          <w:color w:val="000000"/>
          <w:sz w:val="26"/>
          <w:szCs w:val="26"/>
        </w:rPr>
        <w:t xml:space="preserve"> par pārkāpumiem nodarbinātības</w:t>
      </w:r>
      <w:r w:rsidR="003B1BDC" w:rsidRPr="007761BA">
        <w:rPr>
          <w:rFonts w:ascii="Times New Roman" w:hAnsi="Times New Roman" w:cs="Times New Roman"/>
          <w:color w:val="000000"/>
          <w:sz w:val="26"/>
          <w:szCs w:val="26"/>
        </w:rPr>
        <w:t xml:space="preserve"> un</w:t>
      </w:r>
      <w:r w:rsidR="00CA35B9" w:rsidRPr="007761BA">
        <w:rPr>
          <w:rFonts w:ascii="Times New Roman" w:hAnsi="Times New Roman" w:cs="Times New Roman"/>
          <w:color w:val="000000"/>
          <w:sz w:val="26"/>
          <w:szCs w:val="26"/>
        </w:rPr>
        <w:t xml:space="preserve"> nodokļu jomā.</w:t>
      </w:r>
    </w:p>
    <w:p w:rsidR="00BE5577" w:rsidRDefault="00BE5577" w:rsidP="0074330B">
      <w:pPr>
        <w:pStyle w:val="CommentText"/>
        <w:spacing w:after="60"/>
        <w:ind w:firstLine="720"/>
        <w:jc w:val="both"/>
        <w:rPr>
          <w:sz w:val="26"/>
          <w:szCs w:val="26"/>
        </w:rPr>
      </w:pPr>
    </w:p>
    <w:p w:rsidR="00801A83" w:rsidRPr="00801A83" w:rsidRDefault="00801A83" w:rsidP="00801A83">
      <w:pPr>
        <w:pStyle w:val="ListParagraph"/>
        <w:numPr>
          <w:ilvl w:val="0"/>
          <w:numId w:val="6"/>
        </w:numPr>
        <w:autoSpaceDE w:val="0"/>
        <w:autoSpaceDN w:val="0"/>
        <w:adjustRightInd w:val="0"/>
        <w:spacing w:after="120" w:line="240" w:lineRule="auto"/>
        <w:jc w:val="center"/>
        <w:rPr>
          <w:rFonts w:ascii="Times New Roman" w:eastAsia="SimSun" w:hAnsi="Times New Roman" w:cs="Times New Roman"/>
          <w:b/>
          <w:sz w:val="28"/>
          <w:szCs w:val="28"/>
          <w:lang w:eastAsia="zh-CN"/>
        </w:rPr>
      </w:pPr>
      <w:r w:rsidRPr="00801A83">
        <w:rPr>
          <w:rFonts w:ascii="Times New Roman" w:eastAsia="SimSun" w:hAnsi="Times New Roman" w:cs="Times New Roman"/>
          <w:b/>
          <w:sz w:val="28"/>
          <w:szCs w:val="28"/>
          <w:lang w:eastAsia="zh-CN"/>
        </w:rPr>
        <w:t>Informācijas apkopojums par atļaujam (licencēm)</w:t>
      </w:r>
    </w:p>
    <w:p w:rsidR="00D342B3" w:rsidRPr="008471C1" w:rsidRDefault="00D342B3" w:rsidP="00E41D2D">
      <w:pPr>
        <w:spacing w:after="60" w:line="240" w:lineRule="auto"/>
        <w:ind w:right="45" w:firstLine="720"/>
        <w:jc w:val="both"/>
        <w:rPr>
          <w:rFonts w:ascii="Times New Roman" w:hAnsi="Times New Roman" w:cs="Times New Roman"/>
          <w:sz w:val="26"/>
          <w:szCs w:val="26"/>
        </w:rPr>
      </w:pPr>
      <w:r w:rsidRPr="008471C1">
        <w:rPr>
          <w:rFonts w:ascii="Times New Roman" w:hAnsi="Times New Roman" w:cs="Times New Roman"/>
          <w:sz w:val="26"/>
          <w:szCs w:val="26"/>
        </w:rPr>
        <w:t xml:space="preserve">Atbilstoši Plāna 32.pasākuma uzdevumam Ekonomikas ministrijai </w:t>
      </w:r>
      <w:r w:rsidR="0035485C" w:rsidRPr="008471C1">
        <w:rPr>
          <w:rFonts w:ascii="Times New Roman" w:hAnsi="Times New Roman" w:cs="Times New Roman"/>
          <w:sz w:val="26"/>
          <w:szCs w:val="26"/>
        </w:rPr>
        <w:t xml:space="preserve">ir jāizvērtē, vai dažādu atļauju (licenču) regulējošajos normatīvajos aktos ir noteikts, ka „minētās atļaujas (licences) tiek anulētas, ja </w:t>
      </w:r>
      <w:r w:rsidR="0035485C" w:rsidRPr="008471C1">
        <w:rPr>
          <w:rFonts w:ascii="Times New Roman" w:hAnsi="Times New Roman" w:cs="Times New Roman"/>
          <w:sz w:val="26"/>
          <w:szCs w:val="26"/>
          <w:u w:val="single"/>
        </w:rPr>
        <w:t>personai tiek atklāti nopietni saimnieciskās darbības pārkāpumi</w:t>
      </w:r>
      <w:r w:rsidR="0035485C" w:rsidRPr="008471C1">
        <w:rPr>
          <w:rFonts w:ascii="Times New Roman" w:hAnsi="Times New Roman" w:cs="Times New Roman"/>
          <w:sz w:val="26"/>
          <w:szCs w:val="26"/>
        </w:rPr>
        <w:t>”, tādējādi informatīvā ziņojuma 1.pielikumā ir apkopota informācija gan par juridiskām personām izsniegtām atļaujām (licencēm), gan arī fiziskām personām, kas veic saimniecisko darbību (individuālie komersanti, pašnodarbinātās personas), izsniegtajām atļaujām (licencēm).</w:t>
      </w:r>
    </w:p>
    <w:p w:rsidR="00AD2879" w:rsidRPr="008471C1" w:rsidRDefault="00AD2879" w:rsidP="008D401E">
      <w:pPr>
        <w:spacing w:after="60" w:line="240" w:lineRule="auto"/>
        <w:ind w:right="45" w:firstLine="720"/>
        <w:jc w:val="both"/>
        <w:rPr>
          <w:rFonts w:ascii="Times New Roman" w:hAnsi="Times New Roman" w:cs="Times New Roman"/>
          <w:sz w:val="26"/>
          <w:szCs w:val="26"/>
        </w:rPr>
      </w:pPr>
      <w:r w:rsidRPr="008471C1">
        <w:rPr>
          <w:rFonts w:ascii="Times New Roman" w:hAnsi="Times New Roman" w:cs="Times New Roman"/>
          <w:sz w:val="26"/>
          <w:szCs w:val="26"/>
        </w:rPr>
        <w:t xml:space="preserve">Savukārt saskaņā ar </w:t>
      </w:r>
      <w:r w:rsidRPr="008471C1">
        <w:rPr>
          <w:rFonts w:ascii="Times New Roman" w:hAnsi="Times New Roman" w:cs="Times New Roman"/>
          <w:color w:val="000000"/>
          <w:sz w:val="26"/>
          <w:szCs w:val="26"/>
        </w:rPr>
        <w:t xml:space="preserve">Plāna 32.pasākuma sadaļā „Darbības rezultāti un rādītāji” minēto, informatīvā ziņojuma 2.pielikumā, kurā apkopota informācija par atļaujām (licencēm), kurām nepieciešams paredzēt anulēšanas kārtību, iekļautas tikai tās atļaujas (licences), kuras </w:t>
      </w:r>
      <w:r w:rsidR="00E32D36" w:rsidRPr="008471C1">
        <w:rPr>
          <w:rFonts w:ascii="Times New Roman" w:hAnsi="Times New Roman" w:cs="Times New Roman"/>
          <w:color w:val="000000"/>
          <w:sz w:val="26"/>
          <w:szCs w:val="26"/>
        </w:rPr>
        <w:t xml:space="preserve">var tikt izsniegtas komersantiem atbilstoši </w:t>
      </w:r>
      <w:r w:rsidRPr="008471C1">
        <w:rPr>
          <w:rFonts w:ascii="Times New Roman" w:hAnsi="Times New Roman" w:cs="Times New Roman"/>
          <w:color w:val="000000"/>
          <w:sz w:val="26"/>
          <w:szCs w:val="26"/>
        </w:rPr>
        <w:t xml:space="preserve">Komerclikuma </w:t>
      </w:r>
      <w:r w:rsidR="00E32D36" w:rsidRPr="008471C1">
        <w:rPr>
          <w:rFonts w:ascii="Times New Roman" w:hAnsi="Times New Roman" w:cs="Times New Roman"/>
          <w:color w:val="000000"/>
          <w:sz w:val="26"/>
          <w:szCs w:val="26"/>
        </w:rPr>
        <w:t>1.panta pirmajā daļa sniegtajai definīcijai.</w:t>
      </w:r>
    </w:p>
    <w:p w:rsidR="00CE0160" w:rsidRPr="007761BA" w:rsidRDefault="00C272FA" w:rsidP="00844C64">
      <w:pPr>
        <w:spacing w:after="60" w:line="240" w:lineRule="auto"/>
        <w:ind w:right="45" w:firstLine="720"/>
        <w:jc w:val="both"/>
        <w:rPr>
          <w:rFonts w:ascii="Times New Roman" w:hAnsi="Times New Roman" w:cs="Times New Roman"/>
          <w:sz w:val="26"/>
          <w:szCs w:val="26"/>
        </w:rPr>
      </w:pPr>
      <w:r w:rsidRPr="007761BA">
        <w:rPr>
          <w:rFonts w:ascii="Times New Roman" w:hAnsi="Times New Roman" w:cs="Times New Roman"/>
          <w:sz w:val="26"/>
          <w:szCs w:val="26"/>
        </w:rPr>
        <w:t xml:space="preserve">Lai nodrošinātu </w:t>
      </w:r>
      <w:r w:rsidR="00965E09">
        <w:rPr>
          <w:rFonts w:ascii="Times New Roman" w:hAnsi="Times New Roman" w:cs="Times New Roman"/>
          <w:sz w:val="26"/>
          <w:szCs w:val="26"/>
        </w:rPr>
        <w:t>visām ministrijām</w:t>
      </w:r>
      <w:r w:rsidR="00965E09" w:rsidRPr="007761BA">
        <w:rPr>
          <w:rFonts w:ascii="Times New Roman" w:hAnsi="Times New Roman" w:cs="Times New Roman"/>
          <w:sz w:val="26"/>
          <w:szCs w:val="26"/>
        </w:rPr>
        <w:t xml:space="preserve"> </w:t>
      </w:r>
      <w:r w:rsidRPr="007761BA">
        <w:rPr>
          <w:rFonts w:ascii="Times New Roman" w:hAnsi="Times New Roman" w:cs="Times New Roman"/>
          <w:sz w:val="26"/>
          <w:szCs w:val="26"/>
        </w:rPr>
        <w:t>vienotu izpratni par sniedzamo informāciju</w:t>
      </w:r>
      <w:r w:rsidR="00801A83">
        <w:rPr>
          <w:rFonts w:ascii="Times New Roman" w:hAnsi="Times New Roman" w:cs="Times New Roman"/>
          <w:sz w:val="26"/>
          <w:szCs w:val="26"/>
        </w:rPr>
        <w:t xml:space="preserve"> Plāna 32.pasākuma izpildei</w:t>
      </w:r>
      <w:r w:rsidRPr="007761BA">
        <w:rPr>
          <w:rFonts w:ascii="Times New Roman" w:hAnsi="Times New Roman" w:cs="Times New Roman"/>
          <w:sz w:val="26"/>
          <w:szCs w:val="26"/>
        </w:rPr>
        <w:t xml:space="preserve">, </w:t>
      </w:r>
      <w:r w:rsidRPr="008471C1">
        <w:rPr>
          <w:rFonts w:ascii="Times New Roman" w:hAnsi="Times New Roman" w:cs="Times New Roman"/>
          <w:sz w:val="26"/>
          <w:szCs w:val="26"/>
        </w:rPr>
        <w:t xml:space="preserve">Ekonomikas ministrija </w:t>
      </w:r>
      <w:r w:rsidR="00965E09" w:rsidRPr="008471C1">
        <w:rPr>
          <w:rFonts w:ascii="Times New Roman" w:hAnsi="Times New Roman" w:cs="Times New Roman"/>
          <w:sz w:val="26"/>
          <w:szCs w:val="26"/>
        </w:rPr>
        <w:t xml:space="preserve">piedāvāja </w:t>
      </w:r>
      <w:r w:rsidRPr="008471C1">
        <w:rPr>
          <w:rFonts w:ascii="Times New Roman" w:hAnsi="Times New Roman" w:cs="Times New Roman"/>
          <w:sz w:val="26"/>
          <w:szCs w:val="26"/>
        </w:rPr>
        <w:t>atļaujas (licences) definīciju</w:t>
      </w:r>
      <w:r w:rsidR="00965E09" w:rsidRPr="008471C1">
        <w:rPr>
          <w:rFonts w:ascii="Times New Roman" w:hAnsi="Times New Roman" w:cs="Times New Roman"/>
          <w:sz w:val="26"/>
          <w:szCs w:val="26"/>
        </w:rPr>
        <w:t xml:space="preserve">, uz kuras pamata sniedzama informācija par visu ministriju kompetencē esošajām atļaujām (licencēm) </w:t>
      </w:r>
      <w:r w:rsidRPr="008471C1">
        <w:rPr>
          <w:rFonts w:ascii="Times New Roman" w:hAnsi="Times New Roman" w:cs="Times New Roman"/>
          <w:sz w:val="26"/>
          <w:szCs w:val="26"/>
        </w:rPr>
        <w:t>– „</w:t>
      </w:r>
      <w:r w:rsidRPr="008471C1">
        <w:rPr>
          <w:rFonts w:ascii="Times New Roman" w:hAnsi="Times New Roman"/>
          <w:sz w:val="26"/>
          <w:szCs w:val="26"/>
        </w:rPr>
        <w:t>atļauja - atbildīgās iestādes izsniegts dokuments (piemēram, licence, speciālā atļauja, reģistrācijas apliecība, sertifikāts, saskaņojums), kas apliecina saimnieciskās darbības veicēja atbilstību konkrētu pakalpojumu vai pakalpojumu jomu reglamentējošu normatīvo aktu prasībām un dod atļaujas saņēmējam tiesības sniegt noteiktus pakalpojumus</w:t>
      </w:r>
      <w:r w:rsidRPr="008471C1">
        <w:rPr>
          <w:rFonts w:ascii="Times New Roman" w:hAnsi="Times New Roman" w:cs="Times New Roman"/>
          <w:sz w:val="26"/>
          <w:szCs w:val="26"/>
        </w:rPr>
        <w:t xml:space="preserve">”. </w:t>
      </w:r>
      <w:r w:rsidRPr="007761BA">
        <w:rPr>
          <w:rFonts w:ascii="Times New Roman" w:hAnsi="Times New Roman" w:cs="Times New Roman"/>
          <w:sz w:val="26"/>
          <w:szCs w:val="26"/>
        </w:rPr>
        <w:t xml:space="preserve">Tāpat visām ministrijām tika </w:t>
      </w:r>
      <w:r w:rsidR="0016686E" w:rsidRPr="007761BA">
        <w:rPr>
          <w:rFonts w:ascii="Times New Roman" w:hAnsi="Times New Roman" w:cs="Times New Roman"/>
          <w:sz w:val="26"/>
          <w:szCs w:val="26"/>
        </w:rPr>
        <w:t xml:space="preserve">lūgts sniegt izvērtējumu un priekšlikumus attiecīgo </w:t>
      </w:r>
      <w:r w:rsidR="00DF1191">
        <w:rPr>
          <w:rFonts w:ascii="Times New Roman" w:hAnsi="Times New Roman" w:cs="Times New Roman"/>
          <w:sz w:val="26"/>
          <w:szCs w:val="26"/>
        </w:rPr>
        <w:t>normatīvo</w:t>
      </w:r>
      <w:r w:rsidR="0016686E" w:rsidRPr="007761BA">
        <w:rPr>
          <w:rFonts w:ascii="Times New Roman" w:hAnsi="Times New Roman" w:cs="Times New Roman"/>
          <w:sz w:val="26"/>
          <w:szCs w:val="26"/>
        </w:rPr>
        <w:t xml:space="preserve"> aktu grozījumiem, paredzot noteiktos gadījumos par būtiskiem pārkāpumiem anulēt izsniegtās atļaujas (licences), kā arī </w:t>
      </w:r>
      <w:r w:rsidRPr="007761BA">
        <w:rPr>
          <w:rFonts w:ascii="Times New Roman" w:hAnsi="Times New Roman" w:cs="Times New Roman"/>
          <w:sz w:val="26"/>
          <w:szCs w:val="26"/>
        </w:rPr>
        <w:t xml:space="preserve">nosūtīts </w:t>
      </w:r>
      <w:r w:rsidR="00844C64" w:rsidRPr="007761BA">
        <w:rPr>
          <w:rFonts w:ascii="Times New Roman" w:hAnsi="Times New Roman" w:cs="Times New Roman"/>
          <w:sz w:val="26"/>
          <w:szCs w:val="26"/>
        </w:rPr>
        <w:t>Plāna</w:t>
      </w:r>
      <w:r w:rsidRPr="007761BA">
        <w:rPr>
          <w:rFonts w:ascii="Times New Roman" w:hAnsi="Times New Roman" w:cs="Times New Roman"/>
          <w:sz w:val="26"/>
          <w:szCs w:val="26"/>
        </w:rPr>
        <w:t xml:space="preserve"> 32.pasākuma informācijas ietvars, kurā Ekonomikas ministrija lūdz norādīt informāciju par:</w:t>
      </w:r>
    </w:p>
    <w:p w:rsidR="00C272FA" w:rsidRPr="007761BA" w:rsidRDefault="00844C64" w:rsidP="00C272FA">
      <w:pPr>
        <w:pStyle w:val="ListParagraph"/>
        <w:numPr>
          <w:ilvl w:val="0"/>
          <w:numId w:val="1"/>
        </w:numPr>
        <w:spacing w:after="0" w:line="240" w:lineRule="auto"/>
        <w:ind w:right="43"/>
        <w:jc w:val="both"/>
        <w:rPr>
          <w:rFonts w:ascii="Times New Roman" w:hAnsi="Times New Roman" w:cs="Times New Roman"/>
          <w:sz w:val="26"/>
          <w:szCs w:val="26"/>
        </w:rPr>
      </w:pPr>
      <w:r w:rsidRPr="007761BA">
        <w:rPr>
          <w:rFonts w:ascii="Times New Roman" w:hAnsi="Times New Roman" w:cs="Times New Roman"/>
          <w:sz w:val="26"/>
          <w:szCs w:val="26"/>
        </w:rPr>
        <w:t>ministrijas vai tās padotībā esošo institūciju izsniedzamajām atļaujām (licencēm);</w:t>
      </w:r>
    </w:p>
    <w:p w:rsidR="00844C64" w:rsidRPr="007761BA" w:rsidRDefault="00844C64" w:rsidP="00C272FA">
      <w:pPr>
        <w:pStyle w:val="ListParagraph"/>
        <w:numPr>
          <w:ilvl w:val="0"/>
          <w:numId w:val="1"/>
        </w:numPr>
        <w:spacing w:after="0" w:line="240" w:lineRule="auto"/>
        <w:ind w:right="43"/>
        <w:jc w:val="both"/>
        <w:rPr>
          <w:rFonts w:ascii="Times New Roman" w:hAnsi="Times New Roman" w:cs="Times New Roman"/>
          <w:sz w:val="26"/>
          <w:szCs w:val="26"/>
        </w:rPr>
      </w:pPr>
      <w:r w:rsidRPr="007761BA">
        <w:rPr>
          <w:rFonts w:ascii="Times New Roman" w:hAnsi="Times New Roman" w:cs="Times New Roman"/>
          <w:sz w:val="26"/>
          <w:szCs w:val="26"/>
        </w:rPr>
        <w:t>normatīvajiem aktiem, kas regulē atļauju (licenču) izsniegšanu un anulēšanu;</w:t>
      </w:r>
    </w:p>
    <w:p w:rsidR="00844C64" w:rsidRPr="007761BA" w:rsidRDefault="00844C64" w:rsidP="00C272FA">
      <w:pPr>
        <w:pStyle w:val="ListParagraph"/>
        <w:numPr>
          <w:ilvl w:val="0"/>
          <w:numId w:val="1"/>
        </w:numPr>
        <w:spacing w:after="0" w:line="240" w:lineRule="auto"/>
        <w:ind w:right="43"/>
        <w:jc w:val="both"/>
        <w:rPr>
          <w:rFonts w:ascii="Times New Roman" w:hAnsi="Times New Roman" w:cs="Times New Roman"/>
          <w:sz w:val="26"/>
          <w:szCs w:val="26"/>
        </w:rPr>
      </w:pPr>
      <w:r w:rsidRPr="007761BA">
        <w:rPr>
          <w:rFonts w:ascii="Times New Roman" w:hAnsi="Times New Roman" w:cs="Times New Roman"/>
          <w:sz w:val="26"/>
          <w:szCs w:val="26"/>
        </w:rPr>
        <w:t>normatīvajos aktos paredzētajiem sodiem par konkrētās saimnieciskās darbības ietvaros (atbilstoši izsniegtajai atļaujai) izdarītajiem pārkāpumiem;</w:t>
      </w:r>
    </w:p>
    <w:p w:rsidR="00844C64" w:rsidRPr="007761BA" w:rsidRDefault="00844C64" w:rsidP="00844C64">
      <w:pPr>
        <w:pStyle w:val="ListParagraph"/>
        <w:numPr>
          <w:ilvl w:val="0"/>
          <w:numId w:val="1"/>
        </w:numPr>
        <w:spacing w:after="60" w:line="240" w:lineRule="auto"/>
        <w:ind w:left="1077" w:right="45" w:hanging="357"/>
        <w:jc w:val="both"/>
        <w:rPr>
          <w:rFonts w:ascii="Times New Roman" w:hAnsi="Times New Roman" w:cs="Times New Roman"/>
          <w:sz w:val="26"/>
          <w:szCs w:val="26"/>
        </w:rPr>
      </w:pPr>
      <w:r w:rsidRPr="007761BA">
        <w:rPr>
          <w:rFonts w:ascii="Times New Roman" w:hAnsi="Times New Roman" w:cs="Times New Roman"/>
          <w:sz w:val="26"/>
          <w:szCs w:val="26"/>
        </w:rPr>
        <w:t>statistisko informāciju par konstatētajiem pārkāpumiem un piemērotajiem sodiem laika periodā no 2008.gada 1.janvāra līdz 2010.gada 15.decembrim.</w:t>
      </w:r>
    </w:p>
    <w:p w:rsidR="00844C64" w:rsidRDefault="00844C64" w:rsidP="0074330B">
      <w:pPr>
        <w:spacing w:after="60" w:line="240" w:lineRule="auto"/>
        <w:ind w:right="45" w:firstLine="720"/>
        <w:jc w:val="both"/>
        <w:rPr>
          <w:rFonts w:ascii="Times New Roman" w:eastAsia="SimSun" w:hAnsi="Times New Roman" w:cs="Times New Roman"/>
          <w:sz w:val="26"/>
          <w:szCs w:val="26"/>
          <w:lang w:eastAsia="zh-CN"/>
        </w:rPr>
      </w:pPr>
      <w:r w:rsidRPr="007761BA">
        <w:rPr>
          <w:rFonts w:ascii="Times New Roman" w:hAnsi="Times New Roman" w:cs="Times New Roman"/>
          <w:color w:val="000000"/>
          <w:sz w:val="26"/>
          <w:szCs w:val="26"/>
        </w:rPr>
        <w:t>Atbilstoši Plāna 32.pasākuma uzdevumam</w:t>
      </w:r>
      <w:r w:rsidR="006F5171" w:rsidRPr="007761BA">
        <w:rPr>
          <w:rFonts w:ascii="Times New Roman" w:hAnsi="Times New Roman" w:cs="Times New Roman"/>
          <w:color w:val="000000"/>
          <w:sz w:val="26"/>
          <w:szCs w:val="26"/>
        </w:rPr>
        <w:t xml:space="preserve"> un nosūtītajam informācijas pieprasījumam</w:t>
      </w:r>
      <w:r w:rsidRPr="007761BA">
        <w:rPr>
          <w:rFonts w:ascii="Times New Roman" w:hAnsi="Times New Roman" w:cs="Times New Roman"/>
          <w:color w:val="000000"/>
          <w:sz w:val="26"/>
          <w:szCs w:val="26"/>
        </w:rPr>
        <w:t xml:space="preserve">, </w:t>
      </w:r>
      <w:r w:rsidRPr="007761BA">
        <w:rPr>
          <w:rFonts w:ascii="Times New Roman" w:eastAsia="SimSun" w:hAnsi="Times New Roman" w:cs="Times New Roman"/>
          <w:sz w:val="26"/>
          <w:szCs w:val="26"/>
          <w:lang w:eastAsia="zh-CN"/>
        </w:rPr>
        <w:t xml:space="preserve">informatīvā ziņojuma </w:t>
      </w:r>
      <w:r w:rsidR="00D342B3">
        <w:rPr>
          <w:rFonts w:ascii="Times New Roman" w:eastAsia="SimSun" w:hAnsi="Times New Roman" w:cs="Times New Roman"/>
          <w:sz w:val="26"/>
          <w:szCs w:val="26"/>
          <w:lang w:eastAsia="zh-CN"/>
        </w:rPr>
        <w:t>1.</w:t>
      </w:r>
      <w:r w:rsidRPr="007761BA">
        <w:rPr>
          <w:rFonts w:ascii="Times New Roman" w:eastAsia="SimSun" w:hAnsi="Times New Roman" w:cs="Times New Roman"/>
          <w:sz w:val="26"/>
          <w:szCs w:val="26"/>
          <w:lang w:eastAsia="zh-CN"/>
        </w:rPr>
        <w:t xml:space="preserve">pielikumā </w:t>
      </w:r>
      <w:r w:rsidR="00DF1191">
        <w:rPr>
          <w:rFonts w:ascii="Times New Roman" w:eastAsia="SimSun" w:hAnsi="Times New Roman" w:cs="Times New Roman"/>
          <w:sz w:val="26"/>
          <w:szCs w:val="26"/>
          <w:lang w:eastAsia="zh-CN"/>
        </w:rPr>
        <w:t>apkopota</w:t>
      </w:r>
      <w:r w:rsidRPr="007761BA">
        <w:rPr>
          <w:rFonts w:ascii="Times New Roman" w:eastAsia="SimSun" w:hAnsi="Times New Roman" w:cs="Times New Roman"/>
          <w:sz w:val="26"/>
          <w:szCs w:val="26"/>
          <w:lang w:eastAsia="zh-CN"/>
        </w:rPr>
        <w:t xml:space="preserve"> </w:t>
      </w:r>
      <w:r w:rsidR="00036F27">
        <w:rPr>
          <w:rFonts w:ascii="Times New Roman" w:eastAsia="SimSun" w:hAnsi="Times New Roman" w:cs="Times New Roman"/>
          <w:sz w:val="26"/>
          <w:szCs w:val="26"/>
          <w:lang w:eastAsia="zh-CN"/>
        </w:rPr>
        <w:t xml:space="preserve">iesniegtā </w:t>
      </w:r>
      <w:r w:rsidRPr="007761BA">
        <w:rPr>
          <w:rFonts w:ascii="Times New Roman" w:eastAsia="SimSun" w:hAnsi="Times New Roman" w:cs="Times New Roman"/>
          <w:sz w:val="26"/>
          <w:szCs w:val="26"/>
          <w:lang w:eastAsia="zh-CN"/>
        </w:rPr>
        <w:t>informācij</w:t>
      </w:r>
      <w:r w:rsidR="006F5171" w:rsidRPr="007761BA">
        <w:rPr>
          <w:rFonts w:ascii="Times New Roman" w:eastAsia="SimSun" w:hAnsi="Times New Roman" w:cs="Times New Roman"/>
          <w:sz w:val="26"/>
          <w:szCs w:val="26"/>
          <w:lang w:eastAsia="zh-CN"/>
        </w:rPr>
        <w:t>a</w:t>
      </w:r>
      <w:r w:rsidRPr="007761BA">
        <w:rPr>
          <w:rFonts w:ascii="Times New Roman" w:eastAsia="SimSun" w:hAnsi="Times New Roman" w:cs="Times New Roman"/>
          <w:sz w:val="26"/>
          <w:szCs w:val="26"/>
          <w:lang w:eastAsia="zh-CN"/>
        </w:rPr>
        <w:t xml:space="preserve"> par visu ministriju un to padotībā esošo iestāžu </w:t>
      </w:r>
      <w:r w:rsidR="00A8792B" w:rsidRPr="007761BA">
        <w:rPr>
          <w:rFonts w:ascii="Times New Roman" w:eastAsia="SimSun" w:hAnsi="Times New Roman" w:cs="Times New Roman"/>
          <w:sz w:val="26"/>
          <w:szCs w:val="26"/>
          <w:lang w:eastAsia="zh-CN"/>
        </w:rPr>
        <w:t>1</w:t>
      </w:r>
      <w:r w:rsidR="00A8792B">
        <w:rPr>
          <w:rFonts w:ascii="Times New Roman" w:eastAsia="SimSun" w:hAnsi="Times New Roman" w:cs="Times New Roman"/>
          <w:sz w:val="26"/>
          <w:szCs w:val="26"/>
          <w:lang w:eastAsia="zh-CN"/>
        </w:rPr>
        <w:t>62</w:t>
      </w:r>
      <w:r w:rsidR="00A8792B" w:rsidRPr="007761BA">
        <w:rPr>
          <w:rFonts w:ascii="Times New Roman" w:eastAsia="SimSun" w:hAnsi="Times New Roman" w:cs="Times New Roman"/>
          <w:sz w:val="26"/>
          <w:szCs w:val="26"/>
          <w:lang w:eastAsia="zh-CN"/>
        </w:rPr>
        <w:t xml:space="preserve"> </w:t>
      </w:r>
      <w:r w:rsidRPr="007761BA">
        <w:rPr>
          <w:rFonts w:ascii="Times New Roman" w:eastAsia="SimSun" w:hAnsi="Times New Roman" w:cs="Times New Roman"/>
          <w:sz w:val="26"/>
          <w:szCs w:val="26"/>
          <w:lang w:eastAsia="zh-CN"/>
        </w:rPr>
        <w:t>izsniedzamajām atļaujām (licencēm)</w:t>
      </w:r>
      <w:r w:rsidR="006F5171" w:rsidRPr="007761BA">
        <w:rPr>
          <w:rFonts w:ascii="Times New Roman" w:eastAsia="SimSun" w:hAnsi="Times New Roman" w:cs="Times New Roman"/>
          <w:sz w:val="26"/>
          <w:szCs w:val="26"/>
          <w:lang w:eastAsia="zh-CN"/>
        </w:rPr>
        <w:t>.</w:t>
      </w:r>
    </w:p>
    <w:p w:rsidR="008D401E" w:rsidRDefault="008D401E" w:rsidP="0074330B">
      <w:pPr>
        <w:spacing w:after="60" w:line="240" w:lineRule="auto"/>
        <w:ind w:right="45" w:firstLine="720"/>
        <w:jc w:val="both"/>
        <w:rPr>
          <w:rFonts w:ascii="Times New Roman" w:eastAsia="SimSun" w:hAnsi="Times New Roman" w:cs="Times New Roman"/>
          <w:sz w:val="26"/>
          <w:szCs w:val="26"/>
          <w:lang w:eastAsia="zh-CN"/>
        </w:rPr>
      </w:pPr>
    </w:p>
    <w:p w:rsidR="008D401E" w:rsidRDefault="008D401E" w:rsidP="0074330B">
      <w:pPr>
        <w:spacing w:after="60" w:line="240" w:lineRule="auto"/>
        <w:ind w:right="45" w:firstLine="720"/>
        <w:jc w:val="both"/>
        <w:rPr>
          <w:rFonts w:ascii="Times New Roman" w:eastAsia="SimSun" w:hAnsi="Times New Roman" w:cs="Times New Roman"/>
          <w:sz w:val="26"/>
          <w:szCs w:val="26"/>
          <w:lang w:eastAsia="zh-CN"/>
        </w:rPr>
      </w:pPr>
    </w:p>
    <w:p w:rsidR="008D401E" w:rsidRPr="007761BA" w:rsidRDefault="008D401E" w:rsidP="0074330B">
      <w:pPr>
        <w:spacing w:after="60" w:line="240" w:lineRule="auto"/>
        <w:ind w:right="45" w:firstLine="720"/>
        <w:jc w:val="both"/>
        <w:rPr>
          <w:rFonts w:ascii="Times New Roman" w:eastAsia="SimSun" w:hAnsi="Times New Roman" w:cs="Times New Roman"/>
          <w:sz w:val="26"/>
          <w:szCs w:val="26"/>
          <w:lang w:eastAsia="zh-CN"/>
        </w:rPr>
      </w:pPr>
    </w:p>
    <w:p w:rsidR="008471C1" w:rsidRDefault="008471C1" w:rsidP="007D1417">
      <w:pPr>
        <w:spacing w:after="0" w:line="240" w:lineRule="auto"/>
        <w:ind w:right="751" w:firstLine="720"/>
        <w:jc w:val="right"/>
        <w:rPr>
          <w:rFonts w:ascii="Times New Roman" w:eastAsia="SimSun" w:hAnsi="Times New Roman" w:cs="Times New Roman"/>
          <w:b/>
          <w:sz w:val="26"/>
          <w:szCs w:val="26"/>
          <w:lang w:eastAsia="zh-CN"/>
        </w:rPr>
      </w:pPr>
    </w:p>
    <w:p w:rsidR="00B404E2" w:rsidRPr="007761BA" w:rsidRDefault="00B404E2" w:rsidP="007D1417">
      <w:pPr>
        <w:spacing w:after="0" w:line="240" w:lineRule="auto"/>
        <w:ind w:right="751" w:firstLine="720"/>
        <w:jc w:val="right"/>
        <w:rPr>
          <w:rFonts w:ascii="Times New Roman" w:eastAsia="SimSun" w:hAnsi="Times New Roman" w:cs="Times New Roman"/>
          <w:b/>
          <w:sz w:val="26"/>
          <w:szCs w:val="26"/>
          <w:lang w:eastAsia="zh-CN"/>
        </w:rPr>
      </w:pPr>
      <w:r w:rsidRPr="007761BA">
        <w:rPr>
          <w:rFonts w:ascii="Times New Roman" w:eastAsia="SimSun" w:hAnsi="Times New Roman" w:cs="Times New Roman"/>
          <w:b/>
          <w:sz w:val="26"/>
          <w:szCs w:val="26"/>
          <w:lang w:eastAsia="zh-CN"/>
        </w:rPr>
        <w:lastRenderedPageBreak/>
        <w:t>1.tabula</w:t>
      </w:r>
    </w:p>
    <w:p w:rsidR="00B404E2" w:rsidRPr="00E0522C" w:rsidRDefault="00545104" w:rsidP="00545104">
      <w:pPr>
        <w:spacing w:after="120" w:line="240" w:lineRule="auto"/>
        <w:ind w:right="45" w:firstLine="720"/>
        <w:jc w:val="both"/>
        <w:rPr>
          <w:rFonts w:ascii="Times New Roman" w:eastAsia="SimSun" w:hAnsi="Times New Roman" w:cs="Times New Roman"/>
          <w:b/>
          <w:sz w:val="24"/>
          <w:szCs w:val="24"/>
          <w:lang w:eastAsia="zh-CN"/>
        </w:rPr>
      </w:pPr>
      <w:r w:rsidRPr="00E0522C">
        <w:rPr>
          <w:rFonts w:ascii="Times New Roman" w:eastAsia="SimSun" w:hAnsi="Times New Roman" w:cs="Times New Roman"/>
          <w:b/>
          <w:sz w:val="24"/>
          <w:szCs w:val="24"/>
          <w:lang w:eastAsia="zh-CN"/>
        </w:rPr>
        <w:t>Ministriju un to padotībā esošo institūciju atļauju (licenču) skaits</w:t>
      </w:r>
    </w:p>
    <w:tbl>
      <w:tblPr>
        <w:tblW w:w="6237" w:type="dxa"/>
        <w:tblInd w:w="1242" w:type="dxa"/>
        <w:tblLook w:val="04A0"/>
      </w:tblPr>
      <w:tblGrid>
        <w:gridCol w:w="4278"/>
        <w:gridCol w:w="1959"/>
      </w:tblGrid>
      <w:tr w:rsidR="0085104E" w:rsidRPr="0085104E" w:rsidTr="003A015C">
        <w:trPr>
          <w:trHeight w:val="630"/>
        </w:trPr>
        <w:tc>
          <w:tcPr>
            <w:tcW w:w="427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104E" w:rsidRPr="0085104E" w:rsidRDefault="0085104E" w:rsidP="0085104E">
            <w:pPr>
              <w:spacing w:after="0" w:line="240" w:lineRule="auto"/>
              <w:jc w:val="center"/>
              <w:rPr>
                <w:rFonts w:ascii="Times New Roman" w:eastAsia="Times New Roman" w:hAnsi="Times New Roman" w:cs="Times New Roman"/>
                <w:b/>
                <w:bCs/>
                <w:color w:val="000000"/>
                <w:sz w:val="24"/>
                <w:szCs w:val="24"/>
                <w:lang w:eastAsia="lv-LV"/>
              </w:rPr>
            </w:pPr>
            <w:r w:rsidRPr="0085104E">
              <w:rPr>
                <w:rFonts w:ascii="Times New Roman" w:eastAsia="Times New Roman" w:hAnsi="Times New Roman" w:cs="Times New Roman"/>
                <w:b/>
                <w:bCs/>
                <w:color w:val="000000"/>
                <w:sz w:val="24"/>
                <w:szCs w:val="24"/>
                <w:lang w:eastAsia="lv-LV"/>
              </w:rPr>
              <w:t>Institūcija</w:t>
            </w:r>
          </w:p>
        </w:tc>
        <w:tc>
          <w:tcPr>
            <w:tcW w:w="1959" w:type="dxa"/>
            <w:tcBorders>
              <w:top w:val="single" w:sz="4" w:space="0" w:color="auto"/>
              <w:left w:val="nil"/>
              <w:bottom w:val="single" w:sz="4" w:space="0" w:color="auto"/>
              <w:right w:val="single" w:sz="4" w:space="0" w:color="auto"/>
            </w:tcBorders>
            <w:shd w:val="clear" w:color="000000" w:fill="D8D8D8"/>
            <w:vAlign w:val="bottom"/>
            <w:hideMark/>
          </w:tcPr>
          <w:p w:rsidR="0085104E" w:rsidRPr="0085104E" w:rsidRDefault="0085104E" w:rsidP="0085104E">
            <w:pPr>
              <w:spacing w:after="0" w:line="240" w:lineRule="auto"/>
              <w:jc w:val="center"/>
              <w:rPr>
                <w:rFonts w:ascii="Times New Roman" w:eastAsia="Times New Roman" w:hAnsi="Times New Roman" w:cs="Times New Roman"/>
                <w:b/>
                <w:bCs/>
                <w:color w:val="000000"/>
                <w:sz w:val="24"/>
                <w:szCs w:val="24"/>
                <w:lang w:eastAsia="lv-LV"/>
              </w:rPr>
            </w:pPr>
            <w:r w:rsidRPr="0085104E">
              <w:rPr>
                <w:rFonts w:ascii="Times New Roman" w:eastAsia="Times New Roman" w:hAnsi="Times New Roman" w:cs="Times New Roman"/>
                <w:b/>
                <w:bCs/>
                <w:color w:val="000000"/>
                <w:sz w:val="24"/>
                <w:szCs w:val="24"/>
                <w:lang w:eastAsia="lv-LV"/>
              </w:rPr>
              <w:t>Atļauju (licenču) skaits)</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Aizsardzības ministrija</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4</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Ārlietu ministrija</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11</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Ekonomikas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20</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vAlign w:val="center"/>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Patērētāju tiesību aizsardzības centrs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510"/>
        </w:trPr>
        <w:tc>
          <w:tcPr>
            <w:tcW w:w="4278" w:type="dxa"/>
            <w:tcBorders>
              <w:top w:val="nil"/>
              <w:left w:val="single" w:sz="4" w:space="0" w:color="auto"/>
              <w:bottom w:val="single" w:sz="4" w:space="0" w:color="auto"/>
              <w:right w:val="single" w:sz="4" w:space="0" w:color="auto"/>
            </w:tcBorders>
            <w:shd w:val="clear" w:color="auto" w:fill="auto"/>
            <w:vAlign w:val="center"/>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Sabiedrisko pakalpojumu regulēšanas komisija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6</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Finanšu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38</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Valsts ieņēmumu dienesta</w:t>
            </w:r>
            <w:r w:rsidRPr="0085104E">
              <w:rPr>
                <w:rFonts w:ascii="Times New Roman" w:eastAsia="Times New Roman" w:hAnsi="Times New Roman" w:cs="Times New Roman"/>
                <w:color w:val="000000"/>
                <w:sz w:val="20"/>
                <w:szCs w:val="20"/>
                <w:lang w:eastAsia="lv-LV"/>
              </w:rPr>
              <w:t xml:space="preserve"> Akcīzes pārvalde</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10</w:t>
            </w:r>
          </w:p>
        </w:tc>
      </w:tr>
      <w:tr w:rsidR="0085104E" w:rsidRPr="0085104E" w:rsidTr="00545104">
        <w:trPr>
          <w:trHeight w:val="525"/>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Izložu un azartspēļu uzraudzības inspekcija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8</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Valsts ieņēmumu dienesta</w:t>
            </w:r>
            <w:r w:rsidRPr="0085104E">
              <w:rPr>
                <w:rFonts w:ascii="Times New Roman" w:eastAsia="Times New Roman" w:hAnsi="Times New Roman" w:cs="Times New Roman"/>
                <w:color w:val="000000"/>
                <w:sz w:val="20"/>
                <w:szCs w:val="20"/>
                <w:lang w:eastAsia="lv-LV"/>
              </w:rPr>
              <w:t xml:space="preserve"> Muitas pārvalde</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20</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Iekšlietu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0B2275" w:rsidP="0085104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policija</w:t>
            </w:r>
          </w:p>
        </w:tc>
        <w:tc>
          <w:tcPr>
            <w:tcW w:w="1959" w:type="dxa"/>
            <w:tcBorders>
              <w:top w:val="nil"/>
              <w:left w:val="nil"/>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6</w:t>
            </w:r>
          </w:p>
        </w:tc>
      </w:tr>
      <w:tr w:rsidR="000B2275"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0B2275" w:rsidRPr="0085104E" w:rsidRDefault="000B2275" w:rsidP="0085104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Drošības policija</w:t>
            </w:r>
          </w:p>
        </w:tc>
        <w:tc>
          <w:tcPr>
            <w:tcW w:w="1959" w:type="dxa"/>
            <w:tcBorders>
              <w:top w:val="nil"/>
              <w:left w:val="nil"/>
              <w:bottom w:val="single" w:sz="4" w:space="0" w:color="auto"/>
              <w:right w:val="single" w:sz="4" w:space="0" w:color="auto"/>
            </w:tcBorders>
            <w:shd w:val="clear" w:color="auto" w:fill="auto"/>
            <w:noWrap/>
            <w:vAlign w:val="bottom"/>
            <w:hideMark/>
          </w:tcPr>
          <w:p w:rsidR="000B2275" w:rsidRPr="0085104E" w:rsidRDefault="000B2275" w:rsidP="0085104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bottom"/>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Izglītības un zinātnes ministrija</w:t>
            </w:r>
          </w:p>
        </w:tc>
        <w:tc>
          <w:tcPr>
            <w:tcW w:w="1959" w:type="dxa"/>
            <w:tcBorders>
              <w:top w:val="nil"/>
              <w:left w:val="nil"/>
              <w:bottom w:val="single" w:sz="4" w:space="0" w:color="auto"/>
              <w:right w:val="single" w:sz="4" w:space="0" w:color="auto"/>
            </w:tcBorders>
            <w:shd w:val="clear" w:color="000000" w:fill="F2F2F2"/>
            <w:noWrap/>
            <w:vAlign w:val="bottom"/>
            <w:hideMark/>
          </w:tcPr>
          <w:p w:rsidR="0085104E" w:rsidRPr="0085104E" w:rsidRDefault="00F37BFF" w:rsidP="0085104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bottom"/>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Kultūras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A8792B" w:rsidP="0085104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r>
      <w:tr w:rsidR="0085104E" w:rsidRPr="0085104E" w:rsidTr="00545104">
        <w:trPr>
          <w:trHeight w:val="525"/>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kultūras pieminekļu aizsardzības inspekcija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A8792B" w:rsidP="0085104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bottom"/>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Labklājības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lang w:eastAsia="lv-LV"/>
              </w:rPr>
            </w:pPr>
            <w:r w:rsidRPr="0085104E">
              <w:rPr>
                <w:rFonts w:ascii="Times New Roman" w:eastAsia="Times New Roman" w:hAnsi="Times New Roman" w:cs="Times New Roman"/>
                <w:color w:val="000000"/>
                <w:lang w:eastAsia="lv-LV"/>
              </w:rPr>
              <w:t>4</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Nodarbinātības valsts aģentūra</w:t>
            </w:r>
          </w:p>
        </w:tc>
        <w:tc>
          <w:tcPr>
            <w:tcW w:w="1959" w:type="dxa"/>
            <w:tcBorders>
              <w:top w:val="nil"/>
              <w:left w:val="nil"/>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bottom"/>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Satiksmes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15</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dzelzceļa tehniskā inspekcija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3</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dzelzceļa administrācija</w:t>
            </w:r>
          </w:p>
        </w:tc>
        <w:tc>
          <w:tcPr>
            <w:tcW w:w="1959" w:type="dxa"/>
            <w:tcBorders>
              <w:top w:val="nil"/>
              <w:left w:val="nil"/>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SIA „Autotransporta direkcija”</w:t>
            </w:r>
          </w:p>
        </w:tc>
        <w:tc>
          <w:tcPr>
            <w:tcW w:w="1959" w:type="dxa"/>
            <w:tcBorders>
              <w:top w:val="nil"/>
              <w:left w:val="nil"/>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6</w:t>
            </w:r>
          </w:p>
        </w:tc>
      </w:tr>
      <w:tr w:rsidR="0085104E" w:rsidRPr="0085104E" w:rsidTr="00545104">
        <w:trPr>
          <w:trHeight w:val="525"/>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aģentūra „Civilās aviācijas aģentūra”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525"/>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akciju sabiedrība „Latvijas Jūras administrācija”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VAS „Ceļu satiksmes drošības direkcija”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2</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Tieslietu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1</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vAlign w:val="center"/>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zemes dienests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630"/>
        </w:trPr>
        <w:tc>
          <w:tcPr>
            <w:tcW w:w="4278" w:type="dxa"/>
            <w:tcBorders>
              <w:top w:val="nil"/>
              <w:left w:val="single" w:sz="4" w:space="0" w:color="auto"/>
              <w:bottom w:val="single" w:sz="4" w:space="0" w:color="auto"/>
              <w:right w:val="single" w:sz="4" w:space="0" w:color="auto"/>
            </w:tcBorders>
            <w:shd w:val="clear" w:color="000000" w:fill="F2F2F2"/>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Vides aizsardzības un reģionālās attīstības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18</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vides dienests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13</w:t>
            </w:r>
          </w:p>
        </w:tc>
      </w:tr>
      <w:tr w:rsidR="0085104E" w:rsidRPr="0085104E" w:rsidTr="00545104">
        <w:trPr>
          <w:trHeight w:val="525"/>
        </w:trPr>
        <w:tc>
          <w:tcPr>
            <w:tcW w:w="4278" w:type="dxa"/>
            <w:tcBorders>
              <w:top w:val="nil"/>
              <w:left w:val="single" w:sz="4" w:space="0" w:color="auto"/>
              <w:bottom w:val="single" w:sz="4" w:space="0" w:color="auto"/>
              <w:right w:val="single" w:sz="4" w:space="0" w:color="auto"/>
            </w:tcBorders>
            <w:shd w:val="clear" w:color="auto" w:fill="auto"/>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VSIA Latvijas Vides, ģeoloģijas un meteoroloģijas centrs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Dabas aizsardzības pārvalde</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3</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VAS „Elektronisko sakaru direkcija”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Veselības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14</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Veselības inspekcija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7</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Zāļu valsts aģentūra</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7</w:t>
            </w:r>
          </w:p>
        </w:tc>
      </w:tr>
      <w:tr w:rsidR="0085104E" w:rsidRPr="0085104E" w:rsidTr="00545104">
        <w:trPr>
          <w:trHeight w:val="315"/>
        </w:trPr>
        <w:tc>
          <w:tcPr>
            <w:tcW w:w="4278" w:type="dxa"/>
            <w:tcBorders>
              <w:top w:val="nil"/>
              <w:left w:val="single" w:sz="4" w:space="0" w:color="auto"/>
              <w:bottom w:val="single" w:sz="4" w:space="0" w:color="auto"/>
              <w:right w:val="single" w:sz="4" w:space="0" w:color="auto"/>
            </w:tcBorders>
            <w:shd w:val="clear" w:color="000000" w:fill="F2F2F2"/>
            <w:noWrap/>
            <w:vAlign w:val="center"/>
            <w:hideMark/>
          </w:tcPr>
          <w:p w:rsidR="0085104E" w:rsidRPr="0085104E" w:rsidRDefault="0085104E" w:rsidP="007D1417">
            <w:pPr>
              <w:spacing w:after="0" w:line="240" w:lineRule="auto"/>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lastRenderedPageBreak/>
              <w:t>Zemkopības ministrija</w:t>
            </w:r>
            <w:r w:rsidR="00036F27">
              <w:rPr>
                <w:rFonts w:ascii="Times New Roman" w:eastAsia="Times New Roman" w:hAnsi="Times New Roman" w:cs="Times New Roman"/>
                <w:color w:val="000000"/>
                <w:sz w:val="24"/>
                <w:szCs w:val="24"/>
                <w:lang w:eastAsia="lv-LV"/>
              </w:rPr>
              <w:t>, tai skaitā:</w:t>
            </w:r>
          </w:p>
        </w:tc>
        <w:tc>
          <w:tcPr>
            <w:tcW w:w="1959" w:type="dxa"/>
            <w:tcBorders>
              <w:top w:val="nil"/>
              <w:left w:val="nil"/>
              <w:bottom w:val="single" w:sz="4" w:space="0" w:color="auto"/>
              <w:right w:val="single" w:sz="4" w:space="0" w:color="auto"/>
            </w:tcBorders>
            <w:shd w:val="clear" w:color="000000" w:fill="F2F2F2"/>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18</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Lauku atbalsta dienests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2</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meža dienests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3</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Pārtikas un veterinārais dienests</w:t>
            </w:r>
          </w:p>
        </w:tc>
        <w:tc>
          <w:tcPr>
            <w:tcW w:w="1959" w:type="dxa"/>
            <w:tcBorders>
              <w:top w:val="nil"/>
              <w:left w:val="nil"/>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10</w:t>
            </w:r>
          </w:p>
        </w:tc>
      </w:tr>
      <w:tr w:rsidR="0085104E" w:rsidRPr="0085104E" w:rsidTr="00545104">
        <w:trPr>
          <w:trHeight w:val="300"/>
        </w:trPr>
        <w:tc>
          <w:tcPr>
            <w:tcW w:w="4278" w:type="dxa"/>
            <w:tcBorders>
              <w:top w:val="nil"/>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Valsts augu aizsardzības dienests</w:t>
            </w:r>
          </w:p>
        </w:tc>
        <w:tc>
          <w:tcPr>
            <w:tcW w:w="1959" w:type="dxa"/>
            <w:tcBorders>
              <w:top w:val="nil"/>
              <w:left w:val="nil"/>
              <w:bottom w:val="single" w:sz="4" w:space="0" w:color="auto"/>
              <w:right w:val="single" w:sz="4" w:space="0" w:color="auto"/>
            </w:tcBorders>
            <w:shd w:val="clear" w:color="auto" w:fill="auto"/>
            <w:noWrap/>
            <w:vAlign w:val="center"/>
            <w:hideMark/>
          </w:tcPr>
          <w:p w:rsidR="0085104E" w:rsidRPr="0085104E" w:rsidRDefault="0085104E" w:rsidP="0085104E">
            <w:pPr>
              <w:spacing w:after="0" w:line="240" w:lineRule="auto"/>
              <w:jc w:val="center"/>
              <w:rPr>
                <w:rFonts w:ascii="Times New Roman" w:eastAsia="Times New Roman" w:hAnsi="Times New Roman" w:cs="Times New Roman"/>
                <w:color w:val="000000"/>
                <w:sz w:val="20"/>
                <w:szCs w:val="20"/>
                <w:lang w:eastAsia="lv-LV"/>
              </w:rPr>
            </w:pPr>
            <w:r w:rsidRPr="0085104E">
              <w:rPr>
                <w:rFonts w:ascii="Times New Roman" w:eastAsia="Times New Roman" w:hAnsi="Times New Roman" w:cs="Times New Roman"/>
                <w:color w:val="000000"/>
                <w:sz w:val="20"/>
                <w:szCs w:val="20"/>
                <w:lang w:eastAsia="lv-LV"/>
              </w:rPr>
              <w:t>1</w:t>
            </w:r>
          </w:p>
        </w:tc>
      </w:tr>
      <w:tr w:rsidR="0085104E" w:rsidRPr="0085104E" w:rsidTr="00545104">
        <w:trPr>
          <w:trHeight w:val="300"/>
        </w:trPr>
        <w:tc>
          <w:tcPr>
            <w:tcW w:w="4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04E" w:rsidRPr="0085104E" w:rsidRDefault="0085104E" w:rsidP="0085104E">
            <w:pPr>
              <w:spacing w:after="0" w:line="240" w:lineRule="auto"/>
              <w:jc w:val="right"/>
              <w:rPr>
                <w:rFonts w:ascii="Times New Roman" w:eastAsia="Times New Roman" w:hAnsi="Times New Roman" w:cs="Times New Roman"/>
                <w:color w:val="000000"/>
                <w:sz w:val="24"/>
                <w:szCs w:val="24"/>
                <w:lang w:eastAsia="lv-LV"/>
              </w:rPr>
            </w:pPr>
            <w:r w:rsidRPr="0085104E">
              <w:rPr>
                <w:rFonts w:ascii="Times New Roman" w:eastAsia="Times New Roman" w:hAnsi="Times New Roman" w:cs="Times New Roman"/>
                <w:color w:val="000000"/>
                <w:sz w:val="24"/>
                <w:szCs w:val="24"/>
                <w:lang w:eastAsia="lv-LV"/>
              </w:rPr>
              <w:t>Kopā:</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85104E" w:rsidRPr="0085104E" w:rsidRDefault="00F37BFF" w:rsidP="0085104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162</w:t>
            </w:r>
          </w:p>
        </w:tc>
      </w:tr>
    </w:tbl>
    <w:p w:rsidR="007D3423" w:rsidRPr="007D3423" w:rsidRDefault="007D3423" w:rsidP="000B55D7">
      <w:pPr>
        <w:spacing w:after="60" w:line="240" w:lineRule="auto"/>
        <w:ind w:right="45" w:firstLine="720"/>
        <w:jc w:val="both"/>
        <w:rPr>
          <w:rFonts w:ascii="Times New Roman" w:hAnsi="Times New Roman" w:cs="Times New Roman"/>
          <w:sz w:val="16"/>
          <w:szCs w:val="16"/>
        </w:rPr>
      </w:pPr>
    </w:p>
    <w:p w:rsidR="008D401E" w:rsidRPr="008471C1" w:rsidRDefault="00545104" w:rsidP="000B55D7">
      <w:pPr>
        <w:spacing w:after="60" w:line="240" w:lineRule="auto"/>
        <w:ind w:right="45" w:firstLine="720"/>
        <w:jc w:val="both"/>
        <w:rPr>
          <w:rFonts w:ascii="Times New Roman" w:hAnsi="Times New Roman"/>
          <w:sz w:val="26"/>
          <w:szCs w:val="26"/>
        </w:rPr>
      </w:pPr>
      <w:r w:rsidRPr="007761BA">
        <w:rPr>
          <w:rFonts w:ascii="Times New Roman" w:hAnsi="Times New Roman" w:cs="Times New Roman"/>
          <w:sz w:val="26"/>
          <w:szCs w:val="26"/>
        </w:rPr>
        <w:t xml:space="preserve">Lai arī no </w:t>
      </w:r>
      <w:r w:rsidR="00FF2F54" w:rsidRPr="007761BA">
        <w:rPr>
          <w:rFonts w:ascii="Times New Roman" w:hAnsi="Times New Roman" w:cs="Times New Roman"/>
          <w:sz w:val="26"/>
          <w:szCs w:val="26"/>
        </w:rPr>
        <w:t xml:space="preserve">apkopotās informācijas </w:t>
      </w:r>
      <w:r w:rsidRPr="007761BA">
        <w:rPr>
          <w:rFonts w:ascii="Times New Roman" w:hAnsi="Times New Roman" w:cs="Times New Roman"/>
          <w:sz w:val="26"/>
          <w:szCs w:val="26"/>
        </w:rPr>
        <w:t>secināms</w:t>
      </w:r>
      <w:r w:rsidR="007D3423">
        <w:rPr>
          <w:rFonts w:ascii="Times New Roman" w:hAnsi="Times New Roman" w:cs="Times New Roman"/>
          <w:sz w:val="26"/>
          <w:szCs w:val="26"/>
        </w:rPr>
        <w:t>,</w:t>
      </w:r>
      <w:r w:rsidRPr="007761BA">
        <w:rPr>
          <w:rFonts w:ascii="Times New Roman" w:hAnsi="Times New Roman" w:cs="Times New Roman"/>
          <w:sz w:val="26"/>
          <w:szCs w:val="26"/>
        </w:rPr>
        <w:t xml:space="preserve"> </w:t>
      </w:r>
      <w:r w:rsidR="007D3423">
        <w:rPr>
          <w:rFonts w:ascii="Times New Roman" w:hAnsi="Times New Roman" w:cs="Times New Roman"/>
          <w:sz w:val="26"/>
          <w:szCs w:val="26"/>
        </w:rPr>
        <w:t xml:space="preserve">ka </w:t>
      </w:r>
      <w:r w:rsidR="00FF2F54" w:rsidRPr="007761BA">
        <w:rPr>
          <w:rFonts w:ascii="Times New Roman" w:hAnsi="Times New Roman" w:cs="Times New Roman"/>
          <w:sz w:val="26"/>
          <w:szCs w:val="26"/>
        </w:rPr>
        <w:t xml:space="preserve">visvairāk atļaujas (licences) izsniedz </w:t>
      </w:r>
      <w:r w:rsidR="00B404E2" w:rsidRPr="007761BA">
        <w:rPr>
          <w:rFonts w:ascii="Times New Roman" w:hAnsi="Times New Roman" w:cs="Times New Roman"/>
          <w:sz w:val="26"/>
          <w:szCs w:val="26"/>
        </w:rPr>
        <w:t>Finanšu ministrijas padotībā esošās iestādes</w:t>
      </w:r>
      <w:r w:rsidRPr="007761BA">
        <w:rPr>
          <w:rFonts w:ascii="Times New Roman" w:hAnsi="Times New Roman" w:cs="Times New Roman"/>
          <w:sz w:val="26"/>
          <w:szCs w:val="26"/>
        </w:rPr>
        <w:t xml:space="preserve"> (38), tomēr jāmin, ka </w:t>
      </w:r>
      <w:r w:rsidR="00324329" w:rsidRPr="007761BA">
        <w:rPr>
          <w:rFonts w:ascii="Times New Roman" w:hAnsi="Times New Roman" w:cs="Times New Roman"/>
          <w:sz w:val="26"/>
          <w:szCs w:val="26"/>
        </w:rPr>
        <w:t xml:space="preserve">informatīvajā ziņojumā vairākas vienas jomas atļaujas (licences), kuru regulējums ir līdzīgs, ir apkopotas kā viena atļauja (licence), līdz ar to praksē izsniedzamo atļauju (licenču) skaits </w:t>
      </w:r>
      <w:r w:rsidR="00FE7FCE" w:rsidRPr="007761BA">
        <w:rPr>
          <w:rFonts w:ascii="Times New Roman" w:hAnsi="Times New Roman" w:cs="Times New Roman"/>
          <w:sz w:val="26"/>
          <w:szCs w:val="26"/>
        </w:rPr>
        <w:t>ir lielāks</w:t>
      </w:r>
      <w:r w:rsidR="00324329" w:rsidRPr="007761BA">
        <w:rPr>
          <w:rFonts w:ascii="Times New Roman" w:hAnsi="Times New Roman" w:cs="Times New Roman"/>
          <w:sz w:val="26"/>
          <w:szCs w:val="26"/>
        </w:rPr>
        <w:t xml:space="preserve">. Piemēram, Sabiedrisko pakalpojumu regulēšanas komisija enerģētikas nozarē izsniedz vairākas licences (elektroenerģijas ražošanai, </w:t>
      </w:r>
      <w:r w:rsidR="00324329" w:rsidRPr="007761BA">
        <w:rPr>
          <w:rFonts w:ascii="Times New Roman" w:hAnsi="Times New Roman"/>
          <w:sz w:val="26"/>
          <w:szCs w:val="26"/>
        </w:rPr>
        <w:t>elektroenerģijas un siltumenerģijas ražošanai koģenerācijā</w:t>
      </w:r>
      <w:r w:rsidR="00324329" w:rsidRPr="007761BA">
        <w:rPr>
          <w:rFonts w:ascii="Times New Roman" w:hAnsi="Times New Roman" w:cs="Times New Roman"/>
          <w:sz w:val="26"/>
          <w:szCs w:val="26"/>
        </w:rPr>
        <w:t xml:space="preserve">, </w:t>
      </w:r>
      <w:r w:rsidR="00324329" w:rsidRPr="007761BA">
        <w:rPr>
          <w:rFonts w:ascii="Times New Roman" w:hAnsi="Times New Roman"/>
          <w:sz w:val="26"/>
          <w:szCs w:val="26"/>
        </w:rPr>
        <w:t>elektroenerģijas pārvadei, elektroenerģijas sadalei u.c.), t</w:t>
      </w:r>
      <w:r w:rsidR="007D3423">
        <w:rPr>
          <w:rFonts w:ascii="Times New Roman" w:hAnsi="Times New Roman"/>
          <w:sz w:val="26"/>
          <w:szCs w:val="26"/>
        </w:rPr>
        <w:t>aču</w:t>
      </w:r>
      <w:r w:rsidR="00324329" w:rsidRPr="007761BA">
        <w:rPr>
          <w:rFonts w:ascii="Times New Roman" w:hAnsi="Times New Roman"/>
          <w:sz w:val="26"/>
          <w:szCs w:val="26"/>
        </w:rPr>
        <w:t xml:space="preserve"> informatīvajā ziņojumā tās apkopotas kā viena licence</w:t>
      </w:r>
      <w:r w:rsidR="00D520F3">
        <w:rPr>
          <w:rFonts w:ascii="Times New Roman" w:hAnsi="Times New Roman"/>
          <w:sz w:val="26"/>
          <w:szCs w:val="26"/>
        </w:rPr>
        <w:t>,</w:t>
      </w:r>
      <w:r w:rsidR="00324329" w:rsidRPr="007761BA">
        <w:rPr>
          <w:rFonts w:ascii="Times New Roman" w:hAnsi="Times New Roman"/>
          <w:sz w:val="26"/>
          <w:szCs w:val="26"/>
        </w:rPr>
        <w:t xml:space="preserve"> kas tiek izsniegta enerģētikas nozarē.</w:t>
      </w:r>
      <w:r w:rsidR="00253862">
        <w:rPr>
          <w:rFonts w:ascii="Times New Roman" w:hAnsi="Times New Roman"/>
          <w:sz w:val="26"/>
          <w:szCs w:val="26"/>
        </w:rPr>
        <w:t xml:space="preserve"> </w:t>
      </w:r>
      <w:r w:rsidR="00253862" w:rsidRPr="008471C1">
        <w:rPr>
          <w:rFonts w:ascii="Times New Roman" w:hAnsi="Times New Roman"/>
          <w:sz w:val="26"/>
          <w:szCs w:val="26"/>
        </w:rPr>
        <w:t xml:space="preserve">Tāpat informatīvajā ziņojumā nav iekļautas atļaujas (licences), kas pēc savas būtības ir kā </w:t>
      </w:r>
      <w:proofErr w:type="spellStart"/>
      <w:r w:rsidR="00253862" w:rsidRPr="008471C1">
        <w:rPr>
          <w:rFonts w:ascii="Times New Roman" w:hAnsi="Times New Roman"/>
          <w:sz w:val="26"/>
          <w:szCs w:val="26"/>
        </w:rPr>
        <w:t>starplēmums</w:t>
      </w:r>
      <w:proofErr w:type="spellEnd"/>
      <w:r w:rsidR="00253862" w:rsidRPr="008471C1">
        <w:rPr>
          <w:rFonts w:ascii="Times New Roman" w:hAnsi="Times New Roman"/>
          <w:sz w:val="26"/>
          <w:szCs w:val="26"/>
        </w:rPr>
        <w:t xml:space="preserve"> vienota administratīvā procesa ietvaros.</w:t>
      </w:r>
    </w:p>
    <w:p w:rsidR="00324329" w:rsidRDefault="007761BA" w:rsidP="000B55D7">
      <w:pPr>
        <w:spacing w:after="60" w:line="240" w:lineRule="auto"/>
        <w:ind w:right="45" w:firstLine="720"/>
        <w:jc w:val="both"/>
        <w:rPr>
          <w:rFonts w:ascii="Times New Roman" w:hAnsi="Times New Roman"/>
          <w:sz w:val="26"/>
          <w:szCs w:val="26"/>
        </w:rPr>
      </w:pPr>
      <w:r w:rsidRPr="007761BA">
        <w:rPr>
          <w:rFonts w:ascii="Times New Roman" w:hAnsi="Times New Roman" w:cs="Times New Roman"/>
          <w:sz w:val="26"/>
          <w:szCs w:val="26"/>
        </w:rPr>
        <w:t xml:space="preserve">Izvērtējot </w:t>
      </w:r>
      <w:r>
        <w:rPr>
          <w:rFonts w:ascii="Times New Roman" w:hAnsi="Times New Roman" w:cs="Times New Roman"/>
          <w:sz w:val="26"/>
          <w:szCs w:val="26"/>
        </w:rPr>
        <w:t xml:space="preserve">ministriju iesniegto informāciju par izsniedzamajām atļaujām (licencēm) un to regulējošajiem normatīvajiem aktiem, </w:t>
      </w:r>
      <w:r w:rsidR="000E4E3C">
        <w:rPr>
          <w:rFonts w:ascii="Times New Roman" w:hAnsi="Times New Roman" w:cs="Times New Roman"/>
          <w:sz w:val="26"/>
          <w:szCs w:val="26"/>
        </w:rPr>
        <w:t xml:space="preserve">konstatējams, ka </w:t>
      </w:r>
      <w:r w:rsidR="0033307E">
        <w:rPr>
          <w:rFonts w:ascii="Times New Roman" w:hAnsi="Times New Roman" w:cs="Times New Roman"/>
          <w:sz w:val="26"/>
          <w:szCs w:val="26"/>
        </w:rPr>
        <w:t xml:space="preserve">vairumā gadījumu atļauju (licenču) izsniegšanas un anulēšanas kārtība tiek noteikta ar </w:t>
      </w:r>
      <w:r w:rsidR="00DF1191">
        <w:rPr>
          <w:rFonts w:ascii="Times New Roman" w:hAnsi="Times New Roman" w:cs="Times New Roman"/>
          <w:sz w:val="26"/>
          <w:szCs w:val="26"/>
        </w:rPr>
        <w:t>konkrēto</w:t>
      </w:r>
      <w:r w:rsidR="0033307E">
        <w:rPr>
          <w:rFonts w:ascii="Times New Roman" w:hAnsi="Times New Roman" w:cs="Times New Roman"/>
          <w:sz w:val="26"/>
          <w:szCs w:val="26"/>
        </w:rPr>
        <w:t xml:space="preserve"> jomu regulējošajiem Ministru kabineta noteikumiem, kas izdoti uz </w:t>
      </w:r>
      <w:r w:rsidR="00FD659E">
        <w:rPr>
          <w:rFonts w:ascii="Times New Roman" w:hAnsi="Times New Roman" w:cs="Times New Roman"/>
          <w:sz w:val="26"/>
          <w:szCs w:val="26"/>
        </w:rPr>
        <w:t>attiecīg</w:t>
      </w:r>
      <w:r w:rsidR="007D3423">
        <w:rPr>
          <w:rFonts w:ascii="Times New Roman" w:hAnsi="Times New Roman" w:cs="Times New Roman"/>
          <w:sz w:val="26"/>
          <w:szCs w:val="26"/>
        </w:rPr>
        <w:t>a likuma</w:t>
      </w:r>
      <w:r w:rsidR="00FD659E">
        <w:rPr>
          <w:rFonts w:ascii="Times New Roman" w:hAnsi="Times New Roman" w:cs="Times New Roman"/>
          <w:sz w:val="26"/>
          <w:szCs w:val="26"/>
        </w:rPr>
        <w:t xml:space="preserve"> deleģējuma pamata, tomēr atsevišķos gadījumos minētais regulējums tiek noteikts tikai likumā vai </w:t>
      </w:r>
      <w:r w:rsidR="007D3423">
        <w:rPr>
          <w:rFonts w:ascii="Times New Roman" w:hAnsi="Times New Roman" w:cs="Times New Roman"/>
          <w:sz w:val="26"/>
          <w:szCs w:val="26"/>
        </w:rPr>
        <w:t xml:space="preserve">tieši piemērojamos </w:t>
      </w:r>
      <w:r w:rsidR="00FD659E">
        <w:rPr>
          <w:rFonts w:ascii="Times New Roman" w:hAnsi="Times New Roman" w:cs="Times New Roman"/>
          <w:sz w:val="26"/>
          <w:szCs w:val="26"/>
        </w:rPr>
        <w:t>Eiropas Savienības normatīvajos aktos. Pārsvarā šādas atļaujas (licences) tiek izsniegtas muitas</w:t>
      </w:r>
      <w:r w:rsidR="00B438C0">
        <w:rPr>
          <w:rFonts w:ascii="Times New Roman" w:hAnsi="Times New Roman" w:cs="Times New Roman"/>
          <w:sz w:val="26"/>
          <w:szCs w:val="26"/>
        </w:rPr>
        <w:t>,</w:t>
      </w:r>
      <w:r w:rsidR="00FD659E">
        <w:rPr>
          <w:rFonts w:ascii="Times New Roman" w:hAnsi="Times New Roman" w:cs="Times New Roman"/>
          <w:sz w:val="26"/>
          <w:szCs w:val="26"/>
        </w:rPr>
        <w:t xml:space="preserve"> </w:t>
      </w:r>
      <w:r w:rsidR="00B438C0">
        <w:rPr>
          <w:rFonts w:ascii="Times New Roman" w:hAnsi="Times New Roman" w:cs="Times New Roman"/>
          <w:sz w:val="26"/>
          <w:szCs w:val="26"/>
        </w:rPr>
        <w:t xml:space="preserve">tranzīta </w:t>
      </w:r>
      <w:r w:rsidR="00FD659E">
        <w:rPr>
          <w:rFonts w:ascii="Times New Roman" w:hAnsi="Times New Roman" w:cs="Times New Roman"/>
          <w:sz w:val="26"/>
          <w:szCs w:val="26"/>
        </w:rPr>
        <w:t>un dažādu pārvadājumu jomā</w:t>
      </w:r>
      <w:r w:rsidR="00B438C0">
        <w:rPr>
          <w:rFonts w:ascii="Times New Roman" w:hAnsi="Times New Roman" w:cs="Times New Roman"/>
          <w:sz w:val="26"/>
          <w:szCs w:val="26"/>
        </w:rPr>
        <w:t xml:space="preserve">, kas izskaidrojams ar Eiropas Savienības </w:t>
      </w:r>
      <w:r w:rsidR="00E23A50">
        <w:rPr>
          <w:rFonts w:ascii="Times New Roman" w:hAnsi="Times New Roman" w:cs="Times New Roman"/>
          <w:sz w:val="26"/>
          <w:szCs w:val="26"/>
        </w:rPr>
        <w:t xml:space="preserve">īstenoto </w:t>
      </w:r>
      <w:r w:rsidR="00B438C0">
        <w:rPr>
          <w:rFonts w:ascii="Times New Roman" w:hAnsi="Times New Roman" w:cs="Times New Roman"/>
          <w:sz w:val="26"/>
          <w:szCs w:val="26"/>
        </w:rPr>
        <w:t xml:space="preserve">vienoto </w:t>
      </w:r>
      <w:r w:rsidR="00E23A50">
        <w:rPr>
          <w:rFonts w:ascii="Times New Roman" w:hAnsi="Times New Roman" w:cs="Times New Roman"/>
          <w:sz w:val="26"/>
          <w:szCs w:val="26"/>
        </w:rPr>
        <w:t>muitas politiku.</w:t>
      </w:r>
      <w:r w:rsidR="00323C27">
        <w:rPr>
          <w:rFonts w:ascii="Times New Roman" w:hAnsi="Times New Roman" w:cs="Times New Roman"/>
          <w:sz w:val="26"/>
          <w:szCs w:val="26"/>
        </w:rPr>
        <w:t xml:space="preserve"> </w:t>
      </w:r>
      <w:r w:rsidR="00692D0E">
        <w:rPr>
          <w:rFonts w:ascii="Times New Roman" w:hAnsi="Times New Roman" w:cs="Times New Roman"/>
          <w:sz w:val="26"/>
          <w:szCs w:val="26"/>
        </w:rPr>
        <w:t>S</w:t>
      </w:r>
      <w:r w:rsidR="00395E19">
        <w:rPr>
          <w:rFonts w:ascii="Times New Roman" w:hAnsi="Times New Roman" w:cs="Times New Roman"/>
          <w:sz w:val="26"/>
          <w:szCs w:val="26"/>
        </w:rPr>
        <w:t>oda sankcijas</w:t>
      </w:r>
      <w:r w:rsidR="00323C27">
        <w:rPr>
          <w:rFonts w:ascii="Times New Roman" w:hAnsi="Times New Roman" w:cs="Times New Roman"/>
          <w:sz w:val="26"/>
          <w:szCs w:val="26"/>
        </w:rPr>
        <w:t xml:space="preserve"> par </w:t>
      </w:r>
      <w:r w:rsidR="00323C27" w:rsidRPr="005303A6">
        <w:rPr>
          <w:rFonts w:ascii="Times New Roman" w:hAnsi="Times New Roman"/>
          <w:sz w:val="26"/>
          <w:szCs w:val="26"/>
        </w:rPr>
        <w:t xml:space="preserve">saimnieciskās darbības ietvaros izdarītajiem pārkāpumiem </w:t>
      </w:r>
      <w:r w:rsidR="00395E19">
        <w:rPr>
          <w:rFonts w:ascii="Times New Roman" w:hAnsi="Times New Roman"/>
          <w:sz w:val="26"/>
          <w:szCs w:val="26"/>
        </w:rPr>
        <w:t>iekļautas</w:t>
      </w:r>
      <w:r w:rsidR="00323C27">
        <w:rPr>
          <w:rFonts w:ascii="Times New Roman" w:hAnsi="Times New Roman"/>
          <w:sz w:val="26"/>
          <w:szCs w:val="26"/>
        </w:rPr>
        <w:t xml:space="preserve"> </w:t>
      </w:r>
      <w:r w:rsidR="00692D0E">
        <w:rPr>
          <w:rFonts w:ascii="Times New Roman" w:hAnsi="Times New Roman"/>
          <w:sz w:val="26"/>
          <w:szCs w:val="26"/>
        </w:rPr>
        <w:t xml:space="preserve">arī </w:t>
      </w:r>
      <w:r w:rsidR="00CE2E12">
        <w:rPr>
          <w:rFonts w:ascii="Times New Roman" w:hAnsi="Times New Roman"/>
          <w:sz w:val="26"/>
          <w:szCs w:val="26"/>
        </w:rPr>
        <w:t xml:space="preserve">Latvijas administratīvo pārkāpumu kodeksā (turpmāk – </w:t>
      </w:r>
      <w:r w:rsidR="00323C27">
        <w:rPr>
          <w:rFonts w:ascii="Times New Roman" w:hAnsi="Times New Roman"/>
          <w:sz w:val="26"/>
          <w:szCs w:val="26"/>
        </w:rPr>
        <w:t>LAPK</w:t>
      </w:r>
      <w:r w:rsidR="00CE2E12">
        <w:rPr>
          <w:rFonts w:ascii="Times New Roman" w:hAnsi="Times New Roman"/>
          <w:sz w:val="26"/>
          <w:szCs w:val="26"/>
        </w:rPr>
        <w:t>)</w:t>
      </w:r>
      <w:r w:rsidR="00323C27">
        <w:rPr>
          <w:rFonts w:ascii="Times New Roman" w:hAnsi="Times New Roman"/>
          <w:sz w:val="26"/>
          <w:szCs w:val="26"/>
        </w:rPr>
        <w:t xml:space="preserve"> un </w:t>
      </w:r>
      <w:r w:rsidR="00395E19">
        <w:rPr>
          <w:rFonts w:ascii="Times New Roman" w:hAnsi="Times New Roman"/>
          <w:sz w:val="26"/>
          <w:szCs w:val="26"/>
        </w:rPr>
        <w:t xml:space="preserve">Krimināllikumā, kas paredz administratīvo un kriminālo atbildību gan par konkrētās saimnieciskās darbības ietvaros izdarītajiem pārkāpumiem, gan par </w:t>
      </w:r>
      <w:r w:rsidR="00D520F3">
        <w:rPr>
          <w:rFonts w:ascii="Times New Roman" w:hAnsi="Times New Roman"/>
          <w:sz w:val="26"/>
          <w:szCs w:val="26"/>
        </w:rPr>
        <w:t xml:space="preserve">normatīvo aktu </w:t>
      </w:r>
      <w:r w:rsidR="00395E19">
        <w:rPr>
          <w:rFonts w:ascii="Times New Roman" w:hAnsi="Times New Roman"/>
          <w:sz w:val="26"/>
          <w:szCs w:val="26"/>
        </w:rPr>
        <w:t>pārkāpumiem</w:t>
      </w:r>
      <w:r w:rsidR="002F76AF">
        <w:rPr>
          <w:rFonts w:ascii="Times New Roman" w:hAnsi="Times New Roman"/>
          <w:sz w:val="26"/>
          <w:szCs w:val="26"/>
        </w:rPr>
        <w:t xml:space="preserve"> visās tautsaimniecības </w:t>
      </w:r>
      <w:r w:rsidR="00395E19">
        <w:rPr>
          <w:rFonts w:ascii="Times New Roman" w:hAnsi="Times New Roman"/>
          <w:sz w:val="26"/>
          <w:szCs w:val="26"/>
        </w:rPr>
        <w:t>nozarē</w:t>
      </w:r>
      <w:r w:rsidR="002F76AF">
        <w:rPr>
          <w:rFonts w:ascii="Times New Roman" w:hAnsi="Times New Roman"/>
          <w:sz w:val="26"/>
          <w:szCs w:val="26"/>
        </w:rPr>
        <w:t>s</w:t>
      </w:r>
      <w:r w:rsidR="009E6431">
        <w:rPr>
          <w:rFonts w:ascii="Times New Roman" w:hAnsi="Times New Roman"/>
          <w:sz w:val="26"/>
          <w:szCs w:val="26"/>
        </w:rPr>
        <w:t>, ierobežojot personu tiesības nodarboties ar uzņēmējdarbību.</w:t>
      </w:r>
    </w:p>
    <w:p w:rsidR="00C9352B" w:rsidRDefault="00C9352B" w:rsidP="00C9352B">
      <w:pPr>
        <w:spacing w:after="0" w:line="240" w:lineRule="auto"/>
        <w:ind w:right="45" w:firstLine="720"/>
        <w:jc w:val="both"/>
        <w:rPr>
          <w:rFonts w:ascii="Times New Roman" w:hAnsi="Times New Roman"/>
          <w:sz w:val="26"/>
          <w:szCs w:val="26"/>
        </w:rPr>
      </w:pPr>
      <w:r>
        <w:rPr>
          <w:rFonts w:ascii="Times New Roman" w:hAnsi="Times New Roman"/>
          <w:sz w:val="26"/>
          <w:szCs w:val="26"/>
        </w:rPr>
        <w:t>Tādējādi normatīvos aktus, kas nosaka atļauju (licenču) anulēšanas kārtību varētu iedalīt divās kategorijās:</w:t>
      </w:r>
    </w:p>
    <w:p w:rsidR="00C9352B" w:rsidRDefault="00C9352B" w:rsidP="00AB6CB4">
      <w:pPr>
        <w:spacing w:after="0" w:line="240" w:lineRule="auto"/>
        <w:ind w:left="851" w:right="45" w:hanging="284"/>
        <w:jc w:val="both"/>
        <w:rPr>
          <w:rFonts w:ascii="Times New Roman" w:hAnsi="Times New Roman"/>
          <w:sz w:val="26"/>
          <w:szCs w:val="26"/>
        </w:rPr>
      </w:pPr>
      <w:r>
        <w:rPr>
          <w:rFonts w:ascii="Times New Roman" w:hAnsi="Times New Roman"/>
          <w:sz w:val="26"/>
          <w:szCs w:val="26"/>
        </w:rPr>
        <w:t xml:space="preserve">1) </w:t>
      </w:r>
      <w:r w:rsidR="00002C72">
        <w:rPr>
          <w:rFonts w:ascii="Times New Roman" w:hAnsi="Times New Roman"/>
          <w:sz w:val="26"/>
          <w:szCs w:val="26"/>
        </w:rPr>
        <w:t xml:space="preserve">speciālie </w:t>
      </w:r>
      <w:r>
        <w:rPr>
          <w:rFonts w:ascii="Times New Roman" w:hAnsi="Times New Roman"/>
          <w:sz w:val="26"/>
          <w:szCs w:val="26"/>
        </w:rPr>
        <w:t>normatīvie akti, kas regulē noteiktu nozari un saimniecisko darbību, paredzot anulēt konkrētu atļauju (licenci)</w:t>
      </w:r>
      <w:r w:rsidR="00002C72">
        <w:rPr>
          <w:rFonts w:ascii="Times New Roman" w:hAnsi="Times New Roman"/>
          <w:sz w:val="26"/>
          <w:szCs w:val="26"/>
        </w:rPr>
        <w:t xml:space="preserve"> atbilstoši Administratīvā procesa likumā noteiktajai procedūrai</w:t>
      </w:r>
      <w:r>
        <w:rPr>
          <w:rFonts w:ascii="Times New Roman" w:hAnsi="Times New Roman"/>
          <w:sz w:val="26"/>
          <w:szCs w:val="26"/>
        </w:rPr>
        <w:t>;</w:t>
      </w:r>
    </w:p>
    <w:p w:rsidR="00C9352B" w:rsidRDefault="00C9352B" w:rsidP="00AB6CB4">
      <w:pPr>
        <w:tabs>
          <w:tab w:val="left" w:pos="1134"/>
        </w:tabs>
        <w:spacing w:after="120" w:line="240" w:lineRule="auto"/>
        <w:ind w:left="851" w:right="45" w:hanging="283"/>
        <w:jc w:val="both"/>
        <w:rPr>
          <w:rFonts w:ascii="Times New Roman" w:hAnsi="Times New Roman"/>
          <w:sz w:val="26"/>
          <w:szCs w:val="26"/>
        </w:rPr>
      </w:pPr>
      <w:r>
        <w:rPr>
          <w:rFonts w:ascii="Times New Roman" w:hAnsi="Times New Roman"/>
          <w:sz w:val="26"/>
          <w:szCs w:val="26"/>
        </w:rPr>
        <w:t xml:space="preserve">2) normatīvie akti, kas regulē </w:t>
      </w:r>
      <w:r w:rsidR="00002C72">
        <w:rPr>
          <w:rFonts w:ascii="Times New Roman" w:hAnsi="Times New Roman"/>
          <w:sz w:val="26"/>
          <w:szCs w:val="26"/>
        </w:rPr>
        <w:t xml:space="preserve">sodu sistēmu un paredz </w:t>
      </w:r>
      <w:r>
        <w:rPr>
          <w:rFonts w:ascii="Times New Roman" w:hAnsi="Times New Roman"/>
          <w:sz w:val="26"/>
          <w:szCs w:val="26"/>
        </w:rPr>
        <w:t>atļaujas (licences) anulēšanu visās tautsaimniecības nozarēs par noteikta veida pārkāpumiem.</w:t>
      </w:r>
    </w:p>
    <w:p w:rsidR="00AB6CB4" w:rsidRPr="00AB6CB4" w:rsidRDefault="00E27CB7" w:rsidP="00AB6CB4">
      <w:pPr>
        <w:spacing w:after="120" w:line="240" w:lineRule="auto"/>
        <w:ind w:right="45" w:firstLine="720"/>
        <w:jc w:val="center"/>
        <w:rPr>
          <w:rFonts w:ascii="Times New Roman" w:hAnsi="Times New Roman"/>
          <w:b/>
          <w:sz w:val="26"/>
          <w:szCs w:val="26"/>
        </w:rPr>
      </w:pPr>
      <w:r>
        <w:rPr>
          <w:rFonts w:ascii="Times New Roman" w:hAnsi="Times New Roman"/>
          <w:b/>
          <w:sz w:val="26"/>
          <w:szCs w:val="26"/>
        </w:rPr>
        <w:t>2.1. </w:t>
      </w:r>
      <w:r w:rsidR="00002C72">
        <w:rPr>
          <w:rFonts w:ascii="Times New Roman" w:hAnsi="Times New Roman"/>
          <w:b/>
          <w:sz w:val="26"/>
          <w:szCs w:val="26"/>
        </w:rPr>
        <w:t>Speciālie n</w:t>
      </w:r>
      <w:r w:rsidR="00AB6CB4" w:rsidRPr="00AB6CB4">
        <w:rPr>
          <w:rFonts w:ascii="Times New Roman" w:hAnsi="Times New Roman"/>
          <w:b/>
          <w:sz w:val="26"/>
          <w:szCs w:val="26"/>
        </w:rPr>
        <w:t>ormatīvie akti, kas regulē noteiktu nozari un saimniecisko darbību, paredzot anulēt konkrētu atļauju (licenci)</w:t>
      </w:r>
      <w:r w:rsidR="00002C72">
        <w:rPr>
          <w:rFonts w:ascii="Times New Roman" w:hAnsi="Times New Roman"/>
          <w:b/>
          <w:sz w:val="26"/>
          <w:szCs w:val="26"/>
        </w:rPr>
        <w:t xml:space="preserve"> atbilstoši Administratīvā procesa likumā noteiktajai procedūrai</w:t>
      </w:r>
    </w:p>
    <w:p w:rsidR="009A75C1" w:rsidRDefault="00C9352B" w:rsidP="00AB6CB4">
      <w:pPr>
        <w:spacing w:after="60" w:line="240" w:lineRule="auto"/>
        <w:ind w:right="45" w:firstLine="720"/>
        <w:jc w:val="both"/>
        <w:rPr>
          <w:rFonts w:ascii="Times New Roman" w:hAnsi="Times New Roman"/>
          <w:sz w:val="26"/>
          <w:szCs w:val="26"/>
        </w:rPr>
      </w:pPr>
      <w:r>
        <w:rPr>
          <w:rFonts w:ascii="Times New Roman" w:hAnsi="Times New Roman"/>
          <w:sz w:val="26"/>
          <w:szCs w:val="26"/>
        </w:rPr>
        <w:t xml:space="preserve">Pie </w:t>
      </w:r>
      <w:r w:rsidR="00AB6CB4">
        <w:rPr>
          <w:rFonts w:ascii="Times New Roman" w:hAnsi="Times New Roman"/>
          <w:sz w:val="26"/>
          <w:szCs w:val="26"/>
        </w:rPr>
        <w:t>šīs</w:t>
      </w:r>
      <w:r>
        <w:rPr>
          <w:rFonts w:ascii="Times New Roman" w:hAnsi="Times New Roman"/>
          <w:sz w:val="26"/>
          <w:szCs w:val="26"/>
        </w:rPr>
        <w:t xml:space="preserve"> kategorijas pieskaitāmi konkrētās atļaujas (licences) regulējošie normatīvie akti, piemēram, Ministru kabineta noteikumi, likumi un Eiropas </w:t>
      </w:r>
      <w:r w:rsidR="002726E9">
        <w:rPr>
          <w:rFonts w:ascii="Times New Roman" w:hAnsi="Times New Roman"/>
          <w:sz w:val="26"/>
          <w:szCs w:val="26"/>
        </w:rPr>
        <w:t>Komisijas</w:t>
      </w:r>
      <w:r>
        <w:rPr>
          <w:rFonts w:ascii="Times New Roman" w:hAnsi="Times New Roman"/>
          <w:sz w:val="26"/>
          <w:szCs w:val="26"/>
        </w:rPr>
        <w:t xml:space="preserve"> </w:t>
      </w:r>
      <w:r w:rsidR="009A75C1">
        <w:rPr>
          <w:rFonts w:ascii="Times New Roman" w:hAnsi="Times New Roman"/>
          <w:sz w:val="26"/>
          <w:szCs w:val="26"/>
        </w:rPr>
        <w:t xml:space="preserve">regulas, kā arī LAPK un Krimināllikumā paredzētā atbildība par konkrētās saimnieciskās darbības vai nozares pārkāpumiem. Minētajos normatīvajos aktos </w:t>
      </w:r>
      <w:r w:rsidR="009A75C1" w:rsidRPr="005303A6">
        <w:rPr>
          <w:rFonts w:ascii="Times New Roman" w:hAnsi="Times New Roman"/>
          <w:sz w:val="26"/>
          <w:szCs w:val="26"/>
        </w:rPr>
        <w:t xml:space="preserve">par </w:t>
      </w:r>
      <w:r w:rsidR="009A75C1" w:rsidRPr="005303A6">
        <w:rPr>
          <w:rFonts w:ascii="Times New Roman" w:hAnsi="Times New Roman"/>
          <w:sz w:val="26"/>
          <w:szCs w:val="26"/>
        </w:rPr>
        <w:lastRenderedPageBreak/>
        <w:t>saimnieciskās darbības ietvaros izdarītajiem pārkāpumiem</w:t>
      </w:r>
      <w:r w:rsidR="009A75C1">
        <w:rPr>
          <w:rFonts w:ascii="Times New Roman" w:hAnsi="Times New Roman"/>
          <w:sz w:val="26"/>
          <w:szCs w:val="26"/>
        </w:rPr>
        <w:t xml:space="preserve"> galvenokārt var tikt piemēroti šādi soda veidi:</w:t>
      </w:r>
    </w:p>
    <w:p w:rsidR="009A75C1" w:rsidRDefault="009A75C1" w:rsidP="009A75C1">
      <w:pPr>
        <w:pStyle w:val="ListParagraph"/>
        <w:numPr>
          <w:ilvl w:val="0"/>
          <w:numId w:val="3"/>
        </w:numPr>
        <w:spacing w:after="60" w:line="240" w:lineRule="auto"/>
        <w:ind w:right="45"/>
        <w:jc w:val="both"/>
        <w:rPr>
          <w:rFonts w:ascii="Times New Roman" w:hAnsi="Times New Roman"/>
          <w:sz w:val="26"/>
          <w:szCs w:val="26"/>
        </w:rPr>
      </w:pPr>
      <w:r>
        <w:rPr>
          <w:rFonts w:ascii="Times New Roman" w:hAnsi="Times New Roman"/>
          <w:sz w:val="26"/>
          <w:szCs w:val="26"/>
        </w:rPr>
        <w:t>brīdinājums;</w:t>
      </w:r>
    </w:p>
    <w:p w:rsidR="009A75C1" w:rsidRDefault="009A75C1" w:rsidP="009A75C1">
      <w:pPr>
        <w:pStyle w:val="ListParagraph"/>
        <w:numPr>
          <w:ilvl w:val="0"/>
          <w:numId w:val="3"/>
        </w:numPr>
        <w:spacing w:after="60" w:line="240" w:lineRule="auto"/>
        <w:ind w:right="45"/>
        <w:jc w:val="both"/>
        <w:rPr>
          <w:rFonts w:ascii="Times New Roman" w:hAnsi="Times New Roman"/>
          <w:sz w:val="26"/>
          <w:szCs w:val="26"/>
        </w:rPr>
      </w:pPr>
      <w:r>
        <w:rPr>
          <w:rFonts w:ascii="Times New Roman" w:hAnsi="Times New Roman"/>
          <w:sz w:val="26"/>
          <w:szCs w:val="26"/>
        </w:rPr>
        <w:t>naudas sods;</w:t>
      </w:r>
    </w:p>
    <w:p w:rsidR="009A75C1" w:rsidRDefault="009A75C1" w:rsidP="009A75C1">
      <w:pPr>
        <w:pStyle w:val="ListParagraph"/>
        <w:numPr>
          <w:ilvl w:val="0"/>
          <w:numId w:val="3"/>
        </w:numPr>
        <w:spacing w:after="60" w:line="240" w:lineRule="auto"/>
        <w:ind w:right="45"/>
        <w:jc w:val="both"/>
        <w:rPr>
          <w:rFonts w:ascii="Times New Roman" w:hAnsi="Times New Roman"/>
          <w:sz w:val="26"/>
          <w:szCs w:val="26"/>
        </w:rPr>
      </w:pPr>
      <w:r>
        <w:rPr>
          <w:rFonts w:ascii="Times New Roman" w:hAnsi="Times New Roman"/>
          <w:sz w:val="26"/>
          <w:szCs w:val="26"/>
        </w:rPr>
        <w:t>atļaujas (licences) apturēšana uz noteiktu laiku;</w:t>
      </w:r>
    </w:p>
    <w:p w:rsidR="009A75C1" w:rsidRDefault="009A75C1" w:rsidP="009A75C1">
      <w:pPr>
        <w:pStyle w:val="ListParagraph"/>
        <w:numPr>
          <w:ilvl w:val="0"/>
          <w:numId w:val="3"/>
        </w:numPr>
        <w:spacing w:after="60" w:line="240" w:lineRule="auto"/>
        <w:ind w:right="45"/>
        <w:jc w:val="both"/>
        <w:rPr>
          <w:rFonts w:ascii="Times New Roman" w:hAnsi="Times New Roman"/>
          <w:sz w:val="26"/>
          <w:szCs w:val="26"/>
        </w:rPr>
      </w:pPr>
      <w:r>
        <w:rPr>
          <w:rFonts w:ascii="Times New Roman" w:hAnsi="Times New Roman"/>
          <w:sz w:val="26"/>
          <w:szCs w:val="26"/>
        </w:rPr>
        <w:t>atļaujas (licences) anulēšana.</w:t>
      </w:r>
    </w:p>
    <w:p w:rsidR="00AB6CB4" w:rsidRDefault="00AB6CB4" w:rsidP="009A75C1">
      <w:pPr>
        <w:spacing w:after="0" w:line="240" w:lineRule="auto"/>
        <w:ind w:right="45" w:firstLine="720"/>
        <w:jc w:val="both"/>
        <w:rPr>
          <w:rFonts w:ascii="Times New Roman" w:hAnsi="Times New Roman"/>
          <w:b/>
          <w:sz w:val="26"/>
          <w:szCs w:val="26"/>
        </w:rPr>
      </w:pPr>
    </w:p>
    <w:p w:rsidR="00C9352B" w:rsidRPr="009A75C1" w:rsidRDefault="009A75C1" w:rsidP="007D1417">
      <w:pPr>
        <w:spacing w:after="0" w:line="240" w:lineRule="auto"/>
        <w:ind w:right="45" w:firstLine="720"/>
        <w:jc w:val="right"/>
        <w:rPr>
          <w:rFonts w:ascii="Times New Roman" w:hAnsi="Times New Roman"/>
          <w:b/>
          <w:sz w:val="26"/>
          <w:szCs w:val="26"/>
        </w:rPr>
      </w:pPr>
      <w:r w:rsidRPr="009A75C1">
        <w:rPr>
          <w:rFonts w:ascii="Times New Roman" w:hAnsi="Times New Roman"/>
          <w:b/>
          <w:sz w:val="26"/>
          <w:szCs w:val="26"/>
        </w:rPr>
        <w:t>2.tabula</w:t>
      </w:r>
    </w:p>
    <w:p w:rsidR="009A75C1" w:rsidRDefault="009A75C1" w:rsidP="00C9352B">
      <w:pPr>
        <w:spacing w:after="60" w:line="240" w:lineRule="auto"/>
        <w:ind w:right="45" w:firstLine="720"/>
        <w:jc w:val="both"/>
        <w:rPr>
          <w:rFonts w:ascii="Times New Roman" w:hAnsi="Times New Roman"/>
          <w:b/>
          <w:sz w:val="24"/>
          <w:szCs w:val="24"/>
        </w:rPr>
      </w:pPr>
      <w:r w:rsidRPr="009A75C1">
        <w:rPr>
          <w:rFonts w:ascii="Times New Roman" w:hAnsi="Times New Roman"/>
          <w:b/>
          <w:sz w:val="24"/>
          <w:szCs w:val="24"/>
        </w:rPr>
        <w:t>Par atļaujas (licences) pār</w:t>
      </w:r>
      <w:r w:rsidR="00AB6CB4">
        <w:rPr>
          <w:rFonts w:ascii="Times New Roman" w:hAnsi="Times New Roman"/>
          <w:b/>
          <w:sz w:val="24"/>
          <w:szCs w:val="24"/>
        </w:rPr>
        <w:t>k</w:t>
      </w:r>
      <w:r w:rsidR="007D1417">
        <w:rPr>
          <w:rFonts w:ascii="Times New Roman" w:hAnsi="Times New Roman"/>
          <w:b/>
          <w:sz w:val="24"/>
          <w:szCs w:val="24"/>
        </w:rPr>
        <w:t>āpumiem piemērojamie soda veidi</w:t>
      </w:r>
    </w:p>
    <w:tbl>
      <w:tblPr>
        <w:tblW w:w="6379" w:type="dxa"/>
        <w:tblInd w:w="1242" w:type="dxa"/>
        <w:tblLook w:val="04A0"/>
      </w:tblPr>
      <w:tblGrid>
        <w:gridCol w:w="2268"/>
        <w:gridCol w:w="1845"/>
        <w:gridCol w:w="2266"/>
      </w:tblGrid>
      <w:tr w:rsidR="009A75C1" w:rsidRPr="009A75C1" w:rsidTr="00AB6CB4">
        <w:trPr>
          <w:trHeight w:val="900"/>
        </w:trPr>
        <w:tc>
          <w:tcPr>
            <w:tcW w:w="22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A75C1" w:rsidRPr="008471C1" w:rsidRDefault="009A75C1" w:rsidP="009A75C1">
            <w:pPr>
              <w:spacing w:after="0" w:line="240" w:lineRule="auto"/>
              <w:jc w:val="center"/>
              <w:rPr>
                <w:rFonts w:ascii="Times New Roman" w:eastAsia="Times New Roman" w:hAnsi="Times New Roman" w:cs="Times New Roman"/>
                <w:b/>
                <w:color w:val="000000"/>
                <w:sz w:val="24"/>
                <w:szCs w:val="24"/>
                <w:lang w:eastAsia="lv-LV"/>
              </w:rPr>
            </w:pPr>
            <w:r w:rsidRPr="008471C1">
              <w:rPr>
                <w:rFonts w:ascii="Times New Roman" w:eastAsia="Times New Roman" w:hAnsi="Times New Roman" w:cs="Times New Roman"/>
                <w:b/>
                <w:color w:val="000000"/>
                <w:sz w:val="24"/>
                <w:szCs w:val="24"/>
                <w:lang w:eastAsia="lv-LV"/>
              </w:rPr>
              <w:t>Soda veids</w:t>
            </w:r>
          </w:p>
        </w:tc>
        <w:tc>
          <w:tcPr>
            <w:tcW w:w="1845" w:type="dxa"/>
            <w:tcBorders>
              <w:top w:val="single" w:sz="4" w:space="0" w:color="auto"/>
              <w:left w:val="nil"/>
              <w:bottom w:val="single" w:sz="4" w:space="0" w:color="auto"/>
              <w:right w:val="single" w:sz="4" w:space="0" w:color="auto"/>
            </w:tcBorders>
            <w:shd w:val="clear" w:color="000000" w:fill="F2F2F2"/>
            <w:noWrap/>
            <w:vAlign w:val="center"/>
            <w:hideMark/>
          </w:tcPr>
          <w:p w:rsidR="009A75C1" w:rsidRPr="008471C1" w:rsidRDefault="00AB6CB4" w:rsidP="00AB6CB4">
            <w:pPr>
              <w:spacing w:after="0" w:line="240" w:lineRule="auto"/>
              <w:jc w:val="center"/>
              <w:rPr>
                <w:rFonts w:ascii="Times New Roman" w:eastAsia="Times New Roman" w:hAnsi="Times New Roman" w:cs="Times New Roman"/>
                <w:b/>
                <w:color w:val="000000"/>
                <w:sz w:val="24"/>
                <w:szCs w:val="24"/>
                <w:lang w:eastAsia="lv-LV"/>
              </w:rPr>
            </w:pPr>
            <w:r w:rsidRPr="008471C1">
              <w:rPr>
                <w:rFonts w:ascii="Times New Roman" w:eastAsia="Times New Roman" w:hAnsi="Times New Roman" w:cs="Times New Roman"/>
                <w:b/>
                <w:color w:val="000000"/>
                <w:sz w:val="24"/>
                <w:szCs w:val="24"/>
                <w:lang w:eastAsia="lv-LV"/>
              </w:rPr>
              <w:t>Atļauju (licenču) s</w:t>
            </w:r>
            <w:r w:rsidR="009A75C1" w:rsidRPr="008471C1">
              <w:rPr>
                <w:rFonts w:ascii="Times New Roman" w:eastAsia="Times New Roman" w:hAnsi="Times New Roman" w:cs="Times New Roman"/>
                <w:b/>
                <w:color w:val="000000"/>
                <w:sz w:val="24"/>
                <w:szCs w:val="24"/>
                <w:lang w:eastAsia="lv-LV"/>
              </w:rPr>
              <w:t>kaits</w:t>
            </w:r>
          </w:p>
        </w:tc>
        <w:tc>
          <w:tcPr>
            <w:tcW w:w="2266" w:type="dxa"/>
            <w:tcBorders>
              <w:top w:val="single" w:sz="4" w:space="0" w:color="auto"/>
              <w:left w:val="nil"/>
              <w:bottom w:val="single" w:sz="4" w:space="0" w:color="auto"/>
              <w:right w:val="single" w:sz="4" w:space="0" w:color="auto"/>
            </w:tcBorders>
            <w:shd w:val="clear" w:color="000000" w:fill="F2F2F2"/>
            <w:vAlign w:val="center"/>
            <w:hideMark/>
          </w:tcPr>
          <w:p w:rsidR="009A75C1" w:rsidRPr="008471C1" w:rsidRDefault="00AB6CB4" w:rsidP="009A75C1">
            <w:pPr>
              <w:spacing w:after="0" w:line="240" w:lineRule="auto"/>
              <w:jc w:val="center"/>
              <w:rPr>
                <w:rFonts w:ascii="Times New Roman" w:eastAsia="Times New Roman" w:hAnsi="Times New Roman" w:cs="Times New Roman"/>
                <w:b/>
                <w:color w:val="000000"/>
                <w:sz w:val="24"/>
                <w:szCs w:val="24"/>
                <w:lang w:eastAsia="lv-LV"/>
              </w:rPr>
            </w:pPr>
            <w:r w:rsidRPr="008471C1">
              <w:rPr>
                <w:rFonts w:ascii="Times New Roman" w:eastAsia="Times New Roman" w:hAnsi="Times New Roman" w:cs="Times New Roman"/>
                <w:b/>
                <w:color w:val="000000"/>
                <w:sz w:val="24"/>
                <w:szCs w:val="24"/>
                <w:lang w:eastAsia="lv-LV"/>
              </w:rPr>
              <w:t>Īpatsvars (</w:t>
            </w:r>
            <w:r w:rsidR="009A75C1" w:rsidRPr="008471C1">
              <w:rPr>
                <w:rFonts w:ascii="Times New Roman" w:eastAsia="Times New Roman" w:hAnsi="Times New Roman" w:cs="Times New Roman"/>
                <w:b/>
                <w:color w:val="000000"/>
                <w:sz w:val="24"/>
                <w:szCs w:val="24"/>
                <w:lang w:eastAsia="lv-LV"/>
              </w:rPr>
              <w:t>%</w:t>
            </w:r>
            <w:r w:rsidRPr="008471C1">
              <w:rPr>
                <w:rFonts w:ascii="Times New Roman" w:eastAsia="Times New Roman" w:hAnsi="Times New Roman" w:cs="Times New Roman"/>
                <w:b/>
                <w:color w:val="000000"/>
                <w:sz w:val="24"/>
                <w:szCs w:val="24"/>
                <w:lang w:eastAsia="lv-LV"/>
              </w:rPr>
              <w:t>)</w:t>
            </w:r>
            <w:r w:rsidR="009A75C1" w:rsidRPr="008471C1">
              <w:rPr>
                <w:rFonts w:ascii="Times New Roman" w:eastAsia="Times New Roman" w:hAnsi="Times New Roman" w:cs="Times New Roman"/>
                <w:b/>
                <w:color w:val="000000"/>
                <w:sz w:val="24"/>
                <w:szCs w:val="24"/>
                <w:lang w:eastAsia="lv-LV"/>
              </w:rPr>
              <w:t xml:space="preserve"> no visām atļaujām (licencēm)</w:t>
            </w:r>
          </w:p>
        </w:tc>
      </w:tr>
      <w:tr w:rsidR="009A75C1" w:rsidRPr="009A75C1" w:rsidTr="00AB6CB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Brīdinājums</w:t>
            </w:r>
          </w:p>
        </w:tc>
        <w:tc>
          <w:tcPr>
            <w:tcW w:w="1845" w:type="dxa"/>
            <w:tcBorders>
              <w:top w:val="nil"/>
              <w:left w:val="nil"/>
              <w:bottom w:val="single" w:sz="4" w:space="0" w:color="auto"/>
              <w:right w:val="single" w:sz="4" w:space="0" w:color="auto"/>
            </w:tcBorders>
            <w:shd w:val="clear" w:color="auto" w:fill="auto"/>
            <w:noWrap/>
            <w:vAlign w:val="center"/>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24</w:t>
            </w:r>
          </w:p>
        </w:tc>
        <w:tc>
          <w:tcPr>
            <w:tcW w:w="2266" w:type="dxa"/>
            <w:tcBorders>
              <w:top w:val="nil"/>
              <w:left w:val="nil"/>
              <w:bottom w:val="single" w:sz="4" w:space="0" w:color="auto"/>
              <w:right w:val="single" w:sz="4" w:space="0" w:color="auto"/>
            </w:tcBorders>
            <w:shd w:val="clear" w:color="auto" w:fill="auto"/>
            <w:noWrap/>
            <w:vAlign w:val="center"/>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15%</w:t>
            </w:r>
          </w:p>
        </w:tc>
      </w:tr>
      <w:tr w:rsidR="009A75C1" w:rsidRPr="009A75C1" w:rsidTr="00AB6CB4">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Naudas sods</w:t>
            </w:r>
          </w:p>
        </w:tc>
        <w:tc>
          <w:tcPr>
            <w:tcW w:w="1845" w:type="dxa"/>
            <w:tcBorders>
              <w:top w:val="nil"/>
              <w:left w:val="nil"/>
              <w:bottom w:val="single" w:sz="4" w:space="0" w:color="auto"/>
              <w:right w:val="single" w:sz="4" w:space="0" w:color="auto"/>
            </w:tcBorders>
            <w:shd w:val="clear" w:color="auto" w:fill="auto"/>
            <w:noWrap/>
            <w:vAlign w:val="center"/>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107</w:t>
            </w:r>
          </w:p>
        </w:tc>
        <w:tc>
          <w:tcPr>
            <w:tcW w:w="2266" w:type="dxa"/>
            <w:tcBorders>
              <w:top w:val="nil"/>
              <w:left w:val="nil"/>
              <w:bottom w:val="single" w:sz="4" w:space="0" w:color="auto"/>
              <w:right w:val="single" w:sz="4" w:space="0" w:color="auto"/>
            </w:tcBorders>
            <w:shd w:val="clear" w:color="auto" w:fill="auto"/>
            <w:noWrap/>
            <w:vAlign w:val="center"/>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68%</w:t>
            </w:r>
          </w:p>
        </w:tc>
      </w:tr>
      <w:tr w:rsidR="009A75C1" w:rsidRPr="009A75C1" w:rsidTr="00AB6CB4">
        <w:trPr>
          <w:trHeight w:val="6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Atļaujas (licences) apturēšana</w:t>
            </w:r>
          </w:p>
        </w:tc>
        <w:tc>
          <w:tcPr>
            <w:tcW w:w="1845" w:type="dxa"/>
            <w:tcBorders>
              <w:top w:val="nil"/>
              <w:left w:val="nil"/>
              <w:bottom w:val="single" w:sz="4" w:space="0" w:color="auto"/>
              <w:right w:val="single" w:sz="4" w:space="0" w:color="auto"/>
            </w:tcBorders>
            <w:shd w:val="clear" w:color="auto" w:fill="auto"/>
            <w:noWrap/>
            <w:vAlign w:val="center"/>
            <w:hideMark/>
          </w:tcPr>
          <w:p w:rsidR="009A75C1" w:rsidRPr="007D1417" w:rsidRDefault="008D401E" w:rsidP="00A8792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65</w:t>
            </w:r>
          </w:p>
        </w:tc>
        <w:tc>
          <w:tcPr>
            <w:tcW w:w="2266" w:type="dxa"/>
            <w:tcBorders>
              <w:top w:val="nil"/>
              <w:left w:val="nil"/>
              <w:bottom w:val="single" w:sz="4" w:space="0" w:color="auto"/>
              <w:right w:val="single" w:sz="4" w:space="0" w:color="auto"/>
            </w:tcBorders>
            <w:shd w:val="clear" w:color="auto" w:fill="auto"/>
            <w:noWrap/>
            <w:vAlign w:val="center"/>
            <w:hideMark/>
          </w:tcPr>
          <w:p w:rsidR="009A75C1" w:rsidRPr="007D1417" w:rsidRDefault="005C213E" w:rsidP="005C213E">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4</w:t>
            </w:r>
            <w:r w:rsidR="00A8792B">
              <w:rPr>
                <w:rFonts w:ascii="Times New Roman" w:eastAsia="Times New Roman" w:hAnsi="Times New Roman" w:cs="Times New Roman"/>
                <w:color w:val="000000"/>
                <w:sz w:val="24"/>
                <w:szCs w:val="24"/>
                <w:lang w:eastAsia="lv-LV"/>
              </w:rPr>
              <w:t>0</w:t>
            </w:r>
            <w:r w:rsidRPr="007D1417">
              <w:rPr>
                <w:rFonts w:ascii="Times New Roman" w:eastAsia="Times New Roman" w:hAnsi="Times New Roman" w:cs="Times New Roman"/>
                <w:color w:val="000000"/>
                <w:sz w:val="24"/>
                <w:szCs w:val="24"/>
                <w:lang w:eastAsia="lv-LV"/>
              </w:rPr>
              <w:t>%</w:t>
            </w:r>
          </w:p>
        </w:tc>
      </w:tr>
      <w:tr w:rsidR="009A75C1" w:rsidRPr="009A75C1" w:rsidTr="00AB6CB4">
        <w:trPr>
          <w:trHeight w:val="6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9A75C1" w:rsidRPr="007D1417" w:rsidRDefault="009A75C1"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Atļaujas (licences) anulēšana</w:t>
            </w:r>
          </w:p>
        </w:tc>
        <w:tc>
          <w:tcPr>
            <w:tcW w:w="1845" w:type="dxa"/>
            <w:tcBorders>
              <w:top w:val="nil"/>
              <w:left w:val="nil"/>
              <w:bottom w:val="single" w:sz="4" w:space="0" w:color="auto"/>
              <w:right w:val="single" w:sz="4" w:space="0" w:color="auto"/>
            </w:tcBorders>
            <w:shd w:val="clear" w:color="auto" w:fill="auto"/>
            <w:noWrap/>
            <w:vAlign w:val="center"/>
            <w:hideMark/>
          </w:tcPr>
          <w:p w:rsidR="009A75C1" w:rsidRPr="007D1417" w:rsidRDefault="005C213E" w:rsidP="00A8792B">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1</w:t>
            </w:r>
            <w:r w:rsidR="00A8792B">
              <w:rPr>
                <w:rFonts w:ascii="Times New Roman" w:eastAsia="Times New Roman" w:hAnsi="Times New Roman" w:cs="Times New Roman"/>
                <w:color w:val="000000"/>
                <w:sz w:val="24"/>
                <w:szCs w:val="24"/>
                <w:lang w:eastAsia="lv-LV"/>
              </w:rPr>
              <w:t>23</w:t>
            </w:r>
          </w:p>
        </w:tc>
        <w:tc>
          <w:tcPr>
            <w:tcW w:w="2266" w:type="dxa"/>
            <w:tcBorders>
              <w:top w:val="nil"/>
              <w:left w:val="nil"/>
              <w:bottom w:val="single" w:sz="4" w:space="0" w:color="auto"/>
              <w:right w:val="single" w:sz="4" w:space="0" w:color="auto"/>
            </w:tcBorders>
            <w:shd w:val="clear" w:color="auto" w:fill="auto"/>
            <w:noWrap/>
            <w:vAlign w:val="center"/>
            <w:hideMark/>
          </w:tcPr>
          <w:p w:rsidR="009A75C1" w:rsidRPr="007D1417" w:rsidRDefault="005C213E" w:rsidP="009A75C1">
            <w:pPr>
              <w:spacing w:after="0" w:line="240" w:lineRule="auto"/>
              <w:jc w:val="center"/>
              <w:rPr>
                <w:rFonts w:ascii="Times New Roman" w:eastAsia="Times New Roman" w:hAnsi="Times New Roman" w:cs="Times New Roman"/>
                <w:color w:val="000000"/>
                <w:sz w:val="24"/>
                <w:szCs w:val="24"/>
                <w:lang w:eastAsia="lv-LV"/>
              </w:rPr>
            </w:pPr>
            <w:r w:rsidRPr="007D1417">
              <w:rPr>
                <w:rFonts w:ascii="Times New Roman" w:eastAsia="Times New Roman" w:hAnsi="Times New Roman" w:cs="Times New Roman"/>
                <w:color w:val="000000"/>
                <w:sz w:val="24"/>
                <w:szCs w:val="24"/>
                <w:lang w:eastAsia="lv-LV"/>
              </w:rPr>
              <w:t>76%</w:t>
            </w:r>
          </w:p>
        </w:tc>
      </w:tr>
    </w:tbl>
    <w:p w:rsidR="00C83A9C" w:rsidRPr="00C83A9C" w:rsidRDefault="00C83A9C" w:rsidP="00C83A9C">
      <w:pPr>
        <w:spacing w:after="0" w:line="240" w:lineRule="auto"/>
        <w:ind w:right="45" w:firstLine="720"/>
        <w:jc w:val="both"/>
        <w:rPr>
          <w:rFonts w:ascii="Times New Roman" w:hAnsi="Times New Roman"/>
          <w:sz w:val="16"/>
          <w:szCs w:val="16"/>
        </w:rPr>
      </w:pPr>
    </w:p>
    <w:p w:rsidR="00740112" w:rsidRDefault="00C83A9C" w:rsidP="00C83A9C">
      <w:pPr>
        <w:spacing w:after="60" w:line="240" w:lineRule="auto"/>
        <w:ind w:right="45" w:firstLine="720"/>
        <w:jc w:val="both"/>
        <w:rPr>
          <w:rFonts w:ascii="Times New Roman" w:hAnsi="Times New Roman"/>
          <w:sz w:val="26"/>
          <w:szCs w:val="26"/>
        </w:rPr>
      </w:pPr>
      <w:r>
        <w:rPr>
          <w:rFonts w:ascii="Times New Roman" w:hAnsi="Times New Roman"/>
          <w:sz w:val="26"/>
          <w:szCs w:val="26"/>
        </w:rPr>
        <w:t xml:space="preserve">Izvērtējot ministriju iesniegto informāciju, konstatēts, ka no visām apkopotajām atļaujām (licencēm) 76% jeb </w:t>
      </w:r>
      <w:r w:rsidR="00A8792B">
        <w:rPr>
          <w:rFonts w:ascii="Times New Roman" w:hAnsi="Times New Roman"/>
          <w:sz w:val="26"/>
          <w:szCs w:val="26"/>
        </w:rPr>
        <w:t xml:space="preserve">123 </w:t>
      </w:r>
      <w:r>
        <w:rPr>
          <w:rFonts w:ascii="Times New Roman" w:hAnsi="Times New Roman"/>
          <w:sz w:val="26"/>
          <w:szCs w:val="26"/>
        </w:rPr>
        <w:t>gadījumos ir paredzēta atļaujas (licences) anulēšanas kārtība</w:t>
      </w:r>
      <w:r w:rsidR="00BB570E">
        <w:rPr>
          <w:rFonts w:ascii="Times New Roman" w:hAnsi="Times New Roman"/>
          <w:sz w:val="26"/>
          <w:szCs w:val="26"/>
        </w:rPr>
        <w:t xml:space="preserve"> </w:t>
      </w:r>
      <w:r w:rsidR="00BB570E" w:rsidRPr="008471C1">
        <w:rPr>
          <w:rFonts w:ascii="Times New Roman" w:hAnsi="Times New Roman"/>
          <w:sz w:val="26"/>
          <w:szCs w:val="26"/>
        </w:rPr>
        <w:t>t.sk., 6</w:t>
      </w:r>
      <w:r w:rsidR="00A8792B" w:rsidRPr="008471C1">
        <w:rPr>
          <w:rFonts w:ascii="Times New Roman" w:hAnsi="Times New Roman"/>
          <w:sz w:val="26"/>
          <w:szCs w:val="26"/>
        </w:rPr>
        <w:t>5</w:t>
      </w:r>
      <w:r w:rsidR="00BB570E" w:rsidRPr="008471C1">
        <w:rPr>
          <w:rFonts w:ascii="Times New Roman" w:hAnsi="Times New Roman"/>
          <w:sz w:val="26"/>
          <w:szCs w:val="26"/>
        </w:rPr>
        <w:t xml:space="preserve"> gadījumos pirms atļaujas (licences) anulēšanas ir paredzēta atļaujas (licences) apturēšana u</w:t>
      </w:r>
      <w:r w:rsidR="008D401E" w:rsidRPr="008471C1">
        <w:rPr>
          <w:rFonts w:ascii="Times New Roman" w:hAnsi="Times New Roman"/>
          <w:sz w:val="26"/>
          <w:szCs w:val="26"/>
        </w:rPr>
        <w:t>z</w:t>
      </w:r>
      <w:r w:rsidR="00BB570E" w:rsidRPr="008471C1">
        <w:rPr>
          <w:rFonts w:ascii="Times New Roman" w:hAnsi="Times New Roman"/>
          <w:sz w:val="26"/>
          <w:szCs w:val="26"/>
        </w:rPr>
        <w:t xml:space="preserve"> noteiktu laiku</w:t>
      </w:r>
      <w:r w:rsidR="00C17F4B" w:rsidRPr="008471C1">
        <w:rPr>
          <w:rFonts w:ascii="Times New Roman" w:hAnsi="Times New Roman"/>
          <w:sz w:val="26"/>
          <w:szCs w:val="26"/>
        </w:rPr>
        <w:t>.</w:t>
      </w:r>
      <w:r w:rsidR="00C17F4B">
        <w:rPr>
          <w:rFonts w:ascii="Times New Roman" w:hAnsi="Times New Roman"/>
          <w:sz w:val="26"/>
          <w:szCs w:val="26"/>
        </w:rPr>
        <w:t xml:space="preserve"> </w:t>
      </w:r>
      <w:r>
        <w:rPr>
          <w:rFonts w:ascii="Times New Roman" w:hAnsi="Times New Roman"/>
          <w:sz w:val="26"/>
          <w:szCs w:val="26"/>
        </w:rPr>
        <w:t xml:space="preserve">Tomēr jānorāda, </w:t>
      </w:r>
      <w:r w:rsidR="00C946F8">
        <w:rPr>
          <w:rFonts w:ascii="Times New Roman" w:hAnsi="Times New Roman"/>
          <w:sz w:val="26"/>
          <w:szCs w:val="26"/>
        </w:rPr>
        <w:t xml:space="preserve">ka tikai dažos gadījumos paredzēts anulēt atļauju (licenci) par normatīvo aktu pārkāpumiem nodokļu un darba tiesisko attiecību jomā. Par pozitīvu piemēru var minēt Aizsardzības ministrijas izsniegto </w:t>
      </w:r>
      <w:r w:rsidR="00C946F8">
        <w:rPr>
          <w:rFonts w:ascii="Times New Roman" w:hAnsi="Times New Roman"/>
          <w:bCs/>
          <w:sz w:val="26"/>
          <w:szCs w:val="26"/>
        </w:rPr>
        <w:t>s</w:t>
      </w:r>
      <w:r w:rsidR="00C946F8" w:rsidRPr="00C946F8">
        <w:rPr>
          <w:rFonts w:ascii="Times New Roman" w:hAnsi="Times New Roman"/>
          <w:bCs/>
          <w:sz w:val="26"/>
          <w:szCs w:val="26"/>
        </w:rPr>
        <w:t>peciāl</w:t>
      </w:r>
      <w:r w:rsidR="00740112">
        <w:rPr>
          <w:rFonts w:ascii="Times New Roman" w:hAnsi="Times New Roman"/>
          <w:bCs/>
          <w:sz w:val="26"/>
          <w:szCs w:val="26"/>
        </w:rPr>
        <w:t>o</w:t>
      </w:r>
      <w:r w:rsidR="00C946F8" w:rsidRPr="00C946F8">
        <w:rPr>
          <w:rFonts w:ascii="Times New Roman" w:hAnsi="Times New Roman"/>
          <w:bCs/>
          <w:sz w:val="26"/>
          <w:szCs w:val="26"/>
        </w:rPr>
        <w:t xml:space="preserve"> atļauj</w:t>
      </w:r>
      <w:r w:rsidR="00740112">
        <w:rPr>
          <w:rFonts w:ascii="Times New Roman" w:hAnsi="Times New Roman"/>
          <w:bCs/>
          <w:sz w:val="26"/>
          <w:szCs w:val="26"/>
        </w:rPr>
        <w:t>u</w:t>
      </w:r>
      <w:r w:rsidR="00C946F8" w:rsidRPr="00C946F8">
        <w:rPr>
          <w:rFonts w:ascii="Times New Roman" w:hAnsi="Times New Roman"/>
          <w:bCs/>
          <w:sz w:val="26"/>
          <w:szCs w:val="26"/>
        </w:rPr>
        <w:t xml:space="preserve"> (licenc</w:t>
      </w:r>
      <w:r w:rsidR="00740112">
        <w:rPr>
          <w:rFonts w:ascii="Times New Roman" w:hAnsi="Times New Roman"/>
          <w:bCs/>
          <w:sz w:val="26"/>
          <w:szCs w:val="26"/>
        </w:rPr>
        <w:t>i</w:t>
      </w:r>
      <w:r w:rsidR="00C946F8" w:rsidRPr="00C946F8">
        <w:rPr>
          <w:rFonts w:ascii="Times New Roman" w:hAnsi="Times New Roman"/>
          <w:bCs/>
          <w:sz w:val="26"/>
          <w:szCs w:val="26"/>
        </w:rPr>
        <w:t>) komercdarbībai ar Eiropas Savienības Kopējā militāro preču sarakstā minētajām precēm</w:t>
      </w:r>
      <w:r w:rsidR="00740112">
        <w:rPr>
          <w:rFonts w:ascii="Times New Roman" w:hAnsi="Times New Roman"/>
          <w:bCs/>
          <w:sz w:val="26"/>
          <w:szCs w:val="26"/>
        </w:rPr>
        <w:t xml:space="preserve">, kuru iespējams anulēt, pamatojoties uz </w:t>
      </w:r>
      <w:r w:rsidR="00740112" w:rsidRPr="00740112">
        <w:rPr>
          <w:rFonts w:ascii="Times New Roman" w:hAnsi="Times New Roman"/>
          <w:sz w:val="26"/>
          <w:szCs w:val="26"/>
        </w:rPr>
        <w:t>citas kompetentas institūcijas sniegtu atzinumu par būtisku attiecīgo nozari regulējošo normatīvo aktu pārkāpumu, kā arī vides aizsardzības, konkurences un darba tiesību būtisku pārkāpumu</w:t>
      </w:r>
      <w:r w:rsidR="00740112">
        <w:rPr>
          <w:rFonts w:ascii="Times New Roman" w:hAnsi="Times New Roman"/>
          <w:bCs/>
          <w:sz w:val="26"/>
          <w:szCs w:val="26"/>
        </w:rPr>
        <w:t xml:space="preserve">. Līdzīga iespēja ir paredzēta arī par </w:t>
      </w:r>
      <w:r w:rsidR="00740112" w:rsidRPr="00740112">
        <w:rPr>
          <w:rFonts w:ascii="Times New Roman" w:hAnsi="Times New Roman"/>
          <w:sz w:val="26"/>
          <w:szCs w:val="26"/>
        </w:rPr>
        <w:t>melno un krāsaino metālu atgriezumu un lūžņu iepirkšana</w:t>
      </w:r>
      <w:r w:rsidR="00740112">
        <w:rPr>
          <w:rFonts w:ascii="Times New Roman" w:hAnsi="Times New Roman"/>
          <w:sz w:val="26"/>
          <w:szCs w:val="26"/>
        </w:rPr>
        <w:t>s</w:t>
      </w:r>
      <w:r w:rsidR="00740112" w:rsidRPr="00740112">
        <w:rPr>
          <w:rFonts w:ascii="Times New Roman" w:hAnsi="Times New Roman"/>
          <w:sz w:val="26"/>
          <w:szCs w:val="26"/>
        </w:rPr>
        <w:t xml:space="preserve"> </w:t>
      </w:r>
      <w:r w:rsidR="00740112">
        <w:rPr>
          <w:rFonts w:ascii="Times New Roman" w:hAnsi="Times New Roman"/>
          <w:sz w:val="26"/>
          <w:szCs w:val="26"/>
        </w:rPr>
        <w:t>l</w:t>
      </w:r>
      <w:r w:rsidR="00740112" w:rsidRPr="00740112">
        <w:rPr>
          <w:rFonts w:ascii="Times New Roman" w:hAnsi="Times New Roman"/>
          <w:sz w:val="26"/>
          <w:szCs w:val="26"/>
        </w:rPr>
        <w:t>icence</w:t>
      </w:r>
      <w:r w:rsidR="00740112">
        <w:rPr>
          <w:rFonts w:ascii="Times New Roman" w:hAnsi="Times New Roman"/>
          <w:sz w:val="26"/>
          <w:szCs w:val="26"/>
        </w:rPr>
        <w:t xml:space="preserve">s pārkāpumiem – licencēšanas komisijai ir tiesības anulēt atļauju (licenci), ja </w:t>
      </w:r>
      <w:r w:rsidR="00740112" w:rsidRPr="00740112">
        <w:rPr>
          <w:rFonts w:ascii="Times New Roman" w:hAnsi="Times New Roman"/>
          <w:sz w:val="26"/>
          <w:szCs w:val="26"/>
        </w:rPr>
        <w:t>komersants vai komersanta amatpersona gada laikā pēc administ</w:t>
      </w:r>
      <w:r w:rsidR="00740112">
        <w:rPr>
          <w:rFonts w:ascii="Times New Roman" w:hAnsi="Times New Roman"/>
          <w:sz w:val="26"/>
          <w:szCs w:val="26"/>
        </w:rPr>
        <w:t xml:space="preserve">ratīvā soda uzlikšanas ir </w:t>
      </w:r>
      <w:proofErr w:type="spellStart"/>
      <w:r w:rsidR="00740112">
        <w:rPr>
          <w:rFonts w:ascii="Times New Roman" w:hAnsi="Times New Roman"/>
          <w:sz w:val="26"/>
          <w:szCs w:val="26"/>
        </w:rPr>
        <w:t>vairāk</w:t>
      </w:r>
      <w:r w:rsidR="00740112" w:rsidRPr="00740112">
        <w:rPr>
          <w:rFonts w:ascii="Times New Roman" w:hAnsi="Times New Roman"/>
          <w:sz w:val="26"/>
          <w:szCs w:val="26"/>
        </w:rPr>
        <w:t>kārt</w:t>
      </w:r>
      <w:proofErr w:type="spellEnd"/>
      <w:r w:rsidR="00740112" w:rsidRPr="00740112">
        <w:rPr>
          <w:rFonts w:ascii="Times New Roman" w:hAnsi="Times New Roman"/>
          <w:sz w:val="26"/>
          <w:szCs w:val="26"/>
        </w:rPr>
        <w:t xml:space="preserve"> administratīvi sodīta melno un krāsaino metālu atgriezumu un lūžņu tirdzniecības, finanšu vai komercdarbības jomā</w:t>
      </w:r>
      <w:r w:rsidR="00740112">
        <w:rPr>
          <w:rFonts w:ascii="Times New Roman" w:hAnsi="Times New Roman"/>
          <w:sz w:val="26"/>
          <w:szCs w:val="26"/>
        </w:rPr>
        <w:t>.</w:t>
      </w:r>
    </w:p>
    <w:p w:rsidR="00F11BA1" w:rsidRPr="008471C1" w:rsidRDefault="00F11BA1" w:rsidP="00F11BA1">
      <w:pPr>
        <w:pStyle w:val="CommentText"/>
        <w:spacing w:after="60"/>
        <w:ind w:firstLine="720"/>
        <w:jc w:val="both"/>
        <w:rPr>
          <w:sz w:val="26"/>
          <w:szCs w:val="26"/>
        </w:rPr>
      </w:pPr>
      <w:r w:rsidRPr="008471C1">
        <w:rPr>
          <w:sz w:val="26"/>
          <w:szCs w:val="26"/>
        </w:rPr>
        <w:t xml:space="preserve">Šā gada 12.maija Valsts sekretāru sanāksmē ir izsludināts Finanšu ministrijas sagatavotais likumprojekts „Grozījumi likumā „Par nodokļiem un nodevām””, kas paredz paplašināt to gadījumu loku, kuros komersanta darbība var tikt apturēta, liedzot turpināt normatīvajiem aktiem neatbilstošu komercdarbību. Likumprojekts paredz, ka cita starpā VID būs tiesības apturēt nodokļu maksātāja saimniecisko darbību par personu nodarbināšanu, ar kurām nav noslēgts darba, uzņēmuma, graudniecības vai pārvadājuma līgums atbilstoši normatīvo aktu prasībām, kā arī gadījumos, ja nodokļu maksātājs atkārtoti gada laikā ir izvairījies no nodokļu vai tiem pielīdzināto maksājumu nomaksas un nesniedz nodokļu administrēšanai un kontrolei nepieciešamo informāciju, arī likumā „Par nodokļiem un nodevām” vai konkrēto nodokļu likumos paredzētās nodokļu un informatīvās deklarācijas. Apturot nodokļa maksātāja saimniecisko </w:t>
      </w:r>
      <w:r w:rsidRPr="008471C1">
        <w:rPr>
          <w:sz w:val="26"/>
          <w:szCs w:val="26"/>
        </w:rPr>
        <w:lastRenderedPageBreak/>
        <w:t>darbību, vienlaikus tiek paredzētas tiesības VID veikt papildus komersanta darbību ierobežojošus pasākumus, piemēram, speciālo atļauju (licenču) anulēšana, norēķinu operāciju apturēšana, struktūrvienību vai citu saimnieciskās darbības veikšanas vietu noplombēšana vai aizzīmogošana.</w:t>
      </w:r>
      <w:r w:rsidR="00FC730B" w:rsidRPr="008471C1">
        <w:rPr>
          <w:sz w:val="26"/>
          <w:szCs w:val="26"/>
        </w:rPr>
        <w:t xml:space="preserve"> Tādējādi ar minētajiem likuma „Par nodokļiem un nodevām” grozījumiem tiks noteikts </w:t>
      </w:r>
      <w:r w:rsidR="003F0167" w:rsidRPr="008471C1">
        <w:rPr>
          <w:sz w:val="26"/>
          <w:szCs w:val="26"/>
        </w:rPr>
        <w:t xml:space="preserve">pienākums </w:t>
      </w:r>
      <w:r w:rsidR="00FC730B" w:rsidRPr="008471C1">
        <w:rPr>
          <w:sz w:val="26"/>
          <w:szCs w:val="26"/>
        </w:rPr>
        <w:t xml:space="preserve">ministrijām un to padotībā esošajām iestādēm </w:t>
      </w:r>
      <w:r w:rsidR="003F0167" w:rsidRPr="008471C1">
        <w:rPr>
          <w:sz w:val="26"/>
          <w:szCs w:val="26"/>
        </w:rPr>
        <w:t>anulēt izsniegtās atļaujas (licences), ja personai tiks konstatēti pārkāpumi nodarbinātības un nodokļu jomā.</w:t>
      </w:r>
    </w:p>
    <w:p w:rsidR="00C83A9C" w:rsidRPr="008471C1" w:rsidRDefault="00D403AB" w:rsidP="00AB6CB4">
      <w:pPr>
        <w:spacing w:after="120" w:line="240" w:lineRule="auto"/>
        <w:ind w:right="45" w:firstLine="720"/>
        <w:jc w:val="both"/>
        <w:rPr>
          <w:rFonts w:ascii="Times New Roman" w:hAnsi="Times New Roman"/>
          <w:bCs/>
          <w:sz w:val="26"/>
          <w:szCs w:val="26"/>
        </w:rPr>
      </w:pPr>
      <w:r>
        <w:rPr>
          <w:rFonts w:ascii="Times New Roman" w:hAnsi="Times New Roman"/>
          <w:sz w:val="26"/>
          <w:szCs w:val="26"/>
        </w:rPr>
        <w:t xml:space="preserve">Atsevišķos gadījumos </w:t>
      </w:r>
      <w:r>
        <w:rPr>
          <w:rFonts w:ascii="Times New Roman" w:hAnsi="Times New Roman"/>
          <w:bCs/>
          <w:sz w:val="26"/>
          <w:szCs w:val="26"/>
        </w:rPr>
        <w:t xml:space="preserve">nav nepieciešams normatīvajos aktos paredzēt atļaujas (licences) anulēšanas kārtību, </w:t>
      </w:r>
      <w:r w:rsidR="00C83A9C">
        <w:rPr>
          <w:rFonts w:ascii="Times New Roman" w:hAnsi="Times New Roman"/>
          <w:sz w:val="26"/>
          <w:szCs w:val="26"/>
        </w:rPr>
        <w:t xml:space="preserve">jo </w:t>
      </w:r>
      <w:r>
        <w:rPr>
          <w:rFonts w:ascii="Times New Roman" w:hAnsi="Times New Roman"/>
          <w:sz w:val="26"/>
          <w:szCs w:val="26"/>
        </w:rPr>
        <w:t>atļaujas (licences</w:t>
      </w:r>
      <w:r w:rsidR="00C83A9C">
        <w:rPr>
          <w:rFonts w:ascii="Times New Roman" w:hAnsi="Times New Roman"/>
          <w:sz w:val="26"/>
          <w:szCs w:val="26"/>
        </w:rPr>
        <w:t>) tiek izsniegtas kā vienreizējs dokumen</w:t>
      </w:r>
      <w:r w:rsidR="008644DE">
        <w:rPr>
          <w:rFonts w:ascii="Times New Roman" w:hAnsi="Times New Roman"/>
          <w:sz w:val="26"/>
          <w:szCs w:val="26"/>
        </w:rPr>
        <w:t>ts konkrētas darbības veikšanai</w:t>
      </w:r>
      <w:r w:rsidR="007F4594">
        <w:rPr>
          <w:rFonts w:ascii="Times New Roman" w:hAnsi="Times New Roman"/>
          <w:sz w:val="26"/>
          <w:szCs w:val="26"/>
        </w:rPr>
        <w:t xml:space="preserve"> vai arī komersants tiek reģistrēts noteiktas saimnieciskās darbības datu bāzē informatīvos nolūkos</w:t>
      </w:r>
      <w:r w:rsidR="007F4594">
        <w:rPr>
          <w:rFonts w:ascii="Times New Roman" w:hAnsi="Times New Roman"/>
          <w:bCs/>
          <w:sz w:val="26"/>
          <w:szCs w:val="26"/>
        </w:rPr>
        <w:t>.</w:t>
      </w:r>
      <w:r w:rsidR="00813E9B">
        <w:rPr>
          <w:rFonts w:ascii="Times New Roman" w:hAnsi="Times New Roman"/>
          <w:bCs/>
          <w:sz w:val="26"/>
          <w:szCs w:val="26"/>
        </w:rPr>
        <w:t xml:space="preserve"> </w:t>
      </w:r>
      <w:r w:rsidR="00813E9B" w:rsidRPr="008471C1">
        <w:rPr>
          <w:rFonts w:ascii="Times New Roman" w:hAnsi="Times New Roman"/>
          <w:bCs/>
          <w:sz w:val="26"/>
          <w:szCs w:val="26"/>
        </w:rPr>
        <w:t>Tāpat ir atļaujas (licences), kuru izsniegšanu un anulēšanu nosaka Eiropas Komisijas regulas</w:t>
      </w:r>
      <w:r w:rsidR="00D867CB" w:rsidRPr="008471C1">
        <w:rPr>
          <w:rFonts w:ascii="Times New Roman" w:hAnsi="Times New Roman"/>
          <w:bCs/>
          <w:sz w:val="26"/>
          <w:szCs w:val="26"/>
        </w:rPr>
        <w:t xml:space="preserve"> un </w:t>
      </w:r>
      <w:r w:rsidR="00D867CB" w:rsidRPr="008471C1">
        <w:rPr>
          <w:rFonts w:ascii="Times New Roman" w:hAnsi="Times New Roman"/>
          <w:sz w:val="26"/>
          <w:szCs w:val="26"/>
        </w:rPr>
        <w:t>Eiropas Savienības direktīvas, kas neparedz dalībvalsts rīcības brīvību, transponējot nacionālajā tiesību sistēmā šajās regulās vai direktīvās noteiktos atļauju (licenču) izsniegšanas un anulēšanas gadījumus</w:t>
      </w:r>
      <w:r w:rsidR="00813E9B" w:rsidRPr="008471C1">
        <w:rPr>
          <w:rFonts w:ascii="Times New Roman" w:hAnsi="Times New Roman"/>
          <w:bCs/>
          <w:sz w:val="26"/>
          <w:szCs w:val="26"/>
        </w:rPr>
        <w:t>.</w:t>
      </w:r>
      <w:r w:rsidR="00006AA1" w:rsidRPr="008471C1">
        <w:rPr>
          <w:rFonts w:ascii="Times New Roman" w:hAnsi="Times New Roman"/>
          <w:bCs/>
          <w:sz w:val="26"/>
          <w:szCs w:val="26"/>
        </w:rPr>
        <w:t xml:space="preserve"> Informatīvā ziņojuma 3.</w:t>
      </w:r>
      <w:r w:rsidR="00505D6A" w:rsidRPr="008471C1">
        <w:rPr>
          <w:rFonts w:ascii="Times New Roman" w:hAnsi="Times New Roman"/>
          <w:bCs/>
          <w:sz w:val="26"/>
          <w:szCs w:val="26"/>
        </w:rPr>
        <w:t>pielikumā</w:t>
      </w:r>
      <w:r w:rsidR="00006AA1" w:rsidRPr="008471C1">
        <w:rPr>
          <w:rFonts w:ascii="Times New Roman" w:hAnsi="Times New Roman"/>
          <w:bCs/>
          <w:sz w:val="26"/>
          <w:szCs w:val="26"/>
        </w:rPr>
        <w:t xml:space="preserve"> ir norādītas tās ministriju un to padotībā esošo iestāžu izsniegtās atļaujas (licences), kurām nav paredzēta anulēšanas kārtībā, un, ņemot vērā konkrētās atļaujas (licences) specifiku, nav nepieciešams vai nav iespējams normatīvajos aktos paredzēt atļaujas (licences) anulēšanas kārtību.</w:t>
      </w:r>
    </w:p>
    <w:p w:rsidR="00AB6CB4" w:rsidRPr="00002C72" w:rsidRDefault="00002C72" w:rsidP="00002C72">
      <w:pPr>
        <w:pStyle w:val="ListParagraph"/>
        <w:numPr>
          <w:ilvl w:val="1"/>
          <w:numId w:val="6"/>
        </w:numPr>
        <w:spacing w:after="120" w:line="240" w:lineRule="auto"/>
        <w:ind w:left="0" w:right="45" w:firstLine="709"/>
        <w:jc w:val="center"/>
        <w:rPr>
          <w:rFonts w:ascii="Times New Roman" w:hAnsi="Times New Roman"/>
          <w:b/>
          <w:bCs/>
          <w:sz w:val="26"/>
          <w:szCs w:val="26"/>
        </w:rPr>
      </w:pPr>
      <w:r w:rsidRPr="00002C72">
        <w:rPr>
          <w:rFonts w:ascii="Times New Roman" w:hAnsi="Times New Roman"/>
          <w:b/>
          <w:sz w:val="26"/>
          <w:szCs w:val="26"/>
        </w:rPr>
        <w:t>Normatīvie akti, kas regulē sodu sistēmu un paredz atļaujas (licences) anulēšanu visās tautsaimniecības nozarēs par noteikta veida pārkāpumiem</w:t>
      </w:r>
    </w:p>
    <w:p w:rsidR="009A75C1" w:rsidRPr="00813E9B" w:rsidRDefault="000B68AC" w:rsidP="00C9352B">
      <w:pPr>
        <w:spacing w:after="60" w:line="240" w:lineRule="auto"/>
        <w:ind w:right="45" w:firstLine="720"/>
        <w:jc w:val="both"/>
        <w:rPr>
          <w:rFonts w:ascii="Times New Roman" w:hAnsi="Times New Roman"/>
          <w:sz w:val="26"/>
          <w:szCs w:val="26"/>
        </w:rPr>
      </w:pPr>
      <w:r>
        <w:rPr>
          <w:rFonts w:ascii="Times New Roman" w:hAnsi="Times New Roman"/>
          <w:sz w:val="26"/>
          <w:szCs w:val="26"/>
        </w:rPr>
        <w:t>Šī</w:t>
      </w:r>
      <w:r w:rsidR="00813E9B" w:rsidRPr="00813E9B">
        <w:rPr>
          <w:rFonts w:ascii="Times New Roman" w:hAnsi="Times New Roman"/>
          <w:sz w:val="26"/>
          <w:szCs w:val="26"/>
        </w:rPr>
        <w:t xml:space="preserve"> </w:t>
      </w:r>
      <w:r w:rsidR="00813E9B">
        <w:rPr>
          <w:rFonts w:ascii="Times New Roman" w:hAnsi="Times New Roman"/>
          <w:sz w:val="26"/>
          <w:szCs w:val="26"/>
        </w:rPr>
        <w:t xml:space="preserve">kategorija </w:t>
      </w:r>
      <w:r>
        <w:rPr>
          <w:rFonts w:ascii="Times New Roman" w:hAnsi="Times New Roman"/>
          <w:sz w:val="26"/>
          <w:szCs w:val="26"/>
        </w:rPr>
        <w:t xml:space="preserve">iekļauj </w:t>
      </w:r>
      <w:r w:rsidR="00813E9B">
        <w:rPr>
          <w:rFonts w:ascii="Times New Roman" w:hAnsi="Times New Roman"/>
          <w:sz w:val="26"/>
          <w:szCs w:val="26"/>
        </w:rPr>
        <w:t>LAPK, Krimināllikuma un citos normatīvajos aktos noteikt</w:t>
      </w:r>
      <w:r>
        <w:rPr>
          <w:rFonts w:ascii="Times New Roman" w:hAnsi="Times New Roman"/>
          <w:sz w:val="26"/>
          <w:szCs w:val="26"/>
        </w:rPr>
        <w:t>o</w:t>
      </w:r>
      <w:r w:rsidR="00813E9B">
        <w:rPr>
          <w:rFonts w:ascii="Times New Roman" w:hAnsi="Times New Roman"/>
          <w:sz w:val="26"/>
          <w:szCs w:val="26"/>
        </w:rPr>
        <w:t xml:space="preserve"> vispārīg</w:t>
      </w:r>
      <w:r>
        <w:rPr>
          <w:rFonts w:ascii="Times New Roman" w:hAnsi="Times New Roman"/>
          <w:sz w:val="26"/>
          <w:szCs w:val="26"/>
        </w:rPr>
        <w:t>o</w:t>
      </w:r>
      <w:r w:rsidR="00813E9B">
        <w:rPr>
          <w:rFonts w:ascii="Times New Roman" w:hAnsi="Times New Roman"/>
          <w:sz w:val="26"/>
          <w:szCs w:val="26"/>
        </w:rPr>
        <w:t xml:space="preserve"> regulējum</w:t>
      </w:r>
      <w:r>
        <w:rPr>
          <w:rFonts w:ascii="Times New Roman" w:hAnsi="Times New Roman"/>
          <w:sz w:val="26"/>
          <w:szCs w:val="26"/>
        </w:rPr>
        <w:t>u, kas attiecināms uz atļaujām (licencēm) visās tautsaimniecības nozarēs un paredz</w:t>
      </w:r>
      <w:r w:rsidR="00813E9B">
        <w:rPr>
          <w:rFonts w:ascii="Times New Roman" w:hAnsi="Times New Roman"/>
          <w:sz w:val="26"/>
          <w:szCs w:val="26"/>
        </w:rPr>
        <w:t xml:space="preserve"> apturēt visu veidu vai noteikta veida uzņēmējdarbību.</w:t>
      </w:r>
    </w:p>
    <w:p w:rsidR="00F46068" w:rsidRPr="008471C1" w:rsidRDefault="002F76AF" w:rsidP="00F4606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Saskaņā ar Krimināllikuma 36.pant</w:t>
      </w:r>
      <w:r w:rsidR="000B2275">
        <w:rPr>
          <w:rFonts w:ascii="Times New Roman" w:hAnsi="Times New Roman" w:cs="Times New Roman"/>
          <w:sz w:val="26"/>
          <w:szCs w:val="26"/>
        </w:rPr>
        <w:t>a</w:t>
      </w:r>
      <w:r>
        <w:rPr>
          <w:rFonts w:ascii="Times New Roman" w:hAnsi="Times New Roman" w:cs="Times New Roman"/>
          <w:sz w:val="26"/>
          <w:szCs w:val="26"/>
        </w:rPr>
        <w:t xml:space="preserve"> </w:t>
      </w:r>
      <w:r w:rsidR="000B2275" w:rsidRPr="000B2275">
        <w:rPr>
          <w:rFonts w:ascii="Times New Roman" w:hAnsi="Times New Roman" w:cs="Times New Roman"/>
          <w:sz w:val="26"/>
          <w:szCs w:val="26"/>
          <w:lang w:eastAsia="lv-LV"/>
        </w:rPr>
        <w:t>otrās daļas 4.punktu</w:t>
      </w:r>
      <w:r w:rsidR="000B2275">
        <w:rPr>
          <w:rFonts w:ascii="Times New Roman" w:hAnsi="Times New Roman" w:cs="Times New Roman"/>
          <w:sz w:val="26"/>
          <w:szCs w:val="26"/>
        </w:rPr>
        <w:t xml:space="preserve"> </w:t>
      </w:r>
      <w:r>
        <w:rPr>
          <w:rFonts w:ascii="Times New Roman" w:hAnsi="Times New Roman" w:cs="Times New Roman"/>
          <w:sz w:val="26"/>
          <w:szCs w:val="26"/>
        </w:rPr>
        <w:t>personai, kura izdarījusi noziedzīgu nodarījumu, kā vienu no soda mēriem</w:t>
      </w:r>
      <w:r w:rsidR="000B68AC">
        <w:rPr>
          <w:rFonts w:ascii="Times New Roman" w:hAnsi="Times New Roman" w:cs="Times New Roman"/>
          <w:sz w:val="26"/>
          <w:szCs w:val="26"/>
        </w:rPr>
        <w:t>,</w:t>
      </w:r>
      <w:r>
        <w:rPr>
          <w:rFonts w:ascii="Times New Roman" w:hAnsi="Times New Roman" w:cs="Times New Roman"/>
          <w:sz w:val="26"/>
          <w:szCs w:val="26"/>
        </w:rPr>
        <w:t xml:space="preserve"> </w:t>
      </w:r>
      <w:r w:rsidR="000B68AC">
        <w:rPr>
          <w:rFonts w:ascii="Times New Roman" w:hAnsi="Times New Roman" w:cs="Times New Roman"/>
          <w:sz w:val="26"/>
          <w:szCs w:val="26"/>
        </w:rPr>
        <w:t xml:space="preserve">kuru var piespriest tiesa vai likumā paredzētajos gadījumos nosaka prokurors, ir </w:t>
      </w:r>
      <w:r>
        <w:rPr>
          <w:rFonts w:ascii="Times New Roman" w:hAnsi="Times New Roman" w:cs="Times New Roman"/>
          <w:sz w:val="26"/>
          <w:szCs w:val="26"/>
        </w:rPr>
        <w:t>tiesību ierobežošan</w:t>
      </w:r>
      <w:r w:rsidR="000B68AC">
        <w:rPr>
          <w:rFonts w:ascii="Times New Roman" w:hAnsi="Times New Roman" w:cs="Times New Roman"/>
          <w:sz w:val="26"/>
          <w:szCs w:val="26"/>
        </w:rPr>
        <w:t>a</w:t>
      </w:r>
      <w:r>
        <w:rPr>
          <w:rFonts w:ascii="Times New Roman" w:hAnsi="Times New Roman" w:cs="Times New Roman"/>
          <w:sz w:val="26"/>
          <w:szCs w:val="26"/>
        </w:rPr>
        <w:t xml:space="preserve"> - </w:t>
      </w:r>
      <w:r w:rsidRPr="002F76AF">
        <w:rPr>
          <w:rFonts w:ascii="Times New Roman" w:hAnsi="Times New Roman" w:cs="Times New Roman"/>
          <w:sz w:val="26"/>
          <w:szCs w:val="26"/>
        </w:rPr>
        <w:t>tiesību atņemšan</w:t>
      </w:r>
      <w:r w:rsidR="000B68AC">
        <w:rPr>
          <w:rFonts w:ascii="Times New Roman" w:hAnsi="Times New Roman" w:cs="Times New Roman"/>
          <w:sz w:val="26"/>
          <w:szCs w:val="26"/>
        </w:rPr>
        <w:t>a</w:t>
      </w:r>
      <w:r w:rsidRPr="002F76AF">
        <w:rPr>
          <w:rFonts w:ascii="Times New Roman" w:hAnsi="Times New Roman" w:cs="Times New Roman"/>
          <w:sz w:val="26"/>
          <w:szCs w:val="26"/>
        </w:rPr>
        <w:t xml:space="preserve"> uz noteiktu vai visu veidu uzņēmējdarbību, uz noteiktu profesionālu vai cita veida nodarbošanos, uz noteiktu amatu ieņemšanu vai </w:t>
      </w:r>
      <w:r w:rsidR="00B147D1">
        <w:rPr>
          <w:rFonts w:ascii="Times New Roman" w:hAnsi="Times New Roman" w:cs="Times New Roman"/>
          <w:sz w:val="26"/>
          <w:szCs w:val="26"/>
        </w:rPr>
        <w:t xml:space="preserve">iegūt </w:t>
      </w:r>
      <w:r w:rsidRPr="002F76AF">
        <w:rPr>
          <w:rFonts w:ascii="Times New Roman" w:hAnsi="Times New Roman" w:cs="Times New Roman"/>
          <w:sz w:val="26"/>
          <w:szCs w:val="26"/>
        </w:rPr>
        <w:t>speciālā likumā paredzēt</w:t>
      </w:r>
      <w:r w:rsidR="00B147D1">
        <w:rPr>
          <w:rFonts w:ascii="Times New Roman" w:hAnsi="Times New Roman" w:cs="Times New Roman"/>
          <w:sz w:val="26"/>
          <w:szCs w:val="26"/>
        </w:rPr>
        <w:t>ās atļaujas vai tiesības</w:t>
      </w:r>
      <w:r w:rsidR="00B147D1" w:rsidRPr="002F76AF">
        <w:rPr>
          <w:rFonts w:ascii="Times New Roman" w:hAnsi="Times New Roman" w:cs="Times New Roman"/>
          <w:sz w:val="26"/>
          <w:szCs w:val="26"/>
        </w:rPr>
        <w:t>, ko likumā noteiktajā kārtībā izsniedz vai piešķir valsts, pašvaldību vai citas tam pilnvarotas institūcijas.</w:t>
      </w:r>
      <w:r w:rsidR="00B147D1">
        <w:rPr>
          <w:rFonts w:ascii="Times New Roman" w:hAnsi="Times New Roman" w:cs="Times New Roman"/>
          <w:sz w:val="26"/>
          <w:szCs w:val="26"/>
        </w:rPr>
        <w:t xml:space="preserve"> Tiesību ierobežošana piemērojama kā papildsods. Krimināllikuma 44.panta trešajā daļā noteikts, ka </w:t>
      </w:r>
      <w:r w:rsidR="00B147D1" w:rsidRPr="00B147D1">
        <w:rPr>
          <w:rFonts w:ascii="Times New Roman" w:hAnsi="Times New Roman" w:cs="Times New Roman"/>
          <w:sz w:val="26"/>
          <w:szCs w:val="26"/>
        </w:rPr>
        <w:t xml:space="preserve">tiesību ierobežošanu tiesa var noteikt arī gadījumos, kad šis sods nav paredzēts šā </w:t>
      </w:r>
      <w:r w:rsidR="00B147D1">
        <w:rPr>
          <w:rFonts w:ascii="Times New Roman" w:hAnsi="Times New Roman" w:cs="Times New Roman"/>
          <w:sz w:val="26"/>
          <w:szCs w:val="26"/>
        </w:rPr>
        <w:t>Krimināl</w:t>
      </w:r>
      <w:r w:rsidR="00B147D1" w:rsidRPr="00B147D1">
        <w:rPr>
          <w:rFonts w:ascii="Times New Roman" w:hAnsi="Times New Roman" w:cs="Times New Roman"/>
          <w:sz w:val="26"/>
          <w:szCs w:val="26"/>
        </w:rPr>
        <w:t>likuma sevišķās daļas pantos, ja noziedzīgais nodarījums tieši saistīts ar vainīgā uzņēmējdarbību vai nodarbošanos vai izdarīts, ļaunprātīgi izmantojot viņam izsniegto speciālo atļauju vai piešķirtās tiesības.</w:t>
      </w:r>
      <w:r w:rsidR="00F46068">
        <w:rPr>
          <w:rFonts w:ascii="Times New Roman" w:hAnsi="Times New Roman" w:cs="Times New Roman"/>
          <w:sz w:val="26"/>
          <w:szCs w:val="26"/>
        </w:rPr>
        <w:t xml:space="preserve"> </w:t>
      </w:r>
      <w:r w:rsidR="000B2275" w:rsidRPr="008471C1">
        <w:rPr>
          <w:rFonts w:ascii="Times New Roman" w:hAnsi="Times New Roman" w:cs="Times New Roman"/>
          <w:sz w:val="26"/>
          <w:szCs w:val="26"/>
          <w:lang w:eastAsia="lv-LV"/>
        </w:rPr>
        <w:t>Krimināllikums paredz piemērot papildsodu – tiesību atņemšana uz visa veida uzņēmējdarbību par šādiem noziedzīgiem nodarījumiem</w:t>
      </w:r>
      <w:r w:rsidR="000B2275" w:rsidRPr="008471C1">
        <w:rPr>
          <w:rFonts w:ascii="Times New Roman" w:hAnsi="Times New Roman" w:cs="Times New Roman"/>
          <w:sz w:val="26"/>
          <w:szCs w:val="26"/>
        </w:rPr>
        <w:t>:</w:t>
      </w:r>
    </w:p>
    <w:p w:rsidR="00F46068" w:rsidRPr="008471C1" w:rsidRDefault="00F46068" w:rsidP="00F46068">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t>1) nepatiesu datu vai ziņu izplatīšana par Latvijas Republikas finanšu sistēmas stāvokli</w:t>
      </w:r>
      <w:r w:rsidR="00D61C70" w:rsidRPr="008471C1">
        <w:rPr>
          <w:rFonts w:ascii="Times New Roman" w:hAnsi="Times New Roman" w:cs="Times New Roman"/>
          <w:bCs/>
          <w:sz w:val="26"/>
          <w:szCs w:val="26"/>
        </w:rPr>
        <w:t xml:space="preserve"> (</w:t>
      </w:r>
      <w:r w:rsidR="000172AF" w:rsidRPr="008471C1">
        <w:rPr>
          <w:rFonts w:ascii="Times New Roman" w:hAnsi="Times New Roman" w:cs="Times New Roman"/>
          <w:bCs/>
          <w:sz w:val="26"/>
          <w:szCs w:val="26"/>
        </w:rPr>
        <w:t>Krimināllikuma 194.</w:t>
      </w:r>
      <w:r w:rsidR="000172AF" w:rsidRPr="008471C1">
        <w:rPr>
          <w:rFonts w:ascii="Times New Roman" w:hAnsi="Times New Roman" w:cs="Times New Roman"/>
          <w:bCs/>
          <w:sz w:val="26"/>
          <w:szCs w:val="26"/>
          <w:vertAlign w:val="superscript"/>
        </w:rPr>
        <w:t>1</w:t>
      </w:r>
      <w:r w:rsidR="000172AF" w:rsidRPr="008471C1">
        <w:rPr>
          <w:rFonts w:ascii="Times New Roman" w:hAnsi="Times New Roman" w:cs="Times New Roman"/>
          <w:bCs/>
          <w:sz w:val="26"/>
          <w:szCs w:val="26"/>
        </w:rPr>
        <w:t>panta trešā daļa</w:t>
      </w:r>
      <w:r w:rsidR="00560F9D" w:rsidRPr="008471C1">
        <w:rPr>
          <w:rFonts w:ascii="Times New Roman" w:hAnsi="Times New Roman" w:cs="Times New Roman"/>
          <w:bCs/>
          <w:sz w:val="26"/>
          <w:szCs w:val="26"/>
        </w:rPr>
        <w:t>)</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2) preču zīmes, citas atšķirības zīmes un dizainparauga nelikumīga izmantošana</w:t>
      </w:r>
      <w:r w:rsidR="00560F9D" w:rsidRPr="008471C1">
        <w:rPr>
          <w:rFonts w:ascii="Times New Roman" w:hAnsi="Times New Roman" w:cs="Times New Roman"/>
          <w:bCs/>
          <w:sz w:val="26"/>
          <w:szCs w:val="26"/>
        </w:rPr>
        <w:t xml:space="preserve"> (Krimināllikuma </w:t>
      </w:r>
      <w:r w:rsidR="00560F9D" w:rsidRPr="008471C1">
        <w:rPr>
          <w:rFonts w:ascii="Times New Roman" w:eastAsia="Calibri" w:hAnsi="Times New Roman" w:cs="Times New Roman"/>
          <w:bCs/>
          <w:sz w:val="26"/>
          <w:szCs w:val="26"/>
        </w:rPr>
        <w:t>206.panta otrā daļa</w:t>
      </w:r>
      <w:r w:rsidR="00560F9D" w:rsidRPr="008471C1">
        <w:rPr>
          <w:rFonts w:ascii="Times New Roman" w:hAnsi="Times New Roman" w:cs="Times New Roman"/>
          <w:bCs/>
          <w:sz w:val="26"/>
          <w:szCs w:val="26"/>
        </w:rPr>
        <w:t>)</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3) uzņēmējdarbība bez reģistrēšanas un bez atļaujas (licences)</w:t>
      </w:r>
      <w:r w:rsidR="00560F9D" w:rsidRPr="008471C1">
        <w:rPr>
          <w:rFonts w:ascii="Times New Roman" w:hAnsi="Times New Roman" w:cs="Times New Roman"/>
          <w:bCs/>
          <w:sz w:val="26"/>
          <w:szCs w:val="26"/>
        </w:rPr>
        <w:t xml:space="preserve"> (Krimināllikuma 207.pants)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lastRenderedPageBreak/>
        <w:t>4) aizliegta uzņēmējdarbība</w:t>
      </w:r>
      <w:r w:rsidR="00560F9D" w:rsidRPr="008471C1">
        <w:rPr>
          <w:rFonts w:ascii="Times New Roman" w:hAnsi="Times New Roman" w:cs="Times New Roman"/>
          <w:bCs/>
          <w:sz w:val="26"/>
          <w:szCs w:val="26"/>
        </w:rPr>
        <w:t xml:space="preserve"> </w:t>
      </w:r>
      <w:r w:rsidR="008D401E" w:rsidRPr="008471C1">
        <w:rPr>
          <w:rFonts w:ascii="Times New Roman" w:hAnsi="Times New Roman" w:cs="Times New Roman"/>
          <w:bCs/>
          <w:sz w:val="26"/>
          <w:szCs w:val="26"/>
        </w:rPr>
        <w:t>(</w:t>
      </w:r>
      <w:r w:rsidR="00560F9D" w:rsidRPr="008471C1">
        <w:rPr>
          <w:rFonts w:ascii="Times New Roman" w:hAnsi="Times New Roman" w:cs="Times New Roman"/>
          <w:bCs/>
          <w:sz w:val="26"/>
          <w:szCs w:val="26"/>
        </w:rPr>
        <w:t>Krimināllikuma 208.pants)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5) kredīta un citu aizdevumu negodprātīga saņemšana un izmantošana</w:t>
      </w:r>
      <w:r w:rsidR="00560F9D" w:rsidRPr="008471C1">
        <w:rPr>
          <w:rFonts w:ascii="Times New Roman" w:hAnsi="Times New Roman" w:cs="Times New Roman"/>
          <w:bCs/>
          <w:sz w:val="26"/>
          <w:szCs w:val="26"/>
        </w:rPr>
        <w:t xml:space="preserve"> (Krimināllikuma 210.pants)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 xml:space="preserve">6) negodīga konkurence, maldinoša reklāma un negodīga </w:t>
      </w:r>
      <w:proofErr w:type="spellStart"/>
      <w:r w:rsidRPr="008471C1">
        <w:rPr>
          <w:rFonts w:ascii="Times New Roman" w:hAnsi="Times New Roman" w:cs="Times New Roman"/>
          <w:bCs/>
          <w:sz w:val="26"/>
          <w:szCs w:val="26"/>
        </w:rPr>
        <w:t>komercprakse</w:t>
      </w:r>
      <w:proofErr w:type="spellEnd"/>
      <w:r w:rsidR="008D401E" w:rsidRPr="008471C1">
        <w:rPr>
          <w:rFonts w:ascii="Times New Roman" w:hAnsi="Times New Roman" w:cs="Times New Roman"/>
          <w:bCs/>
          <w:sz w:val="26"/>
          <w:szCs w:val="26"/>
        </w:rPr>
        <w:t xml:space="preserve"> </w:t>
      </w:r>
      <w:r w:rsidR="00560F9D" w:rsidRPr="008471C1">
        <w:rPr>
          <w:rFonts w:ascii="Times New Roman" w:hAnsi="Times New Roman" w:cs="Times New Roman"/>
          <w:bCs/>
          <w:sz w:val="26"/>
          <w:szCs w:val="26"/>
        </w:rPr>
        <w:t>(Krimināllikuma 211.pants)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t>7) konkurences aizsardzības institūcijas prasību nepildīšana</w:t>
      </w:r>
      <w:r w:rsidR="00560F9D" w:rsidRPr="008471C1">
        <w:rPr>
          <w:rFonts w:ascii="Times New Roman" w:hAnsi="Times New Roman" w:cs="Times New Roman"/>
          <w:bCs/>
          <w:sz w:val="26"/>
          <w:szCs w:val="26"/>
        </w:rPr>
        <w:t xml:space="preserve"> (Krimināllikuma 212.pants)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t>8) novešana līdz maksātnespējai</w:t>
      </w:r>
      <w:r w:rsidR="00560F9D" w:rsidRPr="008471C1">
        <w:rPr>
          <w:rFonts w:ascii="Times New Roman" w:hAnsi="Times New Roman" w:cs="Times New Roman"/>
          <w:bCs/>
          <w:sz w:val="26"/>
          <w:szCs w:val="26"/>
        </w:rPr>
        <w:t xml:space="preserve"> (Krimināllikuma 213.pants)</w:t>
      </w:r>
      <w:r w:rsidRPr="008471C1">
        <w:rPr>
          <w:rFonts w:ascii="Times New Roman" w:hAnsi="Times New Roman" w:cs="Times New Roman"/>
          <w:bCs/>
          <w:sz w:val="26"/>
          <w:szCs w:val="26"/>
        </w:rPr>
        <w:t>;</w:t>
      </w:r>
    </w:p>
    <w:p w:rsidR="00F46068" w:rsidRPr="008471C1" w:rsidRDefault="00F46068" w:rsidP="000B68AC">
      <w:pPr>
        <w:spacing w:after="0" w:line="240" w:lineRule="auto"/>
        <w:ind w:left="993" w:hanging="284"/>
        <w:jc w:val="both"/>
        <w:rPr>
          <w:rFonts w:ascii="Times New Roman" w:hAnsi="Times New Roman" w:cs="Times New Roman"/>
          <w:bCs/>
          <w:sz w:val="26"/>
          <w:szCs w:val="26"/>
        </w:rPr>
      </w:pPr>
      <w:r w:rsidRPr="008471C1">
        <w:rPr>
          <w:rFonts w:ascii="Times New Roman" w:hAnsi="Times New Roman" w:cs="Times New Roman"/>
          <w:bCs/>
          <w:sz w:val="26"/>
          <w:szCs w:val="26"/>
        </w:rPr>
        <w:t>9) maksātnespējas procesa pieteikuma neiesniegšana un nepatiesa pieteikuma iesniegšana</w:t>
      </w:r>
      <w:r w:rsidR="00560F9D" w:rsidRPr="008471C1">
        <w:rPr>
          <w:rFonts w:ascii="Times New Roman" w:hAnsi="Times New Roman" w:cs="Times New Roman"/>
          <w:bCs/>
          <w:sz w:val="26"/>
          <w:szCs w:val="26"/>
        </w:rPr>
        <w:t xml:space="preserve"> (Krimināllikuma 214.pants)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t>10) maksātnespējas procesa noteikumu pārkāpšana</w:t>
      </w:r>
      <w:r w:rsidR="00560F9D" w:rsidRPr="008471C1">
        <w:rPr>
          <w:rFonts w:ascii="Times New Roman" w:hAnsi="Times New Roman" w:cs="Times New Roman"/>
          <w:bCs/>
          <w:sz w:val="26"/>
          <w:szCs w:val="26"/>
        </w:rPr>
        <w:t xml:space="preserve"> (Krimināllikuma 215.pants)</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11) tiesiskās aizsardzības procesa noteikumu pārkāpšana</w:t>
      </w:r>
      <w:r w:rsidR="00560F9D" w:rsidRPr="008471C1">
        <w:rPr>
          <w:rFonts w:ascii="Times New Roman" w:hAnsi="Times New Roman" w:cs="Times New Roman"/>
          <w:bCs/>
          <w:sz w:val="26"/>
          <w:szCs w:val="26"/>
        </w:rPr>
        <w:t xml:space="preserve"> (Krimināllikuma </w:t>
      </w:r>
      <w:r w:rsidR="00560F9D" w:rsidRPr="008471C1">
        <w:rPr>
          <w:rFonts w:ascii="Times New Roman" w:eastAsia="Calibri" w:hAnsi="Times New Roman" w:cs="Times New Roman"/>
          <w:bCs/>
          <w:sz w:val="26"/>
          <w:szCs w:val="26"/>
        </w:rPr>
        <w:t>215.</w:t>
      </w:r>
      <w:r w:rsidR="00560F9D" w:rsidRPr="008471C1">
        <w:rPr>
          <w:rFonts w:ascii="Times New Roman" w:eastAsia="Calibri" w:hAnsi="Times New Roman" w:cs="Times New Roman"/>
          <w:bCs/>
          <w:sz w:val="26"/>
          <w:szCs w:val="26"/>
          <w:vertAlign w:val="superscript"/>
        </w:rPr>
        <w:t>1</w:t>
      </w:r>
      <w:r w:rsidR="00560F9D" w:rsidRPr="008471C1">
        <w:rPr>
          <w:rFonts w:ascii="Times New Roman" w:eastAsia="Calibri" w:hAnsi="Times New Roman" w:cs="Times New Roman"/>
          <w:bCs/>
          <w:sz w:val="26"/>
          <w:szCs w:val="26"/>
        </w:rPr>
        <w:t> pants</w:t>
      </w:r>
      <w:r w:rsidR="00560F9D" w:rsidRPr="008471C1">
        <w:rPr>
          <w:rFonts w:ascii="Times New Roman" w:hAnsi="Times New Roman" w:cs="Times New Roman"/>
          <w:bCs/>
          <w:sz w:val="26"/>
          <w:szCs w:val="26"/>
        </w:rPr>
        <w:t>)</w:t>
      </w:r>
      <w:r w:rsidRPr="008471C1">
        <w:rPr>
          <w:rFonts w:ascii="Times New Roman" w:hAnsi="Times New Roman" w:cs="Times New Roman"/>
          <w:bCs/>
          <w:sz w:val="26"/>
          <w:szCs w:val="26"/>
        </w:rPr>
        <w:t>;</w:t>
      </w:r>
    </w:p>
    <w:p w:rsidR="00F46068" w:rsidRPr="008471C1" w:rsidRDefault="00F46068" w:rsidP="00F46068">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12) ieķīlātas lietas prettiesisks atsavinājums</w:t>
      </w:r>
      <w:r w:rsidR="00560F9D" w:rsidRPr="008471C1">
        <w:rPr>
          <w:rFonts w:ascii="Times New Roman" w:hAnsi="Times New Roman" w:cs="Times New Roman"/>
          <w:bCs/>
          <w:sz w:val="26"/>
          <w:szCs w:val="26"/>
        </w:rPr>
        <w:t xml:space="preserve"> (Krimināllikuma 216.pants)</w:t>
      </w:r>
      <w:r w:rsidRPr="008471C1">
        <w:rPr>
          <w:rFonts w:ascii="Times New Roman" w:hAnsi="Times New Roman" w:cs="Times New Roman"/>
          <w:bCs/>
          <w:sz w:val="26"/>
          <w:szCs w:val="26"/>
        </w:rPr>
        <w:t>;</w:t>
      </w:r>
    </w:p>
    <w:p w:rsidR="002F76AF" w:rsidRPr="008471C1" w:rsidRDefault="00645D73" w:rsidP="00E27CB7">
      <w:pPr>
        <w:spacing w:after="60" w:line="240" w:lineRule="auto"/>
        <w:ind w:left="1134" w:hanging="414"/>
        <w:jc w:val="both"/>
        <w:rPr>
          <w:rFonts w:ascii="Times New Roman" w:hAnsi="Times New Roman" w:cs="Times New Roman"/>
          <w:bCs/>
          <w:sz w:val="26"/>
          <w:szCs w:val="26"/>
        </w:rPr>
      </w:pPr>
      <w:r>
        <w:rPr>
          <w:rFonts w:ascii="Times New Roman" w:hAnsi="Times New Roman" w:cs="Times New Roman"/>
          <w:bCs/>
          <w:sz w:val="26"/>
          <w:szCs w:val="26"/>
        </w:rPr>
        <w:t>13)</w:t>
      </w:r>
      <w:r w:rsidR="00F46068" w:rsidRPr="00F46068">
        <w:rPr>
          <w:rFonts w:ascii="Times New Roman" w:hAnsi="Times New Roman" w:cs="Times New Roman"/>
          <w:bCs/>
          <w:sz w:val="26"/>
          <w:szCs w:val="26"/>
        </w:rPr>
        <w:t xml:space="preserve"> </w:t>
      </w:r>
      <w:r>
        <w:rPr>
          <w:rFonts w:ascii="Times New Roman" w:hAnsi="Times New Roman" w:cs="Times New Roman"/>
          <w:bCs/>
          <w:sz w:val="26"/>
          <w:szCs w:val="26"/>
        </w:rPr>
        <w:t>i</w:t>
      </w:r>
      <w:r w:rsidR="00F46068" w:rsidRPr="00F46068">
        <w:rPr>
          <w:rFonts w:ascii="Times New Roman" w:hAnsi="Times New Roman" w:cs="Times New Roman"/>
          <w:bCs/>
          <w:sz w:val="26"/>
          <w:szCs w:val="26"/>
        </w:rPr>
        <w:t xml:space="preserve">zvairīšanās no nodokļu un tiem pielīdzināto maksājumu nomaksas </w:t>
      </w:r>
      <w:r w:rsidR="00560F9D" w:rsidRPr="008471C1">
        <w:rPr>
          <w:rFonts w:ascii="Times New Roman" w:hAnsi="Times New Roman" w:cs="Times New Roman"/>
          <w:bCs/>
          <w:sz w:val="26"/>
          <w:szCs w:val="26"/>
        </w:rPr>
        <w:t>(Krimināllikuma 218.pants)</w:t>
      </w:r>
      <w:r w:rsidR="00F46068" w:rsidRPr="008471C1">
        <w:rPr>
          <w:rFonts w:ascii="Times New Roman" w:hAnsi="Times New Roman" w:cs="Times New Roman"/>
          <w:bCs/>
          <w:sz w:val="26"/>
          <w:szCs w:val="26"/>
        </w:rPr>
        <w:t>.</w:t>
      </w:r>
    </w:p>
    <w:p w:rsidR="00645D73" w:rsidRPr="008471C1" w:rsidRDefault="00645D73" w:rsidP="00645D73">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sz w:val="26"/>
          <w:szCs w:val="26"/>
        </w:rPr>
        <w:t xml:space="preserve">Savukārt </w:t>
      </w:r>
      <w:r w:rsidR="0053049B" w:rsidRPr="008471C1">
        <w:rPr>
          <w:rFonts w:ascii="Times New Roman" w:hAnsi="Times New Roman" w:cs="Times New Roman"/>
          <w:sz w:val="26"/>
          <w:szCs w:val="26"/>
        </w:rPr>
        <w:t>Krimināllikumā paredzēto papildsodu</w:t>
      </w:r>
      <w:r w:rsidRPr="008471C1">
        <w:rPr>
          <w:rFonts w:ascii="Times New Roman" w:hAnsi="Times New Roman" w:cs="Times New Roman"/>
          <w:sz w:val="26"/>
          <w:szCs w:val="26"/>
        </w:rPr>
        <w:t xml:space="preserve"> „tiesību atņemšana uz noteiktu veidu uzņēmējdarbību” </w:t>
      </w:r>
      <w:r w:rsidR="0053049B" w:rsidRPr="008471C1">
        <w:rPr>
          <w:rFonts w:ascii="Times New Roman" w:hAnsi="Times New Roman" w:cs="Times New Roman"/>
          <w:sz w:val="26"/>
          <w:szCs w:val="26"/>
        </w:rPr>
        <w:t xml:space="preserve">paredz </w:t>
      </w:r>
      <w:r w:rsidRPr="008471C1">
        <w:rPr>
          <w:rFonts w:ascii="Times New Roman" w:hAnsi="Times New Roman" w:cs="Times New Roman"/>
          <w:sz w:val="26"/>
          <w:szCs w:val="26"/>
        </w:rPr>
        <w:t>piemēro</w:t>
      </w:r>
      <w:r w:rsidR="0053049B" w:rsidRPr="008471C1">
        <w:rPr>
          <w:rFonts w:ascii="Times New Roman" w:hAnsi="Times New Roman" w:cs="Times New Roman"/>
          <w:sz w:val="26"/>
          <w:szCs w:val="26"/>
        </w:rPr>
        <w:t>t</w:t>
      </w:r>
      <w:r w:rsidRPr="008471C1">
        <w:rPr>
          <w:rFonts w:ascii="Times New Roman" w:hAnsi="Times New Roman" w:cs="Times New Roman"/>
          <w:sz w:val="26"/>
          <w:szCs w:val="26"/>
        </w:rPr>
        <w:t xml:space="preserve"> šādu noziedzīgo nodarījumu izdarīšanas gadījumā:</w:t>
      </w:r>
    </w:p>
    <w:p w:rsidR="00645D73" w:rsidRPr="008471C1" w:rsidRDefault="00645D73" w:rsidP="00645D73">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t>1) neatļauta labumu pieņemšana</w:t>
      </w:r>
      <w:r w:rsidR="00560F9D" w:rsidRPr="008471C1">
        <w:rPr>
          <w:rFonts w:ascii="Times New Roman" w:hAnsi="Times New Roman" w:cs="Times New Roman"/>
          <w:bCs/>
          <w:sz w:val="26"/>
          <w:szCs w:val="26"/>
        </w:rPr>
        <w:t xml:space="preserve"> (Krimināllikuma </w:t>
      </w:r>
      <w:r w:rsidR="00560F9D" w:rsidRPr="008471C1">
        <w:rPr>
          <w:rFonts w:ascii="Times New Roman" w:eastAsia="Calibri" w:hAnsi="Times New Roman" w:cs="Times New Roman"/>
          <w:bCs/>
          <w:sz w:val="26"/>
          <w:szCs w:val="26"/>
        </w:rPr>
        <w:t>198.panta otrā, trešā un ceturtā daļa</w:t>
      </w:r>
      <w:r w:rsidR="00560F9D" w:rsidRPr="008471C1">
        <w:rPr>
          <w:rFonts w:ascii="Times New Roman" w:hAnsi="Times New Roman" w:cs="Times New Roman"/>
          <w:bCs/>
          <w:sz w:val="26"/>
          <w:szCs w:val="26"/>
        </w:rPr>
        <w:t>)</w:t>
      </w:r>
      <w:r w:rsidRPr="008471C1">
        <w:rPr>
          <w:rFonts w:ascii="Times New Roman" w:hAnsi="Times New Roman" w:cs="Times New Roman"/>
          <w:bCs/>
          <w:sz w:val="26"/>
          <w:szCs w:val="26"/>
        </w:rPr>
        <w:t>;</w:t>
      </w:r>
    </w:p>
    <w:p w:rsidR="00645D73" w:rsidRPr="008471C1" w:rsidRDefault="00645D73" w:rsidP="00645D73">
      <w:pPr>
        <w:spacing w:after="0" w:line="240" w:lineRule="auto"/>
        <w:ind w:firstLine="720"/>
        <w:jc w:val="both"/>
        <w:rPr>
          <w:rFonts w:ascii="Times New Roman" w:hAnsi="Times New Roman" w:cs="Times New Roman"/>
          <w:bCs/>
          <w:sz w:val="26"/>
          <w:szCs w:val="26"/>
        </w:rPr>
      </w:pPr>
      <w:r w:rsidRPr="008471C1">
        <w:rPr>
          <w:rFonts w:ascii="Times New Roman" w:hAnsi="Times New Roman" w:cs="Times New Roman"/>
          <w:bCs/>
          <w:sz w:val="26"/>
          <w:szCs w:val="26"/>
        </w:rPr>
        <w:t>2) preces un pakalpojuma kvalitātes nenodrošināšana</w:t>
      </w:r>
      <w:r w:rsidR="00560F9D" w:rsidRPr="008471C1">
        <w:rPr>
          <w:rFonts w:ascii="Times New Roman" w:hAnsi="Times New Roman" w:cs="Times New Roman"/>
          <w:bCs/>
          <w:sz w:val="26"/>
          <w:szCs w:val="26"/>
        </w:rPr>
        <w:t xml:space="preserve"> (Krimināllikuma 202.pants)</w:t>
      </w:r>
      <w:r w:rsidRPr="008471C1">
        <w:rPr>
          <w:rFonts w:ascii="Times New Roman" w:hAnsi="Times New Roman" w:cs="Times New Roman"/>
          <w:bCs/>
          <w:sz w:val="26"/>
          <w:szCs w:val="26"/>
        </w:rPr>
        <w:t>;</w:t>
      </w:r>
    </w:p>
    <w:p w:rsidR="00645D73" w:rsidRPr="008471C1" w:rsidRDefault="00645D73" w:rsidP="00645D73">
      <w:pPr>
        <w:spacing w:after="0" w:line="240" w:lineRule="auto"/>
        <w:ind w:firstLine="720"/>
        <w:jc w:val="both"/>
        <w:rPr>
          <w:rFonts w:ascii="Times New Roman" w:hAnsi="Times New Roman" w:cs="Times New Roman"/>
          <w:sz w:val="26"/>
          <w:szCs w:val="26"/>
        </w:rPr>
      </w:pPr>
      <w:r w:rsidRPr="008471C1">
        <w:rPr>
          <w:rFonts w:ascii="Times New Roman" w:hAnsi="Times New Roman" w:cs="Times New Roman"/>
          <w:bCs/>
          <w:sz w:val="26"/>
          <w:szCs w:val="26"/>
        </w:rPr>
        <w:t>3) preces un pakalpojuma drošuma prasību neievērošana</w:t>
      </w:r>
      <w:r w:rsidR="00560F9D" w:rsidRPr="008471C1">
        <w:rPr>
          <w:rFonts w:ascii="Times New Roman" w:hAnsi="Times New Roman" w:cs="Times New Roman"/>
          <w:bCs/>
          <w:sz w:val="26"/>
          <w:szCs w:val="26"/>
        </w:rPr>
        <w:t xml:space="preserve"> (Krimināllikuma 203.pants)</w:t>
      </w:r>
      <w:r w:rsidRPr="008471C1">
        <w:rPr>
          <w:rFonts w:ascii="Times New Roman" w:hAnsi="Times New Roman" w:cs="Times New Roman"/>
          <w:bCs/>
          <w:sz w:val="26"/>
          <w:szCs w:val="26"/>
        </w:rPr>
        <w:t>;</w:t>
      </w:r>
    </w:p>
    <w:p w:rsidR="00645D73" w:rsidRPr="008471C1" w:rsidRDefault="00645D73" w:rsidP="000B68AC">
      <w:pPr>
        <w:spacing w:after="0" w:line="240" w:lineRule="auto"/>
        <w:ind w:left="993" w:hanging="284"/>
        <w:jc w:val="both"/>
        <w:rPr>
          <w:rFonts w:ascii="Times New Roman" w:hAnsi="Times New Roman" w:cs="Times New Roman"/>
          <w:sz w:val="26"/>
          <w:szCs w:val="26"/>
        </w:rPr>
      </w:pPr>
      <w:bookmarkStart w:id="0" w:name="bkm301"/>
      <w:r w:rsidRPr="008471C1">
        <w:rPr>
          <w:rFonts w:ascii="Times New Roman" w:hAnsi="Times New Roman" w:cs="Times New Roman"/>
          <w:sz w:val="26"/>
          <w:szCs w:val="26"/>
        </w:rPr>
        <w:t xml:space="preserve">4) </w:t>
      </w:r>
      <w:bookmarkEnd w:id="0"/>
      <w:r w:rsidRPr="008471C1">
        <w:rPr>
          <w:rFonts w:ascii="Times New Roman" w:hAnsi="Times New Roman" w:cs="Times New Roman"/>
          <w:sz w:val="26"/>
          <w:szCs w:val="26"/>
        </w:rPr>
        <w:t>šaujamieroču, šaujamieroču munīcijas, lielas enerģijas pneimatisko ieroču, sprāgstvielu un spridzināšanas ietaišu neatļauta izgatavošana, remontēšana, iegādāšanās, glabāšana, nēsāšana, pārvadāšana, pārsūtīšana, realizēšana un realizēšanas noteikumu pārkāpšana</w:t>
      </w:r>
      <w:r w:rsidR="00560F9D" w:rsidRPr="008471C1">
        <w:rPr>
          <w:rFonts w:ascii="Times New Roman" w:hAnsi="Times New Roman" w:cs="Times New Roman"/>
          <w:sz w:val="26"/>
          <w:szCs w:val="26"/>
        </w:rPr>
        <w:t xml:space="preserve"> (Krimināllikuma 233.pants)</w:t>
      </w:r>
      <w:r w:rsidRPr="008471C1">
        <w:rPr>
          <w:rFonts w:ascii="Times New Roman" w:hAnsi="Times New Roman" w:cs="Times New Roman"/>
          <w:sz w:val="26"/>
          <w:szCs w:val="26"/>
        </w:rPr>
        <w:t>;</w:t>
      </w:r>
    </w:p>
    <w:p w:rsidR="00645D73" w:rsidRPr="008471C1" w:rsidRDefault="00645D73" w:rsidP="000B68AC">
      <w:pPr>
        <w:spacing w:after="60" w:line="240" w:lineRule="auto"/>
        <w:ind w:left="993" w:hanging="284"/>
        <w:jc w:val="both"/>
        <w:rPr>
          <w:rFonts w:ascii="Times New Roman" w:hAnsi="Times New Roman" w:cs="Times New Roman"/>
          <w:sz w:val="26"/>
          <w:szCs w:val="26"/>
        </w:rPr>
      </w:pPr>
      <w:r w:rsidRPr="008471C1">
        <w:rPr>
          <w:rFonts w:ascii="Times New Roman" w:hAnsi="Times New Roman" w:cs="Times New Roman"/>
          <w:sz w:val="26"/>
          <w:szCs w:val="26"/>
        </w:rPr>
        <w:t xml:space="preserve">5) </w:t>
      </w:r>
      <w:r w:rsidRPr="008471C1">
        <w:rPr>
          <w:rFonts w:ascii="Times New Roman" w:hAnsi="Times New Roman" w:cs="Times New Roman"/>
          <w:bCs/>
          <w:sz w:val="26"/>
          <w:szCs w:val="26"/>
        </w:rPr>
        <w:t>šaujamieroču</w:t>
      </w:r>
      <w:r w:rsidRPr="008471C1">
        <w:rPr>
          <w:rFonts w:ascii="Times New Roman" w:hAnsi="Times New Roman" w:cs="Times New Roman"/>
          <w:sz w:val="26"/>
          <w:szCs w:val="26"/>
        </w:rPr>
        <w:t xml:space="preserve"> un šaujamieroču munīcijas nevērīga glabāšana, nēsāšana, pārvadāšana un pārsūtīšana, lielas enerģijas pneimatisko ieroču, sprāgstvielu vai spridzināšanas ietaišu nevērīga glabāšana, pārvadāšana un pārsūtīšana</w:t>
      </w:r>
      <w:r w:rsidR="00560F9D" w:rsidRPr="008471C1">
        <w:rPr>
          <w:rFonts w:ascii="Times New Roman" w:hAnsi="Times New Roman" w:cs="Times New Roman"/>
          <w:sz w:val="26"/>
          <w:szCs w:val="26"/>
        </w:rPr>
        <w:t xml:space="preserve"> (Krimināllikuma 236.pants)</w:t>
      </w:r>
      <w:r w:rsidRPr="008471C1">
        <w:rPr>
          <w:rFonts w:ascii="Times New Roman" w:hAnsi="Times New Roman" w:cs="Times New Roman"/>
          <w:sz w:val="26"/>
          <w:szCs w:val="26"/>
        </w:rPr>
        <w:t>.</w:t>
      </w:r>
    </w:p>
    <w:p w:rsidR="00645D73" w:rsidRDefault="009E6431" w:rsidP="009E6431">
      <w:pPr>
        <w:spacing w:after="0" w:line="240" w:lineRule="auto"/>
        <w:ind w:firstLine="720"/>
        <w:jc w:val="both"/>
        <w:rPr>
          <w:rFonts w:ascii="Times New Roman" w:hAnsi="Times New Roman" w:cs="Times New Roman"/>
          <w:sz w:val="26"/>
          <w:szCs w:val="26"/>
        </w:rPr>
      </w:pPr>
      <w:r w:rsidRPr="009E6431">
        <w:rPr>
          <w:rFonts w:ascii="Times New Roman" w:hAnsi="Times New Roman" w:cs="Times New Roman"/>
          <w:sz w:val="26"/>
          <w:szCs w:val="26"/>
        </w:rPr>
        <w:t>Kā viens no administratīvā soda veidiem, kas ierobežo personas tiesības, LAPK 29.</w:t>
      </w:r>
      <w:r w:rsidRPr="009E6431">
        <w:rPr>
          <w:rFonts w:ascii="Times New Roman" w:hAnsi="Times New Roman" w:cs="Times New Roman"/>
          <w:sz w:val="26"/>
          <w:szCs w:val="26"/>
          <w:vertAlign w:val="superscript"/>
        </w:rPr>
        <w:t>1</w:t>
      </w:r>
      <w:r w:rsidRPr="009E6431">
        <w:rPr>
          <w:rFonts w:ascii="Times New Roman" w:hAnsi="Times New Roman" w:cs="Times New Roman"/>
          <w:sz w:val="26"/>
          <w:szCs w:val="26"/>
        </w:rPr>
        <w:t xml:space="preserve"> pantā ir paredzēts sods „</w:t>
      </w:r>
      <w:r w:rsidRPr="009E6431">
        <w:rPr>
          <w:rFonts w:ascii="Times New Roman" w:hAnsi="Times New Roman" w:cs="Times New Roman"/>
          <w:bCs/>
          <w:sz w:val="26"/>
          <w:szCs w:val="26"/>
        </w:rPr>
        <w:t>tiesību atņemšana ieņemt noteiktus amatus vai tiesību atņemšana uz zināma veida vai visu veidu komercdarbību</w:t>
      </w:r>
      <w:r w:rsidRPr="009E6431">
        <w:rPr>
          <w:rFonts w:ascii="Times New Roman" w:hAnsi="Times New Roman" w:cs="Times New Roman"/>
          <w:sz w:val="26"/>
          <w:szCs w:val="26"/>
        </w:rPr>
        <w:t>”</w:t>
      </w:r>
      <w:r>
        <w:rPr>
          <w:rFonts w:ascii="Times New Roman" w:hAnsi="Times New Roman" w:cs="Times New Roman"/>
          <w:sz w:val="26"/>
          <w:szCs w:val="26"/>
        </w:rPr>
        <w:t>, kuru var piemērot kā pamatsodu vai papildsodu no laika no viena gada līdz trim gadiem. Tomēr jānorāda, ka esošais</w:t>
      </w:r>
      <w:r w:rsidRPr="009E6431">
        <w:rPr>
          <w:rFonts w:ascii="Times New Roman" w:hAnsi="Times New Roman" w:cs="Times New Roman"/>
          <w:sz w:val="26"/>
          <w:szCs w:val="26"/>
        </w:rPr>
        <w:t xml:space="preserve"> LAPK regulējums paredz soda „</w:t>
      </w:r>
      <w:r w:rsidRPr="009E6431">
        <w:rPr>
          <w:rFonts w:ascii="Times New Roman" w:hAnsi="Times New Roman" w:cs="Times New Roman"/>
          <w:bCs/>
          <w:sz w:val="26"/>
          <w:szCs w:val="26"/>
        </w:rPr>
        <w:t>tiesību atņemšana ieņemt noteiktus amatus vai tiesību atņemšana uz zināma veida vai visu veidu komercdarbību</w:t>
      </w:r>
      <w:r w:rsidRPr="009E6431">
        <w:rPr>
          <w:rFonts w:ascii="Times New Roman" w:hAnsi="Times New Roman" w:cs="Times New Roman"/>
          <w:sz w:val="26"/>
          <w:szCs w:val="26"/>
        </w:rPr>
        <w:t>” piemērošanu tikai šādu administratīvo pārkāpumu izdarīšanas gadījumā:</w:t>
      </w:r>
    </w:p>
    <w:p w:rsidR="009E6431" w:rsidRPr="009E6431" w:rsidRDefault="009E6431" w:rsidP="009E643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Pr="009E6431">
        <w:rPr>
          <w:rFonts w:ascii="Times New Roman" w:hAnsi="Times New Roman" w:cs="Times New Roman"/>
          <w:sz w:val="26"/>
          <w:szCs w:val="26"/>
        </w:rPr>
        <w:t xml:space="preserve">) </w:t>
      </w:r>
      <w:r>
        <w:rPr>
          <w:rFonts w:ascii="Times New Roman" w:hAnsi="Times New Roman" w:cs="Times New Roman"/>
          <w:sz w:val="26"/>
          <w:szCs w:val="26"/>
        </w:rPr>
        <w:t>p</w:t>
      </w:r>
      <w:r w:rsidRPr="009E6431">
        <w:rPr>
          <w:rFonts w:ascii="Times New Roman" w:hAnsi="Times New Roman" w:cs="Times New Roman"/>
          <w:bCs/>
          <w:sz w:val="26"/>
          <w:szCs w:val="26"/>
        </w:rPr>
        <w:t>atvaļīga tirdzniecības vai maksas pakalpojumu atsākšana</w:t>
      </w:r>
      <w:r w:rsidRPr="009E6431">
        <w:rPr>
          <w:rFonts w:ascii="Times New Roman" w:hAnsi="Times New Roman" w:cs="Times New Roman"/>
          <w:sz w:val="26"/>
          <w:szCs w:val="26"/>
        </w:rPr>
        <w:t>;</w:t>
      </w:r>
    </w:p>
    <w:p w:rsidR="009E6431" w:rsidRPr="009E6431" w:rsidRDefault="009E6431" w:rsidP="009E6431">
      <w:pPr>
        <w:spacing w:after="60" w:line="240" w:lineRule="auto"/>
        <w:ind w:firstLine="720"/>
        <w:jc w:val="both"/>
        <w:rPr>
          <w:rFonts w:ascii="Times New Roman" w:hAnsi="Times New Roman" w:cs="Times New Roman"/>
          <w:sz w:val="26"/>
          <w:szCs w:val="26"/>
        </w:rPr>
      </w:pPr>
      <w:r>
        <w:rPr>
          <w:rFonts w:ascii="Times New Roman" w:hAnsi="Times New Roman" w:cs="Times New Roman"/>
          <w:bCs/>
          <w:sz w:val="26"/>
          <w:szCs w:val="26"/>
        </w:rPr>
        <w:t>2) a</w:t>
      </w:r>
      <w:r w:rsidRPr="009E6431">
        <w:rPr>
          <w:rFonts w:ascii="Times New Roman" w:hAnsi="Times New Roman" w:cs="Times New Roman"/>
          <w:bCs/>
          <w:sz w:val="26"/>
          <w:szCs w:val="26"/>
        </w:rPr>
        <w:t>tteikšanās pieņemt oficiālajā apgrozībā esošās naudaszīmes</w:t>
      </w:r>
      <w:r w:rsidRPr="009E6431">
        <w:rPr>
          <w:rFonts w:ascii="Times New Roman" w:hAnsi="Times New Roman" w:cs="Times New Roman"/>
          <w:sz w:val="26"/>
          <w:szCs w:val="26"/>
        </w:rPr>
        <w:t>.</w:t>
      </w:r>
    </w:p>
    <w:p w:rsidR="009E6431" w:rsidRDefault="00F05305" w:rsidP="00BC70AD">
      <w:pPr>
        <w:spacing w:after="60" w:line="240" w:lineRule="auto"/>
        <w:ind w:firstLine="720"/>
        <w:jc w:val="both"/>
        <w:rPr>
          <w:rFonts w:ascii="Times New Roman" w:hAnsi="Times New Roman" w:cs="Times New Roman"/>
          <w:sz w:val="26"/>
          <w:szCs w:val="26"/>
        </w:rPr>
      </w:pPr>
      <w:r>
        <w:rPr>
          <w:rFonts w:ascii="Times New Roman" w:hAnsi="Times New Roman" w:cs="Times New Roman"/>
          <w:bCs/>
          <w:sz w:val="26"/>
          <w:szCs w:val="26"/>
        </w:rPr>
        <w:t xml:space="preserve">Papildus jāmin, ka LAPK </w:t>
      </w:r>
      <w:r w:rsidRPr="00F05305">
        <w:rPr>
          <w:rFonts w:ascii="Times New Roman" w:hAnsi="Times New Roman" w:cs="Times New Roman"/>
          <w:bCs/>
          <w:sz w:val="26"/>
          <w:szCs w:val="26"/>
        </w:rPr>
        <w:t>166.</w:t>
      </w:r>
      <w:r w:rsidRPr="00F05305">
        <w:rPr>
          <w:rFonts w:ascii="Times New Roman" w:hAnsi="Times New Roman" w:cs="Times New Roman"/>
          <w:bCs/>
          <w:sz w:val="26"/>
          <w:szCs w:val="26"/>
          <w:vertAlign w:val="superscript"/>
        </w:rPr>
        <w:t>2</w:t>
      </w:r>
      <w:r>
        <w:rPr>
          <w:rFonts w:ascii="Times New Roman" w:hAnsi="Times New Roman" w:cs="Times New Roman"/>
          <w:bCs/>
          <w:sz w:val="26"/>
          <w:szCs w:val="26"/>
        </w:rPr>
        <w:t xml:space="preserve"> pantā noteikta administratīvā atbildība </w:t>
      </w:r>
      <w:r w:rsidRPr="00F05305">
        <w:rPr>
          <w:rFonts w:ascii="Times New Roman" w:hAnsi="Times New Roman" w:cs="Times New Roman"/>
          <w:bCs/>
          <w:sz w:val="26"/>
          <w:szCs w:val="26"/>
        </w:rPr>
        <w:t xml:space="preserve">par </w:t>
      </w:r>
      <w:r w:rsidRPr="00F05305">
        <w:rPr>
          <w:rFonts w:ascii="Times New Roman" w:hAnsi="Times New Roman" w:cs="Times New Roman"/>
          <w:sz w:val="26"/>
          <w:szCs w:val="26"/>
        </w:rPr>
        <w:t xml:space="preserve">komercdarbības uzsākšanu bez reģistrēšanas vai bez speciālās atļaujas (licences), izziņas vai atļaujas, ja tās nepieciešamību nosaka likums vai Ministru kabineta noteikumi, par komercdarbības veikšanu, pārkāpjot speciālajā atļaujā (licencē), izziņā </w:t>
      </w:r>
      <w:r w:rsidRPr="00F05305">
        <w:rPr>
          <w:rFonts w:ascii="Times New Roman" w:hAnsi="Times New Roman" w:cs="Times New Roman"/>
          <w:sz w:val="26"/>
          <w:szCs w:val="26"/>
        </w:rPr>
        <w:lastRenderedPageBreak/>
        <w:t>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w:t>
      </w:r>
      <w:r>
        <w:rPr>
          <w:rFonts w:ascii="Times New Roman" w:hAnsi="Times New Roman" w:cs="Times New Roman"/>
          <w:sz w:val="26"/>
          <w:szCs w:val="26"/>
        </w:rPr>
        <w:t xml:space="preserve">. Par minētajiem pārkāpumiem </w:t>
      </w:r>
      <w:r w:rsidRPr="00F05305">
        <w:rPr>
          <w:rFonts w:ascii="Times New Roman" w:hAnsi="Times New Roman" w:cs="Times New Roman"/>
          <w:sz w:val="26"/>
          <w:szCs w:val="26"/>
        </w:rPr>
        <w:t>uzliek naudas sodu fiziskajām personām no divsimt līdz piecsimt latiem, bet juridiskajām personām — no piecsimt līdz trīstūkstoš latiem, konfiscējot administratīvā pārkāpuma priekšmetus un izdarīšanas rīkus vai bez konfiskācijas.</w:t>
      </w:r>
    </w:p>
    <w:p w:rsidR="00F05305" w:rsidRDefault="00BC70AD" w:rsidP="000B68AC">
      <w:pPr>
        <w:spacing w:after="120" w:line="240" w:lineRule="auto"/>
        <w:ind w:firstLine="720"/>
        <w:jc w:val="both"/>
        <w:rPr>
          <w:rFonts w:ascii="Times New Roman" w:hAnsi="Times New Roman" w:cs="Times New Roman"/>
          <w:sz w:val="26"/>
          <w:szCs w:val="26"/>
        </w:rPr>
      </w:pPr>
      <w:r>
        <w:rPr>
          <w:rFonts w:ascii="Times New Roman" w:hAnsi="Times New Roman" w:cs="Times New Roman"/>
          <w:bCs/>
          <w:sz w:val="26"/>
          <w:szCs w:val="26"/>
        </w:rPr>
        <w:t xml:space="preserve">Saskaņā ar likumu „Par Valsts ieņēmumu dienestu” 10.panta otro daļu, </w:t>
      </w:r>
      <w:r>
        <w:rPr>
          <w:rFonts w:ascii="Times New Roman" w:hAnsi="Times New Roman" w:cs="Times New Roman"/>
          <w:sz w:val="26"/>
          <w:szCs w:val="26"/>
        </w:rPr>
        <w:t>VID</w:t>
      </w:r>
      <w:r w:rsidRPr="00BC70AD">
        <w:rPr>
          <w:rFonts w:ascii="Times New Roman" w:hAnsi="Times New Roman" w:cs="Times New Roman"/>
          <w:sz w:val="26"/>
          <w:szCs w:val="26"/>
        </w:rPr>
        <w:t xml:space="preserve"> ģenerāldirektoram un viņa vietniekiem, </w:t>
      </w:r>
      <w:r>
        <w:rPr>
          <w:rFonts w:ascii="Times New Roman" w:hAnsi="Times New Roman" w:cs="Times New Roman"/>
          <w:sz w:val="26"/>
          <w:szCs w:val="26"/>
        </w:rPr>
        <w:t>VID</w:t>
      </w:r>
      <w:r w:rsidRPr="00BC70AD">
        <w:rPr>
          <w:rFonts w:ascii="Times New Roman" w:hAnsi="Times New Roman" w:cs="Times New Roman"/>
          <w:sz w:val="26"/>
          <w:szCs w:val="26"/>
        </w:rPr>
        <w:t xml:space="preserve"> ģenerāldirektora pilnvarotajiem struktūrvienību vadītājiem un viņu vietniekiem nodokļu administrēšanā ir tiesības</w:t>
      </w:r>
      <w:r>
        <w:rPr>
          <w:rFonts w:ascii="Times New Roman" w:hAnsi="Times New Roman" w:cs="Times New Roman"/>
          <w:sz w:val="26"/>
          <w:szCs w:val="26"/>
        </w:rPr>
        <w:t xml:space="preserve"> </w:t>
      </w:r>
      <w:r w:rsidRPr="00BC70AD">
        <w:rPr>
          <w:rFonts w:ascii="Times New Roman" w:hAnsi="Times New Roman" w:cs="Times New Roman"/>
          <w:sz w:val="26"/>
          <w:szCs w:val="26"/>
        </w:rPr>
        <w:t>iesniegt ministrijām, pašvaldībām un citām institūcijām obligāti izpildāmu prasību atsaukt nodokļu maksātājam izsniegto speciālo atļauju (licenci) veikt uzņēmējdarbību, ja juridiskā, fiziskā vai cita persona, kas veic uzņēmējdarbību, nereģistrējas kā nodokļu maksātājs vai arī neiesniedz nodokļu likumos paredzētās deklarācijas vai nodokļu aprēķinus, visus saimniecības un grāmatvedības dokumentus, bez kuriem nodokļu administrācijas ierēdņi nevar noteikt nodokļu bāzi, vai nerada iespēju iekasēt nodokļus, vai neatļauj nodokļu administrācijas ierēdnim ieiet nodokļu maksātāja telpās, ja minētajam ierēdnim ir tādas tiesības</w:t>
      </w:r>
      <w:r>
        <w:rPr>
          <w:rFonts w:ascii="Times New Roman" w:hAnsi="Times New Roman" w:cs="Times New Roman"/>
          <w:sz w:val="26"/>
          <w:szCs w:val="26"/>
        </w:rPr>
        <w:t xml:space="preserve">. Tāpat minētajām personām </w:t>
      </w:r>
      <w:r w:rsidRPr="00BC70AD">
        <w:rPr>
          <w:rFonts w:ascii="Times New Roman" w:hAnsi="Times New Roman" w:cs="Times New Roman"/>
          <w:sz w:val="26"/>
          <w:szCs w:val="26"/>
        </w:rPr>
        <w:t xml:space="preserve">likumos un citos normatīvajos aktos noteiktajā kārtībā </w:t>
      </w:r>
      <w:r>
        <w:rPr>
          <w:rFonts w:ascii="Times New Roman" w:hAnsi="Times New Roman" w:cs="Times New Roman"/>
          <w:sz w:val="26"/>
          <w:szCs w:val="26"/>
        </w:rPr>
        <w:t xml:space="preserve">ir tiesības </w:t>
      </w:r>
      <w:r w:rsidRPr="00BC70AD">
        <w:rPr>
          <w:rFonts w:ascii="Times New Roman" w:hAnsi="Times New Roman" w:cs="Times New Roman"/>
          <w:sz w:val="26"/>
          <w:szCs w:val="26"/>
        </w:rPr>
        <w:t>apturēt nodokļu maksātāja vai tā struktūrvienību darbību</w:t>
      </w:r>
      <w:r>
        <w:rPr>
          <w:rFonts w:ascii="Times New Roman" w:hAnsi="Times New Roman" w:cs="Times New Roman"/>
          <w:sz w:val="26"/>
          <w:szCs w:val="26"/>
        </w:rPr>
        <w:t>.</w:t>
      </w:r>
      <w:r w:rsidR="00BD0EEF">
        <w:rPr>
          <w:rFonts w:ascii="Times New Roman" w:hAnsi="Times New Roman" w:cs="Times New Roman"/>
          <w:sz w:val="26"/>
          <w:szCs w:val="26"/>
        </w:rPr>
        <w:t xml:space="preserve"> Tomēr, lai minēto kārtību varētu efektīvi izmantot praksē, nepieciešams </w:t>
      </w:r>
      <w:r w:rsidR="00053712">
        <w:rPr>
          <w:rFonts w:ascii="Times New Roman" w:hAnsi="Times New Roman" w:cs="Times New Roman"/>
          <w:sz w:val="26"/>
          <w:szCs w:val="26"/>
        </w:rPr>
        <w:t>konkrēto atļauju (licenču) regulējošajos normatīvajos aktos noteikt kārtību, kas paredz apturēt vai anulēt atļauju (licenci) par normatīvo aktu pārkāpumiem nodokļu jomā.</w:t>
      </w:r>
    </w:p>
    <w:p w:rsidR="00740112" w:rsidRPr="007D1417" w:rsidRDefault="000B68AC" w:rsidP="000B68AC">
      <w:pPr>
        <w:pStyle w:val="ListParagraph"/>
        <w:numPr>
          <w:ilvl w:val="0"/>
          <w:numId w:val="6"/>
        </w:numPr>
        <w:spacing w:after="120" w:line="240" w:lineRule="auto"/>
        <w:ind w:left="714" w:hanging="357"/>
        <w:jc w:val="center"/>
        <w:rPr>
          <w:rFonts w:ascii="Times New Roman" w:hAnsi="Times New Roman" w:cs="Times New Roman"/>
          <w:b/>
          <w:sz w:val="28"/>
          <w:szCs w:val="28"/>
        </w:rPr>
      </w:pPr>
      <w:r w:rsidRPr="007D1417">
        <w:rPr>
          <w:rFonts w:ascii="Times New Roman" w:hAnsi="Times New Roman" w:cs="Times New Roman"/>
          <w:b/>
          <w:sz w:val="28"/>
          <w:szCs w:val="28"/>
        </w:rPr>
        <w:t>Secinājumi</w:t>
      </w:r>
    </w:p>
    <w:p w:rsidR="00740112" w:rsidRDefault="00F939A7" w:rsidP="00D64A3C">
      <w:pPr>
        <w:spacing w:after="6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Ekonomikas</w:t>
      </w:r>
      <w:r w:rsidRPr="00F939A7">
        <w:rPr>
          <w:rFonts w:ascii="Times New Roman" w:hAnsi="Times New Roman" w:cs="Times New Roman"/>
          <w:color w:val="000000"/>
          <w:sz w:val="26"/>
          <w:szCs w:val="26"/>
        </w:rPr>
        <w:t xml:space="preserve"> ministrija, izskatot ministriju sniegto informāciju</w:t>
      </w:r>
      <w:r w:rsidR="00FB6537">
        <w:rPr>
          <w:rFonts w:ascii="Times New Roman" w:hAnsi="Times New Roman" w:cs="Times New Roman"/>
          <w:color w:val="000000"/>
          <w:sz w:val="26"/>
          <w:szCs w:val="26"/>
        </w:rPr>
        <w:t xml:space="preserve"> un izvērtējot spēkā esošos normatīvos aktus</w:t>
      </w:r>
      <w:r w:rsidR="00F37BFF">
        <w:rPr>
          <w:rFonts w:ascii="Times New Roman" w:hAnsi="Times New Roman" w:cs="Times New Roman"/>
          <w:color w:val="000000"/>
          <w:sz w:val="26"/>
          <w:szCs w:val="26"/>
        </w:rPr>
        <w:t>,</w:t>
      </w:r>
      <w:r w:rsidR="00E41D2D">
        <w:rPr>
          <w:rFonts w:ascii="Times New Roman" w:hAnsi="Times New Roman" w:cs="Times New Roman"/>
          <w:color w:val="000000"/>
          <w:sz w:val="26"/>
          <w:szCs w:val="26"/>
        </w:rPr>
        <w:t xml:space="preserve"> </w:t>
      </w:r>
      <w:r w:rsidR="00F37BFF">
        <w:rPr>
          <w:rFonts w:ascii="Times New Roman" w:hAnsi="Times New Roman" w:cs="Times New Roman"/>
          <w:color w:val="000000"/>
          <w:sz w:val="26"/>
          <w:szCs w:val="26"/>
        </w:rPr>
        <w:t xml:space="preserve">kā arī </w:t>
      </w:r>
      <w:r w:rsidR="00E41D2D">
        <w:rPr>
          <w:rFonts w:ascii="Times New Roman" w:hAnsi="Times New Roman" w:cs="Times New Roman"/>
          <w:color w:val="000000"/>
          <w:sz w:val="26"/>
          <w:szCs w:val="26"/>
        </w:rPr>
        <w:t>normatīvo aktu projektus</w:t>
      </w:r>
      <w:r w:rsidRPr="00F939A7">
        <w:rPr>
          <w:rFonts w:ascii="Times New Roman" w:hAnsi="Times New Roman" w:cs="Times New Roman"/>
          <w:color w:val="000000"/>
          <w:sz w:val="26"/>
          <w:szCs w:val="26"/>
        </w:rPr>
        <w:t>, secināja:</w:t>
      </w:r>
    </w:p>
    <w:p w:rsidR="005733FE" w:rsidRPr="008471C1" w:rsidRDefault="004739D4" w:rsidP="005733FE">
      <w:pPr>
        <w:pStyle w:val="ListParagraph"/>
        <w:numPr>
          <w:ilvl w:val="0"/>
          <w:numId w:val="4"/>
        </w:numPr>
        <w:spacing w:after="120" w:line="240" w:lineRule="auto"/>
        <w:ind w:right="45"/>
        <w:jc w:val="both"/>
        <w:rPr>
          <w:rFonts w:ascii="Times New Roman" w:hAnsi="Times New Roman"/>
          <w:bCs/>
          <w:sz w:val="26"/>
          <w:szCs w:val="26"/>
        </w:rPr>
      </w:pPr>
      <w:r w:rsidRPr="008471C1">
        <w:rPr>
          <w:rFonts w:ascii="Times New Roman" w:hAnsi="Times New Roman" w:cs="Times New Roman"/>
          <w:bCs/>
          <w:sz w:val="26"/>
          <w:szCs w:val="26"/>
        </w:rPr>
        <w:t>normatīvajos aktos 39 gadījumos nav paredzēta atļaujas (licences) anulēšanas kārtība</w:t>
      </w:r>
      <w:r w:rsidR="0038478F" w:rsidRPr="008471C1">
        <w:rPr>
          <w:rFonts w:ascii="Times New Roman" w:hAnsi="Times New Roman" w:cs="Times New Roman"/>
          <w:bCs/>
          <w:sz w:val="26"/>
          <w:szCs w:val="26"/>
        </w:rPr>
        <w:t>.</w:t>
      </w:r>
      <w:r w:rsidR="005733FE" w:rsidRPr="008471C1">
        <w:rPr>
          <w:rFonts w:ascii="Times New Roman" w:hAnsi="Times New Roman" w:cs="Times New Roman"/>
          <w:bCs/>
          <w:sz w:val="26"/>
          <w:szCs w:val="26"/>
        </w:rPr>
        <w:t xml:space="preserve"> </w:t>
      </w:r>
      <w:r w:rsidR="0038478F" w:rsidRPr="008471C1">
        <w:rPr>
          <w:rFonts w:ascii="Times New Roman" w:hAnsi="Times New Roman" w:cs="Times New Roman"/>
          <w:bCs/>
          <w:sz w:val="26"/>
          <w:szCs w:val="26"/>
        </w:rPr>
        <w:t>A</w:t>
      </w:r>
      <w:r w:rsidR="005733FE" w:rsidRPr="008471C1">
        <w:rPr>
          <w:rFonts w:ascii="Times New Roman" w:hAnsi="Times New Roman"/>
          <w:sz w:val="26"/>
          <w:szCs w:val="26"/>
        </w:rPr>
        <w:t xml:space="preserve">tsevišķos gadījumos </w:t>
      </w:r>
      <w:r w:rsidR="005733FE" w:rsidRPr="008471C1">
        <w:rPr>
          <w:rFonts w:ascii="Times New Roman" w:hAnsi="Times New Roman"/>
          <w:bCs/>
          <w:sz w:val="26"/>
          <w:szCs w:val="26"/>
        </w:rPr>
        <w:t xml:space="preserve">nav nepieciešams normatīvajos aktos paredzēt atļaujas (licences) anulēšanas kārtību, </w:t>
      </w:r>
      <w:r w:rsidR="005733FE" w:rsidRPr="008471C1">
        <w:rPr>
          <w:rFonts w:ascii="Times New Roman" w:hAnsi="Times New Roman"/>
          <w:sz w:val="26"/>
          <w:szCs w:val="26"/>
        </w:rPr>
        <w:t>jo atļaujas (licences) tiek izsniegtas kā vienreizējs dokuments konkrētas darbības veikšanai vai arī komersants tiek reģistrēts noteiktas saimnieciskās darbības datu bāzē informatīvos nolūkos</w:t>
      </w:r>
      <w:r w:rsidR="005733FE" w:rsidRPr="008471C1">
        <w:rPr>
          <w:rFonts w:ascii="Times New Roman" w:hAnsi="Times New Roman"/>
          <w:bCs/>
          <w:sz w:val="26"/>
          <w:szCs w:val="26"/>
        </w:rPr>
        <w:t>. Tāpat ir atļaujas (licences), kuru izsniegšanu un anulēšanu nosaka Eiropas Komisijas regulas</w:t>
      </w:r>
      <w:r w:rsidR="00D867CB" w:rsidRPr="008471C1">
        <w:rPr>
          <w:rFonts w:ascii="Times New Roman" w:hAnsi="Times New Roman"/>
          <w:bCs/>
          <w:sz w:val="26"/>
          <w:szCs w:val="26"/>
        </w:rPr>
        <w:t xml:space="preserve"> un </w:t>
      </w:r>
      <w:r w:rsidR="00D867CB" w:rsidRPr="008471C1">
        <w:rPr>
          <w:rFonts w:ascii="Times New Roman" w:hAnsi="Times New Roman"/>
          <w:sz w:val="26"/>
          <w:szCs w:val="26"/>
        </w:rPr>
        <w:t>Eiropas Savienības direktīvas, kas neparedz dalībvalsts rīcības brīvību, transponējot nacionālajā tiesību sistēmā šajās regulās vai direktīvās noteiktos atļauju (licenču) izsniegšanas un anulēšanas gadījumus</w:t>
      </w:r>
      <w:r w:rsidR="00D867CB" w:rsidRPr="008471C1">
        <w:rPr>
          <w:rFonts w:ascii="Times New Roman" w:hAnsi="Times New Roman"/>
          <w:bCs/>
          <w:sz w:val="26"/>
          <w:szCs w:val="26"/>
        </w:rPr>
        <w:t xml:space="preserve">. </w:t>
      </w:r>
      <w:r w:rsidR="008126FF" w:rsidRPr="008471C1">
        <w:rPr>
          <w:rFonts w:ascii="Times New Roman" w:hAnsi="Times New Roman"/>
          <w:bCs/>
          <w:sz w:val="26"/>
          <w:szCs w:val="26"/>
        </w:rPr>
        <w:t>Līdz ar to anulēšanas kārtība jāparedz tikai tām atļaujām (licencēm), kuras neatbilst iepriekš minētajiem nosacījumiem</w:t>
      </w:r>
      <w:r w:rsidR="00477059" w:rsidRPr="008471C1">
        <w:rPr>
          <w:rFonts w:ascii="Times New Roman" w:hAnsi="Times New Roman"/>
          <w:bCs/>
          <w:sz w:val="26"/>
          <w:szCs w:val="26"/>
        </w:rPr>
        <w:t>;</w:t>
      </w:r>
    </w:p>
    <w:p w:rsidR="00477059" w:rsidRPr="008471C1" w:rsidRDefault="00477059" w:rsidP="005733FE">
      <w:pPr>
        <w:pStyle w:val="ListParagraph"/>
        <w:numPr>
          <w:ilvl w:val="0"/>
          <w:numId w:val="4"/>
        </w:numPr>
        <w:spacing w:after="120" w:line="240" w:lineRule="auto"/>
        <w:ind w:right="45"/>
        <w:jc w:val="both"/>
        <w:rPr>
          <w:rFonts w:ascii="Times New Roman" w:hAnsi="Times New Roman" w:cs="Times New Roman"/>
          <w:bCs/>
          <w:sz w:val="26"/>
          <w:szCs w:val="26"/>
        </w:rPr>
      </w:pPr>
      <w:r w:rsidRPr="008471C1">
        <w:rPr>
          <w:rFonts w:ascii="Times New Roman" w:hAnsi="Times New Roman"/>
          <w:bCs/>
          <w:sz w:val="26"/>
          <w:szCs w:val="26"/>
        </w:rPr>
        <w:t xml:space="preserve">lielu daļu ēnu ekonomikas daļu veido pārkāpumi nodarbinātības un nodokļu jomā, līdz ar to normatīvajos aktos par šāda veida pārkāpumiem nepieciešams noteikt iespēju anulēt izsniegto atļauju (licenci). Ņemot vērā Finanšu ministrijas izstrādātos grozījumus </w:t>
      </w:r>
      <w:r w:rsidR="002071E0" w:rsidRPr="008471C1">
        <w:rPr>
          <w:rFonts w:ascii="Times New Roman" w:hAnsi="Times New Roman"/>
          <w:bCs/>
          <w:sz w:val="26"/>
          <w:szCs w:val="26"/>
        </w:rPr>
        <w:t xml:space="preserve">likumā </w:t>
      </w:r>
      <w:r w:rsidRPr="008471C1">
        <w:rPr>
          <w:rFonts w:ascii="Times New Roman" w:hAnsi="Times New Roman"/>
          <w:bCs/>
          <w:sz w:val="26"/>
          <w:szCs w:val="26"/>
        </w:rPr>
        <w:t>„</w:t>
      </w:r>
      <w:r w:rsidR="002071E0" w:rsidRPr="008471C1">
        <w:rPr>
          <w:rFonts w:ascii="Times New Roman" w:hAnsi="Times New Roman"/>
          <w:bCs/>
          <w:sz w:val="26"/>
          <w:szCs w:val="26"/>
        </w:rPr>
        <w:t>Par nodokļiem un nodevām</w:t>
      </w:r>
      <w:r w:rsidRPr="008471C1">
        <w:rPr>
          <w:rFonts w:ascii="Times New Roman" w:hAnsi="Times New Roman"/>
          <w:bCs/>
          <w:sz w:val="26"/>
          <w:szCs w:val="26"/>
        </w:rPr>
        <w:t>”</w:t>
      </w:r>
      <w:r w:rsidR="002071E0" w:rsidRPr="008471C1">
        <w:rPr>
          <w:rFonts w:ascii="Times New Roman" w:hAnsi="Times New Roman"/>
          <w:bCs/>
          <w:sz w:val="26"/>
          <w:szCs w:val="26"/>
        </w:rPr>
        <w:t xml:space="preserve">, kas paredz, vienlaikus ar nodokļa maksātāja saimnieciskās darbības apturēšanu par pārkāpumiem darba tiesisko attiecību un nodokļu jomā, tiesības VID </w:t>
      </w:r>
      <w:r w:rsidR="002071E0" w:rsidRPr="008471C1">
        <w:rPr>
          <w:rFonts w:ascii="Times New Roman" w:eastAsia="Calibri" w:hAnsi="Times New Roman" w:cs="Times New Roman"/>
          <w:sz w:val="26"/>
          <w:szCs w:val="26"/>
        </w:rPr>
        <w:t>iesnie</w:t>
      </w:r>
      <w:r w:rsidR="002071E0" w:rsidRPr="008471C1">
        <w:rPr>
          <w:rFonts w:ascii="Times New Roman" w:hAnsi="Times New Roman" w:cs="Times New Roman"/>
          <w:sz w:val="26"/>
          <w:szCs w:val="26"/>
        </w:rPr>
        <w:t>gt</w:t>
      </w:r>
      <w:r w:rsidR="002071E0" w:rsidRPr="008471C1">
        <w:rPr>
          <w:rFonts w:ascii="Times New Roman" w:eastAsia="Calibri" w:hAnsi="Times New Roman" w:cs="Times New Roman"/>
          <w:sz w:val="26"/>
          <w:szCs w:val="26"/>
        </w:rPr>
        <w:t xml:space="preserve"> ministrijām, pašvaldībām un citām institūcijām </w:t>
      </w:r>
      <w:r w:rsidR="002071E0" w:rsidRPr="008471C1">
        <w:rPr>
          <w:rFonts w:ascii="Times New Roman" w:eastAsia="Calibri" w:hAnsi="Times New Roman" w:cs="Times New Roman"/>
          <w:sz w:val="26"/>
          <w:szCs w:val="26"/>
        </w:rPr>
        <w:lastRenderedPageBreak/>
        <w:t>obligāti izpildāmu prasību atsaukt nodokļu maksātājam izsniegto speciālo atļauju (licenci) veikt komercdarbību</w:t>
      </w:r>
      <w:r w:rsidR="002071E0" w:rsidRPr="008471C1">
        <w:rPr>
          <w:rFonts w:ascii="Times New Roman" w:hAnsi="Times New Roman" w:cs="Times New Roman"/>
          <w:sz w:val="26"/>
          <w:szCs w:val="26"/>
        </w:rPr>
        <w:t>, informatīvā ziņojumā nav nepieciešams paredzēt papildus rīcību šī jautājuma risināšanā.</w:t>
      </w:r>
    </w:p>
    <w:p w:rsidR="002F243C" w:rsidRDefault="002F243C" w:rsidP="002F243C">
      <w:pPr>
        <w:spacing w:after="60" w:line="240" w:lineRule="auto"/>
        <w:jc w:val="both"/>
        <w:rPr>
          <w:rFonts w:ascii="Times New Roman" w:hAnsi="Times New Roman" w:cs="Times New Roman"/>
          <w:bCs/>
          <w:sz w:val="26"/>
          <w:szCs w:val="26"/>
        </w:rPr>
      </w:pPr>
    </w:p>
    <w:p w:rsidR="00E41D2D" w:rsidRDefault="00E41D2D" w:rsidP="002F243C">
      <w:pPr>
        <w:spacing w:after="60" w:line="240" w:lineRule="auto"/>
        <w:jc w:val="both"/>
        <w:rPr>
          <w:rFonts w:ascii="Times New Roman" w:hAnsi="Times New Roman" w:cs="Times New Roman"/>
          <w:bCs/>
          <w:sz w:val="26"/>
          <w:szCs w:val="26"/>
        </w:rPr>
      </w:pPr>
    </w:p>
    <w:p w:rsidR="00E41D2D" w:rsidRDefault="00E41D2D" w:rsidP="002F243C">
      <w:pPr>
        <w:spacing w:after="60" w:line="240" w:lineRule="auto"/>
        <w:jc w:val="both"/>
        <w:rPr>
          <w:rFonts w:ascii="Times New Roman" w:hAnsi="Times New Roman" w:cs="Times New Roman"/>
          <w:bCs/>
          <w:sz w:val="26"/>
          <w:szCs w:val="26"/>
        </w:rPr>
      </w:pPr>
    </w:p>
    <w:p w:rsidR="00E41D2D" w:rsidRDefault="00E41D2D" w:rsidP="002F243C">
      <w:pPr>
        <w:spacing w:after="60" w:line="240" w:lineRule="auto"/>
        <w:jc w:val="both"/>
        <w:rPr>
          <w:rFonts w:ascii="Times New Roman" w:hAnsi="Times New Roman" w:cs="Times New Roman"/>
          <w:bCs/>
          <w:sz w:val="26"/>
          <w:szCs w:val="26"/>
        </w:rPr>
      </w:pPr>
    </w:p>
    <w:p w:rsidR="002F243C" w:rsidRDefault="002F243C" w:rsidP="002F243C">
      <w:pPr>
        <w:spacing w:after="60" w:line="240" w:lineRule="auto"/>
        <w:jc w:val="both"/>
        <w:rPr>
          <w:rFonts w:ascii="Times New Roman" w:hAnsi="Times New Roman" w:cs="Times New Roman"/>
          <w:bCs/>
          <w:sz w:val="26"/>
          <w:szCs w:val="26"/>
        </w:rPr>
      </w:pPr>
    </w:p>
    <w:p w:rsidR="002F243C" w:rsidRPr="00AB6740" w:rsidRDefault="002F243C" w:rsidP="002F243C">
      <w:pPr>
        <w:spacing w:before="120" w:after="0" w:line="240" w:lineRule="auto"/>
        <w:jc w:val="both"/>
        <w:rPr>
          <w:rFonts w:ascii="Times New Roman" w:hAnsi="Times New Roman"/>
          <w:sz w:val="26"/>
          <w:szCs w:val="26"/>
        </w:rPr>
      </w:pPr>
      <w:r w:rsidRPr="00AB6740">
        <w:rPr>
          <w:rFonts w:ascii="Times New Roman" w:hAnsi="Times New Roman"/>
          <w:sz w:val="26"/>
          <w:szCs w:val="26"/>
        </w:rPr>
        <w:t>Ekonomikas ministrs</w:t>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r>
      <w:r w:rsidRPr="00AB6740">
        <w:rPr>
          <w:rFonts w:ascii="Times New Roman" w:hAnsi="Times New Roman"/>
          <w:sz w:val="26"/>
          <w:szCs w:val="26"/>
        </w:rPr>
        <w:tab/>
        <w:t xml:space="preserve">         A.Kampars</w:t>
      </w:r>
    </w:p>
    <w:p w:rsidR="002F243C" w:rsidRPr="00AB6740" w:rsidRDefault="002F243C" w:rsidP="002F243C">
      <w:pPr>
        <w:spacing w:before="120" w:after="0" w:line="240" w:lineRule="auto"/>
        <w:rPr>
          <w:rFonts w:ascii="Times New Roman" w:hAnsi="Times New Roman"/>
          <w:b/>
          <w:bCs/>
          <w:sz w:val="26"/>
          <w:szCs w:val="26"/>
        </w:rPr>
      </w:pPr>
    </w:p>
    <w:p w:rsidR="002F243C" w:rsidRPr="00AB6740" w:rsidRDefault="002F243C" w:rsidP="002F243C">
      <w:pPr>
        <w:spacing w:before="120" w:after="0" w:line="240" w:lineRule="auto"/>
        <w:rPr>
          <w:rFonts w:ascii="Times New Roman" w:hAnsi="Times New Roman"/>
          <w:b/>
          <w:bCs/>
          <w:sz w:val="26"/>
          <w:szCs w:val="26"/>
        </w:rPr>
      </w:pPr>
      <w:r w:rsidRPr="00AB6740">
        <w:rPr>
          <w:rFonts w:ascii="Times New Roman" w:hAnsi="Times New Roman"/>
          <w:b/>
          <w:bCs/>
          <w:sz w:val="26"/>
          <w:szCs w:val="26"/>
        </w:rPr>
        <w:t>Iesniedzējs:</w:t>
      </w:r>
    </w:p>
    <w:p w:rsidR="002F243C" w:rsidRPr="00AB6740" w:rsidRDefault="002F243C" w:rsidP="002F243C">
      <w:pPr>
        <w:spacing w:before="120" w:after="0" w:line="240" w:lineRule="auto"/>
        <w:rPr>
          <w:rFonts w:ascii="Times New Roman" w:hAnsi="Times New Roman"/>
          <w:bCs/>
          <w:sz w:val="26"/>
          <w:szCs w:val="26"/>
        </w:rPr>
      </w:pPr>
      <w:r w:rsidRPr="00AB6740">
        <w:rPr>
          <w:rFonts w:ascii="Times New Roman" w:hAnsi="Times New Roman"/>
          <w:bCs/>
          <w:sz w:val="26"/>
          <w:szCs w:val="26"/>
        </w:rPr>
        <w:t>Ekonomikas ministrs</w:t>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t xml:space="preserve">         A.Kampars</w:t>
      </w:r>
    </w:p>
    <w:p w:rsidR="002F243C" w:rsidRPr="00AB6740" w:rsidRDefault="002F243C" w:rsidP="002F243C">
      <w:pPr>
        <w:tabs>
          <w:tab w:val="center" w:pos="4535"/>
        </w:tabs>
        <w:spacing w:before="120" w:after="0" w:line="240" w:lineRule="auto"/>
        <w:rPr>
          <w:rFonts w:ascii="Times New Roman" w:hAnsi="Times New Roman"/>
          <w:b/>
          <w:bCs/>
          <w:sz w:val="26"/>
          <w:szCs w:val="26"/>
        </w:rPr>
      </w:pPr>
    </w:p>
    <w:p w:rsidR="002F243C" w:rsidRPr="00AB6740" w:rsidRDefault="002F243C" w:rsidP="002F243C">
      <w:pPr>
        <w:tabs>
          <w:tab w:val="center" w:pos="4535"/>
        </w:tabs>
        <w:spacing w:before="120" w:after="0" w:line="240" w:lineRule="auto"/>
        <w:rPr>
          <w:rFonts w:ascii="Times New Roman" w:hAnsi="Times New Roman"/>
          <w:bCs/>
          <w:sz w:val="26"/>
          <w:szCs w:val="26"/>
        </w:rPr>
      </w:pPr>
      <w:r w:rsidRPr="00AB6740">
        <w:rPr>
          <w:rFonts w:ascii="Times New Roman" w:hAnsi="Times New Roman"/>
          <w:b/>
          <w:bCs/>
          <w:sz w:val="26"/>
          <w:szCs w:val="26"/>
        </w:rPr>
        <w:t>Vīza:</w:t>
      </w:r>
      <w:r w:rsidRPr="00AB6740">
        <w:rPr>
          <w:rFonts w:ascii="Times New Roman" w:hAnsi="Times New Roman"/>
          <w:bCs/>
          <w:sz w:val="26"/>
          <w:szCs w:val="26"/>
        </w:rPr>
        <w:t xml:space="preserve"> </w:t>
      </w:r>
      <w:r w:rsidRPr="00AB6740">
        <w:rPr>
          <w:rFonts w:ascii="Times New Roman" w:hAnsi="Times New Roman"/>
          <w:bCs/>
          <w:sz w:val="26"/>
          <w:szCs w:val="26"/>
        </w:rPr>
        <w:tab/>
      </w:r>
    </w:p>
    <w:p w:rsidR="002F243C" w:rsidRPr="00AB6740" w:rsidRDefault="002F243C" w:rsidP="002F243C">
      <w:pPr>
        <w:spacing w:before="120" w:after="0" w:line="240" w:lineRule="auto"/>
        <w:rPr>
          <w:rFonts w:ascii="Times New Roman" w:hAnsi="Times New Roman"/>
          <w:bCs/>
          <w:sz w:val="26"/>
          <w:szCs w:val="26"/>
        </w:rPr>
      </w:pPr>
      <w:r w:rsidRPr="00AB6740">
        <w:rPr>
          <w:rFonts w:ascii="Times New Roman" w:hAnsi="Times New Roman"/>
          <w:bCs/>
          <w:sz w:val="26"/>
          <w:szCs w:val="26"/>
        </w:rPr>
        <w:t>Valsts sekretārs</w:t>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r>
      <w:r w:rsidRPr="00AB6740">
        <w:rPr>
          <w:rFonts w:ascii="Times New Roman" w:hAnsi="Times New Roman"/>
          <w:bCs/>
          <w:sz w:val="26"/>
          <w:szCs w:val="26"/>
        </w:rPr>
        <w:tab/>
        <w:t xml:space="preserve">      J.Pūce</w:t>
      </w:r>
    </w:p>
    <w:p w:rsidR="002F243C" w:rsidRDefault="002F243C" w:rsidP="002F243C">
      <w:pPr>
        <w:spacing w:after="60" w:line="240" w:lineRule="auto"/>
        <w:jc w:val="both"/>
        <w:rPr>
          <w:rFonts w:ascii="Times New Roman" w:hAnsi="Times New Roman" w:cs="Times New Roman"/>
          <w:bCs/>
          <w:sz w:val="26"/>
          <w:szCs w:val="26"/>
        </w:rPr>
      </w:pPr>
    </w:p>
    <w:p w:rsidR="002F243C" w:rsidRDefault="002F243C" w:rsidP="002F243C">
      <w:pPr>
        <w:spacing w:after="60" w:line="240" w:lineRule="auto"/>
        <w:jc w:val="both"/>
        <w:rPr>
          <w:rFonts w:ascii="Times New Roman" w:hAnsi="Times New Roman" w:cs="Times New Roman"/>
          <w:bCs/>
          <w:sz w:val="26"/>
          <w:szCs w:val="26"/>
        </w:rPr>
      </w:pPr>
    </w:p>
    <w:p w:rsidR="00114C36" w:rsidRDefault="00114C36" w:rsidP="002F243C">
      <w:pPr>
        <w:spacing w:after="60" w:line="240" w:lineRule="auto"/>
        <w:jc w:val="both"/>
        <w:rPr>
          <w:rFonts w:ascii="Times New Roman" w:hAnsi="Times New Roman" w:cs="Times New Roman"/>
          <w:bCs/>
          <w:sz w:val="26"/>
          <w:szCs w:val="26"/>
        </w:rPr>
      </w:pPr>
    </w:p>
    <w:p w:rsidR="00114C36" w:rsidRDefault="00114C36" w:rsidP="002F243C">
      <w:pPr>
        <w:spacing w:after="60" w:line="240" w:lineRule="auto"/>
        <w:jc w:val="both"/>
        <w:rPr>
          <w:rFonts w:ascii="Times New Roman" w:hAnsi="Times New Roman" w:cs="Times New Roman"/>
          <w:bCs/>
          <w:sz w:val="26"/>
          <w:szCs w:val="26"/>
        </w:rPr>
      </w:pPr>
    </w:p>
    <w:p w:rsidR="00114C36" w:rsidRDefault="00114C36" w:rsidP="002F243C">
      <w:pPr>
        <w:spacing w:after="60" w:line="240" w:lineRule="auto"/>
        <w:jc w:val="both"/>
        <w:rPr>
          <w:rFonts w:ascii="Times New Roman" w:hAnsi="Times New Roman" w:cs="Times New Roman"/>
          <w:bCs/>
          <w:sz w:val="26"/>
          <w:szCs w:val="26"/>
        </w:rPr>
      </w:pPr>
    </w:p>
    <w:p w:rsidR="00114C36" w:rsidRDefault="00114C36" w:rsidP="002F243C">
      <w:pPr>
        <w:spacing w:after="60" w:line="240" w:lineRule="auto"/>
        <w:jc w:val="both"/>
        <w:rPr>
          <w:rFonts w:ascii="Times New Roman" w:hAnsi="Times New Roman" w:cs="Times New Roman"/>
          <w:bCs/>
          <w:sz w:val="26"/>
          <w:szCs w:val="26"/>
        </w:rPr>
      </w:pPr>
    </w:p>
    <w:p w:rsidR="00114C36" w:rsidRDefault="00114C36" w:rsidP="002F243C">
      <w:pPr>
        <w:spacing w:after="60" w:line="240" w:lineRule="auto"/>
        <w:jc w:val="both"/>
        <w:rPr>
          <w:rFonts w:ascii="Times New Roman" w:hAnsi="Times New Roman" w:cs="Times New Roman"/>
          <w:bCs/>
          <w:sz w:val="26"/>
          <w:szCs w:val="26"/>
        </w:rPr>
      </w:pPr>
    </w:p>
    <w:p w:rsidR="00114C36" w:rsidRPr="00114C36" w:rsidRDefault="008471C1" w:rsidP="00114C36">
      <w:pPr>
        <w:spacing w:after="0" w:line="240" w:lineRule="auto"/>
        <w:rPr>
          <w:rFonts w:ascii="Times New Roman" w:hAnsi="Times New Roman" w:cs="Times New Roman"/>
          <w:sz w:val="20"/>
          <w:szCs w:val="20"/>
          <w:lang w:val="de-DE"/>
        </w:rPr>
      </w:pPr>
      <w:r>
        <w:rPr>
          <w:rFonts w:ascii="Times New Roman" w:hAnsi="Times New Roman" w:cs="Times New Roman"/>
          <w:sz w:val="20"/>
          <w:szCs w:val="20"/>
          <w:lang w:val="de-DE"/>
        </w:rPr>
        <w:t>27</w:t>
      </w:r>
      <w:r w:rsidR="00114C36" w:rsidRPr="00114C36">
        <w:rPr>
          <w:rFonts w:ascii="Times New Roman" w:hAnsi="Times New Roman" w:cs="Times New Roman"/>
          <w:sz w:val="20"/>
          <w:szCs w:val="20"/>
          <w:lang w:val="de-DE"/>
        </w:rPr>
        <w:t>.0</w:t>
      </w:r>
      <w:r w:rsidR="00C80F43">
        <w:rPr>
          <w:rFonts w:ascii="Times New Roman" w:hAnsi="Times New Roman" w:cs="Times New Roman"/>
          <w:sz w:val="20"/>
          <w:szCs w:val="20"/>
          <w:lang w:val="de-DE"/>
        </w:rPr>
        <w:t>6</w:t>
      </w:r>
      <w:r w:rsidR="00114C36" w:rsidRPr="00114C36">
        <w:rPr>
          <w:rFonts w:ascii="Times New Roman" w:hAnsi="Times New Roman" w:cs="Times New Roman"/>
          <w:sz w:val="20"/>
          <w:szCs w:val="20"/>
          <w:lang w:val="de-DE"/>
        </w:rPr>
        <w:t>.201</w:t>
      </w:r>
      <w:r w:rsidR="00114C36">
        <w:rPr>
          <w:rFonts w:ascii="Times New Roman" w:hAnsi="Times New Roman" w:cs="Times New Roman"/>
          <w:sz w:val="20"/>
          <w:szCs w:val="20"/>
          <w:lang w:val="de-DE"/>
        </w:rPr>
        <w:t>1</w:t>
      </w:r>
      <w:r w:rsidR="00114C36" w:rsidRPr="00114C36">
        <w:rPr>
          <w:rFonts w:ascii="Times New Roman" w:hAnsi="Times New Roman" w:cs="Times New Roman"/>
          <w:sz w:val="20"/>
          <w:szCs w:val="20"/>
          <w:lang w:val="de-DE"/>
        </w:rPr>
        <w:t xml:space="preserve">. </w:t>
      </w:r>
      <w:r w:rsidR="00C80F43">
        <w:rPr>
          <w:rFonts w:ascii="Times New Roman" w:hAnsi="Times New Roman" w:cs="Times New Roman"/>
          <w:sz w:val="20"/>
          <w:szCs w:val="20"/>
          <w:lang w:val="de-DE"/>
        </w:rPr>
        <w:t>1</w:t>
      </w:r>
      <w:r>
        <w:rPr>
          <w:rFonts w:ascii="Times New Roman" w:hAnsi="Times New Roman" w:cs="Times New Roman"/>
          <w:sz w:val="20"/>
          <w:szCs w:val="20"/>
          <w:lang w:val="de-DE"/>
        </w:rPr>
        <w:t>0</w:t>
      </w:r>
      <w:r w:rsidR="00114C36" w:rsidRPr="00114C36">
        <w:rPr>
          <w:rFonts w:ascii="Times New Roman" w:hAnsi="Times New Roman" w:cs="Times New Roman"/>
          <w:sz w:val="20"/>
          <w:szCs w:val="20"/>
          <w:lang w:val="de-DE"/>
        </w:rPr>
        <w:t>:</w:t>
      </w:r>
      <w:r>
        <w:rPr>
          <w:rFonts w:ascii="Times New Roman" w:hAnsi="Times New Roman" w:cs="Times New Roman"/>
          <w:sz w:val="20"/>
          <w:szCs w:val="20"/>
          <w:lang w:val="de-DE"/>
        </w:rPr>
        <w:t>33</w:t>
      </w:r>
    </w:p>
    <w:p w:rsidR="00114C36" w:rsidRPr="00114C36" w:rsidRDefault="00114C36" w:rsidP="00114C36">
      <w:pPr>
        <w:spacing w:after="0" w:line="240" w:lineRule="auto"/>
        <w:rPr>
          <w:rFonts w:ascii="Times New Roman" w:hAnsi="Times New Roman" w:cs="Times New Roman"/>
          <w:sz w:val="20"/>
          <w:szCs w:val="20"/>
        </w:rPr>
      </w:pPr>
      <w:r>
        <w:rPr>
          <w:rFonts w:ascii="Times New Roman" w:hAnsi="Times New Roman" w:cs="Times New Roman"/>
          <w:sz w:val="20"/>
          <w:szCs w:val="20"/>
          <w:lang w:val="de-DE"/>
        </w:rPr>
        <w:t>2</w:t>
      </w:r>
      <w:r w:rsidR="006D05B8">
        <w:rPr>
          <w:rFonts w:ascii="Times New Roman" w:hAnsi="Times New Roman" w:cs="Times New Roman"/>
          <w:sz w:val="20"/>
          <w:szCs w:val="20"/>
          <w:lang w:val="de-DE"/>
        </w:rPr>
        <w:t>7</w:t>
      </w:r>
      <w:r w:rsidR="00676977">
        <w:rPr>
          <w:rFonts w:ascii="Times New Roman" w:hAnsi="Times New Roman" w:cs="Times New Roman"/>
          <w:sz w:val="20"/>
          <w:szCs w:val="20"/>
          <w:lang w:val="de-DE"/>
        </w:rPr>
        <w:t>29</w:t>
      </w:r>
    </w:p>
    <w:p w:rsidR="00114C36" w:rsidRPr="00114C36" w:rsidRDefault="00AB6740" w:rsidP="00114C36">
      <w:pPr>
        <w:spacing w:after="0" w:line="240" w:lineRule="auto"/>
        <w:rPr>
          <w:rFonts w:ascii="Times New Roman" w:hAnsi="Times New Roman" w:cs="Times New Roman"/>
          <w:sz w:val="20"/>
          <w:szCs w:val="20"/>
          <w:lang w:val="de-DE"/>
        </w:rPr>
      </w:pPr>
      <w:bookmarkStart w:id="1" w:name="OLE_LINK1"/>
      <w:bookmarkStart w:id="2" w:name="OLE_LINK2"/>
      <w:r>
        <w:rPr>
          <w:rFonts w:ascii="Times New Roman" w:hAnsi="Times New Roman" w:cs="Times New Roman"/>
          <w:sz w:val="20"/>
          <w:szCs w:val="20"/>
          <w:lang w:val="de-DE"/>
        </w:rPr>
        <w:t>Fernāts,</w:t>
      </w:r>
    </w:p>
    <w:p w:rsidR="00114C36" w:rsidRPr="00114C36" w:rsidRDefault="00114C36" w:rsidP="00114C36">
      <w:pPr>
        <w:spacing w:after="0" w:line="240" w:lineRule="auto"/>
        <w:rPr>
          <w:rFonts w:ascii="Times New Roman" w:hAnsi="Times New Roman" w:cs="Times New Roman"/>
          <w:sz w:val="20"/>
          <w:szCs w:val="20"/>
        </w:rPr>
      </w:pPr>
      <w:r w:rsidRPr="00114C36">
        <w:rPr>
          <w:rFonts w:ascii="Times New Roman" w:hAnsi="Times New Roman" w:cs="Times New Roman"/>
          <w:sz w:val="20"/>
          <w:szCs w:val="20"/>
          <w:lang w:val="de-DE"/>
        </w:rPr>
        <w:t>67013053</w:t>
      </w:r>
      <w:bookmarkEnd w:id="1"/>
      <w:bookmarkEnd w:id="2"/>
      <w:r w:rsidRPr="00114C36">
        <w:rPr>
          <w:rFonts w:ascii="Times New Roman" w:hAnsi="Times New Roman" w:cs="Times New Roman"/>
          <w:sz w:val="20"/>
          <w:szCs w:val="20"/>
          <w:lang w:val="de-DE"/>
        </w:rPr>
        <w:t xml:space="preserve">, </w:t>
      </w:r>
      <w:hyperlink r:id="rId8" w:history="1">
        <w:r w:rsidRPr="00114C36">
          <w:rPr>
            <w:rStyle w:val="Hyperlink"/>
            <w:rFonts w:ascii="Times New Roman" w:hAnsi="Times New Roman" w:cs="Times New Roman"/>
            <w:sz w:val="20"/>
            <w:szCs w:val="20"/>
            <w:lang w:val="de-DE"/>
          </w:rPr>
          <w:t>Edmunds.Fernats@em.gov.lv</w:t>
        </w:r>
      </w:hyperlink>
    </w:p>
    <w:sectPr w:rsidR="00114C36" w:rsidRPr="00114C36" w:rsidSect="0074330B">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9B" w:rsidRDefault="0053049B" w:rsidP="0074330B">
      <w:pPr>
        <w:spacing w:after="0" w:line="240" w:lineRule="auto"/>
      </w:pPr>
      <w:r>
        <w:separator/>
      </w:r>
    </w:p>
  </w:endnote>
  <w:endnote w:type="continuationSeparator" w:id="0">
    <w:p w:rsidR="0053049B" w:rsidRDefault="0053049B" w:rsidP="0074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9B" w:rsidRPr="008471C1" w:rsidRDefault="0053049B" w:rsidP="00162978">
    <w:pPr>
      <w:pStyle w:val="Footer"/>
      <w:jc w:val="both"/>
      <w:rPr>
        <w:rFonts w:ascii="Times New Roman" w:hAnsi="Times New Roman" w:cs="Times New Roman"/>
        <w:sz w:val="20"/>
        <w:szCs w:val="20"/>
      </w:rPr>
    </w:pPr>
    <w:r w:rsidRPr="008471C1">
      <w:rPr>
        <w:rFonts w:ascii="Times New Roman" w:hAnsi="Times New Roman" w:cs="Times New Roman"/>
        <w:sz w:val="20"/>
        <w:szCs w:val="20"/>
      </w:rPr>
      <w:t>EMZino_</w:t>
    </w:r>
    <w:r w:rsidR="008471C1">
      <w:rPr>
        <w:rFonts w:ascii="Times New Roman" w:hAnsi="Times New Roman" w:cs="Times New Roman"/>
        <w:sz w:val="20"/>
        <w:szCs w:val="20"/>
      </w:rPr>
      <w:t>27</w:t>
    </w:r>
    <w:r w:rsidRPr="008471C1">
      <w:rPr>
        <w:rFonts w:ascii="Times New Roman" w:hAnsi="Times New Roman" w:cs="Times New Roman"/>
        <w:sz w:val="20"/>
        <w:szCs w:val="20"/>
      </w:rPr>
      <w:t xml:space="preserve">0611_licences; </w:t>
    </w:r>
    <w:bookmarkStart w:id="3" w:name="OLE_LINK3"/>
    <w:bookmarkStart w:id="4" w:name="OLE_LINK4"/>
    <w:r w:rsidRPr="008471C1">
      <w:rPr>
        <w:rFonts w:ascii="Times New Roman" w:hAnsi="Times New Roman" w:cs="Times New Roman"/>
        <w:sz w:val="20"/>
        <w:szCs w:val="20"/>
      </w:rPr>
      <w:t>Informatīvais ziņojums „Par normatīvajiem aktiem kas nosaka dažādu atļauju (licenču) izsniegšanu un tajos paredzēto anulēšanas kārtību par nopietniem saimnieciskās darbības pārkāpumiem</w:t>
    </w:r>
    <w:bookmarkEnd w:id="3"/>
    <w:bookmarkEnd w:id="4"/>
    <w:r w:rsidRPr="008471C1">
      <w:rPr>
        <w:rFonts w:ascii="Times New Roman" w:hAnsi="Times New Roman" w:cs="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9B" w:rsidRPr="008471C1" w:rsidRDefault="0053049B" w:rsidP="002B7FBD">
    <w:pPr>
      <w:pStyle w:val="Footer"/>
      <w:jc w:val="both"/>
      <w:rPr>
        <w:rFonts w:ascii="Times New Roman" w:hAnsi="Times New Roman" w:cs="Times New Roman"/>
        <w:sz w:val="20"/>
        <w:szCs w:val="20"/>
      </w:rPr>
    </w:pPr>
    <w:r w:rsidRPr="008471C1">
      <w:rPr>
        <w:rFonts w:ascii="Times New Roman" w:hAnsi="Times New Roman" w:cs="Times New Roman"/>
        <w:sz w:val="20"/>
        <w:szCs w:val="20"/>
      </w:rPr>
      <w:t>EMZino_</w:t>
    </w:r>
    <w:r w:rsidR="008471C1">
      <w:rPr>
        <w:rFonts w:ascii="Times New Roman" w:hAnsi="Times New Roman" w:cs="Times New Roman"/>
        <w:sz w:val="20"/>
        <w:szCs w:val="20"/>
      </w:rPr>
      <w:t>27</w:t>
    </w:r>
    <w:r w:rsidRPr="008471C1">
      <w:rPr>
        <w:rFonts w:ascii="Times New Roman" w:hAnsi="Times New Roman" w:cs="Times New Roman"/>
        <w:sz w:val="20"/>
        <w:szCs w:val="20"/>
      </w:rPr>
      <w:t>0611_licences; Informatīvais ziņojums „Par normatīvajiem aktiem kas nosaka dažādu atļauju (licenču) izsniegšanu un tajos paredzēto anulēšanas kārtību par nopietniem saimnieciskās darbības pārkāpumiem”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9B" w:rsidRDefault="0053049B" w:rsidP="0074330B">
      <w:pPr>
        <w:spacing w:after="0" w:line="240" w:lineRule="auto"/>
      </w:pPr>
      <w:r>
        <w:separator/>
      </w:r>
    </w:p>
  </w:footnote>
  <w:footnote w:type="continuationSeparator" w:id="0">
    <w:p w:rsidR="0053049B" w:rsidRDefault="0053049B" w:rsidP="00743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96127"/>
      <w:docPartObj>
        <w:docPartGallery w:val="Page Numbers (Top of Page)"/>
        <w:docPartUnique/>
      </w:docPartObj>
    </w:sdtPr>
    <w:sdtEndPr>
      <w:rPr>
        <w:rFonts w:ascii="Times New Roman" w:hAnsi="Times New Roman" w:cs="Times New Roman"/>
        <w:sz w:val="24"/>
        <w:szCs w:val="24"/>
      </w:rPr>
    </w:sdtEndPr>
    <w:sdtContent>
      <w:p w:rsidR="0053049B" w:rsidRPr="0074330B" w:rsidRDefault="00897A86">
        <w:pPr>
          <w:pStyle w:val="Header"/>
          <w:jc w:val="center"/>
          <w:rPr>
            <w:rFonts w:ascii="Times New Roman" w:hAnsi="Times New Roman" w:cs="Times New Roman"/>
            <w:sz w:val="24"/>
            <w:szCs w:val="24"/>
          </w:rPr>
        </w:pPr>
        <w:r w:rsidRPr="0074330B">
          <w:rPr>
            <w:rFonts w:ascii="Times New Roman" w:hAnsi="Times New Roman" w:cs="Times New Roman"/>
            <w:sz w:val="24"/>
            <w:szCs w:val="24"/>
          </w:rPr>
          <w:fldChar w:fldCharType="begin"/>
        </w:r>
        <w:r w:rsidR="0053049B" w:rsidRPr="0074330B">
          <w:rPr>
            <w:rFonts w:ascii="Times New Roman" w:hAnsi="Times New Roman" w:cs="Times New Roman"/>
            <w:sz w:val="24"/>
            <w:szCs w:val="24"/>
          </w:rPr>
          <w:instrText xml:space="preserve"> PAGE   \* MERGEFORMAT </w:instrText>
        </w:r>
        <w:r w:rsidRPr="0074330B">
          <w:rPr>
            <w:rFonts w:ascii="Times New Roman" w:hAnsi="Times New Roman" w:cs="Times New Roman"/>
            <w:sz w:val="24"/>
            <w:szCs w:val="24"/>
          </w:rPr>
          <w:fldChar w:fldCharType="separate"/>
        </w:r>
        <w:r w:rsidR="008471C1">
          <w:rPr>
            <w:rFonts w:ascii="Times New Roman" w:hAnsi="Times New Roman" w:cs="Times New Roman"/>
            <w:noProof/>
            <w:sz w:val="24"/>
            <w:szCs w:val="24"/>
          </w:rPr>
          <w:t>2</w:t>
        </w:r>
        <w:r w:rsidRPr="0074330B">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71C"/>
    <w:multiLevelType w:val="hybridMultilevel"/>
    <w:tmpl w:val="4AE82410"/>
    <w:lvl w:ilvl="0" w:tplc="19C4D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5CA1007"/>
    <w:multiLevelType w:val="hybridMultilevel"/>
    <w:tmpl w:val="1FC2B4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A5142F"/>
    <w:multiLevelType w:val="hybridMultilevel"/>
    <w:tmpl w:val="21924CE8"/>
    <w:lvl w:ilvl="0" w:tplc="CA1C301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24E0DC3"/>
    <w:multiLevelType w:val="hybridMultilevel"/>
    <w:tmpl w:val="B8760A90"/>
    <w:lvl w:ilvl="0" w:tplc="55642F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3458FD"/>
    <w:multiLevelType w:val="hybridMultilevel"/>
    <w:tmpl w:val="7382BB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1F449FD"/>
    <w:multiLevelType w:val="hybridMultilevel"/>
    <w:tmpl w:val="83B2C4D6"/>
    <w:lvl w:ilvl="0" w:tplc="8ED2B4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81767C3"/>
    <w:multiLevelType w:val="multilevel"/>
    <w:tmpl w:val="A5C4D68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7462"/>
    <w:rsid w:val="00002C72"/>
    <w:rsid w:val="00006AA1"/>
    <w:rsid w:val="000172AF"/>
    <w:rsid w:val="00036F27"/>
    <w:rsid w:val="00053712"/>
    <w:rsid w:val="00063F36"/>
    <w:rsid w:val="00080575"/>
    <w:rsid w:val="000B2275"/>
    <w:rsid w:val="000B55D7"/>
    <w:rsid w:val="000B68AC"/>
    <w:rsid w:val="000E4E3C"/>
    <w:rsid w:val="00114C36"/>
    <w:rsid w:val="00162978"/>
    <w:rsid w:val="0016686E"/>
    <w:rsid w:val="00187543"/>
    <w:rsid w:val="00197732"/>
    <w:rsid w:val="001C59EB"/>
    <w:rsid w:val="001D1EFC"/>
    <w:rsid w:val="001F3BE0"/>
    <w:rsid w:val="001F4ECD"/>
    <w:rsid w:val="002066EF"/>
    <w:rsid w:val="002071E0"/>
    <w:rsid w:val="00251E05"/>
    <w:rsid w:val="00253862"/>
    <w:rsid w:val="002726E9"/>
    <w:rsid w:val="002B3E74"/>
    <w:rsid w:val="002B76AD"/>
    <w:rsid w:val="002B7FBD"/>
    <w:rsid w:val="002F243C"/>
    <w:rsid w:val="002F76AF"/>
    <w:rsid w:val="00323C27"/>
    <w:rsid w:val="00324329"/>
    <w:rsid w:val="00325567"/>
    <w:rsid w:val="0033307E"/>
    <w:rsid w:val="00352608"/>
    <w:rsid w:val="0035485C"/>
    <w:rsid w:val="0038478F"/>
    <w:rsid w:val="00395E19"/>
    <w:rsid w:val="003A015C"/>
    <w:rsid w:val="003A7E38"/>
    <w:rsid w:val="003B1BDC"/>
    <w:rsid w:val="003C24DE"/>
    <w:rsid w:val="003D32CD"/>
    <w:rsid w:val="003F0167"/>
    <w:rsid w:val="00422F97"/>
    <w:rsid w:val="00447AD4"/>
    <w:rsid w:val="00451AC6"/>
    <w:rsid w:val="004739D4"/>
    <w:rsid w:val="00477059"/>
    <w:rsid w:val="0048650A"/>
    <w:rsid w:val="004A4DAD"/>
    <w:rsid w:val="00505D6A"/>
    <w:rsid w:val="0053049B"/>
    <w:rsid w:val="00545104"/>
    <w:rsid w:val="00560F9D"/>
    <w:rsid w:val="005733FE"/>
    <w:rsid w:val="005C213E"/>
    <w:rsid w:val="005D35CB"/>
    <w:rsid w:val="005F31B8"/>
    <w:rsid w:val="006246BC"/>
    <w:rsid w:val="00635749"/>
    <w:rsid w:val="00645D73"/>
    <w:rsid w:val="00650EA0"/>
    <w:rsid w:val="00676977"/>
    <w:rsid w:val="00680723"/>
    <w:rsid w:val="00692D0E"/>
    <w:rsid w:val="006B44C9"/>
    <w:rsid w:val="006C4F86"/>
    <w:rsid w:val="006D05B8"/>
    <w:rsid w:val="006F5171"/>
    <w:rsid w:val="00717C5B"/>
    <w:rsid w:val="007236E4"/>
    <w:rsid w:val="007300A9"/>
    <w:rsid w:val="00740112"/>
    <w:rsid w:val="0074330B"/>
    <w:rsid w:val="0074626B"/>
    <w:rsid w:val="00750ABB"/>
    <w:rsid w:val="00761C8F"/>
    <w:rsid w:val="007761BA"/>
    <w:rsid w:val="00777317"/>
    <w:rsid w:val="007815EE"/>
    <w:rsid w:val="00792283"/>
    <w:rsid w:val="007A0AEE"/>
    <w:rsid w:val="007B004D"/>
    <w:rsid w:val="007C7886"/>
    <w:rsid w:val="007D1417"/>
    <w:rsid w:val="007D3423"/>
    <w:rsid w:val="007F4594"/>
    <w:rsid w:val="00801A83"/>
    <w:rsid w:val="008126FF"/>
    <w:rsid w:val="00813AA6"/>
    <w:rsid w:val="00813E9B"/>
    <w:rsid w:val="00844C64"/>
    <w:rsid w:val="008471C1"/>
    <w:rsid w:val="0085104E"/>
    <w:rsid w:val="00852B1D"/>
    <w:rsid w:val="008644DE"/>
    <w:rsid w:val="008857FE"/>
    <w:rsid w:val="00897A86"/>
    <w:rsid w:val="008D401E"/>
    <w:rsid w:val="008E49FE"/>
    <w:rsid w:val="00913F4D"/>
    <w:rsid w:val="00921B84"/>
    <w:rsid w:val="00936256"/>
    <w:rsid w:val="00965E09"/>
    <w:rsid w:val="009A2F93"/>
    <w:rsid w:val="009A363B"/>
    <w:rsid w:val="009A75C1"/>
    <w:rsid w:val="009C3BA9"/>
    <w:rsid w:val="009E2D20"/>
    <w:rsid w:val="009E6431"/>
    <w:rsid w:val="00A00B9A"/>
    <w:rsid w:val="00A056F5"/>
    <w:rsid w:val="00A14443"/>
    <w:rsid w:val="00A355ED"/>
    <w:rsid w:val="00A53B0B"/>
    <w:rsid w:val="00A8792B"/>
    <w:rsid w:val="00AA2912"/>
    <w:rsid w:val="00AB6740"/>
    <w:rsid w:val="00AB6CB4"/>
    <w:rsid w:val="00AD2879"/>
    <w:rsid w:val="00B147D1"/>
    <w:rsid w:val="00B308EB"/>
    <w:rsid w:val="00B404E2"/>
    <w:rsid w:val="00B438C0"/>
    <w:rsid w:val="00B7762C"/>
    <w:rsid w:val="00BA2EF6"/>
    <w:rsid w:val="00BB570E"/>
    <w:rsid w:val="00BC70AD"/>
    <w:rsid w:val="00BD0EEF"/>
    <w:rsid w:val="00BE5577"/>
    <w:rsid w:val="00BF7462"/>
    <w:rsid w:val="00C17F4B"/>
    <w:rsid w:val="00C272FA"/>
    <w:rsid w:val="00C5720F"/>
    <w:rsid w:val="00C80F43"/>
    <w:rsid w:val="00C83A9C"/>
    <w:rsid w:val="00C93061"/>
    <w:rsid w:val="00C9352B"/>
    <w:rsid w:val="00C946F8"/>
    <w:rsid w:val="00CA35B9"/>
    <w:rsid w:val="00CE0160"/>
    <w:rsid w:val="00CE2E12"/>
    <w:rsid w:val="00CF5A19"/>
    <w:rsid w:val="00D037DA"/>
    <w:rsid w:val="00D228F0"/>
    <w:rsid w:val="00D342B3"/>
    <w:rsid w:val="00D403AB"/>
    <w:rsid w:val="00D40D5D"/>
    <w:rsid w:val="00D520F3"/>
    <w:rsid w:val="00D54F4B"/>
    <w:rsid w:val="00D61C70"/>
    <w:rsid w:val="00D64A3C"/>
    <w:rsid w:val="00D66D1F"/>
    <w:rsid w:val="00D75962"/>
    <w:rsid w:val="00D867CB"/>
    <w:rsid w:val="00DD3289"/>
    <w:rsid w:val="00DE163D"/>
    <w:rsid w:val="00DE57EC"/>
    <w:rsid w:val="00DF1191"/>
    <w:rsid w:val="00E0522C"/>
    <w:rsid w:val="00E103E1"/>
    <w:rsid w:val="00E23A50"/>
    <w:rsid w:val="00E27CB7"/>
    <w:rsid w:val="00E32D36"/>
    <w:rsid w:val="00E41D2D"/>
    <w:rsid w:val="00E8231D"/>
    <w:rsid w:val="00F05305"/>
    <w:rsid w:val="00F11BA1"/>
    <w:rsid w:val="00F11D5D"/>
    <w:rsid w:val="00F37BFF"/>
    <w:rsid w:val="00F46068"/>
    <w:rsid w:val="00F5396F"/>
    <w:rsid w:val="00F578BB"/>
    <w:rsid w:val="00F63A34"/>
    <w:rsid w:val="00F66309"/>
    <w:rsid w:val="00F939A7"/>
    <w:rsid w:val="00FB6537"/>
    <w:rsid w:val="00FC730B"/>
    <w:rsid w:val="00FD659E"/>
    <w:rsid w:val="00FE7FCE"/>
    <w:rsid w:val="00FF2F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FA"/>
    <w:pPr>
      <w:ind w:left="720"/>
      <w:contextualSpacing/>
    </w:pPr>
  </w:style>
  <w:style w:type="paragraph" w:styleId="NormalWeb">
    <w:name w:val="Normal (Web)"/>
    <w:basedOn w:val="Normal"/>
    <w:uiPriority w:val="99"/>
    <w:semiHidden/>
    <w:unhideWhenUsed/>
    <w:rsid w:val="00CF5A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447A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7A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33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330B"/>
  </w:style>
  <w:style w:type="paragraph" w:styleId="Footer">
    <w:name w:val="footer"/>
    <w:basedOn w:val="Normal"/>
    <w:link w:val="FooterChar"/>
    <w:uiPriority w:val="99"/>
    <w:semiHidden/>
    <w:unhideWhenUsed/>
    <w:rsid w:val="0074330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4330B"/>
  </w:style>
  <w:style w:type="character" w:styleId="Hyperlink">
    <w:name w:val="Hyperlink"/>
    <w:basedOn w:val="DefaultParagraphFont"/>
    <w:uiPriority w:val="99"/>
    <w:unhideWhenUsed/>
    <w:rsid w:val="00645D73"/>
    <w:rPr>
      <w:color w:val="0000FF"/>
      <w:u w:val="single"/>
    </w:rPr>
  </w:style>
  <w:style w:type="paragraph" w:styleId="BalloonText">
    <w:name w:val="Balloon Text"/>
    <w:basedOn w:val="Normal"/>
    <w:link w:val="BalloonTextChar"/>
    <w:uiPriority w:val="99"/>
    <w:semiHidden/>
    <w:unhideWhenUsed/>
    <w:rsid w:val="000B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75"/>
    <w:rPr>
      <w:rFonts w:ascii="Tahoma" w:hAnsi="Tahoma" w:cs="Tahoma"/>
      <w:sz w:val="16"/>
      <w:szCs w:val="16"/>
    </w:rPr>
  </w:style>
  <w:style w:type="character" w:styleId="CommentReference">
    <w:name w:val="annotation reference"/>
    <w:basedOn w:val="DefaultParagraphFont"/>
    <w:uiPriority w:val="99"/>
    <w:semiHidden/>
    <w:unhideWhenUsed/>
    <w:rsid w:val="00D40D5D"/>
    <w:rPr>
      <w:sz w:val="16"/>
      <w:szCs w:val="16"/>
    </w:rPr>
  </w:style>
  <w:style w:type="paragraph" w:styleId="CommentSubject">
    <w:name w:val="annotation subject"/>
    <w:basedOn w:val="CommentText"/>
    <w:next w:val="CommentText"/>
    <w:link w:val="CommentSubjectChar"/>
    <w:uiPriority w:val="99"/>
    <w:semiHidden/>
    <w:unhideWhenUsed/>
    <w:rsid w:val="00D40D5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40D5D"/>
    <w:rPr>
      <w:b/>
      <w:bCs/>
    </w:rPr>
  </w:style>
</w:styles>
</file>

<file path=word/webSettings.xml><?xml version="1.0" encoding="utf-8"?>
<w:webSettings xmlns:r="http://schemas.openxmlformats.org/officeDocument/2006/relationships" xmlns:w="http://schemas.openxmlformats.org/wordprocessingml/2006/main">
  <w:divs>
    <w:div w:id="507718456">
      <w:bodyDiv w:val="1"/>
      <w:marLeft w:val="0"/>
      <w:marRight w:val="0"/>
      <w:marTop w:val="0"/>
      <w:marBottom w:val="0"/>
      <w:divBdr>
        <w:top w:val="none" w:sz="0" w:space="0" w:color="auto"/>
        <w:left w:val="none" w:sz="0" w:space="0" w:color="auto"/>
        <w:bottom w:val="none" w:sz="0" w:space="0" w:color="auto"/>
        <w:right w:val="none" w:sz="0" w:space="0" w:color="auto"/>
      </w:divBdr>
    </w:div>
    <w:div w:id="813253414">
      <w:bodyDiv w:val="1"/>
      <w:marLeft w:val="0"/>
      <w:marRight w:val="0"/>
      <w:marTop w:val="0"/>
      <w:marBottom w:val="0"/>
      <w:divBdr>
        <w:top w:val="none" w:sz="0" w:space="0" w:color="auto"/>
        <w:left w:val="none" w:sz="0" w:space="0" w:color="auto"/>
        <w:bottom w:val="none" w:sz="0" w:space="0" w:color="auto"/>
        <w:right w:val="none" w:sz="0" w:space="0" w:color="auto"/>
      </w:divBdr>
    </w:div>
    <w:div w:id="1527675392">
      <w:bodyDiv w:val="1"/>
      <w:marLeft w:val="0"/>
      <w:marRight w:val="0"/>
      <w:marTop w:val="0"/>
      <w:marBottom w:val="0"/>
      <w:divBdr>
        <w:top w:val="none" w:sz="0" w:space="0" w:color="auto"/>
        <w:left w:val="none" w:sz="0" w:space="0" w:color="auto"/>
        <w:bottom w:val="none" w:sz="0" w:space="0" w:color="auto"/>
        <w:right w:val="none" w:sz="0" w:space="0" w:color="auto"/>
      </w:divBdr>
    </w:div>
    <w:div w:id="20126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2CCC-3EA5-4856-A0FD-A3D3668D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14609</Words>
  <Characters>8328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Informatīvais ziņojums par normatīvajiem aktiem kas nosaka dažādu atļauju (licenču) izsniegšanu un tajos paredzēto anulēšanas kārtību par nopietniem saimnieciskās darbības pārkāpumiem</vt:lpstr>
    </vt:vector>
  </TitlesOfParts>
  <Company>LR Ekonomikas ministrija</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normatīvajiem aktiem kas nosaka dažādu atļauju (licenču) izsniegšanu un tajos paredzēto anulēšanas kārtību par nopietniem saimnieciskās darbības pārkāpumiem</dc:title>
  <dc:subject>Informatīvais ziņojums</dc:subject>
  <dc:creator>Edmunds Fernāts</dc:creator>
  <cp:keywords/>
  <dc:description>Edmunds.Fernats@em.gov.lv
67013053</dc:description>
  <cp:lastModifiedBy>Edmunds Fernāts</cp:lastModifiedBy>
  <cp:revision>9</cp:revision>
  <dcterms:created xsi:type="dcterms:W3CDTF">2011-06-09T05:41:00Z</dcterms:created>
  <dcterms:modified xsi:type="dcterms:W3CDTF">2011-06-27T07:34:00Z</dcterms:modified>
</cp:coreProperties>
</file>