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16" w:rsidRDefault="00FA1E16" w:rsidP="00FA1E16">
      <w:pPr>
        <w:spacing w:after="0" w:line="240" w:lineRule="auto"/>
        <w:ind w:left="4961" w:right="45"/>
        <w:jc w:val="right"/>
        <w:rPr>
          <w:rFonts w:ascii="Times New Roman" w:hAnsi="Times New Roman" w:cs="Times New Roman"/>
          <w:sz w:val="24"/>
          <w:szCs w:val="24"/>
        </w:rPr>
      </w:pPr>
      <w:r>
        <w:rPr>
          <w:rFonts w:ascii="Times New Roman" w:hAnsi="Times New Roman" w:cs="Times New Roman"/>
          <w:sz w:val="24"/>
          <w:szCs w:val="24"/>
        </w:rPr>
        <w:t>3.pielikums</w:t>
      </w:r>
    </w:p>
    <w:p w:rsidR="00FA1E16" w:rsidRDefault="00FA1E16" w:rsidP="00FA1E16">
      <w:pPr>
        <w:spacing w:after="0" w:line="240" w:lineRule="auto"/>
        <w:ind w:left="8931" w:right="45" w:firstLine="850"/>
        <w:jc w:val="right"/>
        <w:rPr>
          <w:rFonts w:ascii="Times New Roman" w:hAnsi="Times New Roman"/>
          <w:sz w:val="24"/>
        </w:rPr>
      </w:pPr>
      <w:r>
        <w:rPr>
          <w:rFonts w:ascii="Times New Roman" w:hAnsi="Times New Roman" w:cs="Times New Roman"/>
          <w:sz w:val="24"/>
          <w:szCs w:val="24"/>
        </w:rPr>
        <w:t>informatīvajam ziņojumam „P</w:t>
      </w:r>
      <w:r w:rsidRPr="00B36049">
        <w:rPr>
          <w:rFonts w:ascii="Times New Roman" w:hAnsi="Times New Roman"/>
          <w:sz w:val="24"/>
        </w:rPr>
        <w:t xml:space="preserve">ar normatīvajiem aktiem, kas nosaka dažādu atļauju (licenču) izsniegšanu un </w:t>
      </w:r>
      <w:r>
        <w:rPr>
          <w:rFonts w:ascii="Times New Roman" w:hAnsi="Times New Roman"/>
          <w:sz w:val="24"/>
        </w:rPr>
        <w:t xml:space="preserve">tajos paredzēto </w:t>
      </w:r>
      <w:r w:rsidRPr="00B36049">
        <w:rPr>
          <w:rFonts w:ascii="Times New Roman" w:hAnsi="Times New Roman"/>
          <w:sz w:val="24"/>
        </w:rPr>
        <w:t>anulēšan</w:t>
      </w:r>
      <w:r>
        <w:rPr>
          <w:rFonts w:ascii="Times New Roman" w:hAnsi="Times New Roman"/>
          <w:sz w:val="24"/>
        </w:rPr>
        <w:t>as</w:t>
      </w:r>
      <w:r w:rsidRPr="00B36049">
        <w:rPr>
          <w:rFonts w:ascii="Times New Roman" w:hAnsi="Times New Roman"/>
          <w:sz w:val="24"/>
        </w:rPr>
        <w:t xml:space="preserve"> </w:t>
      </w:r>
      <w:r>
        <w:rPr>
          <w:rFonts w:ascii="Times New Roman" w:hAnsi="Times New Roman"/>
          <w:sz w:val="24"/>
        </w:rPr>
        <w:t xml:space="preserve">kārtību </w:t>
      </w:r>
      <w:r w:rsidRPr="00B36049">
        <w:rPr>
          <w:rFonts w:ascii="Times New Roman" w:hAnsi="Times New Roman"/>
          <w:sz w:val="24"/>
        </w:rPr>
        <w:t>par nopietniem saimnieciskās darbības pārkāpumiem</w:t>
      </w:r>
      <w:r>
        <w:rPr>
          <w:rFonts w:ascii="Times New Roman" w:hAnsi="Times New Roman"/>
          <w:sz w:val="24"/>
        </w:rPr>
        <w:t>”</w:t>
      </w:r>
    </w:p>
    <w:p w:rsidR="00FA1E16" w:rsidRDefault="00FA1E16" w:rsidP="00FA1E16">
      <w:pPr>
        <w:spacing w:after="0" w:line="240" w:lineRule="auto"/>
        <w:ind w:left="4962" w:right="45"/>
        <w:jc w:val="right"/>
        <w:rPr>
          <w:rFonts w:ascii="Times New Roman" w:hAnsi="Times New Roman"/>
          <w:sz w:val="24"/>
        </w:rPr>
      </w:pPr>
    </w:p>
    <w:p w:rsidR="00FA1E16" w:rsidRPr="00FA1E16" w:rsidRDefault="00FA1E16" w:rsidP="00FA1E16">
      <w:pPr>
        <w:spacing w:after="0" w:line="240" w:lineRule="auto"/>
        <w:ind w:right="45"/>
        <w:jc w:val="center"/>
        <w:rPr>
          <w:rFonts w:ascii="Times New Roman" w:hAnsi="Times New Roman"/>
          <w:b/>
          <w:sz w:val="28"/>
          <w:szCs w:val="28"/>
        </w:rPr>
      </w:pPr>
      <w:r w:rsidRPr="00FA1E16">
        <w:rPr>
          <w:rFonts w:ascii="Times New Roman" w:hAnsi="Times New Roman"/>
          <w:b/>
          <w:sz w:val="28"/>
          <w:szCs w:val="28"/>
        </w:rPr>
        <w:t xml:space="preserve">Informācija par </w:t>
      </w:r>
      <w:r w:rsidRPr="00FA1E16">
        <w:rPr>
          <w:rFonts w:ascii="Times New Roman" w:hAnsi="Times New Roman"/>
          <w:b/>
          <w:bCs/>
          <w:sz w:val="28"/>
          <w:szCs w:val="28"/>
        </w:rPr>
        <w:t>atļauj</w:t>
      </w:r>
      <w:r>
        <w:rPr>
          <w:rFonts w:ascii="Times New Roman" w:hAnsi="Times New Roman"/>
          <w:b/>
          <w:bCs/>
          <w:sz w:val="28"/>
          <w:szCs w:val="28"/>
        </w:rPr>
        <w:t>ām</w:t>
      </w:r>
      <w:r w:rsidRPr="00FA1E16">
        <w:rPr>
          <w:rFonts w:ascii="Times New Roman" w:hAnsi="Times New Roman"/>
          <w:b/>
          <w:bCs/>
          <w:sz w:val="28"/>
          <w:szCs w:val="28"/>
        </w:rPr>
        <w:t xml:space="preserve"> (licences), kurām nav paredzēta anulēšanas kārtībā, un, ņemot vērā konkrētās atļaujas (licences) specifiku, nav nepieciešams vai nav iespējams normatīvajos aktos paredzēt atļaujas (licences) anulēšanas kārtību</w:t>
      </w:r>
    </w:p>
    <w:p w:rsidR="00FA1E16" w:rsidRPr="00FA1E16" w:rsidRDefault="00FA1E16" w:rsidP="00FA1E16">
      <w:pPr>
        <w:spacing w:after="0" w:line="240" w:lineRule="auto"/>
        <w:ind w:right="45"/>
        <w:jc w:val="both"/>
        <w:rPr>
          <w:rFonts w:ascii="Times New Roman" w:hAnsi="Times New Roman"/>
          <w:sz w:val="20"/>
          <w:szCs w:val="20"/>
        </w:rPr>
      </w:pPr>
    </w:p>
    <w:tbl>
      <w:tblPr>
        <w:tblW w:w="13922" w:type="dxa"/>
        <w:tblInd w:w="78" w:type="dxa"/>
        <w:tblLayout w:type="fixed"/>
        <w:tblLook w:val="0000"/>
      </w:tblPr>
      <w:tblGrid>
        <w:gridCol w:w="1306"/>
        <w:gridCol w:w="3119"/>
        <w:gridCol w:w="9497"/>
      </w:tblGrid>
      <w:tr w:rsidR="00FA1E16" w:rsidRPr="00576E06" w:rsidTr="00FA1E16">
        <w:trPr>
          <w:trHeight w:val="290"/>
        </w:trPr>
        <w:tc>
          <w:tcPr>
            <w:tcW w:w="130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A1E16" w:rsidRPr="00576E06" w:rsidRDefault="00FA1E16" w:rsidP="00D0534E">
            <w:pPr>
              <w:autoSpaceDE w:val="0"/>
              <w:autoSpaceDN w:val="0"/>
              <w:adjustRightInd w:val="0"/>
              <w:spacing w:after="0" w:line="240" w:lineRule="auto"/>
              <w:jc w:val="center"/>
              <w:rPr>
                <w:rFonts w:ascii="Times New Roman" w:hAnsi="Times New Roman" w:cs="Times New Roman"/>
                <w:b/>
                <w:color w:val="000000"/>
                <w:sz w:val="24"/>
                <w:szCs w:val="24"/>
              </w:rPr>
            </w:pPr>
            <w:r w:rsidRPr="00576E06">
              <w:rPr>
                <w:rFonts w:ascii="Times New Roman" w:hAnsi="Times New Roman" w:cs="Times New Roman"/>
                <w:b/>
                <w:color w:val="000000"/>
                <w:sz w:val="24"/>
                <w:szCs w:val="24"/>
              </w:rPr>
              <w:t>Institūcija</w:t>
            </w:r>
          </w:p>
        </w:tc>
        <w:tc>
          <w:tcPr>
            <w:tcW w:w="311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A1E16" w:rsidRPr="00576E06" w:rsidRDefault="00FA1E16" w:rsidP="00D0534E">
            <w:pPr>
              <w:autoSpaceDE w:val="0"/>
              <w:autoSpaceDN w:val="0"/>
              <w:adjustRightInd w:val="0"/>
              <w:spacing w:after="0" w:line="240" w:lineRule="auto"/>
              <w:jc w:val="center"/>
              <w:rPr>
                <w:rFonts w:ascii="Times New Roman" w:hAnsi="Times New Roman" w:cs="Times New Roman"/>
                <w:b/>
                <w:color w:val="000000"/>
                <w:sz w:val="24"/>
                <w:szCs w:val="24"/>
              </w:rPr>
            </w:pPr>
            <w:r w:rsidRPr="00576E06">
              <w:rPr>
                <w:rFonts w:ascii="Times New Roman" w:hAnsi="Times New Roman" w:cs="Times New Roman"/>
                <w:b/>
                <w:color w:val="000000"/>
                <w:sz w:val="24"/>
                <w:szCs w:val="24"/>
              </w:rPr>
              <w:t>Atļauja (licence)</w:t>
            </w:r>
          </w:p>
        </w:tc>
        <w:tc>
          <w:tcPr>
            <w:tcW w:w="949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A1E16" w:rsidRPr="00576E06" w:rsidRDefault="00FA1E16" w:rsidP="00D0534E">
            <w:pPr>
              <w:autoSpaceDE w:val="0"/>
              <w:autoSpaceDN w:val="0"/>
              <w:adjustRightInd w:val="0"/>
              <w:spacing w:after="0" w:line="240" w:lineRule="auto"/>
              <w:jc w:val="center"/>
              <w:rPr>
                <w:rFonts w:ascii="Times New Roman" w:hAnsi="Times New Roman" w:cs="Times New Roman"/>
                <w:b/>
                <w:color w:val="000000"/>
                <w:sz w:val="24"/>
                <w:szCs w:val="24"/>
              </w:rPr>
            </w:pPr>
            <w:r w:rsidRPr="00576E06">
              <w:rPr>
                <w:rFonts w:ascii="Times New Roman" w:hAnsi="Times New Roman" w:cs="Times New Roman"/>
                <w:b/>
                <w:color w:val="000000"/>
                <w:sz w:val="24"/>
                <w:szCs w:val="24"/>
              </w:rPr>
              <w:t>Argumentācija</w:t>
            </w:r>
          </w:p>
        </w:tc>
      </w:tr>
      <w:tr w:rsidR="00FA1E16" w:rsidRPr="00576E06" w:rsidTr="00D0534E">
        <w:trPr>
          <w:trHeight w:val="991"/>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Ekonomikas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Importa licence/uzraudzības dokuments tērauda produktu ievešanai Eiropas Savienībā</w:t>
            </w:r>
          </w:p>
        </w:tc>
        <w:tc>
          <w:tcPr>
            <w:tcW w:w="9497" w:type="dxa"/>
            <w:vMerge w:val="restart"/>
            <w:tcBorders>
              <w:top w:val="single" w:sz="6" w:space="0" w:color="auto"/>
              <w:left w:val="single" w:sz="6" w:space="0" w:color="auto"/>
              <w:right w:val="single" w:sz="6" w:space="0" w:color="auto"/>
            </w:tcBorders>
            <w:vAlign w:val="center"/>
          </w:tcPr>
          <w:p w:rsidR="00FA1E16" w:rsidRPr="00576E06" w:rsidRDefault="00FA1E16" w:rsidP="00781517">
            <w:pPr>
              <w:autoSpaceDE w:val="0"/>
              <w:autoSpaceDN w:val="0"/>
              <w:adjustRightInd w:val="0"/>
              <w:spacing w:after="6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Atļauja</w:t>
            </w:r>
            <w:r>
              <w:rPr>
                <w:rFonts w:ascii="Times New Roman" w:hAnsi="Times New Roman" w:cs="Times New Roman"/>
                <w:color w:val="000000"/>
                <w:sz w:val="20"/>
                <w:szCs w:val="20"/>
              </w:rPr>
              <w:t>s</w:t>
            </w:r>
            <w:r w:rsidRPr="00576E06">
              <w:rPr>
                <w:rFonts w:ascii="Times New Roman" w:hAnsi="Times New Roman" w:cs="Times New Roman"/>
                <w:color w:val="000000"/>
                <w:sz w:val="20"/>
                <w:szCs w:val="20"/>
              </w:rPr>
              <w:t xml:space="preserve"> (licence</w:t>
            </w:r>
            <w:r>
              <w:rPr>
                <w:rFonts w:ascii="Times New Roman" w:hAnsi="Times New Roman" w:cs="Times New Roman"/>
                <w:color w:val="000000"/>
                <w:sz w:val="20"/>
                <w:szCs w:val="20"/>
              </w:rPr>
              <w:t>s</w:t>
            </w:r>
            <w:r w:rsidRPr="00576E06">
              <w:rPr>
                <w:rFonts w:ascii="Times New Roman" w:hAnsi="Times New Roman" w:cs="Times New Roman"/>
                <w:color w:val="000000"/>
                <w:sz w:val="20"/>
                <w:szCs w:val="20"/>
              </w:rPr>
              <w:t>) tiek izsniegta saskaņā ar Eiropas Savienības regulām</w:t>
            </w:r>
            <w:r w:rsidR="00781517">
              <w:rPr>
                <w:rFonts w:ascii="Times New Roman" w:hAnsi="Times New Roman" w:cs="Times New Roman"/>
                <w:color w:val="000000"/>
                <w:sz w:val="20"/>
                <w:szCs w:val="20"/>
              </w:rPr>
              <w:t xml:space="preserve"> - </w:t>
            </w:r>
            <w:r w:rsidR="00781517" w:rsidRPr="00781517">
              <w:rPr>
                <w:rFonts w:ascii="Times New Roman" w:hAnsi="Times New Roman"/>
                <w:sz w:val="20"/>
                <w:szCs w:val="20"/>
              </w:rPr>
              <w:t>Pado</w:t>
            </w:r>
            <w:r w:rsidR="00781517">
              <w:rPr>
                <w:rFonts w:ascii="Times New Roman" w:hAnsi="Times New Roman"/>
                <w:sz w:val="20"/>
                <w:szCs w:val="20"/>
              </w:rPr>
              <w:t>mes 2007.gada 22. oktobra Regulu</w:t>
            </w:r>
            <w:r w:rsidR="00781517" w:rsidRPr="00781517">
              <w:rPr>
                <w:rFonts w:ascii="Times New Roman" w:hAnsi="Times New Roman"/>
                <w:sz w:val="20"/>
                <w:szCs w:val="20"/>
              </w:rPr>
              <w:t xml:space="preserve"> Nr.1342/2007</w:t>
            </w:r>
            <w:r w:rsidR="00781517">
              <w:rPr>
                <w:rFonts w:ascii="Times New Roman" w:hAnsi="Times New Roman"/>
                <w:sz w:val="20"/>
                <w:szCs w:val="20"/>
              </w:rPr>
              <w:t xml:space="preserve">, </w:t>
            </w:r>
            <w:r w:rsidR="00781517" w:rsidRPr="00781517">
              <w:rPr>
                <w:rFonts w:ascii="Times New Roman" w:hAnsi="Times New Roman"/>
                <w:sz w:val="20"/>
                <w:szCs w:val="20"/>
              </w:rPr>
              <w:t>Padomes 2008.gada 8.decembra Regul</w:t>
            </w:r>
            <w:r w:rsidR="00781517">
              <w:rPr>
                <w:rFonts w:ascii="Times New Roman" w:hAnsi="Times New Roman"/>
                <w:sz w:val="20"/>
                <w:szCs w:val="20"/>
              </w:rPr>
              <w:t>u</w:t>
            </w:r>
            <w:r w:rsidR="00781517" w:rsidRPr="00781517">
              <w:rPr>
                <w:rFonts w:ascii="Times New Roman" w:hAnsi="Times New Roman"/>
                <w:sz w:val="20"/>
                <w:szCs w:val="20"/>
              </w:rPr>
              <w:t xml:space="preserve"> Nr.1340/2008</w:t>
            </w:r>
            <w:r w:rsidR="00781517">
              <w:rPr>
                <w:rFonts w:ascii="Times New Roman" w:hAnsi="Times New Roman" w:cs="Times New Roman"/>
                <w:color w:val="000000"/>
                <w:sz w:val="20"/>
                <w:szCs w:val="20"/>
              </w:rPr>
              <w:t xml:space="preserve">, </w:t>
            </w:r>
            <w:r w:rsidR="00781517" w:rsidRPr="00781517">
              <w:rPr>
                <w:rFonts w:ascii="Times New Roman" w:hAnsi="Times New Roman"/>
                <w:sz w:val="20"/>
                <w:szCs w:val="20"/>
              </w:rPr>
              <w:t>Eiropas Komisijas 2002.gada 17. janvāra Regul</w:t>
            </w:r>
            <w:r w:rsidR="00781517">
              <w:rPr>
                <w:rFonts w:ascii="Times New Roman" w:hAnsi="Times New Roman"/>
                <w:sz w:val="20"/>
                <w:szCs w:val="20"/>
              </w:rPr>
              <w:t>u</w:t>
            </w:r>
            <w:r w:rsidR="00781517" w:rsidRPr="00781517">
              <w:rPr>
                <w:rFonts w:ascii="Times New Roman" w:hAnsi="Times New Roman"/>
                <w:sz w:val="20"/>
                <w:szCs w:val="20"/>
              </w:rPr>
              <w:t xml:space="preserve"> Nr. 76/2002</w:t>
            </w:r>
            <w:r w:rsidR="00781517">
              <w:rPr>
                <w:rFonts w:ascii="Times New Roman" w:hAnsi="Times New Roman"/>
                <w:sz w:val="20"/>
                <w:szCs w:val="20"/>
              </w:rPr>
              <w:t xml:space="preserve">, </w:t>
            </w:r>
            <w:r w:rsidR="00781517" w:rsidRPr="00781517">
              <w:rPr>
                <w:rFonts w:ascii="Times New Roman" w:hAnsi="Times New Roman"/>
                <w:sz w:val="20"/>
                <w:szCs w:val="20"/>
              </w:rPr>
              <w:t>Padom</w:t>
            </w:r>
            <w:r w:rsidR="00781517">
              <w:rPr>
                <w:rFonts w:ascii="Times New Roman" w:hAnsi="Times New Roman"/>
                <w:sz w:val="20"/>
                <w:szCs w:val="20"/>
              </w:rPr>
              <w:t>es 1993. gada 12. oktobra Regulu</w:t>
            </w:r>
            <w:r w:rsidR="00781517" w:rsidRPr="00781517">
              <w:rPr>
                <w:rFonts w:ascii="Times New Roman" w:hAnsi="Times New Roman"/>
                <w:sz w:val="20"/>
                <w:szCs w:val="20"/>
              </w:rPr>
              <w:t xml:space="preserve"> Nr. 3030/93</w:t>
            </w:r>
            <w:r w:rsidR="00781517">
              <w:rPr>
                <w:rFonts w:ascii="Times New Roman" w:hAnsi="Times New Roman"/>
                <w:sz w:val="20"/>
                <w:szCs w:val="20"/>
              </w:rPr>
              <w:t xml:space="preserve"> un </w:t>
            </w:r>
            <w:r w:rsidR="00781517" w:rsidRPr="00781517">
              <w:rPr>
                <w:rFonts w:ascii="Times New Roman" w:hAnsi="Times New Roman"/>
                <w:sz w:val="20"/>
                <w:szCs w:val="20"/>
              </w:rPr>
              <w:t>P</w:t>
            </w:r>
            <w:r w:rsidR="00781517">
              <w:rPr>
                <w:rFonts w:ascii="Times New Roman" w:hAnsi="Times New Roman"/>
                <w:sz w:val="20"/>
                <w:szCs w:val="20"/>
              </w:rPr>
              <w:t>adomes 1994. gada 7. marta Regulu</w:t>
            </w:r>
            <w:r w:rsidR="00781517" w:rsidRPr="00781517">
              <w:rPr>
                <w:rFonts w:ascii="Times New Roman" w:hAnsi="Times New Roman"/>
                <w:sz w:val="20"/>
                <w:szCs w:val="20"/>
              </w:rPr>
              <w:t xml:space="preserve"> Nr. 517/94</w:t>
            </w:r>
            <w:r w:rsidRPr="00576E06">
              <w:rPr>
                <w:rFonts w:ascii="Times New Roman" w:hAnsi="Times New Roman" w:cs="Times New Roman"/>
                <w:color w:val="000000"/>
                <w:sz w:val="20"/>
                <w:szCs w:val="20"/>
              </w:rPr>
              <w:t>. Iesniedzot konkrēto vienreizējo darījumu apliecinošus atbilstošus pavaddokumentus (darījuma līguma, preču rēķina, kvalitātes sertifikāta apliecinātās kopijas vai eksporta licences oriģinālus), importa licences saņēmējs iegūst tiesības ievest noteiktu preces daudzumu laišanai brīvā apgrozībā Eiropas Savienības tirgū.</w:t>
            </w:r>
          </w:p>
        </w:tc>
      </w:tr>
      <w:tr w:rsidR="00FA1E16" w:rsidRPr="00576E06" w:rsidTr="00FA1E16">
        <w:trPr>
          <w:trHeight w:val="791"/>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Ekonomikas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Importa licence/uzraudzības dokuments tekstilpreču ievešanai Eiropas Savienībā</w:t>
            </w:r>
          </w:p>
        </w:tc>
        <w:tc>
          <w:tcPr>
            <w:tcW w:w="9497" w:type="dxa"/>
            <w:vMerge/>
            <w:tcBorders>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p>
        </w:tc>
      </w:tr>
      <w:tr w:rsidR="00FA1E16" w:rsidRPr="00576E06" w:rsidTr="00FA1E16">
        <w:trPr>
          <w:trHeight w:val="694"/>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Ekonomikas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Iepriekšējā atļauja tekstilizstrādājumu izvešanai ekonomiskai pārstrādei</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 xml:space="preserve">Atļauja (licence) tiek izsniegta saskaņā ar </w:t>
            </w:r>
            <w:r w:rsidR="00781517" w:rsidRPr="00781517">
              <w:rPr>
                <w:rFonts w:ascii="Times New Roman" w:hAnsi="Times New Roman"/>
                <w:sz w:val="20"/>
                <w:szCs w:val="20"/>
              </w:rPr>
              <w:t>Pado</w:t>
            </w:r>
            <w:r w:rsidR="00781517">
              <w:rPr>
                <w:rFonts w:ascii="Times New Roman" w:hAnsi="Times New Roman"/>
                <w:sz w:val="20"/>
                <w:szCs w:val="20"/>
              </w:rPr>
              <w:t>mes 1994.gada 8. decembra Regulu</w:t>
            </w:r>
            <w:r w:rsidR="00781517" w:rsidRPr="00781517">
              <w:rPr>
                <w:rFonts w:ascii="Times New Roman" w:hAnsi="Times New Roman"/>
                <w:sz w:val="20"/>
                <w:szCs w:val="20"/>
              </w:rPr>
              <w:t xml:space="preserve"> Nr. 3036/94</w:t>
            </w:r>
            <w:r w:rsidR="00781517">
              <w:rPr>
                <w:rFonts w:ascii="Times New Roman" w:hAnsi="Times New Roman"/>
                <w:sz w:val="20"/>
                <w:szCs w:val="20"/>
              </w:rPr>
              <w:t xml:space="preserve"> </w:t>
            </w:r>
            <w:r w:rsidR="00781517" w:rsidRPr="00781517">
              <w:rPr>
                <w:rFonts w:ascii="Times New Roman" w:hAnsi="Times New Roman"/>
                <w:sz w:val="20"/>
                <w:szCs w:val="20"/>
              </w:rPr>
              <w:t>un Eiropas Komisija</w:t>
            </w:r>
            <w:r w:rsidR="00781517">
              <w:rPr>
                <w:rFonts w:ascii="Times New Roman" w:hAnsi="Times New Roman"/>
                <w:sz w:val="20"/>
                <w:szCs w:val="20"/>
              </w:rPr>
              <w:t>s 1995. gada 20. decembra Regulu</w:t>
            </w:r>
            <w:r w:rsidR="00781517" w:rsidRPr="00781517">
              <w:rPr>
                <w:rFonts w:ascii="Times New Roman" w:hAnsi="Times New Roman"/>
                <w:sz w:val="20"/>
                <w:szCs w:val="20"/>
              </w:rPr>
              <w:t xml:space="preserve"> Nr. 3017/95</w:t>
            </w:r>
            <w:r w:rsidR="00781517">
              <w:rPr>
                <w:rFonts w:ascii="Times New Roman" w:hAnsi="Times New Roman"/>
                <w:sz w:val="20"/>
                <w:szCs w:val="20"/>
              </w:rPr>
              <w:t>.</w:t>
            </w:r>
          </w:p>
        </w:tc>
      </w:tr>
      <w:tr w:rsidR="00FA1E16" w:rsidRPr="00576E06" w:rsidTr="00FA1E16">
        <w:trPr>
          <w:trHeight w:val="1211"/>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Ekonomikas ministrija</w:t>
            </w:r>
          </w:p>
        </w:tc>
        <w:tc>
          <w:tcPr>
            <w:tcW w:w="3119" w:type="dxa"/>
            <w:tcBorders>
              <w:top w:val="nil"/>
              <w:left w:val="nil"/>
              <w:bottom w:val="single" w:sz="6" w:space="0" w:color="auto"/>
              <w:right w:val="nil"/>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Eksporta un importa atļaujas precēm, kuras varētu izmantot nāvessoda izpildei, spīdzināšanai vai citādai nežēlīgai, necilvēcīgai vai pazemojošai rīcībai vai sodīšanai</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 xml:space="preserve">Atļauja (licence) tiek izsniegta saskaņā ar </w:t>
            </w:r>
            <w:r w:rsidR="00781517" w:rsidRPr="00781517">
              <w:rPr>
                <w:rFonts w:ascii="Times New Roman" w:hAnsi="Times New Roman"/>
                <w:sz w:val="20"/>
                <w:szCs w:val="20"/>
              </w:rPr>
              <w:t>Padomes 2005.gada 27.jūnija Regula Nr. 1236/2005</w:t>
            </w:r>
            <w:r w:rsidRPr="00576E06">
              <w:rPr>
                <w:rFonts w:ascii="Times New Roman" w:hAnsi="Times New Roman" w:cs="Times New Roman"/>
                <w:color w:val="000000"/>
                <w:sz w:val="20"/>
                <w:szCs w:val="20"/>
              </w:rPr>
              <w:t>. Iesniedzot konkrēto vienreizējo darījumu apliecinošus atbilstošus pavaddokumentus (darījuma līguma, preču rēķina, kvalitātes sertifikāta apliecinātās kopijas vai eksporta licences  oriģinālus), importa licences saņēmējs iegūst tiesības ievest noteiktu preces daudzumu laišanai brīvā apgrozībā Eiropas Savienības tirgū.</w:t>
            </w:r>
          </w:p>
        </w:tc>
      </w:tr>
      <w:tr w:rsidR="00FA1E16" w:rsidRPr="00576E06" w:rsidTr="00FA1E16">
        <w:trPr>
          <w:trHeight w:val="1253"/>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Ekonomikas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Tūrisma aģentu un tūrisma operatoru datu bāzes reģistrs</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Informatīva rakstura datu bāze, kurā tiek uzkrāta un aktualizēta informācija par tirgū esošajiem tūrisma aģentiem un tūrisma operatoriem, kā arī informāciju par tūrisma operatoru klienta iemaksātās naudas drošības garantijas nodrošināšanu. Datubāze ir publiski pieejama visiem interesentiem un to var izmantot potenciālie ceļotāji, lai pārliecinātos, vai tūrisma komersants ir reģistrējis savu darbību kā tūrisma aģents vai tūrisma operators, kā arī, vai izvēlētais tūrisma operators ir nodrošinājis klientu iemaksātās naudas drošības garantiju.</w:t>
            </w:r>
          </w:p>
        </w:tc>
      </w:tr>
      <w:tr w:rsidR="00FA1E16" w:rsidRPr="00576E06" w:rsidTr="00FA1E16">
        <w:trPr>
          <w:trHeight w:val="544"/>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lastRenderedPageBreak/>
              <w:t>Finanšu ministrija</w:t>
            </w:r>
          </w:p>
        </w:tc>
        <w:tc>
          <w:tcPr>
            <w:tcW w:w="3119" w:type="dxa"/>
            <w:tcBorders>
              <w:top w:val="single" w:sz="6" w:space="0" w:color="auto"/>
              <w:left w:val="nil"/>
              <w:bottom w:val="nil"/>
              <w:right w:val="nil"/>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Atļauja piemērot muitošanas režīmu – preču iznīcināšana.</w:t>
            </w:r>
          </w:p>
        </w:tc>
        <w:tc>
          <w:tcPr>
            <w:tcW w:w="9497" w:type="dxa"/>
            <w:vMerge w:val="restart"/>
            <w:tcBorders>
              <w:top w:val="single" w:sz="6" w:space="0" w:color="auto"/>
              <w:left w:val="single" w:sz="6" w:space="0" w:color="auto"/>
              <w:right w:val="single" w:sz="6" w:space="0" w:color="auto"/>
            </w:tcBorders>
            <w:vAlign w:val="center"/>
          </w:tcPr>
          <w:p w:rsidR="00FA1E16" w:rsidRPr="00576E06" w:rsidRDefault="00FA1E16" w:rsidP="00FA1E16">
            <w:pPr>
              <w:autoSpaceDE w:val="0"/>
              <w:autoSpaceDN w:val="0"/>
              <w:adjustRightInd w:val="0"/>
              <w:spacing w:after="6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Atļauj</w:t>
            </w:r>
            <w:r>
              <w:rPr>
                <w:rFonts w:ascii="Times New Roman" w:hAnsi="Times New Roman" w:cs="Times New Roman"/>
                <w:color w:val="000000"/>
                <w:sz w:val="20"/>
                <w:szCs w:val="20"/>
              </w:rPr>
              <w:t>u</w:t>
            </w:r>
            <w:r w:rsidRPr="00576E06">
              <w:rPr>
                <w:rFonts w:ascii="Times New Roman" w:hAnsi="Times New Roman" w:cs="Times New Roman"/>
                <w:color w:val="000000"/>
                <w:sz w:val="20"/>
                <w:szCs w:val="20"/>
              </w:rPr>
              <w:t xml:space="preserve"> piešķiršanas vai atteikuma piešķirt nosacījumus un kritērijus reglamentē Eiropas Savienības regulas muitas jomā – Padomes 1992.gada 12.oktobra Regula (EEK) Nr.2913/92 par Kopienas Muitas kodeksa izveidi un Komisijas 1993.gada 2.jūlija Regula (EEK) Nr.2454/93, ar ko nosaka īstenošanas noteikumus Padomes Regulai (EEK) Nr.2913/92 par Kopienas Muitas kodeksa izveidi. Minētās regulas ir tieši piemērojamas visās Eiropas Savienības dalībvalstīs, tai skaitā Latvijā un tajās minētos atļauju piešķiršanas nosacījumus nav pieļaujams paplašināt vai sašaurināt nacionālajos normatīvajos aktos. Tāpat minētā atļauja tiek piešķirta konkrētās darbības veikšanai, kam nav ilgstošs raksturs.</w:t>
            </w:r>
          </w:p>
        </w:tc>
      </w:tr>
      <w:tr w:rsidR="00FA1E16" w:rsidRPr="00576E06" w:rsidTr="00FA1E16">
        <w:trPr>
          <w:trHeight w:val="425"/>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Finanšu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FA1E16">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Atļauja</w:t>
            </w:r>
            <w:r>
              <w:rPr>
                <w:rFonts w:ascii="Times New Roman" w:hAnsi="Times New Roman" w:cs="Times New Roman"/>
                <w:color w:val="000000"/>
                <w:sz w:val="20"/>
                <w:szCs w:val="20"/>
              </w:rPr>
              <w:t xml:space="preserve"> </w:t>
            </w:r>
            <w:r w:rsidRPr="00576E06">
              <w:rPr>
                <w:rFonts w:ascii="Times New Roman" w:hAnsi="Times New Roman" w:cs="Times New Roman"/>
                <w:color w:val="000000"/>
                <w:sz w:val="20"/>
                <w:szCs w:val="20"/>
              </w:rPr>
              <w:t>muitas procedūras - pagaidu ievešana - piemērošanai.</w:t>
            </w:r>
          </w:p>
        </w:tc>
        <w:tc>
          <w:tcPr>
            <w:tcW w:w="9497" w:type="dxa"/>
            <w:vMerge/>
            <w:tcBorders>
              <w:left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p>
        </w:tc>
      </w:tr>
      <w:tr w:rsidR="00FA1E16" w:rsidRPr="00576E06" w:rsidTr="00FA1E16">
        <w:trPr>
          <w:trHeight w:val="645"/>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Finanšu ministrija</w:t>
            </w:r>
          </w:p>
        </w:tc>
        <w:tc>
          <w:tcPr>
            <w:tcW w:w="3119" w:type="dxa"/>
            <w:tcBorders>
              <w:top w:val="nil"/>
              <w:left w:val="nil"/>
              <w:bottom w:val="single" w:sz="6" w:space="0" w:color="auto"/>
              <w:right w:val="nil"/>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Atļauja vienkāršotās tranzīta procedūras piemērošanai, veicot pārvadājumus pa gaisu.</w:t>
            </w:r>
          </w:p>
        </w:tc>
        <w:tc>
          <w:tcPr>
            <w:tcW w:w="9497" w:type="dxa"/>
            <w:vMerge/>
            <w:tcBorders>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p>
        </w:tc>
      </w:tr>
      <w:tr w:rsidR="00FA1E16" w:rsidRPr="00576E06" w:rsidTr="00FA1E16">
        <w:trPr>
          <w:trHeight w:val="512"/>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Kultūras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Kultūras pieminekļa izpētes darba atļauja</w:t>
            </w:r>
          </w:p>
        </w:tc>
        <w:tc>
          <w:tcPr>
            <w:tcW w:w="9497" w:type="dxa"/>
            <w:vMerge w:val="restart"/>
            <w:tcBorders>
              <w:top w:val="single" w:sz="6" w:space="0" w:color="auto"/>
              <w:left w:val="single" w:sz="6" w:space="0" w:color="auto"/>
              <w:right w:val="single" w:sz="6" w:space="0" w:color="auto"/>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Pamatojoties uz Ministru kabineta 26.08.2003. noteikumiem Nr.474 „Noteikumi par kultūras pieminekļu uzskaiti, aizsardzību, izmantošanu, restaurāciju, valsts pirmpirkuma tiesībām un vidi degradējo</w:t>
            </w:r>
            <w:r w:rsidR="00D0534E">
              <w:rPr>
                <w:rFonts w:ascii="Times New Roman" w:hAnsi="Times New Roman" w:cs="Times New Roman"/>
                <w:color w:val="000000"/>
                <w:sz w:val="20"/>
                <w:szCs w:val="20"/>
              </w:rPr>
              <w:t>ša objekta statusa piešķiršanu”</w:t>
            </w:r>
            <w:r w:rsidRPr="00576E06">
              <w:rPr>
                <w:rFonts w:ascii="Times New Roman" w:hAnsi="Times New Roman" w:cs="Times New Roman"/>
                <w:color w:val="000000"/>
                <w:sz w:val="20"/>
                <w:szCs w:val="20"/>
              </w:rPr>
              <w:t>, Inspekcijas atļauja tiek izsniegta īpašniekam (privāto/publisko tiesību fiziska vai juridiska persona) kā vienreizējs dokuments konkrētiem darbiem, un atļauja apliecina tiesības veikt kultūras piemineklī atļaujā uzskaitītos darbus (tai skaitā izpēti). Vienas atļaujas ietvaros var tikt ietverti dažāda rakstura darbi (teritorijas labiekārtošana, būvniecība (restaurācija), amatniecība), kurus var veikt vairākas personas (atļaujas netiek klasificētas pēc darbības veidiem, bet pēc objekta, kurā darbību paredzēts veikt). Prasība norādīt darbu veicēju atļaujās noteikta atbildības nodalīšanai. Darbi kultūras pieminekļos tiek vērtēti tikai pēc to ietekmes uz konkrēto objektu, līdz ar to atļaujas anulēšana, pamatojoties uz apstākļiem, kas nav saistīti ar kultūras pieminekļu aizsardzību, atsevišķos gadījumos varētu novest pie darbu apturēšanas kultūras pieminekli apdraudošas situācijas radīšanas.</w:t>
            </w:r>
          </w:p>
        </w:tc>
      </w:tr>
      <w:tr w:rsidR="00FA1E16" w:rsidRPr="00576E06" w:rsidTr="00FA1E16">
        <w:trPr>
          <w:trHeight w:val="548"/>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Kultūras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Arheoloģiskās izpētes darba atļauja</w:t>
            </w:r>
          </w:p>
        </w:tc>
        <w:tc>
          <w:tcPr>
            <w:tcW w:w="9497" w:type="dxa"/>
            <w:vMerge/>
            <w:tcBorders>
              <w:left w:val="single" w:sz="6" w:space="0" w:color="auto"/>
              <w:right w:val="single" w:sz="6" w:space="0" w:color="auto"/>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p>
        </w:tc>
      </w:tr>
      <w:tr w:rsidR="00FA1E16" w:rsidRPr="00576E06" w:rsidTr="00FA1E16">
        <w:trPr>
          <w:trHeight w:val="569"/>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Kultūras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 xml:space="preserve">Kultūras </w:t>
            </w:r>
            <w:proofErr w:type="spellStart"/>
            <w:r w:rsidRPr="00576E06">
              <w:rPr>
                <w:rFonts w:ascii="Times New Roman" w:hAnsi="Times New Roman" w:cs="Times New Roman"/>
                <w:color w:val="000000"/>
                <w:sz w:val="20"/>
                <w:szCs w:val="20"/>
              </w:rPr>
              <w:t>piemineļa</w:t>
            </w:r>
            <w:proofErr w:type="spellEnd"/>
            <w:r w:rsidRPr="00576E06">
              <w:rPr>
                <w:rFonts w:ascii="Times New Roman" w:hAnsi="Times New Roman" w:cs="Times New Roman"/>
                <w:color w:val="000000"/>
                <w:sz w:val="20"/>
                <w:szCs w:val="20"/>
              </w:rPr>
              <w:t xml:space="preserve"> teritorijas un aizsardzības zonas pārveidošanas atļauja</w:t>
            </w:r>
          </w:p>
        </w:tc>
        <w:tc>
          <w:tcPr>
            <w:tcW w:w="9497" w:type="dxa"/>
            <w:vMerge/>
            <w:tcBorders>
              <w:left w:val="single" w:sz="6" w:space="0" w:color="auto"/>
              <w:right w:val="single" w:sz="6" w:space="0" w:color="auto"/>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p>
        </w:tc>
      </w:tr>
      <w:tr w:rsidR="00FA1E16" w:rsidRPr="00576E06" w:rsidTr="00FA1E16">
        <w:trPr>
          <w:trHeight w:val="708"/>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Kultūras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Kultūras pieminekļa remonta, konservācijas, restaurācijas, rekonstrukcijas darbu atļauja</w:t>
            </w:r>
          </w:p>
        </w:tc>
        <w:tc>
          <w:tcPr>
            <w:tcW w:w="9497" w:type="dxa"/>
            <w:vMerge/>
            <w:tcBorders>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p>
        </w:tc>
      </w:tr>
      <w:tr w:rsidR="00FA1E16" w:rsidRPr="00576E06" w:rsidTr="00FA1E16">
        <w:trPr>
          <w:trHeight w:val="486"/>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Kultūras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Atļauja kultūras priekšmetu izvešanai</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Inspekcijas atļauja tiek izsniegta īpašniekam (privāto/publisko tiesību fiziska vai juridiska persona) kā vienreizējs dokuments konkrēti paredzētai darbībai - izvest kultūras priekšmetus.</w:t>
            </w:r>
          </w:p>
        </w:tc>
      </w:tr>
      <w:tr w:rsidR="00D0534E" w:rsidRPr="00576E06" w:rsidTr="00FA1E16">
        <w:trPr>
          <w:trHeight w:val="486"/>
        </w:trPr>
        <w:tc>
          <w:tcPr>
            <w:tcW w:w="1306" w:type="dxa"/>
            <w:tcBorders>
              <w:top w:val="single" w:sz="6" w:space="0" w:color="auto"/>
              <w:left w:val="single" w:sz="6" w:space="0" w:color="auto"/>
              <w:bottom w:val="single" w:sz="6" w:space="0" w:color="auto"/>
              <w:right w:val="single" w:sz="6" w:space="0" w:color="auto"/>
            </w:tcBorders>
            <w:vAlign w:val="center"/>
          </w:tcPr>
          <w:p w:rsidR="00D0534E" w:rsidRPr="00576E06" w:rsidRDefault="00D0534E" w:rsidP="00D0534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Vides aizsardzības un reģionālās attīstības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D0534E" w:rsidRPr="00D0534E" w:rsidRDefault="00D0534E" w:rsidP="00D0534E">
            <w:pPr>
              <w:autoSpaceDE w:val="0"/>
              <w:autoSpaceDN w:val="0"/>
              <w:adjustRightInd w:val="0"/>
              <w:spacing w:after="0" w:line="240" w:lineRule="auto"/>
              <w:jc w:val="both"/>
              <w:rPr>
                <w:rFonts w:ascii="Times New Roman" w:hAnsi="Times New Roman" w:cs="Times New Roman"/>
                <w:color w:val="000000"/>
                <w:sz w:val="20"/>
                <w:szCs w:val="20"/>
              </w:rPr>
            </w:pPr>
            <w:r w:rsidRPr="00D0534E">
              <w:rPr>
                <w:rFonts w:ascii="Times New Roman" w:hAnsi="Times New Roman" w:cs="Times New Roman"/>
                <w:sz w:val="20"/>
                <w:szCs w:val="20"/>
              </w:rPr>
              <w:t>Starptautiskās tirdzniecības ar apdraudētajām savvaļas dzīvnieku un augu sugām (CITES) atļaujas un sertifikāti</w:t>
            </w:r>
          </w:p>
        </w:tc>
        <w:tc>
          <w:tcPr>
            <w:tcW w:w="9497" w:type="dxa"/>
            <w:tcBorders>
              <w:top w:val="single" w:sz="6" w:space="0" w:color="auto"/>
              <w:left w:val="single" w:sz="6" w:space="0" w:color="auto"/>
              <w:bottom w:val="single" w:sz="6" w:space="0" w:color="auto"/>
              <w:right w:val="single" w:sz="6" w:space="0" w:color="auto"/>
            </w:tcBorders>
            <w:vAlign w:val="center"/>
          </w:tcPr>
          <w:p w:rsidR="00D0534E" w:rsidRPr="00D0534E" w:rsidRDefault="00D0534E" w:rsidP="00D0534E">
            <w:pPr>
              <w:autoSpaceDE w:val="0"/>
              <w:autoSpaceDN w:val="0"/>
              <w:adjustRightInd w:val="0"/>
              <w:spacing w:after="0" w:line="240" w:lineRule="auto"/>
              <w:jc w:val="both"/>
              <w:rPr>
                <w:rFonts w:ascii="Times New Roman" w:hAnsi="Times New Roman" w:cs="Times New Roman"/>
                <w:color w:val="000000"/>
                <w:sz w:val="20"/>
                <w:szCs w:val="20"/>
              </w:rPr>
            </w:pPr>
            <w:r w:rsidRPr="00D0534E">
              <w:rPr>
                <w:rFonts w:ascii="Times New Roman" w:hAnsi="Times New Roman" w:cs="Times New Roman"/>
                <w:color w:val="000000"/>
                <w:sz w:val="20"/>
                <w:szCs w:val="20"/>
              </w:rPr>
              <w:t xml:space="preserve">Atļaujas un sertifikāti tiek izsniegti saskaņā ar </w:t>
            </w:r>
            <w:r>
              <w:rPr>
                <w:rFonts w:ascii="Times New Roman" w:hAnsi="Times New Roman" w:cs="Times New Roman"/>
                <w:sz w:val="20"/>
                <w:szCs w:val="20"/>
              </w:rPr>
              <w:t>Padomes regulu Nr.338/97</w:t>
            </w:r>
            <w:r w:rsidRPr="00D0534E">
              <w:rPr>
                <w:rFonts w:ascii="Times New Roman" w:hAnsi="Times New Roman" w:cs="Times New Roman"/>
                <w:color w:val="000000"/>
                <w:sz w:val="20"/>
                <w:szCs w:val="20"/>
              </w:rPr>
              <w:t>.</w:t>
            </w:r>
          </w:p>
        </w:tc>
      </w:tr>
      <w:tr w:rsidR="00FA1E16" w:rsidRPr="00576E06" w:rsidTr="00FA1E16">
        <w:trPr>
          <w:trHeight w:val="138"/>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Zemkopības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Importa un eksporta licence</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Importa un eksporta licence tiek izsniegta kā vienreizējs dokuments konkrētas darbības veikšanai.</w:t>
            </w:r>
          </w:p>
        </w:tc>
      </w:tr>
      <w:tr w:rsidR="00FA1E16" w:rsidRPr="00576E06" w:rsidTr="00FA1E16">
        <w:trPr>
          <w:trHeight w:val="261"/>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Zemkopības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Eksporta kompensācijas sertifikāts</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Eksporta kompensācijas sertifikāts tiek izsniegta kā vienreizējs dokuments konkrētas darbības veikšanai.</w:t>
            </w:r>
          </w:p>
        </w:tc>
      </w:tr>
      <w:tr w:rsidR="00FA1E16" w:rsidRPr="00576E06" w:rsidTr="00FA1E16">
        <w:trPr>
          <w:trHeight w:val="934"/>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Zemkopības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Atļauja tirdzniecībai ar mājas (istabas) dzīvniekiem</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Šobrīd sagatavošanas procesā ir grozījumi Ministru kabineta 2006.g</w:t>
            </w:r>
            <w:r w:rsidR="00D0534E">
              <w:rPr>
                <w:rFonts w:ascii="Times New Roman" w:hAnsi="Times New Roman" w:cs="Times New Roman"/>
                <w:color w:val="000000"/>
                <w:sz w:val="20"/>
                <w:szCs w:val="20"/>
              </w:rPr>
              <w:t>ada 4.aprīļa noteikumos Nr.266 „</w:t>
            </w:r>
            <w:r w:rsidRPr="00576E06">
              <w:rPr>
                <w:rFonts w:ascii="Times New Roman" w:hAnsi="Times New Roman" w:cs="Times New Roman"/>
                <w:color w:val="000000"/>
                <w:sz w:val="20"/>
                <w:szCs w:val="20"/>
              </w:rPr>
              <w:t>Labturības prasības mājas (istabas) dzīvnieku turēšanai, tirdzniecībai, pārvadāšanai un demonstrēšanai publisk</w:t>
            </w:r>
            <w:r w:rsidR="00D0534E">
              <w:rPr>
                <w:rFonts w:ascii="Times New Roman" w:hAnsi="Times New Roman" w:cs="Times New Roman"/>
                <w:color w:val="000000"/>
                <w:sz w:val="20"/>
                <w:szCs w:val="20"/>
              </w:rPr>
              <w:t>ās izstādēs, arī suņu apmācībai”</w:t>
            </w:r>
            <w:r w:rsidRPr="00576E06">
              <w:rPr>
                <w:rFonts w:ascii="Times New Roman" w:hAnsi="Times New Roman" w:cs="Times New Roman"/>
                <w:color w:val="000000"/>
                <w:sz w:val="20"/>
                <w:szCs w:val="20"/>
              </w:rPr>
              <w:t>, ar kuriem plānots izslēgt normu par atļaujas izsniegšanu tirdzniecībai ar mājas (istabas) dzīvniekiem.</w:t>
            </w:r>
          </w:p>
        </w:tc>
      </w:tr>
      <w:tr w:rsidR="00FA1E16" w:rsidRPr="00576E06" w:rsidTr="00FA1E16">
        <w:trPr>
          <w:trHeight w:val="395"/>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Zemkopības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576E06">
              <w:rPr>
                <w:rFonts w:ascii="Times New Roman" w:hAnsi="Times New Roman" w:cs="Times New Roman"/>
                <w:color w:val="000000"/>
                <w:sz w:val="20"/>
                <w:szCs w:val="20"/>
              </w:rPr>
              <w:t>Svaigpiena</w:t>
            </w:r>
            <w:proofErr w:type="spellEnd"/>
            <w:r w:rsidRPr="00576E06">
              <w:rPr>
                <w:rFonts w:ascii="Times New Roman" w:hAnsi="Times New Roman" w:cs="Times New Roman"/>
                <w:color w:val="000000"/>
                <w:sz w:val="20"/>
                <w:szCs w:val="20"/>
              </w:rPr>
              <w:t xml:space="preserve"> realizācijas atļauja nelielos apjomos</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576E06">
              <w:rPr>
                <w:rFonts w:ascii="Times New Roman" w:hAnsi="Times New Roman" w:cs="Times New Roman"/>
                <w:color w:val="000000"/>
                <w:sz w:val="20"/>
                <w:szCs w:val="20"/>
              </w:rPr>
              <w:t>Svaigpiena</w:t>
            </w:r>
            <w:proofErr w:type="spellEnd"/>
            <w:r w:rsidRPr="00576E06">
              <w:rPr>
                <w:rFonts w:ascii="Times New Roman" w:hAnsi="Times New Roman" w:cs="Times New Roman"/>
                <w:color w:val="000000"/>
                <w:sz w:val="20"/>
                <w:szCs w:val="20"/>
              </w:rPr>
              <w:t xml:space="preserve"> realizācijas atļaujas nelielos apjomos saņēmēji ir Pārtikas un veterinārajā dienestā reģistrēti pārtikas uzņēmumi, kuru darbību par normatīvo aktu pārkāpumiem aptur saskaņā ar Pārtikas aprites uzraudzības likumu.</w:t>
            </w:r>
          </w:p>
        </w:tc>
      </w:tr>
      <w:tr w:rsidR="00FA1E16" w:rsidRPr="00576E06" w:rsidTr="00FA1E16">
        <w:trPr>
          <w:trHeight w:val="358"/>
        </w:trPr>
        <w:tc>
          <w:tcPr>
            <w:tcW w:w="1306"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center"/>
              <w:rPr>
                <w:rFonts w:ascii="Times New Roman" w:hAnsi="Times New Roman" w:cs="Times New Roman"/>
                <w:color w:val="000000"/>
                <w:sz w:val="20"/>
                <w:szCs w:val="20"/>
              </w:rPr>
            </w:pPr>
            <w:r w:rsidRPr="00576E06">
              <w:rPr>
                <w:rFonts w:ascii="Times New Roman" w:hAnsi="Times New Roman" w:cs="Times New Roman"/>
                <w:color w:val="000000"/>
                <w:sz w:val="20"/>
                <w:szCs w:val="20"/>
              </w:rPr>
              <w:t>Zemkopības ministrija</w:t>
            </w:r>
          </w:p>
        </w:tc>
        <w:tc>
          <w:tcPr>
            <w:tcW w:w="3119"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Olu realizācijas atļauja nelielos apjomos</w:t>
            </w:r>
          </w:p>
        </w:tc>
        <w:tc>
          <w:tcPr>
            <w:tcW w:w="9497" w:type="dxa"/>
            <w:tcBorders>
              <w:top w:val="single" w:sz="6" w:space="0" w:color="auto"/>
              <w:left w:val="single" w:sz="6" w:space="0" w:color="auto"/>
              <w:bottom w:val="single" w:sz="6" w:space="0" w:color="auto"/>
              <w:right w:val="single" w:sz="6" w:space="0" w:color="auto"/>
            </w:tcBorders>
            <w:vAlign w:val="center"/>
          </w:tcPr>
          <w:p w:rsidR="00FA1E16" w:rsidRPr="00576E06" w:rsidRDefault="00FA1E16" w:rsidP="00D0534E">
            <w:pPr>
              <w:autoSpaceDE w:val="0"/>
              <w:autoSpaceDN w:val="0"/>
              <w:adjustRightInd w:val="0"/>
              <w:spacing w:after="60" w:line="240" w:lineRule="auto"/>
              <w:jc w:val="both"/>
              <w:rPr>
                <w:rFonts w:ascii="Times New Roman" w:hAnsi="Times New Roman" w:cs="Times New Roman"/>
                <w:color w:val="000000"/>
                <w:sz w:val="20"/>
                <w:szCs w:val="20"/>
              </w:rPr>
            </w:pPr>
            <w:r w:rsidRPr="00576E06">
              <w:rPr>
                <w:rFonts w:ascii="Times New Roman" w:hAnsi="Times New Roman" w:cs="Times New Roman"/>
                <w:color w:val="000000"/>
                <w:sz w:val="20"/>
                <w:szCs w:val="20"/>
              </w:rPr>
              <w:t>Olu realizācijas atļaujas nelielos apjomos saņēmēji ir Pārtikas un veterinārajā dienestā reģistrēti pārtikas uzņēmumi, kuru darbību par normatīvo aktu pārkāpumiem aptur saskaņā ar Pārtikas aprites uzraudzības likumu.</w:t>
            </w:r>
          </w:p>
        </w:tc>
      </w:tr>
    </w:tbl>
    <w:p w:rsidR="00FA1E16" w:rsidRDefault="00FA1E16" w:rsidP="00FA1E16">
      <w:pPr>
        <w:spacing w:after="0" w:line="240" w:lineRule="auto"/>
        <w:ind w:right="45"/>
        <w:jc w:val="both"/>
        <w:rPr>
          <w:rFonts w:ascii="Times New Roman" w:hAnsi="Times New Roman" w:cs="Times New Roman"/>
          <w:sz w:val="28"/>
          <w:szCs w:val="28"/>
        </w:rPr>
      </w:pPr>
    </w:p>
    <w:p w:rsidR="00FA1E16" w:rsidRDefault="00FA1E16" w:rsidP="00FA1E16">
      <w:pPr>
        <w:spacing w:after="0" w:line="240" w:lineRule="auto"/>
        <w:ind w:right="45"/>
        <w:jc w:val="both"/>
        <w:rPr>
          <w:rFonts w:ascii="Times New Roman" w:hAnsi="Times New Roman" w:cs="Times New Roman"/>
          <w:sz w:val="28"/>
          <w:szCs w:val="28"/>
        </w:rPr>
      </w:pPr>
    </w:p>
    <w:p w:rsidR="00FA1E16" w:rsidRDefault="00FA1E16" w:rsidP="00FA1E16">
      <w:pPr>
        <w:spacing w:after="0" w:line="240" w:lineRule="auto"/>
        <w:ind w:right="45"/>
        <w:jc w:val="both"/>
        <w:rPr>
          <w:rFonts w:ascii="Times New Roman" w:hAnsi="Times New Roman" w:cs="Times New Roman"/>
          <w:sz w:val="28"/>
          <w:szCs w:val="28"/>
        </w:rPr>
      </w:pPr>
    </w:p>
    <w:p w:rsidR="00FA1E16" w:rsidRPr="005B60DB" w:rsidRDefault="00FA1E16" w:rsidP="00FA1E16">
      <w:pPr>
        <w:spacing w:after="0" w:line="240" w:lineRule="auto"/>
        <w:ind w:right="45"/>
        <w:jc w:val="both"/>
        <w:rPr>
          <w:rFonts w:ascii="Times New Roman" w:hAnsi="Times New Roman" w:cs="Times New Roman"/>
          <w:sz w:val="28"/>
          <w:szCs w:val="28"/>
        </w:rPr>
      </w:pPr>
    </w:p>
    <w:p w:rsidR="00FA1E16" w:rsidRPr="00C65F0F" w:rsidRDefault="00FA1E16" w:rsidP="00FA1E16">
      <w:pPr>
        <w:spacing w:after="120"/>
        <w:jc w:val="both"/>
        <w:rPr>
          <w:rFonts w:ascii="Times New Roman" w:hAnsi="Times New Roman"/>
          <w:sz w:val="28"/>
          <w:szCs w:val="28"/>
        </w:rPr>
      </w:pPr>
      <w:r w:rsidRPr="00C65F0F">
        <w:rPr>
          <w:rFonts w:ascii="Times New Roman" w:hAnsi="Times New Roman"/>
          <w:sz w:val="28"/>
          <w:szCs w:val="28"/>
        </w:rPr>
        <w:t>Ekonomikas ministrs</w:t>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Pr="00C65F0F">
        <w:rPr>
          <w:rFonts w:ascii="Times New Roman" w:hAnsi="Times New Roman"/>
          <w:sz w:val="28"/>
          <w:szCs w:val="28"/>
        </w:rPr>
        <w:t>A.Kampars</w:t>
      </w:r>
    </w:p>
    <w:p w:rsidR="00FA1E16" w:rsidRDefault="00FA1E16" w:rsidP="00FA1E16">
      <w:pPr>
        <w:jc w:val="both"/>
        <w:rPr>
          <w:rFonts w:ascii="Times New Roman" w:hAnsi="Times New Roman"/>
          <w:sz w:val="28"/>
          <w:szCs w:val="28"/>
        </w:rPr>
      </w:pPr>
    </w:p>
    <w:p w:rsidR="00FA1E16" w:rsidRPr="00C65F0F" w:rsidRDefault="00FA1E16" w:rsidP="00FA1E16">
      <w:pPr>
        <w:spacing w:after="120"/>
        <w:jc w:val="both"/>
        <w:rPr>
          <w:rFonts w:ascii="Times New Roman" w:hAnsi="Times New Roman"/>
          <w:sz w:val="28"/>
          <w:szCs w:val="28"/>
        </w:rPr>
      </w:pPr>
      <w:r w:rsidRPr="00C65F0F">
        <w:rPr>
          <w:rFonts w:ascii="Times New Roman" w:hAnsi="Times New Roman"/>
          <w:sz w:val="28"/>
          <w:szCs w:val="28"/>
        </w:rPr>
        <w:t>Vīza:</w:t>
      </w:r>
    </w:p>
    <w:p w:rsidR="00FA1E16" w:rsidRDefault="00FA1E16" w:rsidP="00FA1E16">
      <w:pPr>
        <w:jc w:val="both"/>
        <w:rPr>
          <w:rFonts w:ascii="Times New Roman" w:hAnsi="Times New Roman"/>
          <w:sz w:val="24"/>
        </w:rPr>
      </w:pPr>
      <w:r w:rsidRPr="00C65F0F">
        <w:rPr>
          <w:rFonts w:ascii="Times New Roman" w:hAnsi="Times New Roman"/>
          <w:sz w:val="28"/>
          <w:szCs w:val="28"/>
        </w:rPr>
        <w:t>Valsts sekretār</w:t>
      </w:r>
      <w:r>
        <w:rPr>
          <w:rFonts w:ascii="Times New Roman" w:hAnsi="Times New Roman"/>
          <w:sz w:val="28"/>
          <w:szCs w:val="28"/>
        </w:rPr>
        <w:t>s</w:t>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sidRPr="00C65F0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sidR="00557BD3">
        <w:rPr>
          <w:rFonts w:ascii="Times New Roman" w:hAnsi="Times New Roman"/>
          <w:sz w:val="28"/>
          <w:szCs w:val="28"/>
        </w:rPr>
        <w:tab/>
      </w:r>
      <w:r>
        <w:rPr>
          <w:rFonts w:ascii="Times New Roman" w:hAnsi="Times New Roman"/>
          <w:sz w:val="28"/>
          <w:szCs w:val="28"/>
        </w:rPr>
        <w:t>J.Pūce</w:t>
      </w:r>
    </w:p>
    <w:p w:rsidR="00FA1E16" w:rsidRDefault="00FA1E16" w:rsidP="00FA1E16">
      <w:pPr>
        <w:rPr>
          <w:rFonts w:ascii="Times New Roman" w:hAnsi="Times New Roman"/>
          <w:sz w:val="24"/>
        </w:rPr>
      </w:pPr>
    </w:p>
    <w:p w:rsidR="00FA1E16" w:rsidRDefault="00FA1E16" w:rsidP="00FA1E16">
      <w:pPr>
        <w:rPr>
          <w:rFonts w:ascii="Times New Roman" w:hAnsi="Times New Roman"/>
          <w:sz w:val="24"/>
        </w:rPr>
      </w:pPr>
    </w:p>
    <w:p w:rsidR="00FA1E16" w:rsidRDefault="00FA1E16" w:rsidP="00FA1E16">
      <w:pPr>
        <w:rPr>
          <w:rFonts w:ascii="Times New Roman" w:hAnsi="Times New Roman"/>
          <w:sz w:val="24"/>
        </w:rPr>
      </w:pPr>
    </w:p>
    <w:p w:rsidR="00FA1E16" w:rsidRPr="006D24D7" w:rsidRDefault="00E6609C" w:rsidP="00FA1E16">
      <w:pPr>
        <w:spacing w:after="0" w:line="240" w:lineRule="auto"/>
        <w:rPr>
          <w:rFonts w:ascii="Times New Roman" w:hAnsi="Times New Roman"/>
          <w:szCs w:val="20"/>
        </w:rPr>
      </w:pPr>
      <w:r>
        <w:rPr>
          <w:rFonts w:ascii="Times New Roman" w:hAnsi="Times New Roman"/>
          <w:szCs w:val="20"/>
        </w:rPr>
        <w:t>27</w:t>
      </w:r>
      <w:r w:rsidR="00FA1E16">
        <w:rPr>
          <w:rFonts w:ascii="Times New Roman" w:hAnsi="Times New Roman"/>
          <w:szCs w:val="20"/>
        </w:rPr>
        <w:t>.06</w:t>
      </w:r>
      <w:r w:rsidR="00FA1E16" w:rsidRPr="006D24D7">
        <w:rPr>
          <w:rFonts w:ascii="Times New Roman" w:hAnsi="Times New Roman"/>
          <w:szCs w:val="20"/>
        </w:rPr>
        <w:t>.2011. 1</w:t>
      </w:r>
      <w:r>
        <w:rPr>
          <w:rFonts w:ascii="Times New Roman" w:hAnsi="Times New Roman"/>
          <w:szCs w:val="20"/>
        </w:rPr>
        <w:t>0</w:t>
      </w:r>
      <w:r w:rsidR="00FA1E16" w:rsidRPr="006D24D7">
        <w:rPr>
          <w:rFonts w:ascii="Times New Roman" w:hAnsi="Times New Roman"/>
          <w:szCs w:val="20"/>
        </w:rPr>
        <w:t>:</w:t>
      </w:r>
      <w:r>
        <w:rPr>
          <w:rFonts w:ascii="Times New Roman" w:hAnsi="Times New Roman"/>
          <w:szCs w:val="20"/>
        </w:rPr>
        <w:t>38</w:t>
      </w:r>
    </w:p>
    <w:p w:rsidR="00FA1E16" w:rsidRPr="006D24D7" w:rsidRDefault="0097098F" w:rsidP="00FA1E16">
      <w:pPr>
        <w:spacing w:after="0" w:line="240" w:lineRule="auto"/>
        <w:ind w:right="-142"/>
        <w:rPr>
          <w:rFonts w:ascii="Times New Roman" w:hAnsi="Times New Roman"/>
          <w:szCs w:val="20"/>
        </w:rPr>
      </w:pPr>
      <w:fldSimple w:instr=" NUMWORDS   \* MERGEFORMAT ">
        <w:r w:rsidR="00E6609C" w:rsidRPr="00E6609C">
          <w:rPr>
            <w:rFonts w:ascii="Times New Roman" w:hAnsi="Times New Roman"/>
            <w:noProof/>
            <w:szCs w:val="20"/>
          </w:rPr>
          <w:t>828</w:t>
        </w:r>
      </w:fldSimple>
    </w:p>
    <w:p w:rsidR="00FA1E16" w:rsidRPr="006D24D7" w:rsidRDefault="00FA1E16" w:rsidP="00FA1E16">
      <w:pPr>
        <w:spacing w:after="0" w:line="240" w:lineRule="auto"/>
        <w:rPr>
          <w:rFonts w:ascii="Times New Roman" w:hAnsi="Times New Roman"/>
          <w:szCs w:val="20"/>
        </w:rPr>
      </w:pPr>
      <w:r>
        <w:rPr>
          <w:rFonts w:ascii="Times New Roman" w:hAnsi="Times New Roman"/>
          <w:szCs w:val="20"/>
        </w:rPr>
        <w:t>Fernāts,</w:t>
      </w:r>
    </w:p>
    <w:p w:rsidR="00FA1E16" w:rsidRDefault="00FA1E16" w:rsidP="00FA1E16">
      <w:pPr>
        <w:spacing w:after="0" w:line="240" w:lineRule="auto"/>
        <w:rPr>
          <w:rFonts w:ascii="Times New Roman" w:hAnsi="Times New Roman"/>
          <w:szCs w:val="20"/>
        </w:rPr>
      </w:pPr>
      <w:r w:rsidRPr="006D24D7">
        <w:rPr>
          <w:rFonts w:ascii="Times New Roman" w:hAnsi="Times New Roman"/>
          <w:szCs w:val="20"/>
        </w:rPr>
        <w:t>67013</w:t>
      </w:r>
      <w:r>
        <w:rPr>
          <w:rFonts w:ascii="Times New Roman" w:hAnsi="Times New Roman"/>
          <w:szCs w:val="20"/>
        </w:rPr>
        <w:t>053</w:t>
      </w:r>
      <w:r w:rsidRPr="006D24D7">
        <w:rPr>
          <w:rFonts w:ascii="Times New Roman" w:hAnsi="Times New Roman"/>
          <w:szCs w:val="20"/>
        </w:rPr>
        <w:t xml:space="preserve">, </w:t>
      </w:r>
      <w:hyperlink r:id="rId7" w:history="1">
        <w:r w:rsidRPr="00583E35">
          <w:rPr>
            <w:rStyle w:val="Hyperlink"/>
            <w:rFonts w:ascii="Times New Roman" w:hAnsi="Times New Roman"/>
            <w:szCs w:val="20"/>
          </w:rPr>
          <w:t>Edmunds.Fernats@em.gov.lv</w:t>
        </w:r>
      </w:hyperlink>
    </w:p>
    <w:sectPr w:rsidR="00FA1E16" w:rsidSect="00FA1E16">
      <w:headerReference w:type="default" r:id="rId8"/>
      <w:footerReference w:type="default" r:id="rId9"/>
      <w:footerReference w:type="first" r:id="rId10"/>
      <w:pgSz w:w="16838" w:h="11906" w:orient="landscape"/>
      <w:pgMar w:top="1797" w:right="1440" w:bottom="992"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0534E">
      <w:pPr>
        <w:spacing w:after="0" w:line="240" w:lineRule="auto"/>
        <w:pPrChange w:id="2" w:author="Edmunds Fernāts" w:date="2011-06-06T09:58:00Z">
          <w:pPr/>
        </w:pPrChange>
      </w:pPr>
      <w:r>
        <w:separator/>
      </w:r>
    </w:p>
  </w:endnote>
  <w:endnote w:type="continuationSeparator" w:id="0">
    <w:p w:rsidR="00000000" w:rsidRDefault="00D0534E">
      <w:pPr>
        <w:spacing w:after="0" w:line="240" w:lineRule="auto"/>
        <w:pPrChange w:id="3" w:author="Edmunds Fernāts" w:date="2011-06-06T09:58:00Z">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4E" w:rsidRPr="00016E6C" w:rsidRDefault="00D0534E" w:rsidP="00247D6C">
    <w:pPr>
      <w:pStyle w:val="Footer"/>
      <w:tabs>
        <w:tab w:val="clear" w:pos="4153"/>
        <w:tab w:val="clear" w:pos="8306"/>
        <w:tab w:val="left" w:pos="1380"/>
      </w:tabs>
      <w:jc w:val="both"/>
      <w:rPr>
        <w:rFonts w:ascii="Times New Roman" w:hAnsi="Times New Roman"/>
        <w:sz w:val="20"/>
        <w:szCs w:val="20"/>
      </w:rPr>
    </w:pPr>
    <w:r w:rsidRPr="00016E6C">
      <w:rPr>
        <w:rFonts w:ascii="Times New Roman" w:hAnsi="Times New Roman"/>
        <w:sz w:val="20"/>
        <w:szCs w:val="20"/>
      </w:rPr>
      <w:t>EMZino_</w:t>
    </w:r>
    <w:r w:rsidR="00E6609C">
      <w:rPr>
        <w:rFonts w:ascii="Times New Roman" w:hAnsi="Times New Roman"/>
        <w:sz w:val="20"/>
        <w:szCs w:val="20"/>
      </w:rPr>
      <w:t>27</w:t>
    </w:r>
    <w:r w:rsidRPr="00016E6C">
      <w:rPr>
        <w:rFonts w:ascii="Times New Roman" w:hAnsi="Times New Roman"/>
        <w:sz w:val="20"/>
        <w:szCs w:val="20"/>
      </w:rPr>
      <w:t>0</w:t>
    </w:r>
    <w:r>
      <w:rPr>
        <w:rFonts w:ascii="Times New Roman" w:hAnsi="Times New Roman"/>
        <w:sz w:val="20"/>
        <w:szCs w:val="20"/>
      </w:rPr>
      <w:t>6</w:t>
    </w:r>
    <w:r w:rsidRPr="00016E6C">
      <w:rPr>
        <w:rFonts w:ascii="Times New Roman" w:hAnsi="Times New Roman"/>
        <w:sz w:val="20"/>
        <w:szCs w:val="20"/>
      </w:rPr>
      <w:t>11_</w:t>
    </w:r>
    <w:r>
      <w:rPr>
        <w:rFonts w:ascii="Times New Roman" w:hAnsi="Times New Roman"/>
        <w:sz w:val="20"/>
        <w:szCs w:val="20"/>
      </w:rPr>
      <w:t>p3</w:t>
    </w:r>
    <w:r w:rsidRPr="00016E6C">
      <w:rPr>
        <w:rFonts w:ascii="Times New Roman" w:hAnsi="Times New Roman"/>
        <w:sz w:val="20"/>
        <w:szCs w:val="20"/>
      </w:rPr>
      <w:t>_</w:t>
    </w:r>
    <w:r>
      <w:rPr>
        <w:rFonts w:ascii="Times New Roman" w:hAnsi="Times New Roman"/>
        <w:sz w:val="20"/>
        <w:szCs w:val="20"/>
      </w:rPr>
      <w:t>licences</w:t>
    </w:r>
    <w:r w:rsidRPr="00016E6C">
      <w:rPr>
        <w:rFonts w:ascii="Times New Roman" w:hAnsi="Times New Roman"/>
        <w:sz w:val="20"/>
        <w:szCs w:val="20"/>
      </w:rPr>
      <w:t xml:space="preserve">; </w:t>
    </w:r>
    <w:bookmarkStart w:id="4" w:name="OLE_LINK5"/>
    <w:bookmarkStart w:id="5" w:name="OLE_LINK6"/>
    <w:bookmarkStart w:id="6" w:name="OLE_LINK9"/>
    <w:bookmarkStart w:id="7" w:name="OLE_LINK1"/>
    <w:bookmarkStart w:id="8" w:name="OLE_LINK2"/>
    <w:r>
      <w:rPr>
        <w:rFonts w:ascii="Times New Roman" w:hAnsi="Times New Roman"/>
        <w:sz w:val="20"/>
        <w:szCs w:val="20"/>
      </w:rPr>
      <w:t>3.p</w:t>
    </w:r>
    <w:r w:rsidRPr="00016E6C">
      <w:rPr>
        <w:rFonts w:ascii="Times New Roman" w:hAnsi="Times New Roman"/>
        <w:sz w:val="20"/>
        <w:szCs w:val="20"/>
      </w:rPr>
      <w:t xml:space="preserve">ielikums informatīvajam ziņojumam </w:t>
    </w:r>
    <w:r>
      <w:rPr>
        <w:rFonts w:ascii="Times New Roman" w:hAnsi="Times New Roman"/>
        <w:sz w:val="20"/>
        <w:szCs w:val="20"/>
      </w:rPr>
      <w:t>„P</w:t>
    </w:r>
    <w:r w:rsidRPr="00016E6C">
      <w:rPr>
        <w:rFonts w:ascii="Times New Roman" w:hAnsi="Times New Roman"/>
        <w:sz w:val="20"/>
        <w:szCs w:val="20"/>
      </w:rPr>
      <w:t xml:space="preserve">ar normatīvajiem aktiem, kas nosaka dažādu atļauju (licenču) izsniegšanu un </w:t>
    </w:r>
    <w:r>
      <w:rPr>
        <w:rFonts w:ascii="Times New Roman" w:hAnsi="Times New Roman"/>
        <w:sz w:val="20"/>
        <w:szCs w:val="20"/>
      </w:rPr>
      <w:t xml:space="preserve">tajos paredzēto </w:t>
    </w:r>
    <w:r w:rsidRPr="00016E6C">
      <w:rPr>
        <w:rFonts w:ascii="Times New Roman" w:hAnsi="Times New Roman"/>
        <w:sz w:val="20"/>
        <w:szCs w:val="20"/>
      </w:rPr>
      <w:t>anulēšan</w:t>
    </w:r>
    <w:r>
      <w:rPr>
        <w:rFonts w:ascii="Times New Roman" w:hAnsi="Times New Roman"/>
        <w:sz w:val="20"/>
        <w:szCs w:val="20"/>
      </w:rPr>
      <w:t>as</w:t>
    </w:r>
    <w:r w:rsidRPr="00016E6C">
      <w:rPr>
        <w:rFonts w:ascii="Times New Roman" w:hAnsi="Times New Roman"/>
        <w:sz w:val="20"/>
        <w:szCs w:val="20"/>
      </w:rPr>
      <w:t xml:space="preserve"> </w:t>
    </w:r>
    <w:r>
      <w:rPr>
        <w:rFonts w:ascii="Times New Roman" w:hAnsi="Times New Roman"/>
        <w:sz w:val="20"/>
        <w:szCs w:val="20"/>
      </w:rPr>
      <w:t xml:space="preserve">kārtību </w:t>
    </w:r>
    <w:r w:rsidRPr="00016E6C">
      <w:rPr>
        <w:rFonts w:ascii="Times New Roman" w:hAnsi="Times New Roman"/>
        <w:sz w:val="20"/>
        <w:szCs w:val="20"/>
      </w:rPr>
      <w:t>par nopietniem saimnieciskās darbības pārkāpumiem</w:t>
    </w:r>
    <w:bookmarkEnd w:id="4"/>
    <w:bookmarkEnd w:id="5"/>
    <w:bookmarkEnd w:id="6"/>
    <w:r>
      <w:rPr>
        <w:rFonts w:ascii="Times New Roman" w:hAnsi="Times New Roman"/>
        <w:sz w:val="20"/>
        <w:szCs w:val="20"/>
      </w:rPr>
      <w:t>”</w:t>
    </w:r>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34E" w:rsidRPr="00FA1E16" w:rsidRDefault="00D0534E" w:rsidP="00247D6C">
    <w:pPr>
      <w:pStyle w:val="Footer"/>
      <w:tabs>
        <w:tab w:val="clear" w:pos="4153"/>
        <w:tab w:val="clear" w:pos="8306"/>
        <w:tab w:val="left" w:pos="1380"/>
      </w:tabs>
      <w:jc w:val="both"/>
      <w:rPr>
        <w:rFonts w:ascii="Times New Roman" w:hAnsi="Times New Roman"/>
        <w:sz w:val="20"/>
        <w:szCs w:val="20"/>
      </w:rPr>
    </w:pPr>
    <w:r w:rsidRPr="00016E6C">
      <w:rPr>
        <w:rFonts w:ascii="Times New Roman" w:hAnsi="Times New Roman"/>
        <w:sz w:val="20"/>
        <w:szCs w:val="20"/>
      </w:rPr>
      <w:t>EMZino_</w:t>
    </w:r>
    <w:r w:rsidR="00E6609C">
      <w:rPr>
        <w:rFonts w:ascii="Times New Roman" w:hAnsi="Times New Roman"/>
        <w:sz w:val="20"/>
        <w:szCs w:val="20"/>
      </w:rPr>
      <w:t>27</w:t>
    </w:r>
    <w:r w:rsidRPr="00016E6C">
      <w:rPr>
        <w:rFonts w:ascii="Times New Roman" w:hAnsi="Times New Roman"/>
        <w:sz w:val="20"/>
        <w:szCs w:val="20"/>
      </w:rPr>
      <w:t>0</w:t>
    </w:r>
    <w:r>
      <w:rPr>
        <w:rFonts w:ascii="Times New Roman" w:hAnsi="Times New Roman"/>
        <w:sz w:val="20"/>
        <w:szCs w:val="20"/>
      </w:rPr>
      <w:t>6</w:t>
    </w:r>
    <w:r w:rsidRPr="00016E6C">
      <w:rPr>
        <w:rFonts w:ascii="Times New Roman" w:hAnsi="Times New Roman"/>
        <w:sz w:val="20"/>
        <w:szCs w:val="20"/>
      </w:rPr>
      <w:t>11_</w:t>
    </w:r>
    <w:r>
      <w:rPr>
        <w:rFonts w:ascii="Times New Roman" w:hAnsi="Times New Roman"/>
        <w:sz w:val="20"/>
        <w:szCs w:val="20"/>
      </w:rPr>
      <w:t>p3</w:t>
    </w:r>
    <w:r w:rsidRPr="00016E6C">
      <w:rPr>
        <w:rFonts w:ascii="Times New Roman" w:hAnsi="Times New Roman"/>
        <w:sz w:val="20"/>
        <w:szCs w:val="20"/>
      </w:rPr>
      <w:t>_</w:t>
    </w:r>
    <w:r>
      <w:rPr>
        <w:rFonts w:ascii="Times New Roman" w:hAnsi="Times New Roman"/>
        <w:sz w:val="20"/>
        <w:szCs w:val="20"/>
      </w:rPr>
      <w:t>licences</w:t>
    </w:r>
    <w:r w:rsidRPr="00016E6C">
      <w:rPr>
        <w:rFonts w:ascii="Times New Roman" w:hAnsi="Times New Roman"/>
        <w:sz w:val="20"/>
        <w:szCs w:val="20"/>
      </w:rPr>
      <w:t xml:space="preserve">; </w:t>
    </w:r>
    <w:bookmarkStart w:id="9" w:name="OLE_LINK3"/>
    <w:bookmarkStart w:id="10" w:name="OLE_LINK4"/>
    <w:r>
      <w:rPr>
        <w:rFonts w:ascii="Times New Roman" w:hAnsi="Times New Roman"/>
        <w:sz w:val="20"/>
        <w:szCs w:val="20"/>
      </w:rPr>
      <w:t>3.p</w:t>
    </w:r>
    <w:r w:rsidRPr="00016E6C">
      <w:rPr>
        <w:rFonts w:ascii="Times New Roman" w:hAnsi="Times New Roman"/>
        <w:sz w:val="20"/>
        <w:szCs w:val="20"/>
      </w:rPr>
      <w:t xml:space="preserve">ielikums informatīvajam ziņojumam </w:t>
    </w:r>
    <w:r>
      <w:rPr>
        <w:rFonts w:ascii="Times New Roman" w:hAnsi="Times New Roman"/>
        <w:sz w:val="20"/>
        <w:szCs w:val="20"/>
      </w:rPr>
      <w:t>„P</w:t>
    </w:r>
    <w:r w:rsidRPr="00016E6C">
      <w:rPr>
        <w:rFonts w:ascii="Times New Roman" w:hAnsi="Times New Roman"/>
        <w:sz w:val="20"/>
        <w:szCs w:val="20"/>
      </w:rPr>
      <w:t xml:space="preserve">ar normatīvajiem aktiem, kas nosaka dažādu atļauju (licenču) izsniegšanu un </w:t>
    </w:r>
    <w:r>
      <w:rPr>
        <w:rFonts w:ascii="Times New Roman" w:hAnsi="Times New Roman"/>
        <w:sz w:val="20"/>
        <w:szCs w:val="20"/>
      </w:rPr>
      <w:t>tajos paredzēto anulēšanas</w:t>
    </w:r>
    <w:r w:rsidRPr="00016E6C">
      <w:rPr>
        <w:rFonts w:ascii="Times New Roman" w:hAnsi="Times New Roman"/>
        <w:sz w:val="20"/>
        <w:szCs w:val="20"/>
      </w:rPr>
      <w:t xml:space="preserve"> </w:t>
    </w:r>
    <w:r>
      <w:rPr>
        <w:rFonts w:ascii="Times New Roman" w:hAnsi="Times New Roman"/>
        <w:sz w:val="20"/>
        <w:szCs w:val="20"/>
      </w:rPr>
      <w:t xml:space="preserve">kārtību </w:t>
    </w:r>
    <w:r w:rsidRPr="00016E6C">
      <w:rPr>
        <w:rFonts w:ascii="Times New Roman" w:hAnsi="Times New Roman"/>
        <w:sz w:val="20"/>
        <w:szCs w:val="20"/>
      </w:rPr>
      <w:t>par nopietniem saimnieciskās darbības pārkāpumiem</w:t>
    </w:r>
    <w:r>
      <w:rPr>
        <w:rFonts w:ascii="Times New Roman" w:hAnsi="Times New Roman"/>
        <w:sz w:val="20"/>
        <w:szCs w:val="20"/>
      </w:rPr>
      <w:t>”</w:t>
    </w:r>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0534E">
      <w:pPr>
        <w:spacing w:after="0" w:line="240" w:lineRule="auto"/>
        <w:pPrChange w:id="0" w:author="Edmunds Fernāts" w:date="2011-06-06T09:58:00Z">
          <w:pPr/>
        </w:pPrChange>
      </w:pPr>
      <w:r>
        <w:separator/>
      </w:r>
    </w:p>
  </w:footnote>
  <w:footnote w:type="continuationSeparator" w:id="0">
    <w:p w:rsidR="00000000" w:rsidRDefault="00D0534E">
      <w:pPr>
        <w:spacing w:after="0" w:line="240" w:lineRule="auto"/>
        <w:pPrChange w:id="1" w:author="Edmunds Fernāts" w:date="2011-06-06T09:58: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96138"/>
      <w:docPartObj>
        <w:docPartGallery w:val="Page Numbers (Top of Page)"/>
        <w:docPartUnique/>
      </w:docPartObj>
    </w:sdtPr>
    <w:sdtEndPr>
      <w:rPr>
        <w:rFonts w:ascii="Times New Roman" w:hAnsi="Times New Roman" w:cs="Times New Roman"/>
        <w:sz w:val="24"/>
        <w:szCs w:val="24"/>
      </w:rPr>
    </w:sdtEndPr>
    <w:sdtContent>
      <w:p w:rsidR="00D0534E" w:rsidRPr="00BE1688" w:rsidRDefault="0097098F">
        <w:pPr>
          <w:pStyle w:val="Header"/>
          <w:jc w:val="center"/>
          <w:rPr>
            <w:rFonts w:ascii="Times New Roman" w:hAnsi="Times New Roman" w:cs="Times New Roman"/>
            <w:sz w:val="24"/>
            <w:szCs w:val="24"/>
          </w:rPr>
        </w:pPr>
        <w:r w:rsidRPr="00BE1688">
          <w:rPr>
            <w:rFonts w:ascii="Times New Roman" w:hAnsi="Times New Roman" w:cs="Times New Roman"/>
            <w:sz w:val="24"/>
            <w:szCs w:val="24"/>
          </w:rPr>
          <w:fldChar w:fldCharType="begin"/>
        </w:r>
        <w:r w:rsidR="00D0534E" w:rsidRPr="00BE1688">
          <w:rPr>
            <w:rFonts w:ascii="Times New Roman" w:hAnsi="Times New Roman" w:cs="Times New Roman"/>
            <w:sz w:val="24"/>
            <w:szCs w:val="24"/>
          </w:rPr>
          <w:instrText xml:space="preserve"> PAGE   \* MERGEFORMAT </w:instrText>
        </w:r>
        <w:r w:rsidRPr="00BE1688">
          <w:rPr>
            <w:rFonts w:ascii="Times New Roman" w:hAnsi="Times New Roman" w:cs="Times New Roman"/>
            <w:sz w:val="24"/>
            <w:szCs w:val="24"/>
          </w:rPr>
          <w:fldChar w:fldCharType="separate"/>
        </w:r>
        <w:r w:rsidR="00E6609C">
          <w:rPr>
            <w:rFonts w:ascii="Times New Roman" w:hAnsi="Times New Roman" w:cs="Times New Roman"/>
            <w:noProof/>
            <w:sz w:val="24"/>
            <w:szCs w:val="24"/>
          </w:rPr>
          <w:t>3</w:t>
        </w:r>
        <w:r w:rsidRPr="00BE168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1D77"/>
    <w:multiLevelType w:val="hybridMultilevel"/>
    <w:tmpl w:val="18721A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DE4D30"/>
    <w:multiLevelType w:val="hybridMultilevel"/>
    <w:tmpl w:val="36827F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A16311"/>
    <w:multiLevelType w:val="hybridMultilevel"/>
    <w:tmpl w:val="9AB0CF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B13BEC"/>
    <w:multiLevelType w:val="hybridMultilevel"/>
    <w:tmpl w:val="752CB5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E283F66"/>
    <w:multiLevelType w:val="hybridMultilevel"/>
    <w:tmpl w:val="2F202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903171"/>
    <w:multiLevelType w:val="hybridMultilevel"/>
    <w:tmpl w:val="46604C1E"/>
    <w:lvl w:ilvl="0" w:tplc="8A74EB18">
      <w:start w:val="1"/>
      <w:numFmt w:val="decimal"/>
      <w:lvlText w:val="%1)"/>
      <w:lvlJc w:val="left"/>
      <w:pPr>
        <w:ind w:left="1037" w:hanging="360"/>
      </w:pPr>
      <w:rPr>
        <w:rFonts w:ascii="Times New Roman" w:eastAsiaTheme="minorHAnsi" w:hAnsi="Times New Roman" w:cs="Times New Roman"/>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6">
    <w:nsid w:val="70A95949"/>
    <w:multiLevelType w:val="hybridMultilevel"/>
    <w:tmpl w:val="93EC3A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2C6F8C"/>
    <w:multiLevelType w:val="hybridMultilevel"/>
    <w:tmpl w:val="40E87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1E16"/>
    <w:rsid w:val="00247D6C"/>
    <w:rsid w:val="003F389F"/>
    <w:rsid w:val="00557BD3"/>
    <w:rsid w:val="006678CA"/>
    <w:rsid w:val="006B4819"/>
    <w:rsid w:val="00781517"/>
    <w:rsid w:val="008F3E3C"/>
    <w:rsid w:val="0097098F"/>
    <w:rsid w:val="00977025"/>
    <w:rsid w:val="00C62AC0"/>
    <w:rsid w:val="00D0534E"/>
    <w:rsid w:val="00E6609C"/>
    <w:rsid w:val="00EA6C84"/>
    <w:rsid w:val="00FA1E1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16"/>
    <w:pPr>
      <w:ind w:left="720"/>
      <w:contextualSpacing/>
    </w:pPr>
  </w:style>
  <w:style w:type="table" w:styleId="TableGrid">
    <w:name w:val="Table Grid"/>
    <w:basedOn w:val="TableNormal"/>
    <w:uiPriority w:val="59"/>
    <w:rsid w:val="00FA1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1E16"/>
    <w:rPr>
      <w:color w:val="0000FF"/>
      <w:u w:val="single"/>
    </w:rPr>
  </w:style>
  <w:style w:type="paragraph" w:styleId="Header">
    <w:name w:val="header"/>
    <w:basedOn w:val="Normal"/>
    <w:link w:val="HeaderChar"/>
    <w:uiPriority w:val="99"/>
    <w:unhideWhenUsed/>
    <w:rsid w:val="00FA1E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1E16"/>
  </w:style>
  <w:style w:type="paragraph" w:styleId="Footer">
    <w:name w:val="footer"/>
    <w:basedOn w:val="Normal"/>
    <w:link w:val="FooterChar"/>
    <w:uiPriority w:val="99"/>
    <w:unhideWhenUsed/>
    <w:rsid w:val="00FA1E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1E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munds.Fernat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845</Words>
  <Characters>6432</Characters>
  <Application>Microsoft Office Word</Application>
  <DocSecurity>0</DocSecurity>
  <Lines>178</Lines>
  <Paragraphs>73</Paragraphs>
  <ScaleCrop>false</ScaleCrop>
  <HeadingPairs>
    <vt:vector size="2" baseType="variant">
      <vt:variant>
        <vt:lpstr>Title</vt:lpstr>
      </vt:variant>
      <vt:variant>
        <vt:i4>1</vt:i4>
      </vt:variant>
    </vt:vector>
  </HeadingPairs>
  <TitlesOfParts>
    <vt:vector size="1" baseType="lpstr">
      <vt:lpstr>3.pielikums informatīvajam ziņojumam "Par normatīvajiem aktiem, kas nosaka dažādu atļauju (licenču) izsniegšanu un tajos paredzēto anulēšanas kārtību par nopietniem saimnieciskās darbības pārkāpumiem"</vt:lpstr>
    </vt:vector>
  </TitlesOfParts>
  <Company>LR Ekonomikas ministrija</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informatīvajam ziņojumam "Par normatīvajiem aktiem, kas nosaka dažādu atļauju (licenču) izsniegšanu un tajos paredzēto anulēšanas kārtību par nopietniem saimnieciskās darbības pārkāpumiem"</dc:title>
  <dc:subject>Informatīvā ziņojuma pielikums</dc:subject>
  <dc:creator>Edmunds Fernāts</dc:creator>
  <cp:keywords/>
  <dc:description>Edmunds.Fernats@em.gov.lv
67013053</dc:description>
  <cp:lastModifiedBy>Edmunds Fernāts</cp:lastModifiedBy>
  <cp:revision>9</cp:revision>
  <dcterms:created xsi:type="dcterms:W3CDTF">2011-06-08T16:33:00Z</dcterms:created>
  <dcterms:modified xsi:type="dcterms:W3CDTF">2011-06-27T07:38:00Z</dcterms:modified>
</cp:coreProperties>
</file>