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C0" w:rsidRPr="004F1F2D" w:rsidRDefault="004705C0" w:rsidP="004705C0">
      <w:pPr>
        <w:shd w:val="clear" w:color="auto" w:fill="FFFFFF"/>
        <w:ind w:left="38"/>
        <w:jc w:val="center"/>
        <w:rPr>
          <w:b/>
          <w:bCs/>
          <w:spacing w:val="-1"/>
          <w:sz w:val="28"/>
          <w:szCs w:val="28"/>
        </w:rPr>
      </w:pPr>
      <w:r w:rsidRPr="004F1F2D">
        <w:rPr>
          <w:b/>
          <w:bCs/>
          <w:spacing w:val="-1"/>
          <w:sz w:val="28"/>
          <w:szCs w:val="28"/>
        </w:rPr>
        <w:t xml:space="preserve">INFORMATĪVAIS </w:t>
      </w:r>
      <w:smartTag w:uri="schemas-tilde-lv/tildestengine" w:element="veidnes">
        <w:smartTagPr>
          <w:attr w:name="text" w:val="ziņojums"/>
          <w:attr w:name="baseform" w:val="ziņojums"/>
          <w:attr w:name="id" w:val="-1"/>
        </w:smartTagPr>
        <w:r w:rsidRPr="004F1F2D">
          <w:rPr>
            <w:b/>
            <w:bCs/>
            <w:spacing w:val="-1"/>
            <w:sz w:val="28"/>
            <w:szCs w:val="28"/>
          </w:rPr>
          <w:t>ZIŅOJUMS</w:t>
        </w:r>
      </w:smartTag>
    </w:p>
    <w:p w:rsidR="004705C0" w:rsidRPr="004F1F2D" w:rsidRDefault="002C11D7" w:rsidP="004705C0">
      <w:pPr>
        <w:shd w:val="clear" w:color="auto" w:fill="FFFFFF"/>
        <w:ind w:left="902" w:hanging="528"/>
        <w:jc w:val="center"/>
        <w:rPr>
          <w:sz w:val="28"/>
          <w:szCs w:val="28"/>
        </w:rPr>
      </w:pPr>
      <w:bookmarkStart w:id="0" w:name="OLE_LINK5"/>
      <w:bookmarkStart w:id="1" w:name="OLE_LINK6"/>
      <w:r w:rsidRPr="003B5254">
        <w:rPr>
          <w:b/>
          <w:sz w:val="28"/>
          <w:szCs w:val="28"/>
        </w:rPr>
        <w:t xml:space="preserve">Par kompetenču sadalījumu, </w:t>
      </w:r>
      <w:r w:rsidR="000F74A5">
        <w:rPr>
          <w:b/>
          <w:sz w:val="28"/>
          <w:szCs w:val="28"/>
        </w:rPr>
        <w:t>ievieš</w:t>
      </w:r>
      <w:r w:rsidRPr="003B5254">
        <w:rPr>
          <w:b/>
          <w:sz w:val="28"/>
          <w:szCs w:val="28"/>
        </w:rPr>
        <w:t xml:space="preserve">ot </w:t>
      </w:r>
      <w:r w:rsidR="000F74A5">
        <w:rPr>
          <w:b/>
          <w:sz w:val="28"/>
          <w:szCs w:val="28"/>
        </w:rPr>
        <w:t>cigarešu samazināta degšanas potenciāla</w:t>
      </w:r>
      <w:r w:rsidR="000F74A5">
        <w:rPr>
          <w:rFonts w:eastAsiaTheme="minorHAnsi"/>
          <w:sz w:val="28"/>
          <w:szCs w:val="28"/>
        </w:rPr>
        <w:t xml:space="preserve"> </w:t>
      </w:r>
      <w:r w:rsidRPr="003B5254">
        <w:rPr>
          <w:b/>
          <w:sz w:val="28"/>
          <w:szCs w:val="28"/>
        </w:rPr>
        <w:t>prasības</w:t>
      </w:r>
      <w:bookmarkEnd w:id="0"/>
      <w:bookmarkEnd w:id="1"/>
    </w:p>
    <w:p w:rsidR="004705C0" w:rsidRPr="004F1F2D" w:rsidRDefault="004705C0" w:rsidP="004705C0">
      <w:pPr>
        <w:shd w:val="clear" w:color="auto" w:fill="FFFFFF"/>
        <w:ind w:left="29" w:firstLine="720"/>
        <w:jc w:val="both"/>
        <w:rPr>
          <w:spacing w:val="-1"/>
          <w:sz w:val="28"/>
          <w:szCs w:val="28"/>
        </w:rPr>
      </w:pPr>
    </w:p>
    <w:p w:rsidR="004705C0" w:rsidRPr="00381DFF" w:rsidRDefault="004705C0" w:rsidP="004705C0">
      <w:pPr>
        <w:shd w:val="clear" w:color="auto" w:fill="FFFFFF"/>
        <w:ind w:left="29" w:firstLine="538"/>
        <w:jc w:val="both"/>
        <w:rPr>
          <w:sz w:val="28"/>
          <w:szCs w:val="28"/>
        </w:rPr>
      </w:pPr>
    </w:p>
    <w:p w:rsidR="00B3013A" w:rsidRPr="003E6447" w:rsidRDefault="00B3013A" w:rsidP="00F40E09">
      <w:pPr>
        <w:pStyle w:val="Heading1"/>
        <w:spacing w:after="240"/>
        <w:jc w:val="center"/>
        <w:rPr>
          <w:sz w:val="28"/>
          <w:szCs w:val="28"/>
        </w:rPr>
      </w:pPr>
      <w:r w:rsidRPr="003E6447">
        <w:rPr>
          <w:sz w:val="28"/>
          <w:szCs w:val="28"/>
        </w:rPr>
        <w:t>1.Ievads</w:t>
      </w:r>
    </w:p>
    <w:p w:rsidR="004B7C3A" w:rsidRPr="004B7C3A" w:rsidRDefault="004B7C3A" w:rsidP="001C116B">
      <w:pPr>
        <w:ind w:firstLine="709"/>
        <w:jc w:val="both"/>
        <w:rPr>
          <w:sz w:val="28"/>
          <w:szCs w:val="28"/>
        </w:rPr>
      </w:pPr>
      <w:r w:rsidRPr="004B7C3A">
        <w:rPr>
          <w:sz w:val="28"/>
          <w:szCs w:val="28"/>
        </w:rPr>
        <w:t>Lai nodrošinātu, ka Eiropas Kopienu tirgū patērētājiem pieejamas tika</w:t>
      </w:r>
      <w:r w:rsidR="00A87D7D">
        <w:rPr>
          <w:sz w:val="28"/>
          <w:szCs w:val="28"/>
        </w:rPr>
        <w:t>i drošas preces, 2001. gada 3.d</w:t>
      </w:r>
      <w:r w:rsidRPr="004B7C3A">
        <w:rPr>
          <w:sz w:val="28"/>
          <w:szCs w:val="28"/>
        </w:rPr>
        <w:t>ecembrī tika pieņemta Eiropas Parlamenta un Padomes Direktīva 2001/95/EK par produktu vispārēju drošību</w:t>
      </w:r>
      <w:r>
        <w:rPr>
          <w:sz w:val="28"/>
          <w:szCs w:val="28"/>
        </w:rPr>
        <w:t xml:space="preserve"> </w:t>
      </w:r>
      <w:r w:rsidRPr="004B7C3A">
        <w:rPr>
          <w:sz w:val="28"/>
          <w:szCs w:val="28"/>
        </w:rPr>
        <w:t>(</w:t>
      </w:r>
      <w:r w:rsidRPr="00A931D5">
        <w:rPr>
          <w:sz w:val="28"/>
          <w:szCs w:val="28"/>
        </w:rPr>
        <w:t>turpmāk – Direktīva 2001/95/EK</w:t>
      </w:r>
      <w:r w:rsidRPr="004B7C3A">
        <w:rPr>
          <w:sz w:val="28"/>
          <w:szCs w:val="28"/>
        </w:rPr>
        <w:t>). Minētās direktīvas prasības Latvijas tiesību aktos pārņemtas Preču un pakalpojumu drošuma likumā.</w:t>
      </w:r>
      <w:r>
        <w:rPr>
          <w:sz w:val="28"/>
          <w:szCs w:val="28"/>
        </w:rPr>
        <w:t xml:space="preserve"> </w:t>
      </w:r>
    </w:p>
    <w:p w:rsidR="001C116B" w:rsidRPr="004C7685" w:rsidRDefault="004B7C3A" w:rsidP="00441621">
      <w:pPr>
        <w:pStyle w:val="Default"/>
        <w:ind w:firstLine="709"/>
        <w:jc w:val="both"/>
        <w:rPr>
          <w:rFonts w:ascii="Times New Roman" w:hAnsi="Times New Roman" w:cs="Times New Roman"/>
          <w:sz w:val="28"/>
          <w:szCs w:val="28"/>
        </w:rPr>
      </w:pPr>
      <w:r w:rsidRPr="004C7685">
        <w:rPr>
          <w:rFonts w:ascii="Times New Roman" w:hAnsi="Times New Roman" w:cs="Times New Roman"/>
          <w:sz w:val="28"/>
          <w:szCs w:val="28"/>
        </w:rPr>
        <w:t xml:space="preserve">2008.gadā 25. martā Eiropas Komisija izdeva Komisijas Lēmumu Nr.2008/264/EK par ugunsdrošības prasībām, kas atbilstoši Eiropas Parlamenta un Padomes Direktīvai 2001/95/EK jāizpilda ar Eiropas standartiem attiecībā uz cigaretēm, tādejādi dodot mandātu Eiropas Standartizācijas komitejai izstrādāt standartu samazinātas degšanas spējas cigaretēm ar mērķi ierobežot cigarešu izraisītu ugunsgrēku un tajos cietušo un bojā gājušo skaitu, kā arī materiālos zaudējumus. </w:t>
      </w:r>
      <w:r w:rsidR="001C116B" w:rsidRPr="004C7685">
        <w:rPr>
          <w:rFonts w:ascii="Times New Roman" w:hAnsi="Times New Roman" w:cs="Times New Roman"/>
          <w:sz w:val="28"/>
          <w:szCs w:val="28"/>
        </w:rPr>
        <w:t>Ei</w:t>
      </w:r>
      <w:r w:rsidRPr="004C7685">
        <w:rPr>
          <w:rFonts w:ascii="Times New Roman" w:hAnsi="Times New Roman" w:cs="Times New Roman"/>
          <w:sz w:val="28"/>
          <w:szCs w:val="28"/>
        </w:rPr>
        <w:t>ropas Standartizācijas Komiteja</w:t>
      </w:r>
      <w:r w:rsidR="001C116B" w:rsidRPr="004C7685">
        <w:rPr>
          <w:rFonts w:ascii="Times New Roman" w:hAnsi="Times New Roman" w:cs="Times New Roman"/>
          <w:sz w:val="28"/>
          <w:szCs w:val="28"/>
        </w:rPr>
        <w:t xml:space="preserve"> (CEN) </w:t>
      </w:r>
      <w:r w:rsidRPr="004C7685">
        <w:rPr>
          <w:rFonts w:ascii="Times New Roman" w:hAnsi="Times New Roman" w:cs="Times New Roman"/>
          <w:sz w:val="28"/>
          <w:szCs w:val="28"/>
        </w:rPr>
        <w:t xml:space="preserve">darbu pie standartu izstrādes pabeidza </w:t>
      </w:r>
      <w:r w:rsidR="001C116B" w:rsidRPr="004C7685">
        <w:rPr>
          <w:rFonts w:ascii="Times New Roman" w:hAnsi="Times New Roman" w:cs="Times New Roman"/>
          <w:sz w:val="28"/>
          <w:szCs w:val="28"/>
        </w:rPr>
        <w:t>2010. gada 17.novembrī</w:t>
      </w:r>
      <w:r w:rsidRPr="004C7685">
        <w:rPr>
          <w:rFonts w:ascii="Times New Roman" w:hAnsi="Times New Roman" w:cs="Times New Roman"/>
          <w:sz w:val="28"/>
          <w:szCs w:val="28"/>
        </w:rPr>
        <w:t>,</w:t>
      </w:r>
      <w:r w:rsidR="001C116B" w:rsidRPr="004C7685">
        <w:rPr>
          <w:rFonts w:ascii="Times New Roman" w:hAnsi="Times New Roman" w:cs="Times New Roman"/>
          <w:sz w:val="28"/>
          <w:szCs w:val="28"/>
        </w:rPr>
        <w:t xml:space="preserve"> pieņem</w:t>
      </w:r>
      <w:r w:rsidRPr="004C7685">
        <w:rPr>
          <w:rFonts w:ascii="Times New Roman" w:hAnsi="Times New Roman" w:cs="Times New Roman"/>
          <w:sz w:val="28"/>
          <w:szCs w:val="28"/>
        </w:rPr>
        <w:t>o</w:t>
      </w:r>
      <w:r w:rsidR="001C116B" w:rsidRPr="004C7685">
        <w:rPr>
          <w:rFonts w:ascii="Times New Roman" w:hAnsi="Times New Roman" w:cs="Times New Roman"/>
          <w:sz w:val="28"/>
          <w:szCs w:val="28"/>
        </w:rPr>
        <w:t>t standartu EN 16156 "Cigaretes – Uzliesmošanas riska novērtējums - Drošības prasības" un standartu EN ISO 12863:2010 "</w:t>
      </w:r>
      <w:proofErr w:type="spellStart"/>
      <w:r w:rsidR="001C116B" w:rsidRPr="004C7685">
        <w:rPr>
          <w:rFonts w:ascii="Times New Roman" w:hAnsi="Times New Roman" w:cs="Times New Roman"/>
          <w:sz w:val="28"/>
          <w:szCs w:val="28"/>
        </w:rPr>
        <w:t>Standarttestēšanas</w:t>
      </w:r>
      <w:proofErr w:type="spellEnd"/>
      <w:r w:rsidR="001C116B" w:rsidRPr="004C7685">
        <w:rPr>
          <w:rFonts w:ascii="Times New Roman" w:hAnsi="Times New Roman" w:cs="Times New Roman"/>
          <w:sz w:val="28"/>
          <w:szCs w:val="28"/>
        </w:rPr>
        <w:t xml:space="preserve"> metode cigarešu izraisītas aizdegšanās novērtēšanai", kas nosaka prasības par cigarešu degšanas spējas samazināšanu un tās testēšanas metodi. Minētie standarti adaptēti Latvijas nacionālo standartu statusā (attiecīgi LVS EN 16156:2011 un LVS EN ISO 12863:2011). </w:t>
      </w:r>
      <w:r w:rsidRPr="004C7685">
        <w:rPr>
          <w:rFonts w:ascii="Times New Roman" w:hAnsi="Times New Roman" w:cs="Times New Roman"/>
          <w:sz w:val="28"/>
          <w:szCs w:val="28"/>
        </w:rPr>
        <w:t xml:space="preserve">Eiropas Komisija </w:t>
      </w:r>
      <w:r w:rsidR="00573E99">
        <w:rPr>
          <w:rFonts w:ascii="Times New Roman" w:hAnsi="Times New Roman" w:cs="Times New Roman"/>
          <w:sz w:val="28"/>
          <w:szCs w:val="28"/>
        </w:rPr>
        <w:t>2011.gada 9</w:t>
      </w:r>
      <w:r w:rsidR="004C7685" w:rsidRPr="004C7685">
        <w:rPr>
          <w:rFonts w:ascii="Times New Roman" w:hAnsi="Times New Roman" w:cs="Times New Roman"/>
          <w:sz w:val="28"/>
          <w:szCs w:val="28"/>
        </w:rPr>
        <w:t>.augustā pieņēma</w:t>
      </w:r>
      <w:r w:rsidRPr="004C7685">
        <w:rPr>
          <w:rFonts w:ascii="Times New Roman" w:hAnsi="Times New Roman" w:cs="Times New Roman"/>
          <w:sz w:val="28"/>
          <w:szCs w:val="28"/>
        </w:rPr>
        <w:t xml:space="preserve"> lēmum</w:t>
      </w:r>
      <w:r w:rsidR="004C7685" w:rsidRPr="004C7685">
        <w:rPr>
          <w:rFonts w:ascii="Times New Roman" w:hAnsi="Times New Roman" w:cs="Times New Roman"/>
          <w:sz w:val="28"/>
          <w:szCs w:val="28"/>
        </w:rPr>
        <w:t xml:space="preserve">u Nr. 2011/496/ES </w:t>
      </w:r>
      <w:r w:rsidR="004C7685">
        <w:rPr>
          <w:rFonts w:ascii="Times New Roman" w:hAnsi="Times New Roman" w:cs="Times New Roman"/>
          <w:sz w:val="28"/>
          <w:szCs w:val="28"/>
        </w:rPr>
        <w:t>„P</w:t>
      </w:r>
      <w:r w:rsidR="004C7685" w:rsidRPr="004C7685">
        <w:rPr>
          <w:rFonts w:ascii="Times New Roman" w:hAnsi="Times New Roman" w:cs="Times New Roman"/>
          <w:bCs/>
          <w:sz w:val="28"/>
          <w:szCs w:val="28"/>
        </w:rPr>
        <w:t xml:space="preserve">ar standarta EN 16156:2010 “Cigaretes. Aizdegšanās iespējas novērtējums. Drošības prasības” un standarta EN ISO 12863:2010 “Cigarešu aizdegšanās iespējas novērtēšanas standarta testa metode” atbilstību Eiropas  Parlamenta un Padomes Direktīvas 2001/95/EK vispārējām drošības prasībām un atsauču uz standartu EN 16156:2010 “Cigaretes. Aizdegšanās iespējas novērtējums. Drošības prasības” un standartu EN ISO 12863:2010 “Cigarešu aizdegšanās iespējas novērtēšanas standarta testa metode” publicēšanu </w:t>
      </w:r>
      <w:r w:rsidR="004C7685" w:rsidRPr="004C7685">
        <w:rPr>
          <w:rFonts w:ascii="Times New Roman" w:hAnsi="Times New Roman" w:cs="Times New Roman"/>
          <w:bCs/>
          <w:i/>
          <w:iCs/>
          <w:sz w:val="28"/>
          <w:szCs w:val="28"/>
        </w:rPr>
        <w:t>Eiropas Savienības Oficiālajā Vēstnesī</w:t>
      </w:r>
      <w:r w:rsidR="004C7685">
        <w:rPr>
          <w:rFonts w:ascii="Times New Roman" w:hAnsi="Times New Roman" w:cs="Times New Roman"/>
          <w:bCs/>
          <w:i/>
          <w:iCs/>
          <w:sz w:val="28"/>
          <w:szCs w:val="28"/>
        </w:rPr>
        <w:t>”</w:t>
      </w:r>
      <w:r w:rsidRPr="004C7685">
        <w:rPr>
          <w:rFonts w:ascii="Times New Roman" w:hAnsi="Times New Roman" w:cs="Times New Roman"/>
          <w:sz w:val="28"/>
          <w:szCs w:val="28"/>
        </w:rPr>
        <w:t>, kas paredz atsauču uz minētajiem standartiem publicēšanu</w:t>
      </w:r>
      <w:r w:rsidR="00A87D7D" w:rsidRPr="004C7685">
        <w:rPr>
          <w:rFonts w:ascii="Times New Roman" w:hAnsi="Times New Roman" w:cs="Times New Roman"/>
          <w:sz w:val="28"/>
          <w:szCs w:val="28"/>
        </w:rPr>
        <w:t xml:space="preserve"> Eiropas Savienības Oficiālā V</w:t>
      </w:r>
      <w:r w:rsidRPr="004C7685">
        <w:rPr>
          <w:rFonts w:ascii="Times New Roman" w:hAnsi="Times New Roman" w:cs="Times New Roman"/>
          <w:sz w:val="28"/>
          <w:szCs w:val="28"/>
        </w:rPr>
        <w:t>ēstne</w:t>
      </w:r>
      <w:r w:rsidR="00573E99">
        <w:rPr>
          <w:rFonts w:ascii="Times New Roman" w:hAnsi="Times New Roman" w:cs="Times New Roman"/>
          <w:sz w:val="28"/>
          <w:szCs w:val="28"/>
        </w:rPr>
        <w:t>ša C daļā</w:t>
      </w:r>
      <w:r w:rsidRPr="004C7685">
        <w:rPr>
          <w:rFonts w:ascii="Times New Roman" w:hAnsi="Times New Roman" w:cs="Times New Roman"/>
          <w:sz w:val="28"/>
          <w:szCs w:val="28"/>
        </w:rPr>
        <w:t xml:space="preserve"> 2011.gada 17.novembrī.</w:t>
      </w:r>
    </w:p>
    <w:p w:rsidR="001C116B" w:rsidRPr="00A931D5" w:rsidRDefault="001C116B" w:rsidP="001C116B">
      <w:pPr>
        <w:ind w:firstLine="709"/>
        <w:jc w:val="both"/>
        <w:rPr>
          <w:sz w:val="28"/>
          <w:szCs w:val="28"/>
        </w:rPr>
      </w:pPr>
      <w:r w:rsidRPr="00A931D5">
        <w:rPr>
          <w:sz w:val="28"/>
          <w:szCs w:val="28"/>
        </w:rPr>
        <w:t xml:space="preserve">Atbilstoši Eiropas Komisijas un nozares uzņēmumu panāktajai vienošanai, periods no standarta EN 16156 pieņemšanas 2010.gada 17.novembrī līdz atsauces uz standartu publicēšanai </w:t>
      </w:r>
      <w:r w:rsidR="00A87D7D">
        <w:rPr>
          <w:sz w:val="28"/>
          <w:szCs w:val="28"/>
        </w:rPr>
        <w:t>Eiropas Savienības</w:t>
      </w:r>
      <w:r w:rsidRPr="00A931D5">
        <w:rPr>
          <w:sz w:val="28"/>
          <w:szCs w:val="28"/>
        </w:rPr>
        <w:t xml:space="preserve"> </w:t>
      </w:r>
      <w:r w:rsidRPr="00A87D7D">
        <w:rPr>
          <w:sz w:val="28"/>
          <w:szCs w:val="28"/>
        </w:rPr>
        <w:t>Oficiālajā Vēstnesī</w:t>
      </w:r>
      <w:r w:rsidRPr="00A931D5">
        <w:rPr>
          <w:sz w:val="28"/>
          <w:szCs w:val="28"/>
        </w:rPr>
        <w:t xml:space="preserve"> 2011.gada 17.novembrī </w:t>
      </w:r>
      <w:r>
        <w:rPr>
          <w:sz w:val="28"/>
          <w:szCs w:val="28"/>
        </w:rPr>
        <w:t>ir</w:t>
      </w:r>
      <w:r w:rsidRPr="00A931D5">
        <w:rPr>
          <w:sz w:val="28"/>
          <w:szCs w:val="28"/>
        </w:rPr>
        <w:t xml:space="preserve"> uzskatāms par pārejas periodu cigarešu ražotājiem, izplatītājiem un tirgotājiem, lai pārkārtotu ražošanu jaunajām prasībām, realizētu vai apmainītu esošos cigarešu krājumus un veiktu citus pasākumus, kas nepieciešami, lai nodrošinātu cigarešu atbilstību samazinātas degšanas prasībām un vienlaicīgi arī citām spēkā esošajām prasībām attiecībā uz to sastāvu. </w:t>
      </w:r>
    </w:p>
    <w:p w:rsidR="00DE3728" w:rsidRPr="00A834FF" w:rsidRDefault="00DE3728" w:rsidP="00DE3728">
      <w:pPr>
        <w:ind w:firstLine="709"/>
        <w:jc w:val="both"/>
        <w:rPr>
          <w:b/>
          <w:sz w:val="28"/>
          <w:szCs w:val="28"/>
        </w:rPr>
      </w:pPr>
      <w:r w:rsidRPr="00A834FF">
        <w:rPr>
          <w:sz w:val="28"/>
          <w:szCs w:val="28"/>
        </w:rPr>
        <w:lastRenderedPageBreak/>
        <w:t>Ņemot vērā, ka vismaz trešdaļa ugunsgrēkos bojā gājušo Latvijā dzīvību zaudēja ugunsgrēkos, ko izraisījis  nenodzēsts izsmēķis</w:t>
      </w:r>
      <w:r>
        <w:rPr>
          <w:sz w:val="28"/>
          <w:szCs w:val="28"/>
        </w:rPr>
        <w:t xml:space="preserve">, paredzams, ka jaunā veida cigarešu ieviešana Latvijā </w:t>
      </w:r>
      <w:r w:rsidRPr="00FF6708">
        <w:rPr>
          <w:sz w:val="28"/>
          <w:szCs w:val="28"/>
        </w:rPr>
        <w:t>nenovērsīs visus ugunsgrēkus, taču ievērojami samazinās to ugunsgrēku skaitu, kurus izraisa gruzdošas cigaretes.</w:t>
      </w:r>
      <w:r>
        <w:rPr>
          <w:sz w:val="28"/>
          <w:szCs w:val="28"/>
        </w:rPr>
        <w:t xml:space="preserve"> Samazinātas degšanas potenciāla cigaretes</w:t>
      </w:r>
      <w:r>
        <w:rPr>
          <w:rStyle w:val="FootnoteReference"/>
          <w:sz w:val="28"/>
          <w:szCs w:val="28"/>
        </w:rPr>
        <w:footnoteReference w:id="1"/>
      </w:r>
      <w:r>
        <w:rPr>
          <w:sz w:val="28"/>
          <w:szCs w:val="28"/>
        </w:rPr>
        <w:t xml:space="preserve"> jau ir ieviestas gandrīz visos Amerikas Savienoto Valstu štatos (atsevišķos štatos prasība stāsies spēkā 2012.gadā), Kanādā (no 2005.gada), Austrālijā (no 2010.gada marta), kā arī Somijā</w:t>
      </w:r>
      <w:r w:rsidRPr="004F1DF0">
        <w:rPr>
          <w:sz w:val="28"/>
          <w:szCs w:val="28"/>
        </w:rPr>
        <w:t xml:space="preserve"> </w:t>
      </w:r>
      <w:r>
        <w:rPr>
          <w:sz w:val="28"/>
          <w:szCs w:val="28"/>
        </w:rPr>
        <w:t>(no 2010.gada 1.aprīļa).</w:t>
      </w:r>
    </w:p>
    <w:p w:rsidR="00455A96" w:rsidRDefault="001C116B" w:rsidP="001C116B">
      <w:pPr>
        <w:spacing w:before="60"/>
        <w:ind w:firstLine="709"/>
        <w:jc w:val="both"/>
        <w:rPr>
          <w:sz w:val="28"/>
          <w:szCs w:val="28"/>
        </w:rPr>
      </w:pPr>
      <w:r w:rsidRPr="00455A96">
        <w:rPr>
          <w:sz w:val="28"/>
          <w:szCs w:val="28"/>
        </w:rPr>
        <w:t xml:space="preserve">Ņemot vērā minēto, </w:t>
      </w:r>
      <w:r w:rsidR="006A04EC" w:rsidRPr="00455A96">
        <w:rPr>
          <w:sz w:val="28"/>
          <w:szCs w:val="28"/>
        </w:rPr>
        <w:t>nepieciešams</w:t>
      </w:r>
      <w:r w:rsidR="003E6447" w:rsidRPr="00455A96">
        <w:rPr>
          <w:sz w:val="28"/>
          <w:szCs w:val="28"/>
        </w:rPr>
        <w:t xml:space="preserve"> noteikt atbildīgo iestādi, kas veiks cigarešu samazinātas degšanas prasību izpildes uzraudzību Latvijas tirgū</w:t>
      </w:r>
      <w:r w:rsidRPr="00455A96">
        <w:rPr>
          <w:sz w:val="28"/>
          <w:szCs w:val="28"/>
        </w:rPr>
        <w:t>.</w:t>
      </w:r>
      <w:r w:rsidR="00320170" w:rsidRPr="00455A96">
        <w:rPr>
          <w:sz w:val="28"/>
          <w:szCs w:val="28"/>
        </w:rPr>
        <w:t xml:space="preserve"> Ekono</w:t>
      </w:r>
      <w:r w:rsidR="00F01CFA">
        <w:rPr>
          <w:sz w:val="28"/>
          <w:szCs w:val="28"/>
        </w:rPr>
        <w:t>mikas ministrija ir aktualizējus</w:t>
      </w:r>
      <w:r w:rsidR="00320170" w:rsidRPr="00455A96">
        <w:rPr>
          <w:sz w:val="28"/>
          <w:szCs w:val="28"/>
        </w:rPr>
        <w:t xml:space="preserve">i šo jautājumu </w:t>
      </w:r>
      <w:r w:rsidR="00455A96" w:rsidRPr="00455A96">
        <w:rPr>
          <w:sz w:val="28"/>
          <w:szCs w:val="28"/>
        </w:rPr>
        <w:t>un ierosinājusi diskusijas par atbildīgās iestādes noteikšanu dažāda līmeņa darba grupās un komisijās (Tirgus uzraudzības padomes 2010.gada 22.decembra sēdē (protokols Nr.11, 3.2.apakšpunkts) un Smēķēšanas ierobežošanas valsts komisijas 2011.gada 11.maija sēdē (protokols Nr.1, 4.punkts)</w:t>
      </w:r>
      <w:r w:rsidR="00D81BEF">
        <w:rPr>
          <w:sz w:val="28"/>
          <w:szCs w:val="28"/>
        </w:rPr>
        <w:t>)</w:t>
      </w:r>
      <w:r w:rsidR="00320170" w:rsidRPr="00455A96">
        <w:rPr>
          <w:sz w:val="28"/>
          <w:szCs w:val="28"/>
        </w:rPr>
        <w:t xml:space="preserve">, </w:t>
      </w:r>
      <w:r w:rsidR="00455A96" w:rsidRPr="00455A96">
        <w:rPr>
          <w:sz w:val="28"/>
          <w:szCs w:val="28"/>
        </w:rPr>
        <w:t>kā arī lūgusi  par tabakas izstrādājumu aprites jomas politikas veidošanu un uzraudzību atbildīg</w:t>
      </w:r>
      <w:r w:rsidR="00D81BEF">
        <w:rPr>
          <w:sz w:val="28"/>
          <w:szCs w:val="28"/>
        </w:rPr>
        <w:t>ajām</w:t>
      </w:r>
      <w:r w:rsidR="00455A96" w:rsidRPr="00455A96">
        <w:rPr>
          <w:sz w:val="28"/>
          <w:szCs w:val="28"/>
        </w:rPr>
        <w:t xml:space="preserve"> iestād</w:t>
      </w:r>
      <w:r w:rsidR="00D81BEF">
        <w:rPr>
          <w:sz w:val="28"/>
          <w:szCs w:val="28"/>
        </w:rPr>
        <w:t>ēm</w:t>
      </w:r>
      <w:r w:rsidR="00455A96" w:rsidRPr="00455A96">
        <w:rPr>
          <w:sz w:val="28"/>
          <w:szCs w:val="28"/>
        </w:rPr>
        <w:t xml:space="preserve"> sniegt rakstiskus viedokļus. Tāpat Ekonomikas ministrijā tika </w:t>
      </w:r>
      <w:r w:rsidR="00320170" w:rsidRPr="00455A96">
        <w:rPr>
          <w:sz w:val="28"/>
          <w:szCs w:val="28"/>
        </w:rPr>
        <w:t>organizē</w:t>
      </w:r>
      <w:r w:rsidR="00455A96" w:rsidRPr="00455A96">
        <w:rPr>
          <w:sz w:val="28"/>
          <w:szCs w:val="28"/>
        </w:rPr>
        <w:t>ta</w:t>
      </w:r>
      <w:r w:rsidR="00320170" w:rsidRPr="00455A96">
        <w:rPr>
          <w:sz w:val="28"/>
          <w:szCs w:val="28"/>
        </w:rPr>
        <w:t xml:space="preserve"> atsevišķa tikšanās ar V</w:t>
      </w:r>
      <w:r w:rsidR="00A87D7D">
        <w:rPr>
          <w:sz w:val="28"/>
          <w:szCs w:val="28"/>
        </w:rPr>
        <w:t>eselības ministrijas un Valsts i</w:t>
      </w:r>
      <w:r w:rsidR="00320170" w:rsidRPr="00455A96">
        <w:rPr>
          <w:sz w:val="28"/>
          <w:szCs w:val="28"/>
        </w:rPr>
        <w:t>eņēmumu dienesta pārstāvjiem</w:t>
      </w:r>
      <w:r w:rsidR="00455A96" w:rsidRPr="00455A96">
        <w:rPr>
          <w:sz w:val="28"/>
          <w:szCs w:val="28"/>
        </w:rPr>
        <w:t xml:space="preserve"> 2011.gada 21.martā</w:t>
      </w:r>
      <w:r w:rsidR="00455A96">
        <w:rPr>
          <w:sz w:val="28"/>
          <w:szCs w:val="28"/>
        </w:rPr>
        <w:t xml:space="preserve">. </w:t>
      </w:r>
    </w:p>
    <w:p w:rsidR="001C116B" w:rsidRDefault="00455A96" w:rsidP="001C116B">
      <w:pPr>
        <w:spacing w:before="60"/>
        <w:ind w:firstLine="709"/>
        <w:jc w:val="both"/>
        <w:rPr>
          <w:sz w:val="28"/>
          <w:szCs w:val="28"/>
        </w:rPr>
      </w:pPr>
      <w:r w:rsidRPr="00455A96">
        <w:rPr>
          <w:sz w:val="28"/>
          <w:szCs w:val="28"/>
        </w:rPr>
        <w:t xml:space="preserve">Smēķēšanas ierobežošanas valsts komisijas 2011.gada 11.maija sēdē </w:t>
      </w:r>
      <w:r w:rsidR="00F47AC4">
        <w:rPr>
          <w:sz w:val="28"/>
          <w:szCs w:val="28"/>
        </w:rPr>
        <w:t xml:space="preserve">tika </w:t>
      </w:r>
      <w:r w:rsidRPr="00455A96">
        <w:rPr>
          <w:sz w:val="28"/>
          <w:szCs w:val="28"/>
        </w:rPr>
        <w:t>pan</w:t>
      </w:r>
      <w:r>
        <w:rPr>
          <w:sz w:val="28"/>
          <w:szCs w:val="28"/>
        </w:rPr>
        <w:t>ākt</w:t>
      </w:r>
      <w:r w:rsidR="00F47AC4">
        <w:rPr>
          <w:sz w:val="28"/>
          <w:szCs w:val="28"/>
        </w:rPr>
        <w:t>a</w:t>
      </w:r>
      <w:r w:rsidRPr="00455A96">
        <w:rPr>
          <w:sz w:val="28"/>
          <w:szCs w:val="28"/>
        </w:rPr>
        <w:t xml:space="preserve"> vienošan</w:t>
      </w:r>
      <w:r w:rsidR="00F47AC4">
        <w:rPr>
          <w:sz w:val="28"/>
          <w:szCs w:val="28"/>
        </w:rPr>
        <w:t>ā</w:t>
      </w:r>
      <w:r w:rsidRPr="00455A96">
        <w:rPr>
          <w:sz w:val="28"/>
          <w:szCs w:val="28"/>
        </w:rPr>
        <w:t>s, ka cigarešu kvalitātes un drošības prasību uzraudzība un kontrole ir jāveic vienai institūcijai.</w:t>
      </w:r>
      <w:r w:rsidR="00F47AC4">
        <w:rPr>
          <w:sz w:val="28"/>
          <w:szCs w:val="28"/>
        </w:rPr>
        <w:t xml:space="preserve"> </w:t>
      </w:r>
    </w:p>
    <w:p w:rsidR="00F40E09" w:rsidRDefault="00F40E09" w:rsidP="00F40E09">
      <w:pPr>
        <w:shd w:val="clear" w:color="auto" w:fill="FFFFFF"/>
        <w:ind w:left="29" w:firstLine="680"/>
        <w:jc w:val="both"/>
        <w:rPr>
          <w:b/>
          <w:sz w:val="28"/>
          <w:szCs w:val="28"/>
        </w:rPr>
      </w:pPr>
      <w:r w:rsidRPr="00901957">
        <w:rPr>
          <w:sz w:val="28"/>
          <w:szCs w:val="28"/>
        </w:rPr>
        <w:t>Ņemot vērā, ka atbilstoši likuma „Par Valsts ieņēmumu dienestu” 11.panta pirmajai daļai preču un citu priekšmetu muitas kontrole, to aplikšana ar muitas nodokli un muitas nodevām, muitas nodokļa un muitas nodevu iekasēšana un muitas kontroles noformēšana, kā arī valsts ekonomiskās robežas aizsardzība</w:t>
      </w:r>
      <w:r w:rsidR="00D81BEF">
        <w:rPr>
          <w:sz w:val="28"/>
          <w:szCs w:val="28"/>
        </w:rPr>
        <w:t>,</w:t>
      </w:r>
      <w:r w:rsidRPr="00901957">
        <w:rPr>
          <w:sz w:val="28"/>
          <w:szCs w:val="28"/>
        </w:rPr>
        <w:t xml:space="preserve"> ir tikai muitas lieta, cigarešu samazinātas degšanas potenciāla kontrole uz valsts robežas attiecībā uz cigarešu importu ir Valsts ieņēmumu dienesta Muitas pārvaldes kompetencē.</w:t>
      </w:r>
      <w:r>
        <w:rPr>
          <w:sz w:val="28"/>
          <w:szCs w:val="28"/>
        </w:rPr>
        <w:t xml:space="preserve"> </w:t>
      </w:r>
      <w:r w:rsidRPr="00A848B7">
        <w:rPr>
          <w:b/>
          <w:sz w:val="28"/>
          <w:szCs w:val="28"/>
        </w:rPr>
        <w:t xml:space="preserve">Līdz ar to risināms ir tikai jautājums par cigarešu samazinātas degšanas prasību ievērošanu Latvijas </w:t>
      </w:r>
      <w:r w:rsidR="00A87D7D" w:rsidRPr="00A848B7">
        <w:rPr>
          <w:b/>
          <w:sz w:val="28"/>
          <w:szCs w:val="28"/>
        </w:rPr>
        <w:t>iekšē</w:t>
      </w:r>
      <w:r w:rsidRPr="00A848B7">
        <w:rPr>
          <w:b/>
          <w:sz w:val="28"/>
          <w:szCs w:val="28"/>
        </w:rPr>
        <w:t>jā tirgū.</w:t>
      </w:r>
    </w:p>
    <w:p w:rsidR="00FB24EC" w:rsidRDefault="00FB24EC" w:rsidP="00FB24EC">
      <w:pPr>
        <w:ind w:firstLine="709"/>
        <w:jc w:val="both"/>
        <w:rPr>
          <w:sz w:val="28"/>
          <w:szCs w:val="28"/>
        </w:rPr>
      </w:pPr>
      <w:r w:rsidRPr="00A931D5">
        <w:rPr>
          <w:sz w:val="28"/>
          <w:szCs w:val="28"/>
        </w:rPr>
        <w:t>Ekonomikas ministrijā saņemts arī Eiropas Komisijas oficiāls viedoklis, kurā norādīts, ka jaunās prasības piemērojamas arī tām cigaretēm, kas atsauču uz standartiem publicēšanas brīdī atradīs</w:t>
      </w:r>
      <w:r>
        <w:rPr>
          <w:sz w:val="28"/>
          <w:szCs w:val="28"/>
        </w:rPr>
        <w:t>ies tirgū, ņemot vērā Direktīvā</w:t>
      </w:r>
      <w:r w:rsidRPr="00A931D5">
        <w:rPr>
          <w:sz w:val="28"/>
          <w:szCs w:val="28"/>
        </w:rPr>
        <w:t xml:space="preserve"> 2001/95/EK noteikto pienākumu nodrošināt, ka tirgū ievietotās vai citādi patērētājiem piegādātas vai pieejamās preces ir drošas. </w:t>
      </w:r>
    </w:p>
    <w:p w:rsidR="00FF6708" w:rsidRPr="00FF6708" w:rsidRDefault="00FF6708" w:rsidP="00FF6708">
      <w:pPr>
        <w:rPr>
          <w:lang w:eastAsia="en-US"/>
        </w:rPr>
      </w:pPr>
    </w:p>
    <w:p w:rsidR="004705C0" w:rsidRPr="003E6447" w:rsidRDefault="00BE73C3" w:rsidP="00F40E09">
      <w:pPr>
        <w:pStyle w:val="Heading1"/>
        <w:spacing w:after="240"/>
        <w:jc w:val="center"/>
        <w:rPr>
          <w:sz w:val="28"/>
          <w:szCs w:val="28"/>
        </w:rPr>
      </w:pPr>
      <w:r>
        <w:rPr>
          <w:sz w:val="28"/>
          <w:szCs w:val="28"/>
        </w:rPr>
        <w:lastRenderedPageBreak/>
        <w:t>2</w:t>
      </w:r>
      <w:r w:rsidR="00B3013A" w:rsidRPr="003E6447">
        <w:rPr>
          <w:sz w:val="28"/>
          <w:szCs w:val="28"/>
        </w:rPr>
        <w:t>. Kompetenču sadali regulējošie normatīvie akti un kompetentās iestādes noteikšana</w:t>
      </w:r>
    </w:p>
    <w:p w:rsidR="00FB24EC" w:rsidRPr="00BE73C3" w:rsidRDefault="00FB24EC" w:rsidP="00BE73C3">
      <w:pPr>
        <w:shd w:val="clear" w:color="auto" w:fill="FFFFFF"/>
        <w:ind w:left="29" w:firstLine="680"/>
        <w:jc w:val="both"/>
        <w:rPr>
          <w:bCs/>
          <w:spacing w:val="-7"/>
          <w:sz w:val="28"/>
          <w:szCs w:val="28"/>
        </w:rPr>
      </w:pPr>
      <w:r w:rsidRPr="00BE73C3">
        <w:rPr>
          <w:sz w:val="28"/>
          <w:szCs w:val="28"/>
        </w:rPr>
        <w:t>Saskaņā ar iepriekš minēto Eiropas Komisijas Lēmumu Nr. 2011/496/ES</w:t>
      </w:r>
      <w:r w:rsidR="00BE73C3" w:rsidRPr="00BE73C3">
        <w:rPr>
          <w:bCs/>
          <w:spacing w:val="-7"/>
          <w:sz w:val="28"/>
          <w:szCs w:val="28"/>
        </w:rPr>
        <w:t xml:space="preserve">, </w:t>
      </w:r>
      <w:r w:rsidRPr="00BE73C3">
        <w:rPr>
          <w:bCs/>
          <w:spacing w:val="-7"/>
          <w:sz w:val="28"/>
          <w:szCs w:val="28"/>
        </w:rPr>
        <w:t xml:space="preserve">atsauces </w:t>
      </w:r>
      <w:r w:rsidR="00BE73C3" w:rsidRPr="00BE73C3">
        <w:rPr>
          <w:sz w:val="28"/>
          <w:szCs w:val="28"/>
        </w:rPr>
        <w:t xml:space="preserve">uz standartiem EN 16156 un EN ISO 12863:2010 </w:t>
      </w:r>
      <w:r w:rsidRPr="00BE73C3">
        <w:rPr>
          <w:bCs/>
          <w:spacing w:val="-7"/>
          <w:sz w:val="28"/>
          <w:szCs w:val="28"/>
        </w:rPr>
        <w:t xml:space="preserve">tiek publicētas </w:t>
      </w:r>
      <w:r w:rsidR="00BE73C3">
        <w:rPr>
          <w:bCs/>
          <w:spacing w:val="-7"/>
          <w:sz w:val="28"/>
          <w:szCs w:val="28"/>
        </w:rPr>
        <w:t xml:space="preserve">Eiropas Savienības Oficiālajā Vēstnesī </w:t>
      </w:r>
      <w:r w:rsidR="00BE73C3" w:rsidRPr="00BE73C3">
        <w:rPr>
          <w:bCs/>
          <w:spacing w:val="-7"/>
          <w:sz w:val="28"/>
          <w:szCs w:val="28"/>
        </w:rPr>
        <w:t>saskaņā ar</w:t>
      </w:r>
      <w:r w:rsidRPr="00BE73C3">
        <w:rPr>
          <w:bCs/>
          <w:spacing w:val="-7"/>
          <w:sz w:val="28"/>
          <w:szCs w:val="28"/>
        </w:rPr>
        <w:t xml:space="preserve"> Direkt</w:t>
      </w:r>
      <w:r w:rsidR="00BE73C3" w:rsidRPr="00BE73C3">
        <w:rPr>
          <w:bCs/>
          <w:spacing w:val="-7"/>
          <w:sz w:val="28"/>
          <w:szCs w:val="28"/>
        </w:rPr>
        <w:t>īvā</w:t>
      </w:r>
      <w:r w:rsidRPr="00BE73C3">
        <w:rPr>
          <w:bCs/>
          <w:spacing w:val="-7"/>
          <w:sz w:val="28"/>
          <w:szCs w:val="28"/>
        </w:rPr>
        <w:t xml:space="preserve"> 2001/95/EK, kuras prasības Latvijā pārņemtas Preču un pakalpojumu drošuma likumā</w:t>
      </w:r>
      <w:r w:rsidR="00BE73C3" w:rsidRPr="00BE73C3">
        <w:rPr>
          <w:bCs/>
          <w:spacing w:val="-7"/>
          <w:sz w:val="28"/>
          <w:szCs w:val="28"/>
        </w:rPr>
        <w:t>, noteikto procedūru</w:t>
      </w:r>
      <w:r w:rsidRPr="00BE73C3">
        <w:rPr>
          <w:bCs/>
          <w:spacing w:val="-7"/>
          <w:sz w:val="28"/>
          <w:szCs w:val="28"/>
        </w:rPr>
        <w:t>.</w:t>
      </w:r>
      <w:r w:rsidR="00BE73C3" w:rsidRPr="00BE73C3">
        <w:rPr>
          <w:bCs/>
          <w:spacing w:val="-7"/>
          <w:sz w:val="28"/>
          <w:szCs w:val="28"/>
        </w:rPr>
        <w:t xml:space="preserve"> </w:t>
      </w:r>
    </w:p>
    <w:p w:rsidR="00B3013A" w:rsidRDefault="003E6447" w:rsidP="00FB24EC">
      <w:pPr>
        <w:shd w:val="clear" w:color="auto" w:fill="FFFFFF"/>
        <w:ind w:left="29" w:firstLine="680"/>
        <w:jc w:val="both"/>
        <w:rPr>
          <w:sz w:val="28"/>
          <w:szCs w:val="28"/>
        </w:rPr>
      </w:pPr>
      <w:r w:rsidRPr="00323357">
        <w:rPr>
          <w:bCs/>
          <w:spacing w:val="-7"/>
          <w:sz w:val="28"/>
          <w:szCs w:val="28"/>
        </w:rPr>
        <w:t>Saskaņā ar Preču un pakalpojumu drošuma likuma 10.panta pirmo daļu</w:t>
      </w:r>
      <w:r w:rsidR="00323357" w:rsidRPr="00323357">
        <w:rPr>
          <w:sz w:val="28"/>
          <w:szCs w:val="28"/>
        </w:rPr>
        <w:t xml:space="preserve"> </w:t>
      </w:r>
      <w:r w:rsidR="00323357" w:rsidRPr="00323357">
        <w:rPr>
          <w:i/>
          <w:sz w:val="28"/>
          <w:szCs w:val="28"/>
        </w:rPr>
        <w:t xml:space="preserve">šā likuma ievērošanu uzrauga un kontrolē Patērētāju tiesību aizsardzības centrs un </w:t>
      </w:r>
      <w:r w:rsidR="00323357" w:rsidRPr="00901957">
        <w:rPr>
          <w:i/>
          <w:sz w:val="28"/>
          <w:szCs w:val="28"/>
          <w:u w:val="single"/>
        </w:rPr>
        <w:t>citas valsts uzraudzības un kontroles iestādes</w:t>
      </w:r>
      <w:r w:rsidR="00323357" w:rsidRPr="008A0EAD">
        <w:rPr>
          <w:i/>
          <w:sz w:val="28"/>
          <w:szCs w:val="28"/>
          <w:u w:val="single"/>
        </w:rPr>
        <w:t>, kuru kompetencē ir noteiktu preču vai pakalpojumu tirgus uzraudzība un kontrole</w:t>
      </w:r>
      <w:r w:rsidR="00323357" w:rsidRPr="00323357">
        <w:rPr>
          <w:i/>
          <w:sz w:val="28"/>
          <w:szCs w:val="28"/>
        </w:rPr>
        <w:t xml:space="preserve"> (turpmāk — tirgus uzraudzības iestāde), kā arī muitas iestādes un Pārtikas un veterinārais dienests savas kompetences ietvaros</w:t>
      </w:r>
      <w:r w:rsidR="00323357" w:rsidRPr="00323357">
        <w:rPr>
          <w:sz w:val="28"/>
          <w:szCs w:val="28"/>
        </w:rPr>
        <w:t>.</w:t>
      </w:r>
      <w:r w:rsidR="00323357">
        <w:rPr>
          <w:sz w:val="28"/>
          <w:szCs w:val="28"/>
        </w:rPr>
        <w:t xml:space="preserve"> No minētās normas secināms, ka  preču un pakalpojumu drošuma kontroli realizē tirgus uzraudzības iestādes, muitas iestādes un Pārtikas un veterinārais dienests atbilstoši savai kompetences jomai. </w:t>
      </w:r>
    </w:p>
    <w:p w:rsidR="00323357" w:rsidRDefault="00323357" w:rsidP="00F40E09">
      <w:pPr>
        <w:shd w:val="clear" w:color="auto" w:fill="FFFFFF"/>
        <w:ind w:left="29"/>
        <w:jc w:val="both"/>
        <w:rPr>
          <w:sz w:val="28"/>
          <w:szCs w:val="28"/>
        </w:rPr>
      </w:pPr>
      <w:r w:rsidRPr="00901957">
        <w:rPr>
          <w:sz w:val="28"/>
          <w:szCs w:val="28"/>
        </w:rPr>
        <w:tab/>
        <w:t>Prasības tabakas izstrādājumu realizācijai</w:t>
      </w:r>
      <w:r>
        <w:rPr>
          <w:sz w:val="28"/>
          <w:szCs w:val="28"/>
        </w:rPr>
        <w:t xml:space="preserve"> un atbilstības novērtēšanai šobrīd nosaka likuma „Par tabakas izstrādājumu realizācijas, reklāmas un lietošanas ierobežošanu”</w:t>
      </w:r>
      <w:r w:rsidR="00F90A7E">
        <w:rPr>
          <w:sz w:val="28"/>
          <w:szCs w:val="28"/>
        </w:rPr>
        <w:t xml:space="preserve"> 5. un 5</w:t>
      </w:r>
      <w:r w:rsidR="00A834FF">
        <w:rPr>
          <w:sz w:val="28"/>
          <w:szCs w:val="28"/>
        </w:rPr>
        <w:t>.</w:t>
      </w:r>
      <w:r w:rsidR="00F90A7E">
        <w:rPr>
          <w:sz w:val="28"/>
          <w:szCs w:val="28"/>
          <w:vertAlign w:val="superscript"/>
        </w:rPr>
        <w:t>1</w:t>
      </w:r>
      <w:r w:rsidR="00A834FF">
        <w:rPr>
          <w:sz w:val="28"/>
          <w:szCs w:val="28"/>
          <w:vertAlign w:val="superscript"/>
        </w:rPr>
        <w:t xml:space="preserve"> </w:t>
      </w:r>
      <w:r w:rsidR="00F90A7E">
        <w:rPr>
          <w:sz w:val="28"/>
          <w:szCs w:val="28"/>
        </w:rPr>
        <w:t>pants. Minētā likuma 5.pants cita starpā nosaka aizliegumu</w:t>
      </w:r>
      <w:r w:rsidR="007B02AC">
        <w:rPr>
          <w:sz w:val="28"/>
          <w:szCs w:val="28"/>
        </w:rPr>
        <w:t>:</w:t>
      </w:r>
    </w:p>
    <w:p w:rsidR="00A834FF" w:rsidRPr="00A834FF" w:rsidRDefault="00A834FF" w:rsidP="00A834FF">
      <w:pPr>
        <w:shd w:val="clear" w:color="auto" w:fill="FFFFFF"/>
        <w:ind w:left="284" w:firstLine="425"/>
        <w:jc w:val="both"/>
        <w:rPr>
          <w:sz w:val="28"/>
          <w:szCs w:val="28"/>
        </w:rPr>
      </w:pPr>
      <w:r>
        <w:rPr>
          <w:sz w:val="28"/>
          <w:szCs w:val="28"/>
        </w:rPr>
        <w:t xml:space="preserve">1) </w:t>
      </w:r>
      <w:r w:rsidR="007B02AC" w:rsidRPr="00A834FF">
        <w:rPr>
          <w:sz w:val="28"/>
          <w:szCs w:val="28"/>
        </w:rPr>
        <w:t xml:space="preserve">ražot, realizēt un izlaist brīvam apgrozījumam (importēt) cigaretes, kurās nikotīna daudzums pārsniedz 1 miligramu vienā cigaretē (šis daudzums noteikts atbilstoši standarta LVS ISO 10315:2007 “Cigaretes. Nikotīna satura noteikšana dūmu kondensātos. </w:t>
      </w:r>
      <w:proofErr w:type="spellStart"/>
      <w:r w:rsidR="007B02AC" w:rsidRPr="00A834FF">
        <w:rPr>
          <w:sz w:val="28"/>
          <w:szCs w:val="28"/>
        </w:rPr>
        <w:t>Gāzhromatogrāfiskā</w:t>
      </w:r>
      <w:proofErr w:type="spellEnd"/>
      <w:r w:rsidR="007B02AC" w:rsidRPr="00A834FF">
        <w:rPr>
          <w:sz w:val="28"/>
          <w:szCs w:val="28"/>
        </w:rPr>
        <w:t xml:space="preserve"> metode” pras</w:t>
      </w:r>
      <w:r w:rsidRPr="00A834FF">
        <w:rPr>
          <w:sz w:val="28"/>
          <w:szCs w:val="28"/>
        </w:rPr>
        <w:t xml:space="preserve">ībām attiecībā uz nikotīnu); </w:t>
      </w:r>
    </w:p>
    <w:p w:rsidR="00A834FF" w:rsidRDefault="00A834FF" w:rsidP="00A834FF">
      <w:pPr>
        <w:shd w:val="clear" w:color="auto" w:fill="FFFFFF"/>
        <w:ind w:left="284" w:firstLine="425"/>
        <w:jc w:val="both"/>
        <w:rPr>
          <w:sz w:val="28"/>
          <w:szCs w:val="28"/>
        </w:rPr>
      </w:pPr>
      <w:r>
        <w:rPr>
          <w:sz w:val="28"/>
          <w:szCs w:val="28"/>
        </w:rPr>
        <w:t xml:space="preserve">2) </w:t>
      </w:r>
      <w:r w:rsidR="007B02AC" w:rsidRPr="00A834FF">
        <w:rPr>
          <w:sz w:val="28"/>
          <w:szCs w:val="28"/>
        </w:rPr>
        <w:t xml:space="preserve">ražot, realizēt un importēt cigaretes, kurās tabakas darvas daudzums pārsniedz 10 miligramus vienā cigaretē (šis daudzums noteikts atbilstoši standarta LVS ISO 4387:2003 "Cigaretes — Metodes, kā, izmantojot parastu analītisko </w:t>
      </w:r>
      <w:proofErr w:type="spellStart"/>
      <w:r w:rsidR="007B02AC" w:rsidRPr="00A834FF">
        <w:rPr>
          <w:sz w:val="28"/>
          <w:szCs w:val="28"/>
        </w:rPr>
        <w:t>smēķ</w:t>
      </w:r>
      <w:r w:rsidR="007B02AC" w:rsidRPr="00A834FF">
        <w:rPr>
          <w:sz w:val="28"/>
          <w:szCs w:val="28"/>
        </w:rPr>
        <w:softHyphen/>
        <w:t>aparātu</w:t>
      </w:r>
      <w:proofErr w:type="spellEnd"/>
      <w:r w:rsidR="007B02AC" w:rsidRPr="00A834FF">
        <w:rPr>
          <w:sz w:val="28"/>
          <w:szCs w:val="28"/>
        </w:rPr>
        <w:t xml:space="preserve">, noteikt dūmu cieto daļiņu kopējo masu pirms un pēc atūdeņošanas un </w:t>
      </w:r>
      <w:proofErr w:type="spellStart"/>
      <w:r w:rsidR="007B02AC" w:rsidRPr="00A834FF">
        <w:rPr>
          <w:sz w:val="28"/>
          <w:szCs w:val="28"/>
        </w:rPr>
        <w:t>denikotinēšanas</w:t>
      </w:r>
      <w:proofErr w:type="spellEnd"/>
      <w:r w:rsidR="007B02AC" w:rsidRPr="00A834FF">
        <w:rPr>
          <w:sz w:val="28"/>
          <w:szCs w:val="28"/>
        </w:rPr>
        <w:t>" prasībām at</w:t>
      </w:r>
      <w:r>
        <w:rPr>
          <w:sz w:val="28"/>
          <w:szCs w:val="28"/>
        </w:rPr>
        <w:t xml:space="preserve">tiecībā uz tabakas darvu); </w:t>
      </w:r>
    </w:p>
    <w:p w:rsidR="00A834FF" w:rsidRDefault="00A834FF" w:rsidP="00A834FF">
      <w:pPr>
        <w:shd w:val="clear" w:color="auto" w:fill="FFFFFF"/>
        <w:ind w:left="284" w:firstLine="425"/>
        <w:jc w:val="both"/>
        <w:rPr>
          <w:sz w:val="28"/>
          <w:szCs w:val="28"/>
        </w:rPr>
      </w:pPr>
      <w:r>
        <w:rPr>
          <w:sz w:val="28"/>
          <w:szCs w:val="28"/>
        </w:rPr>
        <w:t xml:space="preserve">3) </w:t>
      </w:r>
      <w:r w:rsidR="007B02AC" w:rsidRPr="00A834FF">
        <w:rPr>
          <w:sz w:val="28"/>
          <w:szCs w:val="28"/>
        </w:rPr>
        <w:t>ražot, realizēt un importēt cigaretes, kuru dūmos oglekļa monoksīds pārsniedz 10 miligramus uz vienu cigareti (šis daudzums noteikts atbilstoši standarta LVS ISO 8454:2008 “Cigaretes. Tvana gāzes satura noteikšana cigarešu dūmu gāzveida fāzē. NDIR metode” prasībām attiec</w:t>
      </w:r>
      <w:r>
        <w:rPr>
          <w:sz w:val="28"/>
          <w:szCs w:val="28"/>
        </w:rPr>
        <w:t>ībā uz oglekļa monoksīdu);</w:t>
      </w:r>
    </w:p>
    <w:p w:rsidR="007B02AC" w:rsidRPr="00A834FF" w:rsidRDefault="00A834FF" w:rsidP="00A834FF">
      <w:pPr>
        <w:shd w:val="clear" w:color="auto" w:fill="FFFFFF"/>
        <w:ind w:left="284" w:firstLine="425"/>
        <w:jc w:val="both"/>
        <w:rPr>
          <w:sz w:val="28"/>
          <w:szCs w:val="28"/>
        </w:rPr>
      </w:pPr>
      <w:r>
        <w:rPr>
          <w:sz w:val="28"/>
          <w:szCs w:val="28"/>
        </w:rPr>
        <w:t xml:space="preserve">4) </w:t>
      </w:r>
      <w:r w:rsidR="007B02AC" w:rsidRPr="00A834FF">
        <w:rPr>
          <w:sz w:val="28"/>
          <w:szCs w:val="28"/>
        </w:rPr>
        <w:t>realizēt cigaretes, ja par attiecīgo cigarešu partiju šā likuma 5.</w:t>
      </w:r>
      <w:r w:rsidR="007B02AC" w:rsidRPr="00A834FF">
        <w:rPr>
          <w:sz w:val="28"/>
          <w:szCs w:val="28"/>
          <w:vertAlign w:val="superscript"/>
        </w:rPr>
        <w:t>1</w:t>
      </w:r>
      <w:r w:rsidR="007B02AC" w:rsidRPr="00A834FF">
        <w:rPr>
          <w:sz w:val="28"/>
          <w:szCs w:val="28"/>
        </w:rPr>
        <w:t xml:space="preserve"> panta otrajā daļā minētās vai Eiropas Komisijas sarakstā iekļautās Eiropas Savienības dalībvalstu kompetentās laboratorijas nav </w:t>
      </w:r>
      <w:r>
        <w:rPr>
          <w:sz w:val="28"/>
          <w:szCs w:val="28"/>
        </w:rPr>
        <w:t>iesniegušas testēšanas pārskatu.</w:t>
      </w:r>
    </w:p>
    <w:p w:rsidR="00A834FF" w:rsidRDefault="007B02AC" w:rsidP="00763AF7">
      <w:pPr>
        <w:shd w:val="clear" w:color="auto" w:fill="FFFFFF"/>
        <w:ind w:left="29" w:firstLine="680"/>
        <w:jc w:val="both"/>
        <w:rPr>
          <w:sz w:val="28"/>
          <w:szCs w:val="28"/>
        </w:rPr>
      </w:pPr>
      <w:r w:rsidRPr="00763AF7">
        <w:rPr>
          <w:sz w:val="28"/>
          <w:szCs w:val="28"/>
        </w:rPr>
        <w:t xml:space="preserve">Atbilstoši likuma </w:t>
      </w:r>
      <w:r w:rsidR="00D81BEF">
        <w:rPr>
          <w:sz w:val="28"/>
          <w:szCs w:val="28"/>
        </w:rPr>
        <w:t xml:space="preserve">„Par tabakas izstrādājumu realizācijas, reklāmas un lietošanas ierobežošanu” </w:t>
      </w:r>
      <w:r w:rsidRPr="00763AF7">
        <w:rPr>
          <w:sz w:val="28"/>
          <w:szCs w:val="28"/>
        </w:rPr>
        <w:t>14.</w:t>
      </w:r>
      <w:r w:rsidRPr="00763AF7">
        <w:rPr>
          <w:sz w:val="28"/>
          <w:szCs w:val="28"/>
          <w:vertAlign w:val="superscript"/>
        </w:rPr>
        <w:t xml:space="preserve">1 </w:t>
      </w:r>
      <w:r w:rsidRPr="00763AF7">
        <w:rPr>
          <w:sz w:val="28"/>
          <w:szCs w:val="28"/>
        </w:rPr>
        <w:t>pantam tabakas izstrādājumu tirgus uzraudzību un kvalitātes kontroli veic Valsts ieņēmumu dienests</w:t>
      </w:r>
      <w:r w:rsidR="00D81BEF">
        <w:rPr>
          <w:sz w:val="28"/>
          <w:szCs w:val="28"/>
        </w:rPr>
        <w:t>, tādēļ tas</w:t>
      </w:r>
      <w:r w:rsidR="00A834FF">
        <w:rPr>
          <w:sz w:val="28"/>
          <w:szCs w:val="28"/>
        </w:rPr>
        <w:t xml:space="preserve"> </w:t>
      </w:r>
      <w:r w:rsidR="000F74A5">
        <w:rPr>
          <w:sz w:val="28"/>
          <w:szCs w:val="28"/>
        </w:rPr>
        <w:t>ir</w:t>
      </w:r>
      <w:r w:rsidR="00A834FF">
        <w:rPr>
          <w:sz w:val="28"/>
          <w:szCs w:val="28"/>
        </w:rPr>
        <w:t xml:space="preserve"> uzskatāms  par tirgus uzraudzības iestādi </w:t>
      </w:r>
      <w:r w:rsidR="00D81BEF">
        <w:rPr>
          <w:sz w:val="28"/>
          <w:szCs w:val="28"/>
        </w:rPr>
        <w:t xml:space="preserve">arī </w:t>
      </w:r>
      <w:r w:rsidR="00A834FF">
        <w:rPr>
          <w:sz w:val="28"/>
          <w:szCs w:val="28"/>
        </w:rPr>
        <w:t>tabakas izstrādājumu jomā atbilstoši Preču un pakalpojumu drošuma likuma 10.panta pirmajai daļai</w:t>
      </w:r>
      <w:r w:rsidR="00D81BEF">
        <w:rPr>
          <w:sz w:val="28"/>
          <w:szCs w:val="28"/>
        </w:rPr>
        <w:t xml:space="preserve">, tai skaitā par atbildīgo </w:t>
      </w:r>
      <w:r w:rsidR="00D81BEF">
        <w:rPr>
          <w:sz w:val="28"/>
          <w:szCs w:val="28"/>
        </w:rPr>
        <w:lastRenderedPageBreak/>
        <w:t xml:space="preserve">uzraudzības iestādi </w:t>
      </w:r>
      <w:r w:rsidR="00A834FF">
        <w:rPr>
          <w:sz w:val="28"/>
          <w:szCs w:val="28"/>
        </w:rPr>
        <w:t xml:space="preserve"> cigarešu samazinātas degšanas prasību ievērošanas uzraudzības </w:t>
      </w:r>
      <w:r w:rsidR="00D81BEF">
        <w:rPr>
          <w:sz w:val="28"/>
          <w:szCs w:val="28"/>
        </w:rPr>
        <w:t>nodrošināšanai</w:t>
      </w:r>
      <w:r w:rsidR="00A834FF">
        <w:rPr>
          <w:sz w:val="28"/>
          <w:szCs w:val="28"/>
        </w:rPr>
        <w:t>.</w:t>
      </w:r>
    </w:p>
    <w:p w:rsidR="007B02AC" w:rsidRDefault="00A834FF" w:rsidP="00367698">
      <w:pPr>
        <w:shd w:val="clear" w:color="auto" w:fill="FFFFFF"/>
        <w:ind w:left="29" w:firstLine="680"/>
        <w:jc w:val="both"/>
        <w:rPr>
          <w:sz w:val="28"/>
          <w:szCs w:val="28"/>
        </w:rPr>
      </w:pPr>
      <w:r w:rsidRPr="00981F00">
        <w:rPr>
          <w:sz w:val="28"/>
          <w:szCs w:val="28"/>
        </w:rPr>
        <w:t>Atbilstoši likuma „Par valsts ieņēmumu dienestu” 2.panta 7.punktam viens no Valsts ieņēmumu dienesta uzdevumiem ir nodrošināt akcīzes preču apriti reglamentējošu normatīvo aktu izpildi</w:t>
      </w:r>
      <w:r w:rsidR="0086661C" w:rsidRPr="00981F00">
        <w:rPr>
          <w:rStyle w:val="FootnoteReference"/>
          <w:sz w:val="28"/>
          <w:szCs w:val="28"/>
        </w:rPr>
        <w:footnoteReference w:id="2"/>
      </w:r>
      <w:r w:rsidRPr="00981F00">
        <w:rPr>
          <w:sz w:val="28"/>
          <w:szCs w:val="28"/>
        </w:rPr>
        <w:t>.</w:t>
      </w:r>
      <w:r w:rsidR="0086661C" w:rsidRPr="00981F00">
        <w:rPr>
          <w:sz w:val="28"/>
          <w:szCs w:val="28"/>
        </w:rPr>
        <w:t xml:space="preserve"> </w:t>
      </w:r>
      <w:r w:rsidR="00981F00" w:rsidRPr="00981F00">
        <w:rPr>
          <w:sz w:val="28"/>
          <w:szCs w:val="28"/>
        </w:rPr>
        <w:t xml:space="preserve">Tāpat saskaņā ar minētā likuma </w:t>
      </w:r>
      <w:r w:rsidR="00981F00" w:rsidRPr="00981F00">
        <w:rPr>
          <w:bCs/>
          <w:sz w:val="28"/>
          <w:szCs w:val="28"/>
        </w:rPr>
        <w:t>16.</w:t>
      </w:r>
      <w:r w:rsidR="00981F00" w:rsidRPr="00981F00">
        <w:rPr>
          <w:bCs/>
          <w:sz w:val="28"/>
          <w:szCs w:val="28"/>
          <w:vertAlign w:val="superscript"/>
        </w:rPr>
        <w:t>3</w:t>
      </w:r>
      <w:r w:rsidR="00981F00" w:rsidRPr="00981F00">
        <w:rPr>
          <w:bCs/>
          <w:sz w:val="28"/>
          <w:szCs w:val="28"/>
        </w:rPr>
        <w:t xml:space="preserve"> pantu</w:t>
      </w:r>
      <w:r w:rsidR="00981F00" w:rsidRPr="00981F00">
        <w:rPr>
          <w:b/>
          <w:bCs/>
          <w:sz w:val="28"/>
          <w:szCs w:val="28"/>
        </w:rPr>
        <w:t xml:space="preserve"> </w:t>
      </w:r>
      <w:r w:rsidR="00981F00" w:rsidRPr="00981F00">
        <w:rPr>
          <w:sz w:val="28"/>
          <w:szCs w:val="28"/>
        </w:rPr>
        <w:t>Valsts ieņēmumu dienesta uzdevumi akcīzes preču aprites, nodrošinājuma un uzraudzības jomā ietver kontroles pasākumu akcīzes preču aprites jomā organizēšanu un veikšanu, akcīzes preču aprites noteikumu pārkāpumu izskatīšanu un normatīvajos aktos paredzēto sankciju piemērošanu, akcīzes nodokļa marku izsniegšanas nodrošināšanu un to aprites uzraudzību, kā arī citos likumos un normatīvajos aktos noteikto uzdevumu veikšanu</w:t>
      </w:r>
      <w:r w:rsidR="00981F00">
        <w:rPr>
          <w:sz w:val="28"/>
          <w:szCs w:val="28"/>
        </w:rPr>
        <w:t>.</w:t>
      </w:r>
    </w:p>
    <w:p w:rsidR="00FE07EF" w:rsidRDefault="00FF6708" w:rsidP="00367698">
      <w:pPr>
        <w:ind w:firstLine="680"/>
        <w:jc w:val="both"/>
        <w:rPr>
          <w:sz w:val="28"/>
          <w:szCs w:val="28"/>
        </w:rPr>
      </w:pPr>
      <w:r w:rsidRPr="00367698">
        <w:rPr>
          <w:b/>
          <w:sz w:val="28"/>
          <w:szCs w:val="28"/>
        </w:rPr>
        <w:t xml:space="preserve">Ņemot vērā augstāk minēto, secināms, ka Valsts ieņēmumu dienests ir tirgus uzraudzības </w:t>
      </w:r>
      <w:r w:rsidR="003912DB">
        <w:rPr>
          <w:b/>
          <w:sz w:val="28"/>
          <w:szCs w:val="28"/>
        </w:rPr>
        <w:t xml:space="preserve">un kontroles </w:t>
      </w:r>
      <w:r w:rsidRPr="00367698">
        <w:rPr>
          <w:b/>
          <w:sz w:val="28"/>
          <w:szCs w:val="28"/>
        </w:rPr>
        <w:t>iestāde tabakas izstrādājumu jomā</w:t>
      </w:r>
      <w:r w:rsidR="000F74A5" w:rsidRPr="00367698">
        <w:rPr>
          <w:b/>
          <w:sz w:val="28"/>
          <w:szCs w:val="28"/>
        </w:rPr>
        <w:t xml:space="preserve"> Preču un pakalpojumu drošuma likuma 10.panta  pirmās daļas izpratnē ar nepieciešamajām pilnvarām un funkcijām cigarešu samazinātas degšanas potenciāla prasību uzraudzībai un kontrolei Latvijas tirgū</w:t>
      </w:r>
      <w:r w:rsidR="000F74A5">
        <w:rPr>
          <w:sz w:val="28"/>
          <w:szCs w:val="28"/>
        </w:rPr>
        <w:t xml:space="preserve">. </w:t>
      </w:r>
      <w:r w:rsidR="00FE07EF">
        <w:rPr>
          <w:sz w:val="28"/>
          <w:szCs w:val="28"/>
        </w:rPr>
        <w:t xml:space="preserve">Turklāt </w:t>
      </w:r>
      <w:r w:rsidR="00FE07EF" w:rsidRPr="00D742C0">
        <w:rPr>
          <w:sz w:val="28"/>
          <w:szCs w:val="28"/>
        </w:rPr>
        <w:t xml:space="preserve">Valsts ieņēmumu dienests šobrīd ir </w:t>
      </w:r>
      <w:r w:rsidR="00FE07EF" w:rsidRPr="00367698">
        <w:rPr>
          <w:sz w:val="28"/>
          <w:szCs w:val="28"/>
          <w:u w:val="single"/>
        </w:rPr>
        <w:t>vienīgā valsts iestāde</w:t>
      </w:r>
      <w:r w:rsidR="00FE07EF" w:rsidRPr="00D742C0">
        <w:rPr>
          <w:sz w:val="28"/>
          <w:szCs w:val="28"/>
        </w:rPr>
        <w:t xml:space="preserve">, kas veic tabakas izstrādājumu atbilstības novērtēšanu </w:t>
      </w:r>
      <w:r w:rsidR="00FE07EF">
        <w:rPr>
          <w:sz w:val="28"/>
          <w:szCs w:val="28"/>
        </w:rPr>
        <w:t xml:space="preserve">un tirgus </w:t>
      </w:r>
      <w:r w:rsidR="00FE07EF" w:rsidRPr="00D742C0">
        <w:rPr>
          <w:sz w:val="28"/>
          <w:szCs w:val="28"/>
        </w:rPr>
        <w:t xml:space="preserve">uzraudzību saskaņā ar likuma "Par tabakas izstrādājumu ražošanas, realizācijas, reklāmas un smēķēšanas ierobežošanu" </w:t>
      </w:r>
      <w:r w:rsidR="00FE07EF" w:rsidRPr="00564AE6">
        <w:rPr>
          <w:bCs/>
          <w:sz w:val="28"/>
          <w:szCs w:val="28"/>
        </w:rPr>
        <w:t>14.</w:t>
      </w:r>
      <w:r w:rsidR="00FE07EF" w:rsidRPr="00564AE6">
        <w:rPr>
          <w:bCs/>
          <w:sz w:val="28"/>
          <w:szCs w:val="28"/>
          <w:vertAlign w:val="superscript"/>
        </w:rPr>
        <w:t>1</w:t>
      </w:r>
      <w:r w:rsidR="00FE07EF" w:rsidRPr="00564AE6">
        <w:rPr>
          <w:bCs/>
          <w:sz w:val="28"/>
          <w:szCs w:val="28"/>
        </w:rPr>
        <w:t xml:space="preserve"> pantu, tai skaitā</w:t>
      </w:r>
      <w:r w:rsidR="00FE07EF" w:rsidRPr="00D742C0">
        <w:rPr>
          <w:b/>
          <w:bCs/>
          <w:sz w:val="28"/>
          <w:szCs w:val="28"/>
        </w:rPr>
        <w:t xml:space="preserve"> </w:t>
      </w:r>
      <w:r w:rsidR="00FE07EF" w:rsidRPr="00D742C0">
        <w:rPr>
          <w:sz w:val="28"/>
          <w:szCs w:val="28"/>
        </w:rPr>
        <w:t xml:space="preserve">ne retāk kā reizi gadā pārbaudot nikotīna, tabakas darvas un oglekļa monoksīda daudzumu katra tirdzniecības nosaukuma cigaretēs. </w:t>
      </w:r>
    </w:p>
    <w:p w:rsidR="00FE07EF" w:rsidRDefault="000F74A5" w:rsidP="00367698">
      <w:pPr>
        <w:ind w:firstLine="680"/>
        <w:jc w:val="both"/>
        <w:rPr>
          <w:sz w:val="28"/>
          <w:szCs w:val="28"/>
        </w:rPr>
      </w:pPr>
      <w:r>
        <w:rPr>
          <w:sz w:val="28"/>
          <w:szCs w:val="28"/>
        </w:rPr>
        <w:t xml:space="preserve">Izskatot jautājumu par cigarešu samazinātas degšanas prasību uzraudzību </w:t>
      </w:r>
      <w:r w:rsidRPr="00455A96">
        <w:rPr>
          <w:sz w:val="28"/>
          <w:szCs w:val="28"/>
        </w:rPr>
        <w:t xml:space="preserve">Smēķēšanas ierobežošanas valsts komisijas 2011.gada 11.maija sēdē </w:t>
      </w:r>
      <w:r>
        <w:rPr>
          <w:sz w:val="28"/>
          <w:szCs w:val="28"/>
        </w:rPr>
        <w:t xml:space="preserve">(protokols Nr.1, 4.punkts), tika </w:t>
      </w:r>
      <w:r w:rsidRPr="00455A96">
        <w:rPr>
          <w:sz w:val="28"/>
          <w:szCs w:val="28"/>
        </w:rPr>
        <w:t>pan</w:t>
      </w:r>
      <w:r>
        <w:rPr>
          <w:sz w:val="28"/>
          <w:szCs w:val="28"/>
        </w:rPr>
        <w:t>ākta</w:t>
      </w:r>
      <w:r w:rsidRPr="00455A96">
        <w:rPr>
          <w:sz w:val="28"/>
          <w:szCs w:val="28"/>
        </w:rPr>
        <w:t xml:space="preserve"> vienošan</w:t>
      </w:r>
      <w:r>
        <w:rPr>
          <w:sz w:val="28"/>
          <w:szCs w:val="28"/>
        </w:rPr>
        <w:t>ā</w:t>
      </w:r>
      <w:r w:rsidRPr="00455A96">
        <w:rPr>
          <w:sz w:val="28"/>
          <w:szCs w:val="28"/>
        </w:rPr>
        <w:t>s, ka cigarešu kvalitātes un drošības prasību uzraudzība un kontrole ir jāveic vienai institūcijai</w:t>
      </w:r>
      <w:r w:rsidR="00FE07EF">
        <w:rPr>
          <w:sz w:val="28"/>
          <w:szCs w:val="28"/>
        </w:rPr>
        <w:t xml:space="preserve">. </w:t>
      </w:r>
      <w:r w:rsidR="00367698" w:rsidRPr="00367698">
        <w:rPr>
          <w:b/>
          <w:sz w:val="28"/>
          <w:szCs w:val="28"/>
        </w:rPr>
        <w:t>Valsts ieņēmumu dienestam veicot cigarešu samazinātas degšanas prasību uzraudzību,</w:t>
      </w:r>
      <w:r w:rsidR="00FE07EF" w:rsidRPr="00367698">
        <w:rPr>
          <w:b/>
          <w:sz w:val="28"/>
          <w:szCs w:val="28"/>
        </w:rPr>
        <w:t xml:space="preserve"> tiktu nodrošināts, ka cigarešu tirgus uzraudzībā netiktu dublētas valsts iestāžu funkcijas, kā arī samazināts iespējamais slogs uzņēmējiem, jo cigarešu atbilstības pārbaude notiktu kopā ar cigarešu kvalitātes prasību pārbaudi.</w:t>
      </w:r>
      <w:r w:rsidR="00FE07EF">
        <w:rPr>
          <w:sz w:val="28"/>
          <w:szCs w:val="28"/>
        </w:rPr>
        <w:t xml:space="preserve"> </w:t>
      </w:r>
    </w:p>
    <w:p w:rsidR="008A0EAD" w:rsidRPr="008A0EAD" w:rsidRDefault="008A0EAD" w:rsidP="00367698">
      <w:pPr>
        <w:ind w:firstLine="680"/>
        <w:jc w:val="both"/>
        <w:rPr>
          <w:sz w:val="28"/>
          <w:szCs w:val="28"/>
        </w:rPr>
      </w:pPr>
      <w:r w:rsidRPr="008A0EAD">
        <w:rPr>
          <w:sz w:val="28"/>
          <w:szCs w:val="28"/>
        </w:rPr>
        <w:t xml:space="preserve">Ekonomikas ministrija ir izpētījusi arī </w:t>
      </w:r>
      <w:r w:rsidR="00AA4557">
        <w:rPr>
          <w:sz w:val="28"/>
          <w:szCs w:val="28"/>
        </w:rPr>
        <w:t xml:space="preserve">atsevišķu </w:t>
      </w:r>
      <w:r w:rsidRPr="008A0EAD">
        <w:rPr>
          <w:sz w:val="28"/>
          <w:szCs w:val="28"/>
        </w:rPr>
        <w:t xml:space="preserve">citu </w:t>
      </w:r>
      <w:r w:rsidR="00AA4557">
        <w:rPr>
          <w:sz w:val="28"/>
          <w:szCs w:val="28"/>
        </w:rPr>
        <w:t>Eiropas Savienības dalīb</w:t>
      </w:r>
      <w:r w:rsidRPr="008A0EAD">
        <w:rPr>
          <w:sz w:val="28"/>
          <w:szCs w:val="28"/>
        </w:rPr>
        <w:t>valstu praksi cigarešu samazinātas degšanas prasību uzraudzībā. Piemēram, Itālijā, cigarešu samazinātas degšanas prasību uzraudzības izpildi nodrošinās Ekonomikas un finanšu ministrijas pakļautībā esošais Akcīzes ģenerāldirektorāts, kas ir V</w:t>
      </w:r>
      <w:r>
        <w:rPr>
          <w:sz w:val="28"/>
          <w:szCs w:val="28"/>
        </w:rPr>
        <w:t>alsts ieņēmumu dienesta</w:t>
      </w:r>
      <w:r w:rsidRPr="008A0EAD">
        <w:rPr>
          <w:sz w:val="28"/>
          <w:szCs w:val="28"/>
        </w:rPr>
        <w:t xml:space="preserve"> Akcīzes pārvaldei līdzīga iestāde. Arī </w:t>
      </w:r>
      <w:r w:rsidR="00C522C1">
        <w:rPr>
          <w:sz w:val="28"/>
          <w:szCs w:val="28"/>
        </w:rPr>
        <w:t xml:space="preserve">Somijā un </w:t>
      </w:r>
      <w:r w:rsidRPr="008A0EAD">
        <w:rPr>
          <w:sz w:val="28"/>
          <w:szCs w:val="28"/>
        </w:rPr>
        <w:t>Nīderlandē jaunā standarta prasību uzraudzību veiks iestāde</w:t>
      </w:r>
      <w:r w:rsidR="00C522C1">
        <w:rPr>
          <w:sz w:val="28"/>
          <w:szCs w:val="28"/>
        </w:rPr>
        <w:t>s</w:t>
      </w:r>
      <w:r w:rsidRPr="008A0EAD">
        <w:rPr>
          <w:sz w:val="28"/>
          <w:szCs w:val="28"/>
        </w:rPr>
        <w:t xml:space="preserve">, kas </w:t>
      </w:r>
      <w:r w:rsidR="00C522C1">
        <w:rPr>
          <w:sz w:val="28"/>
          <w:szCs w:val="28"/>
        </w:rPr>
        <w:t xml:space="preserve">jau </w:t>
      </w:r>
      <w:r w:rsidRPr="008A0EAD">
        <w:rPr>
          <w:sz w:val="28"/>
          <w:szCs w:val="28"/>
        </w:rPr>
        <w:t>šobrīd ir atbildīga</w:t>
      </w:r>
      <w:r w:rsidR="00C522C1">
        <w:rPr>
          <w:sz w:val="28"/>
          <w:szCs w:val="28"/>
        </w:rPr>
        <w:t>s</w:t>
      </w:r>
      <w:r w:rsidRPr="008A0EAD">
        <w:rPr>
          <w:sz w:val="28"/>
          <w:szCs w:val="28"/>
        </w:rPr>
        <w:t xml:space="preserve"> par Eiropas Parlamenta un Padomes 2001.gada 5.jūnija direktīvas </w:t>
      </w:r>
      <w:hyperlink r:id="rId8" w:tgtFrame="_blank" w:tooltip="Atvērt direktīvas konsolidēto versiju" w:history="1">
        <w:r w:rsidRPr="008A0EAD">
          <w:rPr>
            <w:rStyle w:val="Hyperlink"/>
            <w:sz w:val="28"/>
            <w:szCs w:val="28"/>
          </w:rPr>
          <w:t>2001/37/EK</w:t>
        </w:r>
      </w:hyperlink>
      <w:r w:rsidRPr="008A0EAD">
        <w:rPr>
          <w:sz w:val="28"/>
          <w:szCs w:val="28"/>
        </w:rPr>
        <w:t xml:space="preserve"> par dalībvalstu normatīvo un administratīvo aktu tuvināšanu attiecībā uz tabakas izstrādājumu ražošanu, noformēšanu un pārdošanu un attiecīgi arī cigarešu kvalitātes prasību </w:t>
      </w:r>
      <w:r w:rsidRPr="008A0EAD">
        <w:rPr>
          <w:sz w:val="28"/>
          <w:szCs w:val="28"/>
        </w:rPr>
        <w:lastRenderedPageBreak/>
        <w:t xml:space="preserve">uzraudzību, ko šobrīd </w:t>
      </w:r>
      <w:r w:rsidR="00C522C1">
        <w:rPr>
          <w:sz w:val="28"/>
          <w:szCs w:val="28"/>
        </w:rPr>
        <w:t xml:space="preserve">Latvijā </w:t>
      </w:r>
      <w:r w:rsidRPr="008A0EAD">
        <w:rPr>
          <w:sz w:val="28"/>
          <w:szCs w:val="28"/>
        </w:rPr>
        <w:t>veic Valsts ieņēmumu dienests.</w:t>
      </w:r>
      <w:r w:rsidR="00AA4557">
        <w:rPr>
          <w:sz w:val="28"/>
          <w:szCs w:val="28"/>
        </w:rPr>
        <w:t xml:space="preserve"> Līdzīgu pieeju plāno izmantot arī Norvēģijā, kur šobrīd notiek diskusijas par to, ka šo prasību uzraudzība nododama Veselības pārvaldei, ka</w:t>
      </w:r>
      <w:r w:rsidR="00F01CFA">
        <w:rPr>
          <w:sz w:val="28"/>
          <w:szCs w:val="28"/>
        </w:rPr>
        <w:t>s</w:t>
      </w:r>
      <w:r w:rsidR="00AA4557">
        <w:rPr>
          <w:sz w:val="28"/>
          <w:szCs w:val="28"/>
        </w:rPr>
        <w:t xml:space="preserve"> šobrīd veic citas direktīvā</w:t>
      </w:r>
      <w:r w:rsidR="00AA4557" w:rsidRPr="008A0EAD">
        <w:rPr>
          <w:sz w:val="28"/>
          <w:szCs w:val="28"/>
        </w:rPr>
        <w:t xml:space="preserve"> </w:t>
      </w:r>
      <w:hyperlink r:id="rId9" w:tgtFrame="_blank" w:tooltip="Atvērt direktīvas konsolidēto versiju" w:history="1">
        <w:r w:rsidR="00AA4557" w:rsidRPr="008A0EAD">
          <w:rPr>
            <w:rStyle w:val="Hyperlink"/>
            <w:sz w:val="28"/>
            <w:szCs w:val="28"/>
          </w:rPr>
          <w:t>2001/37/EK</w:t>
        </w:r>
      </w:hyperlink>
      <w:r w:rsidR="00AA4557">
        <w:rPr>
          <w:sz w:val="28"/>
          <w:szCs w:val="28"/>
        </w:rPr>
        <w:t xml:space="preserve"> paredzētās funkcijas.</w:t>
      </w:r>
    </w:p>
    <w:p w:rsidR="003E6447" w:rsidRDefault="003E6447" w:rsidP="00B3013A">
      <w:pPr>
        <w:shd w:val="clear" w:color="auto" w:fill="FFFFFF"/>
        <w:ind w:left="29"/>
        <w:rPr>
          <w:bCs/>
          <w:spacing w:val="-7"/>
          <w:sz w:val="28"/>
          <w:szCs w:val="28"/>
        </w:rPr>
      </w:pPr>
    </w:p>
    <w:p w:rsidR="004705C0" w:rsidRPr="003E6447" w:rsidRDefault="00EB49B0" w:rsidP="00F40E09">
      <w:pPr>
        <w:pStyle w:val="Heading1"/>
        <w:spacing w:after="240"/>
        <w:jc w:val="center"/>
        <w:rPr>
          <w:sz w:val="28"/>
          <w:szCs w:val="28"/>
        </w:rPr>
      </w:pPr>
      <w:r>
        <w:rPr>
          <w:sz w:val="28"/>
          <w:szCs w:val="28"/>
        </w:rPr>
        <w:t>3</w:t>
      </w:r>
      <w:r w:rsidR="00B3013A" w:rsidRPr="003E6447">
        <w:rPr>
          <w:sz w:val="28"/>
          <w:szCs w:val="28"/>
        </w:rPr>
        <w:t xml:space="preserve">. </w:t>
      </w:r>
      <w:r w:rsidR="00FB24EC">
        <w:rPr>
          <w:sz w:val="28"/>
          <w:szCs w:val="28"/>
        </w:rPr>
        <w:t>P</w:t>
      </w:r>
      <w:r w:rsidR="00B3013A" w:rsidRPr="003E6447">
        <w:rPr>
          <w:sz w:val="28"/>
          <w:szCs w:val="28"/>
        </w:rPr>
        <w:t>rasību īstenošanas nosacījumi</w:t>
      </w:r>
    </w:p>
    <w:p w:rsidR="00323357" w:rsidRDefault="003E6447" w:rsidP="00323357">
      <w:pPr>
        <w:shd w:val="clear" w:color="auto" w:fill="FFFFFF"/>
        <w:ind w:left="29"/>
        <w:jc w:val="both"/>
        <w:rPr>
          <w:sz w:val="28"/>
          <w:szCs w:val="28"/>
        </w:rPr>
      </w:pPr>
      <w:r>
        <w:rPr>
          <w:bCs/>
          <w:spacing w:val="-7"/>
          <w:sz w:val="28"/>
          <w:szCs w:val="28"/>
        </w:rPr>
        <w:tab/>
      </w:r>
      <w:r w:rsidR="00323357">
        <w:rPr>
          <w:sz w:val="28"/>
          <w:szCs w:val="28"/>
        </w:rPr>
        <w:t xml:space="preserve"> </w:t>
      </w:r>
    </w:p>
    <w:p w:rsidR="0086661C" w:rsidRDefault="0086661C" w:rsidP="0086661C">
      <w:pPr>
        <w:shd w:val="clear" w:color="auto" w:fill="FFFFFF"/>
        <w:ind w:left="29" w:firstLine="680"/>
        <w:jc w:val="both"/>
        <w:rPr>
          <w:sz w:val="28"/>
          <w:szCs w:val="28"/>
        </w:rPr>
      </w:pPr>
      <w:r w:rsidRPr="0086661C">
        <w:rPr>
          <w:sz w:val="28"/>
          <w:szCs w:val="28"/>
        </w:rPr>
        <w:t>Atbilstoši likuma „</w:t>
      </w:r>
      <w:r w:rsidR="00AA4557" w:rsidRPr="00F01CFA">
        <w:rPr>
          <w:sz w:val="28"/>
          <w:szCs w:val="28"/>
        </w:rPr>
        <w:t>Par Valsts ieņēmumu dienestu</w:t>
      </w:r>
      <w:r w:rsidRPr="00F01CFA">
        <w:rPr>
          <w:sz w:val="28"/>
          <w:szCs w:val="28"/>
        </w:rPr>
        <w:t>”</w:t>
      </w:r>
      <w:r w:rsidRPr="0086661C">
        <w:rPr>
          <w:sz w:val="28"/>
          <w:szCs w:val="28"/>
        </w:rPr>
        <w:t xml:space="preserve"> </w:t>
      </w:r>
      <w:r w:rsidRPr="00981F00">
        <w:rPr>
          <w:bCs/>
          <w:sz w:val="28"/>
          <w:szCs w:val="28"/>
        </w:rPr>
        <w:t>16.</w:t>
      </w:r>
      <w:r w:rsidRPr="00981F00">
        <w:rPr>
          <w:bCs/>
          <w:sz w:val="28"/>
          <w:szCs w:val="28"/>
          <w:vertAlign w:val="superscript"/>
        </w:rPr>
        <w:t>4</w:t>
      </w:r>
      <w:r w:rsidRPr="00981F00">
        <w:rPr>
          <w:bCs/>
          <w:sz w:val="28"/>
          <w:szCs w:val="28"/>
        </w:rPr>
        <w:t xml:space="preserve"> panta 3.punktam</w:t>
      </w:r>
      <w:r w:rsidRPr="0086661C">
        <w:rPr>
          <w:b/>
          <w:bCs/>
          <w:sz w:val="28"/>
          <w:szCs w:val="28"/>
        </w:rPr>
        <w:t xml:space="preserve"> </w:t>
      </w:r>
      <w:r w:rsidRPr="0086661C">
        <w:rPr>
          <w:sz w:val="28"/>
          <w:szCs w:val="28"/>
        </w:rPr>
        <w:t>Valsts ieņēmumu dienesta ierēdņiem, pildot dienesta pienākumus akcīzes preču aprites, nodrošinājuma un uzraudzības jomā, ir tiesības veikt akcīzes preču pārbaudes (ekspertīzes), kā arī nodot izņemtās akcīzes preces pārbaudei (ekspertīzei) un saņemt atzinumu par to atb</w:t>
      </w:r>
      <w:r>
        <w:rPr>
          <w:sz w:val="28"/>
          <w:szCs w:val="28"/>
        </w:rPr>
        <w:t>ilstību normatīvo aktu prasībām.</w:t>
      </w:r>
    </w:p>
    <w:p w:rsidR="00367698" w:rsidRDefault="00367698" w:rsidP="0086661C">
      <w:pPr>
        <w:shd w:val="clear" w:color="auto" w:fill="FFFFFF"/>
        <w:ind w:left="29" w:firstLine="680"/>
        <w:jc w:val="both"/>
        <w:rPr>
          <w:sz w:val="28"/>
          <w:szCs w:val="28"/>
        </w:rPr>
      </w:pPr>
      <w:r>
        <w:rPr>
          <w:sz w:val="28"/>
          <w:szCs w:val="28"/>
        </w:rPr>
        <w:t xml:space="preserve">Ņemot vērā minēto, secināms, ka </w:t>
      </w:r>
      <w:r w:rsidRPr="001C3746">
        <w:rPr>
          <w:b/>
          <w:sz w:val="28"/>
          <w:szCs w:val="28"/>
        </w:rPr>
        <w:t>Valsts ieņēmumu dienesta darbību reglamentējošie tiesību akti paredz tiesības veikt arī cigarešu samazinātas degšanas prasību pārbaudes</w:t>
      </w:r>
      <w:r>
        <w:rPr>
          <w:sz w:val="28"/>
          <w:szCs w:val="28"/>
        </w:rPr>
        <w:t>, tai skaitā nododot cigaretes ekspertīzei un saņemot atzinumu par to atbilstību normatīvo aktu prasībām.</w:t>
      </w:r>
    </w:p>
    <w:p w:rsidR="00C522C1" w:rsidRDefault="005242E7" w:rsidP="0086661C">
      <w:pPr>
        <w:shd w:val="clear" w:color="auto" w:fill="FFFFFF"/>
        <w:ind w:left="29" w:firstLine="680"/>
        <w:jc w:val="both"/>
        <w:rPr>
          <w:sz w:val="28"/>
          <w:szCs w:val="28"/>
        </w:rPr>
      </w:pPr>
      <w:r>
        <w:rPr>
          <w:sz w:val="28"/>
          <w:szCs w:val="28"/>
        </w:rPr>
        <w:t>Š</w:t>
      </w:r>
      <w:r w:rsidR="00C522C1" w:rsidRPr="00A30FD3">
        <w:rPr>
          <w:sz w:val="28"/>
          <w:szCs w:val="28"/>
        </w:rPr>
        <w:t xml:space="preserve">obrīd atbilstoši likuma "Par tabakas izstrādājumu ražošanas, realizācijas, reklāmas un smēķēšanas ierobežošanu" </w:t>
      </w:r>
      <w:r w:rsidR="00C522C1" w:rsidRPr="00A30FD3">
        <w:rPr>
          <w:bCs/>
          <w:sz w:val="28"/>
          <w:szCs w:val="28"/>
        </w:rPr>
        <w:t>14.</w:t>
      </w:r>
      <w:r w:rsidR="00C522C1" w:rsidRPr="00A30FD3">
        <w:rPr>
          <w:bCs/>
          <w:sz w:val="28"/>
          <w:szCs w:val="28"/>
          <w:vertAlign w:val="superscript"/>
        </w:rPr>
        <w:t>1</w:t>
      </w:r>
      <w:r w:rsidR="00C522C1" w:rsidRPr="00A30FD3">
        <w:rPr>
          <w:bCs/>
          <w:sz w:val="28"/>
          <w:szCs w:val="28"/>
        </w:rPr>
        <w:t xml:space="preserve"> panta trešajai daļai</w:t>
      </w:r>
      <w:r w:rsidR="00C522C1" w:rsidRPr="00A30FD3">
        <w:rPr>
          <w:sz w:val="28"/>
          <w:szCs w:val="28"/>
          <w:u w:val="single"/>
        </w:rPr>
        <w:t xml:space="preserve"> izdevumus, kas saistīti ar cigarešu paraugu atlasi un testēšanu, sedz ražotājs vai komersants</w:t>
      </w:r>
      <w:r w:rsidR="00C522C1" w:rsidRPr="00A30FD3">
        <w:rPr>
          <w:sz w:val="28"/>
          <w:szCs w:val="28"/>
        </w:rPr>
        <w:t>, kurš ievedis tabakas izstrādājumus realizācijai Latvijā</w:t>
      </w:r>
      <w:r w:rsidR="00C522C1" w:rsidRPr="00A30FD3">
        <w:rPr>
          <w:bCs/>
          <w:sz w:val="28"/>
          <w:szCs w:val="28"/>
        </w:rPr>
        <w:t xml:space="preserve">. </w:t>
      </w:r>
    </w:p>
    <w:p w:rsidR="005242E7" w:rsidRPr="005242E7" w:rsidRDefault="005242E7" w:rsidP="00C74F5A">
      <w:pPr>
        <w:pStyle w:val="naisc"/>
        <w:spacing w:before="0" w:after="0"/>
        <w:ind w:firstLine="709"/>
        <w:jc w:val="both"/>
        <w:rPr>
          <w:sz w:val="28"/>
          <w:szCs w:val="28"/>
          <w:lang w:val="lv-LV"/>
        </w:rPr>
      </w:pPr>
      <w:r w:rsidRPr="005242E7">
        <w:rPr>
          <w:sz w:val="28"/>
          <w:szCs w:val="28"/>
          <w:lang w:val="lv-LV"/>
        </w:rPr>
        <w:t xml:space="preserve">Direktīvas 2001/95/EK 6.pants nosaka, ka dalībvalstīm ir jānodrošina, ka ražotāji un izplatītāji pilda savus pienākumus saskaņā ar šo direktīvu tā, lai tirgū laistie produkti būtu droši. Tāpat pants paredz, ka dalībvalstis izveido vai izvēlas iestādes, kuru kompetencē ietilpst pārraudzīt produktu atbilstību vispārējās drošības prasībām, kā arī piešķir šīm iestādēm vajadzīgās pilnvaras, lai tās veiktu attiecīgus pasākumus saskaņā ar šo direktīvu. Tāpat arī saskaņā ar Preču un pakalpojumu drošuma likuma, kurā pārņemtās direktīvas 2001/95/EK prasības, 12.panta pirmo daļu </w:t>
      </w:r>
      <w:r w:rsidRPr="005242E7">
        <w:rPr>
          <w:sz w:val="28"/>
          <w:szCs w:val="28"/>
          <w:u w:val="single"/>
          <w:lang w:val="lv-LV"/>
        </w:rPr>
        <w:t>tirgus uzraudzības iestādes kontrolē preču un pakalpojumu atbilstību šā likuma prasībām</w:t>
      </w:r>
      <w:r w:rsidRPr="005242E7">
        <w:rPr>
          <w:sz w:val="28"/>
          <w:szCs w:val="28"/>
          <w:lang w:val="lv-LV"/>
        </w:rPr>
        <w:t xml:space="preserve"> saskaņā ar regulāri atjaunotām uzraudzības un kontroles programmām, kā arī tad, ja ir aizdomas par preces vai pakalpojuma neatbilstību drošuma prasībām vai ir saņemta sūdzība. Ņemot vērā tiesību aktu dalībvalstīm uzliktos pienākumus preču drošuma prasību uzraudzībā, testēšanas izdevumu segšana par nozares līdzekļiem nav atbilstoša šī brīža pieņemtajai praksei, ko nosaka Direktīva 2001/95/EK un Preču un pakalpojumu drošuma likums.</w:t>
      </w:r>
    </w:p>
    <w:p w:rsidR="005242E7" w:rsidRPr="005242E7" w:rsidRDefault="005242E7" w:rsidP="005242E7">
      <w:pPr>
        <w:shd w:val="clear" w:color="auto" w:fill="FFFFFF"/>
        <w:ind w:left="29" w:firstLine="680"/>
        <w:jc w:val="both"/>
        <w:rPr>
          <w:sz w:val="28"/>
          <w:szCs w:val="28"/>
        </w:rPr>
      </w:pPr>
      <w:r w:rsidRPr="005242E7">
        <w:rPr>
          <w:sz w:val="28"/>
          <w:szCs w:val="28"/>
        </w:rPr>
        <w:t xml:space="preserve">Jāņem vērā, ka </w:t>
      </w:r>
      <w:r w:rsidRPr="001567B4">
        <w:rPr>
          <w:b/>
          <w:sz w:val="28"/>
          <w:szCs w:val="28"/>
        </w:rPr>
        <w:t xml:space="preserve">Preču un pakalpojumu drošuma likuma 12.pants šobrīd paredz tirgus uzraudzības iestādes tiesības kontrolēt un uzraudzīt tirgū piedāvājamo preču un pakalpojumu atbilstību drošuma prasībām, pieprasīt un bez maksas saņemt informāciju, kas nepieciešama preču un pakalpojumu drošuma novērtēšanai vai attiecīgās iestādes funkciju izpildei, kā arī pieprasīt un bez maksas saņemt preču paraugus un organizēt preces vai pakalpojuma laboratorisku vai cita veida ekspertīzi, lai noteiktu preces </w:t>
      </w:r>
      <w:r w:rsidRPr="001567B4">
        <w:rPr>
          <w:b/>
          <w:sz w:val="28"/>
          <w:szCs w:val="28"/>
        </w:rPr>
        <w:lastRenderedPageBreak/>
        <w:t>vai pakalpojuma atbilstību drošuma prasībām</w:t>
      </w:r>
      <w:r w:rsidRPr="005242E7">
        <w:rPr>
          <w:sz w:val="28"/>
          <w:szCs w:val="28"/>
        </w:rPr>
        <w:t>. Tāpat saskaņā ar 15.panta pirmo daļu, izdevumus par preces vai pakalpojuma laboratorisku vai cita veida ekspertīzi sedz tirgus uzraudzības iestāde. Saskaņā ar 15.panta otro daļu, izdevumus par ekspertīzi atlīdzina ražotājs, pakalpojuma sniedzējs vai šā panta 2.</w:t>
      </w:r>
      <w:r w:rsidRPr="005242E7">
        <w:rPr>
          <w:sz w:val="28"/>
          <w:szCs w:val="28"/>
          <w:vertAlign w:val="superscript"/>
        </w:rPr>
        <w:t>1</w:t>
      </w:r>
      <w:r w:rsidRPr="005242E7">
        <w:rPr>
          <w:sz w:val="28"/>
          <w:szCs w:val="28"/>
        </w:rPr>
        <w:t xml:space="preserve"> daļā minētajā gadījumā - izplatītājs, kurš pirmais laidis apgrozībā tādu preci vai lietu, kas neatbilst drošuma prasībām, ja konstatēts, ka prece vai pakalpojums neatbilst drošuma prasībām. Minētā kārtība šobrīd attiecas uz visām tirgus uzraudzības iestādēm, kas atbilstoši likuma 10.pantam kontrolē preču un pakalpojumu atbilstību likuma prasībām.</w:t>
      </w:r>
      <w:r w:rsidR="00EB49B0">
        <w:rPr>
          <w:sz w:val="28"/>
          <w:szCs w:val="28"/>
        </w:rPr>
        <w:t xml:space="preserve"> Attiecīgi arī Valsts ieņēmumu dienestam cigarešu samazinātas degšanas prasību ievērošanas uzraudzību būs jāveic atbilstoši Preču un pakalpojumu drošuma likumā paredzētajai kārtībai.</w:t>
      </w:r>
    </w:p>
    <w:p w:rsidR="00B3013A" w:rsidRDefault="00EB49B0" w:rsidP="003A6BA2">
      <w:pPr>
        <w:shd w:val="clear" w:color="auto" w:fill="FFFFFF"/>
        <w:ind w:left="29" w:firstLine="680"/>
        <w:jc w:val="both"/>
        <w:rPr>
          <w:color w:val="000000"/>
          <w:sz w:val="28"/>
          <w:szCs w:val="28"/>
        </w:rPr>
      </w:pPr>
      <w:r>
        <w:rPr>
          <w:sz w:val="28"/>
          <w:szCs w:val="28"/>
        </w:rPr>
        <w:t>Ņemot vērā, ka nav paredzēts ieviest samazinātas degšanas cigarešu marķēšanu ar īpašu marķējumu, kas nodrošinātu to atpazīstamību, lai pārbaudītu cigarešu atbilstību samazinātas degšanas prasībām, uzraudzības iestāde var izmantot cigarešu testēšanu.</w:t>
      </w:r>
      <w:r w:rsidR="00323357" w:rsidRPr="003A6BA2">
        <w:rPr>
          <w:sz w:val="28"/>
          <w:szCs w:val="28"/>
        </w:rPr>
        <w:t xml:space="preserve"> </w:t>
      </w:r>
      <w:r w:rsidR="003A6BA2" w:rsidRPr="003A6BA2">
        <w:rPr>
          <w:sz w:val="28"/>
          <w:szCs w:val="28"/>
        </w:rPr>
        <w:t xml:space="preserve">Cigarešu samazinātas degšanas prasību testēšanu Latvijā </w:t>
      </w:r>
      <w:r w:rsidR="003A6BA2" w:rsidRPr="003A6BA2">
        <w:rPr>
          <w:color w:val="000000"/>
          <w:sz w:val="28"/>
          <w:szCs w:val="28"/>
        </w:rPr>
        <w:t>veik</w:t>
      </w:r>
      <w:r w:rsidR="00B267D8">
        <w:rPr>
          <w:color w:val="000000"/>
          <w:sz w:val="28"/>
          <w:szCs w:val="28"/>
        </w:rPr>
        <w:t>s</w:t>
      </w:r>
      <w:r w:rsidR="003A6BA2" w:rsidRPr="003A6BA2">
        <w:rPr>
          <w:color w:val="000000"/>
          <w:sz w:val="28"/>
          <w:szCs w:val="28"/>
        </w:rPr>
        <w:t xml:space="preserve"> SIA „Latvijas sertifikācijas centrs”</w:t>
      </w:r>
      <w:r w:rsidR="003A6BA2">
        <w:rPr>
          <w:color w:val="000000"/>
          <w:sz w:val="28"/>
          <w:szCs w:val="28"/>
        </w:rPr>
        <w:t xml:space="preserve">, kas ir </w:t>
      </w:r>
      <w:r w:rsidR="00F501EB">
        <w:rPr>
          <w:color w:val="000000"/>
          <w:sz w:val="28"/>
          <w:szCs w:val="28"/>
        </w:rPr>
        <w:t xml:space="preserve">saņēmis un uzstādījis </w:t>
      </w:r>
      <w:r w:rsidR="00C4161A">
        <w:rPr>
          <w:color w:val="000000"/>
          <w:sz w:val="28"/>
          <w:szCs w:val="28"/>
        </w:rPr>
        <w:t>testēšanai nepieciešam</w:t>
      </w:r>
      <w:r w:rsidR="00F501EB">
        <w:rPr>
          <w:color w:val="000000"/>
          <w:sz w:val="28"/>
          <w:szCs w:val="28"/>
        </w:rPr>
        <w:t>ās</w:t>
      </w:r>
      <w:r w:rsidR="00C4161A">
        <w:rPr>
          <w:color w:val="000000"/>
          <w:sz w:val="28"/>
          <w:szCs w:val="28"/>
        </w:rPr>
        <w:t xml:space="preserve"> iekārt</w:t>
      </w:r>
      <w:r w:rsidR="00F501EB">
        <w:rPr>
          <w:color w:val="000000"/>
          <w:sz w:val="28"/>
          <w:szCs w:val="28"/>
        </w:rPr>
        <w:t>as</w:t>
      </w:r>
      <w:r w:rsidR="00C4161A">
        <w:rPr>
          <w:color w:val="000000"/>
          <w:sz w:val="28"/>
          <w:szCs w:val="28"/>
        </w:rPr>
        <w:t xml:space="preserve"> un materiālu</w:t>
      </w:r>
      <w:r w:rsidR="00F501EB">
        <w:rPr>
          <w:color w:val="000000"/>
          <w:sz w:val="28"/>
          <w:szCs w:val="28"/>
        </w:rPr>
        <w:t>s</w:t>
      </w:r>
      <w:r w:rsidR="00C4161A">
        <w:rPr>
          <w:color w:val="000000"/>
          <w:sz w:val="28"/>
          <w:szCs w:val="28"/>
        </w:rPr>
        <w:t xml:space="preserve"> un </w:t>
      </w:r>
      <w:r w:rsidR="00F501EB">
        <w:rPr>
          <w:color w:val="000000"/>
          <w:sz w:val="28"/>
          <w:szCs w:val="28"/>
        </w:rPr>
        <w:t xml:space="preserve">ir gatavs veikt cigarešu samazinātas degšanas prasību </w:t>
      </w:r>
      <w:r w:rsidR="00C4161A">
        <w:rPr>
          <w:color w:val="000000"/>
          <w:sz w:val="28"/>
          <w:szCs w:val="28"/>
        </w:rPr>
        <w:t xml:space="preserve">testēšanu. Pēc </w:t>
      </w:r>
      <w:r w:rsidR="00C4161A" w:rsidRPr="003A6BA2">
        <w:rPr>
          <w:color w:val="000000"/>
          <w:sz w:val="28"/>
          <w:szCs w:val="28"/>
        </w:rPr>
        <w:t>SIA „Latvijas sertifikācijas centrs”</w:t>
      </w:r>
      <w:r w:rsidR="00C4161A">
        <w:rPr>
          <w:color w:val="000000"/>
          <w:sz w:val="28"/>
          <w:szCs w:val="28"/>
        </w:rPr>
        <w:t xml:space="preserve"> aprēķiniem viena parauga (40 cigaretes) testēšana </w:t>
      </w:r>
      <w:r w:rsidR="00C4161A" w:rsidRPr="00C4161A">
        <w:rPr>
          <w:color w:val="000000"/>
          <w:sz w:val="28"/>
          <w:szCs w:val="28"/>
        </w:rPr>
        <w:t>izmaksā</w:t>
      </w:r>
      <w:r w:rsidR="00F501EB">
        <w:rPr>
          <w:color w:val="000000"/>
          <w:sz w:val="28"/>
          <w:szCs w:val="28"/>
        </w:rPr>
        <w:t>s</w:t>
      </w:r>
      <w:r w:rsidR="00C4161A" w:rsidRPr="00C4161A">
        <w:rPr>
          <w:color w:val="000000"/>
          <w:sz w:val="28"/>
          <w:szCs w:val="28"/>
        </w:rPr>
        <w:t xml:space="preserve"> </w:t>
      </w:r>
      <w:r w:rsidR="00764F11">
        <w:rPr>
          <w:color w:val="000000"/>
          <w:sz w:val="28"/>
          <w:szCs w:val="28"/>
        </w:rPr>
        <w:t>198,02 LVL (</w:t>
      </w:r>
      <w:r w:rsidR="00764F11" w:rsidRPr="00764F11">
        <w:rPr>
          <w:sz w:val="28"/>
          <w:szCs w:val="28"/>
        </w:rPr>
        <w:t>162,31</w:t>
      </w:r>
      <w:r w:rsidR="00764F11">
        <w:rPr>
          <w:sz w:val="28"/>
          <w:szCs w:val="28"/>
        </w:rPr>
        <w:t xml:space="preserve"> </w:t>
      </w:r>
      <w:r w:rsidR="00C4161A">
        <w:rPr>
          <w:color w:val="000000"/>
          <w:sz w:val="28"/>
          <w:szCs w:val="28"/>
        </w:rPr>
        <w:t>LVL</w:t>
      </w:r>
      <w:r w:rsidR="00C4161A" w:rsidRPr="00C4161A">
        <w:rPr>
          <w:color w:val="000000"/>
          <w:sz w:val="28"/>
          <w:szCs w:val="28"/>
        </w:rPr>
        <w:t xml:space="preserve"> </w:t>
      </w:r>
      <w:r w:rsidR="00764F11">
        <w:rPr>
          <w:color w:val="000000"/>
          <w:sz w:val="28"/>
          <w:szCs w:val="28"/>
        </w:rPr>
        <w:t>+</w:t>
      </w:r>
      <w:r w:rsidR="00764F11" w:rsidRPr="00C4161A">
        <w:rPr>
          <w:color w:val="000000"/>
          <w:sz w:val="28"/>
          <w:szCs w:val="28"/>
        </w:rPr>
        <w:t xml:space="preserve"> </w:t>
      </w:r>
      <w:r w:rsidR="00C4161A" w:rsidRPr="00C4161A">
        <w:rPr>
          <w:color w:val="000000"/>
          <w:sz w:val="28"/>
          <w:szCs w:val="28"/>
        </w:rPr>
        <w:t>PVN</w:t>
      </w:r>
      <w:r w:rsidR="00764F11">
        <w:rPr>
          <w:color w:val="000000"/>
          <w:sz w:val="28"/>
          <w:szCs w:val="28"/>
        </w:rPr>
        <w:t>)</w:t>
      </w:r>
      <w:r w:rsidR="00F501EB">
        <w:rPr>
          <w:color w:val="000000"/>
          <w:sz w:val="28"/>
          <w:szCs w:val="28"/>
        </w:rPr>
        <w:t>, kas šobrīd ir zemākās zināmās testēšanas izmaksas pārbaužu veikšanai Eiropas Savienības valstu laboratorijās</w:t>
      </w:r>
      <w:r w:rsidR="00C4161A" w:rsidRPr="00C4161A">
        <w:rPr>
          <w:color w:val="000000"/>
          <w:sz w:val="28"/>
          <w:szCs w:val="28"/>
        </w:rPr>
        <w:t>.</w:t>
      </w:r>
    </w:p>
    <w:p w:rsidR="00C4161A" w:rsidRDefault="00C4161A" w:rsidP="003A6BA2">
      <w:pPr>
        <w:shd w:val="clear" w:color="auto" w:fill="FFFFFF"/>
        <w:ind w:left="29" w:firstLine="680"/>
        <w:jc w:val="both"/>
        <w:rPr>
          <w:sz w:val="28"/>
          <w:szCs w:val="28"/>
        </w:rPr>
      </w:pPr>
      <w:r>
        <w:rPr>
          <w:color w:val="000000"/>
          <w:sz w:val="28"/>
          <w:szCs w:val="28"/>
        </w:rPr>
        <w:t xml:space="preserve">Šobrīd ir pieejama informācija tikai par vienu alternatīvu testēšanas </w:t>
      </w:r>
      <w:r w:rsidRPr="00C4161A">
        <w:rPr>
          <w:color w:val="000000"/>
          <w:sz w:val="28"/>
          <w:szCs w:val="28"/>
        </w:rPr>
        <w:t>laboratoriju Lielbritānijā (</w:t>
      </w:r>
      <w:proofErr w:type="spellStart"/>
      <w:r w:rsidRPr="00FB24EC">
        <w:rPr>
          <w:i/>
          <w:sz w:val="28"/>
          <w:szCs w:val="28"/>
        </w:rPr>
        <w:t>Arista</w:t>
      </w:r>
      <w:proofErr w:type="spellEnd"/>
      <w:r w:rsidRPr="00FB24EC">
        <w:rPr>
          <w:i/>
          <w:sz w:val="28"/>
          <w:szCs w:val="28"/>
        </w:rPr>
        <w:t xml:space="preserve"> </w:t>
      </w:r>
      <w:proofErr w:type="spellStart"/>
      <w:r w:rsidRPr="00FB24EC">
        <w:rPr>
          <w:i/>
          <w:sz w:val="28"/>
          <w:szCs w:val="28"/>
        </w:rPr>
        <w:t>Laboratories</w:t>
      </w:r>
      <w:proofErr w:type="spellEnd"/>
      <w:r w:rsidRPr="00FB24EC">
        <w:rPr>
          <w:i/>
          <w:sz w:val="28"/>
          <w:szCs w:val="28"/>
        </w:rPr>
        <w:t xml:space="preserve"> </w:t>
      </w:r>
      <w:proofErr w:type="spellStart"/>
      <w:r w:rsidRPr="00FB24EC">
        <w:rPr>
          <w:i/>
          <w:sz w:val="28"/>
          <w:szCs w:val="28"/>
        </w:rPr>
        <w:t>Europe</w:t>
      </w:r>
      <w:proofErr w:type="spellEnd"/>
      <w:r w:rsidRPr="00FB24EC">
        <w:rPr>
          <w:sz w:val="28"/>
          <w:szCs w:val="28"/>
        </w:rPr>
        <w:t xml:space="preserve">), </w:t>
      </w:r>
      <w:r w:rsidR="00F501EB" w:rsidRPr="00FB24EC">
        <w:rPr>
          <w:sz w:val="28"/>
          <w:szCs w:val="28"/>
        </w:rPr>
        <w:t>kas jau veic cigarešu samazinātas degšanas pārbaudes un</w:t>
      </w:r>
      <w:r w:rsidR="00F501EB">
        <w:rPr>
          <w:color w:val="1F497D"/>
          <w:sz w:val="28"/>
          <w:szCs w:val="28"/>
        </w:rPr>
        <w:t xml:space="preserve"> </w:t>
      </w:r>
      <w:r w:rsidRPr="00C54AAA">
        <w:rPr>
          <w:color w:val="000000"/>
          <w:sz w:val="28"/>
          <w:szCs w:val="28"/>
        </w:rPr>
        <w:t>pēc kuras sniegtās informācijas viena parauga testēšana šajā laboratorijā izmaksā</w:t>
      </w:r>
      <w:r>
        <w:rPr>
          <w:color w:val="1F497D"/>
          <w:sz w:val="28"/>
          <w:szCs w:val="28"/>
        </w:rPr>
        <w:t xml:space="preserve"> </w:t>
      </w:r>
      <w:r>
        <w:rPr>
          <w:sz w:val="28"/>
          <w:szCs w:val="28"/>
        </w:rPr>
        <w:t>269,</w:t>
      </w:r>
      <w:r w:rsidRPr="00C4161A">
        <w:rPr>
          <w:sz w:val="28"/>
          <w:szCs w:val="28"/>
        </w:rPr>
        <w:t>88</w:t>
      </w:r>
      <w:r>
        <w:rPr>
          <w:sz w:val="28"/>
          <w:szCs w:val="28"/>
        </w:rPr>
        <w:t xml:space="preserve"> GBP jeb aptuveni 218</w:t>
      </w:r>
      <w:r w:rsidRPr="00C4161A">
        <w:rPr>
          <w:sz w:val="28"/>
          <w:szCs w:val="28"/>
        </w:rPr>
        <w:t xml:space="preserve"> </w:t>
      </w:r>
      <w:r>
        <w:rPr>
          <w:sz w:val="28"/>
          <w:szCs w:val="28"/>
        </w:rPr>
        <w:t xml:space="preserve">LVL. </w:t>
      </w:r>
      <w:r w:rsidR="00764F11">
        <w:rPr>
          <w:sz w:val="28"/>
          <w:szCs w:val="28"/>
        </w:rPr>
        <w:t xml:space="preserve">Testēšanu plāno veikt arī Slovēnijas Nacionālais sabiedrības veselības institūts, kura testēšanas izmaksas pagaidām nav zināmas. </w:t>
      </w:r>
      <w:r>
        <w:rPr>
          <w:sz w:val="28"/>
          <w:szCs w:val="28"/>
        </w:rPr>
        <w:t>Ekonomikas ministrija</w:t>
      </w:r>
      <w:r w:rsidR="00764F11">
        <w:rPr>
          <w:sz w:val="28"/>
          <w:szCs w:val="28"/>
        </w:rPr>
        <w:t>s</w:t>
      </w:r>
      <w:r>
        <w:rPr>
          <w:sz w:val="28"/>
          <w:szCs w:val="28"/>
        </w:rPr>
        <w:t xml:space="preserve"> </w:t>
      </w:r>
      <w:r w:rsidR="00764F11">
        <w:rPr>
          <w:sz w:val="28"/>
          <w:szCs w:val="28"/>
        </w:rPr>
        <w:t xml:space="preserve">rīcībā nav </w:t>
      </w:r>
      <w:r>
        <w:rPr>
          <w:sz w:val="28"/>
          <w:szCs w:val="28"/>
        </w:rPr>
        <w:t>informācij</w:t>
      </w:r>
      <w:r w:rsidR="00764F11">
        <w:rPr>
          <w:sz w:val="28"/>
          <w:szCs w:val="28"/>
        </w:rPr>
        <w:t>as</w:t>
      </w:r>
      <w:r>
        <w:rPr>
          <w:sz w:val="28"/>
          <w:szCs w:val="28"/>
        </w:rPr>
        <w:t xml:space="preserve"> par citām Eiropas Savienības valstīs pieejamajām testēšanas laboratorijām</w:t>
      </w:r>
      <w:r w:rsidR="00F501EB">
        <w:rPr>
          <w:sz w:val="28"/>
          <w:szCs w:val="28"/>
        </w:rPr>
        <w:t xml:space="preserve"> un to testēšanas izmaksām</w:t>
      </w:r>
      <w:r>
        <w:rPr>
          <w:sz w:val="28"/>
          <w:szCs w:val="28"/>
        </w:rPr>
        <w:t>.</w:t>
      </w:r>
      <w:r w:rsidR="00F501EB">
        <w:rPr>
          <w:sz w:val="28"/>
          <w:szCs w:val="28"/>
        </w:rPr>
        <w:t xml:space="preserve"> Tāpat jāņem vērā, ka izmantojot citu valstu testēšanas laboratorijas, pie testēšanas izdevumiem pieskaitāmi arī izdevumi cigarešu paraugu nosūtīšanai un ekspertīzes slēdziena saņemšanai.</w:t>
      </w:r>
    </w:p>
    <w:p w:rsidR="00B267D8" w:rsidRDefault="00B267D8" w:rsidP="003A6BA2">
      <w:pPr>
        <w:shd w:val="clear" w:color="auto" w:fill="FFFFFF"/>
        <w:ind w:left="29" w:firstLine="680"/>
        <w:jc w:val="both"/>
        <w:rPr>
          <w:sz w:val="28"/>
          <w:szCs w:val="28"/>
        </w:rPr>
      </w:pPr>
      <w:r>
        <w:rPr>
          <w:sz w:val="28"/>
          <w:szCs w:val="28"/>
        </w:rPr>
        <w:t xml:space="preserve">Lai nodrošinātu cigarešu samazinātas degšanas prasību uzraudzību, </w:t>
      </w:r>
      <w:r w:rsidRPr="002921DC">
        <w:rPr>
          <w:b/>
          <w:sz w:val="28"/>
          <w:szCs w:val="28"/>
        </w:rPr>
        <w:t>Valsts ieņēmumu dienestam nepieciešams paredzēt papildus līdzekļus no valsts budžeta vismaz 50 cigarešu paraugu testēšanai gadā</w:t>
      </w:r>
      <w:r>
        <w:rPr>
          <w:sz w:val="28"/>
          <w:szCs w:val="28"/>
        </w:rPr>
        <w:t xml:space="preserve">. Ņemot vērā </w:t>
      </w:r>
      <w:r w:rsidRPr="003A6BA2">
        <w:rPr>
          <w:color w:val="000000"/>
          <w:sz w:val="28"/>
          <w:szCs w:val="28"/>
        </w:rPr>
        <w:t>SIA „Latvijas sertifikācijas centrs”</w:t>
      </w:r>
      <w:r>
        <w:rPr>
          <w:color w:val="000000"/>
          <w:sz w:val="28"/>
          <w:szCs w:val="28"/>
        </w:rPr>
        <w:t xml:space="preserve"> sniegto informāciju par testēšanas izmaksām, izmaksas 50 cigarešu paraugu testēšanai sast</w:t>
      </w:r>
      <w:r w:rsidR="002921DC">
        <w:rPr>
          <w:color w:val="000000"/>
          <w:sz w:val="28"/>
          <w:szCs w:val="28"/>
        </w:rPr>
        <w:t>ādīs</w:t>
      </w:r>
      <w:r>
        <w:rPr>
          <w:color w:val="000000"/>
          <w:sz w:val="28"/>
          <w:szCs w:val="28"/>
        </w:rPr>
        <w:t xml:space="preserve"> </w:t>
      </w:r>
      <w:r w:rsidR="002921DC">
        <w:rPr>
          <w:color w:val="000000"/>
          <w:sz w:val="28"/>
          <w:szCs w:val="28"/>
        </w:rPr>
        <w:t xml:space="preserve">vismaz </w:t>
      </w:r>
      <w:r>
        <w:rPr>
          <w:color w:val="000000"/>
          <w:sz w:val="28"/>
          <w:szCs w:val="28"/>
        </w:rPr>
        <w:t>9901 LVL gadā.</w:t>
      </w:r>
    </w:p>
    <w:p w:rsidR="00C74F5A" w:rsidRDefault="00C74F5A" w:rsidP="003A6BA2">
      <w:pPr>
        <w:shd w:val="clear" w:color="auto" w:fill="FFFFFF"/>
        <w:ind w:left="29" w:firstLine="680"/>
        <w:jc w:val="both"/>
        <w:rPr>
          <w:sz w:val="28"/>
          <w:szCs w:val="28"/>
        </w:rPr>
      </w:pPr>
    </w:p>
    <w:p w:rsidR="00C4161A" w:rsidRPr="003A6BA2" w:rsidRDefault="00C4161A" w:rsidP="003A6BA2">
      <w:pPr>
        <w:shd w:val="clear" w:color="auto" w:fill="FFFFFF"/>
        <w:ind w:left="29" w:firstLine="680"/>
        <w:jc w:val="both"/>
        <w:rPr>
          <w:bCs/>
          <w:spacing w:val="-7"/>
          <w:sz w:val="28"/>
          <w:szCs w:val="28"/>
        </w:rPr>
      </w:pPr>
    </w:p>
    <w:p w:rsidR="00B3013A" w:rsidRDefault="007C4B12" w:rsidP="00F40E09">
      <w:pPr>
        <w:pStyle w:val="Heading1"/>
        <w:spacing w:after="240"/>
        <w:jc w:val="center"/>
        <w:rPr>
          <w:sz w:val="28"/>
          <w:szCs w:val="28"/>
        </w:rPr>
      </w:pPr>
      <w:r>
        <w:rPr>
          <w:sz w:val="28"/>
          <w:szCs w:val="28"/>
        </w:rPr>
        <w:t>4</w:t>
      </w:r>
      <w:r w:rsidR="00B3013A" w:rsidRPr="003E6447">
        <w:rPr>
          <w:sz w:val="28"/>
          <w:szCs w:val="28"/>
        </w:rPr>
        <w:t>. Risinājums</w:t>
      </w:r>
    </w:p>
    <w:p w:rsidR="00B3013A" w:rsidRDefault="00B3013A" w:rsidP="00B3013A">
      <w:pPr>
        <w:pStyle w:val="BodyText2"/>
        <w:spacing w:after="0" w:line="240" w:lineRule="auto"/>
        <w:ind w:firstLine="720"/>
        <w:jc w:val="both"/>
        <w:rPr>
          <w:sz w:val="28"/>
          <w:szCs w:val="28"/>
          <w:lang w:val="lv-LV"/>
        </w:rPr>
      </w:pPr>
      <w:r>
        <w:rPr>
          <w:sz w:val="28"/>
          <w:szCs w:val="28"/>
          <w:lang w:val="lv-LV"/>
        </w:rPr>
        <w:t xml:space="preserve">Ņemot vērā iepriekš minēto, Ekonomikas ministrija ierosina </w:t>
      </w:r>
      <w:r w:rsidRPr="003B5254">
        <w:rPr>
          <w:sz w:val="28"/>
          <w:szCs w:val="28"/>
          <w:lang w:val="lv-LV"/>
        </w:rPr>
        <w:t>Minist</w:t>
      </w:r>
      <w:r>
        <w:rPr>
          <w:sz w:val="28"/>
          <w:szCs w:val="28"/>
          <w:lang w:val="lv-LV"/>
        </w:rPr>
        <w:t xml:space="preserve">ru kabinetam noteikt, ka  </w:t>
      </w:r>
      <w:r w:rsidRPr="00B3013A">
        <w:rPr>
          <w:b/>
          <w:sz w:val="28"/>
          <w:szCs w:val="28"/>
          <w:lang w:val="lv-LV"/>
        </w:rPr>
        <w:t xml:space="preserve">prasību īstenošana importa uzraudzības jomā, kā arī  </w:t>
      </w:r>
      <w:r w:rsidRPr="00B3013A">
        <w:rPr>
          <w:b/>
          <w:sz w:val="28"/>
          <w:szCs w:val="28"/>
          <w:lang w:val="lv-LV"/>
        </w:rPr>
        <w:lastRenderedPageBreak/>
        <w:t>iekšējā tirgus uzraudzības jomā ir Valsts ieņēmumu dienesta kompetencē</w:t>
      </w:r>
      <w:r w:rsidR="00D042CC">
        <w:rPr>
          <w:sz w:val="28"/>
          <w:szCs w:val="28"/>
          <w:lang w:val="lv-LV"/>
        </w:rPr>
        <w:t xml:space="preserve"> </w:t>
      </w:r>
      <w:r w:rsidR="00FF7B14">
        <w:rPr>
          <w:sz w:val="28"/>
          <w:szCs w:val="28"/>
          <w:lang w:val="lv-LV"/>
        </w:rPr>
        <w:t>atbilstoši</w:t>
      </w:r>
      <w:r w:rsidR="00367698">
        <w:rPr>
          <w:sz w:val="28"/>
          <w:szCs w:val="28"/>
          <w:lang w:val="lv-LV"/>
        </w:rPr>
        <w:t xml:space="preserve"> Preču un pakalpojumu drošuma likuma 10.panta pirmajā daļā noteikt</w:t>
      </w:r>
      <w:r w:rsidR="00FF7B14">
        <w:rPr>
          <w:sz w:val="28"/>
          <w:szCs w:val="28"/>
          <w:lang w:val="lv-LV"/>
        </w:rPr>
        <w:t xml:space="preserve">ajam. Iepriekš minētā lēmuma pieņemšana nodrošinās, ka </w:t>
      </w:r>
      <w:r w:rsidR="00367698" w:rsidRPr="00367698">
        <w:rPr>
          <w:sz w:val="28"/>
          <w:szCs w:val="28"/>
          <w:lang w:val="lv-LV"/>
        </w:rPr>
        <w:t xml:space="preserve"> </w:t>
      </w:r>
      <w:r w:rsidR="00FF7B14">
        <w:rPr>
          <w:sz w:val="28"/>
          <w:szCs w:val="28"/>
          <w:lang w:val="lv-LV"/>
        </w:rPr>
        <w:t>taba</w:t>
      </w:r>
      <w:r w:rsidR="00D042CC">
        <w:rPr>
          <w:sz w:val="28"/>
          <w:szCs w:val="28"/>
          <w:lang w:val="lv-LV"/>
        </w:rPr>
        <w:t>ka</w:t>
      </w:r>
      <w:r w:rsidR="00FF7B14">
        <w:rPr>
          <w:sz w:val="28"/>
          <w:szCs w:val="28"/>
          <w:lang w:val="lv-LV"/>
        </w:rPr>
        <w:t>s izstrādājumu aprites</w:t>
      </w:r>
      <w:r w:rsidR="00367698" w:rsidRPr="00367698">
        <w:rPr>
          <w:sz w:val="28"/>
          <w:szCs w:val="28"/>
          <w:lang w:val="lv-LV"/>
        </w:rPr>
        <w:t xml:space="preserve"> uzraudzībā netik</w:t>
      </w:r>
      <w:r w:rsidR="00FF7B14">
        <w:rPr>
          <w:sz w:val="28"/>
          <w:szCs w:val="28"/>
          <w:lang w:val="lv-LV"/>
        </w:rPr>
        <w:t>s</w:t>
      </w:r>
      <w:r w:rsidR="00367698" w:rsidRPr="00367698">
        <w:rPr>
          <w:sz w:val="28"/>
          <w:szCs w:val="28"/>
          <w:lang w:val="lv-LV"/>
        </w:rPr>
        <w:t xml:space="preserve"> dublētas valsts iestāžu funkcijas, kā arī </w:t>
      </w:r>
      <w:r w:rsidR="00FF7B14">
        <w:rPr>
          <w:sz w:val="28"/>
          <w:szCs w:val="28"/>
          <w:lang w:val="lv-LV"/>
        </w:rPr>
        <w:t xml:space="preserve">tiks </w:t>
      </w:r>
      <w:r w:rsidR="00367698" w:rsidRPr="00367698">
        <w:rPr>
          <w:sz w:val="28"/>
          <w:szCs w:val="28"/>
          <w:lang w:val="lv-LV"/>
        </w:rPr>
        <w:t>samazin</w:t>
      </w:r>
      <w:r w:rsidR="00FF7B14">
        <w:rPr>
          <w:sz w:val="28"/>
          <w:szCs w:val="28"/>
          <w:lang w:val="lv-LV"/>
        </w:rPr>
        <w:t>ā</w:t>
      </w:r>
      <w:r w:rsidR="00367698" w:rsidRPr="00367698">
        <w:rPr>
          <w:sz w:val="28"/>
          <w:szCs w:val="28"/>
          <w:lang w:val="lv-LV"/>
        </w:rPr>
        <w:t>t</w:t>
      </w:r>
      <w:r w:rsidR="00FF7B14">
        <w:rPr>
          <w:sz w:val="28"/>
          <w:szCs w:val="28"/>
          <w:lang w:val="lv-LV"/>
        </w:rPr>
        <w:t>s</w:t>
      </w:r>
      <w:r w:rsidR="00367698" w:rsidRPr="00367698">
        <w:rPr>
          <w:sz w:val="28"/>
          <w:szCs w:val="28"/>
          <w:lang w:val="lv-LV"/>
        </w:rPr>
        <w:t xml:space="preserve"> iespējam</w:t>
      </w:r>
      <w:r w:rsidR="00FF7B14">
        <w:rPr>
          <w:sz w:val="28"/>
          <w:szCs w:val="28"/>
          <w:lang w:val="lv-LV"/>
        </w:rPr>
        <w:t>ais</w:t>
      </w:r>
      <w:r w:rsidR="00367698" w:rsidRPr="00367698">
        <w:rPr>
          <w:sz w:val="28"/>
          <w:szCs w:val="28"/>
          <w:lang w:val="lv-LV"/>
        </w:rPr>
        <w:t xml:space="preserve"> </w:t>
      </w:r>
      <w:r w:rsidR="00FF7B14">
        <w:rPr>
          <w:sz w:val="28"/>
          <w:szCs w:val="28"/>
          <w:lang w:val="lv-LV"/>
        </w:rPr>
        <w:t xml:space="preserve">administratīvais </w:t>
      </w:r>
      <w:r w:rsidR="00367698" w:rsidRPr="00367698">
        <w:rPr>
          <w:sz w:val="28"/>
          <w:szCs w:val="28"/>
          <w:lang w:val="lv-LV"/>
        </w:rPr>
        <w:t>slog</w:t>
      </w:r>
      <w:r w:rsidR="00FF7B14">
        <w:rPr>
          <w:sz w:val="28"/>
          <w:szCs w:val="28"/>
          <w:lang w:val="lv-LV"/>
        </w:rPr>
        <w:t>s</w:t>
      </w:r>
      <w:r w:rsidR="00367698" w:rsidRPr="00367698">
        <w:rPr>
          <w:sz w:val="28"/>
          <w:szCs w:val="28"/>
          <w:lang w:val="lv-LV"/>
        </w:rPr>
        <w:t xml:space="preserve"> uzņēmējiem</w:t>
      </w:r>
      <w:r w:rsidR="008A0EAD">
        <w:rPr>
          <w:sz w:val="28"/>
          <w:szCs w:val="28"/>
          <w:lang w:val="lv-LV"/>
        </w:rPr>
        <w:t>, izmantojot efektīvu un preventīvu uzraudzības sistēmu, kas novērš prasībām neatbilstošas preces nonākšanu pie patērētāja</w:t>
      </w:r>
      <w:r w:rsidR="00367698" w:rsidRPr="00367698">
        <w:rPr>
          <w:sz w:val="28"/>
          <w:szCs w:val="28"/>
          <w:lang w:val="lv-LV"/>
        </w:rPr>
        <w:t>.</w:t>
      </w:r>
    </w:p>
    <w:p w:rsidR="000E4178" w:rsidRPr="00F03AFD" w:rsidRDefault="00EB49B0" w:rsidP="00F501EB">
      <w:pPr>
        <w:pStyle w:val="BodyText2"/>
        <w:spacing w:after="0" w:line="240" w:lineRule="auto"/>
        <w:ind w:firstLine="709"/>
        <w:jc w:val="both"/>
        <w:rPr>
          <w:iCs/>
          <w:sz w:val="28"/>
          <w:szCs w:val="28"/>
          <w:lang w:val="lv-LV"/>
        </w:rPr>
      </w:pPr>
      <w:r>
        <w:rPr>
          <w:sz w:val="28"/>
          <w:szCs w:val="28"/>
          <w:lang w:val="lv-LV"/>
        </w:rPr>
        <w:t>Atbilstoši Ministru kabineta komitejas š.g. 5.septembra sēdē (protokols Nr.35, 3.§) nolemtajam, l</w:t>
      </w:r>
      <w:r w:rsidR="000E4178">
        <w:rPr>
          <w:sz w:val="28"/>
          <w:szCs w:val="28"/>
          <w:lang w:val="lv-LV"/>
        </w:rPr>
        <w:t xml:space="preserve">ai nostiprinātu Valsts ieņēmuma dienesta kompetenci cigarešu drošuma prasību uzraudzībā, </w:t>
      </w:r>
      <w:r w:rsidR="00F03AFD">
        <w:rPr>
          <w:sz w:val="28"/>
          <w:szCs w:val="28"/>
          <w:lang w:val="lv-LV"/>
        </w:rPr>
        <w:t>Ekonomikas ministrija izstrādāja un izsludināja likumprojektus „</w:t>
      </w:r>
      <w:r w:rsidR="000E4178" w:rsidRPr="000E4178">
        <w:rPr>
          <w:sz w:val="28"/>
          <w:szCs w:val="28"/>
          <w:lang w:val="lv-LV"/>
        </w:rPr>
        <w:t>Grozījum</w:t>
      </w:r>
      <w:r w:rsidR="00F03AFD">
        <w:rPr>
          <w:sz w:val="28"/>
          <w:szCs w:val="28"/>
          <w:lang w:val="lv-LV"/>
        </w:rPr>
        <w:t>i</w:t>
      </w:r>
      <w:r w:rsidR="000E4178" w:rsidRPr="000E4178">
        <w:rPr>
          <w:sz w:val="28"/>
          <w:szCs w:val="28"/>
          <w:lang w:val="lv-LV"/>
        </w:rPr>
        <w:t xml:space="preserve"> likumā „</w:t>
      </w:r>
      <w:r w:rsidR="000E4178" w:rsidRPr="000E4178">
        <w:rPr>
          <w:bCs/>
          <w:sz w:val="28"/>
          <w:szCs w:val="28"/>
          <w:lang w:val="lv-LV"/>
        </w:rPr>
        <w:t>Par tabakas izstrādājumu realizācijas, reklāmas un lietošanas ierobežošanu</w:t>
      </w:r>
      <w:r w:rsidR="001567B4">
        <w:rPr>
          <w:sz w:val="28"/>
          <w:szCs w:val="28"/>
          <w:lang w:val="lv-LV"/>
        </w:rPr>
        <w:t xml:space="preserve"> (VSS-1099)</w:t>
      </w:r>
      <w:r w:rsidR="000606E9">
        <w:rPr>
          <w:sz w:val="28"/>
          <w:szCs w:val="28"/>
          <w:lang w:val="lv-LV"/>
        </w:rPr>
        <w:t xml:space="preserve"> </w:t>
      </w:r>
      <w:r w:rsidR="00F03AFD">
        <w:rPr>
          <w:sz w:val="28"/>
          <w:szCs w:val="28"/>
          <w:lang w:val="lv-LV"/>
        </w:rPr>
        <w:t>un „</w:t>
      </w:r>
      <w:r w:rsidR="00C4134C" w:rsidRPr="00F03AFD">
        <w:rPr>
          <w:sz w:val="28"/>
          <w:szCs w:val="28"/>
          <w:lang w:val="lv-LV"/>
        </w:rPr>
        <w:t>Grozījum</w:t>
      </w:r>
      <w:r w:rsidR="00F03AFD">
        <w:rPr>
          <w:sz w:val="28"/>
          <w:szCs w:val="28"/>
          <w:lang w:val="lv-LV"/>
        </w:rPr>
        <w:t>s</w:t>
      </w:r>
      <w:r w:rsidR="00C4134C" w:rsidRPr="00F03AFD">
        <w:rPr>
          <w:sz w:val="28"/>
          <w:szCs w:val="28"/>
          <w:lang w:val="lv-LV"/>
        </w:rPr>
        <w:t xml:space="preserve"> Latvijas Ad</w:t>
      </w:r>
      <w:r w:rsidR="00C4134C" w:rsidRPr="00F03AFD">
        <w:rPr>
          <w:bCs/>
          <w:sz w:val="28"/>
          <w:szCs w:val="28"/>
          <w:lang w:val="lv-LV"/>
        </w:rPr>
        <w:t>ministratīvo pārkāpumu kodeksā</w:t>
      </w:r>
      <w:r w:rsidR="00F03AFD">
        <w:rPr>
          <w:bCs/>
          <w:sz w:val="28"/>
          <w:szCs w:val="28"/>
          <w:lang w:val="lv-LV"/>
        </w:rPr>
        <w:t>”</w:t>
      </w:r>
      <w:r w:rsidR="001567B4">
        <w:rPr>
          <w:bCs/>
          <w:sz w:val="28"/>
          <w:szCs w:val="28"/>
          <w:lang w:val="lv-LV"/>
        </w:rPr>
        <w:t xml:space="preserve"> (VSS-1098), tomēr par minētajiem likumprojektiem neizdevās panākt vienošanos ar Tieslietu ministriju un nozares pārstāvjiem (Latvijas Darba devēju konfederāciju un Tabakas izstrādājumu ražotāju nacionālo asociāciju.</w:t>
      </w:r>
      <w:r w:rsidR="00C4134C" w:rsidRPr="00F03AFD">
        <w:rPr>
          <w:bCs/>
          <w:sz w:val="28"/>
          <w:szCs w:val="28"/>
          <w:lang w:val="lv-LV"/>
        </w:rPr>
        <w:t xml:space="preserve"> </w:t>
      </w:r>
    </w:p>
    <w:p w:rsidR="001567B4" w:rsidRDefault="001567B4" w:rsidP="00C924B3">
      <w:pPr>
        <w:shd w:val="clear" w:color="auto" w:fill="FFFFFF"/>
        <w:ind w:left="29" w:firstLine="691"/>
        <w:jc w:val="both"/>
        <w:rPr>
          <w:sz w:val="28"/>
          <w:szCs w:val="28"/>
        </w:rPr>
      </w:pPr>
      <w:r>
        <w:rPr>
          <w:sz w:val="28"/>
          <w:szCs w:val="28"/>
        </w:rPr>
        <w:t xml:space="preserve">Ņemot vērā radušos situāciju, kā arī </w:t>
      </w:r>
      <w:r w:rsidR="000606E9">
        <w:rPr>
          <w:sz w:val="28"/>
          <w:szCs w:val="28"/>
        </w:rPr>
        <w:t xml:space="preserve">šī </w:t>
      </w:r>
      <w:r>
        <w:rPr>
          <w:sz w:val="28"/>
          <w:szCs w:val="28"/>
        </w:rPr>
        <w:t xml:space="preserve">informatīvā ziņojuma 2. un </w:t>
      </w:r>
      <w:r w:rsidR="00EB49B0">
        <w:rPr>
          <w:sz w:val="28"/>
          <w:szCs w:val="28"/>
        </w:rPr>
        <w:t>3</w:t>
      </w:r>
      <w:r>
        <w:rPr>
          <w:sz w:val="28"/>
          <w:szCs w:val="28"/>
        </w:rPr>
        <w:t>.sadaļā secināto, ka:</w:t>
      </w:r>
    </w:p>
    <w:p w:rsidR="001567B4" w:rsidRPr="000606E9" w:rsidRDefault="001567B4" w:rsidP="000606E9">
      <w:pPr>
        <w:pStyle w:val="ListParagraph"/>
        <w:numPr>
          <w:ilvl w:val="0"/>
          <w:numId w:val="16"/>
        </w:numPr>
        <w:shd w:val="clear" w:color="auto" w:fill="FFFFFF"/>
        <w:tabs>
          <w:tab w:val="left" w:pos="1134"/>
        </w:tabs>
        <w:spacing w:before="240"/>
        <w:ind w:left="0" w:firstLine="709"/>
        <w:jc w:val="both"/>
        <w:rPr>
          <w:rFonts w:ascii="Times New Roman" w:hAnsi="Times New Roman"/>
          <w:sz w:val="28"/>
          <w:szCs w:val="28"/>
        </w:rPr>
      </w:pPr>
      <w:r w:rsidRPr="00FF0280">
        <w:rPr>
          <w:rFonts w:ascii="Times New Roman" w:hAnsi="Times New Roman"/>
          <w:sz w:val="28"/>
          <w:szCs w:val="28"/>
        </w:rPr>
        <w:t xml:space="preserve">Valsts ieņēmumu dienests ir tirgus uzraudzības </w:t>
      </w:r>
      <w:r w:rsidR="003912DB">
        <w:rPr>
          <w:rFonts w:ascii="Times New Roman" w:hAnsi="Times New Roman"/>
          <w:sz w:val="28"/>
          <w:szCs w:val="28"/>
        </w:rPr>
        <w:t xml:space="preserve">un kontroles </w:t>
      </w:r>
      <w:r w:rsidRPr="00FF0280">
        <w:rPr>
          <w:rFonts w:ascii="Times New Roman" w:hAnsi="Times New Roman"/>
          <w:sz w:val="28"/>
          <w:szCs w:val="28"/>
        </w:rPr>
        <w:t>iestāde tabakas izstrādājumu jomā Preču un pakalpojumu drošuma likuma 10.panta  pirmās daļas izpratnē ar nepieciešamajām pilnvarām un funkcijām cigarešu samazinātas degšanas potenciāla prasību uzraudzībai un kontrolei Latvijas tirgū</w:t>
      </w:r>
      <w:r w:rsidR="000606E9">
        <w:rPr>
          <w:rFonts w:ascii="Times New Roman" w:hAnsi="Times New Roman"/>
          <w:sz w:val="28"/>
          <w:szCs w:val="28"/>
        </w:rPr>
        <w:t xml:space="preserve">. </w:t>
      </w:r>
      <w:r w:rsidRPr="000606E9">
        <w:rPr>
          <w:rFonts w:ascii="Times New Roman" w:hAnsi="Times New Roman"/>
          <w:sz w:val="28"/>
          <w:szCs w:val="28"/>
        </w:rPr>
        <w:t xml:space="preserve">Valsts ieņēmumu dienesta darbību reglamentējošie tiesību akti </w:t>
      </w:r>
      <w:r w:rsidR="000606E9">
        <w:rPr>
          <w:rFonts w:ascii="Times New Roman" w:hAnsi="Times New Roman"/>
          <w:sz w:val="28"/>
          <w:szCs w:val="28"/>
        </w:rPr>
        <w:t xml:space="preserve">jau </w:t>
      </w:r>
      <w:r w:rsidRPr="000606E9">
        <w:rPr>
          <w:rFonts w:ascii="Times New Roman" w:hAnsi="Times New Roman"/>
          <w:sz w:val="28"/>
          <w:szCs w:val="28"/>
        </w:rPr>
        <w:t xml:space="preserve">paredz tiesības veikt cigarešu samazinātas degšanas prasību </w:t>
      </w:r>
      <w:r w:rsidR="00695049">
        <w:rPr>
          <w:rFonts w:ascii="Times New Roman" w:hAnsi="Times New Roman"/>
          <w:sz w:val="28"/>
          <w:szCs w:val="28"/>
        </w:rPr>
        <w:t>kontroli</w:t>
      </w:r>
      <w:r w:rsidRPr="000606E9">
        <w:rPr>
          <w:rFonts w:ascii="Times New Roman" w:hAnsi="Times New Roman"/>
          <w:sz w:val="28"/>
          <w:szCs w:val="28"/>
        </w:rPr>
        <w:t>, tai skaitā nodot cigaretes ekspertīzei un saņemt atzinumu par to atbilstību normatīvo aktu prasībām;</w:t>
      </w:r>
    </w:p>
    <w:p w:rsidR="001567B4" w:rsidRPr="00FF0280" w:rsidRDefault="001567B4" w:rsidP="00FF0280">
      <w:pPr>
        <w:pStyle w:val="ListParagraph"/>
        <w:numPr>
          <w:ilvl w:val="0"/>
          <w:numId w:val="16"/>
        </w:numPr>
        <w:shd w:val="clear" w:color="auto" w:fill="FFFFFF"/>
        <w:tabs>
          <w:tab w:val="left" w:pos="1134"/>
        </w:tabs>
        <w:spacing w:before="240"/>
        <w:ind w:left="0" w:firstLine="709"/>
        <w:jc w:val="both"/>
        <w:rPr>
          <w:rFonts w:ascii="Times New Roman" w:hAnsi="Times New Roman"/>
          <w:sz w:val="28"/>
          <w:szCs w:val="28"/>
        </w:rPr>
      </w:pPr>
      <w:r w:rsidRPr="00FF0280">
        <w:rPr>
          <w:rFonts w:ascii="Times New Roman" w:hAnsi="Times New Roman"/>
          <w:sz w:val="28"/>
          <w:szCs w:val="28"/>
        </w:rPr>
        <w:t>Preču un pakalpojumu drošuma likuma 12.pants šobrīd paredz tirgus uzraudzības iestādes tiesības kontrolēt un uzraudzīt tirgū piedāvājamo preču un pakalpojumu atbilstību drošuma prasībām, pieprasīt un bez maksas saņemt informāciju, kas nepieciešama preču un pakalpojumu drošuma novērtēšanai vai attiecīgās iestādes funkciju izpildei, kā arī pieprasīt un bez maksas saņemt preču paraugus un organizēt preces vai pakalpojuma laboratorisku vai cita veida ekspertīzi, lai noteiktu preces vai pakalpojuma atbilstību drošuma prasībām;</w:t>
      </w:r>
    </w:p>
    <w:p w:rsidR="00FF0280" w:rsidRDefault="001567B4" w:rsidP="00FF0280">
      <w:pPr>
        <w:shd w:val="clear" w:color="auto" w:fill="FFFFFF"/>
        <w:tabs>
          <w:tab w:val="left" w:pos="1134"/>
        </w:tabs>
        <w:spacing w:before="240"/>
        <w:ind w:firstLine="709"/>
        <w:jc w:val="both"/>
        <w:rPr>
          <w:sz w:val="28"/>
          <w:szCs w:val="28"/>
        </w:rPr>
      </w:pPr>
      <w:r w:rsidRPr="00FF0280">
        <w:rPr>
          <w:b/>
          <w:sz w:val="28"/>
          <w:szCs w:val="28"/>
          <w:u w:val="single"/>
        </w:rPr>
        <w:t xml:space="preserve">papildus grozījumi normatīvajos aktos cigarešu samazinātas degšanas prasību </w:t>
      </w:r>
      <w:r w:rsidR="000606E9">
        <w:rPr>
          <w:b/>
          <w:sz w:val="28"/>
          <w:szCs w:val="28"/>
          <w:u w:val="single"/>
        </w:rPr>
        <w:t xml:space="preserve">ieviešanai un </w:t>
      </w:r>
      <w:r w:rsidRPr="00FF0280">
        <w:rPr>
          <w:b/>
          <w:sz w:val="28"/>
          <w:szCs w:val="28"/>
          <w:u w:val="single"/>
        </w:rPr>
        <w:t>uzraudzībai nav nepieciešami.</w:t>
      </w:r>
      <w:r w:rsidRPr="00FF0280">
        <w:rPr>
          <w:sz w:val="28"/>
          <w:szCs w:val="28"/>
        </w:rPr>
        <w:t xml:space="preserve"> </w:t>
      </w:r>
      <w:r w:rsidR="00EB49B0">
        <w:rPr>
          <w:sz w:val="28"/>
          <w:szCs w:val="28"/>
        </w:rPr>
        <w:t>Līdz ar to Ekonomikas  ministrija neturpinās minēto tiesību aktu projektu (VSS-1098 un VSS-1099) tālāku virzību.</w:t>
      </w:r>
    </w:p>
    <w:p w:rsidR="002921DC" w:rsidRDefault="002921DC" w:rsidP="002921DC">
      <w:pPr>
        <w:shd w:val="clear" w:color="auto" w:fill="FFFFFF"/>
        <w:ind w:left="29" w:firstLine="680"/>
        <w:jc w:val="both"/>
        <w:rPr>
          <w:color w:val="000000"/>
          <w:sz w:val="28"/>
          <w:szCs w:val="28"/>
        </w:rPr>
      </w:pPr>
      <w:r>
        <w:rPr>
          <w:sz w:val="28"/>
          <w:szCs w:val="28"/>
        </w:rPr>
        <w:t xml:space="preserve">Kā norādīts informatīvā ziņojuma </w:t>
      </w:r>
      <w:r w:rsidR="00EB49B0">
        <w:rPr>
          <w:sz w:val="28"/>
          <w:szCs w:val="28"/>
        </w:rPr>
        <w:t>3</w:t>
      </w:r>
      <w:r>
        <w:rPr>
          <w:sz w:val="28"/>
          <w:szCs w:val="28"/>
        </w:rPr>
        <w:t xml:space="preserve">.sadaļā, lai nodrošinātu cigarešu samazinātas degšanas prasību nepārtrauktu uzraudzību, </w:t>
      </w:r>
      <w:r w:rsidRPr="002921DC">
        <w:rPr>
          <w:b/>
          <w:sz w:val="28"/>
          <w:szCs w:val="28"/>
        </w:rPr>
        <w:t>Valsts ieņēmumu dienestam nepieciešams paredzēt papildus līdzekļus no valsts budžeta vismaz 50 cigarešu paraugu testēšanai gadā</w:t>
      </w:r>
      <w:r>
        <w:rPr>
          <w:b/>
          <w:sz w:val="28"/>
          <w:szCs w:val="28"/>
        </w:rPr>
        <w:t xml:space="preserve"> sākot no 2012.gada</w:t>
      </w:r>
      <w:r>
        <w:rPr>
          <w:sz w:val="28"/>
          <w:szCs w:val="28"/>
        </w:rPr>
        <w:t xml:space="preserve">. Ņemot vērā </w:t>
      </w:r>
      <w:r w:rsidRPr="003A6BA2">
        <w:rPr>
          <w:color w:val="000000"/>
          <w:sz w:val="28"/>
          <w:szCs w:val="28"/>
        </w:rPr>
        <w:lastRenderedPageBreak/>
        <w:t>SIA „Latvijas sertifikācijas centrs”</w:t>
      </w:r>
      <w:r>
        <w:rPr>
          <w:color w:val="000000"/>
          <w:sz w:val="28"/>
          <w:szCs w:val="28"/>
        </w:rPr>
        <w:t xml:space="preserve"> sniegto informāciju par testēšanas izmaksām, izmaksas 50 cigarešu paraugu testēšanai sastādīs vismaz 9901 LVL gadā. </w:t>
      </w:r>
    </w:p>
    <w:p w:rsidR="002921DC" w:rsidRDefault="002921DC" w:rsidP="002921DC">
      <w:pPr>
        <w:shd w:val="clear" w:color="auto" w:fill="FFFFFF"/>
        <w:ind w:left="29" w:firstLine="680"/>
        <w:jc w:val="both"/>
        <w:rPr>
          <w:sz w:val="28"/>
          <w:szCs w:val="28"/>
        </w:rPr>
      </w:pPr>
      <w:r w:rsidRPr="00EB49B0">
        <w:rPr>
          <w:sz w:val="28"/>
          <w:szCs w:val="28"/>
        </w:rPr>
        <w:t xml:space="preserve">Papildus cigarešu testēšanas izdevumiem, ņemot vērā Valsts ieņēmumu dienesta kā cigarešu samazinātas degšanas prasību izpildi uzraugošās iestādes vēlmi uzraudzības darbā izmantot standartus latviešu valodā, nepieciešams paredzēt </w:t>
      </w:r>
      <w:r w:rsidRPr="00EB49B0">
        <w:rPr>
          <w:b/>
          <w:sz w:val="28"/>
          <w:szCs w:val="28"/>
        </w:rPr>
        <w:t>tulkošanas izdevumus vismaz 160 LVL apmērā standartu</w:t>
      </w:r>
      <w:r w:rsidRPr="002921DC">
        <w:rPr>
          <w:b/>
          <w:color w:val="1F497D"/>
          <w:sz w:val="28"/>
          <w:szCs w:val="28"/>
        </w:rPr>
        <w:t xml:space="preserve"> </w:t>
      </w:r>
      <w:r w:rsidRPr="002921DC">
        <w:rPr>
          <w:b/>
          <w:sz w:val="28"/>
          <w:szCs w:val="28"/>
        </w:rPr>
        <w:t>LVS EN 16156:2011 un LVS EN ISO 12863:2011 tulkošanai 2012.gadā</w:t>
      </w:r>
      <w:r w:rsidRPr="002921DC">
        <w:rPr>
          <w:sz w:val="28"/>
          <w:szCs w:val="28"/>
        </w:rPr>
        <w:t>. Atbilstoši SIA "Standartizācijas, akreditācijas un metroloģijas centrs" sniegtajai informācijai, standartu tulkošana izmaksā 10 LVL par vienu lapaspusi (16 lpp. x 10 LVL = 160 LVL).</w:t>
      </w:r>
    </w:p>
    <w:p w:rsidR="00E86297" w:rsidRPr="002921DC" w:rsidRDefault="00E86297" w:rsidP="002921DC">
      <w:pPr>
        <w:shd w:val="clear" w:color="auto" w:fill="FFFFFF"/>
        <w:ind w:left="29" w:firstLine="680"/>
        <w:jc w:val="both"/>
        <w:rPr>
          <w:sz w:val="28"/>
          <w:szCs w:val="28"/>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262"/>
        <w:gridCol w:w="1416"/>
        <w:gridCol w:w="1452"/>
        <w:gridCol w:w="1103"/>
        <w:gridCol w:w="1134"/>
        <w:gridCol w:w="1277"/>
      </w:tblGrid>
      <w:tr w:rsidR="00E86297" w:rsidRPr="00A975F4" w:rsidTr="00AA0FB2">
        <w:tc>
          <w:tcPr>
            <w:tcW w:w="5000" w:type="pct"/>
            <w:gridSpan w:val="6"/>
            <w:tcBorders>
              <w:top w:val="outset" w:sz="6" w:space="0" w:color="000000"/>
              <w:left w:val="outset" w:sz="6" w:space="0" w:color="000000"/>
              <w:bottom w:val="outset" w:sz="6" w:space="0" w:color="000000"/>
              <w:right w:val="outset" w:sz="6" w:space="0" w:color="000000"/>
            </w:tcBorders>
          </w:tcPr>
          <w:p w:rsidR="00E86297" w:rsidRPr="00A975F4" w:rsidRDefault="00E86297" w:rsidP="00AA0FB2">
            <w:pPr>
              <w:pStyle w:val="NormalWeb"/>
              <w:jc w:val="center"/>
              <w:rPr>
                <w:b/>
                <w:bCs/>
              </w:rPr>
            </w:pPr>
            <w:r w:rsidRPr="00A975F4">
              <w:rPr>
                <w:b/>
                <w:bCs/>
              </w:rPr>
              <w:t>III. Tiesību akta projekta ietekme uz valsts budžetu un pašvaldību budžetiem</w:t>
            </w: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vMerge w:val="restar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b/>
                <w:bCs/>
                <w:sz w:val="24"/>
                <w:szCs w:val="24"/>
              </w:rPr>
              <w:t>Rādītāji</w:t>
            </w:r>
          </w:p>
        </w:tc>
        <w:tc>
          <w:tcPr>
            <w:tcW w:w="1487"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b/>
                <w:bCs/>
                <w:sz w:val="24"/>
                <w:szCs w:val="24"/>
              </w:rPr>
              <w:t>2011.gads</w:t>
            </w:r>
          </w:p>
        </w:tc>
        <w:tc>
          <w:tcPr>
            <w:tcW w:w="1822" w:type="pct"/>
            <w:gridSpan w:val="3"/>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sz w:val="24"/>
                <w:szCs w:val="24"/>
              </w:rPr>
              <w:t>Turpmākie trīs gadi (tūkst. latu)</w:t>
            </w: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vMerge/>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rPr>
                <w:sz w:val="24"/>
                <w:szCs w:val="24"/>
              </w:rPr>
            </w:pPr>
          </w:p>
        </w:tc>
        <w:tc>
          <w:tcPr>
            <w:tcW w:w="1487" w:type="pct"/>
            <w:gridSpan w:val="2"/>
            <w:vMerge/>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rPr>
                <w:sz w:val="24"/>
                <w:szCs w:val="24"/>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b/>
                <w:bCs/>
                <w:sz w:val="24"/>
                <w:szCs w:val="24"/>
              </w:rPr>
              <w:t>2012</w:t>
            </w:r>
          </w:p>
        </w:tc>
        <w:tc>
          <w:tcPr>
            <w:tcW w:w="588" w:type="pc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b/>
                <w:bCs/>
                <w:sz w:val="24"/>
                <w:szCs w:val="24"/>
              </w:rPr>
              <w:t>2013</w:t>
            </w:r>
          </w:p>
        </w:tc>
        <w:tc>
          <w:tcPr>
            <w:tcW w:w="662" w:type="pc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sz w:val="24"/>
                <w:szCs w:val="24"/>
              </w:rPr>
              <w:t>2014</w:t>
            </w: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vMerge/>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rPr>
                <w:sz w:val="24"/>
                <w:szCs w:val="24"/>
              </w:rPr>
            </w:pPr>
          </w:p>
        </w:tc>
        <w:tc>
          <w:tcPr>
            <w:tcW w:w="734" w:type="pc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sz w:val="24"/>
                <w:szCs w:val="24"/>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sz w:val="24"/>
                <w:szCs w:val="24"/>
              </w:rPr>
              <w:t>Izmaiņas kārtējā gadā, salīdzinot ar 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sz w:val="24"/>
                <w:szCs w:val="24"/>
              </w:rPr>
              <w:t>Izmaiņas, salīdzinot ar kārtējo (n) gadu</w:t>
            </w:r>
          </w:p>
        </w:tc>
        <w:tc>
          <w:tcPr>
            <w:tcW w:w="588" w:type="pc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sz w:val="24"/>
                <w:szCs w:val="24"/>
              </w:rPr>
              <w:t>Izmaiņas, salīdzinot ar kārtējo (n) gadu</w:t>
            </w:r>
          </w:p>
        </w:tc>
        <w:tc>
          <w:tcPr>
            <w:tcW w:w="662" w:type="pc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sz w:val="24"/>
                <w:szCs w:val="24"/>
              </w:rPr>
              <w:t>Izmaiņas, salīdzinot ar kārtējo (n) gadu</w:t>
            </w: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sz w:val="24"/>
                <w:szCs w:val="24"/>
              </w:rPr>
              <w:t>1</w:t>
            </w:r>
          </w:p>
        </w:tc>
        <w:tc>
          <w:tcPr>
            <w:tcW w:w="734" w:type="pc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sz w:val="24"/>
                <w:szCs w:val="24"/>
              </w:rPr>
              <w:t>3</w:t>
            </w:r>
          </w:p>
        </w:tc>
        <w:tc>
          <w:tcPr>
            <w:tcW w:w="572" w:type="pc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sz w:val="24"/>
                <w:szCs w:val="24"/>
              </w:rPr>
              <w:t>4</w:t>
            </w:r>
          </w:p>
        </w:tc>
        <w:tc>
          <w:tcPr>
            <w:tcW w:w="588" w:type="pc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sz w:val="24"/>
                <w:szCs w:val="24"/>
              </w:rPr>
              <w:t>5</w:t>
            </w:r>
          </w:p>
        </w:tc>
        <w:tc>
          <w:tcPr>
            <w:tcW w:w="662" w:type="pc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before="100" w:beforeAutospacing="1" w:after="100" w:afterAutospacing="1"/>
              <w:jc w:val="center"/>
              <w:rPr>
                <w:sz w:val="24"/>
                <w:szCs w:val="24"/>
              </w:rPr>
            </w:pPr>
            <w:r w:rsidRPr="00A975F4">
              <w:rPr>
                <w:sz w:val="24"/>
                <w:szCs w:val="24"/>
              </w:rPr>
              <w:t>6</w:t>
            </w: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1. Budžeta ieņēmumi:</w:t>
            </w:r>
          </w:p>
        </w:tc>
        <w:tc>
          <w:tcPr>
            <w:tcW w:w="734"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r w:rsidRPr="00A975F4">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r w:rsidRPr="00A975F4">
              <w:rPr>
                <w:sz w:val="24"/>
                <w:szCs w:val="24"/>
              </w:rPr>
              <w:t>0</w:t>
            </w: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r w:rsidRPr="00A975F4">
              <w:rPr>
                <w:sz w:val="24"/>
                <w:szCs w:val="24"/>
              </w:rPr>
              <w:t>0</w:t>
            </w: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r w:rsidRPr="00A975F4">
              <w:rPr>
                <w:sz w:val="24"/>
                <w:szCs w:val="24"/>
              </w:rPr>
              <w:t>0</w:t>
            </w: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r w:rsidRPr="00A975F4">
              <w:rPr>
                <w:sz w:val="24"/>
                <w:szCs w:val="24"/>
              </w:rPr>
              <w:t>0</w:t>
            </w: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1.1. valsts pamatbudžets, tai skaitā ieņēmumi no maksas pakalpojumiem un citi pašu ieņēmumi</w:t>
            </w:r>
          </w:p>
        </w:tc>
        <w:tc>
          <w:tcPr>
            <w:tcW w:w="734"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1.2. valsts speciālais budžets</w:t>
            </w:r>
          </w:p>
        </w:tc>
        <w:tc>
          <w:tcPr>
            <w:tcW w:w="734"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1.3. pašvaldību budžets</w:t>
            </w:r>
          </w:p>
        </w:tc>
        <w:tc>
          <w:tcPr>
            <w:tcW w:w="734"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2. Budžeta izdevumi:</w:t>
            </w:r>
          </w:p>
        </w:tc>
        <w:tc>
          <w:tcPr>
            <w:tcW w:w="734"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r w:rsidRPr="00A975F4">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r w:rsidRPr="00A975F4">
              <w:rPr>
                <w:sz w:val="24"/>
                <w:szCs w:val="24"/>
              </w:rPr>
              <w:t>0</w:t>
            </w: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E86297">
            <w:pPr>
              <w:spacing w:line="360" w:lineRule="auto"/>
              <w:rPr>
                <w:sz w:val="24"/>
                <w:szCs w:val="24"/>
              </w:rPr>
            </w:pPr>
            <w:r w:rsidRPr="00A975F4">
              <w:rPr>
                <w:sz w:val="24"/>
                <w:szCs w:val="24"/>
              </w:rPr>
              <w:t>10,1</w:t>
            </w: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E86297">
            <w:pPr>
              <w:spacing w:line="360" w:lineRule="auto"/>
              <w:rPr>
                <w:sz w:val="24"/>
                <w:szCs w:val="24"/>
              </w:rPr>
            </w:pPr>
            <w:r w:rsidRPr="00A975F4">
              <w:rPr>
                <w:sz w:val="24"/>
                <w:szCs w:val="24"/>
              </w:rPr>
              <w:t>9,9</w:t>
            </w: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E86297">
            <w:pPr>
              <w:spacing w:line="360" w:lineRule="auto"/>
              <w:rPr>
                <w:sz w:val="24"/>
                <w:szCs w:val="24"/>
              </w:rPr>
            </w:pPr>
            <w:r w:rsidRPr="00A975F4">
              <w:rPr>
                <w:sz w:val="24"/>
                <w:szCs w:val="24"/>
              </w:rPr>
              <w:t>9,9</w:t>
            </w: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2.1. valsts pamatbudžets</w:t>
            </w:r>
          </w:p>
        </w:tc>
        <w:tc>
          <w:tcPr>
            <w:tcW w:w="734"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2.2. valsts speciālais budžets</w:t>
            </w:r>
          </w:p>
        </w:tc>
        <w:tc>
          <w:tcPr>
            <w:tcW w:w="734"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2.3. pašvaldību budžets</w:t>
            </w:r>
          </w:p>
        </w:tc>
        <w:tc>
          <w:tcPr>
            <w:tcW w:w="734"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3. Finansiālā ietekme:</w:t>
            </w:r>
          </w:p>
        </w:tc>
        <w:tc>
          <w:tcPr>
            <w:tcW w:w="734" w:type="pc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spacing w:line="360" w:lineRule="auto"/>
              <w:rPr>
                <w:sz w:val="24"/>
                <w:szCs w:val="24"/>
              </w:rPr>
            </w:pPr>
            <w:r w:rsidRPr="00A975F4">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r w:rsidRPr="00A975F4">
              <w:rPr>
                <w:sz w:val="24"/>
                <w:szCs w:val="24"/>
              </w:rPr>
              <w:t>0</w:t>
            </w: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E86297">
            <w:pPr>
              <w:spacing w:line="360" w:lineRule="auto"/>
              <w:rPr>
                <w:sz w:val="24"/>
                <w:szCs w:val="24"/>
              </w:rPr>
            </w:pPr>
            <w:r w:rsidRPr="00A975F4">
              <w:rPr>
                <w:sz w:val="24"/>
                <w:szCs w:val="24"/>
              </w:rPr>
              <w:t>-10,1</w:t>
            </w: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E86297">
            <w:pPr>
              <w:spacing w:line="360" w:lineRule="auto"/>
              <w:rPr>
                <w:sz w:val="24"/>
                <w:szCs w:val="24"/>
              </w:rPr>
            </w:pPr>
            <w:r w:rsidRPr="00A975F4">
              <w:rPr>
                <w:sz w:val="24"/>
                <w:szCs w:val="24"/>
              </w:rPr>
              <w:t>-9,9</w:t>
            </w: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E86297">
            <w:pPr>
              <w:spacing w:line="360" w:lineRule="auto"/>
              <w:rPr>
                <w:sz w:val="24"/>
                <w:szCs w:val="24"/>
              </w:rPr>
            </w:pPr>
            <w:r w:rsidRPr="00A975F4">
              <w:rPr>
                <w:sz w:val="24"/>
                <w:szCs w:val="24"/>
              </w:rPr>
              <w:t>-9,9</w:t>
            </w: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3.1. valsts pamatbudžets</w:t>
            </w:r>
          </w:p>
        </w:tc>
        <w:tc>
          <w:tcPr>
            <w:tcW w:w="734"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r w:rsidRPr="00A975F4">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r w:rsidRPr="00A975F4">
              <w:rPr>
                <w:sz w:val="24"/>
                <w:szCs w:val="24"/>
              </w:rPr>
              <w:t>0</w:t>
            </w: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E86297">
            <w:pPr>
              <w:spacing w:line="360" w:lineRule="auto"/>
              <w:rPr>
                <w:sz w:val="24"/>
                <w:szCs w:val="24"/>
              </w:rPr>
            </w:pPr>
            <w:r w:rsidRPr="00A975F4">
              <w:rPr>
                <w:sz w:val="24"/>
                <w:szCs w:val="24"/>
              </w:rPr>
              <w:t>-10,1</w:t>
            </w: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r w:rsidRPr="00A975F4">
              <w:rPr>
                <w:sz w:val="24"/>
                <w:szCs w:val="24"/>
              </w:rPr>
              <w:t>-9,9</w:t>
            </w: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r w:rsidRPr="00A975F4">
              <w:rPr>
                <w:sz w:val="24"/>
                <w:szCs w:val="24"/>
              </w:rPr>
              <w:t>-9,9</w:t>
            </w: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3.2. speciālais budžets</w:t>
            </w:r>
          </w:p>
        </w:tc>
        <w:tc>
          <w:tcPr>
            <w:tcW w:w="734"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3.3. pašvaldību budžets</w:t>
            </w:r>
          </w:p>
        </w:tc>
        <w:tc>
          <w:tcPr>
            <w:tcW w:w="734"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rPr>
          <w:trHeight w:val="1495"/>
        </w:trPr>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lastRenderedPageBreak/>
              <w:t>4. Finanšu līdzekļi papildu izde</w:t>
            </w:r>
            <w:r w:rsidRPr="00A975F4">
              <w:rPr>
                <w:sz w:val="24"/>
                <w:szCs w:val="24"/>
              </w:rPr>
              <w:softHyphen/>
              <w:t>vumu finansēšanai (kompensējošu izdevumu samazinājumu norāda ar "+" zīmi)</w:t>
            </w:r>
          </w:p>
        </w:tc>
        <w:tc>
          <w:tcPr>
            <w:tcW w:w="734"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jc w:val="center"/>
              <w:rPr>
                <w:sz w:val="24"/>
                <w:szCs w:val="24"/>
              </w:rPr>
            </w:pPr>
            <w:r w:rsidRPr="00A975F4">
              <w:rPr>
                <w:sz w:val="24"/>
                <w:szCs w:val="24"/>
              </w:rPr>
              <w:t>X</w:t>
            </w:r>
          </w:p>
        </w:tc>
        <w:tc>
          <w:tcPr>
            <w:tcW w:w="0" w:type="auto"/>
            <w:tcBorders>
              <w:top w:val="outset" w:sz="6" w:space="0" w:color="auto"/>
              <w:left w:val="outset" w:sz="6" w:space="0" w:color="auto"/>
              <w:right w:val="outset" w:sz="6" w:space="0" w:color="auto"/>
            </w:tcBorders>
            <w:hideMark/>
          </w:tcPr>
          <w:p w:rsidR="00E86297" w:rsidRPr="00A975F4" w:rsidRDefault="00E86297" w:rsidP="00AA0FB2">
            <w:pPr>
              <w:spacing w:line="360" w:lineRule="auto"/>
              <w:rPr>
                <w:sz w:val="24"/>
                <w:szCs w:val="24"/>
              </w:rPr>
            </w:pPr>
          </w:p>
        </w:tc>
        <w:tc>
          <w:tcPr>
            <w:tcW w:w="572" w:type="pct"/>
            <w:tcBorders>
              <w:top w:val="outset" w:sz="6" w:space="0" w:color="auto"/>
              <w:left w:val="outset" w:sz="6" w:space="0" w:color="auto"/>
              <w:right w:val="outset" w:sz="6" w:space="0" w:color="auto"/>
            </w:tcBorders>
            <w:hideMark/>
          </w:tcPr>
          <w:p w:rsidR="00E86297" w:rsidRPr="00A975F4" w:rsidRDefault="00E86297" w:rsidP="00AA0FB2">
            <w:pPr>
              <w:spacing w:line="360" w:lineRule="auto"/>
              <w:rPr>
                <w:sz w:val="24"/>
                <w:szCs w:val="24"/>
              </w:rPr>
            </w:pPr>
          </w:p>
        </w:tc>
        <w:tc>
          <w:tcPr>
            <w:tcW w:w="588" w:type="pct"/>
            <w:tcBorders>
              <w:top w:val="outset" w:sz="6" w:space="0" w:color="auto"/>
              <w:left w:val="outset" w:sz="6" w:space="0" w:color="auto"/>
              <w:right w:val="outset" w:sz="6" w:space="0" w:color="auto"/>
            </w:tcBorders>
            <w:hideMark/>
          </w:tcPr>
          <w:p w:rsidR="00E86297" w:rsidRPr="00A975F4" w:rsidRDefault="00E86297" w:rsidP="00AA0FB2">
            <w:pPr>
              <w:spacing w:line="360" w:lineRule="auto"/>
              <w:rPr>
                <w:sz w:val="24"/>
                <w:szCs w:val="24"/>
              </w:rPr>
            </w:pPr>
          </w:p>
        </w:tc>
        <w:tc>
          <w:tcPr>
            <w:tcW w:w="662" w:type="pct"/>
            <w:tcBorders>
              <w:top w:val="outset" w:sz="6" w:space="0" w:color="auto"/>
              <w:left w:val="outset" w:sz="6" w:space="0" w:color="auto"/>
              <w:right w:val="outset" w:sz="6" w:space="0" w:color="auto"/>
            </w:tcBorders>
            <w:hideMark/>
          </w:tcPr>
          <w:p w:rsidR="00E86297" w:rsidRPr="00A975F4" w:rsidRDefault="00E86297" w:rsidP="00AA0FB2">
            <w:pPr>
              <w:spacing w:line="360" w:lineRule="auto"/>
              <w:rPr>
                <w:sz w:val="24"/>
                <w:szCs w:val="24"/>
              </w:rPr>
            </w:pP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5. Precizēta finansiālā ietekme:</w:t>
            </w:r>
          </w:p>
        </w:tc>
        <w:tc>
          <w:tcPr>
            <w:tcW w:w="734" w:type="pct"/>
            <w:vMerge w:val="restar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jc w:val="center"/>
              <w:rPr>
                <w:sz w:val="24"/>
                <w:szCs w:val="24"/>
              </w:rPr>
            </w:pPr>
            <w:r w:rsidRPr="00A975F4">
              <w:rPr>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5.1. valsts pamatbudžets</w:t>
            </w:r>
          </w:p>
        </w:tc>
        <w:tc>
          <w:tcPr>
            <w:tcW w:w="734" w:type="pct"/>
            <w:vMerge/>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5.2. speciālais budžets</w:t>
            </w:r>
          </w:p>
        </w:tc>
        <w:tc>
          <w:tcPr>
            <w:tcW w:w="734" w:type="pct"/>
            <w:vMerge/>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5.3. pašvaldību budžets</w:t>
            </w:r>
          </w:p>
        </w:tc>
        <w:tc>
          <w:tcPr>
            <w:tcW w:w="734" w:type="pct"/>
            <w:vMerge/>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7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588"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c>
          <w:tcPr>
            <w:tcW w:w="662"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line="360" w:lineRule="auto"/>
              <w:rPr>
                <w:sz w:val="24"/>
                <w:szCs w:val="24"/>
              </w:rPr>
            </w:pP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6. Detalizēts ieņēmumu un izdevu</w:t>
            </w:r>
            <w:r w:rsidRPr="00A975F4">
              <w:rPr>
                <w:sz w:val="24"/>
                <w:szCs w:val="24"/>
              </w:rPr>
              <w:softHyphen/>
              <w:t>mu aprēķins (ja nepieciešams, detalizētu ieņēmumu un izdevumu aprēķinu var pievienot anotācijas pielikumā):</w:t>
            </w:r>
          </w:p>
        </w:tc>
        <w:tc>
          <w:tcPr>
            <w:tcW w:w="3309"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ind w:firstLine="720"/>
              <w:jc w:val="both"/>
              <w:rPr>
                <w:sz w:val="24"/>
                <w:szCs w:val="24"/>
              </w:rPr>
            </w:pPr>
            <w:r w:rsidRPr="00A975F4">
              <w:rPr>
                <w:sz w:val="24"/>
                <w:szCs w:val="24"/>
              </w:rPr>
              <w:t>Ņemot vērā ierobežotās iespējas paredzēt un saņemt nepieciešamo finansējumu šī kalendārā finansu gada ietvaros, cigarešu testēšanas izdevumi tiek plānoti katru gadu sākot ar 2012.gadu.</w:t>
            </w:r>
          </w:p>
          <w:p w:rsidR="00E86297" w:rsidRPr="00A975F4" w:rsidRDefault="00E86297" w:rsidP="00AA0FB2">
            <w:pPr>
              <w:ind w:firstLine="720"/>
              <w:jc w:val="both"/>
              <w:rPr>
                <w:sz w:val="24"/>
                <w:szCs w:val="24"/>
              </w:rPr>
            </w:pPr>
            <w:r w:rsidRPr="00A975F4">
              <w:rPr>
                <w:sz w:val="24"/>
                <w:szCs w:val="24"/>
              </w:rPr>
              <w:t>Valsts budžeta izdevumu aprēķins veikts, pamatojoties uz:</w:t>
            </w:r>
          </w:p>
          <w:p w:rsidR="00E86297" w:rsidRPr="00A975F4" w:rsidRDefault="00E86297" w:rsidP="00E86297">
            <w:pPr>
              <w:widowControl/>
              <w:numPr>
                <w:ilvl w:val="0"/>
                <w:numId w:val="17"/>
              </w:numPr>
              <w:autoSpaceDE/>
              <w:autoSpaceDN/>
              <w:adjustRightInd/>
              <w:ind w:left="395" w:hanging="283"/>
              <w:jc w:val="both"/>
              <w:rPr>
                <w:sz w:val="24"/>
                <w:szCs w:val="24"/>
              </w:rPr>
            </w:pPr>
            <w:r w:rsidRPr="00A975F4">
              <w:rPr>
                <w:sz w:val="24"/>
                <w:szCs w:val="24"/>
              </w:rPr>
              <w:t>SIA „Latvijas sertifikācijas centrs” sniegto informāciju par plānotajām testēšanas izmaksām. Pēc SIA „Latvijas sertifikācijas centrs” provizoriskajiem aprēķiniem viena parauga (40 cigaretes) testēšana varētu izmaksāt aptuveni 198,02 latu (ar PVN);</w:t>
            </w:r>
          </w:p>
          <w:p w:rsidR="00E86297" w:rsidRPr="00A975F4" w:rsidRDefault="00E86297" w:rsidP="00E86297">
            <w:pPr>
              <w:widowControl/>
              <w:numPr>
                <w:ilvl w:val="0"/>
                <w:numId w:val="17"/>
              </w:numPr>
              <w:autoSpaceDE/>
              <w:autoSpaceDN/>
              <w:adjustRightInd/>
              <w:ind w:left="395" w:hanging="283"/>
              <w:jc w:val="both"/>
              <w:rPr>
                <w:sz w:val="24"/>
                <w:szCs w:val="24"/>
              </w:rPr>
            </w:pPr>
            <w:r w:rsidRPr="00A975F4">
              <w:rPr>
                <w:sz w:val="24"/>
                <w:szCs w:val="24"/>
              </w:rPr>
              <w:t>Valsts ieņēmuma dienesta sniegto informāciju par plānoto 50 paraugu testēšanu 2012.gadā un turpmākajos gados.</w:t>
            </w:r>
          </w:p>
          <w:p w:rsidR="00E86297" w:rsidRPr="00A975F4" w:rsidRDefault="00E86297" w:rsidP="00AA0FB2">
            <w:pPr>
              <w:ind w:firstLine="679"/>
              <w:jc w:val="both"/>
              <w:rPr>
                <w:sz w:val="24"/>
                <w:szCs w:val="24"/>
              </w:rPr>
            </w:pPr>
            <w:r w:rsidRPr="00A975F4">
              <w:rPr>
                <w:sz w:val="24"/>
                <w:szCs w:val="24"/>
              </w:rPr>
              <w:t xml:space="preserve">Attiecīgi 50 cigarešu paraugu testēšanas izdevumi 2012.gadā un turpmākajos gados varētu sastādīt vismaz </w:t>
            </w:r>
            <w:r w:rsidRPr="00A975F4">
              <w:rPr>
                <w:b/>
                <w:sz w:val="24"/>
                <w:szCs w:val="24"/>
              </w:rPr>
              <w:t>9901 latus</w:t>
            </w:r>
            <w:r w:rsidRPr="00A975F4">
              <w:rPr>
                <w:sz w:val="24"/>
                <w:szCs w:val="24"/>
              </w:rPr>
              <w:t xml:space="preserve"> (50 paraugi x LVL 198,02  = LVL 9901).</w:t>
            </w:r>
          </w:p>
          <w:p w:rsidR="00E86297" w:rsidRPr="00A975F4" w:rsidRDefault="00E86297" w:rsidP="00E86297">
            <w:pPr>
              <w:ind w:firstLine="679"/>
              <w:jc w:val="both"/>
              <w:rPr>
                <w:sz w:val="24"/>
                <w:szCs w:val="24"/>
              </w:rPr>
            </w:pPr>
            <w:r w:rsidRPr="00A975F4">
              <w:rPr>
                <w:sz w:val="24"/>
                <w:szCs w:val="24"/>
              </w:rPr>
              <w:t>Papildus cigarešu testēšanas izdevumiem, ņemot vērā Valsts ieņēmumu dienesta kā cigarešu samazinātas degšanas prasību izpildi uzraugošās iestādes vēlmi uzraudzības darbā izmantot standartus latviešu valodā, nepieciešams paredzēt tulkošanas izdevumus vismaz 160 latu apmērā standartu LVS EN 16156:2011 un LVS EN ISO 12863:2011 tulkošanai 2012.gadā.</w:t>
            </w: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6.1. detalizēts ieņēmumu aprēķins</w:t>
            </w:r>
          </w:p>
        </w:tc>
        <w:tc>
          <w:tcPr>
            <w:tcW w:w="3309" w:type="pct"/>
            <w:gridSpan w:val="5"/>
            <w:vMerge/>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rPr>
                <w:sz w:val="24"/>
                <w:szCs w:val="24"/>
              </w:rPr>
            </w:pP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6.2. detalizēts izdevumu aprēķins</w:t>
            </w:r>
          </w:p>
        </w:tc>
        <w:tc>
          <w:tcPr>
            <w:tcW w:w="3309" w:type="pct"/>
            <w:gridSpan w:val="5"/>
            <w:vMerge/>
            <w:tcBorders>
              <w:top w:val="outset" w:sz="6" w:space="0" w:color="auto"/>
              <w:left w:val="outset" w:sz="6" w:space="0" w:color="auto"/>
              <w:bottom w:val="outset" w:sz="6" w:space="0" w:color="auto"/>
              <w:right w:val="outset" w:sz="6" w:space="0" w:color="auto"/>
            </w:tcBorders>
            <w:vAlign w:val="center"/>
            <w:hideMark/>
          </w:tcPr>
          <w:p w:rsidR="00E86297" w:rsidRPr="00A975F4" w:rsidRDefault="00E86297" w:rsidP="00AA0FB2">
            <w:pPr>
              <w:rPr>
                <w:sz w:val="24"/>
                <w:szCs w:val="24"/>
              </w:rPr>
            </w:pPr>
          </w:p>
        </w:tc>
      </w:tr>
      <w:tr w:rsidR="00E86297" w:rsidRPr="00A975F4" w:rsidTr="00AA0FB2">
        <w:tblPrEx>
          <w:tblBorders>
            <w:top w:val="outset" w:sz="6" w:space="0" w:color="auto"/>
            <w:left w:val="outset" w:sz="6" w:space="0" w:color="auto"/>
            <w:bottom w:val="outset" w:sz="6" w:space="0" w:color="auto"/>
            <w:right w:val="outset" w:sz="6" w:space="0" w:color="auto"/>
          </w:tblBorders>
          <w:tblLook w:val="04A0"/>
        </w:tblPrEx>
        <w:tc>
          <w:tcPr>
            <w:tcW w:w="1691" w:type="pct"/>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rPr>
                <w:sz w:val="24"/>
                <w:szCs w:val="24"/>
              </w:rPr>
            </w:pPr>
            <w:r w:rsidRPr="00A975F4">
              <w:rPr>
                <w:sz w:val="24"/>
                <w:szCs w:val="24"/>
              </w:rPr>
              <w:t>7. Cita informācija</w:t>
            </w:r>
          </w:p>
        </w:tc>
        <w:tc>
          <w:tcPr>
            <w:tcW w:w="3309" w:type="pct"/>
            <w:gridSpan w:val="5"/>
            <w:tcBorders>
              <w:top w:val="outset" w:sz="6" w:space="0" w:color="auto"/>
              <w:left w:val="outset" w:sz="6" w:space="0" w:color="auto"/>
              <w:bottom w:val="outset" w:sz="6" w:space="0" w:color="auto"/>
              <w:right w:val="outset" w:sz="6" w:space="0" w:color="auto"/>
            </w:tcBorders>
            <w:hideMark/>
          </w:tcPr>
          <w:p w:rsidR="00E86297" w:rsidRPr="00A975F4" w:rsidRDefault="00E86297" w:rsidP="00AA0FB2">
            <w:pPr>
              <w:spacing w:before="100" w:beforeAutospacing="1" w:after="100" w:afterAutospacing="1"/>
              <w:jc w:val="both"/>
              <w:rPr>
                <w:sz w:val="24"/>
                <w:szCs w:val="24"/>
              </w:rPr>
            </w:pPr>
            <w:r w:rsidRPr="00A975F4">
              <w:rPr>
                <w:color w:val="000000"/>
                <w:sz w:val="24"/>
                <w:szCs w:val="24"/>
              </w:rPr>
              <w:t>Jāņem vērā, ka turpmākajos gados dažādu ekonomisko faktoru ietekmē cigarešu testēšanas izmaksas var mainīties, tāpēc tās būtu precizējamas, veicot valsts budžeta pieprasījumu kārtējam gadam.</w:t>
            </w:r>
          </w:p>
        </w:tc>
      </w:tr>
    </w:tbl>
    <w:p w:rsidR="00C54AAA" w:rsidRPr="00381DFF" w:rsidRDefault="00C54AAA" w:rsidP="00B3013A">
      <w:pPr>
        <w:shd w:val="clear" w:color="auto" w:fill="FFFFFF"/>
        <w:ind w:left="29"/>
        <w:rPr>
          <w:sz w:val="28"/>
          <w:szCs w:val="28"/>
        </w:rPr>
      </w:pPr>
    </w:p>
    <w:p w:rsidR="004705C0" w:rsidRPr="00381DFF" w:rsidRDefault="004705C0" w:rsidP="00C0440E">
      <w:pPr>
        <w:spacing w:before="480"/>
        <w:rPr>
          <w:sz w:val="28"/>
          <w:szCs w:val="28"/>
        </w:rPr>
      </w:pPr>
      <w:r w:rsidRPr="00381DFF">
        <w:rPr>
          <w:sz w:val="28"/>
          <w:szCs w:val="28"/>
        </w:rPr>
        <w:t>Ekonomikas ministrs</w:t>
      </w:r>
      <w:r w:rsidRPr="00381DFF">
        <w:rPr>
          <w:sz w:val="28"/>
          <w:szCs w:val="28"/>
        </w:rPr>
        <w:tab/>
      </w:r>
      <w:r w:rsidRPr="00381DFF">
        <w:rPr>
          <w:sz w:val="28"/>
          <w:szCs w:val="28"/>
        </w:rPr>
        <w:tab/>
      </w:r>
      <w:r w:rsidRPr="00381DFF">
        <w:rPr>
          <w:sz w:val="28"/>
          <w:szCs w:val="28"/>
        </w:rPr>
        <w:tab/>
      </w:r>
      <w:r w:rsidRPr="00381DFF">
        <w:rPr>
          <w:sz w:val="28"/>
          <w:szCs w:val="28"/>
        </w:rPr>
        <w:tab/>
      </w:r>
      <w:r w:rsidRPr="00381DFF">
        <w:rPr>
          <w:sz w:val="28"/>
          <w:szCs w:val="28"/>
        </w:rPr>
        <w:tab/>
      </w:r>
      <w:r w:rsidRPr="00381DFF">
        <w:rPr>
          <w:sz w:val="28"/>
          <w:szCs w:val="28"/>
        </w:rPr>
        <w:tab/>
        <w:t xml:space="preserve">         </w:t>
      </w:r>
      <w:proofErr w:type="spellStart"/>
      <w:r w:rsidR="000B0976">
        <w:rPr>
          <w:sz w:val="28"/>
          <w:szCs w:val="28"/>
        </w:rPr>
        <w:t>D.Pavļuts</w:t>
      </w:r>
      <w:proofErr w:type="spellEnd"/>
    </w:p>
    <w:p w:rsidR="004705C0" w:rsidRDefault="004705C0" w:rsidP="004705C0">
      <w:pPr>
        <w:rPr>
          <w:sz w:val="28"/>
          <w:szCs w:val="28"/>
        </w:rPr>
      </w:pPr>
    </w:p>
    <w:p w:rsidR="00EE18C7" w:rsidRPr="00381DFF" w:rsidRDefault="00EE18C7" w:rsidP="004705C0">
      <w:pPr>
        <w:rPr>
          <w:sz w:val="28"/>
          <w:szCs w:val="28"/>
        </w:rPr>
      </w:pPr>
    </w:p>
    <w:p w:rsidR="004705C0" w:rsidRPr="00A83C16" w:rsidRDefault="004705C0" w:rsidP="004705C0">
      <w:pPr>
        <w:rPr>
          <w:bCs/>
          <w:sz w:val="28"/>
          <w:szCs w:val="28"/>
        </w:rPr>
      </w:pPr>
      <w:r w:rsidRPr="00A83C16">
        <w:rPr>
          <w:bCs/>
          <w:sz w:val="28"/>
          <w:szCs w:val="28"/>
        </w:rPr>
        <w:t>Vīza: Valsts sekretārs               </w:t>
      </w:r>
      <w:r>
        <w:rPr>
          <w:bCs/>
          <w:sz w:val="28"/>
          <w:szCs w:val="28"/>
        </w:rPr>
        <w:t>              </w:t>
      </w:r>
      <w:r>
        <w:rPr>
          <w:bCs/>
          <w:sz w:val="28"/>
          <w:szCs w:val="28"/>
        </w:rPr>
        <w:tab/>
      </w:r>
      <w:r>
        <w:rPr>
          <w:bCs/>
          <w:sz w:val="28"/>
          <w:szCs w:val="28"/>
        </w:rPr>
        <w:tab/>
        <w:t xml:space="preserve">     </w:t>
      </w:r>
      <w:r>
        <w:rPr>
          <w:bCs/>
          <w:sz w:val="28"/>
          <w:szCs w:val="28"/>
        </w:rPr>
        <w:tab/>
      </w:r>
      <w:r>
        <w:rPr>
          <w:bCs/>
          <w:sz w:val="28"/>
          <w:szCs w:val="28"/>
        </w:rPr>
        <w:tab/>
        <w:t>J</w:t>
      </w:r>
      <w:r w:rsidRPr="00A83C16">
        <w:rPr>
          <w:bCs/>
          <w:sz w:val="28"/>
          <w:szCs w:val="28"/>
        </w:rPr>
        <w:t>.</w:t>
      </w:r>
      <w:r>
        <w:rPr>
          <w:bCs/>
          <w:sz w:val="28"/>
          <w:szCs w:val="28"/>
        </w:rPr>
        <w:t>Pūce</w:t>
      </w:r>
    </w:p>
    <w:p w:rsidR="004705C0" w:rsidRPr="004F1F2D" w:rsidRDefault="004705C0" w:rsidP="004705C0">
      <w:pPr>
        <w:pStyle w:val="BodyTextIndent"/>
        <w:suppressAutoHyphens/>
        <w:ind w:left="0" w:right="-341"/>
        <w:jc w:val="both"/>
        <w:rPr>
          <w:sz w:val="28"/>
          <w:szCs w:val="28"/>
        </w:rPr>
      </w:pPr>
    </w:p>
    <w:p w:rsidR="00C0440E" w:rsidRDefault="00C0440E" w:rsidP="004705C0">
      <w:pPr>
        <w:pStyle w:val="BodyTextIndent"/>
        <w:suppressAutoHyphens/>
        <w:ind w:left="0" w:right="-341"/>
        <w:jc w:val="both"/>
        <w:rPr>
          <w:sz w:val="20"/>
        </w:rPr>
      </w:pPr>
    </w:p>
    <w:p w:rsidR="004705C0" w:rsidRPr="004F1F2D" w:rsidRDefault="00535D96" w:rsidP="004705C0">
      <w:pPr>
        <w:pStyle w:val="BodyTextIndent"/>
        <w:suppressAutoHyphens/>
        <w:ind w:left="0" w:right="-341"/>
        <w:jc w:val="both"/>
        <w:rPr>
          <w:sz w:val="20"/>
        </w:rPr>
      </w:pPr>
      <w:r>
        <w:rPr>
          <w:sz w:val="20"/>
        </w:rPr>
        <w:t>29</w:t>
      </w:r>
      <w:r w:rsidR="004705C0" w:rsidRPr="004F1F2D">
        <w:rPr>
          <w:sz w:val="20"/>
        </w:rPr>
        <w:t>.</w:t>
      </w:r>
      <w:r w:rsidR="000A7B07">
        <w:rPr>
          <w:sz w:val="20"/>
        </w:rPr>
        <w:t>1</w:t>
      </w:r>
      <w:r w:rsidR="000B0976">
        <w:rPr>
          <w:sz w:val="20"/>
        </w:rPr>
        <w:t>1</w:t>
      </w:r>
      <w:r w:rsidR="004705C0">
        <w:rPr>
          <w:sz w:val="20"/>
        </w:rPr>
        <w:t>.20</w:t>
      </w:r>
      <w:r w:rsidR="002C11D7">
        <w:rPr>
          <w:sz w:val="20"/>
        </w:rPr>
        <w:t>11</w:t>
      </w:r>
      <w:r w:rsidR="00796E51">
        <w:rPr>
          <w:sz w:val="20"/>
        </w:rPr>
        <w:t xml:space="preserve">. </w:t>
      </w:r>
      <w:r w:rsidR="00DE42BD">
        <w:rPr>
          <w:sz w:val="20"/>
        </w:rPr>
        <w:t>08</w:t>
      </w:r>
      <w:r w:rsidR="008A0EAD">
        <w:rPr>
          <w:sz w:val="20"/>
        </w:rPr>
        <w:t>:</w:t>
      </w:r>
      <w:r w:rsidR="00DE42BD">
        <w:rPr>
          <w:sz w:val="20"/>
        </w:rPr>
        <w:t>48</w:t>
      </w:r>
    </w:p>
    <w:p w:rsidR="004705C0" w:rsidRPr="00082E15" w:rsidRDefault="00975D02" w:rsidP="004705C0">
      <w:pPr>
        <w:pStyle w:val="BodyTextIndent"/>
        <w:suppressAutoHyphens/>
        <w:ind w:left="0" w:right="-341"/>
        <w:jc w:val="both"/>
        <w:rPr>
          <w:sz w:val="20"/>
        </w:rPr>
      </w:pPr>
      <w:fldSimple w:instr=" NUMWORDS  \* Arabic  \* MERGEFORMAT ">
        <w:r w:rsidR="00DE42BD" w:rsidRPr="00DE42BD">
          <w:rPr>
            <w:noProof/>
            <w:sz w:val="20"/>
          </w:rPr>
          <w:t>2842</w:t>
        </w:r>
      </w:fldSimple>
    </w:p>
    <w:p w:rsidR="004705C0" w:rsidRPr="004F1F2D" w:rsidRDefault="004705C0" w:rsidP="004705C0">
      <w:pPr>
        <w:pStyle w:val="BodyTextIndent"/>
        <w:suppressAutoHyphens/>
        <w:ind w:left="0" w:right="-341"/>
        <w:jc w:val="both"/>
        <w:rPr>
          <w:sz w:val="20"/>
        </w:rPr>
      </w:pPr>
      <w:r w:rsidRPr="004F1F2D">
        <w:rPr>
          <w:sz w:val="20"/>
        </w:rPr>
        <w:t>L.Duntava</w:t>
      </w:r>
    </w:p>
    <w:p w:rsidR="004B2E22" w:rsidRPr="00C924B3" w:rsidRDefault="004705C0" w:rsidP="00C924B3">
      <w:pPr>
        <w:pStyle w:val="BodyTextIndent"/>
        <w:suppressAutoHyphens/>
        <w:ind w:left="0" w:right="-341"/>
        <w:jc w:val="both"/>
        <w:rPr>
          <w:sz w:val="20"/>
        </w:rPr>
      </w:pPr>
      <w:r w:rsidRPr="004F1F2D">
        <w:rPr>
          <w:sz w:val="20"/>
        </w:rPr>
        <w:t xml:space="preserve">67013213; </w:t>
      </w:r>
      <w:hyperlink r:id="rId10" w:history="1">
        <w:r w:rsidRPr="004F1F2D">
          <w:rPr>
            <w:rStyle w:val="Hyperlink"/>
            <w:color w:val="auto"/>
            <w:sz w:val="20"/>
          </w:rPr>
          <w:t>Linda.Duntava@em.gov.lv</w:t>
        </w:r>
      </w:hyperlink>
      <w:r w:rsidRPr="004F1F2D">
        <w:rPr>
          <w:sz w:val="20"/>
        </w:rPr>
        <w:t xml:space="preserve"> </w:t>
      </w:r>
    </w:p>
    <w:sectPr w:rsidR="004B2E22" w:rsidRPr="00C924B3" w:rsidSect="00AA4557">
      <w:headerReference w:type="even" r:id="rId11"/>
      <w:headerReference w:type="default" r:id="rId12"/>
      <w:footerReference w:type="even" r:id="rId13"/>
      <w:footerReference w:type="default" r:id="rId14"/>
      <w:headerReference w:type="first" r:id="rId15"/>
      <w:footerReference w:type="first" r:id="rId16"/>
      <w:pgSz w:w="11909" w:h="16834"/>
      <w:pgMar w:top="1276" w:right="1134" w:bottom="1618" w:left="1701" w:header="720" w:footer="645"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C88" w:rsidRDefault="00E40C88" w:rsidP="004705C0">
      <w:r>
        <w:separator/>
      </w:r>
    </w:p>
  </w:endnote>
  <w:endnote w:type="continuationSeparator" w:id="0">
    <w:p w:rsidR="00E40C88" w:rsidRDefault="00E40C88" w:rsidP="00470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98" w:rsidRDefault="00975D02" w:rsidP="00367698">
    <w:pPr>
      <w:pStyle w:val="Footer"/>
      <w:framePr w:wrap="around" w:vAnchor="text" w:hAnchor="margin" w:xAlign="right" w:y="1"/>
      <w:rPr>
        <w:rStyle w:val="PageNumber"/>
      </w:rPr>
    </w:pPr>
    <w:r>
      <w:rPr>
        <w:rStyle w:val="PageNumber"/>
      </w:rPr>
      <w:fldChar w:fldCharType="begin"/>
    </w:r>
    <w:r w:rsidR="00367698">
      <w:rPr>
        <w:rStyle w:val="PageNumber"/>
      </w:rPr>
      <w:instrText xml:space="preserve">PAGE  </w:instrText>
    </w:r>
    <w:r>
      <w:rPr>
        <w:rStyle w:val="PageNumber"/>
      </w:rPr>
      <w:fldChar w:fldCharType="separate"/>
    </w:r>
    <w:r w:rsidR="00367698">
      <w:rPr>
        <w:rStyle w:val="PageNumber"/>
        <w:noProof/>
      </w:rPr>
      <w:t>9</w:t>
    </w:r>
    <w:r>
      <w:rPr>
        <w:rStyle w:val="PageNumber"/>
      </w:rPr>
      <w:fldChar w:fldCharType="end"/>
    </w:r>
  </w:p>
  <w:p w:rsidR="00367698" w:rsidRDefault="00367698" w:rsidP="003676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98" w:rsidRDefault="00367698" w:rsidP="00367698">
    <w:pPr>
      <w:pStyle w:val="Footer"/>
      <w:framePr w:wrap="around" w:vAnchor="text" w:hAnchor="margin" w:xAlign="right" w:y="1"/>
      <w:rPr>
        <w:rStyle w:val="PageNumber"/>
      </w:rPr>
    </w:pPr>
  </w:p>
  <w:p w:rsidR="00367698" w:rsidRDefault="00E16BD0" w:rsidP="00367698">
    <w:pPr>
      <w:pStyle w:val="Footer"/>
      <w:jc w:val="both"/>
    </w:pPr>
    <w:r>
      <w:t>EMZ</w:t>
    </w:r>
    <w:r w:rsidR="00796E51">
      <w:t>ino_</w:t>
    </w:r>
    <w:r w:rsidR="00535D96">
      <w:t>29</w:t>
    </w:r>
    <w:r w:rsidR="000B0976">
      <w:t>1111</w:t>
    </w:r>
    <w:r w:rsidR="00367698">
      <w:t xml:space="preserve">_cigaretes; Informatīvais </w:t>
    </w:r>
    <w:smartTag w:uri="schemas-tilde-lv/tildestengine" w:element="veidnes">
      <w:smartTagPr>
        <w:attr w:name="text" w:val="ziņojums"/>
        <w:attr w:name="baseform" w:val="ziņojums"/>
        <w:attr w:name="id" w:val="-1"/>
      </w:smartTagPr>
      <w:r w:rsidR="00367698">
        <w:t>ziņojums</w:t>
      </w:r>
    </w:smartTag>
    <w:r w:rsidR="00367698">
      <w:t xml:space="preserve"> </w:t>
    </w:r>
    <w:r w:rsidR="00367698" w:rsidRPr="00367698">
      <w:t>„Par kompetenču sadalījumu, ieviešot cigarešu samazināta degšanas potenciāla</w:t>
    </w:r>
    <w:r w:rsidR="00367698" w:rsidRPr="00367698">
      <w:rPr>
        <w:rFonts w:eastAsiaTheme="minorHAnsi"/>
      </w:rPr>
      <w:t xml:space="preserve"> </w:t>
    </w:r>
    <w:r w:rsidR="00367698" w:rsidRPr="00367698">
      <w:t>prasības”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98" w:rsidRDefault="00E16BD0" w:rsidP="00367698">
    <w:pPr>
      <w:pStyle w:val="Footer"/>
      <w:jc w:val="both"/>
    </w:pPr>
    <w:r>
      <w:t>EMZ</w:t>
    </w:r>
    <w:r w:rsidR="00796E51">
      <w:t>ino_</w:t>
    </w:r>
    <w:r w:rsidR="00535D96">
      <w:t>29</w:t>
    </w:r>
    <w:r w:rsidR="000B0976">
      <w:t>1111</w:t>
    </w:r>
    <w:r w:rsidR="00367698">
      <w:t xml:space="preserve">_cigaretes; Informatīvais </w:t>
    </w:r>
    <w:smartTag w:uri="schemas-tilde-lv/tildestengine" w:element="veidnes">
      <w:smartTagPr>
        <w:attr w:name="text" w:val="ziņojums"/>
        <w:attr w:name="baseform" w:val="ziņojums"/>
        <w:attr w:name="id" w:val="-1"/>
      </w:smartTagPr>
      <w:r w:rsidR="00367698">
        <w:t>ziņojums</w:t>
      </w:r>
    </w:smartTag>
    <w:r w:rsidR="00367698">
      <w:t xml:space="preserve"> </w:t>
    </w:r>
    <w:r w:rsidR="00367698" w:rsidRPr="00367698">
      <w:t>„Par kompetenču sadalījumu, ieviešot cigarešu samazināta degšanas potenciāla</w:t>
    </w:r>
    <w:r w:rsidR="00367698" w:rsidRPr="00367698">
      <w:rPr>
        <w:rFonts w:eastAsiaTheme="minorHAnsi"/>
      </w:rPr>
      <w:t xml:space="preserve"> </w:t>
    </w:r>
    <w:r w:rsidR="00367698" w:rsidRPr="00367698">
      <w:t>prasības”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C88" w:rsidRDefault="00E40C88" w:rsidP="004705C0">
      <w:r>
        <w:separator/>
      </w:r>
    </w:p>
  </w:footnote>
  <w:footnote w:type="continuationSeparator" w:id="0">
    <w:p w:rsidR="00E40C88" w:rsidRDefault="00E40C88" w:rsidP="004705C0">
      <w:r>
        <w:continuationSeparator/>
      </w:r>
    </w:p>
  </w:footnote>
  <w:footnote w:id="1">
    <w:p w:rsidR="00DE3728" w:rsidRDefault="00DE3728" w:rsidP="00DE3728">
      <w:pPr>
        <w:pStyle w:val="FootnoteText"/>
        <w:jc w:val="both"/>
      </w:pPr>
      <w:r>
        <w:rPr>
          <w:rStyle w:val="FootnoteReference"/>
        </w:rPr>
        <w:footnoteRef/>
      </w:r>
      <w:r>
        <w:t xml:space="preserve"> </w:t>
      </w:r>
      <w:r w:rsidRPr="004438B8">
        <w:rPr>
          <w:sz w:val="24"/>
          <w:szCs w:val="24"/>
        </w:rPr>
        <w:t>Saskaņā ar Komisijas 2008. gada 25. marta Lēmumu Nr.2008/264/EK par ugunsdrošības prasībām, kas atbilstoši Eiropas Parlamenta un Padomes Direktīvai 2001/95/EK jāizpilda ar Eiropas standartiem attiecībā uz cigaretēm, cigarete ar samazinātu aizdegšanās potenciālu ir cigarete, kas pati nodziest, ja netiek aktīvi smēķēta, pirms tā ir sadegusi visā garumā.</w:t>
      </w:r>
    </w:p>
  </w:footnote>
  <w:footnote w:id="2">
    <w:p w:rsidR="00367698" w:rsidRPr="0086661C" w:rsidRDefault="00367698" w:rsidP="0086661C">
      <w:pPr>
        <w:pStyle w:val="FootnoteText"/>
        <w:jc w:val="both"/>
        <w:rPr>
          <w:sz w:val="24"/>
          <w:szCs w:val="24"/>
        </w:rPr>
      </w:pPr>
      <w:r w:rsidRPr="0086661C">
        <w:rPr>
          <w:rStyle w:val="FootnoteReference"/>
          <w:sz w:val="24"/>
          <w:szCs w:val="24"/>
        </w:rPr>
        <w:footnoteRef/>
      </w:r>
      <w:r w:rsidRPr="0086661C">
        <w:rPr>
          <w:sz w:val="24"/>
          <w:szCs w:val="24"/>
        </w:rPr>
        <w:t xml:space="preserve"> Saskaņā ar likuma „Par akcīzes nodokli” 1.panta otrās daļas 1.punktu, </w:t>
      </w:r>
      <w:r w:rsidRPr="0086661C">
        <w:rPr>
          <w:bCs/>
          <w:sz w:val="24"/>
          <w:szCs w:val="24"/>
        </w:rPr>
        <w:t>akcīzes preces</w:t>
      </w:r>
      <w:r w:rsidRPr="0086661C">
        <w:rPr>
          <w:sz w:val="24"/>
          <w:szCs w:val="24"/>
        </w:rPr>
        <w:t xml:space="preserve"> ir alkoholiskie dzērieni, </w:t>
      </w:r>
      <w:r w:rsidRPr="0086661C">
        <w:rPr>
          <w:sz w:val="24"/>
          <w:szCs w:val="24"/>
          <w:u w:val="single"/>
        </w:rPr>
        <w:t>tabakas izstrādājumi</w:t>
      </w:r>
      <w:r w:rsidRPr="0086661C">
        <w:rPr>
          <w:sz w:val="24"/>
          <w:szCs w:val="24"/>
        </w:rPr>
        <w:t>, naftas produkti, bezalkoholiskie dzērieni, kafija un dabasgāze.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98" w:rsidRDefault="00975D02" w:rsidP="00367698">
    <w:pPr>
      <w:pStyle w:val="Header"/>
      <w:framePr w:wrap="around" w:vAnchor="text" w:hAnchor="margin" w:xAlign="center" w:y="1"/>
      <w:rPr>
        <w:rStyle w:val="PageNumber"/>
      </w:rPr>
    </w:pPr>
    <w:r>
      <w:rPr>
        <w:rStyle w:val="PageNumber"/>
      </w:rPr>
      <w:fldChar w:fldCharType="begin"/>
    </w:r>
    <w:r w:rsidR="00367698">
      <w:rPr>
        <w:rStyle w:val="PageNumber"/>
      </w:rPr>
      <w:instrText xml:space="preserve">PAGE  </w:instrText>
    </w:r>
    <w:r>
      <w:rPr>
        <w:rStyle w:val="PageNumber"/>
      </w:rPr>
      <w:fldChar w:fldCharType="separate"/>
    </w:r>
    <w:r w:rsidR="00367698">
      <w:rPr>
        <w:rStyle w:val="PageNumber"/>
        <w:noProof/>
      </w:rPr>
      <w:t>9</w:t>
    </w:r>
    <w:r>
      <w:rPr>
        <w:rStyle w:val="PageNumber"/>
      </w:rPr>
      <w:fldChar w:fldCharType="end"/>
    </w:r>
  </w:p>
  <w:p w:rsidR="00367698" w:rsidRDefault="003676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98" w:rsidRPr="00B26882" w:rsidRDefault="00975D02" w:rsidP="00367698">
    <w:pPr>
      <w:pStyle w:val="Header"/>
      <w:framePr w:wrap="around" w:vAnchor="text" w:hAnchor="margin" w:xAlign="center" w:y="1"/>
      <w:rPr>
        <w:rStyle w:val="PageNumber"/>
        <w:sz w:val="24"/>
        <w:szCs w:val="24"/>
      </w:rPr>
    </w:pPr>
    <w:r w:rsidRPr="00B26882">
      <w:rPr>
        <w:rStyle w:val="PageNumber"/>
        <w:sz w:val="24"/>
        <w:szCs w:val="24"/>
      </w:rPr>
      <w:fldChar w:fldCharType="begin"/>
    </w:r>
    <w:r w:rsidR="00367698" w:rsidRPr="00B26882">
      <w:rPr>
        <w:rStyle w:val="PageNumber"/>
        <w:sz w:val="24"/>
        <w:szCs w:val="24"/>
      </w:rPr>
      <w:instrText xml:space="preserve">PAGE  </w:instrText>
    </w:r>
    <w:r w:rsidRPr="00B26882">
      <w:rPr>
        <w:rStyle w:val="PageNumber"/>
        <w:sz w:val="24"/>
        <w:szCs w:val="24"/>
      </w:rPr>
      <w:fldChar w:fldCharType="separate"/>
    </w:r>
    <w:r w:rsidR="00DE42BD">
      <w:rPr>
        <w:rStyle w:val="PageNumber"/>
        <w:noProof/>
        <w:sz w:val="24"/>
        <w:szCs w:val="24"/>
      </w:rPr>
      <w:t>9</w:t>
    </w:r>
    <w:r w:rsidRPr="00B26882">
      <w:rPr>
        <w:rStyle w:val="PageNumber"/>
        <w:sz w:val="24"/>
        <w:szCs w:val="24"/>
      </w:rPr>
      <w:fldChar w:fldCharType="end"/>
    </w:r>
  </w:p>
  <w:p w:rsidR="00367698" w:rsidRDefault="00367698" w:rsidP="003676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96" w:rsidRDefault="00535D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9FB"/>
    <w:multiLevelType w:val="hybridMultilevel"/>
    <w:tmpl w:val="712622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C1A7BCE"/>
    <w:multiLevelType w:val="hybridMultilevel"/>
    <w:tmpl w:val="9FEE19D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3">
    <w:nsid w:val="15370ABA"/>
    <w:multiLevelType w:val="multilevel"/>
    <w:tmpl w:val="E2D6BFB2"/>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200B7007"/>
    <w:multiLevelType w:val="hybridMultilevel"/>
    <w:tmpl w:val="9F422242"/>
    <w:lvl w:ilvl="0" w:tplc="BF92B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4231418"/>
    <w:multiLevelType w:val="hybridMultilevel"/>
    <w:tmpl w:val="E6C23E1E"/>
    <w:lvl w:ilvl="0" w:tplc="AD8A19AA">
      <w:start w:val="1"/>
      <w:numFmt w:val="decimal"/>
      <w:lvlText w:val="%1)"/>
      <w:lvlJc w:val="left"/>
      <w:pPr>
        <w:ind w:left="1680" w:hanging="960"/>
      </w:pPr>
      <w:rPr>
        <w:rFonts w:hint="default"/>
        <w:color w:val="1F497D"/>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4B270D2"/>
    <w:multiLevelType w:val="hybridMultilevel"/>
    <w:tmpl w:val="B980190C"/>
    <w:lvl w:ilvl="0" w:tplc="B4D6E488">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6095B77"/>
    <w:multiLevelType w:val="hybridMultilevel"/>
    <w:tmpl w:val="35DA48D4"/>
    <w:lvl w:ilvl="0" w:tplc="6178D154">
      <w:start w:val="1"/>
      <w:numFmt w:val="decimal"/>
      <w:lvlText w:val="%1)"/>
      <w:lvlJc w:val="left"/>
      <w:pPr>
        <w:ind w:left="1669" w:hanging="9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3DF35B93"/>
    <w:multiLevelType w:val="hybridMultilevel"/>
    <w:tmpl w:val="A2786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A2F3828"/>
    <w:multiLevelType w:val="hybridMultilevel"/>
    <w:tmpl w:val="09382734"/>
    <w:lvl w:ilvl="0" w:tplc="74F44FB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4C201FC5"/>
    <w:multiLevelType w:val="hybridMultilevel"/>
    <w:tmpl w:val="0DB8B6B4"/>
    <w:lvl w:ilvl="0" w:tplc="2F4AB2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C96568F"/>
    <w:multiLevelType w:val="hybridMultilevel"/>
    <w:tmpl w:val="1F4E751A"/>
    <w:lvl w:ilvl="0" w:tplc="1FE0397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501D32EB"/>
    <w:multiLevelType w:val="hybridMultilevel"/>
    <w:tmpl w:val="48FEAB06"/>
    <w:lvl w:ilvl="0" w:tplc="0426000F">
      <w:start w:val="1"/>
      <w:numFmt w:val="decimal"/>
      <w:lvlText w:val="%1."/>
      <w:lvlJc w:val="left"/>
      <w:pPr>
        <w:ind w:left="1095" w:hanging="360"/>
      </w:pPr>
      <w:rPr>
        <w:rFonts w:hint="default"/>
      </w:rPr>
    </w:lvl>
    <w:lvl w:ilvl="1" w:tplc="04260003" w:tentative="1">
      <w:start w:val="1"/>
      <w:numFmt w:val="bullet"/>
      <w:lvlText w:val="o"/>
      <w:lvlJc w:val="left"/>
      <w:pPr>
        <w:ind w:left="1815" w:hanging="360"/>
      </w:pPr>
      <w:rPr>
        <w:rFonts w:ascii="Courier New" w:hAnsi="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13">
    <w:nsid w:val="588D6536"/>
    <w:multiLevelType w:val="hybridMultilevel"/>
    <w:tmpl w:val="C54A19D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697A3D24"/>
    <w:multiLevelType w:val="singleLevel"/>
    <w:tmpl w:val="E54046AA"/>
    <w:name w:val="Considérant"/>
    <w:lvl w:ilvl="0">
      <w:start w:val="1"/>
      <w:numFmt w:val="decimal"/>
      <w:pStyle w:val="Considrant"/>
      <w:lvlText w:val="(%1)"/>
      <w:lvlJc w:val="left"/>
      <w:pPr>
        <w:tabs>
          <w:tab w:val="num" w:pos="709"/>
        </w:tabs>
        <w:ind w:left="709" w:hanging="709"/>
      </w:pPr>
      <w:rPr>
        <w:rFonts w:cs="Times New Roman"/>
      </w:rPr>
    </w:lvl>
  </w:abstractNum>
  <w:abstractNum w:abstractNumId="15">
    <w:nsid w:val="71B150A4"/>
    <w:multiLevelType w:val="hybridMultilevel"/>
    <w:tmpl w:val="8A50BF2A"/>
    <w:name w:val="__28"/>
    <w:lvl w:ilvl="0" w:tplc="6128D67A">
      <w:start w:val="1"/>
      <w:numFmt w:val="decimal"/>
      <w:lvlText w:val="%1."/>
      <w:lvlJc w:val="left"/>
      <w:pPr>
        <w:ind w:left="1080" w:hanging="360"/>
      </w:pPr>
      <w:rPr>
        <w:rFonts w:cs="Times New Roman" w:hint="default"/>
      </w:rPr>
    </w:lvl>
    <w:lvl w:ilvl="1" w:tplc="8198034E" w:tentative="1">
      <w:start w:val="1"/>
      <w:numFmt w:val="lowerLetter"/>
      <w:lvlText w:val="%2."/>
      <w:lvlJc w:val="left"/>
      <w:pPr>
        <w:ind w:left="1800" w:hanging="360"/>
      </w:pPr>
      <w:rPr>
        <w:rFonts w:cs="Times New Roman"/>
      </w:rPr>
    </w:lvl>
    <w:lvl w:ilvl="2" w:tplc="2228B254" w:tentative="1">
      <w:start w:val="1"/>
      <w:numFmt w:val="lowerRoman"/>
      <w:lvlText w:val="%3."/>
      <w:lvlJc w:val="right"/>
      <w:pPr>
        <w:ind w:left="2520" w:hanging="180"/>
      </w:pPr>
      <w:rPr>
        <w:rFonts w:cs="Times New Roman"/>
      </w:rPr>
    </w:lvl>
    <w:lvl w:ilvl="3" w:tplc="EA369B44" w:tentative="1">
      <w:start w:val="1"/>
      <w:numFmt w:val="decimal"/>
      <w:lvlText w:val="%4."/>
      <w:lvlJc w:val="left"/>
      <w:pPr>
        <w:ind w:left="3240" w:hanging="360"/>
      </w:pPr>
      <w:rPr>
        <w:rFonts w:cs="Times New Roman"/>
      </w:rPr>
    </w:lvl>
    <w:lvl w:ilvl="4" w:tplc="045CB46C" w:tentative="1">
      <w:start w:val="1"/>
      <w:numFmt w:val="lowerLetter"/>
      <w:lvlText w:val="%5."/>
      <w:lvlJc w:val="left"/>
      <w:pPr>
        <w:ind w:left="3960" w:hanging="360"/>
      </w:pPr>
      <w:rPr>
        <w:rFonts w:cs="Times New Roman"/>
      </w:rPr>
    </w:lvl>
    <w:lvl w:ilvl="5" w:tplc="04686B4C" w:tentative="1">
      <w:start w:val="1"/>
      <w:numFmt w:val="lowerRoman"/>
      <w:lvlText w:val="%6."/>
      <w:lvlJc w:val="right"/>
      <w:pPr>
        <w:ind w:left="4680" w:hanging="180"/>
      </w:pPr>
      <w:rPr>
        <w:rFonts w:cs="Times New Roman"/>
      </w:rPr>
    </w:lvl>
    <w:lvl w:ilvl="6" w:tplc="B05C62FA" w:tentative="1">
      <w:start w:val="1"/>
      <w:numFmt w:val="decimal"/>
      <w:lvlText w:val="%7."/>
      <w:lvlJc w:val="left"/>
      <w:pPr>
        <w:ind w:left="5400" w:hanging="360"/>
      </w:pPr>
      <w:rPr>
        <w:rFonts w:cs="Times New Roman"/>
      </w:rPr>
    </w:lvl>
    <w:lvl w:ilvl="7" w:tplc="9104CE0A" w:tentative="1">
      <w:start w:val="1"/>
      <w:numFmt w:val="lowerLetter"/>
      <w:lvlText w:val="%8."/>
      <w:lvlJc w:val="left"/>
      <w:pPr>
        <w:ind w:left="6120" w:hanging="360"/>
      </w:pPr>
      <w:rPr>
        <w:rFonts w:cs="Times New Roman"/>
      </w:rPr>
    </w:lvl>
    <w:lvl w:ilvl="8" w:tplc="FA369C1A" w:tentative="1">
      <w:start w:val="1"/>
      <w:numFmt w:val="lowerRoman"/>
      <w:lvlText w:val="%9."/>
      <w:lvlJc w:val="right"/>
      <w:pPr>
        <w:ind w:left="6840" w:hanging="180"/>
      </w:pPr>
      <w:rPr>
        <w:rFonts w:cs="Times New Roman"/>
      </w:rPr>
    </w:lvl>
  </w:abstractNum>
  <w:abstractNum w:abstractNumId="16">
    <w:nsid w:val="7E6D6EC6"/>
    <w:multiLevelType w:val="hybridMultilevel"/>
    <w:tmpl w:val="D63EC990"/>
    <w:lvl w:ilvl="0" w:tplc="3F4CAA4A">
      <w:start w:val="1"/>
      <w:numFmt w:val="bullet"/>
      <w:lvlText w:val=""/>
      <w:lvlJc w:val="left"/>
      <w:pPr>
        <w:ind w:left="2138" w:hanging="360"/>
      </w:pPr>
      <w:rPr>
        <w:rFonts w:ascii="Wingdings" w:hAnsi="Wingdings" w:hint="default"/>
      </w:rPr>
    </w:lvl>
    <w:lvl w:ilvl="1" w:tplc="04260019" w:tentative="1">
      <w:start w:val="1"/>
      <w:numFmt w:val="bullet"/>
      <w:lvlText w:val="o"/>
      <w:lvlJc w:val="left"/>
      <w:pPr>
        <w:ind w:left="2858" w:hanging="360"/>
      </w:pPr>
      <w:rPr>
        <w:rFonts w:ascii="Courier New" w:hAnsi="Courier New" w:cs="Courier New" w:hint="default"/>
      </w:rPr>
    </w:lvl>
    <w:lvl w:ilvl="2" w:tplc="0426001B" w:tentative="1">
      <w:start w:val="1"/>
      <w:numFmt w:val="bullet"/>
      <w:lvlText w:val=""/>
      <w:lvlJc w:val="left"/>
      <w:pPr>
        <w:ind w:left="3578" w:hanging="360"/>
      </w:pPr>
      <w:rPr>
        <w:rFonts w:ascii="Wingdings" w:hAnsi="Wingdings" w:hint="default"/>
      </w:rPr>
    </w:lvl>
    <w:lvl w:ilvl="3" w:tplc="0426000F" w:tentative="1">
      <w:start w:val="1"/>
      <w:numFmt w:val="bullet"/>
      <w:lvlText w:val=""/>
      <w:lvlJc w:val="left"/>
      <w:pPr>
        <w:ind w:left="4298" w:hanging="360"/>
      </w:pPr>
      <w:rPr>
        <w:rFonts w:ascii="Symbol" w:hAnsi="Symbol" w:hint="default"/>
      </w:rPr>
    </w:lvl>
    <w:lvl w:ilvl="4" w:tplc="04260019" w:tentative="1">
      <w:start w:val="1"/>
      <w:numFmt w:val="bullet"/>
      <w:lvlText w:val="o"/>
      <w:lvlJc w:val="left"/>
      <w:pPr>
        <w:ind w:left="5018" w:hanging="360"/>
      </w:pPr>
      <w:rPr>
        <w:rFonts w:ascii="Courier New" w:hAnsi="Courier New" w:cs="Courier New" w:hint="default"/>
      </w:rPr>
    </w:lvl>
    <w:lvl w:ilvl="5" w:tplc="0426001B" w:tentative="1">
      <w:start w:val="1"/>
      <w:numFmt w:val="bullet"/>
      <w:lvlText w:val=""/>
      <w:lvlJc w:val="left"/>
      <w:pPr>
        <w:ind w:left="5738" w:hanging="360"/>
      </w:pPr>
      <w:rPr>
        <w:rFonts w:ascii="Wingdings" w:hAnsi="Wingdings" w:hint="default"/>
      </w:rPr>
    </w:lvl>
    <w:lvl w:ilvl="6" w:tplc="0426000F" w:tentative="1">
      <w:start w:val="1"/>
      <w:numFmt w:val="bullet"/>
      <w:lvlText w:val=""/>
      <w:lvlJc w:val="left"/>
      <w:pPr>
        <w:ind w:left="6458" w:hanging="360"/>
      </w:pPr>
      <w:rPr>
        <w:rFonts w:ascii="Symbol" w:hAnsi="Symbol" w:hint="default"/>
      </w:rPr>
    </w:lvl>
    <w:lvl w:ilvl="7" w:tplc="04260019" w:tentative="1">
      <w:start w:val="1"/>
      <w:numFmt w:val="bullet"/>
      <w:lvlText w:val="o"/>
      <w:lvlJc w:val="left"/>
      <w:pPr>
        <w:ind w:left="7178" w:hanging="360"/>
      </w:pPr>
      <w:rPr>
        <w:rFonts w:ascii="Courier New" w:hAnsi="Courier New" w:cs="Courier New" w:hint="default"/>
      </w:rPr>
    </w:lvl>
    <w:lvl w:ilvl="8" w:tplc="0426001B" w:tentative="1">
      <w:start w:val="1"/>
      <w:numFmt w:val="bullet"/>
      <w:lvlText w:val=""/>
      <w:lvlJc w:val="left"/>
      <w:pPr>
        <w:ind w:left="7898" w:hanging="360"/>
      </w:pPr>
      <w:rPr>
        <w:rFonts w:ascii="Wingdings" w:hAnsi="Wingdings" w:hint="default"/>
      </w:rPr>
    </w:lvl>
  </w:abstractNum>
  <w:num w:numId="1">
    <w:abstractNumId w:val="9"/>
  </w:num>
  <w:num w:numId="2">
    <w:abstractNumId w:val="0"/>
  </w:num>
  <w:num w:numId="3">
    <w:abstractNumId w:val="8"/>
  </w:num>
  <w:num w:numId="4">
    <w:abstractNumId w:val="11"/>
  </w:num>
  <w:num w:numId="5">
    <w:abstractNumId w:val="15"/>
  </w:num>
  <w:num w:numId="6">
    <w:abstractNumId w:val="1"/>
  </w:num>
  <w:num w:numId="7">
    <w:abstractNumId w:val="13"/>
  </w:num>
  <w:num w:numId="8">
    <w:abstractNumId w:val="12"/>
  </w:num>
  <w:num w:numId="9">
    <w:abstractNumId w:val="3"/>
  </w:num>
  <w:num w:numId="10">
    <w:abstractNumId w:val="2"/>
  </w:num>
  <w:num w:numId="11">
    <w:abstractNumId w:val="16"/>
  </w:num>
  <w:num w:numId="12">
    <w:abstractNumId w:val="4"/>
  </w:num>
  <w:num w:numId="13">
    <w:abstractNumId w:val="14"/>
    <w:lvlOverride w:ilvl="0">
      <w:startOverride w:val="1"/>
    </w:lvlOverride>
  </w:num>
  <w:num w:numId="14">
    <w:abstractNumId w:val="7"/>
  </w:num>
  <w:num w:numId="15">
    <w:abstractNumId w:val="10"/>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05C0"/>
    <w:rsid w:val="000042D5"/>
    <w:rsid w:val="000606E9"/>
    <w:rsid w:val="00071398"/>
    <w:rsid w:val="000A0965"/>
    <w:rsid w:val="000A7B07"/>
    <w:rsid w:val="000B0976"/>
    <w:rsid w:val="000E4178"/>
    <w:rsid w:val="000F74A5"/>
    <w:rsid w:val="0011497A"/>
    <w:rsid w:val="001567B4"/>
    <w:rsid w:val="001849F4"/>
    <w:rsid w:val="001C116B"/>
    <w:rsid w:val="001C3746"/>
    <w:rsid w:val="00250208"/>
    <w:rsid w:val="00250470"/>
    <w:rsid w:val="002921DC"/>
    <w:rsid w:val="002C0286"/>
    <w:rsid w:val="002C11D7"/>
    <w:rsid w:val="002C7249"/>
    <w:rsid w:val="002E731F"/>
    <w:rsid w:val="0030068B"/>
    <w:rsid w:val="00320170"/>
    <w:rsid w:val="00323357"/>
    <w:rsid w:val="00346216"/>
    <w:rsid w:val="00367698"/>
    <w:rsid w:val="003912DB"/>
    <w:rsid w:val="003979A8"/>
    <w:rsid w:val="003A5425"/>
    <w:rsid w:val="003A6BA2"/>
    <w:rsid w:val="003A7C29"/>
    <w:rsid w:val="003E6447"/>
    <w:rsid w:val="003F0125"/>
    <w:rsid w:val="003F0A29"/>
    <w:rsid w:val="003F371F"/>
    <w:rsid w:val="003F3C53"/>
    <w:rsid w:val="003F45FC"/>
    <w:rsid w:val="004067B7"/>
    <w:rsid w:val="00441621"/>
    <w:rsid w:val="004438B8"/>
    <w:rsid w:val="00455A96"/>
    <w:rsid w:val="004705C0"/>
    <w:rsid w:val="004A07D8"/>
    <w:rsid w:val="004B2E22"/>
    <w:rsid w:val="004B7C3A"/>
    <w:rsid w:val="004C7685"/>
    <w:rsid w:val="004D096D"/>
    <w:rsid w:val="004D72BF"/>
    <w:rsid w:val="004E44BA"/>
    <w:rsid w:val="004F1DF0"/>
    <w:rsid w:val="005242E7"/>
    <w:rsid w:val="00527B5D"/>
    <w:rsid w:val="00530D3D"/>
    <w:rsid w:val="00535D96"/>
    <w:rsid w:val="005511FD"/>
    <w:rsid w:val="00551A60"/>
    <w:rsid w:val="00573E99"/>
    <w:rsid w:val="0057540E"/>
    <w:rsid w:val="005B515E"/>
    <w:rsid w:val="005B7E2C"/>
    <w:rsid w:val="00695049"/>
    <w:rsid w:val="006A04EC"/>
    <w:rsid w:val="00725026"/>
    <w:rsid w:val="00763AF7"/>
    <w:rsid w:val="00764579"/>
    <w:rsid w:val="00764F11"/>
    <w:rsid w:val="0079401E"/>
    <w:rsid w:val="00796E51"/>
    <w:rsid w:val="007B02AC"/>
    <w:rsid w:val="007C4B12"/>
    <w:rsid w:val="007C4F59"/>
    <w:rsid w:val="00824CEA"/>
    <w:rsid w:val="0084477C"/>
    <w:rsid w:val="0085686E"/>
    <w:rsid w:val="0086661C"/>
    <w:rsid w:val="00881E00"/>
    <w:rsid w:val="008A0EAD"/>
    <w:rsid w:val="008C187F"/>
    <w:rsid w:val="00901957"/>
    <w:rsid w:val="00975D02"/>
    <w:rsid w:val="00981F00"/>
    <w:rsid w:val="009A3F0A"/>
    <w:rsid w:val="009B0FA4"/>
    <w:rsid w:val="009E0112"/>
    <w:rsid w:val="00A00DBD"/>
    <w:rsid w:val="00A30FD3"/>
    <w:rsid w:val="00A33F0A"/>
    <w:rsid w:val="00A834FF"/>
    <w:rsid w:val="00A848B7"/>
    <w:rsid w:val="00A87D7D"/>
    <w:rsid w:val="00A975F4"/>
    <w:rsid w:val="00AA4557"/>
    <w:rsid w:val="00B2606A"/>
    <w:rsid w:val="00B267D8"/>
    <w:rsid w:val="00B3013A"/>
    <w:rsid w:val="00B36CE5"/>
    <w:rsid w:val="00B47B34"/>
    <w:rsid w:val="00B641B4"/>
    <w:rsid w:val="00B652AC"/>
    <w:rsid w:val="00BB1803"/>
    <w:rsid w:val="00BE0C28"/>
    <w:rsid w:val="00BE73C3"/>
    <w:rsid w:val="00BF6ABF"/>
    <w:rsid w:val="00C0440E"/>
    <w:rsid w:val="00C31DC7"/>
    <w:rsid w:val="00C4134C"/>
    <w:rsid w:val="00C4161A"/>
    <w:rsid w:val="00C466D8"/>
    <w:rsid w:val="00C522C1"/>
    <w:rsid w:val="00C54AAA"/>
    <w:rsid w:val="00C56917"/>
    <w:rsid w:val="00C74F5A"/>
    <w:rsid w:val="00C924B3"/>
    <w:rsid w:val="00CA39E6"/>
    <w:rsid w:val="00CA7625"/>
    <w:rsid w:val="00CC38CD"/>
    <w:rsid w:val="00CD2195"/>
    <w:rsid w:val="00D042CC"/>
    <w:rsid w:val="00D27801"/>
    <w:rsid w:val="00D81BEF"/>
    <w:rsid w:val="00D9788B"/>
    <w:rsid w:val="00DE3728"/>
    <w:rsid w:val="00DE42BD"/>
    <w:rsid w:val="00DF27EA"/>
    <w:rsid w:val="00E01B5C"/>
    <w:rsid w:val="00E16BD0"/>
    <w:rsid w:val="00E23B8C"/>
    <w:rsid w:val="00E25D10"/>
    <w:rsid w:val="00E31E44"/>
    <w:rsid w:val="00E40C88"/>
    <w:rsid w:val="00E57993"/>
    <w:rsid w:val="00E86297"/>
    <w:rsid w:val="00E943DF"/>
    <w:rsid w:val="00EA364D"/>
    <w:rsid w:val="00EA769C"/>
    <w:rsid w:val="00EB49B0"/>
    <w:rsid w:val="00EB7337"/>
    <w:rsid w:val="00EE0F5F"/>
    <w:rsid w:val="00EE18C7"/>
    <w:rsid w:val="00EE5752"/>
    <w:rsid w:val="00EE7E0A"/>
    <w:rsid w:val="00EE7F70"/>
    <w:rsid w:val="00F01CFA"/>
    <w:rsid w:val="00F03AFD"/>
    <w:rsid w:val="00F2666A"/>
    <w:rsid w:val="00F30F1F"/>
    <w:rsid w:val="00F40E09"/>
    <w:rsid w:val="00F47AC4"/>
    <w:rsid w:val="00F501EB"/>
    <w:rsid w:val="00F90A7E"/>
    <w:rsid w:val="00F963EE"/>
    <w:rsid w:val="00FB24EC"/>
    <w:rsid w:val="00FE07EF"/>
    <w:rsid w:val="00FF0280"/>
    <w:rsid w:val="00FF6708"/>
    <w:rsid w:val="00FF7B1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C0"/>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B3013A"/>
    <w:pPr>
      <w:keepNext/>
      <w:widowControl/>
      <w:autoSpaceDE/>
      <w:autoSpaceDN/>
      <w:adjustRightInd/>
      <w:outlineLvl w:val="0"/>
    </w:pPr>
    <w:rPr>
      <w:b/>
      <w:bCs/>
      <w:sz w:val="24"/>
      <w:szCs w:val="24"/>
      <w:lang w:eastAsia="en-US"/>
    </w:rPr>
  </w:style>
  <w:style w:type="paragraph" w:styleId="Heading2">
    <w:name w:val="heading 2"/>
    <w:basedOn w:val="Normal"/>
    <w:next w:val="Normal"/>
    <w:link w:val="Heading2Char"/>
    <w:uiPriority w:val="9"/>
    <w:unhideWhenUsed/>
    <w:qFormat/>
    <w:rsid w:val="003E64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64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64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05C0"/>
    <w:rPr>
      <w:rFonts w:cs="Times New Roman"/>
      <w:color w:val="0000FF"/>
      <w:u w:val="single"/>
    </w:rPr>
  </w:style>
  <w:style w:type="paragraph" w:styleId="BodyTextIndent">
    <w:name w:val="Body Text Indent"/>
    <w:basedOn w:val="Normal"/>
    <w:link w:val="BodyTextIndentChar"/>
    <w:uiPriority w:val="99"/>
    <w:rsid w:val="004705C0"/>
    <w:pPr>
      <w:widowControl/>
      <w:autoSpaceDE/>
      <w:autoSpaceDN/>
      <w:adjustRightInd/>
      <w:ind w:left="5760"/>
    </w:pPr>
    <w:rPr>
      <w:sz w:val="24"/>
    </w:rPr>
  </w:style>
  <w:style w:type="character" w:customStyle="1" w:styleId="BodyTextIndentChar">
    <w:name w:val="Body Text Indent Char"/>
    <w:basedOn w:val="DefaultParagraphFont"/>
    <w:link w:val="BodyTextIndent"/>
    <w:uiPriority w:val="99"/>
    <w:rsid w:val="004705C0"/>
    <w:rPr>
      <w:rFonts w:ascii="Times New Roman" w:eastAsia="Times New Roman" w:hAnsi="Times New Roman" w:cs="Times New Roman"/>
      <w:sz w:val="24"/>
      <w:szCs w:val="20"/>
      <w:lang w:eastAsia="lv-LV"/>
    </w:rPr>
  </w:style>
  <w:style w:type="paragraph" w:styleId="Header">
    <w:name w:val="header"/>
    <w:basedOn w:val="Normal"/>
    <w:link w:val="HeaderChar"/>
    <w:uiPriority w:val="99"/>
    <w:rsid w:val="004705C0"/>
    <w:pPr>
      <w:tabs>
        <w:tab w:val="center" w:pos="4153"/>
        <w:tab w:val="right" w:pos="8306"/>
      </w:tabs>
    </w:pPr>
  </w:style>
  <w:style w:type="character" w:customStyle="1" w:styleId="HeaderChar">
    <w:name w:val="Header Char"/>
    <w:basedOn w:val="DefaultParagraphFont"/>
    <w:link w:val="Header"/>
    <w:uiPriority w:val="99"/>
    <w:rsid w:val="004705C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4705C0"/>
    <w:pPr>
      <w:tabs>
        <w:tab w:val="center" w:pos="4153"/>
        <w:tab w:val="right" w:pos="8306"/>
      </w:tabs>
    </w:pPr>
  </w:style>
  <w:style w:type="character" w:customStyle="1" w:styleId="FooterChar">
    <w:name w:val="Footer Char"/>
    <w:basedOn w:val="DefaultParagraphFont"/>
    <w:link w:val="Footer"/>
    <w:uiPriority w:val="99"/>
    <w:rsid w:val="004705C0"/>
    <w:rPr>
      <w:rFonts w:ascii="Times New Roman" w:eastAsia="Times New Roman" w:hAnsi="Times New Roman" w:cs="Times New Roman"/>
      <w:sz w:val="20"/>
      <w:szCs w:val="20"/>
      <w:lang w:eastAsia="lv-LV"/>
    </w:rPr>
  </w:style>
  <w:style w:type="character" w:styleId="PageNumber">
    <w:name w:val="page number"/>
    <w:basedOn w:val="DefaultParagraphFont"/>
    <w:uiPriority w:val="99"/>
    <w:rsid w:val="004705C0"/>
    <w:rPr>
      <w:rFonts w:cs="Times New Roman"/>
    </w:rPr>
  </w:style>
  <w:style w:type="paragraph" w:styleId="ListParagraph">
    <w:name w:val="List Paragraph"/>
    <w:basedOn w:val="Normal"/>
    <w:uiPriority w:val="99"/>
    <w:qFormat/>
    <w:rsid w:val="004705C0"/>
    <w:pPr>
      <w:widowControl/>
      <w:autoSpaceDE/>
      <w:autoSpaceDN/>
      <w:adjustRightInd/>
      <w:ind w:left="720"/>
    </w:pPr>
    <w:rPr>
      <w:rFonts w:ascii="Calibri" w:eastAsia="Calibri" w:hAnsi="Calibri"/>
      <w:sz w:val="22"/>
      <w:szCs w:val="22"/>
    </w:rPr>
  </w:style>
  <w:style w:type="paragraph" w:styleId="FootnoteText">
    <w:name w:val="footnote text"/>
    <w:basedOn w:val="Normal"/>
    <w:link w:val="FootnoteTextChar"/>
    <w:uiPriority w:val="99"/>
    <w:semiHidden/>
    <w:rsid w:val="004705C0"/>
  </w:style>
  <w:style w:type="character" w:customStyle="1" w:styleId="FootnoteTextChar">
    <w:name w:val="Footnote Text Char"/>
    <w:basedOn w:val="DefaultParagraphFont"/>
    <w:link w:val="FootnoteText"/>
    <w:uiPriority w:val="99"/>
    <w:semiHidden/>
    <w:rsid w:val="004705C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4705C0"/>
    <w:rPr>
      <w:rFonts w:cs="Times New Roman"/>
      <w:vertAlign w:val="superscript"/>
    </w:rPr>
  </w:style>
  <w:style w:type="paragraph" w:styleId="CommentText">
    <w:name w:val="annotation text"/>
    <w:basedOn w:val="Normal"/>
    <w:link w:val="CommentTextChar"/>
    <w:uiPriority w:val="99"/>
    <w:semiHidden/>
    <w:rsid w:val="004705C0"/>
  </w:style>
  <w:style w:type="character" w:customStyle="1" w:styleId="CommentTextChar">
    <w:name w:val="Comment Text Char"/>
    <w:basedOn w:val="DefaultParagraphFont"/>
    <w:link w:val="CommentText"/>
    <w:uiPriority w:val="99"/>
    <w:semiHidden/>
    <w:rsid w:val="004705C0"/>
    <w:rPr>
      <w:rFonts w:ascii="Times New Roman" w:eastAsia="Times New Roman" w:hAnsi="Times New Roman" w:cs="Times New Roman"/>
      <w:sz w:val="20"/>
      <w:szCs w:val="20"/>
      <w:lang w:eastAsia="lv-LV"/>
    </w:rPr>
  </w:style>
  <w:style w:type="paragraph" w:customStyle="1" w:styleId="naisf">
    <w:name w:val="naisf"/>
    <w:basedOn w:val="Normal"/>
    <w:rsid w:val="004705C0"/>
    <w:pPr>
      <w:widowControl/>
      <w:autoSpaceDE/>
      <w:autoSpaceDN/>
      <w:adjustRightInd/>
      <w:spacing w:before="75" w:after="75"/>
      <w:ind w:firstLine="375"/>
      <w:jc w:val="both"/>
    </w:pPr>
    <w:rPr>
      <w:sz w:val="24"/>
      <w:szCs w:val="24"/>
    </w:rPr>
  </w:style>
  <w:style w:type="paragraph" w:customStyle="1" w:styleId="naispant">
    <w:name w:val="naispant"/>
    <w:basedOn w:val="Normal"/>
    <w:uiPriority w:val="99"/>
    <w:rsid w:val="004705C0"/>
    <w:pPr>
      <w:widowControl/>
      <w:autoSpaceDE/>
      <w:autoSpaceDN/>
      <w:adjustRightInd/>
      <w:spacing w:before="300" w:after="150"/>
      <w:ind w:left="375" w:firstLine="375"/>
      <w:jc w:val="both"/>
    </w:pPr>
    <w:rPr>
      <w:b/>
      <w:bCs/>
      <w:sz w:val="24"/>
      <w:szCs w:val="24"/>
    </w:rPr>
  </w:style>
  <w:style w:type="paragraph" w:customStyle="1" w:styleId="naisc">
    <w:name w:val="naisc"/>
    <w:basedOn w:val="Normal"/>
    <w:uiPriority w:val="99"/>
    <w:rsid w:val="004705C0"/>
    <w:pPr>
      <w:widowControl/>
      <w:autoSpaceDE/>
      <w:autoSpaceDN/>
      <w:adjustRightInd/>
      <w:spacing w:before="100" w:after="100"/>
      <w:jc w:val="center"/>
    </w:pPr>
    <w:rPr>
      <w:sz w:val="26"/>
      <w:lang w:val="en-GB"/>
    </w:rPr>
  </w:style>
  <w:style w:type="character" w:customStyle="1" w:styleId="Heading1Char">
    <w:name w:val="Heading 1 Char"/>
    <w:basedOn w:val="DefaultParagraphFont"/>
    <w:link w:val="Heading1"/>
    <w:rsid w:val="00B3013A"/>
    <w:rPr>
      <w:rFonts w:ascii="Times New Roman" w:eastAsia="Times New Roman" w:hAnsi="Times New Roman" w:cs="Times New Roman"/>
      <w:b/>
      <w:bCs/>
      <w:sz w:val="24"/>
      <w:szCs w:val="24"/>
    </w:rPr>
  </w:style>
  <w:style w:type="paragraph" w:styleId="BodyText2">
    <w:name w:val="Body Text 2"/>
    <w:basedOn w:val="Normal"/>
    <w:link w:val="BodyText2Char"/>
    <w:rsid w:val="00B3013A"/>
    <w:pPr>
      <w:widowControl/>
      <w:autoSpaceDE/>
      <w:autoSpaceDN/>
      <w:adjustRightInd/>
      <w:spacing w:after="120" w:line="480" w:lineRule="auto"/>
    </w:pPr>
    <w:rPr>
      <w:sz w:val="24"/>
      <w:szCs w:val="24"/>
      <w:lang w:val="en-GB" w:eastAsia="en-US"/>
    </w:rPr>
  </w:style>
  <w:style w:type="character" w:customStyle="1" w:styleId="BodyText2Char">
    <w:name w:val="Body Text 2 Char"/>
    <w:basedOn w:val="DefaultParagraphFont"/>
    <w:link w:val="BodyText2"/>
    <w:rsid w:val="00B3013A"/>
    <w:rPr>
      <w:rFonts w:ascii="Times New Roman" w:eastAsia="Times New Roman" w:hAnsi="Times New Roman" w:cs="Times New Roman"/>
      <w:sz w:val="24"/>
      <w:szCs w:val="24"/>
      <w:lang w:val="en-GB"/>
    </w:rPr>
  </w:style>
  <w:style w:type="paragraph" w:customStyle="1" w:styleId="Considrant">
    <w:name w:val="Considérant"/>
    <w:basedOn w:val="Normal"/>
    <w:rsid w:val="001C116B"/>
    <w:pPr>
      <w:widowControl/>
      <w:numPr>
        <w:numId w:val="13"/>
      </w:numPr>
      <w:autoSpaceDE/>
      <w:autoSpaceDN/>
      <w:adjustRightInd/>
      <w:spacing w:before="120" w:after="120"/>
      <w:jc w:val="both"/>
    </w:pPr>
    <w:rPr>
      <w:rFonts w:eastAsia="Calibri"/>
      <w:sz w:val="24"/>
      <w:szCs w:val="24"/>
    </w:rPr>
  </w:style>
  <w:style w:type="paragraph" w:styleId="BalloonText">
    <w:name w:val="Balloon Text"/>
    <w:basedOn w:val="Normal"/>
    <w:link w:val="BalloonTextChar"/>
    <w:uiPriority w:val="99"/>
    <w:semiHidden/>
    <w:unhideWhenUsed/>
    <w:rsid w:val="00B36CE5"/>
    <w:rPr>
      <w:rFonts w:ascii="Tahoma" w:hAnsi="Tahoma" w:cs="Tahoma"/>
      <w:sz w:val="16"/>
      <w:szCs w:val="16"/>
    </w:rPr>
  </w:style>
  <w:style w:type="character" w:customStyle="1" w:styleId="BalloonTextChar">
    <w:name w:val="Balloon Text Char"/>
    <w:basedOn w:val="DefaultParagraphFont"/>
    <w:link w:val="BalloonText"/>
    <w:uiPriority w:val="99"/>
    <w:semiHidden/>
    <w:rsid w:val="00B36CE5"/>
    <w:rPr>
      <w:rFonts w:ascii="Tahoma" w:eastAsia="Times New Roman" w:hAnsi="Tahoma" w:cs="Tahoma"/>
      <w:sz w:val="16"/>
      <w:szCs w:val="16"/>
      <w:lang w:eastAsia="lv-LV"/>
    </w:rPr>
  </w:style>
  <w:style w:type="character" w:customStyle="1" w:styleId="Heading2Char">
    <w:name w:val="Heading 2 Char"/>
    <w:basedOn w:val="DefaultParagraphFont"/>
    <w:link w:val="Heading2"/>
    <w:uiPriority w:val="9"/>
    <w:rsid w:val="003E6447"/>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rsid w:val="003E6447"/>
    <w:rPr>
      <w:rFonts w:asciiTheme="majorHAnsi" w:eastAsiaTheme="majorEastAsia" w:hAnsiTheme="majorHAnsi" w:cstheme="majorBidi"/>
      <w:b/>
      <w:bCs/>
      <w:color w:val="4F81BD" w:themeColor="accent1"/>
      <w:sz w:val="20"/>
      <w:szCs w:val="20"/>
      <w:lang w:eastAsia="lv-LV"/>
    </w:rPr>
  </w:style>
  <w:style w:type="character" w:customStyle="1" w:styleId="Heading4Char">
    <w:name w:val="Heading 4 Char"/>
    <w:basedOn w:val="DefaultParagraphFont"/>
    <w:link w:val="Heading4"/>
    <w:uiPriority w:val="9"/>
    <w:rsid w:val="003E6447"/>
    <w:rPr>
      <w:rFonts w:asciiTheme="majorHAnsi" w:eastAsiaTheme="majorEastAsia" w:hAnsiTheme="majorHAnsi" w:cstheme="majorBidi"/>
      <w:b/>
      <w:bCs/>
      <w:i/>
      <w:iCs/>
      <w:color w:val="4F81BD" w:themeColor="accent1"/>
      <w:sz w:val="20"/>
      <w:szCs w:val="20"/>
      <w:lang w:eastAsia="lv-LV"/>
    </w:rPr>
  </w:style>
  <w:style w:type="paragraph" w:customStyle="1" w:styleId="RakstzRakstzCharCharCharCharCharCharCharCharCharCharCharCharCharCharCharChar">
    <w:name w:val="Rakstz. Rakstz. Char Char Char Char Char Char Char Char Char Char Char Char Char Char Char Char"/>
    <w:basedOn w:val="Normal"/>
    <w:rsid w:val="00A834FF"/>
    <w:pPr>
      <w:widowControl/>
      <w:autoSpaceDE/>
      <w:autoSpaceDN/>
      <w:adjustRightInd/>
      <w:spacing w:after="160" w:line="240" w:lineRule="exact"/>
    </w:pPr>
    <w:rPr>
      <w:rFonts w:ascii="Tahoma" w:hAnsi="Tahoma"/>
      <w:lang w:val="en-US" w:eastAsia="en-US"/>
    </w:rPr>
  </w:style>
  <w:style w:type="paragraph" w:customStyle="1" w:styleId="story">
    <w:name w:val="story"/>
    <w:basedOn w:val="Normal"/>
    <w:rsid w:val="002E731F"/>
    <w:pPr>
      <w:widowControl/>
      <w:shd w:val="clear" w:color="auto" w:fill="FFFFFF"/>
      <w:autoSpaceDE/>
      <w:autoSpaceDN/>
      <w:adjustRightInd/>
      <w:spacing w:before="90" w:after="90" w:line="384" w:lineRule="auto"/>
      <w:ind w:left="150" w:right="225" w:firstLine="225"/>
      <w:jc w:val="both"/>
    </w:pPr>
    <w:rPr>
      <w:rFonts w:ascii="Verdana" w:hAnsi="Verdana"/>
      <w:color w:val="000080"/>
      <w:sz w:val="18"/>
      <w:szCs w:val="18"/>
    </w:rPr>
  </w:style>
  <w:style w:type="paragraph" w:customStyle="1" w:styleId="Default">
    <w:name w:val="Default"/>
    <w:rsid w:val="004C768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4C7685"/>
    <w:rPr>
      <w:rFonts w:cstheme="minorBidi"/>
      <w:color w:val="auto"/>
    </w:rPr>
  </w:style>
  <w:style w:type="paragraph" w:customStyle="1" w:styleId="CM3">
    <w:name w:val="CM3"/>
    <w:basedOn w:val="Default"/>
    <w:next w:val="Default"/>
    <w:uiPriority w:val="99"/>
    <w:rsid w:val="004C7685"/>
    <w:rPr>
      <w:rFonts w:cstheme="minorBidi"/>
      <w:color w:val="auto"/>
    </w:rPr>
  </w:style>
  <w:style w:type="paragraph" w:styleId="NormalWeb">
    <w:name w:val="Normal (Web)"/>
    <w:basedOn w:val="Normal"/>
    <w:uiPriority w:val="99"/>
    <w:rsid w:val="00E86297"/>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1L0037:20090807:LV: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nda.Duntava@em.gov.lv" TargetMode="External"/><Relationship Id="rId4" Type="http://schemas.openxmlformats.org/officeDocument/2006/relationships/settings" Target="settings.xml"/><Relationship Id="rId9" Type="http://schemas.openxmlformats.org/officeDocument/2006/relationships/hyperlink" Target="http://eur-lex.europa.eu/LexUriServ/LexUriServ.do?uri=CONSLEG:2001L0037:20090807:LV: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FDF1-EA7B-4E66-BDA9-4BC1A08F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9</Pages>
  <Words>2915</Words>
  <Characters>20323</Characters>
  <Application>Microsoft Office Word</Application>
  <DocSecurity>0</DocSecurity>
  <Lines>521</Lines>
  <Paragraphs>135</Paragraphs>
  <ScaleCrop>false</ScaleCrop>
  <HeadingPairs>
    <vt:vector size="2" baseType="variant">
      <vt:variant>
        <vt:lpstr>Title</vt:lpstr>
      </vt:variant>
      <vt:variant>
        <vt:i4>1</vt:i4>
      </vt:variant>
    </vt:vector>
  </HeadingPairs>
  <TitlesOfParts>
    <vt:vector size="1" baseType="lpstr">
      <vt:lpstr>Informatīvais ziņojums "Par kompetenču sadalījumu, ieviešot cigarešu samazināta degšanas potenciāla prasības"</vt:lpstr>
    </vt:vector>
  </TitlesOfParts>
  <Company>LR Ekonomikas ministrija</Company>
  <LinksUpToDate>false</LinksUpToDate>
  <CharactersWithSpaces>23103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kompetenču sadalījumu, ieviešot cigarešu samazināta degšanas potenciāla prasības"</dc:title>
  <dc:subject>Informatīvais ziņojums</dc:subject>
  <dc:creator>Linda Duntava</dc:creator>
  <cp:keywords/>
  <dc:description>Linda.Duntava@em.gov.lv; 67013213</dc:description>
  <cp:lastModifiedBy>Linda Duntava</cp:lastModifiedBy>
  <cp:revision>38</cp:revision>
  <cp:lastPrinted>2011-11-01T14:49:00Z</cp:lastPrinted>
  <dcterms:created xsi:type="dcterms:W3CDTF">2011-06-21T13:24:00Z</dcterms:created>
  <dcterms:modified xsi:type="dcterms:W3CDTF">2011-11-29T06:48:00Z</dcterms:modified>
</cp:coreProperties>
</file>