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A8" w:rsidRPr="00627243" w:rsidRDefault="00627243" w:rsidP="00627243">
      <w:pPr>
        <w:spacing w:after="0" w:line="240" w:lineRule="auto"/>
        <w:jc w:val="center"/>
        <w:rPr>
          <w:rFonts w:ascii="Times New Roman" w:hAnsi="Times New Roman" w:cs="Times New Roman"/>
          <w:b/>
          <w:sz w:val="28"/>
          <w:szCs w:val="28"/>
        </w:rPr>
      </w:pPr>
      <w:r w:rsidRPr="00627243">
        <w:rPr>
          <w:rFonts w:ascii="Times New Roman" w:hAnsi="Times New Roman" w:cs="Times New Roman"/>
          <w:b/>
          <w:sz w:val="28"/>
          <w:szCs w:val="28"/>
        </w:rPr>
        <w:t>INFORMATĪVAIS ZIŅOJUMS</w:t>
      </w:r>
    </w:p>
    <w:p w:rsidR="00627243" w:rsidRDefault="00627243" w:rsidP="00973477">
      <w:pPr>
        <w:spacing w:after="0" w:line="240" w:lineRule="auto"/>
        <w:rPr>
          <w:rFonts w:ascii="Times New Roman" w:hAnsi="Times New Roman" w:cs="Times New Roman"/>
          <w:sz w:val="28"/>
          <w:szCs w:val="28"/>
        </w:rPr>
      </w:pPr>
    </w:p>
    <w:p w:rsidR="00973477" w:rsidRDefault="00627243" w:rsidP="00627243">
      <w:pPr>
        <w:spacing w:after="0" w:line="240" w:lineRule="auto"/>
        <w:jc w:val="center"/>
        <w:rPr>
          <w:rFonts w:ascii="Times New Roman" w:hAnsi="Times New Roman" w:cs="Times New Roman"/>
          <w:b/>
          <w:sz w:val="28"/>
          <w:szCs w:val="28"/>
        </w:rPr>
      </w:pPr>
      <w:r w:rsidRPr="00B17DC3">
        <w:rPr>
          <w:rFonts w:ascii="Times New Roman" w:hAnsi="Times New Roman" w:cs="Times New Roman"/>
          <w:b/>
          <w:sz w:val="28"/>
          <w:szCs w:val="28"/>
        </w:rPr>
        <w:t>KOMERCDARBĪBAS KONKURĒTSPĒJAS UN INOVĀCIJAS VEICINĀŠA</w:t>
      </w:r>
      <w:r w:rsidR="00973477">
        <w:rPr>
          <w:rFonts w:ascii="Times New Roman" w:hAnsi="Times New Roman" w:cs="Times New Roman"/>
          <w:b/>
          <w:sz w:val="28"/>
          <w:szCs w:val="28"/>
        </w:rPr>
        <w:t>NAS PROGRAMMAS 2007.-2013.GADAM</w:t>
      </w:r>
    </w:p>
    <w:p w:rsidR="00627243" w:rsidRPr="00B17DC3" w:rsidRDefault="00973477" w:rsidP="006272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IZPILDE</w:t>
      </w:r>
      <w:r w:rsidR="00627243" w:rsidRPr="00B17DC3">
        <w:rPr>
          <w:rFonts w:ascii="Times New Roman" w:hAnsi="Times New Roman" w:cs="Times New Roman"/>
          <w:b/>
          <w:sz w:val="28"/>
          <w:szCs w:val="28"/>
        </w:rPr>
        <w:t xml:space="preserve"> 2010.GADĀ</w:t>
      </w:r>
    </w:p>
    <w:p w:rsidR="00732810" w:rsidRDefault="00732810" w:rsidP="00B17DC3">
      <w:pPr>
        <w:spacing w:after="0" w:line="240" w:lineRule="auto"/>
        <w:jc w:val="both"/>
        <w:rPr>
          <w:rFonts w:ascii="Times New Roman" w:hAnsi="Times New Roman" w:cs="Times New Roman"/>
          <w:sz w:val="28"/>
          <w:szCs w:val="28"/>
        </w:rPr>
      </w:pPr>
    </w:p>
    <w:p w:rsidR="00B17DC3" w:rsidRPr="00B17DC3" w:rsidRDefault="00B17DC3" w:rsidP="00B17DC3">
      <w:pPr>
        <w:pStyle w:val="ListParagraph"/>
        <w:numPr>
          <w:ilvl w:val="0"/>
          <w:numId w:val="1"/>
        </w:numPr>
        <w:spacing w:after="0" w:line="240" w:lineRule="auto"/>
        <w:ind w:left="426" w:hanging="426"/>
        <w:jc w:val="both"/>
        <w:rPr>
          <w:rFonts w:ascii="Times New Roman" w:hAnsi="Times New Roman" w:cs="Times New Roman"/>
          <w:b/>
          <w:sz w:val="28"/>
          <w:szCs w:val="28"/>
        </w:rPr>
      </w:pPr>
      <w:r w:rsidRPr="00B17DC3">
        <w:rPr>
          <w:rFonts w:ascii="Times New Roman" w:hAnsi="Times New Roman" w:cs="Times New Roman"/>
          <w:b/>
          <w:sz w:val="28"/>
          <w:szCs w:val="28"/>
        </w:rPr>
        <w:t>Ievads</w:t>
      </w:r>
    </w:p>
    <w:p w:rsidR="00B17DC3" w:rsidRDefault="00B17DC3" w:rsidP="00B17DC3">
      <w:pPr>
        <w:spacing w:after="0" w:line="240" w:lineRule="auto"/>
        <w:jc w:val="both"/>
        <w:rPr>
          <w:rFonts w:ascii="Times New Roman" w:hAnsi="Times New Roman" w:cs="Times New Roman"/>
          <w:sz w:val="28"/>
          <w:szCs w:val="28"/>
        </w:rPr>
      </w:pPr>
    </w:p>
    <w:p w:rsidR="00356E1F" w:rsidRPr="003C40AE" w:rsidRDefault="00356E1F" w:rsidP="003C40AE">
      <w:pPr>
        <w:spacing w:after="0" w:line="240" w:lineRule="auto"/>
        <w:ind w:firstLine="720"/>
        <w:jc w:val="both"/>
        <w:rPr>
          <w:rFonts w:ascii="Times New Roman" w:hAnsi="Times New Roman" w:cs="Times New Roman"/>
          <w:sz w:val="28"/>
          <w:szCs w:val="28"/>
        </w:rPr>
      </w:pPr>
      <w:r w:rsidRPr="003C40AE">
        <w:rPr>
          <w:rFonts w:ascii="Times New Roman" w:hAnsi="Times New Roman" w:cs="Times New Roman"/>
          <w:sz w:val="28"/>
          <w:szCs w:val="28"/>
        </w:rPr>
        <w:t xml:space="preserve">Komercdarbības konkurētspējas un inovācijas veicināšanas programma 2007.-2013.gadam (turpmāk – </w:t>
      </w:r>
      <w:r w:rsidR="003C40AE" w:rsidRPr="003C40AE">
        <w:rPr>
          <w:rFonts w:ascii="Times New Roman" w:hAnsi="Times New Roman" w:cs="Times New Roman"/>
          <w:sz w:val="28"/>
          <w:szCs w:val="28"/>
        </w:rPr>
        <w:t>programma</w:t>
      </w:r>
      <w:r w:rsidRPr="003C40AE">
        <w:rPr>
          <w:rFonts w:ascii="Times New Roman" w:hAnsi="Times New Roman" w:cs="Times New Roman"/>
          <w:sz w:val="28"/>
          <w:szCs w:val="28"/>
        </w:rPr>
        <w:t>), kas tika apstiprināta ar Ministru kabineta (turpmāk – MK) 2007.gada 28.jūnija rīkojumu Nr.406, ir politikas plānošanas dokuments, kas vidējā termiņā (laika periodam no 2007.</w:t>
      </w:r>
      <w:r w:rsidR="00D159AD">
        <w:rPr>
          <w:rFonts w:ascii="Times New Roman" w:hAnsi="Times New Roman" w:cs="Times New Roman"/>
          <w:sz w:val="28"/>
          <w:szCs w:val="28"/>
        </w:rPr>
        <w:t xml:space="preserve"> līdz </w:t>
      </w:r>
      <w:r w:rsidRPr="003C40AE">
        <w:rPr>
          <w:rFonts w:ascii="Times New Roman" w:hAnsi="Times New Roman" w:cs="Times New Roman"/>
          <w:sz w:val="28"/>
          <w:szCs w:val="28"/>
        </w:rPr>
        <w:t xml:space="preserve">2013.gadam) izvirza galvenos </w:t>
      </w:r>
      <w:r w:rsidR="00AF6A02" w:rsidRPr="003C40AE">
        <w:rPr>
          <w:rFonts w:ascii="Times New Roman" w:hAnsi="Times New Roman" w:cs="Times New Roman"/>
          <w:sz w:val="28"/>
          <w:szCs w:val="28"/>
        </w:rPr>
        <w:t xml:space="preserve">komercdarbības konkurētspējas, inovācijas un rūpniecības attīstības </w:t>
      </w:r>
      <w:r w:rsidRPr="003C40AE">
        <w:rPr>
          <w:rFonts w:ascii="Times New Roman" w:hAnsi="Times New Roman" w:cs="Times New Roman"/>
          <w:sz w:val="28"/>
          <w:szCs w:val="28"/>
        </w:rPr>
        <w:t>mērķus un šo mērķu sasniegšanai īstenojamos rīcības virzienus</w:t>
      </w:r>
      <w:r w:rsidR="003C4650" w:rsidRPr="003C40AE">
        <w:rPr>
          <w:rFonts w:ascii="Times New Roman" w:hAnsi="Times New Roman" w:cs="Times New Roman"/>
          <w:sz w:val="28"/>
          <w:szCs w:val="28"/>
        </w:rPr>
        <w:t xml:space="preserve"> un </w:t>
      </w:r>
      <w:r w:rsidRPr="003C40AE">
        <w:rPr>
          <w:rFonts w:ascii="Times New Roman" w:hAnsi="Times New Roman" w:cs="Times New Roman"/>
          <w:sz w:val="28"/>
          <w:szCs w:val="28"/>
        </w:rPr>
        <w:t>būtiskākos uzdevumus</w:t>
      </w:r>
      <w:r w:rsidR="003C4650" w:rsidRPr="003C40AE">
        <w:rPr>
          <w:rFonts w:ascii="Times New Roman" w:hAnsi="Times New Roman" w:cs="Times New Roman"/>
          <w:sz w:val="28"/>
          <w:szCs w:val="28"/>
        </w:rPr>
        <w:t>.</w:t>
      </w:r>
    </w:p>
    <w:p w:rsidR="00A9135F" w:rsidRPr="003C40AE" w:rsidRDefault="003C40AE" w:rsidP="003C40AE">
      <w:pPr>
        <w:spacing w:after="0" w:line="240" w:lineRule="auto"/>
        <w:ind w:firstLine="720"/>
        <w:jc w:val="both"/>
        <w:rPr>
          <w:rFonts w:ascii="Times New Roman" w:hAnsi="Times New Roman" w:cs="Times New Roman"/>
          <w:sz w:val="28"/>
          <w:szCs w:val="28"/>
        </w:rPr>
      </w:pPr>
      <w:r w:rsidRPr="003C40AE">
        <w:rPr>
          <w:rFonts w:ascii="Times New Roman" w:hAnsi="Times New Roman" w:cs="Times New Roman"/>
          <w:sz w:val="28"/>
          <w:szCs w:val="28"/>
        </w:rPr>
        <w:t>P</w:t>
      </w:r>
      <w:r w:rsidR="00A9135F" w:rsidRPr="003C40AE">
        <w:rPr>
          <w:rFonts w:ascii="Times New Roman" w:hAnsi="Times New Roman" w:cs="Times New Roman"/>
          <w:sz w:val="28"/>
          <w:szCs w:val="28"/>
        </w:rPr>
        <w:t>rogramma</w:t>
      </w:r>
      <w:r w:rsidR="003C4650" w:rsidRPr="003C40AE">
        <w:rPr>
          <w:rFonts w:ascii="Times New Roman" w:hAnsi="Times New Roman" w:cs="Times New Roman"/>
          <w:sz w:val="28"/>
          <w:szCs w:val="28"/>
        </w:rPr>
        <w:t>s</w:t>
      </w:r>
      <w:r w:rsidR="00A9135F" w:rsidRPr="003C40AE">
        <w:rPr>
          <w:rFonts w:ascii="Times New Roman" w:hAnsi="Times New Roman" w:cs="Times New Roman"/>
          <w:sz w:val="28"/>
          <w:szCs w:val="28"/>
        </w:rPr>
        <w:t xml:space="preserve"> </w:t>
      </w:r>
      <w:r w:rsidR="003C4650" w:rsidRPr="003C40AE">
        <w:rPr>
          <w:rFonts w:ascii="Times New Roman" w:hAnsi="Times New Roman" w:cs="Times New Roman"/>
          <w:sz w:val="28"/>
          <w:szCs w:val="28"/>
        </w:rPr>
        <w:t>galvenie mērķi ir</w:t>
      </w:r>
      <w:r w:rsidR="00A9135F" w:rsidRPr="003C40AE">
        <w:rPr>
          <w:rFonts w:ascii="Times New Roman" w:hAnsi="Times New Roman" w:cs="Times New Roman"/>
          <w:sz w:val="28"/>
          <w:szCs w:val="28"/>
        </w:rPr>
        <w:t xml:space="preserve"> </w:t>
      </w:r>
      <w:r w:rsidR="003C4650" w:rsidRPr="003C40AE">
        <w:rPr>
          <w:rFonts w:ascii="Times New Roman" w:hAnsi="Times New Roman" w:cs="Times New Roman"/>
          <w:sz w:val="28"/>
          <w:szCs w:val="28"/>
        </w:rPr>
        <w:t>labvēlīgu nosacījumu</w:t>
      </w:r>
      <w:r w:rsidR="00A9135F" w:rsidRPr="003C40AE">
        <w:rPr>
          <w:rFonts w:ascii="Times New Roman" w:hAnsi="Times New Roman" w:cs="Times New Roman"/>
          <w:sz w:val="28"/>
          <w:szCs w:val="28"/>
        </w:rPr>
        <w:t xml:space="preserve"> </w:t>
      </w:r>
      <w:r w:rsidR="00AF6A02" w:rsidRPr="003C40AE">
        <w:rPr>
          <w:rFonts w:ascii="Times New Roman" w:hAnsi="Times New Roman" w:cs="Times New Roman"/>
          <w:sz w:val="28"/>
          <w:szCs w:val="28"/>
        </w:rPr>
        <w:t xml:space="preserve">nodrošināšana </w:t>
      </w:r>
      <w:r w:rsidR="00A9135F" w:rsidRPr="003C40AE">
        <w:rPr>
          <w:rFonts w:ascii="Times New Roman" w:hAnsi="Times New Roman" w:cs="Times New Roman"/>
          <w:sz w:val="28"/>
          <w:szCs w:val="28"/>
        </w:rPr>
        <w:t xml:space="preserve">komercdarbības attīstībai, </w:t>
      </w:r>
      <w:r w:rsidR="0030195A" w:rsidRPr="003C40AE">
        <w:rPr>
          <w:rFonts w:ascii="Times New Roman" w:hAnsi="Times New Roman" w:cs="Times New Roman"/>
          <w:sz w:val="28"/>
          <w:szCs w:val="28"/>
        </w:rPr>
        <w:t>n</w:t>
      </w:r>
      <w:r w:rsidR="00A9135F" w:rsidRPr="003C40AE">
        <w:rPr>
          <w:rFonts w:ascii="Times New Roman" w:hAnsi="Times New Roman" w:cs="Times New Roman"/>
          <w:sz w:val="28"/>
          <w:szCs w:val="28"/>
        </w:rPr>
        <w:t>acionālās inovācijas sistēmas kapacitātes un efektivitātes palielinā</w:t>
      </w:r>
      <w:r w:rsidR="00AF6A02" w:rsidRPr="003C40AE">
        <w:rPr>
          <w:rFonts w:ascii="Times New Roman" w:hAnsi="Times New Roman" w:cs="Times New Roman"/>
          <w:sz w:val="28"/>
          <w:szCs w:val="28"/>
        </w:rPr>
        <w:t>šanas</w:t>
      </w:r>
      <w:r w:rsidR="003C4650" w:rsidRPr="003C40AE">
        <w:rPr>
          <w:rFonts w:ascii="Times New Roman" w:hAnsi="Times New Roman" w:cs="Times New Roman"/>
          <w:sz w:val="28"/>
          <w:szCs w:val="28"/>
        </w:rPr>
        <w:t xml:space="preserve"> veicināšana</w:t>
      </w:r>
      <w:r w:rsidR="00A9135F" w:rsidRPr="003C40AE">
        <w:rPr>
          <w:rFonts w:ascii="Times New Roman" w:hAnsi="Times New Roman" w:cs="Times New Roman"/>
          <w:sz w:val="28"/>
          <w:szCs w:val="28"/>
        </w:rPr>
        <w:t xml:space="preserve">, kā arī </w:t>
      </w:r>
      <w:r w:rsidR="003C4650" w:rsidRPr="003C40AE">
        <w:rPr>
          <w:rFonts w:ascii="Times New Roman" w:hAnsi="Times New Roman" w:cs="Times New Roman"/>
          <w:sz w:val="28"/>
          <w:szCs w:val="28"/>
        </w:rPr>
        <w:t>būtiska</w:t>
      </w:r>
      <w:r w:rsidR="00A9135F" w:rsidRPr="003C40AE">
        <w:rPr>
          <w:rFonts w:ascii="Times New Roman" w:hAnsi="Times New Roman" w:cs="Times New Roman"/>
          <w:sz w:val="28"/>
          <w:szCs w:val="28"/>
        </w:rPr>
        <w:t xml:space="preserve"> konkurētspē</w:t>
      </w:r>
      <w:r w:rsidR="003C4650" w:rsidRPr="003C40AE">
        <w:rPr>
          <w:rFonts w:ascii="Times New Roman" w:hAnsi="Times New Roman" w:cs="Times New Roman"/>
          <w:sz w:val="28"/>
          <w:szCs w:val="28"/>
        </w:rPr>
        <w:t>jas un produktivitātes pieauguma</w:t>
      </w:r>
      <w:r w:rsidR="00A9135F" w:rsidRPr="003C40AE">
        <w:rPr>
          <w:rFonts w:ascii="Times New Roman" w:hAnsi="Times New Roman" w:cs="Times New Roman"/>
          <w:sz w:val="28"/>
          <w:szCs w:val="28"/>
        </w:rPr>
        <w:t xml:space="preserve"> rūpniecībā</w:t>
      </w:r>
      <w:r w:rsidR="003C4650" w:rsidRPr="003C40AE">
        <w:rPr>
          <w:rFonts w:ascii="Times New Roman" w:hAnsi="Times New Roman" w:cs="Times New Roman"/>
          <w:sz w:val="28"/>
          <w:szCs w:val="28"/>
        </w:rPr>
        <w:t xml:space="preserve"> panākšana</w:t>
      </w:r>
      <w:r w:rsidR="00A9135F" w:rsidRPr="003C40AE">
        <w:rPr>
          <w:rFonts w:ascii="Times New Roman" w:hAnsi="Times New Roman" w:cs="Times New Roman"/>
          <w:sz w:val="28"/>
          <w:szCs w:val="28"/>
        </w:rPr>
        <w:t>.</w:t>
      </w:r>
    </w:p>
    <w:p w:rsidR="003C40AE" w:rsidRPr="003C40AE" w:rsidRDefault="003C40AE" w:rsidP="003C40AE">
      <w:pPr>
        <w:spacing w:after="0" w:line="240" w:lineRule="auto"/>
        <w:ind w:firstLine="720"/>
        <w:jc w:val="both"/>
        <w:rPr>
          <w:rFonts w:ascii="Times New Roman" w:hAnsi="Times New Roman" w:cs="Times New Roman"/>
          <w:sz w:val="28"/>
          <w:szCs w:val="28"/>
        </w:rPr>
      </w:pPr>
      <w:r w:rsidRPr="003C40AE">
        <w:rPr>
          <w:rFonts w:ascii="Times New Roman" w:hAnsi="Times New Roman" w:cs="Times New Roman"/>
          <w:sz w:val="28"/>
          <w:szCs w:val="28"/>
        </w:rPr>
        <w:t>Programmas</w:t>
      </w:r>
      <w:r w:rsidR="00A9135F" w:rsidRPr="003C40AE">
        <w:rPr>
          <w:rFonts w:ascii="Times New Roman" w:hAnsi="Times New Roman" w:cs="Times New Roman"/>
          <w:sz w:val="28"/>
          <w:szCs w:val="28"/>
        </w:rPr>
        <w:t xml:space="preserve"> mērķu sasniegšanai </w:t>
      </w:r>
      <w:r w:rsidR="00A53935" w:rsidRPr="003C40AE">
        <w:rPr>
          <w:rFonts w:ascii="Times New Roman" w:hAnsi="Times New Roman" w:cs="Times New Roman"/>
          <w:sz w:val="28"/>
          <w:szCs w:val="28"/>
        </w:rPr>
        <w:t xml:space="preserve">izvirzīti </w:t>
      </w:r>
      <w:r w:rsidRPr="003C40AE">
        <w:rPr>
          <w:rFonts w:ascii="Times New Roman" w:hAnsi="Times New Roman" w:cs="Times New Roman"/>
          <w:sz w:val="28"/>
          <w:szCs w:val="28"/>
        </w:rPr>
        <w:t xml:space="preserve">sekojoši </w:t>
      </w:r>
      <w:r w:rsidR="00A9135F" w:rsidRPr="003C40AE">
        <w:rPr>
          <w:rFonts w:ascii="Times New Roman" w:hAnsi="Times New Roman" w:cs="Times New Roman"/>
          <w:sz w:val="28"/>
          <w:szCs w:val="28"/>
        </w:rPr>
        <w:t>galvenie rīcība</w:t>
      </w:r>
      <w:r w:rsidR="00352123" w:rsidRPr="003C40AE">
        <w:rPr>
          <w:rFonts w:ascii="Times New Roman" w:hAnsi="Times New Roman" w:cs="Times New Roman"/>
          <w:sz w:val="28"/>
          <w:szCs w:val="28"/>
        </w:rPr>
        <w:t>s virzieni</w:t>
      </w:r>
      <w:r w:rsidRPr="003C40AE">
        <w:rPr>
          <w:rFonts w:ascii="Times New Roman" w:hAnsi="Times New Roman" w:cs="Times New Roman"/>
          <w:sz w:val="28"/>
          <w:szCs w:val="28"/>
        </w:rPr>
        <w:t>:</w:t>
      </w:r>
    </w:p>
    <w:p w:rsidR="004E4687" w:rsidRDefault="004E4687" w:rsidP="000D3CA7">
      <w:pPr>
        <w:pStyle w:val="ListParagraph"/>
        <w:numPr>
          <w:ilvl w:val="1"/>
          <w:numId w:val="11"/>
        </w:numPr>
        <w:spacing w:after="0" w:line="240" w:lineRule="auto"/>
        <w:ind w:left="709" w:hanging="349"/>
        <w:jc w:val="both"/>
        <w:rPr>
          <w:rFonts w:ascii="Times New Roman" w:hAnsi="Times New Roman" w:cs="Times New Roman"/>
          <w:sz w:val="28"/>
          <w:szCs w:val="28"/>
        </w:rPr>
      </w:pPr>
      <w:r w:rsidRPr="000C3072">
        <w:rPr>
          <w:rFonts w:ascii="Times New Roman" w:hAnsi="Times New Roman" w:cs="Times New Roman"/>
          <w:sz w:val="28"/>
          <w:szCs w:val="28"/>
        </w:rPr>
        <w:t>Komercdarbības vides pilnveidošana</w:t>
      </w:r>
      <w:r>
        <w:rPr>
          <w:rFonts w:ascii="Times New Roman" w:hAnsi="Times New Roman" w:cs="Times New Roman"/>
          <w:sz w:val="28"/>
          <w:szCs w:val="28"/>
        </w:rPr>
        <w:t>;</w:t>
      </w:r>
    </w:p>
    <w:p w:rsidR="004E4687" w:rsidRDefault="004E4687" w:rsidP="000D3CA7">
      <w:pPr>
        <w:pStyle w:val="ListParagraph"/>
        <w:numPr>
          <w:ilvl w:val="1"/>
          <w:numId w:val="11"/>
        </w:numPr>
        <w:spacing w:after="0" w:line="240" w:lineRule="auto"/>
        <w:ind w:left="709" w:hanging="349"/>
        <w:jc w:val="both"/>
        <w:rPr>
          <w:rFonts w:ascii="Times New Roman" w:hAnsi="Times New Roman" w:cs="Times New Roman"/>
          <w:sz w:val="28"/>
          <w:szCs w:val="28"/>
        </w:rPr>
      </w:pPr>
      <w:r w:rsidRPr="000C3072">
        <w:rPr>
          <w:rFonts w:ascii="Times New Roman" w:hAnsi="Times New Roman" w:cs="Times New Roman"/>
          <w:sz w:val="28"/>
          <w:szCs w:val="28"/>
        </w:rPr>
        <w:t>Finanšu pieejamības sekmēšana</w:t>
      </w:r>
      <w:r>
        <w:rPr>
          <w:rFonts w:ascii="Times New Roman" w:hAnsi="Times New Roman" w:cs="Times New Roman"/>
          <w:sz w:val="28"/>
          <w:szCs w:val="28"/>
        </w:rPr>
        <w:t>;</w:t>
      </w:r>
    </w:p>
    <w:p w:rsidR="003C40AE" w:rsidRPr="003C40AE" w:rsidRDefault="004E4687" w:rsidP="000D3CA7">
      <w:pPr>
        <w:pStyle w:val="ListParagraph"/>
        <w:numPr>
          <w:ilvl w:val="1"/>
          <w:numId w:val="11"/>
        </w:numPr>
        <w:spacing w:after="0" w:line="240" w:lineRule="auto"/>
        <w:ind w:left="709" w:hanging="349"/>
        <w:jc w:val="both"/>
        <w:rPr>
          <w:rFonts w:ascii="Times New Roman" w:hAnsi="Times New Roman" w:cs="Times New Roman"/>
          <w:sz w:val="28"/>
          <w:szCs w:val="28"/>
        </w:rPr>
      </w:pPr>
      <w:r w:rsidRPr="000C3072">
        <w:rPr>
          <w:rFonts w:ascii="Times New Roman" w:hAnsi="Times New Roman" w:cs="Times New Roman"/>
          <w:sz w:val="28"/>
          <w:szCs w:val="28"/>
        </w:rPr>
        <w:t>Jaunu komercdarbības iniciatīvu attīstība un to konkurētspējas veicināšana, sabiedrība</w:t>
      </w:r>
      <w:r>
        <w:rPr>
          <w:rFonts w:ascii="Times New Roman" w:hAnsi="Times New Roman" w:cs="Times New Roman"/>
          <w:sz w:val="28"/>
          <w:szCs w:val="28"/>
        </w:rPr>
        <w:t>s izpratnes</w:t>
      </w:r>
      <w:r w:rsidRPr="000C3072">
        <w:rPr>
          <w:rFonts w:ascii="Times New Roman" w:hAnsi="Times New Roman" w:cs="Times New Roman"/>
          <w:sz w:val="28"/>
          <w:szCs w:val="28"/>
        </w:rPr>
        <w:t xml:space="preserve"> par inovācijas lomu konkurētspējas veicināšanā</w:t>
      </w:r>
      <w:r w:rsidRPr="00657643">
        <w:rPr>
          <w:rFonts w:ascii="Times New Roman" w:hAnsi="Times New Roman" w:cs="Times New Roman"/>
          <w:sz w:val="28"/>
          <w:szCs w:val="28"/>
        </w:rPr>
        <w:t xml:space="preserve"> </w:t>
      </w:r>
      <w:r>
        <w:rPr>
          <w:rFonts w:ascii="Times New Roman" w:hAnsi="Times New Roman" w:cs="Times New Roman"/>
          <w:sz w:val="28"/>
          <w:szCs w:val="28"/>
        </w:rPr>
        <w:t>sekmēšana</w:t>
      </w:r>
      <w:r w:rsidR="00912A25">
        <w:rPr>
          <w:rFonts w:ascii="Times New Roman" w:hAnsi="Times New Roman" w:cs="Times New Roman"/>
          <w:sz w:val="28"/>
          <w:szCs w:val="28"/>
        </w:rPr>
        <w:t>;</w:t>
      </w:r>
    </w:p>
    <w:p w:rsidR="004E4687" w:rsidRDefault="004E4687" w:rsidP="004E4687">
      <w:pPr>
        <w:pStyle w:val="ListParagraph"/>
        <w:numPr>
          <w:ilvl w:val="1"/>
          <w:numId w:val="11"/>
        </w:num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R</w:t>
      </w:r>
      <w:r w:rsidRPr="00657643">
        <w:rPr>
          <w:rFonts w:ascii="Times New Roman" w:hAnsi="Times New Roman" w:cs="Times New Roman"/>
          <w:sz w:val="28"/>
          <w:szCs w:val="28"/>
        </w:rPr>
        <w:t>ūpniecības, izglītīb</w:t>
      </w:r>
      <w:r>
        <w:rPr>
          <w:rFonts w:ascii="Times New Roman" w:hAnsi="Times New Roman" w:cs="Times New Roman"/>
          <w:sz w:val="28"/>
          <w:szCs w:val="28"/>
        </w:rPr>
        <w:t>as un zinātnes sektoru sadarbības, zināšanu pārneses un komercializācijas sekmēšana;</w:t>
      </w:r>
    </w:p>
    <w:p w:rsidR="004E4687" w:rsidRDefault="004E4687" w:rsidP="004E4687">
      <w:pPr>
        <w:pStyle w:val="ListParagraph"/>
        <w:numPr>
          <w:ilvl w:val="1"/>
          <w:numId w:val="11"/>
        </w:numPr>
        <w:spacing w:after="0" w:line="240" w:lineRule="auto"/>
        <w:ind w:left="709" w:hanging="349"/>
        <w:jc w:val="both"/>
        <w:rPr>
          <w:rFonts w:ascii="Times New Roman" w:hAnsi="Times New Roman" w:cs="Times New Roman"/>
          <w:sz w:val="28"/>
          <w:szCs w:val="28"/>
        </w:rPr>
      </w:pPr>
      <w:r w:rsidRPr="004E4687">
        <w:rPr>
          <w:rFonts w:ascii="Times New Roman" w:hAnsi="Times New Roman" w:cs="Times New Roman"/>
          <w:sz w:val="28"/>
          <w:szCs w:val="28"/>
        </w:rPr>
        <w:t>Rūpniecības nozaru attīstības veicināšana un produktivitātes paaugstināšana</w:t>
      </w:r>
      <w:r>
        <w:rPr>
          <w:rFonts w:ascii="Times New Roman" w:hAnsi="Times New Roman" w:cs="Times New Roman"/>
          <w:sz w:val="28"/>
          <w:szCs w:val="28"/>
        </w:rPr>
        <w:t>.</w:t>
      </w:r>
    </w:p>
    <w:p w:rsidR="003E439C" w:rsidRPr="004E4687" w:rsidRDefault="003C40AE" w:rsidP="004E4687">
      <w:pPr>
        <w:spacing w:after="0" w:line="240" w:lineRule="auto"/>
        <w:ind w:firstLine="709"/>
        <w:jc w:val="both"/>
        <w:rPr>
          <w:rFonts w:ascii="Times New Roman" w:hAnsi="Times New Roman" w:cs="Times New Roman"/>
          <w:sz w:val="28"/>
          <w:szCs w:val="28"/>
        </w:rPr>
      </w:pPr>
      <w:r w:rsidRPr="004E4687">
        <w:rPr>
          <w:rFonts w:ascii="Times New Roman" w:hAnsi="Times New Roman" w:cs="Times New Roman"/>
          <w:sz w:val="28"/>
          <w:szCs w:val="28"/>
        </w:rPr>
        <w:t xml:space="preserve">Informatīvais ziņojums ir sagatavots </w:t>
      </w:r>
      <w:r w:rsidR="00D159AD" w:rsidRPr="004E4687">
        <w:rPr>
          <w:rFonts w:ascii="Times New Roman" w:hAnsi="Times New Roman" w:cs="Times New Roman"/>
          <w:sz w:val="28"/>
          <w:szCs w:val="28"/>
        </w:rPr>
        <w:t>ievērojot</w:t>
      </w:r>
      <w:r w:rsidRPr="004E4687">
        <w:rPr>
          <w:rFonts w:ascii="Times New Roman" w:hAnsi="Times New Roman" w:cs="Times New Roman"/>
          <w:sz w:val="28"/>
          <w:szCs w:val="28"/>
        </w:rPr>
        <w:t xml:space="preserve"> MK</w:t>
      </w:r>
      <w:r w:rsidR="00912A25" w:rsidRPr="004E4687">
        <w:rPr>
          <w:rFonts w:ascii="Times New Roman" w:hAnsi="Times New Roman" w:cs="Times New Roman"/>
          <w:sz w:val="28"/>
          <w:szCs w:val="28"/>
        </w:rPr>
        <w:t xml:space="preserve"> </w:t>
      </w:r>
      <w:r w:rsidRPr="004E4687">
        <w:rPr>
          <w:rFonts w:ascii="Times New Roman" w:hAnsi="Times New Roman" w:cs="Times New Roman"/>
          <w:color w:val="000000"/>
          <w:sz w:val="28"/>
          <w:szCs w:val="28"/>
        </w:rPr>
        <w:t>2</w:t>
      </w:r>
      <w:r w:rsidR="00912A25" w:rsidRPr="004E4687">
        <w:rPr>
          <w:rFonts w:ascii="Times New Roman" w:hAnsi="Times New Roman" w:cs="Times New Roman"/>
          <w:color w:val="000000"/>
          <w:sz w:val="28"/>
          <w:szCs w:val="28"/>
        </w:rPr>
        <w:t>007.gada 28.jūnija rīkojuma Nr.</w:t>
      </w:r>
      <w:r w:rsidRPr="004E4687">
        <w:rPr>
          <w:rFonts w:ascii="Times New Roman" w:hAnsi="Times New Roman" w:cs="Times New Roman"/>
          <w:color w:val="000000"/>
          <w:sz w:val="28"/>
          <w:szCs w:val="28"/>
        </w:rPr>
        <w:t>406 „</w:t>
      </w:r>
      <w:r w:rsidR="00912A25" w:rsidRPr="004E4687">
        <w:rPr>
          <w:rFonts w:ascii="Times New Roman" w:hAnsi="Times New Roman" w:cs="Times New Roman"/>
          <w:color w:val="000000"/>
          <w:sz w:val="28"/>
          <w:szCs w:val="28"/>
        </w:rPr>
        <w:t xml:space="preserve">Par </w:t>
      </w:r>
      <w:r w:rsidRPr="004E4687">
        <w:rPr>
          <w:rFonts w:ascii="Times New Roman" w:hAnsi="Times New Roman" w:cs="Times New Roman"/>
          <w:color w:val="000000"/>
          <w:sz w:val="28"/>
          <w:szCs w:val="28"/>
        </w:rPr>
        <w:t>Komercdarbības konkurētspējas un in</w:t>
      </w:r>
      <w:r w:rsidR="00912A25" w:rsidRPr="004E4687">
        <w:rPr>
          <w:rFonts w:ascii="Times New Roman" w:hAnsi="Times New Roman" w:cs="Times New Roman"/>
          <w:color w:val="000000"/>
          <w:sz w:val="28"/>
          <w:szCs w:val="28"/>
        </w:rPr>
        <w:t>ovācijas veicināšanas programmu</w:t>
      </w:r>
      <w:r w:rsidRPr="004E4687">
        <w:rPr>
          <w:rFonts w:ascii="Times New Roman" w:hAnsi="Times New Roman" w:cs="Times New Roman"/>
          <w:color w:val="000000"/>
          <w:sz w:val="28"/>
          <w:szCs w:val="28"/>
        </w:rPr>
        <w:t xml:space="preserve"> 2007.-2013.gadam” (turpmāk – Programma) </w:t>
      </w:r>
      <w:r w:rsidR="00912A25" w:rsidRPr="004E4687">
        <w:rPr>
          <w:rFonts w:ascii="Times New Roman" w:hAnsi="Times New Roman" w:cs="Times New Roman"/>
          <w:color w:val="000000"/>
          <w:sz w:val="28"/>
          <w:szCs w:val="28"/>
        </w:rPr>
        <w:t>4</w:t>
      </w:r>
      <w:r w:rsidRPr="004E4687">
        <w:rPr>
          <w:rFonts w:ascii="Times New Roman" w:hAnsi="Times New Roman" w:cs="Times New Roman"/>
          <w:color w:val="000000"/>
          <w:sz w:val="28"/>
          <w:szCs w:val="28"/>
        </w:rPr>
        <w:t>.punkt</w:t>
      </w:r>
      <w:r w:rsidR="00D159AD" w:rsidRPr="004E4687">
        <w:rPr>
          <w:rFonts w:ascii="Times New Roman" w:hAnsi="Times New Roman" w:cs="Times New Roman"/>
          <w:color w:val="000000"/>
          <w:sz w:val="28"/>
          <w:szCs w:val="28"/>
        </w:rPr>
        <w:t>u</w:t>
      </w:r>
      <w:r w:rsidRPr="004E4687">
        <w:rPr>
          <w:rFonts w:ascii="Times New Roman" w:hAnsi="Times New Roman" w:cs="Times New Roman"/>
          <w:sz w:val="28"/>
          <w:szCs w:val="28"/>
        </w:rPr>
        <w:t xml:space="preserve">, kas paredz Ekonomikas ministrijai </w:t>
      </w:r>
      <w:r w:rsidRPr="004E4687">
        <w:rPr>
          <w:rFonts w:ascii="Times New Roman" w:hAnsi="Times New Roman" w:cs="Times New Roman"/>
          <w:color w:val="000000"/>
          <w:sz w:val="28"/>
          <w:szCs w:val="28"/>
        </w:rPr>
        <w:t xml:space="preserve">reizi gadā (līdz 1.jūnijam) </w:t>
      </w:r>
      <w:r w:rsidRPr="004E4687">
        <w:rPr>
          <w:rFonts w:ascii="Times New Roman" w:hAnsi="Times New Roman" w:cs="Times New Roman"/>
          <w:sz w:val="28"/>
          <w:szCs w:val="28"/>
        </w:rPr>
        <w:t xml:space="preserve">iesniegt informatīvo ziņojumu par </w:t>
      </w:r>
      <w:r w:rsidRPr="004E4687">
        <w:rPr>
          <w:rFonts w:ascii="Times New Roman" w:hAnsi="Times New Roman" w:cs="Times New Roman"/>
          <w:color w:val="000000"/>
          <w:sz w:val="28"/>
          <w:szCs w:val="28"/>
        </w:rPr>
        <w:t>Programmas izpildes rezultātiem iepriekšējā gadā.</w:t>
      </w:r>
    </w:p>
    <w:p w:rsidR="003E439C" w:rsidRDefault="003E439C" w:rsidP="000C3072">
      <w:pPr>
        <w:spacing w:after="0" w:line="240" w:lineRule="auto"/>
        <w:jc w:val="both"/>
        <w:rPr>
          <w:rFonts w:ascii="Times New Roman" w:hAnsi="Times New Roman" w:cs="Times New Roman"/>
          <w:sz w:val="28"/>
          <w:szCs w:val="28"/>
        </w:rPr>
      </w:pPr>
    </w:p>
    <w:p w:rsidR="0030195A" w:rsidRPr="00317D05" w:rsidRDefault="0030195A" w:rsidP="00B85B1F">
      <w:pPr>
        <w:pStyle w:val="ListParagraph"/>
        <w:numPr>
          <w:ilvl w:val="0"/>
          <w:numId w:val="1"/>
        </w:numPr>
        <w:spacing w:after="0" w:line="240" w:lineRule="auto"/>
        <w:ind w:left="426" w:right="-57" w:hanging="426"/>
        <w:rPr>
          <w:rFonts w:ascii="Times New Roman" w:hAnsi="Times New Roman" w:cs="Times New Roman"/>
          <w:b/>
          <w:sz w:val="28"/>
          <w:szCs w:val="28"/>
        </w:rPr>
      </w:pPr>
      <w:r w:rsidRPr="00317D05">
        <w:rPr>
          <w:rFonts w:ascii="Times New Roman" w:hAnsi="Times New Roman" w:cs="Times New Roman"/>
          <w:b/>
          <w:sz w:val="28"/>
          <w:szCs w:val="28"/>
        </w:rPr>
        <w:t xml:space="preserve">Esošā situācija </w:t>
      </w:r>
      <w:r w:rsidR="00B85B1F">
        <w:rPr>
          <w:rFonts w:ascii="Times New Roman" w:hAnsi="Times New Roman" w:cs="Times New Roman"/>
          <w:b/>
          <w:sz w:val="28"/>
          <w:szCs w:val="28"/>
        </w:rPr>
        <w:t>un</w:t>
      </w:r>
      <w:r w:rsidRPr="00317D05">
        <w:rPr>
          <w:rFonts w:ascii="Times New Roman" w:hAnsi="Times New Roman" w:cs="Times New Roman"/>
          <w:b/>
          <w:sz w:val="28"/>
          <w:szCs w:val="28"/>
        </w:rPr>
        <w:t xml:space="preserve"> politikas rezultātu izvērtējums</w:t>
      </w:r>
    </w:p>
    <w:p w:rsidR="00317D05" w:rsidRPr="00912A25" w:rsidRDefault="00317D05" w:rsidP="0030195A">
      <w:pPr>
        <w:spacing w:after="0" w:line="240" w:lineRule="auto"/>
        <w:ind w:right="-57" w:firstLine="709"/>
        <w:jc w:val="both"/>
        <w:rPr>
          <w:rFonts w:ascii="Times New Roman" w:hAnsi="Times New Roman" w:cs="Times New Roman"/>
          <w:sz w:val="28"/>
          <w:szCs w:val="28"/>
        </w:rPr>
      </w:pPr>
    </w:p>
    <w:p w:rsidR="00AB4275" w:rsidRDefault="00AB4275" w:rsidP="00AB42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2010.gadā turpinājās pakāpenisks iekšzemes kopprodukta (turpmāk – </w:t>
      </w:r>
      <w:r w:rsidRPr="000135C9">
        <w:rPr>
          <w:rFonts w:ascii="Times New Roman" w:hAnsi="Times New Roman" w:cs="Times New Roman"/>
          <w:sz w:val="28"/>
          <w:szCs w:val="28"/>
        </w:rPr>
        <w:t>IKP</w:t>
      </w:r>
      <w:r>
        <w:rPr>
          <w:rFonts w:ascii="Times New Roman" w:hAnsi="Times New Roman" w:cs="Times New Roman"/>
          <w:sz w:val="28"/>
          <w:szCs w:val="28"/>
        </w:rPr>
        <w:t>)</w:t>
      </w:r>
      <w:r w:rsidRPr="000135C9">
        <w:rPr>
          <w:rFonts w:ascii="Times New Roman" w:hAnsi="Times New Roman" w:cs="Times New Roman"/>
          <w:sz w:val="28"/>
          <w:szCs w:val="28"/>
        </w:rPr>
        <w:t xml:space="preserve"> </w:t>
      </w:r>
      <w:r>
        <w:rPr>
          <w:rFonts w:ascii="Times New Roman" w:hAnsi="Times New Roman" w:cs="Times New Roman"/>
          <w:sz w:val="28"/>
          <w:szCs w:val="28"/>
        </w:rPr>
        <w:t>pieaugums.</w:t>
      </w:r>
      <w:r w:rsidRPr="000135C9">
        <w:rPr>
          <w:rFonts w:ascii="Times New Roman" w:hAnsi="Times New Roman" w:cs="Times New Roman"/>
          <w:sz w:val="28"/>
          <w:szCs w:val="28"/>
        </w:rPr>
        <w:t xml:space="preserve"> 2010.gada 4.ceturksnī IKP par 3,6% pārsni</w:t>
      </w:r>
      <w:r>
        <w:rPr>
          <w:rFonts w:ascii="Times New Roman" w:hAnsi="Times New Roman" w:cs="Times New Roman"/>
          <w:sz w:val="28"/>
          <w:szCs w:val="28"/>
        </w:rPr>
        <w:t>edza iepriekšējā gada 4.ceturkņ</w:t>
      </w:r>
      <w:r w:rsidRPr="000135C9">
        <w:rPr>
          <w:rFonts w:ascii="Times New Roman" w:hAnsi="Times New Roman" w:cs="Times New Roman"/>
          <w:sz w:val="28"/>
          <w:szCs w:val="28"/>
        </w:rPr>
        <w:t>a līmeni.</w:t>
      </w:r>
      <w:r>
        <w:rPr>
          <w:rFonts w:ascii="Times New Roman" w:hAnsi="Times New Roman" w:cs="Times New Roman"/>
          <w:sz w:val="28"/>
          <w:szCs w:val="28"/>
        </w:rPr>
        <w:t xml:space="preserve"> 2010.</w:t>
      </w:r>
      <w:r w:rsidRPr="00C359F4">
        <w:rPr>
          <w:rFonts w:ascii="Times New Roman" w:hAnsi="Times New Roman" w:cs="Times New Roman"/>
          <w:sz w:val="28"/>
          <w:szCs w:val="28"/>
        </w:rPr>
        <w:t>gad</w:t>
      </w:r>
      <w:r>
        <w:rPr>
          <w:rFonts w:ascii="Times New Roman" w:hAnsi="Times New Roman" w:cs="Times New Roman"/>
          <w:sz w:val="28"/>
          <w:szCs w:val="28"/>
        </w:rPr>
        <w:t xml:space="preserve">ā </w:t>
      </w:r>
      <w:r w:rsidRPr="00C359F4">
        <w:rPr>
          <w:rFonts w:ascii="Times New Roman" w:hAnsi="Times New Roman" w:cs="Times New Roman"/>
          <w:sz w:val="28"/>
          <w:szCs w:val="28"/>
        </w:rPr>
        <w:t>aizvien lielāk</w:t>
      </w:r>
      <w:r>
        <w:rPr>
          <w:rFonts w:ascii="Times New Roman" w:hAnsi="Times New Roman" w:cs="Times New Roman"/>
          <w:sz w:val="28"/>
          <w:szCs w:val="28"/>
        </w:rPr>
        <w:t xml:space="preserve">u lomu </w:t>
      </w:r>
      <w:r>
        <w:rPr>
          <w:rFonts w:ascii="Times New Roman" w:hAnsi="Times New Roman" w:cs="Times New Roman"/>
          <w:sz w:val="28"/>
          <w:szCs w:val="28"/>
        </w:rPr>
        <w:lastRenderedPageBreak/>
        <w:t>Latvijas tautsaimniecī</w:t>
      </w:r>
      <w:r w:rsidRPr="00C359F4">
        <w:rPr>
          <w:rFonts w:ascii="Times New Roman" w:hAnsi="Times New Roman" w:cs="Times New Roman"/>
          <w:sz w:val="28"/>
          <w:szCs w:val="28"/>
        </w:rPr>
        <w:t>bā i</w:t>
      </w:r>
      <w:r>
        <w:rPr>
          <w:rFonts w:ascii="Times New Roman" w:hAnsi="Times New Roman" w:cs="Times New Roman"/>
          <w:sz w:val="28"/>
          <w:szCs w:val="28"/>
        </w:rPr>
        <w:t xml:space="preserve">ezīmēja </w:t>
      </w:r>
      <w:r w:rsidRPr="00C359F4">
        <w:rPr>
          <w:rFonts w:ascii="Times New Roman" w:hAnsi="Times New Roman" w:cs="Times New Roman"/>
          <w:sz w:val="28"/>
          <w:szCs w:val="28"/>
        </w:rPr>
        <w:t>tirgojamā</w:t>
      </w:r>
      <w:r>
        <w:rPr>
          <w:rFonts w:ascii="Times New Roman" w:hAnsi="Times New Roman" w:cs="Times New Roman"/>
          <w:sz w:val="28"/>
          <w:szCs w:val="28"/>
        </w:rPr>
        <w:t xml:space="preserve">s </w:t>
      </w:r>
      <w:r w:rsidRPr="00C359F4">
        <w:rPr>
          <w:rFonts w:ascii="Times New Roman" w:hAnsi="Times New Roman" w:cs="Times New Roman"/>
          <w:sz w:val="28"/>
          <w:szCs w:val="28"/>
        </w:rPr>
        <w:t>nozar</w:t>
      </w:r>
      <w:r>
        <w:rPr>
          <w:rFonts w:ascii="Times New Roman" w:hAnsi="Times New Roman" w:cs="Times New Roman"/>
          <w:sz w:val="28"/>
          <w:szCs w:val="28"/>
        </w:rPr>
        <w:t>es, kas pamatojams ar situācijas uzlab</w:t>
      </w:r>
      <w:r w:rsidRPr="00C359F4">
        <w:rPr>
          <w:rFonts w:ascii="Times New Roman" w:hAnsi="Times New Roman" w:cs="Times New Roman"/>
          <w:sz w:val="28"/>
          <w:szCs w:val="28"/>
        </w:rPr>
        <w:t>o</w:t>
      </w:r>
      <w:r>
        <w:rPr>
          <w:rFonts w:ascii="Times New Roman" w:hAnsi="Times New Roman" w:cs="Times New Roman"/>
          <w:sz w:val="28"/>
          <w:szCs w:val="28"/>
        </w:rPr>
        <w:t>šanos</w:t>
      </w:r>
      <w:r w:rsidRPr="00C359F4">
        <w:rPr>
          <w:rFonts w:ascii="Times New Roman" w:hAnsi="Times New Roman" w:cs="Times New Roman"/>
          <w:sz w:val="28"/>
          <w:szCs w:val="28"/>
        </w:rPr>
        <w:t xml:space="preserve"> pasaules</w:t>
      </w:r>
      <w:r>
        <w:rPr>
          <w:rFonts w:ascii="Times New Roman" w:hAnsi="Times New Roman" w:cs="Times New Roman"/>
          <w:sz w:val="28"/>
          <w:szCs w:val="28"/>
        </w:rPr>
        <w:t xml:space="preserve"> </w:t>
      </w:r>
      <w:r w:rsidRPr="00C359F4">
        <w:rPr>
          <w:rFonts w:ascii="Times New Roman" w:hAnsi="Times New Roman" w:cs="Times New Roman"/>
          <w:sz w:val="28"/>
          <w:szCs w:val="28"/>
        </w:rPr>
        <w:t xml:space="preserve">ekonomikā un </w:t>
      </w:r>
      <w:r>
        <w:rPr>
          <w:rFonts w:ascii="Times New Roman" w:hAnsi="Times New Roman" w:cs="Times New Roman"/>
          <w:sz w:val="28"/>
          <w:szCs w:val="28"/>
        </w:rPr>
        <w:t>ārējā</w:t>
      </w:r>
      <w:r w:rsidRPr="00C359F4">
        <w:rPr>
          <w:rFonts w:ascii="Times New Roman" w:hAnsi="Times New Roman" w:cs="Times New Roman"/>
          <w:sz w:val="28"/>
          <w:szCs w:val="28"/>
        </w:rPr>
        <w:t xml:space="preserve"> </w:t>
      </w:r>
      <w:r>
        <w:rPr>
          <w:rFonts w:ascii="Times New Roman" w:hAnsi="Times New Roman" w:cs="Times New Roman"/>
          <w:sz w:val="28"/>
          <w:szCs w:val="28"/>
        </w:rPr>
        <w:t>pieprasījuma</w:t>
      </w:r>
      <w:r w:rsidRPr="005F41A8">
        <w:rPr>
          <w:rFonts w:ascii="Times New Roman" w:hAnsi="Times New Roman" w:cs="Times New Roman"/>
          <w:sz w:val="28"/>
          <w:szCs w:val="28"/>
        </w:rPr>
        <w:t xml:space="preserve"> </w:t>
      </w:r>
      <w:r w:rsidRPr="00C359F4">
        <w:rPr>
          <w:rFonts w:ascii="Times New Roman" w:hAnsi="Times New Roman" w:cs="Times New Roman"/>
          <w:sz w:val="28"/>
          <w:szCs w:val="28"/>
        </w:rPr>
        <w:t>palieli</w:t>
      </w:r>
      <w:r>
        <w:rPr>
          <w:rFonts w:ascii="Times New Roman" w:hAnsi="Times New Roman" w:cs="Times New Roman"/>
          <w:sz w:val="28"/>
          <w:szCs w:val="28"/>
        </w:rPr>
        <w:t>nājumu. A</w:t>
      </w:r>
      <w:r w:rsidRPr="00C359F4">
        <w:rPr>
          <w:rFonts w:ascii="Times New Roman" w:hAnsi="Times New Roman" w:cs="Times New Roman"/>
          <w:sz w:val="28"/>
          <w:szCs w:val="28"/>
        </w:rPr>
        <w:t>pstrādes</w:t>
      </w:r>
      <w:r>
        <w:rPr>
          <w:rFonts w:ascii="Times New Roman" w:hAnsi="Times New Roman" w:cs="Times New Roman"/>
          <w:sz w:val="28"/>
          <w:szCs w:val="28"/>
        </w:rPr>
        <w:t xml:space="preserve"> rūpniecī</w:t>
      </w:r>
      <w:r w:rsidRPr="00C359F4">
        <w:rPr>
          <w:rFonts w:ascii="Times New Roman" w:hAnsi="Times New Roman" w:cs="Times New Roman"/>
          <w:sz w:val="28"/>
          <w:szCs w:val="28"/>
        </w:rPr>
        <w:t>ba 2010.</w:t>
      </w:r>
      <w:r>
        <w:rPr>
          <w:rFonts w:ascii="Times New Roman" w:hAnsi="Times New Roman" w:cs="Times New Roman"/>
          <w:sz w:val="28"/>
          <w:szCs w:val="28"/>
        </w:rPr>
        <w:t>g</w:t>
      </w:r>
      <w:r w:rsidRPr="00C359F4">
        <w:rPr>
          <w:rFonts w:ascii="Times New Roman" w:hAnsi="Times New Roman" w:cs="Times New Roman"/>
          <w:sz w:val="28"/>
          <w:szCs w:val="28"/>
        </w:rPr>
        <w:t>ad</w:t>
      </w:r>
      <w:r>
        <w:rPr>
          <w:rFonts w:ascii="Times New Roman" w:hAnsi="Times New Roman" w:cs="Times New Roman"/>
          <w:sz w:val="28"/>
          <w:szCs w:val="28"/>
        </w:rPr>
        <w:t>ā</w:t>
      </w:r>
      <w:r w:rsidR="00645B93">
        <w:rPr>
          <w:rFonts w:ascii="Times New Roman" w:hAnsi="Times New Roman" w:cs="Times New Roman"/>
          <w:sz w:val="28"/>
          <w:szCs w:val="28"/>
        </w:rPr>
        <w:t>,</w:t>
      </w:r>
      <w:r>
        <w:rPr>
          <w:rFonts w:ascii="Times New Roman" w:hAnsi="Times New Roman" w:cs="Times New Roman"/>
          <w:sz w:val="28"/>
          <w:szCs w:val="28"/>
        </w:rPr>
        <w:t xml:space="preserve"> </w:t>
      </w:r>
      <w:r w:rsidRPr="00C359F4">
        <w:rPr>
          <w:rFonts w:ascii="Times New Roman" w:hAnsi="Times New Roman" w:cs="Times New Roman"/>
          <w:sz w:val="28"/>
          <w:szCs w:val="28"/>
        </w:rPr>
        <w:t>salīdzinot</w:t>
      </w:r>
      <w:r>
        <w:rPr>
          <w:rFonts w:ascii="Times New Roman" w:hAnsi="Times New Roman" w:cs="Times New Roman"/>
          <w:sz w:val="28"/>
          <w:szCs w:val="28"/>
        </w:rPr>
        <w:t xml:space="preserve"> ar 2009.</w:t>
      </w:r>
      <w:r w:rsidRPr="00C359F4">
        <w:rPr>
          <w:rFonts w:ascii="Times New Roman" w:hAnsi="Times New Roman" w:cs="Times New Roman"/>
          <w:sz w:val="28"/>
          <w:szCs w:val="28"/>
        </w:rPr>
        <w:t>gad</w:t>
      </w:r>
      <w:r>
        <w:rPr>
          <w:rFonts w:ascii="Times New Roman" w:hAnsi="Times New Roman" w:cs="Times New Roman"/>
          <w:sz w:val="28"/>
          <w:szCs w:val="28"/>
        </w:rPr>
        <w:t>u</w:t>
      </w:r>
      <w:r w:rsidR="00645B93">
        <w:rPr>
          <w:rFonts w:ascii="Times New Roman" w:hAnsi="Times New Roman" w:cs="Times New Roman"/>
          <w:sz w:val="28"/>
          <w:szCs w:val="28"/>
        </w:rPr>
        <w:t>,</w:t>
      </w:r>
      <w:r w:rsidRPr="00C359F4">
        <w:rPr>
          <w:rFonts w:ascii="Times New Roman" w:hAnsi="Times New Roman" w:cs="Times New Roman"/>
          <w:sz w:val="28"/>
          <w:szCs w:val="28"/>
        </w:rPr>
        <w:t xml:space="preserve"> pieauga par </w:t>
      </w:r>
      <w:r>
        <w:rPr>
          <w:rFonts w:ascii="Times New Roman" w:hAnsi="Times New Roman" w:cs="Times New Roman"/>
          <w:sz w:val="28"/>
          <w:szCs w:val="28"/>
        </w:rPr>
        <w:t>15,4</w:t>
      </w:r>
      <w:r w:rsidRPr="00D46258">
        <w:rPr>
          <w:rFonts w:ascii="Times New Roman" w:hAnsi="Times New Roman" w:cs="Times New Roman"/>
          <w:sz w:val="28"/>
          <w:szCs w:val="28"/>
        </w:rPr>
        <w:t>% (1.attēls),</w:t>
      </w:r>
      <w:r>
        <w:rPr>
          <w:rFonts w:ascii="Times New Roman" w:hAnsi="Times New Roman" w:cs="Times New Roman"/>
          <w:sz w:val="28"/>
          <w:szCs w:val="28"/>
        </w:rPr>
        <w:t xml:space="preserve"> </w:t>
      </w:r>
      <w:r w:rsidRPr="00C359F4">
        <w:rPr>
          <w:rFonts w:ascii="Times New Roman" w:hAnsi="Times New Roman" w:cs="Times New Roman"/>
          <w:sz w:val="28"/>
          <w:szCs w:val="28"/>
        </w:rPr>
        <w:t>elektroenerģijas, gāzes un ūdens apgādes nozare –</w:t>
      </w:r>
      <w:r>
        <w:rPr>
          <w:rFonts w:ascii="Times New Roman" w:hAnsi="Times New Roman" w:cs="Times New Roman"/>
          <w:sz w:val="28"/>
          <w:szCs w:val="28"/>
        </w:rPr>
        <w:t xml:space="preserve"> par 12,7% un primā</w:t>
      </w:r>
      <w:r w:rsidRPr="00C359F4">
        <w:rPr>
          <w:rFonts w:ascii="Times New Roman" w:hAnsi="Times New Roman" w:cs="Times New Roman"/>
          <w:sz w:val="28"/>
          <w:szCs w:val="28"/>
        </w:rPr>
        <w:t>rās</w:t>
      </w:r>
      <w:r>
        <w:rPr>
          <w:rFonts w:ascii="Times New Roman" w:hAnsi="Times New Roman" w:cs="Times New Roman"/>
          <w:sz w:val="28"/>
          <w:szCs w:val="28"/>
        </w:rPr>
        <w:t xml:space="preserve"> nozares – par 3,8%</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Š</w:t>
      </w:r>
      <w:r w:rsidRPr="00C359F4">
        <w:rPr>
          <w:rFonts w:ascii="Times New Roman" w:hAnsi="Times New Roman" w:cs="Times New Roman"/>
          <w:sz w:val="28"/>
          <w:szCs w:val="28"/>
        </w:rPr>
        <w:t>o nozaru</w:t>
      </w:r>
      <w:r>
        <w:rPr>
          <w:rFonts w:ascii="Times New Roman" w:hAnsi="Times New Roman" w:cs="Times New Roman"/>
          <w:sz w:val="28"/>
          <w:szCs w:val="28"/>
        </w:rPr>
        <w:t xml:space="preserve"> </w:t>
      </w:r>
      <w:r w:rsidRPr="00C359F4">
        <w:rPr>
          <w:rFonts w:ascii="Times New Roman" w:hAnsi="Times New Roman" w:cs="Times New Roman"/>
          <w:sz w:val="28"/>
          <w:szCs w:val="28"/>
        </w:rPr>
        <w:t xml:space="preserve">izaugsme kopumā ir devusi </w:t>
      </w:r>
      <w:r>
        <w:rPr>
          <w:rFonts w:ascii="Times New Roman" w:hAnsi="Times New Roman" w:cs="Times New Roman"/>
          <w:sz w:val="28"/>
          <w:szCs w:val="28"/>
        </w:rPr>
        <w:t>1,6</w:t>
      </w:r>
      <w:r w:rsidRPr="00C359F4">
        <w:rPr>
          <w:rFonts w:ascii="Times New Roman" w:hAnsi="Times New Roman" w:cs="Times New Roman"/>
          <w:sz w:val="28"/>
          <w:szCs w:val="28"/>
        </w:rPr>
        <w:t xml:space="preserve"> procentpunktu</w:t>
      </w:r>
      <w:r>
        <w:rPr>
          <w:rFonts w:ascii="Times New Roman" w:hAnsi="Times New Roman" w:cs="Times New Roman"/>
          <w:sz w:val="28"/>
          <w:szCs w:val="28"/>
        </w:rPr>
        <w:t xml:space="preserve"> </w:t>
      </w:r>
      <w:r w:rsidRPr="00C359F4">
        <w:rPr>
          <w:rFonts w:ascii="Times New Roman" w:hAnsi="Times New Roman" w:cs="Times New Roman"/>
          <w:sz w:val="28"/>
          <w:szCs w:val="28"/>
        </w:rPr>
        <w:t xml:space="preserve">ieguldījumu IKP pieaugumā. </w:t>
      </w:r>
      <w:r w:rsidRPr="000135C9">
        <w:rPr>
          <w:rFonts w:ascii="Times New Roman" w:hAnsi="Times New Roman" w:cs="Times New Roman"/>
          <w:sz w:val="28"/>
          <w:szCs w:val="28"/>
        </w:rPr>
        <w:t>Vislielākais ieguldījums apstrādes rūpniecības izaugsmē bija kokapstrādei, metālapstrādei, kā arī elektrisko un optisko iekārtu ražošanas nozarei.</w:t>
      </w:r>
    </w:p>
    <w:p w:rsidR="00D46258" w:rsidRDefault="00D46258" w:rsidP="00AB4275">
      <w:pPr>
        <w:spacing w:after="0" w:line="240" w:lineRule="auto"/>
        <w:ind w:firstLine="720"/>
        <w:jc w:val="right"/>
        <w:rPr>
          <w:rFonts w:ascii="Times New Roman" w:hAnsi="Times New Roman" w:cs="Times New Roman"/>
          <w:sz w:val="28"/>
          <w:szCs w:val="28"/>
          <w:highlight w:val="yellow"/>
        </w:rPr>
      </w:pPr>
    </w:p>
    <w:p w:rsidR="00AB4275" w:rsidRDefault="00645B93" w:rsidP="00AB427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1.attēls</w:t>
      </w:r>
    </w:p>
    <w:p w:rsidR="00AB4275" w:rsidRDefault="00AB4275" w:rsidP="00AB4275">
      <w:pPr>
        <w:spacing w:after="0" w:line="240" w:lineRule="auto"/>
        <w:jc w:val="center"/>
        <w:rPr>
          <w:rFonts w:ascii="Times New Roman" w:hAnsi="Times New Roman" w:cs="Times New Roman"/>
          <w:b/>
          <w:sz w:val="28"/>
          <w:szCs w:val="28"/>
        </w:rPr>
      </w:pPr>
      <w:r w:rsidRPr="00AB4275">
        <w:rPr>
          <w:rFonts w:ascii="Times New Roman" w:hAnsi="Times New Roman" w:cs="Times New Roman"/>
          <w:b/>
          <w:sz w:val="28"/>
          <w:szCs w:val="28"/>
        </w:rPr>
        <w:t>Apstrādes rūpniecība</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br/>
      </w:r>
      <w:r w:rsidR="00D46258">
        <w:rPr>
          <w:rFonts w:ascii="Times New Roman" w:hAnsi="Times New Roman" w:cs="Times New Roman"/>
          <w:b/>
          <w:sz w:val="28"/>
          <w:szCs w:val="28"/>
        </w:rPr>
        <w:t>(</w:t>
      </w:r>
      <w:r w:rsidRPr="00AB4275">
        <w:rPr>
          <w:rFonts w:ascii="Times New Roman" w:hAnsi="Times New Roman" w:cs="Times New Roman"/>
          <w:b/>
          <w:sz w:val="28"/>
          <w:szCs w:val="28"/>
        </w:rPr>
        <w:t xml:space="preserve">2010.gadā, </w:t>
      </w:r>
      <w:r w:rsidR="00D46258">
        <w:rPr>
          <w:rFonts w:ascii="Times New Roman" w:hAnsi="Times New Roman" w:cs="Times New Roman"/>
          <w:b/>
          <w:sz w:val="28"/>
          <w:szCs w:val="28"/>
        </w:rPr>
        <w:t>%)</w:t>
      </w:r>
    </w:p>
    <w:p w:rsidR="00C859BA" w:rsidRPr="006A59CD" w:rsidRDefault="00C859BA" w:rsidP="00AB4275">
      <w:pPr>
        <w:spacing w:after="0" w:line="240" w:lineRule="auto"/>
        <w:jc w:val="center"/>
        <w:rPr>
          <w:rFonts w:ascii="Times New Roman" w:hAnsi="Times New Roman" w:cs="Times New Roman"/>
          <w:sz w:val="20"/>
          <w:szCs w:val="28"/>
        </w:rPr>
      </w:pPr>
    </w:p>
    <w:tbl>
      <w:tblPr>
        <w:tblW w:w="8613" w:type="dxa"/>
        <w:tblCellMar>
          <w:left w:w="0" w:type="dxa"/>
          <w:right w:w="0" w:type="dxa"/>
        </w:tblCellMar>
        <w:tblLook w:val="04A0"/>
      </w:tblPr>
      <w:tblGrid>
        <w:gridCol w:w="3080"/>
        <w:gridCol w:w="1523"/>
        <w:gridCol w:w="1484"/>
        <w:gridCol w:w="1283"/>
        <w:gridCol w:w="1243"/>
      </w:tblGrid>
      <w:tr w:rsidR="00AB4275" w:rsidRPr="006A59CD" w:rsidTr="00CA0765">
        <w:trPr>
          <w:trHeight w:val="1077"/>
        </w:trPr>
        <w:tc>
          <w:tcPr>
            <w:tcW w:w="3794" w:type="dxa"/>
            <w:tcBorders>
              <w:top w:val="single" w:sz="8" w:space="0" w:color="A3B2C1"/>
              <w:left w:val="nil"/>
              <w:bottom w:val="single" w:sz="8" w:space="0" w:color="A3B2C1"/>
              <w:right w:val="nil"/>
            </w:tcBorders>
            <w:shd w:val="clear" w:color="auto" w:fill="auto"/>
            <w:tcMar>
              <w:top w:w="14" w:type="dxa"/>
              <w:left w:w="108" w:type="dxa"/>
              <w:bottom w:w="0" w:type="dxa"/>
              <w:right w:w="108" w:type="dxa"/>
            </w:tcMar>
            <w:hideMark/>
          </w:tcPr>
          <w:p w:rsidR="00AB4275" w:rsidRPr="006A59CD" w:rsidRDefault="00AB4275" w:rsidP="00CA0765">
            <w:pPr>
              <w:spacing w:before="40" w:after="40" w:line="240" w:lineRule="auto"/>
              <w:ind w:firstLine="720"/>
              <w:jc w:val="both"/>
              <w:rPr>
                <w:rFonts w:ascii="Times New Roman" w:hAnsi="Times New Roman" w:cs="Times New Roman"/>
                <w:sz w:val="20"/>
                <w:szCs w:val="20"/>
              </w:rPr>
            </w:pPr>
          </w:p>
        </w:tc>
        <w:tc>
          <w:tcPr>
            <w:tcW w:w="1305" w:type="dxa"/>
            <w:tcBorders>
              <w:top w:val="single" w:sz="8" w:space="0" w:color="A3B2C1"/>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b/>
                <w:bCs/>
                <w:sz w:val="24"/>
                <w:szCs w:val="24"/>
              </w:rPr>
              <w:t>Struktūra pēc apgrozījuma</w:t>
            </w:r>
          </w:p>
        </w:tc>
        <w:tc>
          <w:tcPr>
            <w:tcW w:w="1272" w:type="dxa"/>
            <w:tcBorders>
              <w:top w:val="single" w:sz="8" w:space="0" w:color="A3B2C1"/>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b/>
                <w:bCs/>
                <w:sz w:val="24"/>
                <w:szCs w:val="24"/>
              </w:rPr>
              <w:t>Struktūra pēc nodarbināto skaita</w:t>
            </w:r>
          </w:p>
        </w:tc>
        <w:tc>
          <w:tcPr>
            <w:tcW w:w="1108" w:type="dxa"/>
            <w:tcBorders>
              <w:top w:val="single" w:sz="8" w:space="0" w:color="A3B2C1"/>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b/>
                <w:bCs/>
                <w:sz w:val="24"/>
                <w:szCs w:val="24"/>
              </w:rPr>
              <w:t>Eksporta īpatsvars nozares realizācijā</w:t>
            </w:r>
          </w:p>
        </w:tc>
        <w:tc>
          <w:tcPr>
            <w:tcW w:w="1134" w:type="dxa"/>
            <w:tcBorders>
              <w:top w:val="single" w:sz="8" w:space="0" w:color="A3B2C1"/>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ind w:firstLine="34"/>
              <w:jc w:val="both"/>
              <w:rPr>
                <w:rFonts w:ascii="Times New Roman" w:hAnsi="Times New Roman" w:cs="Times New Roman"/>
                <w:sz w:val="24"/>
                <w:szCs w:val="24"/>
              </w:rPr>
            </w:pPr>
            <w:r w:rsidRPr="00C859BA">
              <w:rPr>
                <w:rFonts w:ascii="Times New Roman" w:hAnsi="Times New Roman" w:cs="Times New Roman"/>
                <w:b/>
                <w:bCs/>
                <w:sz w:val="24"/>
                <w:szCs w:val="24"/>
              </w:rPr>
              <w:t xml:space="preserve">Apjomu izmaiņas </w:t>
            </w:r>
            <w:r w:rsidRPr="00C859BA">
              <w:rPr>
                <w:rFonts w:ascii="Times New Roman" w:hAnsi="Times New Roman" w:cs="Times New Roman"/>
                <w:b/>
                <w:bCs/>
                <w:sz w:val="24"/>
                <w:szCs w:val="24"/>
                <w:lang w:val="en-US"/>
              </w:rPr>
              <w:t>2010/2009</w:t>
            </w:r>
          </w:p>
        </w:tc>
      </w:tr>
      <w:tr w:rsidR="00AB4275" w:rsidRPr="006A59CD" w:rsidTr="00CA0765">
        <w:trPr>
          <w:trHeight w:val="121"/>
        </w:trPr>
        <w:tc>
          <w:tcPr>
            <w:tcW w:w="3794" w:type="dxa"/>
            <w:tcBorders>
              <w:top w:val="single" w:sz="8" w:space="0" w:color="A3B2C1"/>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b/>
                <w:bCs/>
              </w:rPr>
              <w:t>Apstrādes rūpniecība</w:t>
            </w:r>
            <w:r w:rsidRPr="00C859BA">
              <w:rPr>
                <w:rFonts w:ascii="Times New Roman" w:hAnsi="Times New Roman" w:cs="Times New Roman"/>
                <w:b/>
                <w:bCs/>
                <w:lang w:val="en-US"/>
              </w:rPr>
              <w:t xml:space="preserve"> – </w:t>
            </w:r>
            <w:r w:rsidRPr="00C859BA">
              <w:rPr>
                <w:rFonts w:ascii="Times New Roman" w:hAnsi="Times New Roman" w:cs="Times New Roman"/>
                <w:b/>
                <w:bCs/>
              </w:rPr>
              <w:t xml:space="preserve">pavisam </w:t>
            </w:r>
          </w:p>
        </w:tc>
        <w:tc>
          <w:tcPr>
            <w:tcW w:w="1305" w:type="dxa"/>
            <w:tcBorders>
              <w:top w:val="single" w:sz="8" w:space="0" w:color="A3B2C1"/>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b/>
                <w:bCs/>
                <w:sz w:val="24"/>
                <w:szCs w:val="24"/>
                <w:lang w:val="en-US"/>
              </w:rPr>
              <w:t>100</w:t>
            </w:r>
          </w:p>
        </w:tc>
        <w:tc>
          <w:tcPr>
            <w:tcW w:w="1272" w:type="dxa"/>
            <w:tcBorders>
              <w:top w:val="single" w:sz="8" w:space="0" w:color="A3B2C1"/>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b/>
                <w:bCs/>
                <w:sz w:val="24"/>
                <w:szCs w:val="24"/>
                <w:lang w:val="en-US"/>
              </w:rPr>
              <w:t>100</w:t>
            </w:r>
          </w:p>
        </w:tc>
        <w:tc>
          <w:tcPr>
            <w:tcW w:w="1108" w:type="dxa"/>
            <w:tcBorders>
              <w:top w:val="single" w:sz="8" w:space="0" w:color="A3B2C1"/>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b/>
                <w:bCs/>
                <w:sz w:val="24"/>
                <w:szCs w:val="24"/>
                <w:lang w:val="en-US"/>
              </w:rPr>
              <w:t>59,4</w:t>
            </w:r>
          </w:p>
        </w:tc>
        <w:tc>
          <w:tcPr>
            <w:tcW w:w="1134" w:type="dxa"/>
            <w:tcBorders>
              <w:top w:val="single" w:sz="8" w:space="0" w:color="A3B2C1"/>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b/>
                <w:bCs/>
                <w:sz w:val="24"/>
                <w:szCs w:val="24"/>
              </w:rPr>
              <w:t>16,5</w:t>
            </w:r>
          </w:p>
        </w:tc>
      </w:tr>
      <w:tr w:rsidR="00AB4275" w:rsidRPr="006A59CD" w:rsidTr="00CA0765">
        <w:trPr>
          <w:trHeight w:val="217"/>
        </w:trPr>
        <w:tc>
          <w:tcPr>
            <w:tcW w:w="379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 xml:space="preserve">Pārtikas rūpniecība </w:t>
            </w:r>
          </w:p>
        </w:tc>
        <w:tc>
          <w:tcPr>
            <w:tcW w:w="1305"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27,1</w:t>
            </w:r>
          </w:p>
        </w:tc>
        <w:tc>
          <w:tcPr>
            <w:tcW w:w="1272"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24,1</w:t>
            </w:r>
          </w:p>
        </w:tc>
        <w:tc>
          <w:tcPr>
            <w:tcW w:w="1108"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27,5</w:t>
            </w:r>
          </w:p>
        </w:tc>
        <w:tc>
          <w:tcPr>
            <w:tcW w:w="113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-0,1</w:t>
            </w:r>
          </w:p>
        </w:tc>
      </w:tr>
      <w:tr w:rsidR="00AB4275" w:rsidRPr="006A59CD" w:rsidTr="00CA0765">
        <w:trPr>
          <w:trHeight w:val="60"/>
        </w:trPr>
        <w:tc>
          <w:tcPr>
            <w:tcW w:w="379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Vieglā rūpniecība</w:t>
            </w:r>
          </w:p>
        </w:tc>
        <w:tc>
          <w:tcPr>
            <w:tcW w:w="1305"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4,3</w:t>
            </w:r>
          </w:p>
        </w:tc>
        <w:tc>
          <w:tcPr>
            <w:tcW w:w="1272"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11,3</w:t>
            </w:r>
          </w:p>
        </w:tc>
        <w:tc>
          <w:tcPr>
            <w:tcW w:w="1108"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81,6</w:t>
            </w:r>
          </w:p>
        </w:tc>
        <w:tc>
          <w:tcPr>
            <w:tcW w:w="113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19,4</w:t>
            </w:r>
          </w:p>
        </w:tc>
      </w:tr>
      <w:tr w:rsidR="00AB4275" w:rsidRPr="006A59CD" w:rsidTr="00CA0765">
        <w:trPr>
          <w:trHeight w:val="60"/>
        </w:trPr>
        <w:tc>
          <w:tcPr>
            <w:tcW w:w="379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Kokapstrāde</w:t>
            </w:r>
          </w:p>
        </w:tc>
        <w:tc>
          <w:tcPr>
            <w:tcW w:w="1305"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23,5</w:t>
            </w:r>
          </w:p>
        </w:tc>
        <w:tc>
          <w:tcPr>
            <w:tcW w:w="1272"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19,1</w:t>
            </w:r>
          </w:p>
        </w:tc>
        <w:tc>
          <w:tcPr>
            <w:tcW w:w="1108"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74,8</w:t>
            </w:r>
          </w:p>
        </w:tc>
        <w:tc>
          <w:tcPr>
            <w:tcW w:w="113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33,0</w:t>
            </w:r>
          </w:p>
        </w:tc>
      </w:tr>
      <w:tr w:rsidR="00AB4275" w:rsidRPr="006A59CD" w:rsidTr="00CA0765">
        <w:trPr>
          <w:trHeight w:val="245"/>
        </w:trPr>
        <w:tc>
          <w:tcPr>
            <w:tcW w:w="379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Papīra ražošana un poligrāfija</w:t>
            </w:r>
          </w:p>
        </w:tc>
        <w:tc>
          <w:tcPr>
            <w:tcW w:w="1305"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4,1</w:t>
            </w:r>
          </w:p>
        </w:tc>
        <w:tc>
          <w:tcPr>
            <w:tcW w:w="1272"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3,9</w:t>
            </w:r>
          </w:p>
        </w:tc>
        <w:tc>
          <w:tcPr>
            <w:tcW w:w="1108"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53,1</w:t>
            </w:r>
          </w:p>
        </w:tc>
        <w:tc>
          <w:tcPr>
            <w:tcW w:w="113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19,8</w:t>
            </w:r>
          </w:p>
        </w:tc>
      </w:tr>
      <w:tr w:rsidR="00AB4275" w:rsidRPr="006A59CD" w:rsidTr="00CA0765">
        <w:trPr>
          <w:trHeight w:val="207"/>
        </w:trPr>
        <w:tc>
          <w:tcPr>
            <w:tcW w:w="379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Ķīmiskā rūpniecība un tās saskarnozares</w:t>
            </w:r>
          </w:p>
        </w:tc>
        <w:tc>
          <w:tcPr>
            <w:tcW w:w="1305"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7,8</w:t>
            </w:r>
          </w:p>
        </w:tc>
        <w:tc>
          <w:tcPr>
            <w:tcW w:w="1272"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6,6</w:t>
            </w:r>
          </w:p>
        </w:tc>
        <w:tc>
          <w:tcPr>
            <w:tcW w:w="1108"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73,7</w:t>
            </w:r>
          </w:p>
        </w:tc>
        <w:tc>
          <w:tcPr>
            <w:tcW w:w="113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5,2</w:t>
            </w:r>
          </w:p>
        </w:tc>
      </w:tr>
      <w:tr w:rsidR="00AB4275" w:rsidRPr="006A59CD" w:rsidTr="00CA0765">
        <w:trPr>
          <w:trHeight w:val="155"/>
        </w:trPr>
        <w:tc>
          <w:tcPr>
            <w:tcW w:w="379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Pārējo nemetālisko minerālu izstrādājumu ražošana</w:t>
            </w:r>
          </w:p>
        </w:tc>
        <w:tc>
          <w:tcPr>
            <w:tcW w:w="1305"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4,9</w:t>
            </w:r>
          </w:p>
        </w:tc>
        <w:tc>
          <w:tcPr>
            <w:tcW w:w="1272"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4,1</w:t>
            </w:r>
          </w:p>
        </w:tc>
        <w:tc>
          <w:tcPr>
            <w:tcW w:w="1108"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49,0</w:t>
            </w:r>
          </w:p>
        </w:tc>
        <w:tc>
          <w:tcPr>
            <w:tcW w:w="113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17,6</w:t>
            </w:r>
          </w:p>
        </w:tc>
      </w:tr>
      <w:tr w:rsidR="00AB4275" w:rsidRPr="006A59CD" w:rsidTr="00CA0765">
        <w:trPr>
          <w:trHeight w:val="117"/>
        </w:trPr>
        <w:tc>
          <w:tcPr>
            <w:tcW w:w="379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Metālu un metālu izstrādājumu ražošana</w:t>
            </w:r>
          </w:p>
        </w:tc>
        <w:tc>
          <w:tcPr>
            <w:tcW w:w="1305"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13,3</w:t>
            </w:r>
          </w:p>
        </w:tc>
        <w:tc>
          <w:tcPr>
            <w:tcW w:w="1272"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9,9</w:t>
            </w:r>
          </w:p>
        </w:tc>
        <w:tc>
          <w:tcPr>
            <w:tcW w:w="1108"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72,8</w:t>
            </w:r>
          </w:p>
        </w:tc>
        <w:tc>
          <w:tcPr>
            <w:tcW w:w="113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24,2</w:t>
            </w:r>
          </w:p>
        </w:tc>
      </w:tr>
      <w:tr w:rsidR="00AB4275" w:rsidRPr="006A59CD" w:rsidTr="00CA0765">
        <w:trPr>
          <w:trHeight w:val="79"/>
        </w:trPr>
        <w:tc>
          <w:tcPr>
            <w:tcW w:w="379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 xml:space="preserve">Elektrisko un optisko iekārtu ražošana </w:t>
            </w:r>
          </w:p>
        </w:tc>
        <w:tc>
          <w:tcPr>
            <w:tcW w:w="1305"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4,2</w:t>
            </w:r>
          </w:p>
        </w:tc>
        <w:tc>
          <w:tcPr>
            <w:tcW w:w="1272"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3,2</w:t>
            </w:r>
          </w:p>
        </w:tc>
        <w:tc>
          <w:tcPr>
            <w:tcW w:w="1108"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84,3</w:t>
            </w:r>
          </w:p>
        </w:tc>
        <w:tc>
          <w:tcPr>
            <w:tcW w:w="113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33,2</w:t>
            </w:r>
          </w:p>
        </w:tc>
      </w:tr>
      <w:tr w:rsidR="00AB4275" w:rsidRPr="006A59CD" w:rsidTr="00CA0765">
        <w:trPr>
          <w:trHeight w:val="183"/>
        </w:trPr>
        <w:tc>
          <w:tcPr>
            <w:tcW w:w="379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Mašīnu un iekārtu ražošana</w:t>
            </w:r>
          </w:p>
        </w:tc>
        <w:tc>
          <w:tcPr>
            <w:tcW w:w="1305"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1,7</w:t>
            </w:r>
          </w:p>
        </w:tc>
        <w:tc>
          <w:tcPr>
            <w:tcW w:w="1272"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2,7</w:t>
            </w:r>
          </w:p>
        </w:tc>
        <w:tc>
          <w:tcPr>
            <w:tcW w:w="1108"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84,7</w:t>
            </w:r>
          </w:p>
        </w:tc>
        <w:tc>
          <w:tcPr>
            <w:tcW w:w="1134" w:type="dxa"/>
            <w:tcBorders>
              <w:top w:val="nil"/>
              <w:left w:val="nil"/>
              <w:bottom w:val="nil"/>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17,8</w:t>
            </w:r>
          </w:p>
        </w:tc>
      </w:tr>
      <w:tr w:rsidR="00AB4275" w:rsidRPr="006A59CD" w:rsidTr="00CA0765">
        <w:trPr>
          <w:trHeight w:val="145"/>
        </w:trPr>
        <w:tc>
          <w:tcPr>
            <w:tcW w:w="379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Transporta līdzekļu ražošana</w:t>
            </w:r>
          </w:p>
        </w:tc>
        <w:tc>
          <w:tcPr>
            <w:tcW w:w="1305"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3,0</w:t>
            </w:r>
          </w:p>
        </w:tc>
        <w:tc>
          <w:tcPr>
            <w:tcW w:w="1272"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3,0</w:t>
            </w:r>
          </w:p>
        </w:tc>
        <w:tc>
          <w:tcPr>
            <w:tcW w:w="1108"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87,7</w:t>
            </w:r>
          </w:p>
        </w:tc>
        <w:tc>
          <w:tcPr>
            <w:tcW w:w="1134" w:type="dxa"/>
            <w:tcBorders>
              <w:top w:val="nil"/>
              <w:left w:val="nil"/>
              <w:bottom w:val="nil"/>
              <w:right w:val="nil"/>
            </w:tcBorders>
            <w:shd w:val="clear" w:color="auto" w:fill="F0F2F4"/>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59,0</w:t>
            </w:r>
          </w:p>
        </w:tc>
      </w:tr>
      <w:tr w:rsidR="00AB4275" w:rsidRPr="006A59CD" w:rsidTr="00CA0765">
        <w:trPr>
          <w:trHeight w:val="60"/>
        </w:trPr>
        <w:tc>
          <w:tcPr>
            <w:tcW w:w="3794" w:type="dxa"/>
            <w:tcBorders>
              <w:top w:val="nil"/>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both"/>
              <w:rPr>
                <w:rFonts w:ascii="Times New Roman" w:hAnsi="Times New Roman" w:cs="Times New Roman"/>
              </w:rPr>
            </w:pPr>
            <w:r w:rsidRPr="00C859BA">
              <w:rPr>
                <w:rFonts w:ascii="Times New Roman" w:hAnsi="Times New Roman" w:cs="Times New Roman"/>
              </w:rPr>
              <w:t>Pārējās rūpniecības nozares</w:t>
            </w:r>
          </w:p>
        </w:tc>
        <w:tc>
          <w:tcPr>
            <w:tcW w:w="1305" w:type="dxa"/>
            <w:tcBorders>
              <w:top w:val="nil"/>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6,0</w:t>
            </w:r>
          </w:p>
        </w:tc>
        <w:tc>
          <w:tcPr>
            <w:tcW w:w="1272" w:type="dxa"/>
            <w:tcBorders>
              <w:top w:val="nil"/>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12,0</w:t>
            </w:r>
          </w:p>
        </w:tc>
        <w:tc>
          <w:tcPr>
            <w:tcW w:w="1108" w:type="dxa"/>
            <w:tcBorders>
              <w:top w:val="nil"/>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lang w:val="en-US"/>
              </w:rPr>
              <w:t>52,5</w:t>
            </w:r>
          </w:p>
        </w:tc>
        <w:tc>
          <w:tcPr>
            <w:tcW w:w="1134" w:type="dxa"/>
            <w:tcBorders>
              <w:top w:val="nil"/>
              <w:left w:val="nil"/>
              <w:bottom w:val="single" w:sz="8" w:space="0" w:color="A3B2C1"/>
              <w:right w:val="nil"/>
            </w:tcBorders>
            <w:shd w:val="clear" w:color="auto" w:fill="auto"/>
            <w:tcMar>
              <w:top w:w="14" w:type="dxa"/>
              <w:left w:w="108" w:type="dxa"/>
              <w:bottom w:w="0" w:type="dxa"/>
              <w:right w:w="108" w:type="dxa"/>
            </w:tcMar>
            <w:vAlign w:val="center"/>
            <w:hideMark/>
          </w:tcPr>
          <w:p w:rsidR="00AB4275" w:rsidRPr="00C859BA" w:rsidRDefault="00AB4275" w:rsidP="00CA0765">
            <w:pPr>
              <w:spacing w:before="40" w:after="40" w:line="240" w:lineRule="auto"/>
              <w:jc w:val="center"/>
              <w:rPr>
                <w:rFonts w:ascii="Times New Roman" w:hAnsi="Times New Roman" w:cs="Times New Roman"/>
                <w:sz w:val="24"/>
                <w:szCs w:val="24"/>
              </w:rPr>
            </w:pPr>
            <w:r w:rsidRPr="00C859BA">
              <w:rPr>
                <w:rFonts w:ascii="Times New Roman" w:hAnsi="Times New Roman" w:cs="Times New Roman"/>
                <w:sz w:val="24"/>
                <w:szCs w:val="24"/>
              </w:rPr>
              <w:t>16,5</w:t>
            </w:r>
          </w:p>
        </w:tc>
      </w:tr>
    </w:tbl>
    <w:p w:rsidR="00732810" w:rsidRDefault="00B86305" w:rsidP="00A449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Avots: </w:t>
      </w:r>
      <w:r w:rsidR="00BA2D6D">
        <w:rPr>
          <w:rFonts w:ascii="Times New Roman" w:hAnsi="Times New Roman" w:cs="Times New Roman"/>
          <w:sz w:val="28"/>
          <w:szCs w:val="28"/>
        </w:rPr>
        <w:t>EM</w:t>
      </w:r>
    </w:p>
    <w:p w:rsidR="006B46BA" w:rsidRDefault="006B46BA" w:rsidP="00645B93">
      <w:pPr>
        <w:spacing w:after="0" w:line="240" w:lineRule="auto"/>
        <w:ind w:firstLine="720"/>
        <w:jc w:val="both"/>
        <w:rPr>
          <w:rFonts w:ascii="Times New Roman" w:hAnsi="Times New Roman" w:cs="Times New Roman"/>
          <w:sz w:val="28"/>
          <w:szCs w:val="28"/>
        </w:rPr>
      </w:pPr>
    </w:p>
    <w:p w:rsidR="00D46258" w:rsidRDefault="00AB4275" w:rsidP="00645B93">
      <w:pPr>
        <w:spacing w:after="0" w:line="240" w:lineRule="auto"/>
        <w:ind w:firstLine="720"/>
        <w:jc w:val="both"/>
        <w:rPr>
          <w:rFonts w:ascii="Times New Roman" w:hAnsi="Times New Roman" w:cs="Times New Roman"/>
          <w:sz w:val="28"/>
          <w:szCs w:val="28"/>
        </w:rPr>
      </w:pPr>
      <w:r w:rsidRPr="000135C9">
        <w:rPr>
          <w:rFonts w:ascii="Times New Roman" w:hAnsi="Times New Roman" w:cs="Times New Roman"/>
          <w:sz w:val="28"/>
          <w:szCs w:val="28"/>
        </w:rPr>
        <w:t xml:space="preserve">Latvijas tautsaimniecības atveseļošanās procesā </w:t>
      </w:r>
      <w:r w:rsidR="00AD01A6">
        <w:rPr>
          <w:rFonts w:ascii="Times New Roman" w:hAnsi="Times New Roman" w:cs="Times New Roman"/>
          <w:sz w:val="28"/>
          <w:szCs w:val="28"/>
        </w:rPr>
        <w:t>būtiska</w:t>
      </w:r>
      <w:r>
        <w:rPr>
          <w:rFonts w:ascii="Times New Roman" w:hAnsi="Times New Roman" w:cs="Times New Roman"/>
          <w:sz w:val="28"/>
          <w:szCs w:val="28"/>
        </w:rPr>
        <w:t xml:space="preserve"> nozīme bija</w:t>
      </w:r>
      <w:r w:rsidRPr="000135C9">
        <w:rPr>
          <w:rFonts w:ascii="Times New Roman" w:hAnsi="Times New Roman" w:cs="Times New Roman"/>
          <w:sz w:val="28"/>
          <w:szCs w:val="28"/>
        </w:rPr>
        <w:t xml:space="preserve"> eksportam</w:t>
      </w:r>
      <w:r>
        <w:rPr>
          <w:rFonts w:ascii="Times New Roman" w:hAnsi="Times New Roman" w:cs="Times New Roman"/>
          <w:sz w:val="28"/>
          <w:szCs w:val="28"/>
        </w:rPr>
        <w:t xml:space="preserve">, kur valsts eksporta pieaugumu noteica situācijas </w:t>
      </w:r>
      <w:r w:rsidRPr="000135C9">
        <w:rPr>
          <w:rFonts w:ascii="Times New Roman" w:hAnsi="Times New Roman" w:cs="Times New Roman"/>
          <w:sz w:val="28"/>
          <w:szCs w:val="28"/>
        </w:rPr>
        <w:t>uzlabošanās ārvalstu tirgos un pieprasījuma pieaugums,</w:t>
      </w:r>
      <w:r>
        <w:rPr>
          <w:rFonts w:ascii="Times New Roman" w:hAnsi="Times New Roman" w:cs="Times New Roman"/>
          <w:sz w:val="28"/>
          <w:szCs w:val="28"/>
        </w:rPr>
        <w:t xml:space="preserve"> kā arī </w:t>
      </w:r>
      <w:r w:rsidRPr="000135C9">
        <w:rPr>
          <w:rFonts w:ascii="Times New Roman" w:hAnsi="Times New Roman" w:cs="Times New Roman"/>
          <w:sz w:val="28"/>
          <w:szCs w:val="28"/>
        </w:rPr>
        <w:t xml:space="preserve">krīzes laikā </w:t>
      </w:r>
      <w:r w:rsidRPr="000135C9">
        <w:rPr>
          <w:rFonts w:ascii="Times New Roman" w:hAnsi="Times New Roman" w:cs="Times New Roman"/>
          <w:sz w:val="28"/>
          <w:szCs w:val="28"/>
        </w:rPr>
        <w:lastRenderedPageBreak/>
        <w:t xml:space="preserve">atgūtā </w:t>
      </w:r>
      <w:r>
        <w:rPr>
          <w:rFonts w:ascii="Times New Roman" w:hAnsi="Times New Roman" w:cs="Times New Roman"/>
          <w:sz w:val="28"/>
          <w:szCs w:val="28"/>
        </w:rPr>
        <w:t>Latvijas ražotāju konkurētspēja.</w:t>
      </w:r>
      <w:r w:rsidRPr="00F306EC">
        <w:rPr>
          <w:rFonts w:ascii="Times New Roman" w:hAnsi="Times New Roman" w:cs="Times New Roman"/>
          <w:sz w:val="28"/>
          <w:szCs w:val="28"/>
        </w:rPr>
        <w:t xml:space="preserve"> </w:t>
      </w:r>
      <w:r w:rsidRPr="0030195A">
        <w:rPr>
          <w:rFonts w:ascii="Times New Roman" w:hAnsi="Times New Roman" w:cs="Times New Roman"/>
          <w:sz w:val="28"/>
          <w:szCs w:val="28"/>
        </w:rPr>
        <w:t>Eksporta apjomi 20</w:t>
      </w:r>
      <w:r w:rsidR="00AD01A6">
        <w:rPr>
          <w:rFonts w:ascii="Times New Roman" w:hAnsi="Times New Roman" w:cs="Times New Roman"/>
          <w:sz w:val="28"/>
          <w:szCs w:val="28"/>
        </w:rPr>
        <w:t>10.gadā</w:t>
      </w:r>
      <w:r w:rsidR="00645B93">
        <w:rPr>
          <w:rFonts w:ascii="Times New Roman" w:hAnsi="Times New Roman" w:cs="Times New Roman"/>
          <w:sz w:val="28"/>
          <w:szCs w:val="28"/>
        </w:rPr>
        <w:t>,</w:t>
      </w:r>
      <w:r w:rsidR="00AD01A6">
        <w:rPr>
          <w:rFonts w:ascii="Times New Roman" w:hAnsi="Times New Roman" w:cs="Times New Roman"/>
          <w:sz w:val="28"/>
          <w:szCs w:val="28"/>
        </w:rPr>
        <w:t xml:space="preserve"> salīdzinot ar 2009.gadu</w:t>
      </w:r>
      <w:r w:rsidR="00645B93">
        <w:rPr>
          <w:rFonts w:ascii="Times New Roman" w:hAnsi="Times New Roman" w:cs="Times New Roman"/>
          <w:sz w:val="28"/>
          <w:szCs w:val="28"/>
        </w:rPr>
        <w:t>,</w:t>
      </w:r>
      <w:r w:rsidRPr="0030195A">
        <w:rPr>
          <w:rFonts w:ascii="Times New Roman" w:hAnsi="Times New Roman" w:cs="Times New Roman"/>
          <w:sz w:val="28"/>
          <w:szCs w:val="28"/>
        </w:rPr>
        <w:t xml:space="preserve"> bija par </w:t>
      </w:r>
      <w:r>
        <w:rPr>
          <w:rFonts w:ascii="Times New Roman" w:hAnsi="Times New Roman" w:cs="Times New Roman"/>
          <w:sz w:val="28"/>
          <w:szCs w:val="28"/>
        </w:rPr>
        <w:t>29,7</w:t>
      </w:r>
      <w:r w:rsidRPr="0030195A">
        <w:rPr>
          <w:rFonts w:ascii="Times New Roman" w:hAnsi="Times New Roman" w:cs="Times New Roman"/>
          <w:sz w:val="28"/>
          <w:szCs w:val="28"/>
        </w:rPr>
        <w:t>% lielāki.</w:t>
      </w:r>
    </w:p>
    <w:p w:rsidR="00D46258" w:rsidRDefault="00D46258" w:rsidP="00225CAA">
      <w:pPr>
        <w:spacing w:after="0" w:line="240" w:lineRule="auto"/>
        <w:ind w:firstLine="720"/>
        <w:jc w:val="right"/>
        <w:rPr>
          <w:rFonts w:ascii="Times New Roman" w:hAnsi="Times New Roman" w:cs="Times New Roman"/>
          <w:sz w:val="28"/>
          <w:szCs w:val="28"/>
        </w:rPr>
      </w:pPr>
    </w:p>
    <w:p w:rsidR="00D46258" w:rsidRDefault="00225CAA" w:rsidP="00D46258">
      <w:pPr>
        <w:spacing w:after="0" w:line="240" w:lineRule="auto"/>
        <w:ind w:firstLine="720"/>
        <w:jc w:val="right"/>
        <w:rPr>
          <w:rFonts w:ascii="Times New Roman" w:hAnsi="Times New Roman" w:cs="Times New Roman"/>
          <w:b/>
          <w:color w:val="000000"/>
          <w:sz w:val="28"/>
          <w:szCs w:val="28"/>
        </w:rPr>
      </w:pPr>
      <w:r>
        <w:rPr>
          <w:rFonts w:ascii="Times New Roman" w:hAnsi="Times New Roman" w:cs="Times New Roman"/>
          <w:color w:val="000000"/>
          <w:sz w:val="28"/>
          <w:szCs w:val="28"/>
        </w:rPr>
        <w:t>2.attēls</w:t>
      </w:r>
    </w:p>
    <w:p w:rsidR="00AB4275" w:rsidRPr="00B86305" w:rsidRDefault="00AB4275" w:rsidP="00AB4275">
      <w:pPr>
        <w:spacing w:after="0" w:line="240" w:lineRule="auto"/>
        <w:jc w:val="center"/>
        <w:rPr>
          <w:rFonts w:ascii="Times New Roman" w:hAnsi="Times New Roman" w:cs="Times New Roman"/>
          <w:b/>
          <w:color w:val="000000"/>
          <w:sz w:val="28"/>
          <w:szCs w:val="28"/>
        </w:rPr>
      </w:pPr>
      <w:r w:rsidRPr="00B86305">
        <w:rPr>
          <w:rFonts w:ascii="Times New Roman" w:hAnsi="Times New Roman" w:cs="Times New Roman"/>
          <w:b/>
          <w:color w:val="000000"/>
          <w:sz w:val="28"/>
          <w:szCs w:val="28"/>
        </w:rPr>
        <w:t>Latvijas preču eksports un imports pa ceturkšņiem</w:t>
      </w:r>
    </w:p>
    <w:p w:rsidR="00AB4275" w:rsidRPr="00D46258" w:rsidRDefault="00D46258" w:rsidP="00AB427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(milj. LVL)</w:t>
      </w:r>
    </w:p>
    <w:p w:rsidR="00B86305" w:rsidRPr="00443A0D" w:rsidRDefault="00B86305" w:rsidP="00AB4275">
      <w:pPr>
        <w:spacing w:after="0" w:line="240" w:lineRule="auto"/>
        <w:jc w:val="center"/>
        <w:rPr>
          <w:rFonts w:ascii="Times New Roman" w:hAnsi="Times New Roman" w:cs="Times New Roman"/>
          <w:color w:val="000000"/>
          <w:sz w:val="24"/>
          <w:szCs w:val="28"/>
        </w:rPr>
      </w:pPr>
    </w:p>
    <w:p w:rsidR="001E4884" w:rsidRDefault="00AB4275" w:rsidP="00B86305">
      <w:pPr>
        <w:spacing w:after="0" w:line="240" w:lineRule="auto"/>
        <w:ind w:firstLine="720"/>
        <w:jc w:val="center"/>
        <w:rPr>
          <w:rFonts w:ascii="Times New Roman" w:hAnsi="Times New Roman" w:cs="Times New Roman"/>
          <w:color w:val="000000"/>
          <w:sz w:val="28"/>
          <w:szCs w:val="28"/>
        </w:rPr>
      </w:pPr>
      <w:r w:rsidRPr="00AB4275">
        <w:rPr>
          <w:rFonts w:ascii="Times New Roman" w:hAnsi="Times New Roman" w:cs="Times New Roman"/>
          <w:noProof/>
          <w:color w:val="000000"/>
          <w:sz w:val="28"/>
          <w:szCs w:val="28"/>
          <w:lang w:eastAsia="lv-LV"/>
        </w:rPr>
        <w:drawing>
          <wp:inline distT="0" distB="0" distL="0" distR="0">
            <wp:extent cx="5010150" cy="2524125"/>
            <wp:effectExtent l="1905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6305" w:rsidRDefault="00B86305" w:rsidP="001E488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Avots: </w:t>
      </w:r>
      <w:r w:rsidR="00BA2D6D">
        <w:rPr>
          <w:rFonts w:ascii="Times New Roman" w:hAnsi="Times New Roman" w:cs="Times New Roman"/>
          <w:color w:val="000000"/>
          <w:sz w:val="28"/>
          <w:szCs w:val="28"/>
        </w:rPr>
        <w:t>Centrālā statistikas pārvalde</w:t>
      </w:r>
    </w:p>
    <w:p w:rsidR="00D46258" w:rsidRDefault="00D46258" w:rsidP="00453B8A">
      <w:pPr>
        <w:spacing w:after="0" w:line="240" w:lineRule="auto"/>
        <w:ind w:firstLine="720"/>
        <w:jc w:val="both"/>
        <w:rPr>
          <w:rFonts w:ascii="Times New Roman" w:hAnsi="Times New Roman" w:cs="Times New Roman"/>
          <w:color w:val="000000"/>
          <w:sz w:val="28"/>
          <w:szCs w:val="28"/>
        </w:rPr>
      </w:pPr>
    </w:p>
    <w:p w:rsidR="0030195A" w:rsidRPr="0030195A" w:rsidRDefault="001E4884" w:rsidP="00453B8A">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Vienlaicīgi a</w:t>
      </w:r>
      <w:r w:rsidRPr="00B27A17">
        <w:rPr>
          <w:rFonts w:ascii="Times New Roman" w:hAnsi="Times New Roman" w:cs="Times New Roman"/>
          <w:color w:val="000000"/>
          <w:sz w:val="28"/>
          <w:szCs w:val="28"/>
        </w:rPr>
        <w:t xml:space="preserve">ugsto tehnoloģiju produktu īpatsvars kopējā eksportā 2010.gadā bija </w:t>
      </w:r>
      <w:r>
        <w:rPr>
          <w:rFonts w:ascii="Times New Roman" w:hAnsi="Times New Roman" w:cs="Times New Roman"/>
          <w:color w:val="000000"/>
          <w:sz w:val="28"/>
          <w:szCs w:val="28"/>
        </w:rPr>
        <w:t xml:space="preserve">salīdzinoši zems </w:t>
      </w:r>
      <w:r w:rsidR="00CD33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7A17">
        <w:rPr>
          <w:rFonts w:ascii="Times New Roman" w:hAnsi="Times New Roman" w:cs="Times New Roman"/>
          <w:color w:val="000000"/>
          <w:sz w:val="28"/>
          <w:szCs w:val="28"/>
        </w:rPr>
        <w:t>10,9% (2009.gadā – 10,7%), savukārt vidēji augsto tehnoloģiju produktu īpatsvars kopējā eksportā 2010.gadā veidoja 14,5% (2009.gadā – 12,5%).</w:t>
      </w:r>
    </w:p>
    <w:p w:rsidR="0030195A" w:rsidRPr="0030195A" w:rsidRDefault="001E4884" w:rsidP="0030195A">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Analizējot situāciju inovācijas attīstības jomā jānorāda, ka </w:t>
      </w:r>
      <w:r w:rsidR="0030195A" w:rsidRPr="0030195A">
        <w:rPr>
          <w:rFonts w:ascii="Times New Roman" w:hAnsi="Times New Roman" w:cs="Times New Roman"/>
          <w:color w:val="000000"/>
          <w:sz w:val="28"/>
          <w:szCs w:val="28"/>
        </w:rPr>
        <w:t xml:space="preserve">2011.gadā publicētajā </w:t>
      </w:r>
      <w:r w:rsidR="0030195A" w:rsidRPr="00527D9E">
        <w:rPr>
          <w:rFonts w:ascii="Times New Roman" w:hAnsi="Times New Roman" w:cs="Times New Roman"/>
          <w:color w:val="000000"/>
          <w:sz w:val="28"/>
          <w:szCs w:val="28"/>
        </w:rPr>
        <w:t>„</w:t>
      </w:r>
      <w:proofErr w:type="spellStart"/>
      <w:r w:rsidR="0030195A" w:rsidRPr="00527D9E">
        <w:rPr>
          <w:rFonts w:ascii="Times New Roman" w:hAnsi="Times New Roman" w:cs="Times New Roman"/>
          <w:sz w:val="28"/>
          <w:szCs w:val="28"/>
          <w:lang w:eastAsia="lv-LV"/>
        </w:rPr>
        <w:t>Innovation</w:t>
      </w:r>
      <w:proofErr w:type="spellEnd"/>
      <w:r w:rsidR="0030195A" w:rsidRPr="00527D9E">
        <w:rPr>
          <w:rFonts w:ascii="Times New Roman" w:hAnsi="Times New Roman" w:cs="Times New Roman"/>
          <w:sz w:val="28"/>
          <w:szCs w:val="28"/>
          <w:lang w:eastAsia="lv-LV"/>
        </w:rPr>
        <w:t xml:space="preserve"> </w:t>
      </w:r>
      <w:proofErr w:type="spellStart"/>
      <w:r w:rsidR="0030195A" w:rsidRPr="00527D9E">
        <w:rPr>
          <w:rFonts w:ascii="Times New Roman" w:hAnsi="Times New Roman" w:cs="Times New Roman"/>
          <w:sz w:val="28"/>
          <w:szCs w:val="28"/>
          <w:lang w:eastAsia="lv-LV"/>
        </w:rPr>
        <w:t>Union</w:t>
      </w:r>
      <w:proofErr w:type="spellEnd"/>
      <w:r w:rsidR="0030195A" w:rsidRPr="00527D9E">
        <w:rPr>
          <w:rFonts w:ascii="Times New Roman" w:hAnsi="Times New Roman" w:cs="Times New Roman"/>
          <w:sz w:val="28"/>
          <w:szCs w:val="28"/>
          <w:lang w:eastAsia="lv-LV"/>
        </w:rPr>
        <w:t xml:space="preserve"> </w:t>
      </w:r>
      <w:proofErr w:type="spellStart"/>
      <w:r w:rsidR="0030195A" w:rsidRPr="00527D9E">
        <w:rPr>
          <w:rFonts w:ascii="Times New Roman" w:hAnsi="Times New Roman" w:cs="Times New Roman"/>
          <w:sz w:val="28"/>
          <w:szCs w:val="28"/>
          <w:lang w:eastAsia="lv-LV"/>
        </w:rPr>
        <w:t>Scoreboard</w:t>
      </w:r>
      <w:proofErr w:type="spellEnd"/>
      <w:r w:rsidR="0030195A" w:rsidRPr="00527D9E">
        <w:rPr>
          <w:rFonts w:ascii="Times New Roman" w:hAnsi="Times New Roman" w:cs="Times New Roman"/>
          <w:color w:val="000000"/>
          <w:sz w:val="28"/>
          <w:szCs w:val="28"/>
        </w:rPr>
        <w:t xml:space="preserve"> 2010”</w:t>
      </w:r>
      <w:r w:rsidR="0030195A" w:rsidRPr="0030195A">
        <w:rPr>
          <w:rFonts w:ascii="Times New Roman" w:hAnsi="Times New Roman" w:cs="Times New Roman"/>
          <w:color w:val="000000"/>
          <w:sz w:val="28"/>
          <w:szCs w:val="28"/>
        </w:rPr>
        <w:t xml:space="preserve"> pētījumā </w:t>
      </w:r>
      <w:r w:rsidR="00644DA9">
        <w:rPr>
          <w:rFonts w:ascii="Times New Roman" w:hAnsi="Times New Roman" w:cs="Times New Roman"/>
          <w:color w:val="000000"/>
          <w:sz w:val="28"/>
          <w:szCs w:val="28"/>
        </w:rPr>
        <w:t xml:space="preserve">(turpmāk – pētījums) </w:t>
      </w:r>
      <w:r w:rsidR="0030195A" w:rsidRPr="0030195A">
        <w:rPr>
          <w:rFonts w:ascii="Times New Roman" w:hAnsi="Times New Roman" w:cs="Times New Roman"/>
          <w:color w:val="000000"/>
          <w:sz w:val="28"/>
          <w:szCs w:val="28"/>
        </w:rPr>
        <w:t xml:space="preserve">starp 27 pētījumā iekļautajām valstīm Latvija ieņem pēdējo </w:t>
      </w:r>
      <w:r w:rsidR="00645B93">
        <w:rPr>
          <w:rFonts w:ascii="Times New Roman" w:hAnsi="Times New Roman" w:cs="Times New Roman"/>
          <w:color w:val="000000"/>
          <w:sz w:val="28"/>
          <w:szCs w:val="28"/>
        </w:rPr>
        <w:t xml:space="preserve">– </w:t>
      </w:r>
      <w:r w:rsidR="0030195A" w:rsidRPr="0030195A">
        <w:rPr>
          <w:rFonts w:ascii="Times New Roman" w:hAnsi="Times New Roman" w:cs="Times New Roman"/>
          <w:color w:val="000000"/>
          <w:sz w:val="28"/>
          <w:szCs w:val="28"/>
        </w:rPr>
        <w:t xml:space="preserve">27.vietu (Igaunija </w:t>
      </w:r>
      <w:r w:rsidR="00CD33D7">
        <w:rPr>
          <w:rFonts w:ascii="Times New Roman" w:hAnsi="Times New Roman" w:cs="Times New Roman"/>
          <w:color w:val="000000"/>
          <w:sz w:val="28"/>
          <w:szCs w:val="28"/>
        </w:rPr>
        <w:t>–</w:t>
      </w:r>
      <w:r w:rsidR="0030195A" w:rsidRPr="0030195A">
        <w:rPr>
          <w:rFonts w:ascii="Times New Roman" w:hAnsi="Times New Roman" w:cs="Times New Roman"/>
          <w:color w:val="000000"/>
          <w:sz w:val="28"/>
          <w:szCs w:val="28"/>
        </w:rPr>
        <w:t xml:space="preserve"> 14, Lietuva</w:t>
      </w:r>
      <w:r w:rsidR="00CD33D7">
        <w:rPr>
          <w:rFonts w:ascii="Times New Roman" w:hAnsi="Times New Roman" w:cs="Times New Roman"/>
          <w:color w:val="000000"/>
          <w:sz w:val="28"/>
          <w:szCs w:val="28"/>
        </w:rPr>
        <w:t xml:space="preserve"> –</w:t>
      </w:r>
      <w:r w:rsidR="0030195A" w:rsidRPr="0030195A">
        <w:rPr>
          <w:rFonts w:ascii="Times New Roman" w:hAnsi="Times New Roman" w:cs="Times New Roman"/>
          <w:color w:val="000000"/>
          <w:sz w:val="28"/>
          <w:szCs w:val="28"/>
        </w:rPr>
        <w:t xml:space="preserve"> 25). Lai arī Latvijas inovācijas indekss ir viszemākais E</w:t>
      </w:r>
      <w:r w:rsidR="00644DA9">
        <w:rPr>
          <w:rFonts w:ascii="Times New Roman" w:hAnsi="Times New Roman" w:cs="Times New Roman"/>
          <w:color w:val="000000"/>
          <w:sz w:val="28"/>
          <w:szCs w:val="28"/>
        </w:rPr>
        <w:t xml:space="preserve">iropas </w:t>
      </w:r>
      <w:r w:rsidR="0030195A" w:rsidRPr="0030195A">
        <w:rPr>
          <w:rFonts w:ascii="Times New Roman" w:hAnsi="Times New Roman" w:cs="Times New Roman"/>
          <w:color w:val="000000"/>
          <w:sz w:val="28"/>
          <w:szCs w:val="28"/>
        </w:rPr>
        <w:t>S</w:t>
      </w:r>
      <w:r w:rsidR="00644DA9">
        <w:rPr>
          <w:rFonts w:ascii="Times New Roman" w:hAnsi="Times New Roman" w:cs="Times New Roman"/>
          <w:color w:val="000000"/>
          <w:sz w:val="28"/>
          <w:szCs w:val="28"/>
        </w:rPr>
        <w:t>avienības (turpmāk – ES)</w:t>
      </w:r>
      <w:r w:rsidR="0030195A" w:rsidRPr="0030195A">
        <w:rPr>
          <w:rFonts w:ascii="Times New Roman" w:hAnsi="Times New Roman" w:cs="Times New Roman"/>
          <w:color w:val="000000"/>
          <w:sz w:val="28"/>
          <w:szCs w:val="28"/>
        </w:rPr>
        <w:t xml:space="preserve"> 27 dalībvalstu vidū, tomēr jāuzsver, ka inovācijas indeksā ietverto rādītāju vidējais pieaugums pēdējo piecu gadu laikā Latvijai  ir 2,71% un tas ir lielāks par 27 dalībvalstu vidējo pieaugumu </w:t>
      </w:r>
      <w:r w:rsidR="00645B93">
        <w:rPr>
          <w:rFonts w:ascii="Times New Roman" w:hAnsi="Times New Roman" w:cs="Times New Roman"/>
          <w:color w:val="000000"/>
          <w:sz w:val="28"/>
          <w:szCs w:val="28"/>
        </w:rPr>
        <w:t xml:space="preserve">– </w:t>
      </w:r>
      <w:r w:rsidR="0030195A" w:rsidRPr="0030195A">
        <w:rPr>
          <w:rFonts w:ascii="Times New Roman" w:hAnsi="Times New Roman" w:cs="Times New Roman"/>
          <w:color w:val="000000"/>
          <w:sz w:val="28"/>
          <w:szCs w:val="28"/>
        </w:rPr>
        <w:t>0,85%. Pētījumā ti</w:t>
      </w:r>
      <w:r w:rsidR="00527D9E">
        <w:rPr>
          <w:rFonts w:ascii="Times New Roman" w:hAnsi="Times New Roman" w:cs="Times New Roman"/>
          <w:color w:val="000000"/>
          <w:sz w:val="28"/>
          <w:szCs w:val="28"/>
        </w:rPr>
        <w:t>ek vērtēts plašs radītāju loks astoņās</w:t>
      </w:r>
      <w:r w:rsidR="0030195A" w:rsidRPr="0030195A">
        <w:rPr>
          <w:rFonts w:ascii="Times New Roman" w:hAnsi="Times New Roman" w:cs="Times New Roman"/>
          <w:color w:val="000000"/>
          <w:sz w:val="28"/>
          <w:szCs w:val="28"/>
        </w:rPr>
        <w:t xml:space="preserve"> inovācijas attīstībai būtiskās jomās – cilvēkresursi, </w:t>
      </w:r>
      <w:r w:rsidR="00173680" w:rsidRPr="0030195A">
        <w:rPr>
          <w:rFonts w:ascii="Times New Roman" w:hAnsi="Times New Roman" w:cs="Times New Roman"/>
          <w:color w:val="000000"/>
          <w:sz w:val="28"/>
          <w:szCs w:val="28"/>
        </w:rPr>
        <w:t>pētniecības vide</w:t>
      </w:r>
      <w:r w:rsidR="00173680">
        <w:rPr>
          <w:rFonts w:ascii="Times New Roman" w:hAnsi="Times New Roman" w:cs="Times New Roman"/>
          <w:color w:val="000000"/>
          <w:sz w:val="28"/>
          <w:szCs w:val="28"/>
        </w:rPr>
        <w:t>s</w:t>
      </w:r>
      <w:r w:rsidR="00173680" w:rsidRPr="0030195A">
        <w:rPr>
          <w:rFonts w:ascii="Times New Roman" w:hAnsi="Times New Roman" w:cs="Times New Roman"/>
          <w:color w:val="000000"/>
          <w:sz w:val="28"/>
          <w:szCs w:val="28"/>
        </w:rPr>
        <w:t xml:space="preserve"> </w:t>
      </w:r>
      <w:r w:rsidR="00173680">
        <w:rPr>
          <w:rFonts w:ascii="Times New Roman" w:hAnsi="Times New Roman" w:cs="Times New Roman"/>
          <w:color w:val="000000"/>
          <w:sz w:val="28"/>
          <w:szCs w:val="28"/>
        </w:rPr>
        <w:t>atvērtība</w:t>
      </w:r>
      <w:r w:rsidR="0030195A" w:rsidRPr="0030195A">
        <w:rPr>
          <w:rFonts w:ascii="Times New Roman" w:hAnsi="Times New Roman" w:cs="Times New Roman"/>
          <w:color w:val="000000"/>
          <w:sz w:val="28"/>
          <w:szCs w:val="28"/>
        </w:rPr>
        <w:t>, ek</w:t>
      </w:r>
      <w:r w:rsidR="00173680">
        <w:rPr>
          <w:rFonts w:ascii="Times New Roman" w:hAnsi="Times New Roman" w:cs="Times New Roman"/>
          <w:color w:val="000000"/>
          <w:sz w:val="28"/>
          <w:szCs w:val="28"/>
        </w:rPr>
        <w:t>selence</w:t>
      </w:r>
      <w:r w:rsidR="0030195A" w:rsidRPr="0030195A">
        <w:rPr>
          <w:rFonts w:ascii="Times New Roman" w:hAnsi="Times New Roman" w:cs="Times New Roman"/>
          <w:color w:val="000000"/>
          <w:sz w:val="28"/>
          <w:szCs w:val="28"/>
        </w:rPr>
        <w:t xml:space="preserve"> un </w:t>
      </w:r>
      <w:r w:rsidR="00527D9E">
        <w:rPr>
          <w:rFonts w:ascii="Times New Roman" w:hAnsi="Times New Roman" w:cs="Times New Roman"/>
          <w:color w:val="000000"/>
          <w:sz w:val="28"/>
          <w:szCs w:val="28"/>
        </w:rPr>
        <w:t>pievilcī</w:t>
      </w:r>
      <w:r w:rsidR="00173680">
        <w:rPr>
          <w:rFonts w:ascii="Times New Roman" w:hAnsi="Times New Roman" w:cs="Times New Roman"/>
          <w:color w:val="000000"/>
          <w:sz w:val="28"/>
          <w:szCs w:val="28"/>
        </w:rPr>
        <w:t>ba, finansējums</w:t>
      </w:r>
      <w:r w:rsidR="0030195A" w:rsidRPr="0030195A">
        <w:rPr>
          <w:rFonts w:ascii="Times New Roman" w:hAnsi="Times New Roman" w:cs="Times New Roman"/>
          <w:color w:val="000000"/>
          <w:sz w:val="28"/>
          <w:szCs w:val="28"/>
        </w:rPr>
        <w:t xml:space="preserve"> un atbalsts, </w:t>
      </w:r>
      <w:r w:rsidR="00CD33D7">
        <w:rPr>
          <w:rFonts w:ascii="Times New Roman" w:hAnsi="Times New Roman" w:cs="Times New Roman"/>
          <w:color w:val="000000"/>
          <w:sz w:val="28"/>
          <w:szCs w:val="28"/>
        </w:rPr>
        <w:t>u</w:t>
      </w:r>
      <w:r w:rsidR="0030195A" w:rsidRPr="0030195A">
        <w:rPr>
          <w:rFonts w:ascii="Times New Roman" w:hAnsi="Times New Roman" w:cs="Times New Roman"/>
          <w:color w:val="000000"/>
          <w:sz w:val="28"/>
          <w:szCs w:val="28"/>
        </w:rPr>
        <w:t xml:space="preserve">zņēmumu investīcijas, </w:t>
      </w:r>
      <w:r w:rsidR="00BA764C">
        <w:rPr>
          <w:rFonts w:ascii="Times New Roman" w:hAnsi="Times New Roman" w:cs="Times New Roman"/>
          <w:color w:val="000000"/>
          <w:sz w:val="28"/>
          <w:szCs w:val="28"/>
        </w:rPr>
        <w:t>uzņēmumu s</w:t>
      </w:r>
      <w:r w:rsidR="00BA764C" w:rsidRPr="0030195A">
        <w:rPr>
          <w:rFonts w:ascii="Times New Roman" w:hAnsi="Times New Roman" w:cs="Times New Roman"/>
          <w:color w:val="000000"/>
          <w:sz w:val="28"/>
          <w:szCs w:val="28"/>
        </w:rPr>
        <w:t xml:space="preserve">adarbība un </w:t>
      </w:r>
      <w:r w:rsidR="0030195A" w:rsidRPr="0030195A">
        <w:rPr>
          <w:rFonts w:ascii="Times New Roman" w:hAnsi="Times New Roman" w:cs="Times New Roman"/>
          <w:color w:val="000000"/>
          <w:sz w:val="28"/>
          <w:szCs w:val="28"/>
        </w:rPr>
        <w:t>uzņēmējdarbība, i</w:t>
      </w:r>
      <w:r w:rsidR="00173680">
        <w:rPr>
          <w:rFonts w:ascii="Times New Roman" w:hAnsi="Times New Roman" w:cs="Times New Roman"/>
          <w:color w:val="000000"/>
          <w:sz w:val="28"/>
          <w:szCs w:val="28"/>
        </w:rPr>
        <w:t>ntelektuālais īpašums, inovācijas aktivitāte</w:t>
      </w:r>
      <w:r w:rsidR="0030195A" w:rsidRPr="0030195A">
        <w:rPr>
          <w:rFonts w:ascii="Times New Roman" w:hAnsi="Times New Roman" w:cs="Times New Roman"/>
          <w:color w:val="000000"/>
          <w:sz w:val="28"/>
          <w:szCs w:val="28"/>
        </w:rPr>
        <w:t>, ekonomiskie efekti.</w:t>
      </w:r>
    </w:p>
    <w:p w:rsidR="0030195A" w:rsidRPr="0030195A" w:rsidRDefault="00644DA9" w:rsidP="0030195A">
      <w:pPr>
        <w:spacing w:after="0" w:line="240" w:lineRule="auto"/>
        <w:ind w:right="-57" w:firstLine="709"/>
        <w:jc w:val="both"/>
        <w:rPr>
          <w:rFonts w:ascii="Times New Roman" w:hAnsi="Times New Roman" w:cs="Times New Roman"/>
          <w:color w:val="000000"/>
          <w:sz w:val="28"/>
          <w:szCs w:val="28"/>
        </w:rPr>
      </w:pPr>
      <w:r>
        <w:rPr>
          <w:rStyle w:val="Strong"/>
          <w:rFonts w:ascii="Times New Roman" w:hAnsi="Times New Roman" w:cs="Times New Roman"/>
          <w:b w:val="0"/>
          <w:color w:val="000000"/>
          <w:sz w:val="28"/>
          <w:szCs w:val="28"/>
        </w:rPr>
        <w:t>Analizējot pētījumu</w:t>
      </w:r>
      <w:r w:rsidR="00645B93">
        <w:rPr>
          <w:rStyle w:val="Strong"/>
          <w:rFonts w:ascii="Times New Roman" w:hAnsi="Times New Roman" w:cs="Times New Roman"/>
          <w:b w:val="0"/>
          <w:color w:val="000000"/>
          <w:sz w:val="28"/>
          <w:szCs w:val="28"/>
        </w:rPr>
        <w:t>,</w:t>
      </w:r>
      <w:r>
        <w:rPr>
          <w:rStyle w:val="Strong"/>
          <w:rFonts w:ascii="Times New Roman" w:hAnsi="Times New Roman" w:cs="Times New Roman"/>
          <w:b w:val="0"/>
          <w:color w:val="000000"/>
          <w:sz w:val="28"/>
          <w:szCs w:val="28"/>
        </w:rPr>
        <w:t xml:space="preserve"> var secināt, ka </w:t>
      </w:r>
      <w:r w:rsidR="006B46BA">
        <w:rPr>
          <w:rStyle w:val="Strong"/>
          <w:rFonts w:ascii="Times New Roman" w:hAnsi="Times New Roman" w:cs="Times New Roman"/>
          <w:b w:val="0"/>
          <w:color w:val="000000"/>
          <w:sz w:val="28"/>
          <w:szCs w:val="28"/>
        </w:rPr>
        <w:t>s</w:t>
      </w:r>
      <w:r w:rsidR="006B46BA" w:rsidRPr="0030195A">
        <w:rPr>
          <w:rStyle w:val="Strong"/>
          <w:rFonts w:ascii="Times New Roman" w:hAnsi="Times New Roman" w:cs="Times New Roman"/>
          <w:b w:val="0"/>
          <w:color w:val="000000"/>
          <w:sz w:val="28"/>
          <w:szCs w:val="28"/>
        </w:rPr>
        <w:t>alīdzinoši labāki</w:t>
      </w:r>
      <w:r w:rsidR="006B46BA">
        <w:rPr>
          <w:rStyle w:val="Strong"/>
          <w:rFonts w:ascii="Times New Roman" w:hAnsi="Times New Roman" w:cs="Times New Roman"/>
          <w:b w:val="0"/>
          <w:color w:val="000000"/>
          <w:sz w:val="28"/>
          <w:szCs w:val="28"/>
        </w:rPr>
        <w:t xml:space="preserve"> rādītāji Latvijai </w:t>
      </w:r>
      <w:r w:rsidR="0030195A" w:rsidRPr="0030195A">
        <w:rPr>
          <w:rStyle w:val="Strong"/>
          <w:rFonts w:ascii="Times New Roman" w:hAnsi="Times New Roman" w:cs="Times New Roman"/>
          <w:b w:val="0"/>
          <w:color w:val="000000"/>
          <w:sz w:val="28"/>
          <w:szCs w:val="28"/>
        </w:rPr>
        <w:t>ir cilvēkresursu attīstības jomā</w:t>
      </w:r>
      <w:r>
        <w:rPr>
          <w:rStyle w:val="Strong"/>
          <w:rFonts w:ascii="Times New Roman" w:hAnsi="Times New Roman" w:cs="Times New Roman"/>
          <w:b w:val="0"/>
          <w:color w:val="000000"/>
          <w:sz w:val="28"/>
          <w:szCs w:val="28"/>
        </w:rPr>
        <w:t>, kā arī</w:t>
      </w:r>
      <w:r w:rsidR="0030195A" w:rsidRPr="0030195A">
        <w:rPr>
          <w:rStyle w:val="Strong"/>
          <w:rFonts w:ascii="Times New Roman" w:hAnsi="Times New Roman" w:cs="Times New Roman"/>
          <w:b w:val="0"/>
          <w:color w:val="000000"/>
          <w:sz w:val="28"/>
          <w:szCs w:val="28"/>
        </w:rPr>
        <w:t xml:space="preserve"> būtiski uzlabojumi </w:t>
      </w:r>
      <w:r>
        <w:rPr>
          <w:rStyle w:val="Strong"/>
          <w:rFonts w:ascii="Times New Roman" w:hAnsi="Times New Roman" w:cs="Times New Roman"/>
          <w:b w:val="0"/>
          <w:color w:val="000000"/>
          <w:sz w:val="28"/>
          <w:szCs w:val="28"/>
        </w:rPr>
        <w:t xml:space="preserve">vērojami </w:t>
      </w:r>
      <w:r w:rsidR="0030195A" w:rsidRPr="0030195A">
        <w:rPr>
          <w:rStyle w:val="Strong"/>
          <w:rFonts w:ascii="Times New Roman" w:hAnsi="Times New Roman" w:cs="Times New Roman"/>
          <w:b w:val="0"/>
          <w:color w:val="000000"/>
          <w:sz w:val="28"/>
          <w:szCs w:val="28"/>
        </w:rPr>
        <w:t>intelektuālā</w:t>
      </w:r>
      <w:r w:rsidR="00173680">
        <w:rPr>
          <w:rStyle w:val="Strong"/>
          <w:rFonts w:ascii="Times New Roman" w:hAnsi="Times New Roman" w:cs="Times New Roman"/>
          <w:b w:val="0"/>
          <w:color w:val="000000"/>
          <w:sz w:val="28"/>
          <w:szCs w:val="28"/>
        </w:rPr>
        <w:t xml:space="preserve"> īpašuma aizsardzības un finansējuma</w:t>
      </w:r>
      <w:r w:rsidR="0030195A" w:rsidRPr="0030195A">
        <w:rPr>
          <w:rStyle w:val="Strong"/>
          <w:rFonts w:ascii="Times New Roman" w:hAnsi="Times New Roman" w:cs="Times New Roman"/>
          <w:b w:val="0"/>
          <w:color w:val="000000"/>
          <w:sz w:val="28"/>
          <w:szCs w:val="28"/>
        </w:rPr>
        <w:t xml:space="preserve"> un atbalsta jomā. Zemāki ir </w:t>
      </w:r>
      <w:r w:rsidR="00173680" w:rsidRPr="0030195A">
        <w:rPr>
          <w:rFonts w:ascii="Times New Roman" w:hAnsi="Times New Roman" w:cs="Times New Roman"/>
          <w:color w:val="000000"/>
          <w:sz w:val="28"/>
          <w:szCs w:val="28"/>
        </w:rPr>
        <w:t>pētniecības vides</w:t>
      </w:r>
      <w:r w:rsidR="0030195A" w:rsidRPr="0030195A">
        <w:rPr>
          <w:rFonts w:ascii="Times New Roman" w:hAnsi="Times New Roman" w:cs="Times New Roman"/>
          <w:color w:val="000000"/>
          <w:sz w:val="28"/>
          <w:szCs w:val="28"/>
        </w:rPr>
        <w:t xml:space="preserve">, inovatīvo uzņēmumu, </w:t>
      </w:r>
      <w:r w:rsidR="00173680">
        <w:rPr>
          <w:rFonts w:ascii="Times New Roman" w:hAnsi="Times New Roman" w:cs="Times New Roman"/>
          <w:color w:val="000000"/>
          <w:sz w:val="28"/>
          <w:szCs w:val="28"/>
        </w:rPr>
        <w:t xml:space="preserve">kā arī </w:t>
      </w:r>
      <w:r w:rsidR="00645B93">
        <w:rPr>
          <w:rFonts w:ascii="Times New Roman" w:hAnsi="Times New Roman" w:cs="Times New Roman"/>
          <w:color w:val="000000"/>
          <w:sz w:val="28"/>
          <w:szCs w:val="28"/>
        </w:rPr>
        <w:t>komertsantu</w:t>
      </w:r>
      <w:r w:rsidR="0030195A" w:rsidRPr="0030195A">
        <w:rPr>
          <w:rFonts w:ascii="Times New Roman" w:hAnsi="Times New Roman" w:cs="Times New Roman"/>
          <w:color w:val="000000"/>
          <w:sz w:val="28"/>
          <w:szCs w:val="28"/>
        </w:rPr>
        <w:t xml:space="preserve"> un zinātnieku sadarbības rādītāji.</w:t>
      </w:r>
    </w:p>
    <w:p w:rsidR="00644DA9" w:rsidRDefault="0030195A" w:rsidP="00D46258">
      <w:pPr>
        <w:autoSpaceDE w:val="0"/>
        <w:autoSpaceDN w:val="0"/>
        <w:adjustRightInd w:val="0"/>
        <w:spacing w:after="0" w:line="240" w:lineRule="auto"/>
        <w:ind w:firstLine="567"/>
        <w:jc w:val="both"/>
        <w:rPr>
          <w:rFonts w:ascii="Times New Roman" w:hAnsi="Times New Roman" w:cs="Times New Roman"/>
          <w:sz w:val="28"/>
          <w:szCs w:val="28"/>
        </w:rPr>
      </w:pPr>
      <w:r w:rsidRPr="0030195A">
        <w:rPr>
          <w:rStyle w:val="Strong"/>
          <w:rFonts w:ascii="Times New Roman" w:hAnsi="Times New Roman" w:cs="Times New Roman"/>
          <w:b w:val="0"/>
          <w:color w:val="000000"/>
          <w:sz w:val="28"/>
          <w:szCs w:val="28"/>
        </w:rPr>
        <w:lastRenderedPageBreak/>
        <w:t xml:space="preserve"> </w:t>
      </w:r>
      <w:r w:rsidRPr="0030195A">
        <w:rPr>
          <w:rFonts w:ascii="Times New Roman" w:hAnsi="Times New Roman" w:cs="Times New Roman"/>
          <w:color w:val="000000"/>
          <w:sz w:val="28"/>
          <w:szCs w:val="28"/>
        </w:rPr>
        <w:t xml:space="preserve">Saskaņā ar </w:t>
      </w:r>
      <w:proofErr w:type="spellStart"/>
      <w:r w:rsidRPr="0030195A">
        <w:rPr>
          <w:rFonts w:ascii="Times New Roman" w:hAnsi="Times New Roman" w:cs="Times New Roman"/>
          <w:color w:val="000000"/>
          <w:sz w:val="28"/>
          <w:szCs w:val="28"/>
        </w:rPr>
        <w:t>E</w:t>
      </w:r>
      <w:r w:rsidR="00644DA9">
        <w:rPr>
          <w:rFonts w:ascii="Times New Roman" w:hAnsi="Times New Roman" w:cs="Times New Roman"/>
          <w:color w:val="000000"/>
          <w:sz w:val="28"/>
          <w:szCs w:val="28"/>
        </w:rPr>
        <w:t>u</w:t>
      </w:r>
      <w:r w:rsidR="009F779F">
        <w:rPr>
          <w:rFonts w:ascii="Times New Roman" w:hAnsi="Times New Roman" w:cs="Times New Roman"/>
          <w:color w:val="000000"/>
          <w:sz w:val="28"/>
          <w:szCs w:val="28"/>
        </w:rPr>
        <w:t>rostat</w:t>
      </w:r>
      <w:proofErr w:type="spellEnd"/>
      <w:r w:rsidRPr="0030195A">
        <w:rPr>
          <w:rFonts w:ascii="Times New Roman" w:hAnsi="Times New Roman" w:cs="Times New Roman"/>
          <w:color w:val="000000"/>
          <w:sz w:val="28"/>
          <w:szCs w:val="28"/>
        </w:rPr>
        <w:t xml:space="preserve"> datiem laika posmā no 2006. līdz 2008.gadam Latvijā vidēji 24,3% no </w:t>
      </w:r>
      <w:r w:rsidR="00A34A20">
        <w:rPr>
          <w:rFonts w:ascii="Times New Roman" w:hAnsi="Times New Roman" w:cs="Times New Roman"/>
          <w:color w:val="000000"/>
          <w:sz w:val="28"/>
          <w:szCs w:val="28"/>
        </w:rPr>
        <w:t>uzņēmumiem</w:t>
      </w:r>
      <w:r w:rsidRPr="0030195A">
        <w:rPr>
          <w:rFonts w:ascii="Times New Roman" w:hAnsi="Times New Roman" w:cs="Times New Roman"/>
          <w:color w:val="000000"/>
          <w:sz w:val="28"/>
          <w:szCs w:val="28"/>
        </w:rPr>
        <w:t xml:space="preserve"> bija inovatīvi,</w:t>
      </w:r>
      <w:r w:rsidR="009F779F">
        <w:rPr>
          <w:rFonts w:ascii="Times New Roman" w:hAnsi="Times New Roman" w:cs="Times New Roman"/>
          <w:sz w:val="28"/>
          <w:szCs w:val="28"/>
        </w:rPr>
        <w:t xml:space="preserve"> tajā pašā</w:t>
      </w:r>
      <w:r w:rsidRPr="0030195A">
        <w:rPr>
          <w:rFonts w:ascii="Times New Roman" w:hAnsi="Times New Roman" w:cs="Times New Roman"/>
          <w:sz w:val="28"/>
          <w:szCs w:val="28"/>
        </w:rPr>
        <w:t xml:space="preserve"> laikā </w:t>
      </w:r>
      <w:r w:rsidR="00644DA9">
        <w:rPr>
          <w:rFonts w:ascii="Times New Roman" w:hAnsi="Times New Roman" w:cs="Times New Roman"/>
          <w:sz w:val="28"/>
          <w:szCs w:val="28"/>
        </w:rPr>
        <w:t>ES</w:t>
      </w:r>
      <w:r w:rsidRPr="0030195A">
        <w:rPr>
          <w:rFonts w:ascii="Times New Roman" w:hAnsi="Times New Roman" w:cs="Times New Roman"/>
          <w:sz w:val="28"/>
          <w:szCs w:val="28"/>
        </w:rPr>
        <w:t xml:space="preserve"> valstīs šis rādītājs vidēji </w:t>
      </w:r>
      <w:r w:rsidR="009F779F">
        <w:rPr>
          <w:rFonts w:ascii="Times New Roman" w:hAnsi="Times New Roman" w:cs="Times New Roman"/>
          <w:sz w:val="28"/>
          <w:szCs w:val="28"/>
        </w:rPr>
        <w:t>veido</w:t>
      </w:r>
      <w:r w:rsidRPr="0030195A">
        <w:rPr>
          <w:rFonts w:ascii="Times New Roman" w:hAnsi="Times New Roman" w:cs="Times New Roman"/>
          <w:sz w:val="28"/>
          <w:szCs w:val="28"/>
        </w:rPr>
        <w:t xml:space="preserve"> </w:t>
      </w:r>
      <w:r w:rsidR="001E4884">
        <w:rPr>
          <w:rFonts w:ascii="Times New Roman" w:hAnsi="Times New Roman" w:cs="Times New Roman"/>
          <w:sz w:val="28"/>
          <w:szCs w:val="28"/>
        </w:rPr>
        <w:t>52</w:t>
      </w:r>
      <w:r w:rsidRPr="0030195A">
        <w:rPr>
          <w:rFonts w:ascii="Times New Roman" w:hAnsi="Times New Roman" w:cs="Times New Roman"/>
          <w:sz w:val="28"/>
          <w:szCs w:val="28"/>
        </w:rPr>
        <w:t xml:space="preserve">%. Apgrozījums inovācijas jomā aktīvajos </w:t>
      </w:r>
      <w:r w:rsidR="00A34A20">
        <w:rPr>
          <w:rFonts w:ascii="Times New Roman" w:hAnsi="Times New Roman" w:cs="Times New Roman"/>
          <w:sz w:val="28"/>
          <w:szCs w:val="28"/>
        </w:rPr>
        <w:t>uzņēmumos</w:t>
      </w:r>
      <w:r w:rsidRPr="0030195A">
        <w:rPr>
          <w:rFonts w:ascii="Times New Roman" w:hAnsi="Times New Roman" w:cs="Times New Roman"/>
          <w:sz w:val="28"/>
          <w:szCs w:val="28"/>
        </w:rPr>
        <w:t xml:space="preserve"> 2008.gadā sastādīja 52,7% no kopējā </w:t>
      </w:r>
      <w:r w:rsidR="00A34A20">
        <w:rPr>
          <w:rFonts w:ascii="Times New Roman" w:hAnsi="Times New Roman" w:cs="Times New Roman"/>
          <w:sz w:val="28"/>
          <w:szCs w:val="28"/>
        </w:rPr>
        <w:t>uzņēmum</w:t>
      </w:r>
      <w:r w:rsidR="000D3056">
        <w:rPr>
          <w:rFonts w:ascii="Times New Roman" w:hAnsi="Times New Roman" w:cs="Times New Roman"/>
          <w:sz w:val="28"/>
          <w:szCs w:val="28"/>
        </w:rPr>
        <w:t>u</w:t>
      </w:r>
      <w:r w:rsidRPr="0030195A">
        <w:rPr>
          <w:rFonts w:ascii="Times New Roman" w:hAnsi="Times New Roman" w:cs="Times New Roman"/>
          <w:sz w:val="28"/>
          <w:szCs w:val="28"/>
        </w:rPr>
        <w:t xml:space="preserve"> apgrozījuma Latvijā.</w:t>
      </w:r>
    </w:p>
    <w:p w:rsidR="00732810" w:rsidRPr="0030195A" w:rsidRDefault="00732810" w:rsidP="00D46258">
      <w:pPr>
        <w:autoSpaceDE w:val="0"/>
        <w:autoSpaceDN w:val="0"/>
        <w:adjustRightInd w:val="0"/>
        <w:spacing w:after="0" w:line="240" w:lineRule="auto"/>
        <w:ind w:firstLine="567"/>
        <w:jc w:val="both"/>
        <w:rPr>
          <w:rFonts w:ascii="Times New Roman" w:hAnsi="Times New Roman" w:cs="Times New Roman"/>
          <w:sz w:val="28"/>
          <w:szCs w:val="28"/>
        </w:rPr>
      </w:pPr>
    </w:p>
    <w:p w:rsidR="00622264" w:rsidRDefault="0018165B" w:rsidP="00622264">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3</w:t>
      </w:r>
      <w:r w:rsidR="00644DA9">
        <w:rPr>
          <w:rFonts w:ascii="Times New Roman" w:hAnsi="Times New Roman" w:cs="Times New Roman"/>
          <w:sz w:val="28"/>
          <w:szCs w:val="28"/>
        </w:rPr>
        <w:t>.attēls</w:t>
      </w:r>
    </w:p>
    <w:p w:rsidR="0030195A" w:rsidRPr="00D46258" w:rsidRDefault="0030195A" w:rsidP="00D46258">
      <w:pPr>
        <w:spacing w:after="0" w:line="240" w:lineRule="auto"/>
        <w:ind w:firstLine="720"/>
        <w:jc w:val="center"/>
        <w:rPr>
          <w:rFonts w:ascii="Times New Roman" w:hAnsi="Times New Roman" w:cs="Times New Roman"/>
          <w:color w:val="000000"/>
          <w:sz w:val="28"/>
          <w:szCs w:val="28"/>
        </w:rPr>
      </w:pPr>
      <w:r w:rsidRPr="0030195A">
        <w:rPr>
          <w:rFonts w:ascii="Times New Roman" w:hAnsi="Times New Roman" w:cs="Times New Roman"/>
          <w:b/>
          <w:sz w:val="28"/>
          <w:szCs w:val="28"/>
        </w:rPr>
        <w:t>Finansējums pētniecībai un attīstībai 2003. -2009.gadam pa sektoriem</w:t>
      </w:r>
      <w:r w:rsidR="00D46258">
        <w:rPr>
          <w:rFonts w:ascii="Times New Roman" w:hAnsi="Times New Roman" w:cs="Times New Roman"/>
          <w:color w:val="000000"/>
          <w:sz w:val="28"/>
          <w:szCs w:val="28"/>
        </w:rPr>
        <w:t xml:space="preserve"> </w:t>
      </w:r>
      <w:r w:rsidRPr="0030195A">
        <w:rPr>
          <w:rFonts w:ascii="Times New Roman" w:hAnsi="Times New Roman" w:cs="Times New Roman"/>
          <w:b/>
          <w:sz w:val="28"/>
          <w:szCs w:val="28"/>
        </w:rPr>
        <w:t>(% no IKP)</w:t>
      </w:r>
    </w:p>
    <w:p w:rsidR="0030195A" w:rsidRPr="0030195A" w:rsidRDefault="0030195A" w:rsidP="0030195A">
      <w:pPr>
        <w:spacing w:after="0" w:line="240" w:lineRule="auto"/>
        <w:jc w:val="center"/>
        <w:rPr>
          <w:rFonts w:ascii="Times New Roman" w:hAnsi="Times New Roman" w:cs="Times New Roman"/>
          <w:b/>
          <w:sz w:val="28"/>
          <w:szCs w:val="28"/>
        </w:rPr>
      </w:pPr>
    </w:p>
    <w:p w:rsidR="00024556" w:rsidRDefault="0030195A" w:rsidP="00F12B0B">
      <w:pPr>
        <w:spacing w:after="0" w:line="240" w:lineRule="auto"/>
        <w:jc w:val="center"/>
        <w:rPr>
          <w:rFonts w:ascii="Times New Roman" w:hAnsi="Times New Roman" w:cs="Times New Roman"/>
          <w:color w:val="000000"/>
          <w:sz w:val="28"/>
          <w:szCs w:val="28"/>
        </w:rPr>
      </w:pPr>
      <w:r w:rsidRPr="0030195A">
        <w:rPr>
          <w:rFonts w:ascii="Times New Roman" w:hAnsi="Times New Roman" w:cs="Times New Roman"/>
          <w:noProof/>
          <w:color w:val="000000"/>
          <w:sz w:val="28"/>
          <w:szCs w:val="28"/>
          <w:lang w:eastAsia="lv-LV"/>
        </w:rPr>
        <w:drawing>
          <wp:inline distT="0" distB="0" distL="0" distR="0">
            <wp:extent cx="4724400" cy="2905125"/>
            <wp:effectExtent l="19050" t="0" r="19050" b="0"/>
            <wp:docPr id="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195A" w:rsidRPr="0030195A" w:rsidRDefault="0030195A" w:rsidP="0030195A">
      <w:pPr>
        <w:spacing w:after="0" w:line="240" w:lineRule="auto"/>
        <w:ind w:firstLine="720"/>
        <w:rPr>
          <w:rFonts w:ascii="Times New Roman" w:hAnsi="Times New Roman" w:cs="Times New Roman"/>
          <w:color w:val="000000"/>
          <w:sz w:val="28"/>
          <w:szCs w:val="28"/>
        </w:rPr>
      </w:pPr>
      <w:r w:rsidRPr="0030195A">
        <w:rPr>
          <w:rFonts w:ascii="Times New Roman" w:hAnsi="Times New Roman" w:cs="Times New Roman"/>
          <w:color w:val="000000"/>
          <w:sz w:val="28"/>
          <w:szCs w:val="28"/>
        </w:rPr>
        <w:t>Avots:</w:t>
      </w:r>
      <w:r w:rsidR="003765EA">
        <w:rPr>
          <w:rFonts w:ascii="Times New Roman" w:hAnsi="Times New Roman" w:cs="Times New Roman"/>
          <w:color w:val="000000"/>
          <w:sz w:val="28"/>
          <w:szCs w:val="28"/>
        </w:rPr>
        <w:t xml:space="preserve">  </w:t>
      </w:r>
      <w:r w:rsidR="003765EA" w:rsidRPr="0030195A">
        <w:rPr>
          <w:rFonts w:ascii="Times New Roman" w:hAnsi="Times New Roman" w:cs="Times New Roman"/>
          <w:color w:val="000000"/>
          <w:sz w:val="28"/>
          <w:szCs w:val="28"/>
        </w:rPr>
        <w:t>C</w:t>
      </w:r>
      <w:r w:rsidR="003765EA">
        <w:rPr>
          <w:rFonts w:ascii="Times New Roman" w:hAnsi="Times New Roman" w:cs="Times New Roman"/>
          <w:color w:val="000000"/>
          <w:sz w:val="28"/>
          <w:szCs w:val="28"/>
        </w:rPr>
        <w:t>entrālā statistikas pārvalde</w:t>
      </w:r>
    </w:p>
    <w:p w:rsidR="0030195A" w:rsidRPr="0030195A" w:rsidRDefault="0030195A" w:rsidP="0030195A">
      <w:pPr>
        <w:spacing w:after="0" w:line="240" w:lineRule="auto"/>
        <w:ind w:firstLine="720"/>
        <w:jc w:val="both"/>
        <w:rPr>
          <w:rFonts w:ascii="Times New Roman" w:hAnsi="Times New Roman" w:cs="Times New Roman"/>
          <w:sz w:val="28"/>
          <w:szCs w:val="28"/>
        </w:rPr>
      </w:pPr>
    </w:p>
    <w:p w:rsidR="001E4884" w:rsidRDefault="0030195A" w:rsidP="008747BE">
      <w:pPr>
        <w:spacing w:after="0" w:line="240" w:lineRule="auto"/>
        <w:ind w:firstLine="720"/>
        <w:jc w:val="both"/>
        <w:rPr>
          <w:rFonts w:ascii="Times New Roman" w:hAnsi="Times New Roman" w:cs="Times New Roman"/>
          <w:sz w:val="28"/>
          <w:szCs w:val="28"/>
          <w:highlight w:val="yellow"/>
        </w:rPr>
      </w:pPr>
      <w:r w:rsidRPr="0030195A">
        <w:rPr>
          <w:rFonts w:ascii="Times New Roman" w:hAnsi="Times New Roman" w:cs="Times New Roman"/>
          <w:sz w:val="28"/>
          <w:szCs w:val="28"/>
        </w:rPr>
        <w:t>Latvijā kopējais finansējums pētniecībai un attīstībai </w:t>
      </w:r>
      <w:r w:rsidR="00644DA9">
        <w:rPr>
          <w:rFonts w:ascii="Times New Roman" w:hAnsi="Times New Roman" w:cs="Times New Roman"/>
          <w:sz w:val="28"/>
          <w:szCs w:val="28"/>
        </w:rPr>
        <w:t xml:space="preserve">(turpmāk – P&amp;A) </w:t>
      </w:r>
      <w:r w:rsidR="009F779F">
        <w:rPr>
          <w:rFonts w:ascii="Times New Roman" w:hAnsi="Times New Roman" w:cs="Times New Roman"/>
          <w:sz w:val="28"/>
          <w:szCs w:val="28"/>
        </w:rPr>
        <w:t>2009.gadā</w:t>
      </w:r>
      <w:r w:rsidR="000D3056">
        <w:rPr>
          <w:rFonts w:ascii="Times New Roman" w:hAnsi="Times New Roman" w:cs="Times New Roman"/>
          <w:sz w:val="28"/>
          <w:szCs w:val="28"/>
        </w:rPr>
        <w:t>,</w:t>
      </w:r>
      <w:r w:rsidR="009F779F">
        <w:rPr>
          <w:rFonts w:ascii="Times New Roman" w:hAnsi="Times New Roman" w:cs="Times New Roman"/>
          <w:sz w:val="28"/>
          <w:szCs w:val="28"/>
        </w:rPr>
        <w:t xml:space="preserve"> salīdzinot ar iepriekšējo gadu</w:t>
      </w:r>
      <w:r w:rsidR="000D3056">
        <w:rPr>
          <w:rFonts w:ascii="Times New Roman" w:hAnsi="Times New Roman" w:cs="Times New Roman"/>
          <w:sz w:val="28"/>
          <w:szCs w:val="28"/>
        </w:rPr>
        <w:t>,</w:t>
      </w:r>
      <w:r w:rsidRPr="0030195A">
        <w:rPr>
          <w:rFonts w:ascii="Times New Roman" w:hAnsi="Times New Roman" w:cs="Times New Roman"/>
          <w:sz w:val="28"/>
          <w:szCs w:val="28"/>
        </w:rPr>
        <w:t xml:space="preserve"> samazinājās gandrīz par 40% un bija 59,9 milj. </w:t>
      </w:r>
      <w:r w:rsidR="00173A8A">
        <w:rPr>
          <w:rFonts w:ascii="Times New Roman" w:hAnsi="Times New Roman" w:cs="Times New Roman"/>
          <w:sz w:val="28"/>
          <w:szCs w:val="28"/>
        </w:rPr>
        <w:t>LVL</w:t>
      </w:r>
      <w:r w:rsidR="00173A8A" w:rsidRPr="0030195A">
        <w:rPr>
          <w:rFonts w:ascii="Times New Roman" w:hAnsi="Times New Roman" w:cs="Times New Roman"/>
          <w:sz w:val="28"/>
          <w:szCs w:val="28"/>
        </w:rPr>
        <w:t xml:space="preserve"> </w:t>
      </w:r>
      <w:r w:rsidRPr="0030195A">
        <w:rPr>
          <w:rFonts w:ascii="Times New Roman" w:hAnsi="Times New Roman" w:cs="Times New Roman"/>
          <w:sz w:val="28"/>
          <w:szCs w:val="28"/>
        </w:rPr>
        <w:t>jeb 0,45%</w:t>
      </w:r>
      <w:r w:rsidR="009F779F">
        <w:rPr>
          <w:rFonts w:ascii="Times New Roman" w:hAnsi="Times New Roman" w:cs="Times New Roman"/>
          <w:sz w:val="28"/>
          <w:szCs w:val="28"/>
        </w:rPr>
        <w:t xml:space="preserve"> no IKP. Visstraujāk samazinājā</w:t>
      </w:r>
      <w:r w:rsidRPr="0030195A">
        <w:rPr>
          <w:rFonts w:ascii="Times New Roman" w:hAnsi="Times New Roman" w:cs="Times New Roman"/>
          <w:sz w:val="28"/>
          <w:szCs w:val="28"/>
        </w:rPr>
        <w:t xml:space="preserve">s ārvalstu un valsts </w:t>
      </w:r>
      <w:r w:rsidR="000D3056">
        <w:rPr>
          <w:rFonts w:ascii="Times New Roman" w:hAnsi="Times New Roman" w:cs="Times New Roman"/>
          <w:sz w:val="28"/>
          <w:szCs w:val="28"/>
        </w:rPr>
        <w:t>budžeta</w:t>
      </w:r>
      <w:r w:rsidRPr="0030195A">
        <w:rPr>
          <w:rFonts w:ascii="Times New Roman" w:hAnsi="Times New Roman" w:cs="Times New Roman"/>
          <w:sz w:val="28"/>
          <w:szCs w:val="28"/>
        </w:rPr>
        <w:t xml:space="preserve"> finansējums pētniecībai. Ārvalstu, tajā skaitā ES struktūrfondu finansējums </w:t>
      </w:r>
      <w:r w:rsidR="00644DA9">
        <w:rPr>
          <w:rFonts w:ascii="Times New Roman" w:hAnsi="Times New Roman" w:cs="Times New Roman"/>
          <w:sz w:val="28"/>
          <w:szCs w:val="28"/>
        </w:rPr>
        <w:t xml:space="preserve">P&amp;A </w:t>
      </w:r>
      <w:r w:rsidRPr="0030195A">
        <w:rPr>
          <w:rFonts w:ascii="Times New Roman" w:hAnsi="Times New Roman" w:cs="Times New Roman"/>
          <w:sz w:val="28"/>
          <w:szCs w:val="28"/>
        </w:rPr>
        <w:t xml:space="preserve">bija 9,2 milj. </w:t>
      </w:r>
      <w:r w:rsidR="00173A8A">
        <w:rPr>
          <w:rFonts w:ascii="Times New Roman" w:hAnsi="Times New Roman" w:cs="Times New Roman"/>
          <w:sz w:val="28"/>
          <w:szCs w:val="28"/>
        </w:rPr>
        <w:t>LVL</w:t>
      </w:r>
      <w:r w:rsidRPr="0030195A">
        <w:rPr>
          <w:rFonts w:ascii="Times New Roman" w:hAnsi="Times New Roman" w:cs="Times New Roman"/>
          <w:sz w:val="28"/>
          <w:szCs w:val="28"/>
        </w:rPr>
        <w:t xml:space="preserve"> un tas </w:t>
      </w:r>
      <w:r w:rsidR="009F779F">
        <w:rPr>
          <w:rFonts w:ascii="Times New Roman" w:hAnsi="Times New Roman" w:cs="Times New Roman"/>
          <w:sz w:val="28"/>
          <w:szCs w:val="28"/>
        </w:rPr>
        <w:t>sastādīja</w:t>
      </w:r>
      <w:r w:rsidRPr="0030195A">
        <w:rPr>
          <w:rFonts w:ascii="Times New Roman" w:hAnsi="Times New Roman" w:cs="Times New Roman"/>
          <w:sz w:val="28"/>
          <w:szCs w:val="28"/>
        </w:rPr>
        <w:t xml:space="preserve"> 0,7% no IKP. Valsts un augstskolu finansējums </w:t>
      </w:r>
      <w:r w:rsidR="00644DA9">
        <w:rPr>
          <w:rFonts w:ascii="Times New Roman" w:hAnsi="Times New Roman" w:cs="Times New Roman"/>
          <w:sz w:val="28"/>
          <w:szCs w:val="28"/>
        </w:rPr>
        <w:t>P&amp;A</w:t>
      </w:r>
      <w:r w:rsidRPr="0030195A">
        <w:rPr>
          <w:rFonts w:ascii="Times New Roman" w:hAnsi="Times New Roman" w:cs="Times New Roman"/>
          <w:sz w:val="28"/>
          <w:szCs w:val="28"/>
        </w:rPr>
        <w:t xml:space="preserve"> 2009.gadā bija 0,2% no IKP jeb 28,6 milj. </w:t>
      </w:r>
      <w:r w:rsidR="00173A8A">
        <w:rPr>
          <w:rFonts w:ascii="Times New Roman" w:hAnsi="Times New Roman" w:cs="Times New Roman"/>
          <w:sz w:val="28"/>
          <w:szCs w:val="28"/>
        </w:rPr>
        <w:t>LVL</w:t>
      </w:r>
      <w:r w:rsidR="000D3056">
        <w:rPr>
          <w:rFonts w:ascii="Times New Roman" w:hAnsi="Times New Roman" w:cs="Times New Roman"/>
          <w:sz w:val="28"/>
          <w:szCs w:val="28"/>
        </w:rPr>
        <w:t xml:space="preserve"> un šo sektoru</w:t>
      </w:r>
      <w:r w:rsidRPr="0030195A">
        <w:rPr>
          <w:rFonts w:ascii="Times New Roman" w:hAnsi="Times New Roman" w:cs="Times New Roman"/>
          <w:sz w:val="28"/>
          <w:szCs w:val="28"/>
        </w:rPr>
        <w:t xml:space="preserve"> ieguldījums ir samazinājies līdz 2005.gada līmenim. Savukārt privātā sektora ieguldījum</w:t>
      </w:r>
      <w:r w:rsidR="00644DA9">
        <w:rPr>
          <w:rFonts w:ascii="Times New Roman" w:hAnsi="Times New Roman" w:cs="Times New Roman"/>
          <w:sz w:val="28"/>
          <w:szCs w:val="28"/>
        </w:rPr>
        <w:t>i</w:t>
      </w:r>
      <w:r w:rsidRPr="0030195A">
        <w:rPr>
          <w:rFonts w:ascii="Times New Roman" w:hAnsi="Times New Roman" w:cs="Times New Roman"/>
          <w:sz w:val="28"/>
          <w:szCs w:val="28"/>
        </w:rPr>
        <w:t xml:space="preserve"> </w:t>
      </w:r>
      <w:r w:rsidR="00644DA9">
        <w:rPr>
          <w:rFonts w:ascii="Times New Roman" w:hAnsi="Times New Roman" w:cs="Times New Roman"/>
          <w:sz w:val="28"/>
          <w:szCs w:val="28"/>
        </w:rPr>
        <w:t>P&amp;A</w:t>
      </w:r>
      <w:r w:rsidRPr="0030195A">
        <w:rPr>
          <w:rFonts w:ascii="Times New Roman" w:hAnsi="Times New Roman" w:cs="Times New Roman"/>
          <w:sz w:val="28"/>
          <w:szCs w:val="28"/>
        </w:rPr>
        <w:t xml:space="preserve"> 2009.gadā bija 0,17% no IKP, jeb 22,1 milj. </w:t>
      </w:r>
      <w:r w:rsidR="00173A8A">
        <w:rPr>
          <w:rFonts w:ascii="Times New Roman" w:hAnsi="Times New Roman" w:cs="Times New Roman"/>
          <w:sz w:val="28"/>
          <w:szCs w:val="28"/>
        </w:rPr>
        <w:t>LVL</w:t>
      </w:r>
      <w:r w:rsidRPr="0030195A">
        <w:rPr>
          <w:rFonts w:ascii="Times New Roman" w:hAnsi="Times New Roman" w:cs="Times New Roman"/>
          <w:sz w:val="28"/>
          <w:szCs w:val="28"/>
        </w:rPr>
        <w:t>, kas faktiskajos skaitļos ir par 18% mazāk kā 2008.gadā.</w:t>
      </w:r>
    </w:p>
    <w:p w:rsidR="005C14D9" w:rsidRDefault="00501CF6" w:rsidP="005C1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Saskaņā ar Latvijas Republikas Uzņēmu</w:t>
      </w:r>
      <w:r w:rsidR="001138A8">
        <w:rPr>
          <w:rFonts w:ascii="Times New Roman" w:hAnsi="Times New Roman" w:cs="Times New Roman"/>
          <w:sz w:val="28"/>
          <w:szCs w:val="28"/>
        </w:rPr>
        <w:t>mu</w:t>
      </w:r>
      <w:r>
        <w:rPr>
          <w:rFonts w:ascii="Times New Roman" w:hAnsi="Times New Roman" w:cs="Times New Roman"/>
          <w:sz w:val="28"/>
          <w:szCs w:val="28"/>
        </w:rPr>
        <w:t xml:space="preserve"> reģistra (turpmāk –</w:t>
      </w:r>
      <w:r w:rsidR="00610B67">
        <w:rPr>
          <w:rFonts w:ascii="Times New Roman" w:hAnsi="Times New Roman" w:cs="Times New Roman"/>
          <w:sz w:val="28"/>
          <w:szCs w:val="28"/>
        </w:rPr>
        <w:t xml:space="preserve"> </w:t>
      </w:r>
      <w:r>
        <w:rPr>
          <w:rFonts w:ascii="Times New Roman" w:hAnsi="Times New Roman" w:cs="Times New Roman"/>
          <w:sz w:val="28"/>
          <w:szCs w:val="28"/>
        </w:rPr>
        <w:t>UR) datiem 2010.gadā tika reģistrēti 13</w:t>
      </w:r>
      <w:r w:rsidR="00E81EE3">
        <w:rPr>
          <w:rFonts w:ascii="Times New Roman" w:hAnsi="Times New Roman" w:cs="Times New Roman"/>
          <w:sz w:val="28"/>
          <w:szCs w:val="28"/>
        </w:rPr>
        <w:t xml:space="preserve"> </w:t>
      </w:r>
      <w:r>
        <w:rPr>
          <w:rFonts w:ascii="Times New Roman" w:hAnsi="Times New Roman" w:cs="Times New Roman"/>
          <w:sz w:val="28"/>
          <w:szCs w:val="28"/>
        </w:rPr>
        <w:t>345 jauni komersanti, kas bija par 4</w:t>
      </w:r>
      <w:r w:rsidR="00E81EE3">
        <w:rPr>
          <w:rFonts w:ascii="Times New Roman" w:hAnsi="Times New Roman" w:cs="Times New Roman"/>
          <w:sz w:val="28"/>
          <w:szCs w:val="28"/>
        </w:rPr>
        <w:t xml:space="preserve"> </w:t>
      </w:r>
      <w:r>
        <w:rPr>
          <w:rFonts w:ascii="Times New Roman" w:hAnsi="Times New Roman" w:cs="Times New Roman"/>
          <w:sz w:val="28"/>
          <w:szCs w:val="28"/>
        </w:rPr>
        <w:t>255 jauniem komersantiem vairāk kā attiecīgi 2009.gadā, kad tika reģistrēt</w:t>
      </w:r>
      <w:r w:rsidR="000D3056">
        <w:rPr>
          <w:rFonts w:ascii="Times New Roman" w:hAnsi="Times New Roman" w:cs="Times New Roman"/>
          <w:sz w:val="28"/>
          <w:szCs w:val="28"/>
        </w:rPr>
        <w:t>i</w:t>
      </w:r>
      <w:r>
        <w:rPr>
          <w:rFonts w:ascii="Times New Roman" w:hAnsi="Times New Roman" w:cs="Times New Roman"/>
          <w:sz w:val="28"/>
          <w:szCs w:val="28"/>
        </w:rPr>
        <w:t xml:space="preserve"> 9</w:t>
      </w:r>
      <w:r w:rsidR="00E81EE3">
        <w:rPr>
          <w:rFonts w:ascii="Times New Roman" w:hAnsi="Times New Roman" w:cs="Times New Roman"/>
          <w:sz w:val="28"/>
          <w:szCs w:val="28"/>
        </w:rPr>
        <w:t xml:space="preserve"> </w:t>
      </w:r>
      <w:r w:rsidR="000D3056">
        <w:rPr>
          <w:rFonts w:ascii="Times New Roman" w:hAnsi="Times New Roman" w:cs="Times New Roman"/>
          <w:sz w:val="28"/>
          <w:szCs w:val="28"/>
        </w:rPr>
        <w:t>090 komersanti</w:t>
      </w:r>
      <w:r>
        <w:rPr>
          <w:rFonts w:ascii="Times New Roman" w:hAnsi="Times New Roman" w:cs="Times New Roman"/>
          <w:sz w:val="28"/>
          <w:szCs w:val="28"/>
        </w:rPr>
        <w:t>.</w:t>
      </w:r>
    </w:p>
    <w:p w:rsidR="005C14D9" w:rsidRDefault="00501CF6" w:rsidP="005C14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Straujais jaunu </w:t>
      </w:r>
      <w:r w:rsidR="000D3056">
        <w:rPr>
          <w:rFonts w:ascii="Times New Roman" w:hAnsi="Times New Roman" w:cs="Times New Roman"/>
          <w:sz w:val="28"/>
          <w:szCs w:val="28"/>
        </w:rPr>
        <w:t>komersantu</w:t>
      </w:r>
      <w:r>
        <w:rPr>
          <w:rFonts w:ascii="Times New Roman" w:hAnsi="Times New Roman" w:cs="Times New Roman"/>
          <w:sz w:val="28"/>
          <w:szCs w:val="28"/>
        </w:rPr>
        <w:t xml:space="preserve"> veidošanās aktivitātes pieaugums saistāms ar to, ka līdz ar veiktajiem grozījumiem</w:t>
      </w:r>
      <w:r w:rsidRPr="00501CF6">
        <w:rPr>
          <w:rFonts w:ascii="Times New Roman" w:hAnsi="Times New Roman" w:cs="Times New Roman"/>
          <w:sz w:val="28"/>
          <w:szCs w:val="28"/>
        </w:rPr>
        <w:t xml:space="preserve"> Komerclikumā</w:t>
      </w:r>
      <w:r>
        <w:rPr>
          <w:rFonts w:ascii="Times New Roman" w:hAnsi="Times New Roman" w:cs="Times New Roman"/>
          <w:sz w:val="28"/>
          <w:szCs w:val="28"/>
        </w:rPr>
        <w:t xml:space="preserve"> kopš 2010.gada 5.maija sabiedrību ar ierobežotu atbildību (</w:t>
      </w:r>
      <w:r w:rsidR="005C14D9">
        <w:rPr>
          <w:rFonts w:ascii="Times New Roman" w:hAnsi="Times New Roman" w:cs="Times New Roman"/>
          <w:sz w:val="28"/>
          <w:szCs w:val="28"/>
        </w:rPr>
        <w:t xml:space="preserve">turpmāk – </w:t>
      </w:r>
      <w:r>
        <w:rPr>
          <w:rFonts w:ascii="Times New Roman" w:hAnsi="Times New Roman" w:cs="Times New Roman"/>
          <w:sz w:val="28"/>
          <w:szCs w:val="28"/>
        </w:rPr>
        <w:t xml:space="preserve">SIA) </w:t>
      </w:r>
      <w:r w:rsidRPr="00501CF6">
        <w:rPr>
          <w:rFonts w:ascii="Times New Roman" w:hAnsi="Times New Roman" w:cs="Times New Roman"/>
          <w:sz w:val="28"/>
          <w:szCs w:val="28"/>
        </w:rPr>
        <w:lastRenderedPageBreak/>
        <w:t>Latvijā iespējams reģistrēt ar samazinātu pamatkapitālu</w:t>
      </w:r>
      <w:r>
        <w:rPr>
          <w:rFonts w:ascii="Times New Roman" w:hAnsi="Times New Roman" w:cs="Times New Roman"/>
          <w:sz w:val="28"/>
          <w:szCs w:val="28"/>
        </w:rPr>
        <w:t xml:space="preserve"> – </w:t>
      </w:r>
      <w:r w:rsidR="000D3056">
        <w:rPr>
          <w:rFonts w:ascii="Times New Roman" w:hAnsi="Times New Roman" w:cs="Times New Roman"/>
          <w:sz w:val="28"/>
          <w:szCs w:val="28"/>
        </w:rPr>
        <w:t>sākot no</w:t>
      </w:r>
      <w:r>
        <w:rPr>
          <w:rFonts w:ascii="Times New Roman" w:hAnsi="Times New Roman" w:cs="Times New Roman"/>
          <w:sz w:val="28"/>
          <w:szCs w:val="28"/>
        </w:rPr>
        <w:t xml:space="preserve">1 </w:t>
      </w:r>
      <w:r w:rsidR="005C14D9">
        <w:rPr>
          <w:rFonts w:ascii="Times New Roman" w:hAnsi="Times New Roman" w:cs="Times New Roman"/>
          <w:sz w:val="28"/>
          <w:szCs w:val="28"/>
        </w:rPr>
        <w:t>LVL</w:t>
      </w:r>
      <w:r>
        <w:rPr>
          <w:rFonts w:ascii="Times New Roman" w:hAnsi="Times New Roman" w:cs="Times New Roman"/>
          <w:sz w:val="28"/>
          <w:szCs w:val="28"/>
        </w:rPr>
        <w:t xml:space="preserve">. Vērtējot </w:t>
      </w:r>
      <w:r w:rsidR="00E81EE3">
        <w:rPr>
          <w:rFonts w:ascii="Times New Roman" w:hAnsi="Times New Roman" w:cs="Times New Roman"/>
          <w:sz w:val="28"/>
          <w:szCs w:val="28"/>
        </w:rPr>
        <w:t>UR</w:t>
      </w:r>
      <w:r>
        <w:rPr>
          <w:rFonts w:ascii="Times New Roman" w:hAnsi="Times New Roman" w:cs="Times New Roman"/>
          <w:sz w:val="28"/>
          <w:szCs w:val="28"/>
        </w:rPr>
        <w:t xml:space="preserve"> apkopoto</w:t>
      </w:r>
      <w:r w:rsidR="000D3056">
        <w:rPr>
          <w:rFonts w:ascii="Times New Roman" w:hAnsi="Times New Roman" w:cs="Times New Roman"/>
          <w:sz w:val="28"/>
          <w:szCs w:val="28"/>
        </w:rPr>
        <w:t>s</w:t>
      </w:r>
      <w:r>
        <w:rPr>
          <w:rFonts w:ascii="Times New Roman" w:hAnsi="Times New Roman" w:cs="Times New Roman"/>
          <w:sz w:val="28"/>
          <w:szCs w:val="28"/>
        </w:rPr>
        <w:t xml:space="preserve"> </w:t>
      </w:r>
      <w:r w:rsidRPr="00501CF6">
        <w:rPr>
          <w:rFonts w:ascii="Times New Roman" w:hAnsi="Times New Roman" w:cs="Times New Roman"/>
          <w:sz w:val="28"/>
          <w:szCs w:val="28"/>
        </w:rPr>
        <w:t>Komercreģistra dat</w:t>
      </w:r>
      <w:r w:rsidR="00E81EE3">
        <w:rPr>
          <w:rFonts w:ascii="Times New Roman" w:hAnsi="Times New Roman" w:cs="Times New Roman"/>
          <w:sz w:val="28"/>
          <w:szCs w:val="28"/>
        </w:rPr>
        <w:t>u</w:t>
      </w:r>
      <w:r w:rsidR="000D3056">
        <w:rPr>
          <w:rFonts w:ascii="Times New Roman" w:hAnsi="Times New Roman" w:cs="Times New Roman"/>
          <w:sz w:val="28"/>
          <w:szCs w:val="28"/>
        </w:rPr>
        <w:t xml:space="preserve">s, </w:t>
      </w:r>
      <w:r>
        <w:rPr>
          <w:rFonts w:ascii="Times New Roman" w:hAnsi="Times New Roman" w:cs="Times New Roman"/>
          <w:sz w:val="28"/>
          <w:szCs w:val="28"/>
        </w:rPr>
        <w:t xml:space="preserve">var secināt, ka </w:t>
      </w:r>
      <w:r w:rsidRPr="00501CF6">
        <w:rPr>
          <w:rFonts w:ascii="Times New Roman" w:hAnsi="Times New Roman" w:cs="Times New Roman"/>
          <w:sz w:val="28"/>
          <w:szCs w:val="28"/>
        </w:rPr>
        <w:t xml:space="preserve">laika posmā no 2010.gada </w:t>
      </w:r>
      <w:r w:rsidR="00E81EE3">
        <w:rPr>
          <w:rFonts w:ascii="Times New Roman" w:hAnsi="Times New Roman" w:cs="Times New Roman"/>
          <w:sz w:val="28"/>
          <w:szCs w:val="28"/>
        </w:rPr>
        <w:t>1.maija līdz 2011.gada 1.maijam</w:t>
      </w:r>
      <w:r w:rsidRPr="00501CF6">
        <w:rPr>
          <w:rFonts w:ascii="Times New Roman" w:hAnsi="Times New Roman" w:cs="Times New Roman"/>
          <w:sz w:val="28"/>
          <w:szCs w:val="28"/>
        </w:rPr>
        <w:t xml:space="preserve"> kopā ir reģistrēti 16</w:t>
      </w:r>
      <w:r w:rsidR="00E81EE3">
        <w:rPr>
          <w:rFonts w:ascii="Times New Roman" w:hAnsi="Times New Roman" w:cs="Times New Roman"/>
          <w:sz w:val="28"/>
          <w:szCs w:val="28"/>
        </w:rPr>
        <w:t xml:space="preserve"> </w:t>
      </w:r>
      <w:r w:rsidRPr="00501CF6">
        <w:rPr>
          <w:rFonts w:ascii="Times New Roman" w:hAnsi="Times New Roman" w:cs="Times New Roman"/>
          <w:sz w:val="28"/>
          <w:szCs w:val="28"/>
        </w:rPr>
        <w:t xml:space="preserve">575 jauni </w:t>
      </w:r>
      <w:r w:rsidR="00E81EE3">
        <w:rPr>
          <w:rFonts w:ascii="Times New Roman" w:hAnsi="Times New Roman" w:cs="Times New Roman"/>
          <w:sz w:val="28"/>
          <w:szCs w:val="28"/>
        </w:rPr>
        <w:t>komersanti</w:t>
      </w:r>
      <w:r w:rsidRPr="00501CF6">
        <w:rPr>
          <w:rFonts w:ascii="Times New Roman" w:hAnsi="Times New Roman" w:cs="Times New Roman"/>
          <w:sz w:val="28"/>
          <w:szCs w:val="28"/>
        </w:rPr>
        <w:t xml:space="preserve">, kas ir </w:t>
      </w:r>
      <w:r w:rsidR="005C14D9">
        <w:rPr>
          <w:rFonts w:ascii="Times New Roman" w:hAnsi="Times New Roman" w:cs="Times New Roman"/>
          <w:sz w:val="28"/>
          <w:szCs w:val="28"/>
        </w:rPr>
        <w:t xml:space="preserve">par </w:t>
      </w:r>
      <w:r w:rsidRPr="00501CF6">
        <w:rPr>
          <w:rFonts w:ascii="Times New Roman" w:hAnsi="Times New Roman" w:cs="Times New Roman"/>
          <w:sz w:val="28"/>
          <w:szCs w:val="28"/>
        </w:rPr>
        <w:t xml:space="preserve">77% </w:t>
      </w:r>
      <w:r w:rsidR="005C14D9">
        <w:rPr>
          <w:rFonts w:ascii="Times New Roman" w:hAnsi="Times New Roman" w:cs="Times New Roman"/>
          <w:sz w:val="28"/>
          <w:szCs w:val="28"/>
        </w:rPr>
        <w:t xml:space="preserve">vairāk </w:t>
      </w:r>
      <w:r w:rsidR="000D3056">
        <w:rPr>
          <w:rFonts w:ascii="Times New Roman" w:hAnsi="Times New Roman" w:cs="Times New Roman"/>
          <w:sz w:val="28"/>
          <w:szCs w:val="28"/>
        </w:rPr>
        <w:t>nekā attiecīgajā laika periodā</w:t>
      </w:r>
      <w:r w:rsidRPr="00501CF6">
        <w:rPr>
          <w:rFonts w:ascii="Times New Roman" w:hAnsi="Times New Roman" w:cs="Times New Roman"/>
          <w:sz w:val="28"/>
          <w:szCs w:val="28"/>
        </w:rPr>
        <w:t xml:space="preserve"> gadu iepriekš</w:t>
      </w:r>
      <w:r w:rsidR="000D3056">
        <w:rPr>
          <w:rFonts w:ascii="Times New Roman" w:hAnsi="Times New Roman" w:cs="Times New Roman"/>
          <w:sz w:val="28"/>
          <w:szCs w:val="28"/>
        </w:rPr>
        <w:t xml:space="preserve"> (01.05.2009.-01.05.2010</w:t>
      </w:r>
      <w:r w:rsidR="005C14D9">
        <w:rPr>
          <w:rFonts w:ascii="Times New Roman" w:hAnsi="Times New Roman" w:cs="Times New Roman"/>
          <w:sz w:val="28"/>
          <w:szCs w:val="28"/>
        </w:rPr>
        <w:t>.), kad tik</w:t>
      </w:r>
      <w:r w:rsidR="00F12B0B">
        <w:rPr>
          <w:rFonts w:ascii="Times New Roman" w:hAnsi="Times New Roman" w:cs="Times New Roman"/>
          <w:sz w:val="28"/>
          <w:szCs w:val="28"/>
        </w:rPr>
        <w:t>a</w:t>
      </w:r>
      <w:r w:rsidR="00E81EE3">
        <w:rPr>
          <w:rFonts w:ascii="Times New Roman" w:hAnsi="Times New Roman" w:cs="Times New Roman"/>
          <w:sz w:val="28"/>
          <w:szCs w:val="28"/>
        </w:rPr>
        <w:t xml:space="preserve"> </w:t>
      </w:r>
      <w:r w:rsidR="005C14D9">
        <w:rPr>
          <w:rFonts w:ascii="Times New Roman" w:hAnsi="Times New Roman" w:cs="Times New Roman"/>
          <w:sz w:val="28"/>
          <w:szCs w:val="28"/>
        </w:rPr>
        <w:t>reģistrēti 9</w:t>
      </w:r>
      <w:r w:rsidR="00E81EE3">
        <w:rPr>
          <w:rFonts w:ascii="Times New Roman" w:hAnsi="Times New Roman" w:cs="Times New Roman"/>
          <w:sz w:val="28"/>
          <w:szCs w:val="28"/>
        </w:rPr>
        <w:t xml:space="preserve"> </w:t>
      </w:r>
      <w:r w:rsidR="005C14D9">
        <w:rPr>
          <w:rFonts w:ascii="Times New Roman" w:hAnsi="Times New Roman" w:cs="Times New Roman"/>
          <w:sz w:val="28"/>
          <w:szCs w:val="28"/>
        </w:rPr>
        <w:t xml:space="preserve">350 komersanti. </w:t>
      </w:r>
      <w:r w:rsidR="005C14D9" w:rsidRPr="005C14D9">
        <w:rPr>
          <w:rFonts w:ascii="Times New Roman" w:hAnsi="Times New Roman" w:cs="Times New Roman"/>
          <w:sz w:val="28"/>
          <w:szCs w:val="28"/>
        </w:rPr>
        <w:t xml:space="preserve">Kopumā kopš </w:t>
      </w:r>
      <w:r w:rsidR="000D3056">
        <w:rPr>
          <w:rFonts w:ascii="Times New Roman" w:hAnsi="Times New Roman" w:cs="Times New Roman"/>
          <w:sz w:val="28"/>
          <w:szCs w:val="28"/>
        </w:rPr>
        <w:t>2010.</w:t>
      </w:r>
      <w:r w:rsidR="005C14D9" w:rsidRPr="005C14D9">
        <w:rPr>
          <w:rFonts w:ascii="Times New Roman" w:hAnsi="Times New Roman" w:cs="Times New Roman"/>
          <w:sz w:val="28"/>
          <w:szCs w:val="28"/>
        </w:rPr>
        <w:t>gada</w:t>
      </w:r>
      <w:r w:rsidR="005C14D9">
        <w:rPr>
          <w:rFonts w:ascii="Times New Roman" w:hAnsi="Times New Roman" w:cs="Times New Roman"/>
          <w:sz w:val="28"/>
          <w:szCs w:val="28"/>
        </w:rPr>
        <w:t xml:space="preserve"> 1.maija </w:t>
      </w:r>
      <w:r w:rsidR="000D3056">
        <w:rPr>
          <w:rFonts w:ascii="Times New Roman" w:hAnsi="Times New Roman" w:cs="Times New Roman"/>
          <w:sz w:val="28"/>
          <w:szCs w:val="28"/>
        </w:rPr>
        <w:t xml:space="preserve">līdz 2011.gada 1.maijam </w:t>
      </w:r>
      <w:r w:rsidR="005C14D9">
        <w:rPr>
          <w:rFonts w:ascii="Times New Roman" w:hAnsi="Times New Roman" w:cs="Times New Roman"/>
          <w:sz w:val="28"/>
          <w:szCs w:val="28"/>
        </w:rPr>
        <w:t>Latvijā reģistrētas 15</w:t>
      </w:r>
      <w:r w:rsidR="00E81EE3">
        <w:rPr>
          <w:rFonts w:ascii="Times New Roman" w:hAnsi="Times New Roman" w:cs="Times New Roman"/>
          <w:sz w:val="28"/>
          <w:szCs w:val="28"/>
        </w:rPr>
        <w:t xml:space="preserve"> </w:t>
      </w:r>
      <w:r w:rsidR="005C14D9">
        <w:rPr>
          <w:rFonts w:ascii="Times New Roman" w:hAnsi="Times New Roman" w:cs="Times New Roman"/>
          <w:sz w:val="28"/>
          <w:szCs w:val="28"/>
        </w:rPr>
        <w:t>240 jaunas SIA, no kurām 9</w:t>
      </w:r>
      <w:r w:rsidR="00E81EE3">
        <w:rPr>
          <w:rFonts w:ascii="Times New Roman" w:hAnsi="Times New Roman" w:cs="Times New Roman"/>
          <w:sz w:val="28"/>
          <w:szCs w:val="28"/>
        </w:rPr>
        <w:t xml:space="preserve"> </w:t>
      </w:r>
      <w:r w:rsidR="000D3056">
        <w:rPr>
          <w:rFonts w:ascii="Times New Roman" w:hAnsi="Times New Roman" w:cs="Times New Roman"/>
          <w:sz w:val="28"/>
          <w:szCs w:val="28"/>
        </w:rPr>
        <w:t>508 (62,4</w:t>
      </w:r>
      <w:r w:rsidR="005C14D9" w:rsidRPr="005C14D9">
        <w:rPr>
          <w:rFonts w:ascii="Times New Roman" w:hAnsi="Times New Roman" w:cs="Times New Roman"/>
          <w:sz w:val="28"/>
          <w:szCs w:val="28"/>
        </w:rPr>
        <w:t xml:space="preserve">%) ir </w:t>
      </w:r>
      <w:r w:rsidR="000D3056">
        <w:rPr>
          <w:rFonts w:ascii="Times New Roman" w:hAnsi="Times New Roman" w:cs="Times New Roman"/>
          <w:sz w:val="28"/>
          <w:szCs w:val="28"/>
        </w:rPr>
        <w:t>ar samazinātu pamat</w:t>
      </w:r>
      <w:r w:rsidR="005C14D9" w:rsidRPr="005C14D9">
        <w:rPr>
          <w:rFonts w:ascii="Times New Roman" w:hAnsi="Times New Roman" w:cs="Times New Roman"/>
          <w:sz w:val="28"/>
          <w:szCs w:val="28"/>
        </w:rPr>
        <w:t>kapitāl</w:t>
      </w:r>
      <w:r w:rsidR="000D3056">
        <w:rPr>
          <w:rFonts w:ascii="Times New Roman" w:hAnsi="Times New Roman" w:cs="Times New Roman"/>
          <w:sz w:val="28"/>
          <w:szCs w:val="28"/>
        </w:rPr>
        <w:t>u</w:t>
      </w:r>
      <w:r w:rsidR="005C14D9" w:rsidRPr="005C14D9">
        <w:rPr>
          <w:rFonts w:ascii="Times New Roman" w:hAnsi="Times New Roman" w:cs="Times New Roman"/>
          <w:sz w:val="28"/>
          <w:szCs w:val="28"/>
        </w:rPr>
        <w:t>.</w:t>
      </w:r>
    </w:p>
    <w:p w:rsidR="00732810" w:rsidRDefault="00732810" w:rsidP="005C14D9">
      <w:pPr>
        <w:spacing w:after="0" w:line="240" w:lineRule="auto"/>
        <w:ind w:firstLine="720"/>
        <w:jc w:val="right"/>
        <w:rPr>
          <w:rFonts w:ascii="Times New Roman" w:hAnsi="Times New Roman" w:cs="Times New Roman"/>
          <w:sz w:val="28"/>
          <w:szCs w:val="28"/>
        </w:rPr>
      </w:pPr>
    </w:p>
    <w:p w:rsidR="005C14D9" w:rsidRDefault="005C14D9" w:rsidP="005C14D9">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4.attēls</w:t>
      </w:r>
    </w:p>
    <w:p w:rsidR="00D46258" w:rsidRDefault="000D3056" w:rsidP="000D3056">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t>R</w:t>
      </w:r>
      <w:r w:rsidR="00852EA6" w:rsidRPr="00852EA6">
        <w:rPr>
          <w:rFonts w:ascii="Times New Roman" w:hAnsi="Times New Roman" w:cs="Times New Roman"/>
          <w:b/>
          <w:sz w:val="28"/>
          <w:szCs w:val="28"/>
        </w:rPr>
        <w:t>eģistrēt</w:t>
      </w:r>
      <w:r>
        <w:rPr>
          <w:rFonts w:ascii="Times New Roman" w:hAnsi="Times New Roman" w:cs="Times New Roman"/>
          <w:b/>
          <w:sz w:val="28"/>
          <w:szCs w:val="28"/>
        </w:rPr>
        <w:t>o</w:t>
      </w:r>
      <w:r w:rsidR="00852EA6" w:rsidRPr="00852EA6">
        <w:rPr>
          <w:rFonts w:ascii="Times New Roman" w:hAnsi="Times New Roman" w:cs="Times New Roman"/>
          <w:b/>
          <w:sz w:val="28"/>
          <w:szCs w:val="28"/>
        </w:rPr>
        <w:t xml:space="preserve"> SIA</w:t>
      </w:r>
      <w:r>
        <w:rPr>
          <w:rFonts w:ascii="Times New Roman" w:hAnsi="Times New Roman" w:cs="Times New Roman"/>
          <w:b/>
          <w:sz w:val="28"/>
          <w:szCs w:val="28"/>
        </w:rPr>
        <w:t xml:space="preserve"> skaits laikā no 01.05.2010.-01.05.2011.</w:t>
      </w:r>
    </w:p>
    <w:p w:rsidR="000D3056" w:rsidRPr="00852EA6" w:rsidRDefault="000D3056" w:rsidP="000D3056">
      <w:pPr>
        <w:spacing w:after="0" w:line="240" w:lineRule="auto"/>
        <w:ind w:firstLine="720"/>
        <w:rPr>
          <w:rFonts w:ascii="Times New Roman" w:hAnsi="Times New Roman" w:cs="Times New Roman"/>
          <w:b/>
          <w:sz w:val="28"/>
          <w:szCs w:val="28"/>
        </w:rPr>
      </w:pPr>
    </w:p>
    <w:p w:rsidR="005C14D9" w:rsidRDefault="001512A9" w:rsidP="005C14D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lv-LV"/>
        </w:rPr>
        <w:drawing>
          <wp:inline distT="0" distB="0" distL="0" distR="0">
            <wp:extent cx="5274310" cy="2991224"/>
            <wp:effectExtent l="19050" t="0" r="215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4D9" w:rsidRDefault="008F3134" w:rsidP="005C1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Avots: </w:t>
      </w:r>
      <w:r w:rsidR="003765EA">
        <w:rPr>
          <w:rFonts w:ascii="Times New Roman" w:hAnsi="Times New Roman" w:cs="Times New Roman"/>
          <w:sz w:val="28"/>
          <w:szCs w:val="28"/>
        </w:rPr>
        <w:t xml:space="preserve">Uzņēmumu </w:t>
      </w:r>
      <w:r w:rsidR="006C17A8">
        <w:rPr>
          <w:rFonts w:ascii="Times New Roman" w:hAnsi="Times New Roman" w:cs="Times New Roman"/>
          <w:sz w:val="28"/>
          <w:szCs w:val="28"/>
        </w:rPr>
        <w:t>r</w:t>
      </w:r>
      <w:r w:rsidR="003765EA">
        <w:rPr>
          <w:rFonts w:ascii="Times New Roman" w:hAnsi="Times New Roman" w:cs="Times New Roman"/>
          <w:sz w:val="28"/>
          <w:szCs w:val="28"/>
        </w:rPr>
        <w:t>eģistrs</w:t>
      </w:r>
    </w:p>
    <w:p w:rsidR="003765EA" w:rsidRDefault="003765EA" w:rsidP="005C14D9">
      <w:pPr>
        <w:spacing w:after="0" w:line="240" w:lineRule="auto"/>
        <w:jc w:val="both"/>
        <w:rPr>
          <w:rFonts w:ascii="Times New Roman" w:hAnsi="Times New Roman" w:cs="Times New Roman"/>
          <w:sz w:val="28"/>
          <w:szCs w:val="28"/>
        </w:rPr>
      </w:pPr>
    </w:p>
    <w:p w:rsidR="00B17DC3" w:rsidRDefault="005C14D9" w:rsidP="00D462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w:t>
      </w:r>
      <w:r w:rsidRPr="005C14D9">
        <w:rPr>
          <w:rFonts w:ascii="Times New Roman" w:hAnsi="Times New Roman" w:cs="Times New Roman"/>
          <w:sz w:val="28"/>
          <w:szCs w:val="28"/>
        </w:rPr>
        <w:t xml:space="preserve">isbiežāk </w:t>
      </w:r>
      <w:r w:rsidR="00E81EE3">
        <w:rPr>
          <w:rFonts w:ascii="Times New Roman" w:hAnsi="Times New Roman" w:cs="Times New Roman"/>
          <w:sz w:val="28"/>
          <w:szCs w:val="28"/>
        </w:rPr>
        <w:t xml:space="preserve">SIA </w:t>
      </w:r>
      <w:r w:rsidR="00082B56">
        <w:rPr>
          <w:rFonts w:ascii="Times New Roman" w:hAnsi="Times New Roman" w:cs="Times New Roman"/>
          <w:sz w:val="28"/>
          <w:szCs w:val="28"/>
        </w:rPr>
        <w:t xml:space="preserve">ar samazinātu pamatkapitālu </w:t>
      </w:r>
      <w:r w:rsidR="00E81EE3">
        <w:rPr>
          <w:rFonts w:ascii="Times New Roman" w:hAnsi="Times New Roman" w:cs="Times New Roman"/>
          <w:sz w:val="28"/>
          <w:szCs w:val="28"/>
        </w:rPr>
        <w:t>tiek reģistrētas</w:t>
      </w:r>
      <w:r>
        <w:rPr>
          <w:rFonts w:ascii="Times New Roman" w:hAnsi="Times New Roman" w:cs="Times New Roman"/>
          <w:sz w:val="28"/>
          <w:szCs w:val="28"/>
        </w:rPr>
        <w:t xml:space="preserve"> ar 1 LVL lielu pamatkapitālu (47,</w:t>
      </w:r>
      <w:r w:rsidR="00082B56">
        <w:rPr>
          <w:rFonts w:ascii="Times New Roman" w:hAnsi="Times New Roman" w:cs="Times New Roman"/>
          <w:sz w:val="28"/>
          <w:szCs w:val="28"/>
        </w:rPr>
        <w:t>5</w:t>
      </w:r>
      <w:r w:rsidRPr="005C14D9">
        <w:rPr>
          <w:rFonts w:ascii="Times New Roman" w:hAnsi="Times New Roman" w:cs="Times New Roman"/>
          <w:sz w:val="28"/>
          <w:szCs w:val="28"/>
        </w:rPr>
        <w:t>% gadījumu),</w:t>
      </w:r>
      <w:r w:rsidR="00082B56">
        <w:rPr>
          <w:rFonts w:ascii="Times New Roman" w:hAnsi="Times New Roman" w:cs="Times New Roman"/>
          <w:sz w:val="28"/>
          <w:szCs w:val="28"/>
        </w:rPr>
        <w:t xml:space="preserve"> savukārt 26,6</w:t>
      </w:r>
      <w:r>
        <w:rPr>
          <w:rFonts w:ascii="Times New Roman" w:hAnsi="Times New Roman" w:cs="Times New Roman"/>
          <w:sz w:val="28"/>
          <w:szCs w:val="28"/>
        </w:rPr>
        <w:t>%</w:t>
      </w:r>
      <w:r w:rsidR="00082B56">
        <w:rPr>
          <w:rFonts w:ascii="Times New Roman" w:hAnsi="Times New Roman" w:cs="Times New Roman"/>
          <w:sz w:val="28"/>
          <w:szCs w:val="28"/>
        </w:rPr>
        <w:t xml:space="preserve"> –</w:t>
      </w:r>
      <w:r w:rsidRPr="005C14D9">
        <w:rPr>
          <w:rFonts w:ascii="Times New Roman" w:hAnsi="Times New Roman" w:cs="Times New Roman"/>
          <w:sz w:val="28"/>
          <w:szCs w:val="28"/>
        </w:rPr>
        <w:t xml:space="preserve"> ar pamatkapitālu robežās no 2 līdz 10 </w:t>
      </w:r>
      <w:r>
        <w:rPr>
          <w:rFonts w:ascii="Times New Roman" w:hAnsi="Times New Roman" w:cs="Times New Roman"/>
          <w:sz w:val="28"/>
          <w:szCs w:val="28"/>
        </w:rPr>
        <w:t>LVL</w:t>
      </w:r>
      <w:r w:rsidRPr="005C14D9">
        <w:rPr>
          <w:rFonts w:ascii="Times New Roman" w:hAnsi="Times New Roman" w:cs="Times New Roman"/>
          <w:sz w:val="28"/>
          <w:szCs w:val="28"/>
        </w:rPr>
        <w:t>.</w:t>
      </w:r>
    </w:p>
    <w:p w:rsidR="008822CC" w:rsidRDefault="005C14D9" w:rsidP="00A449E7">
      <w:pPr>
        <w:spacing w:after="0" w:line="240" w:lineRule="auto"/>
        <w:ind w:firstLine="720"/>
        <w:jc w:val="both"/>
        <w:rPr>
          <w:rFonts w:ascii="Times New Roman" w:hAnsi="Times New Roman" w:cs="Times New Roman"/>
          <w:sz w:val="28"/>
          <w:szCs w:val="28"/>
        </w:rPr>
      </w:pPr>
      <w:r w:rsidRPr="005C14D9">
        <w:rPr>
          <w:rFonts w:ascii="Times New Roman" w:hAnsi="Times New Roman" w:cs="Times New Roman"/>
          <w:sz w:val="28"/>
          <w:szCs w:val="28"/>
        </w:rPr>
        <w:t>Lursoft apkopotie dati liecina, ka vairāk kā 70% no visām gada laikā reģistrētajām SIA ar samazinātu pamatkapitālu nodibinātas Latvijas</w:t>
      </w:r>
      <w:r>
        <w:rPr>
          <w:rFonts w:ascii="Times New Roman" w:hAnsi="Times New Roman" w:cs="Times New Roman"/>
          <w:sz w:val="28"/>
          <w:szCs w:val="28"/>
        </w:rPr>
        <w:t xml:space="preserve"> lielākajās pilsētās. I</w:t>
      </w:r>
      <w:r w:rsidRPr="005C14D9">
        <w:rPr>
          <w:rFonts w:ascii="Times New Roman" w:hAnsi="Times New Roman" w:cs="Times New Roman"/>
          <w:sz w:val="28"/>
          <w:szCs w:val="28"/>
        </w:rPr>
        <w:t>zteikta līdere pēc nodibināto SIA skaita ir Rīga (5</w:t>
      </w:r>
      <w:r w:rsidR="00E81EE3">
        <w:rPr>
          <w:rFonts w:ascii="Times New Roman" w:hAnsi="Times New Roman" w:cs="Times New Roman"/>
          <w:sz w:val="28"/>
          <w:szCs w:val="28"/>
        </w:rPr>
        <w:t xml:space="preserve"> </w:t>
      </w:r>
      <w:r w:rsidRPr="005C14D9">
        <w:rPr>
          <w:rFonts w:ascii="Times New Roman" w:hAnsi="Times New Roman" w:cs="Times New Roman"/>
          <w:sz w:val="28"/>
          <w:szCs w:val="28"/>
        </w:rPr>
        <w:t>533), savukārt otrajā un trešajā vietā attiecīgi ierindoj</w:t>
      </w:r>
      <w:r w:rsidR="00E81EE3">
        <w:rPr>
          <w:rFonts w:ascii="Times New Roman" w:hAnsi="Times New Roman" w:cs="Times New Roman"/>
          <w:sz w:val="28"/>
          <w:szCs w:val="28"/>
        </w:rPr>
        <w:t>amas</w:t>
      </w:r>
      <w:r w:rsidRPr="005C14D9">
        <w:rPr>
          <w:rFonts w:ascii="Times New Roman" w:hAnsi="Times New Roman" w:cs="Times New Roman"/>
          <w:sz w:val="28"/>
          <w:szCs w:val="28"/>
        </w:rPr>
        <w:t xml:space="preserve"> Liepāja (218) un Daugavpils (208). Vismazākais </w:t>
      </w:r>
      <w:r w:rsidR="00082B56">
        <w:rPr>
          <w:rFonts w:ascii="Times New Roman" w:hAnsi="Times New Roman" w:cs="Times New Roman"/>
          <w:sz w:val="28"/>
          <w:szCs w:val="28"/>
        </w:rPr>
        <w:t>jaundibināto</w:t>
      </w:r>
      <w:r w:rsidRPr="005C14D9">
        <w:rPr>
          <w:rFonts w:ascii="Times New Roman" w:hAnsi="Times New Roman" w:cs="Times New Roman"/>
          <w:sz w:val="28"/>
          <w:szCs w:val="28"/>
        </w:rPr>
        <w:t xml:space="preserve"> SIA</w:t>
      </w:r>
      <w:r w:rsidR="00082B56">
        <w:rPr>
          <w:rFonts w:ascii="Times New Roman" w:hAnsi="Times New Roman" w:cs="Times New Roman"/>
          <w:sz w:val="28"/>
          <w:szCs w:val="28"/>
        </w:rPr>
        <w:t xml:space="preserve"> ar samazinātu pamatkapitālu</w:t>
      </w:r>
      <w:r w:rsidRPr="005C14D9">
        <w:rPr>
          <w:rFonts w:ascii="Times New Roman" w:hAnsi="Times New Roman" w:cs="Times New Roman"/>
          <w:sz w:val="28"/>
          <w:szCs w:val="28"/>
        </w:rPr>
        <w:t xml:space="preserve"> skaits kopš </w:t>
      </w:r>
      <w:r w:rsidR="00082B56">
        <w:rPr>
          <w:rFonts w:ascii="Times New Roman" w:hAnsi="Times New Roman" w:cs="Times New Roman"/>
          <w:sz w:val="28"/>
          <w:szCs w:val="28"/>
        </w:rPr>
        <w:t>2010.</w:t>
      </w:r>
      <w:r w:rsidRPr="005C14D9">
        <w:rPr>
          <w:rFonts w:ascii="Times New Roman" w:hAnsi="Times New Roman" w:cs="Times New Roman"/>
          <w:sz w:val="28"/>
          <w:szCs w:val="28"/>
        </w:rPr>
        <w:t xml:space="preserve">gada 1.maija </w:t>
      </w:r>
      <w:r w:rsidR="00082B56">
        <w:rPr>
          <w:rFonts w:ascii="Times New Roman" w:hAnsi="Times New Roman" w:cs="Times New Roman"/>
          <w:sz w:val="28"/>
          <w:szCs w:val="28"/>
        </w:rPr>
        <w:t>reģistrēts</w:t>
      </w:r>
      <w:r w:rsidRPr="005C14D9">
        <w:rPr>
          <w:rFonts w:ascii="Times New Roman" w:hAnsi="Times New Roman" w:cs="Times New Roman"/>
          <w:sz w:val="28"/>
          <w:szCs w:val="28"/>
        </w:rPr>
        <w:t xml:space="preserve"> Ventspilī (69).</w:t>
      </w:r>
    </w:p>
    <w:p w:rsidR="006B46BA" w:rsidRPr="00A449E7" w:rsidRDefault="006B46BA" w:rsidP="00A449E7">
      <w:pPr>
        <w:spacing w:after="0" w:line="240" w:lineRule="auto"/>
        <w:ind w:firstLine="720"/>
        <w:jc w:val="both"/>
        <w:rPr>
          <w:rFonts w:ascii="Times New Roman" w:hAnsi="Times New Roman" w:cs="Times New Roman"/>
          <w:sz w:val="28"/>
          <w:szCs w:val="28"/>
        </w:rPr>
      </w:pPr>
    </w:p>
    <w:p w:rsidR="003C40AE" w:rsidRPr="003C40AE" w:rsidRDefault="003C40AE" w:rsidP="003C40AE">
      <w:pPr>
        <w:pStyle w:val="ListParagraph"/>
        <w:numPr>
          <w:ilvl w:val="0"/>
          <w:numId w:val="1"/>
        </w:numPr>
        <w:spacing w:after="0" w:line="240" w:lineRule="auto"/>
        <w:ind w:left="426" w:hanging="426"/>
        <w:jc w:val="both"/>
        <w:rPr>
          <w:rFonts w:ascii="Times New Roman" w:hAnsi="Times New Roman" w:cs="Times New Roman"/>
          <w:b/>
          <w:sz w:val="28"/>
          <w:szCs w:val="28"/>
        </w:rPr>
      </w:pPr>
      <w:r w:rsidRPr="003C40AE">
        <w:rPr>
          <w:rFonts w:ascii="Times New Roman" w:hAnsi="Times New Roman" w:cs="Times New Roman"/>
          <w:b/>
          <w:sz w:val="28"/>
          <w:szCs w:val="28"/>
        </w:rPr>
        <w:t>Programmas izpildes gaita 2010.gadā</w:t>
      </w:r>
    </w:p>
    <w:p w:rsidR="003C40AE" w:rsidRDefault="003C40AE" w:rsidP="003C40AE">
      <w:pPr>
        <w:spacing w:after="0" w:line="240" w:lineRule="auto"/>
        <w:ind w:firstLine="720"/>
        <w:jc w:val="both"/>
        <w:rPr>
          <w:rFonts w:ascii="Times New Roman" w:hAnsi="Times New Roman" w:cs="Times New Roman"/>
          <w:sz w:val="28"/>
          <w:szCs w:val="28"/>
        </w:rPr>
      </w:pPr>
    </w:p>
    <w:p w:rsidR="003C40AE" w:rsidRDefault="003C40AE" w:rsidP="003C40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Programmas Rīcības plānu </w:t>
      </w:r>
      <w:r w:rsidR="002A5650">
        <w:rPr>
          <w:rFonts w:ascii="Times New Roman" w:hAnsi="Times New Roman" w:cs="Times New Roman"/>
          <w:sz w:val="28"/>
          <w:szCs w:val="28"/>
        </w:rPr>
        <w:t xml:space="preserve">2010.gada </w:t>
      </w:r>
      <w:r>
        <w:rPr>
          <w:rFonts w:ascii="Times New Roman" w:hAnsi="Times New Roman" w:cs="Times New Roman"/>
          <w:sz w:val="28"/>
          <w:szCs w:val="28"/>
        </w:rPr>
        <w:t xml:space="preserve">pārskata periodā tika paredzēta </w:t>
      </w:r>
      <w:r w:rsidR="009D0FDD">
        <w:rPr>
          <w:rFonts w:ascii="Times New Roman" w:hAnsi="Times New Roman" w:cs="Times New Roman"/>
          <w:sz w:val="28"/>
          <w:szCs w:val="28"/>
        </w:rPr>
        <w:t>40</w:t>
      </w:r>
      <w:r>
        <w:rPr>
          <w:rFonts w:ascii="Times New Roman" w:hAnsi="Times New Roman" w:cs="Times New Roman"/>
          <w:sz w:val="28"/>
          <w:szCs w:val="28"/>
        </w:rPr>
        <w:t xml:space="preserve"> pasākumu īstenošana</w:t>
      </w:r>
      <w:r w:rsidR="00F45A39">
        <w:rPr>
          <w:rFonts w:ascii="Times New Roman" w:hAnsi="Times New Roman" w:cs="Times New Roman"/>
          <w:sz w:val="28"/>
          <w:szCs w:val="28"/>
        </w:rPr>
        <w:t>,</w:t>
      </w:r>
      <w:r>
        <w:rPr>
          <w:rFonts w:ascii="Times New Roman" w:hAnsi="Times New Roman" w:cs="Times New Roman"/>
          <w:sz w:val="28"/>
          <w:szCs w:val="28"/>
        </w:rPr>
        <w:t xml:space="preserve"> no kuriem tika īstenoti 3</w:t>
      </w:r>
      <w:r w:rsidR="009D0FDD">
        <w:rPr>
          <w:rFonts w:ascii="Times New Roman" w:hAnsi="Times New Roman" w:cs="Times New Roman"/>
          <w:sz w:val="28"/>
          <w:szCs w:val="28"/>
        </w:rPr>
        <w:t>3</w:t>
      </w:r>
      <w:r>
        <w:rPr>
          <w:rFonts w:ascii="Times New Roman" w:hAnsi="Times New Roman" w:cs="Times New Roman"/>
          <w:sz w:val="28"/>
          <w:szCs w:val="28"/>
        </w:rPr>
        <w:t xml:space="preserve"> </w:t>
      </w:r>
      <w:r w:rsidR="0012219E">
        <w:rPr>
          <w:rFonts w:ascii="Times New Roman" w:hAnsi="Times New Roman" w:cs="Times New Roman"/>
          <w:sz w:val="28"/>
          <w:szCs w:val="28"/>
        </w:rPr>
        <w:lastRenderedPageBreak/>
        <w:t>pasākumi, 2 pasākumu īstenošana</w:t>
      </w:r>
      <w:r>
        <w:rPr>
          <w:rFonts w:ascii="Times New Roman" w:hAnsi="Times New Roman" w:cs="Times New Roman"/>
          <w:sz w:val="28"/>
          <w:szCs w:val="28"/>
        </w:rPr>
        <w:t xml:space="preserve"> ir atlikta, bet </w:t>
      </w:r>
      <w:r w:rsidRPr="00BA5199">
        <w:rPr>
          <w:rFonts w:ascii="Times New Roman" w:hAnsi="Times New Roman" w:cs="Times New Roman"/>
          <w:sz w:val="28"/>
          <w:szCs w:val="28"/>
        </w:rPr>
        <w:t>5</w:t>
      </w:r>
      <w:r>
        <w:rPr>
          <w:rFonts w:ascii="Times New Roman" w:hAnsi="Times New Roman" w:cs="Times New Roman"/>
          <w:sz w:val="28"/>
          <w:szCs w:val="28"/>
        </w:rPr>
        <w:t xml:space="preserve"> pasākumu īstenošanai 2010.gadā netika piešķirts finansējums.</w:t>
      </w:r>
    </w:p>
    <w:p w:rsidR="003C40AE" w:rsidRPr="000C3072" w:rsidRDefault="003C40AE" w:rsidP="003C40AE">
      <w:pPr>
        <w:spacing w:after="0" w:line="240" w:lineRule="auto"/>
        <w:ind w:firstLine="720"/>
        <w:jc w:val="both"/>
        <w:rPr>
          <w:rFonts w:ascii="Times New Roman" w:hAnsi="Times New Roman" w:cs="Times New Roman"/>
          <w:sz w:val="28"/>
          <w:szCs w:val="28"/>
        </w:rPr>
      </w:pPr>
      <w:r w:rsidRPr="00E55047">
        <w:rPr>
          <w:rFonts w:ascii="Times New Roman" w:hAnsi="Times New Roman" w:cs="Times New Roman"/>
          <w:sz w:val="28"/>
          <w:szCs w:val="28"/>
        </w:rPr>
        <w:t xml:space="preserve">Par pasākumu izpildi atbildīgo institūciju darbības rezultātu izvērsts atspoguļojums ir sniegts </w:t>
      </w:r>
      <w:r>
        <w:rPr>
          <w:rFonts w:ascii="Times New Roman" w:hAnsi="Times New Roman" w:cs="Times New Roman"/>
          <w:sz w:val="28"/>
          <w:szCs w:val="28"/>
        </w:rPr>
        <w:t xml:space="preserve">šī </w:t>
      </w:r>
      <w:r w:rsidR="00F45A39">
        <w:rPr>
          <w:rFonts w:ascii="Times New Roman" w:hAnsi="Times New Roman" w:cs="Times New Roman"/>
          <w:sz w:val="28"/>
          <w:szCs w:val="28"/>
        </w:rPr>
        <w:t>i</w:t>
      </w:r>
      <w:r w:rsidRPr="00E55047">
        <w:rPr>
          <w:rFonts w:ascii="Times New Roman" w:hAnsi="Times New Roman" w:cs="Times New Roman"/>
          <w:sz w:val="28"/>
          <w:szCs w:val="28"/>
        </w:rPr>
        <w:t>nformatīvā ziņojuma pielikumā „Komercdarbības konkurētspējas un inovācijas veic</w:t>
      </w:r>
      <w:r>
        <w:rPr>
          <w:rFonts w:ascii="Times New Roman" w:hAnsi="Times New Roman" w:cs="Times New Roman"/>
          <w:sz w:val="28"/>
          <w:szCs w:val="28"/>
        </w:rPr>
        <w:t>ināšanas programmas izpilde 2010</w:t>
      </w:r>
      <w:r w:rsidRPr="00E55047">
        <w:rPr>
          <w:rFonts w:ascii="Times New Roman" w:hAnsi="Times New Roman" w:cs="Times New Roman"/>
          <w:sz w:val="28"/>
          <w:szCs w:val="28"/>
        </w:rPr>
        <w:t xml:space="preserve">.gadā”. </w:t>
      </w:r>
      <w:r>
        <w:rPr>
          <w:rFonts w:ascii="Times New Roman" w:hAnsi="Times New Roman" w:cs="Times New Roman"/>
          <w:sz w:val="28"/>
          <w:szCs w:val="28"/>
        </w:rPr>
        <w:t>Visi p</w:t>
      </w:r>
      <w:r w:rsidRPr="00E55047">
        <w:rPr>
          <w:rFonts w:ascii="Times New Roman" w:hAnsi="Times New Roman" w:cs="Times New Roman"/>
          <w:sz w:val="28"/>
          <w:szCs w:val="28"/>
        </w:rPr>
        <w:t xml:space="preserve">asākumi tika </w:t>
      </w:r>
      <w:r w:rsidR="00F45A39">
        <w:rPr>
          <w:rFonts w:ascii="Times New Roman" w:hAnsi="Times New Roman" w:cs="Times New Roman"/>
          <w:sz w:val="28"/>
          <w:szCs w:val="28"/>
        </w:rPr>
        <w:t>īstenoti</w:t>
      </w:r>
      <w:r w:rsidRPr="00E55047">
        <w:rPr>
          <w:rFonts w:ascii="Times New Roman" w:hAnsi="Times New Roman" w:cs="Times New Roman"/>
          <w:sz w:val="28"/>
          <w:szCs w:val="28"/>
        </w:rPr>
        <w:t xml:space="preserve"> institūciju ikgadējo budžetu, kā arī atbildīgo institūciju pārziņā esošo ES struktūrfondu programmu </w:t>
      </w:r>
      <w:r>
        <w:rPr>
          <w:rFonts w:ascii="Times New Roman" w:hAnsi="Times New Roman" w:cs="Times New Roman"/>
          <w:sz w:val="28"/>
          <w:szCs w:val="28"/>
        </w:rPr>
        <w:t xml:space="preserve">vai citu pieejamo ES atbalsta instrumentu </w:t>
      </w:r>
      <w:r w:rsidRPr="00E55047">
        <w:rPr>
          <w:rFonts w:ascii="Times New Roman" w:hAnsi="Times New Roman" w:cs="Times New Roman"/>
          <w:sz w:val="28"/>
          <w:szCs w:val="28"/>
        </w:rPr>
        <w:t xml:space="preserve">ietvaros. </w:t>
      </w:r>
      <w:r>
        <w:rPr>
          <w:rFonts w:ascii="Times New Roman" w:hAnsi="Times New Roman" w:cs="Times New Roman"/>
          <w:sz w:val="28"/>
          <w:szCs w:val="28"/>
        </w:rPr>
        <w:t xml:space="preserve">2010.gadā programmas Rīcības plānā ietverto aktivitāšu īstenošanai </w:t>
      </w:r>
      <w:r w:rsidR="00141C7E">
        <w:rPr>
          <w:rFonts w:ascii="Times New Roman" w:hAnsi="Times New Roman" w:cs="Times New Roman"/>
          <w:sz w:val="28"/>
          <w:szCs w:val="28"/>
        </w:rPr>
        <w:t xml:space="preserve">izlietotais </w:t>
      </w:r>
      <w:r>
        <w:rPr>
          <w:rFonts w:ascii="Times New Roman" w:hAnsi="Times New Roman" w:cs="Times New Roman"/>
          <w:sz w:val="28"/>
          <w:szCs w:val="28"/>
        </w:rPr>
        <w:t xml:space="preserve">finansējums (valsts budžeta, ES struktūrfondu vai citu ES instrumentu kopā) sastādīja gandrīz </w:t>
      </w:r>
      <w:r w:rsidR="00141C7E">
        <w:rPr>
          <w:rFonts w:ascii="Times New Roman" w:hAnsi="Times New Roman" w:cs="Times New Roman"/>
          <w:sz w:val="28"/>
          <w:szCs w:val="28"/>
        </w:rPr>
        <w:t>81,6</w:t>
      </w:r>
      <w:r w:rsidR="00344481">
        <w:rPr>
          <w:rFonts w:ascii="Times New Roman" w:hAnsi="Times New Roman" w:cs="Times New Roman"/>
          <w:sz w:val="28"/>
          <w:szCs w:val="28"/>
        </w:rPr>
        <w:t xml:space="preserve"> </w:t>
      </w:r>
      <w:r>
        <w:rPr>
          <w:rFonts w:ascii="Times New Roman" w:hAnsi="Times New Roman" w:cs="Times New Roman"/>
          <w:sz w:val="28"/>
          <w:szCs w:val="28"/>
        </w:rPr>
        <w:t>milj. LVL</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kas sekmējis privātā sektora līdzfinansējuma</w:t>
      </w:r>
      <w:r w:rsidRPr="00E55047">
        <w:rPr>
          <w:rFonts w:ascii="Times New Roman" w:hAnsi="Times New Roman" w:cs="Times New Roman"/>
          <w:sz w:val="28"/>
          <w:szCs w:val="28"/>
        </w:rPr>
        <w:t xml:space="preserve"> </w:t>
      </w:r>
      <w:r>
        <w:rPr>
          <w:rFonts w:ascii="Times New Roman" w:hAnsi="Times New Roman" w:cs="Times New Roman"/>
          <w:sz w:val="28"/>
          <w:szCs w:val="28"/>
        </w:rPr>
        <w:t>piesaisti</w:t>
      </w:r>
      <w:r w:rsidRPr="00E55047">
        <w:rPr>
          <w:rFonts w:ascii="Times New Roman" w:hAnsi="Times New Roman" w:cs="Times New Roman"/>
          <w:sz w:val="28"/>
          <w:szCs w:val="28"/>
        </w:rPr>
        <w:t xml:space="preserve"> </w:t>
      </w:r>
      <w:r w:rsidR="00141C7E">
        <w:rPr>
          <w:rFonts w:ascii="Times New Roman" w:hAnsi="Times New Roman" w:cs="Times New Roman"/>
          <w:sz w:val="28"/>
          <w:szCs w:val="28"/>
        </w:rPr>
        <w:t>19</w:t>
      </w:r>
      <w:r w:rsidR="00344481" w:rsidRPr="00E55047">
        <w:rPr>
          <w:rFonts w:ascii="Times New Roman" w:hAnsi="Times New Roman" w:cs="Times New Roman"/>
          <w:sz w:val="28"/>
          <w:szCs w:val="28"/>
        </w:rPr>
        <w:t xml:space="preserve"> </w:t>
      </w:r>
      <w:r>
        <w:rPr>
          <w:rFonts w:ascii="Times New Roman" w:hAnsi="Times New Roman" w:cs="Times New Roman"/>
          <w:sz w:val="28"/>
          <w:szCs w:val="28"/>
        </w:rPr>
        <w:t>milj. LVL apmērā.</w:t>
      </w:r>
    </w:p>
    <w:p w:rsidR="003C40AE" w:rsidRDefault="003C40AE" w:rsidP="003C40AE">
      <w:pPr>
        <w:pStyle w:val="ListParagraph"/>
        <w:spacing w:after="0" w:line="240" w:lineRule="auto"/>
        <w:ind w:left="426"/>
        <w:jc w:val="both"/>
        <w:rPr>
          <w:rFonts w:ascii="Times New Roman" w:hAnsi="Times New Roman" w:cs="Times New Roman"/>
          <w:b/>
          <w:sz w:val="28"/>
          <w:szCs w:val="28"/>
        </w:rPr>
      </w:pPr>
    </w:p>
    <w:p w:rsidR="004130BC" w:rsidRPr="00B85B1F" w:rsidRDefault="004130BC" w:rsidP="00B85B1F">
      <w:pPr>
        <w:pStyle w:val="ListParagraph"/>
        <w:numPr>
          <w:ilvl w:val="1"/>
          <w:numId w:val="8"/>
        </w:numPr>
        <w:spacing w:after="0" w:line="240" w:lineRule="auto"/>
        <w:jc w:val="both"/>
        <w:rPr>
          <w:rFonts w:ascii="Times New Roman" w:hAnsi="Times New Roman" w:cs="Times New Roman"/>
          <w:b/>
          <w:sz w:val="28"/>
          <w:szCs w:val="28"/>
        </w:rPr>
      </w:pPr>
      <w:r w:rsidRPr="00B85B1F">
        <w:rPr>
          <w:rFonts w:ascii="Times New Roman" w:hAnsi="Times New Roman" w:cs="Times New Roman"/>
          <w:b/>
          <w:sz w:val="28"/>
          <w:szCs w:val="28"/>
        </w:rPr>
        <w:t>Komer</w:t>
      </w:r>
      <w:r w:rsidR="00790FC4">
        <w:rPr>
          <w:rFonts w:ascii="Times New Roman" w:hAnsi="Times New Roman" w:cs="Times New Roman"/>
          <w:b/>
          <w:sz w:val="28"/>
          <w:szCs w:val="28"/>
        </w:rPr>
        <w:t>cdarbības vides pilnveidošana</w:t>
      </w:r>
    </w:p>
    <w:p w:rsidR="00B65C4D" w:rsidRDefault="00B65C4D" w:rsidP="00B65C4D">
      <w:pPr>
        <w:spacing w:after="0" w:line="240" w:lineRule="auto"/>
        <w:ind w:left="709"/>
        <w:jc w:val="both"/>
        <w:rPr>
          <w:rFonts w:ascii="Times New Roman" w:hAnsi="Times New Roman" w:cs="Times New Roman"/>
          <w:sz w:val="28"/>
          <w:szCs w:val="28"/>
        </w:rPr>
      </w:pPr>
    </w:p>
    <w:p w:rsidR="004F37A0" w:rsidRDefault="00745562" w:rsidP="00B65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2010.gadā Ekonomikas ministrija </w:t>
      </w:r>
      <w:r w:rsidR="00173A8A">
        <w:rPr>
          <w:rFonts w:ascii="Times New Roman" w:hAnsi="Times New Roman" w:cs="Times New Roman"/>
          <w:sz w:val="28"/>
          <w:szCs w:val="28"/>
        </w:rPr>
        <w:t xml:space="preserve">(turpmāk – EM) </w:t>
      </w:r>
      <w:r>
        <w:rPr>
          <w:rFonts w:ascii="Times New Roman" w:hAnsi="Times New Roman" w:cs="Times New Roman"/>
          <w:sz w:val="28"/>
          <w:szCs w:val="28"/>
        </w:rPr>
        <w:t>aktīvi līdzdarbojās</w:t>
      </w:r>
      <w:r w:rsidR="00B65C4D">
        <w:rPr>
          <w:rFonts w:ascii="Times New Roman" w:hAnsi="Times New Roman" w:cs="Times New Roman"/>
          <w:sz w:val="28"/>
          <w:szCs w:val="28"/>
        </w:rPr>
        <w:t xml:space="preserve"> </w:t>
      </w:r>
      <w:r w:rsidR="00B65C4D" w:rsidRPr="00B65C4D">
        <w:rPr>
          <w:rFonts w:ascii="Times New Roman" w:hAnsi="Times New Roman" w:cs="Times New Roman"/>
          <w:sz w:val="28"/>
          <w:szCs w:val="28"/>
        </w:rPr>
        <w:t>komercdarbības vidi reglamentējoš</w:t>
      </w:r>
      <w:r w:rsidR="00B65C4D">
        <w:rPr>
          <w:rFonts w:ascii="Times New Roman" w:hAnsi="Times New Roman" w:cs="Times New Roman"/>
          <w:sz w:val="28"/>
          <w:szCs w:val="28"/>
        </w:rPr>
        <w:t>o</w:t>
      </w:r>
      <w:r w:rsidR="00B65C4D" w:rsidRPr="00B65C4D">
        <w:rPr>
          <w:rFonts w:ascii="Times New Roman" w:hAnsi="Times New Roman" w:cs="Times New Roman"/>
          <w:sz w:val="28"/>
          <w:szCs w:val="28"/>
        </w:rPr>
        <w:t xml:space="preserve"> </w:t>
      </w:r>
      <w:r w:rsidR="00B65C4D">
        <w:rPr>
          <w:rFonts w:ascii="Times New Roman" w:hAnsi="Times New Roman" w:cs="Times New Roman"/>
          <w:sz w:val="28"/>
          <w:szCs w:val="28"/>
        </w:rPr>
        <w:t xml:space="preserve">normatīvo aktu </w:t>
      </w:r>
      <w:r w:rsidR="00B65C4D" w:rsidRPr="00B65C4D">
        <w:rPr>
          <w:rFonts w:ascii="Times New Roman" w:hAnsi="Times New Roman" w:cs="Times New Roman"/>
          <w:sz w:val="28"/>
          <w:szCs w:val="28"/>
        </w:rPr>
        <w:t>un ar komercdarbību saistīt</w:t>
      </w:r>
      <w:r w:rsidR="00F45A39">
        <w:rPr>
          <w:rFonts w:ascii="Times New Roman" w:hAnsi="Times New Roman" w:cs="Times New Roman"/>
          <w:sz w:val="28"/>
          <w:szCs w:val="28"/>
        </w:rPr>
        <w:t>o</w:t>
      </w:r>
      <w:r w:rsidR="00B65C4D" w:rsidRPr="00B65C4D">
        <w:rPr>
          <w:rFonts w:ascii="Times New Roman" w:hAnsi="Times New Roman" w:cs="Times New Roman"/>
          <w:sz w:val="28"/>
          <w:szCs w:val="28"/>
        </w:rPr>
        <w:t xml:space="preserve"> </w:t>
      </w:r>
      <w:r w:rsidR="00F45A39">
        <w:rPr>
          <w:rFonts w:ascii="Times New Roman" w:hAnsi="Times New Roman" w:cs="Times New Roman"/>
          <w:sz w:val="28"/>
          <w:szCs w:val="28"/>
        </w:rPr>
        <w:t>normatīvo aktu</w:t>
      </w:r>
      <w:r w:rsidR="00B65C4D">
        <w:rPr>
          <w:rFonts w:ascii="Times New Roman" w:hAnsi="Times New Roman" w:cs="Times New Roman"/>
          <w:sz w:val="28"/>
          <w:szCs w:val="28"/>
        </w:rPr>
        <w:t xml:space="preserve"> izvērt</w:t>
      </w:r>
      <w:r>
        <w:rPr>
          <w:rFonts w:ascii="Times New Roman" w:hAnsi="Times New Roman" w:cs="Times New Roman"/>
          <w:sz w:val="28"/>
          <w:szCs w:val="28"/>
        </w:rPr>
        <w:t>ēšanā</w:t>
      </w:r>
      <w:r w:rsidR="000D49B0">
        <w:rPr>
          <w:rFonts w:ascii="Times New Roman" w:hAnsi="Times New Roman" w:cs="Times New Roman"/>
          <w:sz w:val="28"/>
          <w:szCs w:val="28"/>
        </w:rPr>
        <w:t xml:space="preserve"> un</w:t>
      </w:r>
      <w:r w:rsidR="00B65C4D">
        <w:rPr>
          <w:rFonts w:ascii="Times New Roman" w:hAnsi="Times New Roman" w:cs="Times New Roman"/>
          <w:sz w:val="28"/>
          <w:szCs w:val="28"/>
        </w:rPr>
        <w:t xml:space="preserve"> priekšlikumu</w:t>
      </w:r>
      <w:r>
        <w:rPr>
          <w:rFonts w:ascii="Times New Roman" w:hAnsi="Times New Roman" w:cs="Times New Roman"/>
          <w:sz w:val="28"/>
          <w:szCs w:val="28"/>
        </w:rPr>
        <w:t xml:space="preserve"> sniegšanā</w:t>
      </w:r>
      <w:r w:rsidR="000D49B0">
        <w:rPr>
          <w:rFonts w:ascii="Times New Roman" w:hAnsi="Times New Roman" w:cs="Times New Roman"/>
          <w:sz w:val="28"/>
          <w:szCs w:val="28"/>
        </w:rPr>
        <w:t xml:space="preserve"> to pilnveidošanai</w:t>
      </w:r>
      <w:r w:rsidR="00B65C4D" w:rsidRPr="00B65C4D">
        <w:rPr>
          <w:rFonts w:ascii="Times New Roman" w:hAnsi="Times New Roman" w:cs="Times New Roman"/>
          <w:sz w:val="28"/>
          <w:szCs w:val="28"/>
        </w:rPr>
        <w:t>.</w:t>
      </w:r>
      <w:r w:rsidR="00B65C4D" w:rsidRPr="00B65C4D">
        <w:t xml:space="preserve"> </w:t>
      </w:r>
      <w:r w:rsidR="00B65C4D" w:rsidRPr="00B65C4D">
        <w:rPr>
          <w:rFonts w:ascii="Times New Roman" w:hAnsi="Times New Roman" w:cs="Times New Roman"/>
          <w:sz w:val="28"/>
          <w:szCs w:val="28"/>
        </w:rPr>
        <w:t xml:space="preserve">Lai motivētu ekonomiski aktīvos cilvēkus, kas palikuši bez darba, uzsākt savu mazo </w:t>
      </w:r>
      <w:r w:rsidR="000D49B0">
        <w:rPr>
          <w:rFonts w:ascii="Times New Roman" w:hAnsi="Times New Roman" w:cs="Times New Roman"/>
          <w:sz w:val="28"/>
          <w:szCs w:val="28"/>
        </w:rPr>
        <w:t>uzņēmējdarbību</w:t>
      </w:r>
      <w:r w:rsidR="00B65C4D" w:rsidRPr="00B65C4D">
        <w:rPr>
          <w:rFonts w:ascii="Times New Roman" w:hAnsi="Times New Roman" w:cs="Times New Roman"/>
          <w:sz w:val="28"/>
          <w:szCs w:val="28"/>
        </w:rPr>
        <w:t xml:space="preserve"> un </w:t>
      </w:r>
      <w:r w:rsidR="000D49B0">
        <w:rPr>
          <w:rFonts w:ascii="Times New Roman" w:hAnsi="Times New Roman" w:cs="Times New Roman"/>
          <w:sz w:val="28"/>
          <w:szCs w:val="28"/>
        </w:rPr>
        <w:t>sekmētu šo cilvēku atgriešanos</w:t>
      </w:r>
      <w:r w:rsidR="00B65C4D" w:rsidRPr="00B65C4D">
        <w:rPr>
          <w:rFonts w:ascii="Times New Roman" w:hAnsi="Times New Roman" w:cs="Times New Roman"/>
          <w:sz w:val="28"/>
          <w:szCs w:val="28"/>
        </w:rPr>
        <w:t xml:space="preserve"> ekonomiskajā apritē, </w:t>
      </w:r>
      <w:r w:rsidR="00173A8A">
        <w:rPr>
          <w:rFonts w:ascii="Times New Roman" w:hAnsi="Times New Roman" w:cs="Times New Roman"/>
          <w:sz w:val="28"/>
          <w:szCs w:val="28"/>
        </w:rPr>
        <w:t>EM</w:t>
      </w:r>
      <w:r w:rsidR="00B65C4D" w:rsidRPr="00B65C4D">
        <w:rPr>
          <w:rFonts w:ascii="Times New Roman" w:hAnsi="Times New Roman" w:cs="Times New Roman"/>
          <w:sz w:val="28"/>
          <w:szCs w:val="28"/>
        </w:rPr>
        <w:t xml:space="preserve"> piedalījās Mikrouzņēmumu nodokļa likuma izstrādē, kas ietver visus ar uzņēmējdarbību </w:t>
      </w:r>
      <w:r w:rsidR="006B46BA">
        <w:rPr>
          <w:rFonts w:ascii="Times New Roman" w:hAnsi="Times New Roman" w:cs="Times New Roman"/>
          <w:sz w:val="28"/>
          <w:szCs w:val="28"/>
        </w:rPr>
        <w:t xml:space="preserve">un darbaspēku </w:t>
      </w:r>
      <w:r w:rsidR="00B65C4D" w:rsidRPr="00B65C4D">
        <w:rPr>
          <w:rFonts w:ascii="Times New Roman" w:hAnsi="Times New Roman" w:cs="Times New Roman"/>
          <w:sz w:val="28"/>
          <w:szCs w:val="28"/>
        </w:rPr>
        <w:t>saistītos nodokļus (VSAOI, IIN, UIN un uzņēm</w:t>
      </w:r>
      <w:r w:rsidR="006B46BA">
        <w:rPr>
          <w:rFonts w:ascii="Times New Roman" w:hAnsi="Times New Roman" w:cs="Times New Roman"/>
          <w:sz w:val="28"/>
          <w:szCs w:val="28"/>
        </w:rPr>
        <w:t>ējdarbības riska valsts nodevu)</w:t>
      </w:r>
      <w:r w:rsidR="00B65C4D" w:rsidRPr="00B65C4D">
        <w:rPr>
          <w:rFonts w:ascii="Times New Roman" w:hAnsi="Times New Roman" w:cs="Times New Roman"/>
          <w:sz w:val="28"/>
          <w:szCs w:val="28"/>
        </w:rPr>
        <w:t xml:space="preserve"> vienotā likmē </w:t>
      </w:r>
      <w:r w:rsidR="00F45A39">
        <w:rPr>
          <w:rFonts w:ascii="Times New Roman" w:hAnsi="Times New Roman" w:cs="Times New Roman"/>
          <w:sz w:val="28"/>
          <w:szCs w:val="28"/>
        </w:rPr>
        <w:t xml:space="preserve">– </w:t>
      </w:r>
      <w:r w:rsidR="00B65C4D" w:rsidRPr="00B65C4D">
        <w:rPr>
          <w:rFonts w:ascii="Times New Roman" w:hAnsi="Times New Roman" w:cs="Times New Roman"/>
          <w:sz w:val="28"/>
          <w:szCs w:val="28"/>
        </w:rPr>
        <w:t xml:space="preserve">9% no saimnieciskās darbības ieņēmumiem. </w:t>
      </w:r>
      <w:r w:rsidR="004F37A0">
        <w:rPr>
          <w:rFonts w:ascii="Times New Roman" w:hAnsi="Times New Roman" w:cs="Times New Roman"/>
          <w:sz w:val="28"/>
          <w:szCs w:val="28"/>
        </w:rPr>
        <w:t>Saskaņā ar Valsts ieņēmumu dienesta datiem 2010.gadā</w:t>
      </w:r>
      <w:r w:rsidR="004F37A0" w:rsidRPr="004F37A0">
        <w:rPr>
          <w:rFonts w:ascii="Times New Roman" w:hAnsi="Times New Roman" w:cs="Times New Roman"/>
          <w:sz w:val="28"/>
          <w:szCs w:val="28"/>
        </w:rPr>
        <w:t xml:space="preserve"> mikrouzņēmumu nodokļa maksājumiem tika reģistrēti 2</w:t>
      </w:r>
      <w:r w:rsidR="004F37A0">
        <w:rPr>
          <w:rFonts w:ascii="Times New Roman" w:hAnsi="Times New Roman" w:cs="Times New Roman"/>
          <w:sz w:val="28"/>
          <w:szCs w:val="28"/>
        </w:rPr>
        <w:t xml:space="preserve"> 733</w:t>
      </w:r>
      <w:r w:rsidR="004F37A0" w:rsidRPr="004F37A0">
        <w:rPr>
          <w:rFonts w:ascii="Times New Roman" w:hAnsi="Times New Roman" w:cs="Times New Roman"/>
          <w:sz w:val="28"/>
          <w:szCs w:val="28"/>
        </w:rPr>
        <w:t xml:space="preserve"> </w:t>
      </w:r>
      <w:r w:rsidR="004F37A0">
        <w:rPr>
          <w:rFonts w:ascii="Times New Roman" w:hAnsi="Times New Roman" w:cs="Times New Roman"/>
          <w:sz w:val="28"/>
          <w:szCs w:val="28"/>
        </w:rPr>
        <w:t xml:space="preserve">jaundibinātu uzņēmumu, </w:t>
      </w:r>
      <w:r w:rsidR="00E53961">
        <w:rPr>
          <w:rFonts w:ascii="Times New Roman" w:hAnsi="Times New Roman" w:cs="Times New Roman"/>
          <w:sz w:val="28"/>
          <w:szCs w:val="28"/>
        </w:rPr>
        <w:t>bet</w:t>
      </w:r>
      <w:r w:rsidR="004F37A0">
        <w:rPr>
          <w:rFonts w:ascii="Times New Roman" w:hAnsi="Times New Roman" w:cs="Times New Roman"/>
          <w:sz w:val="28"/>
          <w:szCs w:val="28"/>
        </w:rPr>
        <w:t xml:space="preserve"> </w:t>
      </w:r>
      <w:r w:rsidR="00B07AF4">
        <w:rPr>
          <w:rFonts w:ascii="Times New Roman" w:hAnsi="Times New Roman" w:cs="Times New Roman"/>
          <w:sz w:val="28"/>
          <w:szCs w:val="28"/>
        </w:rPr>
        <w:t>no 2011.</w:t>
      </w:r>
      <w:r w:rsidR="004F37A0" w:rsidRPr="004F37A0">
        <w:rPr>
          <w:rFonts w:ascii="Times New Roman" w:hAnsi="Times New Roman" w:cs="Times New Roman"/>
          <w:sz w:val="28"/>
          <w:szCs w:val="28"/>
        </w:rPr>
        <w:t>gada 1.janvāra</w:t>
      </w:r>
      <w:r w:rsidR="004F37A0">
        <w:rPr>
          <w:rFonts w:ascii="Times New Roman" w:hAnsi="Times New Roman" w:cs="Times New Roman"/>
          <w:sz w:val="28"/>
          <w:szCs w:val="28"/>
        </w:rPr>
        <w:t xml:space="preserve"> </w:t>
      </w:r>
      <w:r w:rsidR="004F37A0" w:rsidRPr="004F37A0">
        <w:rPr>
          <w:rFonts w:ascii="Times New Roman" w:hAnsi="Times New Roman" w:cs="Times New Roman"/>
          <w:sz w:val="28"/>
          <w:szCs w:val="28"/>
        </w:rPr>
        <w:t>mikro</w:t>
      </w:r>
      <w:r w:rsidR="004F37A0">
        <w:rPr>
          <w:rFonts w:ascii="Times New Roman" w:hAnsi="Times New Roman" w:cs="Times New Roman"/>
          <w:sz w:val="28"/>
          <w:szCs w:val="28"/>
        </w:rPr>
        <w:t xml:space="preserve">uzņēmumu nodokļa maksājumiem pieteicās </w:t>
      </w:r>
      <w:r w:rsidR="00E53961">
        <w:rPr>
          <w:rFonts w:ascii="Times New Roman" w:hAnsi="Times New Roman" w:cs="Times New Roman"/>
          <w:sz w:val="28"/>
          <w:szCs w:val="28"/>
        </w:rPr>
        <w:t>vēl</w:t>
      </w:r>
      <w:r w:rsidR="00E53961" w:rsidRPr="004F37A0">
        <w:rPr>
          <w:rFonts w:ascii="Times New Roman" w:hAnsi="Times New Roman" w:cs="Times New Roman"/>
          <w:sz w:val="28"/>
          <w:szCs w:val="28"/>
        </w:rPr>
        <w:t xml:space="preserve"> </w:t>
      </w:r>
      <w:r w:rsidR="00E53961">
        <w:rPr>
          <w:rFonts w:ascii="Times New Roman" w:hAnsi="Times New Roman" w:cs="Times New Roman"/>
          <w:sz w:val="28"/>
          <w:szCs w:val="28"/>
        </w:rPr>
        <w:t xml:space="preserve">arī </w:t>
      </w:r>
      <w:r w:rsidR="004F37A0" w:rsidRPr="004F37A0">
        <w:rPr>
          <w:rFonts w:ascii="Times New Roman" w:hAnsi="Times New Roman" w:cs="Times New Roman"/>
          <w:sz w:val="28"/>
          <w:szCs w:val="28"/>
        </w:rPr>
        <w:t>4</w:t>
      </w:r>
      <w:r w:rsidR="004F37A0">
        <w:rPr>
          <w:rFonts w:ascii="Times New Roman" w:hAnsi="Times New Roman" w:cs="Times New Roman"/>
          <w:sz w:val="28"/>
          <w:szCs w:val="28"/>
        </w:rPr>
        <w:t xml:space="preserve"> </w:t>
      </w:r>
      <w:r w:rsidR="004F37A0" w:rsidRPr="004F37A0">
        <w:rPr>
          <w:rFonts w:ascii="Times New Roman" w:hAnsi="Times New Roman" w:cs="Times New Roman"/>
          <w:sz w:val="28"/>
          <w:szCs w:val="28"/>
        </w:rPr>
        <w:t xml:space="preserve">427 </w:t>
      </w:r>
      <w:r w:rsidR="004F37A0">
        <w:rPr>
          <w:rFonts w:ascii="Times New Roman" w:hAnsi="Times New Roman" w:cs="Times New Roman"/>
          <w:sz w:val="28"/>
          <w:szCs w:val="28"/>
        </w:rPr>
        <w:t xml:space="preserve">jau esošo </w:t>
      </w:r>
      <w:r w:rsidR="004F37A0" w:rsidRPr="004F37A0">
        <w:rPr>
          <w:rFonts w:ascii="Times New Roman" w:hAnsi="Times New Roman" w:cs="Times New Roman"/>
          <w:sz w:val="28"/>
          <w:szCs w:val="28"/>
        </w:rPr>
        <w:t>uzņēmumu.</w:t>
      </w:r>
    </w:p>
    <w:p w:rsidR="00B65C4D" w:rsidRDefault="000D49B0" w:rsidP="00B65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2010.gadā panākts progress </w:t>
      </w:r>
      <w:r w:rsidR="00B65C4D" w:rsidRPr="00B65C4D">
        <w:rPr>
          <w:rFonts w:ascii="Times New Roman" w:hAnsi="Times New Roman" w:cs="Times New Roman"/>
          <w:sz w:val="28"/>
          <w:szCs w:val="28"/>
        </w:rPr>
        <w:t>grāmatvedības atskaišu  administrēšana</w:t>
      </w:r>
      <w:r>
        <w:rPr>
          <w:rFonts w:ascii="Times New Roman" w:hAnsi="Times New Roman" w:cs="Times New Roman"/>
          <w:sz w:val="28"/>
          <w:szCs w:val="28"/>
        </w:rPr>
        <w:t>s</w:t>
      </w:r>
      <w:r w:rsidRPr="000D49B0">
        <w:rPr>
          <w:rFonts w:ascii="Times New Roman" w:hAnsi="Times New Roman" w:cs="Times New Roman"/>
          <w:sz w:val="28"/>
          <w:szCs w:val="28"/>
        </w:rPr>
        <w:t xml:space="preserve"> </w:t>
      </w:r>
      <w:r w:rsidRPr="00B65C4D">
        <w:rPr>
          <w:rFonts w:ascii="Times New Roman" w:hAnsi="Times New Roman" w:cs="Times New Roman"/>
          <w:sz w:val="28"/>
          <w:szCs w:val="28"/>
        </w:rPr>
        <w:t>vienkāršo</w:t>
      </w:r>
      <w:r w:rsidR="008E3569">
        <w:rPr>
          <w:rFonts w:ascii="Times New Roman" w:hAnsi="Times New Roman" w:cs="Times New Roman"/>
          <w:sz w:val="28"/>
          <w:szCs w:val="28"/>
        </w:rPr>
        <w:t xml:space="preserve">šanā, piemēram, </w:t>
      </w:r>
      <w:r>
        <w:rPr>
          <w:rFonts w:ascii="Times New Roman" w:hAnsi="Times New Roman" w:cs="Times New Roman"/>
          <w:sz w:val="28"/>
          <w:szCs w:val="28"/>
        </w:rPr>
        <w:t>m</w:t>
      </w:r>
      <w:r w:rsidR="00B65C4D" w:rsidRPr="00B65C4D">
        <w:rPr>
          <w:rFonts w:ascii="Times New Roman" w:hAnsi="Times New Roman" w:cs="Times New Roman"/>
          <w:sz w:val="28"/>
          <w:szCs w:val="28"/>
        </w:rPr>
        <w:t xml:space="preserve">ikrouzņēmumu nodokļa maksātājiem deklarācija ir jāsniedz reizi ceturksnī. Vienlaikus grāmatvedības uzskaites atvieglošanai ir nodrošināta iespēja izmantot bezmaksas grāmatvedības programmu tiem </w:t>
      </w:r>
      <w:r w:rsidR="00D472A9">
        <w:rPr>
          <w:rFonts w:ascii="Times New Roman" w:hAnsi="Times New Roman" w:cs="Times New Roman"/>
          <w:sz w:val="28"/>
          <w:szCs w:val="28"/>
        </w:rPr>
        <w:t xml:space="preserve">mikro </w:t>
      </w:r>
      <w:r w:rsidR="00B65C4D" w:rsidRPr="00B65C4D">
        <w:rPr>
          <w:rFonts w:ascii="Times New Roman" w:hAnsi="Times New Roman" w:cs="Times New Roman"/>
          <w:sz w:val="28"/>
          <w:szCs w:val="28"/>
        </w:rPr>
        <w:t xml:space="preserve">uzņēmumiem, kas grāmatvedību kārto divkāršā ieraksta sistēmā. Tādējādi mikro uzņēmumu īpašniekiem būtiski atvieglota valstī noteikto nodokļu maksāšanas un grāmatošanas kārtība un līdz ar to nodrošināts, ka ikviens var uzsākt savu mazo uzņēmējdarbību </w:t>
      </w:r>
      <w:r w:rsidR="0021600F">
        <w:rPr>
          <w:rFonts w:ascii="Times New Roman" w:hAnsi="Times New Roman" w:cs="Times New Roman"/>
          <w:sz w:val="28"/>
          <w:szCs w:val="28"/>
        </w:rPr>
        <w:t>ar samazinātām birokrātiskām procedūrām un dibināšanas izmaksām.</w:t>
      </w:r>
    </w:p>
    <w:p w:rsidR="00D66219" w:rsidRDefault="00D66219" w:rsidP="00D66219">
      <w:pPr>
        <w:spacing w:after="0" w:line="240" w:lineRule="auto"/>
        <w:ind w:firstLine="709"/>
        <w:jc w:val="both"/>
        <w:rPr>
          <w:rFonts w:ascii="Times New Roman" w:hAnsi="Times New Roman" w:cs="Times New Roman"/>
          <w:sz w:val="28"/>
          <w:szCs w:val="28"/>
        </w:rPr>
      </w:pPr>
      <w:r w:rsidRPr="002B3813">
        <w:rPr>
          <w:rFonts w:ascii="Times New Roman" w:hAnsi="Times New Roman" w:cs="Times New Roman"/>
          <w:sz w:val="28"/>
          <w:szCs w:val="28"/>
        </w:rPr>
        <w:t xml:space="preserve">Uzņēmējdarbības </w:t>
      </w:r>
      <w:r>
        <w:rPr>
          <w:rFonts w:ascii="Times New Roman" w:hAnsi="Times New Roman" w:cs="Times New Roman"/>
          <w:sz w:val="28"/>
          <w:szCs w:val="28"/>
        </w:rPr>
        <w:t>vides uzlabošanas pasākumu plānā</w:t>
      </w:r>
      <w:r w:rsidRPr="002B3813">
        <w:rPr>
          <w:rFonts w:ascii="Times New Roman" w:hAnsi="Times New Roman" w:cs="Times New Roman"/>
          <w:sz w:val="28"/>
          <w:szCs w:val="28"/>
        </w:rPr>
        <w:t xml:space="preserve"> 2010.gadam kopumā tika iekļauti 22 pasākumi un 38 </w:t>
      </w:r>
      <w:proofErr w:type="spellStart"/>
      <w:r w:rsidRPr="002B3813">
        <w:rPr>
          <w:rFonts w:ascii="Times New Roman" w:hAnsi="Times New Roman" w:cs="Times New Roman"/>
          <w:sz w:val="28"/>
          <w:szCs w:val="28"/>
        </w:rPr>
        <w:t>apakšpasākumi</w:t>
      </w:r>
      <w:proofErr w:type="spellEnd"/>
      <w:r w:rsidRPr="002B3813">
        <w:rPr>
          <w:rFonts w:ascii="Times New Roman" w:hAnsi="Times New Roman" w:cs="Times New Roman"/>
          <w:sz w:val="28"/>
          <w:szCs w:val="28"/>
        </w:rPr>
        <w:t>.</w:t>
      </w:r>
      <w:r>
        <w:rPr>
          <w:rFonts w:ascii="Times New Roman" w:hAnsi="Times New Roman" w:cs="Times New Roman"/>
          <w:sz w:val="28"/>
          <w:szCs w:val="28"/>
        </w:rPr>
        <w:t xml:space="preserve"> Minētie pasākumi ietver </w:t>
      </w:r>
      <w:r w:rsidR="006B6AF6">
        <w:rPr>
          <w:rFonts w:ascii="Times New Roman" w:hAnsi="Times New Roman" w:cs="Times New Roman"/>
          <w:sz w:val="28"/>
          <w:szCs w:val="28"/>
        </w:rPr>
        <w:t>uzdevumus</w:t>
      </w:r>
      <w:r>
        <w:rPr>
          <w:rFonts w:ascii="Times New Roman" w:hAnsi="Times New Roman" w:cs="Times New Roman"/>
          <w:sz w:val="28"/>
          <w:szCs w:val="28"/>
        </w:rPr>
        <w:t xml:space="preserve"> uzņēmējdarbības vides uzlabošanai un tie </w:t>
      </w:r>
      <w:r>
        <w:rPr>
          <w:rFonts w:ascii="Times New Roman" w:hAnsi="Times New Roman" w:cs="Times New Roman"/>
          <w:sz w:val="28"/>
          <w:szCs w:val="28"/>
        </w:rPr>
        <w:lastRenderedPageBreak/>
        <w:t xml:space="preserve">sniedz būtisku ieguldījumu </w:t>
      </w:r>
      <w:r w:rsidR="00D472A9">
        <w:rPr>
          <w:rFonts w:ascii="Times New Roman" w:hAnsi="Times New Roman" w:cs="Times New Roman"/>
          <w:sz w:val="28"/>
          <w:szCs w:val="28"/>
        </w:rPr>
        <w:t xml:space="preserve">gan </w:t>
      </w:r>
      <w:r>
        <w:rPr>
          <w:rFonts w:ascii="Times New Roman" w:hAnsi="Times New Roman" w:cs="Times New Roman"/>
          <w:sz w:val="28"/>
          <w:szCs w:val="28"/>
        </w:rPr>
        <w:t xml:space="preserve">administratīvā sloga mazināšanā, </w:t>
      </w:r>
      <w:r w:rsidR="00D472A9">
        <w:rPr>
          <w:rFonts w:ascii="Times New Roman" w:hAnsi="Times New Roman" w:cs="Times New Roman"/>
          <w:sz w:val="28"/>
          <w:szCs w:val="28"/>
        </w:rPr>
        <w:t xml:space="preserve">gan </w:t>
      </w:r>
      <w:r>
        <w:rPr>
          <w:rFonts w:ascii="Times New Roman" w:hAnsi="Times New Roman" w:cs="Times New Roman"/>
          <w:sz w:val="28"/>
          <w:szCs w:val="28"/>
        </w:rPr>
        <w:t>likumdošanas procesa caurskatāmības un vienkāršības sekmēšanā</w:t>
      </w:r>
      <w:r w:rsidR="00D472A9">
        <w:rPr>
          <w:rFonts w:ascii="Times New Roman" w:hAnsi="Times New Roman" w:cs="Times New Roman"/>
          <w:sz w:val="28"/>
          <w:szCs w:val="28"/>
        </w:rPr>
        <w:t>.</w:t>
      </w:r>
    </w:p>
    <w:p w:rsidR="00D66219" w:rsidRDefault="00D66219" w:rsidP="00D66219">
      <w:pPr>
        <w:spacing w:after="0" w:line="240" w:lineRule="auto"/>
        <w:ind w:firstLine="720"/>
        <w:jc w:val="both"/>
        <w:rPr>
          <w:rFonts w:ascii="Times New Roman" w:hAnsi="Times New Roman" w:cs="Times New Roman"/>
          <w:sz w:val="28"/>
          <w:szCs w:val="28"/>
        </w:rPr>
      </w:pPr>
      <w:r w:rsidRPr="006A0B01">
        <w:rPr>
          <w:rFonts w:ascii="Times New Roman" w:hAnsi="Times New Roman" w:cs="Times New Roman"/>
          <w:sz w:val="28"/>
          <w:szCs w:val="28"/>
        </w:rPr>
        <w:t xml:space="preserve">2010.gadā mērķtiecīgi </w:t>
      </w:r>
      <w:r w:rsidR="00AE2540">
        <w:rPr>
          <w:rFonts w:ascii="Times New Roman" w:hAnsi="Times New Roman" w:cs="Times New Roman"/>
          <w:sz w:val="28"/>
          <w:szCs w:val="28"/>
        </w:rPr>
        <w:t>īstenotas</w:t>
      </w:r>
      <w:r w:rsidRPr="006A0B01">
        <w:rPr>
          <w:rFonts w:ascii="Times New Roman" w:hAnsi="Times New Roman" w:cs="Times New Roman"/>
          <w:sz w:val="28"/>
          <w:szCs w:val="28"/>
        </w:rPr>
        <w:t xml:space="preserve"> reformas tādās uzņēmējd</w:t>
      </w:r>
      <w:r>
        <w:rPr>
          <w:rFonts w:ascii="Times New Roman" w:hAnsi="Times New Roman" w:cs="Times New Roman"/>
          <w:sz w:val="28"/>
          <w:szCs w:val="28"/>
        </w:rPr>
        <w:t xml:space="preserve">arbības jomās, kas saistītas ar </w:t>
      </w:r>
      <w:r w:rsidRPr="00442585">
        <w:rPr>
          <w:rFonts w:ascii="Times New Roman" w:hAnsi="Times New Roman" w:cs="Times New Roman"/>
          <w:sz w:val="28"/>
          <w:szCs w:val="28"/>
        </w:rPr>
        <w:t>uzņēmējdarbības uzsākšanas atvieglošanu, maksātnespējas procesa pilnveidošanu, būvniecības procesa vienkāršošanu un reformu īstenošanu pārrobežu tirdzniecības jomā</w:t>
      </w:r>
      <w:r>
        <w:rPr>
          <w:rFonts w:ascii="Times New Roman" w:hAnsi="Times New Roman" w:cs="Times New Roman"/>
          <w:sz w:val="28"/>
          <w:szCs w:val="28"/>
        </w:rPr>
        <w:t>. Atsevišķi uzlabojumi īstenoti arī elektroniskās pārvaldes jomā.</w:t>
      </w:r>
    </w:p>
    <w:p w:rsidR="00D66219" w:rsidRDefault="00D66219" w:rsidP="003E45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Uzņēmējdarbības uzsākšanas jomā ir </w:t>
      </w:r>
      <w:r w:rsidRPr="00442585">
        <w:rPr>
          <w:rFonts w:ascii="Times New Roman" w:hAnsi="Times New Roman" w:cs="Times New Roman"/>
          <w:sz w:val="28"/>
          <w:szCs w:val="28"/>
        </w:rPr>
        <w:t xml:space="preserve">samazinātas uzņēmuma reģistrācijas izmaksas, </w:t>
      </w:r>
      <w:r>
        <w:rPr>
          <w:rFonts w:ascii="Times New Roman" w:hAnsi="Times New Roman" w:cs="Times New Roman"/>
          <w:sz w:val="28"/>
          <w:szCs w:val="28"/>
        </w:rPr>
        <w:t>tajā skaitā nodrošināta</w:t>
      </w:r>
      <w:r w:rsidRPr="00442585">
        <w:rPr>
          <w:rFonts w:ascii="Times New Roman" w:hAnsi="Times New Roman" w:cs="Times New Roman"/>
          <w:sz w:val="28"/>
          <w:szCs w:val="28"/>
        </w:rPr>
        <w:t xml:space="preserve"> iespēja reģistrēt </w:t>
      </w:r>
      <w:r w:rsidR="00680A82">
        <w:rPr>
          <w:rFonts w:ascii="Times New Roman" w:hAnsi="Times New Roman" w:cs="Times New Roman"/>
          <w:sz w:val="28"/>
          <w:szCs w:val="28"/>
        </w:rPr>
        <w:t>SIA</w:t>
      </w:r>
      <w:r w:rsidRPr="00442585">
        <w:rPr>
          <w:rFonts w:ascii="Times New Roman" w:hAnsi="Times New Roman" w:cs="Times New Roman"/>
          <w:sz w:val="28"/>
          <w:szCs w:val="28"/>
        </w:rPr>
        <w:t xml:space="preserve"> ar samazinātu pamatkapitālu, </w:t>
      </w:r>
      <w:r>
        <w:rPr>
          <w:rFonts w:ascii="Times New Roman" w:hAnsi="Times New Roman" w:cs="Times New Roman"/>
          <w:sz w:val="28"/>
          <w:szCs w:val="28"/>
        </w:rPr>
        <w:t xml:space="preserve">savukārt </w:t>
      </w:r>
      <w:r w:rsidRPr="00442585">
        <w:rPr>
          <w:rFonts w:ascii="Times New Roman" w:hAnsi="Times New Roman" w:cs="Times New Roman"/>
          <w:sz w:val="28"/>
          <w:szCs w:val="28"/>
        </w:rPr>
        <w:t xml:space="preserve">iesniegumu par reģistrāciju par PVN apliekamo personu reģistrā var iesniegt vienlaikus ar reģistrācijas pieteikumu reģistrējoties </w:t>
      </w:r>
      <w:r w:rsidR="00F45A39">
        <w:rPr>
          <w:rFonts w:ascii="Times New Roman" w:hAnsi="Times New Roman" w:cs="Times New Roman"/>
          <w:sz w:val="28"/>
          <w:szCs w:val="28"/>
        </w:rPr>
        <w:t>UR</w:t>
      </w:r>
      <w:r w:rsidRPr="00442585">
        <w:rPr>
          <w:rFonts w:ascii="Times New Roman" w:hAnsi="Times New Roman" w:cs="Times New Roman"/>
          <w:sz w:val="28"/>
          <w:szCs w:val="28"/>
        </w:rPr>
        <w:t xml:space="preserve">, </w:t>
      </w:r>
      <w:r>
        <w:rPr>
          <w:rFonts w:ascii="Times New Roman" w:hAnsi="Times New Roman" w:cs="Times New Roman"/>
          <w:sz w:val="28"/>
          <w:szCs w:val="28"/>
        </w:rPr>
        <w:t xml:space="preserve">bet </w:t>
      </w:r>
      <w:r w:rsidRPr="00442585">
        <w:rPr>
          <w:rFonts w:ascii="Times New Roman" w:hAnsi="Times New Roman" w:cs="Times New Roman"/>
          <w:sz w:val="28"/>
          <w:szCs w:val="28"/>
        </w:rPr>
        <w:t>dienu skaits reģistrācijai par PVN maksātāju samazināts no 15 uz 10 dienām</w:t>
      </w:r>
      <w:r>
        <w:rPr>
          <w:rFonts w:ascii="Times New Roman" w:hAnsi="Times New Roman" w:cs="Times New Roman"/>
          <w:sz w:val="28"/>
          <w:szCs w:val="28"/>
        </w:rPr>
        <w:t>.</w:t>
      </w:r>
      <w:r w:rsidR="00415DEA">
        <w:rPr>
          <w:rFonts w:ascii="Times New Roman" w:hAnsi="Times New Roman" w:cs="Times New Roman"/>
          <w:sz w:val="28"/>
          <w:szCs w:val="28"/>
        </w:rPr>
        <w:t xml:space="preserve"> </w:t>
      </w:r>
      <w:r w:rsidR="003E45AE">
        <w:rPr>
          <w:rFonts w:ascii="Times New Roman" w:hAnsi="Times New Roman" w:cs="Times New Roman"/>
          <w:sz w:val="28"/>
          <w:szCs w:val="28"/>
        </w:rPr>
        <w:t>2010.gadā spēkā stājās jaunais Maksātnespējas likums, kas optimizē un vienkāršo m</w:t>
      </w:r>
      <w:r w:rsidRPr="00442585">
        <w:rPr>
          <w:rFonts w:ascii="Times New Roman" w:hAnsi="Times New Roman" w:cs="Times New Roman"/>
          <w:sz w:val="28"/>
          <w:szCs w:val="28"/>
        </w:rPr>
        <w:t>aks</w:t>
      </w:r>
      <w:r w:rsidR="003E45AE">
        <w:rPr>
          <w:rFonts w:ascii="Times New Roman" w:hAnsi="Times New Roman" w:cs="Times New Roman"/>
          <w:sz w:val="28"/>
          <w:szCs w:val="28"/>
        </w:rPr>
        <w:t>ātnespējas procesus</w:t>
      </w:r>
      <w:r>
        <w:rPr>
          <w:rFonts w:ascii="Times New Roman" w:hAnsi="Times New Roman" w:cs="Times New Roman"/>
          <w:sz w:val="28"/>
          <w:szCs w:val="28"/>
        </w:rPr>
        <w:t xml:space="preserve"> </w:t>
      </w:r>
      <w:r w:rsidR="003E45AE" w:rsidRPr="003E45AE">
        <w:rPr>
          <w:rFonts w:ascii="Times New Roman" w:hAnsi="Times New Roman" w:cs="Times New Roman"/>
          <w:sz w:val="28"/>
          <w:szCs w:val="28"/>
        </w:rPr>
        <w:t>ar mērķi panākt maksimāli ā</w:t>
      </w:r>
      <w:r w:rsidR="003E45AE">
        <w:rPr>
          <w:rFonts w:ascii="Times New Roman" w:hAnsi="Times New Roman" w:cs="Times New Roman"/>
          <w:sz w:val="28"/>
          <w:szCs w:val="28"/>
        </w:rPr>
        <w:t xml:space="preserve">tru </w:t>
      </w:r>
      <w:r w:rsidR="00B91BEB">
        <w:rPr>
          <w:rFonts w:ascii="Times New Roman" w:hAnsi="Times New Roman" w:cs="Times New Roman"/>
          <w:sz w:val="28"/>
          <w:szCs w:val="28"/>
        </w:rPr>
        <w:t xml:space="preserve">uzņēmuma </w:t>
      </w:r>
      <w:r w:rsidR="003E45AE">
        <w:rPr>
          <w:rFonts w:ascii="Times New Roman" w:hAnsi="Times New Roman" w:cs="Times New Roman"/>
          <w:sz w:val="28"/>
          <w:szCs w:val="28"/>
        </w:rPr>
        <w:t xml:space="preserve">aktīvu atgriešanu ekonomikā. </w:t>
      </w:r>
      <w:r w:rsidR="00B872DC">
        <w:rPr>
          <w:rFonts w:ascii="Times New Roman" w:hAnsi="Times New Roman" w:cs="Times New Roman"/>
          <w:sz w:val="28"/>
          <w:szCs w:val="28"/>
        </w:rPr>
        <w:t>Piemēram,</w:t>
      </w:r>
      <w:r w:rsidR="003E45AE">
        <w:rPr>
          <w:rFonts w:ascii="Times New Roman" w:hAnsi="Times New Roman" w:cs="Times New Roman"/>
          <w:sz w:val="28"/>
          <w:szCs w:val="28"/>
        </w:rPr>
        <w:t xml:space="preserve"> </w:t>
      </w:r>
      <w:r w:rsidR="008E3569">
        <w:rPr>
          <w:rFonts w:ascii="Times New Roman" w:hAnsi="Times New Roman" w:cs="Times New Roman"/>
          <w:sz w:val="28"/>
          <w:szCs w:val="28"/>
        </w:rPr>
        <w:t>maksātnespējas procedūras ilgums</w:t>
      </w:r>
      <w:r>
        <w:rPr>
          <w:rFonts w:ascii="Times New Roman" w:hAnsi="Times New Roman" w:cs="Times New Roman"/>
          <w:sz w:val="28"/>
          <w:szCs w:val="28"/>
        </w:rPr>
        <w:t xml:space="preserve"> </w:t>
      </w:r>
      <w:r w:rsidR="00B872DC">
        <w:rPr>
          <w:rFonts w:ascii="Times New Roman" w:hAnsi="Times New Roman" w:cs="Times New Roman"/>
          <w:sz w:val="28"/>
          <w:szCs w:val="28"/>
        </w:rPr>
        <w:t>saīsināts</w:t>
      </w:r>
      <w:r w:rsidR="00B872DC" w:rsidRPr="006A0B01">
        <w:rPr>
          <w:rFonts w:ascii="Times New Roman" w:hAnsi="Times New Roman" w:cs="Times New Roman"/>
          <w:sz w:val="28"/>
          <w:szCs w:val="28"/>
        </w:rPr>
        <w:t xml:space="preserve"> </w:t>
      </w:r>
      <w:r w:rsidRPr="006A0B01">
        <w:rPr>
          <w:rFonts w:ascii="Times New Roman" w:hAnsi="Times New Roman" w:cs="Times New Roman"/>
          <w:sz w:val="28"/>
          <w:szCs w:val="28"/>
        </w:rPr>
        <w:t>no</w:t>
      </w:r>
      <w:r>
        <w:rPr>
          <w:rFonts w:ascii="Times New Roman" w:hAnsi="Times New Roman" w:cs="Times New Roman"/>
          <w:sz w:val="28"/>
          <w:szCs w:val="28"/>
        </w:rPr>
        <w:t xml:space="preserve"> līdzšinējiem 3 gadiem uz 1</w:t>
      </w:r>
      <w:r w:rsidR="00BB1ACC">
        <w:rPr>
          <w:rFonts w:ascii="Times New Roman" w:hAnsi="Times New Roman" w:cs="Times New Roman"/>
          <w:sz w:val="28"/>
          <w:szCs w:val="28"/>
        </w:rPr>
        <w:t xml:space="preserve"> </w:t>
      </w:r>
      <w:r>
        <w:rPr>
          <w:rFonts w:ascii="Times New Roman" w:hAnsi="Times New Roman" w:cs="Times New Roman"/>
          <w:sz w:val="28"/>
          <w:szCs w:val="28"/>
        </w:rPr>
        <w:t>gadu, kā arī</w:t>
      </w:r>
      <w:r w:rsidRPr="006A0B01">
        <w:rPr>
          <w:rFonts w:ascii="Times New Roman" w:hAnsi="Times New Roman" w:cs="Times New Roman"/>
          <w:sz w:val="28"/>
          <w:szCs w:val="28"/>
        </w:rPr>
        <w:t xml:space="preserve"> </w:t>
      </w:r>
      <w:r w:rsidR="00B872DC">
        <w:rPr>
          <w:rFonts w:ascii="Times New Roman" w:hAnsi="Times New Roman" w:cs="Times New Roman"/>
          <w:sz w:val="28"/>
          <w:szCs w:val="28"/>
        </w:rPr>
        <w:t xml:space="preserve">uz pusi samazinātas </w:t>
      </w:r>
      <w:r w:rsidR="008E3569">
        <w:rPr>
          <w:rFonts w:ascii="Times New Roman" w:hAnsi="Times New Roman" w:cs="Times New Roman"/>
          <w:sz w:val="28"/>
          <w:szCs w:val="28"/>
        </w:rPr>
        <w:t>maksātnespējas</w:t>
      </w:r>
      <w:r w:rsidR="00B872DC">
        <w:rPr>
          <w:rFonts w:ascii="Times New Roman" w:hAnsi="Times New Roman" w:cs="Times New Roman"/>
          <w:sz w:val="28"/>
          <w:szCs w:val="28"/>
        </w:rPr>
        <w:t xml:space="preserve"> </w:t>
      </w:r>
      <w:r>
        <w:rPr>
          <w:rFonts w:ascii="Times New Roman" w:hAnsi="Times New Roman" w:cs="Times New Roman"/>
          <w:sz w:val="28"/>
          <w:szCs w:val="28"/>
        </w:rPr>
        <w:t xml:space="preserve">procesa </w:t>
      </w:r>
      <w:r w:rsidRPr="006A0B01">
        <w:rPr>
          <w:rFonts w:ascii="Times New Roman" w:hAnsi="Times New Roman" w:cs="Times New Roman"/>
          <w:sz w:val="28"/>
          <w:szCs w:val="28"/>
        </w:rPr>
        <w:t>izmaksas</w:t>
      </w:r>
      <w:r w:rsidR="00B872DC">
        <w:rPr>
          <w:rFonts w:ascii="Times New Roman" w:hAnsi="Times New Roman" w:cs="Times New Roman"/>
          <w:sz w:val="28"/>
          <w:szCs w:val="28"/>
        </w:rPr>
        <w:t>. B</w:t>
      </w:r>
      <w:r>
        <w:rPr>
          <w:rFonts w:ascii="Times New Roman" w:hAnsi="Times New Roman" w:cs="Times New Roman"/>
          <w:sz w:val="28"/>
          <w:szCs w:val="28"/>
        </w:rPr>
        <w:t xml:space="preserve">ūvniecības procesa vienkāršošanai ir izstrādāts </w:t>
      </w:r>
      <w:r w:rsidRPr="006A0B01">
        <w:rPr>
          <w:rFonts w:ascii="Times New Roman" w:hAnsi="Times New Roman" w:cs="Times New Roman"/>
          <w:sz w:val="28"/>
          <w:szCs w:val="28"/>
        </w:rPr>
        <w:t>jauns Būvniecības likum</w:t>
      </w:r>
      <w:r>
        <w:rPr>
          <w:rFonts w:ascii="Times New Roman" w:hAnsi="Times New Roman" w:cs="Times New Roman"/>
          <w:sz w:val="28"/>
          <w:szCs w:val="28"/>
        </w:rPr>
        <w:t xml:space="preserve">a </w:t>
      </w:r>
      <w:r w:rsidRPr="006A0B01">
        <w:rPr>
          <w:rFonts w:ascii="Times New Roman" w:hAnsi="Times New Roman" w:cs="Times New Roman"/>
          <w:sz w:val="28"/>
          <w:szCs w:val="28"/>
        </w:rPr>
        <w:t xml:space="preserve">projekts, kas iesniegts Saeimā 2011.gada </w:t>
      </w:r>
      <w:r>
        <w:rPr>
          <w:rFonts w:ascii="Times New Roman" w:hAnsi="Times New Roman" w:cs="Times New Roman"/>
          <w:sz w:val="28"/>
          <w:szCs w:val="28"/>
        </w:rPr>
        <w:t xml:space="preserve">3.maijā un paredz vairākus uzlabojumus, piemēram, </w:t>
      </w:r>
      <w:r w:rsidRPr="00315573">
        <w:rPr>
          <w:rFonts w:ascii="Times New Roman" w:hAnsi="Times New Roman" w:cs="Times New Roman"/>
          <w:sz w:val="28"/>
          <w:szCs w:val="28"/>
        </w:rPr>
        <w:t>būvniecīb</w:t>
      </w:r>
      <w:r>
        <w:rPr>
          <w:rFonts w:ascii="Times New Roman" w:hAnsi="Times New Roman" w:cs="Times New Roman"/>
          <w:sz w:val="28"/>
          <w:szCs w:val="28"/>
        </w:rPr>
        <w:t>as saskaņošanas procedūru skaitu</w:t>
      </w:r>
      <w:r w:rsidRPr="00315573">
        <w:rPr>
          <w:rFonts w:ascii="Times New Roman" w:hAnsi="Times New Roman" w:cs="Times New Roman"/>
          <w:sz w:val="28"/>
          <w:szCs w:val="28"/>
        </w:rPr>
        <w:t xml:space="preserve"> samazin</w:t>
      </w:r>
      <w:r>
        <w:rPr>
          <w:rFonts w:ascii="Times New Roman" w:hAnsi="Times New Roman" w:cs="Times New Roman"/>
          <w:sz w:val="28"/>
          <w:szCs w:val="28"/>
        </w:rPr>
        <w:t>ot</w:t>
      </w:r>
      <w:r w:rsidRPr="00315573">
        <w:rPr>
          <w:rFonts w:ascii="Times New Roman" w:hAnsi="Times New Roman" w:cs="Times New Roman"/>
          <w:sz w:val="28"/>
          <w:szCs w:val="28"/>
        </w:rPr>
        <w:t xml:space="preserve"> no 24 uz 6 un saskaņošanai paredzēto laiku </w:t>
      </w:r>
      <w:r>
        <w:rPr>
          <w:rFonts w:ascii="Times New Roman" w:hAnsi="Times New Roman" w:cs="Times New Roman"/>
          <w:sz w:val="28"/>
          <w:szCs w:val="28"/>
        </w:rPr>
        <w:t xml:space="preserve">saīsinot </w:t>
      </w:r>
      <w:r w:rsidRPr="00315573">
        <w:rPr>
          <w:rFonts w:ascii="Times New Roman" w:hAnsi="Times New Roman" w:cs="Times New Roman"/>
          <w:sz w:val="28"/>
          <w:szCs w:val="28"/>
        </w:rPr>
        <w:t>no 186 uz 69 dienām</w:t>
      </w:r>
      <w:r>
        <w:rPr>
          <w:rFonts w:ascii="Times New Roman" w:hAnsi="Times New Roman" w:cs="Times New Roman"/>
          <w:sz w:val="28"/>
          <w:szCs w:val="28"/>
        </w:rPr>
        <w:t>. Savukārt</w:t>
      </w:r>
      <w:r w:rsidRPr="00442585">
        <w:rPr>
          <w:rFonts w:ascii="Times New Roman" w:hAnsi="Times New Roman" w:cs="Times New Roman"/>
          <w:sz w:val="28"/>
          <w:szCs w:val="28"/>
        </w:rPr>
        <w:t xml:space="preserve"> pārrobežu tirdzniecības jomā</w:t>
      </w:r>
      <w:r>
        <w:rPr>
          <w:rFonts w:ascii="Times New Roman" w:hAnsi="Times New Roman" w:cs="Times New Roman"/>
          <w:sz w:val="28"/>
          <w:szCs w:val="28"/>
        </w:rPr>
        <w:t xml:space="preserve"> kā būt</w:t>
      </w:r>
      <w:r w:rsidR="00B872DC">
        <w:rPr>
          <w:rFonts w:ascii="Times New Roman" w:hAnsi="Times New Roman" w:cs="Times New Roman"/>
          <w:sz w:val="28"/>
          <w:szCs w:val="28"/>
        </w:rPr>
        <w:t>iskākais reformu virziens minams</w:t>
      </w:r>
      <w:r>
        <w:rPr>
          <w:rFonts w:ascii="Times New Roman" w:hAnsi="Times New Roman" w:cs="Times New Roman"/>
          <w:sz w:val="28"/>
          <w:szCs w:val="28"/>
        </w:rPr>
        <w:t xml:space="preserve"> ieviestā</w:t>
      </w:r>
      <w:r w:rsidRPr="006A0B01">
        <w:rPr>
          <w:rFonts w:ascii="Times New Roman" w:hAnsi="Times New Roman" w:cs="Times New Roman"/>
          <w:sz w:val="28"/>
          <w:szCs w:val="28"/>
        </w:rPr>
        <w:t xml:space="preserve"> elektroniskā muitas deklarēšanas sistēma, samazinot laiku, kas nepieciešams ekspo</w:t>
      </w:r>
      <w:r>
        <w:rPr>
          <w:rFonts w:ascii="Times New Roman" w:hAnsi="Times New Roman" w:cs="Times New Roman"/>
          <w:sz w:val="28"/>
          <w:szCs w:val="28"/>
        </w:rPr>
        <w:t>rta-importa procedūru veikšanai.</w:t>
      </w:r>
    </w:p>
    <w:p w:rsidR="009A5A54" w:rsidRDefault="009A5A54" w:rsidP="00D662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2010.gadā aktīvi turpināja darboties </w:t>
      </w:r>
      <w:r w:rsidR="0029714B">
        <w:rPr>
          <w:rFonts w:ascii="Times New Roman" w:hAnsi="Times New Roman" w:cs="Times New Roman"/>
          <w:sz w:val="28"/>
          <w:szCs w:val="28"/>
        </w:rPr>
        <w:t>Tautsaimniecības padome (turpmāk – TSP),</w:t>
      </w:r>
      <w:r>
        <w:rPr>
          <w:rFonts w:ascii="Times New Roman" w:hAnsi="Times New Roman" w:cs="Times New Roman"/>
          <w:sz w:val="28"/>
          <w:szCs w:val="28"/>
        </w:rPr>
        <w:t xml:space="preserve"> kas</w:t>
      </w:r>
      <w:r w:rsidR="0029714B">
        <w:rPr>
          <w:rFonts w:ascii="Times New Roman" w:hAnsi="Times New Roman" w:cs="Times New Roman"/>
          <w:sz w:val="28"/>
          <w:szCs w:val="28"/>
        </w:rPr>
        <w:t xml:space="preserve"> sanāca reizi mēnesī, tajā skaitā tika sasauktas arī 5 TSP </w:t>
      </w:r>
      <w:r w:rsidR="0029714B" w:rsidRPr="0029714B">
        <w:rPr>
          <w:rFonts w:ascii="Times New Roman" w:hAnsi="Times New Roman" w:cs="Times New Roman"/>
          <w:sz w:val="28"/>
          <w:szCs w:val="28"/>
        </w:rPr>
        <w:t>Vadības komitejas sēdes</w:t>
      </w:r>
      <w:r w:rsidR="0029714B">
        <w:rPr>
          <w:rFonts w:ascii="Times New Roman" w:hAnsi="Times New Roman" w:cs="Times New Roman"/>
          <w:sz w:val="28"/>
          <w:szCs w:val="28"/>
        </w:rPr>
        <w:t xml:space="preserve">. Kā konsultatīva institūcija TSP izskatīja virkni jautājumu, kas skar </w:t>
      </w:r>
      <w:r w:rsidR="0029714B" w:rsidRPr="0029714B">
        <w:rPr>
          <w:rFonts w:ascii="Times New Roman" w:hAnsi="Times New Roman" w:cs="Times New Roman"/>
          <w:sz w:val="28"/>
          <w:szCs w:val="28"/>
        </w:rPr>
        <w:t>uzņēmējdarbībai labvēlīgas vides po</w:t>
      </w:r>
      <w:r w:rsidR="0029714B">
        <w:rPr>
          <w:rFonts w:ascii="Times New Roman" w:hAnsi="Times New Roman" w:cs="Times New Roman"/>
          <w:sz w:val="28"/>
          <w:szCs w:val="28"/>
        </w:rPr>
        <w:t xml:space="preserve">litikas veidošanu un īstenošanu. </w:t>
      </w:r>
      <w:r w:rsidR="0029714B" w:rsidRPr="0029714B">
        <w:rPr>
          <w:rFonts w:ascii="Times New Roman" w:hAnsi="Times New Roman" w:cs="Times New Roman"/>
          <w:sz w:val="28"/>
          <w:szCs w:val="28"/>
        </w:rPr>
        <w:t>TSP darba ietvaros tika sniegti priekšlikumi Valsts nodokļu un nodevu sistēmas attīstības pamatnostādņu 2011.-2015.gadam projekta papildināšanai, Pasākumu plānam ēnu ekonomikas apkarošanai un godīgas konkurences nodrošināšanai</w:t>
      </w:r>
      <w:r w:rsidR="0029714B">
        <w:rPr>
          <w:rFonts w:ascii="Times New Roman" w:hAnsi="Times New Roman" w:cs="Times New Roman"/>
          <w:sz w:val="28"/>
          <w:szCs w:val="28"/>
        </w:rPr>
        <w:t xml:space="preserve">, </w:t>
      </w:r>
      <w:r w:rsidR="0029714B" w:rsidRPr="0029714B">
        <w:rPr>
          <w:rFonts w:ascii="Times New Roman" w:hAnsi="Times New Roman" w:cs="Times New Roman"/>
          <w:sz w:val="28"/>
          <w:szCs w:val="28"/>
        </w:rPr>
        <w:t>201</w:t>
      </w:r>
      <w:r w:rsidR="0029714B">
        <w:rPr>
          <w:rFonts w:ascii="Times New Roman" w:hAnsi="Times New Roman" w:cs="Times New Roman"/>
          <w:sz w:val="28"/>
          <w:szCs w:val="28"/>
        </w:rPr>
        <w:t xml:space="preserve">1.gada valsts budžeta projektam, kā arī </w:t>
      </w:r>
      <w:r w:rsidR="00F45A39">
        <w:rPr>
          <w:rFonts w:ascii="Times New Roman" w:hAnsi="Times New Roman" w:cs="Times New Roman"/>
          <w:sz w:val="28"/>
          <w:szCs w:val="28"/>
        </w:rPr>
        <w:t xml:space="preserve">tika </w:t>
      </w:r>
      <w:r w:rsidR="0029714B">
        <w:rPr>
          <w:rFonts w:ascii="Times New Roman" w:hAnsi="Times New Roman" w:cs="Times New Roman"/>
          <w:sz w:val="28"/>
          <w:szCs w:val="28"/>
        </w:rPr>
        <w:t xml:space="preserve">aktualizēts jautājums </w:t>
      </w:r>
      <w:r w:rsidR="0029714B" w:rsidRPr="0029714B">
        <w:rPr>
          <w:rFonts w:ascii="Times New Roman" w:hAnsi="Times New Roman" w:cs="Times New Roman"/>
          <w:sz w:val="28"/>
          <w:szCs w:val="28"/>
        </w:rPr>
        <w:t xml:space="preserve">par </w:t>
      </w:r>
      <w:r w:rsidR="0029714B">
        <w:rPr>
          <w:rFonts w:ascii="Times New Roman" w:hAnsi="Times New Roman" w:cs="Times New Roman"/>
          <w:sz w:val="28"/>
          <w:szCs w:val="28"/>
        </w:rPr>
        <w:t xml:space="preserve">pastāvošajām </w:t>
      </w:r>
      <w:r w:rsidR="0029714B" w:rsidRPr="0029714B">
        <w:rPr>
          <w:rFonts w:ascii="Times New Roman" w:hAnsi="Times New Roman" w:cs="Times New Roman"/>
          <w:sz w:val="28"/>
          <w:szCs w:val="28"/>
        </w:rPr>
        <w:t>barjerām ES fondu apguvē un iespējama</w:t>
      </w:r>
      <w:r w:rsidR="0029714B">
        <w:rPr>
          <w:rFonts w:ascii="Times New Roman" w:hAnsi="Times New Roman" w:cs="Times New Roman"/>
          <w:sz w:val="28"/>
          <w:szCs w:val="28"/>
        </w:rPr>
        <w:t>jiem risinājumiem to novēršanā.</w:t>
      </w:r>
    </w:p>
    <w:p w:rsidR="0029714B" w:rsidRPr="00B65C4D" w:rsidRDefault="009F6CA7" w:rsidP="009F6C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w:t>
      </w:r>
      <w:r w:rsidR="0029714B">
        <w:rPr>
          <w:rFonts w:ascii="Times New Roman" w:hAnsi="Times New Roman" w:cs="Times New Roman"/>
          <w:sz w:val="28"/>
          <w:szCs w:val="28"/>
        </w:rPr>
        <w:t xml:space="preserve">aikā no 2010.gada </w:t>
      </w:r>
      <w:r w:rsidR="00352FB6">
        <w:rPr>
          <w:rFonts w:ascii="Times New Roman" w:hAnsi="Times New Roman" w:cs="Times New Roman"/>
          <w:sz w:val="28"/>
          <w:szCs w:val="28"/>
        </w:rPr>
        <w:t xml:space="preserve">27. līdz </w:t>
      </w:r>
      <w:r w:rsidR="0029714B" w:rsidRPr="0029714B">
        <w:rPr>
          <w:rFonts w:ascii="Times New Roman" w:hAnsi="Times New Roman" w:cs="Times New Roman"/>
          <w:sz w:val="28"/>
          <w:szCs w:val="28"/>
        </w:rPr>
        <w:t>28.</w:t>
      </w:r>
      <w:r w:rsidR="0029714B">
        <w:rPr>
          <w:rFonts w:ascii="Times New Roman" w:hAnsi="Times New Roman" w:cs="Times New Roman"/>
          <w:sz w:val="28"/>
          <w:szCs w:val="28"/>
        </w:rPr>
        <w:t>maijam tika</w:t>
      </w:r>
      <w:r w:rsidR="0029714B" w:rsidRPr="0029714B">
        <w:rPr>
          <w:rFonts w:ascii="Times New Roman" w:hAnsi="Times New Roman" w:cs="Times New Roman"/>
          <w:sz w:val="28"/>
          <w:szCs w:val="28"/>
        </w:rPr>
        <w:t xml:space="preserve"> noorganizēta Latvijas valdības un Ārvalstu investoru</w:t>
      </w:r>
      <w:r w:rsidR="0029714B">
        <w:rPr>
          <w:rFonts w:ascii="Times New Roman" w:hAnsi="Times New Roman" w:cs="Times New Roman"/>
          <w:sz w:val="28"/>
          <w:szCs w:val="28"/>
        </w:rPr>
        <w:t xml:space="preserve"> padomes augsta līmeņa tikšanās, kuras laikā tika apspriestas </w:t>
      </w:r>
      <w:r>
        <w:rPr>
          <w:rFonts w:ascii="Times New Roman" w:hAnsi="Times New Roman" w:cs="Times New Roman"/>
          <w:sz w:val="28"/>
          <w:szCs w:val="28"/>
        </w:rPr>
        <w:t>būtiskākās valsts ekonomikas aktualit</w:t>
      </w:r>
      <w:r w:rsidRPr="0029714B">
        <w:rPr>
          <w:rFonts w:ascii="Times New Roman" w:hAnsi="Times New Roman" w:cs="Times New Roman"/>
          <w:sz w:val="28"/>
          <w:szCs w:val="28"/>
        </w:rPr>
        <w:t>ātes</w:t>
      </w:r>
      <w:r>
        <w:rPr>
          <w:rFonts w:ascii="Times New Roman" w:hAnsi="Times New Roman" w:cs="Times New Roman"/>
          <w:sz w:val="28"/>
          <w:szCs w:val="28"/>
        </w:rPr>
        <w:t xml:space="preserve">, </w:t>
      </w:r>
      <w:r w:rsidR="003E439C">
        <w:rPr>
          <w:rFonts w:ascii="Times New Roman" w:hAnsi="Times New Roman" w:cs="Times New Roman"/>
          <w:sz w:val="28"/>
          <w:szCs w:val="28"/>
        </w:rPr>
        <w:t>tādas kā –</w:t>
      </w:r>
      <w:r>
        <w:rPr>
          <w:rFonts w:ascii="Times New Roman" w:hAnsi="Times New Roman" w:cs="Times New Roman"/>
          <w:sz w:val="28"/>
          <w:szCs w:val="28"/>
        </w:rPr>
        <w:t xml:space="preserve"> valsts makroekonomiskā situācija, nodokļu politika, investīciju piesaistes iespē</w:t>
      </w:r>
      <w:r w:rsidR="0029714B" w:rsidRPr="0029714B">
        <w:rPr>
          <w:rFonts w:ascii="Times New Roman" w:hAnsi="Times New Roman" w:cs="Times New Roman"/>
          <w:sz w:val="28"/>
          <w:szCs w:val="28"/>
        </w:rPr>
        <w:t xml:space="preserve">jas, </w:t>
      </w:r>
      <w:r>
        <w:rPr>
          <w:rFonts w:ascii="Times New Roman" w:hAnsi="Times New Roman" w:cs="Times New Roman"/>
          <w:sz w:val="28"/>
          <w:szCs w:val="28"/>
        </w:rPr>
        <w:t>teritoriālās plānošanas un bū</w:t>
      </w:r>
      <w:r w:rsidR="0029714B" w:rsidRPr="0029714B">
        <w:rPr>
          <w:rFonts w:ascii="Times New Roman" w:hAnsi="Times New Roman" w:cs="Times New Roman"/>
          <w:sz w:val="28"/>
          <w:szCs w:val="28"/>
        </w:rPr>
        <w:t>vniec</w:t>
      </w:r>
      <w:r>
        <w:rPr>
          <w:rFonts w:ascii="Times New Roman" w:hAnsi="Times New Roman" w:cs="Times New Roman"/>
          <w:sz w:val="28"/>
          <w:szCs w:val="28"/>
        </w:rPr>
        <w:t>ības procesa uzlabošana</w:t>
      </w:r>
      <w:r w:rsidR="0029714B" w:rsidRPr="0029714B">
        <w:rPr>
          <w:rFonts w:ascii="Times New Roman" w:hAnsi="Times New Roman" w:cs="Times New Roman"/>
          <w:sz w:val="28"/>
          <w:szCs w:val="28"/>
        </w:rPr>
        <w:t>, augst</w:t>
      </w:r>
      <w:r>
        <w:rPr>
          <w:rFonts w:ascii="Times New Roman" w:hAnsi="Times New Roman" w:cs="Times New Roman"/>
          <w:sz w:val="28"/>
          <w:szCs w:val="28"/>
        </w:rPr>
        <w:t xml:space="preserve">ākās </w:t>
      </w:r>
      <w:r w:rsidR="0029714B" w:rsidRPr="0029714B">
        <w:rPr>
          <w:rFonts w:ascii="Times New Roman" w:hAnsi="Times New Roman" w:cs="Times New Roman"/>
          <w:sz w:val="28"/>
          <w:szCs w:val="28"/>
        </w:rPr>
        <w:t>izgl</w:t>
      </w:r>
      <w:r>
        <w:rPr>
          <w:rFonts w:ascii="Times New Roman" w:hAnsi="Times New Roman" w:cs="Times New Roman"/>
          <w:sz w:val="28"/>
          <w:szCs w:val="28"/>
        </w:rPr>
        <w:t>ītības konkurētspējas veicināšanas iespē</w:t>
      </w:r>
      <w:r w:rsidR="0029714B" w:rsidRPr="0029714B">
        <w:rPr>
          <w:rFonts w:ascii="Times New Roman" w:hAnsi="Times New Roman" w:cs="Times New Roman"/>
          <w:sz w:val="28"/>
          <w:szCs w:val="28"/>
        </w:rPr>
        <w:t>jas,</w:t>
      </w:r>
      <w:r>
        <w:rPr>
          <w:rFonts w:ascii="Times New Roman" w:hAnsi="Times New Roman" w:cs="Times New Roman"/>
          <w:sz w:val="28"/>
          <w:szCs w:val="28"/>
        </w:rPr>
        <w:t xml:space="preserve"> kā arī ā</w:t>
      </w:r>
      <w:r w:rsidR="0029714B" w:rsidRPr="0029714B">
        <w:rPr>
          <w:rFonts w:ascii="Times New Roman" w:hAnsi="Times New Roman" w:cs="Times New Roman"/>
          <w:sz w:val="28"/>
          <w:szCs w:val="28"/>
        </w:rPr>
        <w:t>rvalstu pier</w:t>
      </w:r>
      <w:r>
        <w:rPr>
          <w:rFonts w:ascii="Times New Roman" w:hAnsi="Times New Roman" w:cs="Times New Roman"/>
          <w:sz w:val="28"/>
          <w:szCs w:val="28"/>
        </w:rPr>
        <w:t>edze</w:t>
      </w:r>
      <w:r w:rsidR="0029714B" w:rsidRPr="0029714B">
        <w:rPr>
          <w:rFonts w:ascii="Times New Roman" w:hAnsi="Times New Roman" w:cs="Times New Roman"/>
          <w:sz w:val="28"/>
          <w:szCs w:val="28"/>
        </w:rPr>
        <w:t xml:space="preserve"> </w:t>
      </w:r>
      <w:r>
        <w:rPr>
          <w:rFonts w:ascii="Times New Roman" w:hAnsi="Times New Roman" w:cs="Times New Roman"/>
          <w:sz w:val="28"/>
          <w:szCs w:val="28"/>
        </w:rPr>
        <w:t>uzņēmējdarbības uzsākšanas veicināšanā</w:t>
      </w:r>
      <w:r w:rsidR="0029714B" w:rsidRPr="0029714B">
        <w:rPr>
          <w:rFonts w:ascii="Times New Roman" w:hAnsi="Times New Roman" w:cs="Times New Roman"/>
          <w:sz w:val="28"/>
          <w:szCs w:val="28"/>
        </w:rPr>
        <w:t>.</w:t>
      </w:r>
    </w:p>
    <w:p w:rsidR="00745562" w:rsidRPr="004130BC" w:rsidRDefault="00745562" w:rsidP="004130BC">
      <w:pPr>
        <w:spacing w:after="0" w:line="240" w:lineRule="auto"/>
        <w:jc w:val="both"/>
        <w:rPr>
          <w:rFonts w:ascii="Times New Roman" w:hAnsi="Times New Roman" w:cs="Times New Roman"/>
          <w:b/>
          <w:sz w:val="28"/>
          <w:szCs w:val="28"/>
        </w:rPr>
      </w:pPr>
    </w:p>
    <w:p w:rsidR="004130BC" w:rsidRPr="00B85B1F" w:rsidRDefault="00790FC4" w:rsidP="00B85B1F">
      <w:pPr>
        <w:pStyle w:val="ListParagraph"/>
        <w:numPr>
          <w:ilvl w:val="1"/>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Finanšu pieejamības sekmēšana</w:t>
      </w:r>
    </w:p>
    <w:p w:rsidR="004130BC" w:rsidRDefault="004130BC" w:rsidP="004130BC">
      <w:pPr>
        <w:spacing w:after="0" w:line="240" w:lineRule="auto"/>
        <w:jc w:val="both"/>
        <w:rPr>
          <w:rFonts w:ascii="Times New Roman" w:hAnsi="Times New Roman" w:cs="Times New Roman"/>
          <w:b/>
          <w:sz w:val="28"/>
          <w:szCs w:val="28"/>
        </w:rPr>
      </w:pPr>
    </w:p>
    <w:p w:rsidR="009E70B1" w:rsidRDefault="00B85B1F" w:rsidP="00297E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Programmas viens no būtiskākajiem darbības virzieniem ir pilnveidot </w:t>
      </w:r>
      <w:r w:rsidR="00A34A20">
        <w:rPr>
          <w:rFonts w:ascii="Times New Roman" w:hAnsi="Times New Roman" w:cs="Times New Roman"/>
          <w:sz w:val="28"/>
          <w:szCs w:val="28"/>
        </w:rPr>
        <w:t>komersantu</w:t>
      </w:r>
      <w:r>
        <w:rPr>
          <w:rFonts w:ascii="Times New Roman" w:hAnsi="Times New Roman" w:cs="Times New Roman"/>
          <w:sz w:val="28"/>
          <w:szCs w:val="28"/>
        </w:rPr>
        <w:t xml:space="preserve">, jo īpaši </w:t>
      </w:r>
      <w:r w:rsidR="00173A8A">
        <w:rPr>
          <w:rFonts w:ascii="Times New Roman" w:hAnsi="Times New Roman" w:cs="Times New Roman"/>
          <w:sz w:val="28"/>
          <w:szCs w:val="28"/>
        </w:rPr>
        <w:t>mazo un vidējo uzņēmumu (turpmāk – MVU)</w:t>
      </w:r>
      <w:r>
        <w:rPr>
          <w:rFonts w:ascii="Times New Roman" w:hAnsi="Times New Roman" w:cs="Times New Roman"/>
          <w:sz w:val="28"/>
          <w:szCs w:val="28"/>
        </w:rPr>
        <w:t xml:space="preserve"> piekļuvi finansējumam. </w:t>
      </w:r>
      <w:r w:rsidR="009E70B1" w:rsidRPr="009E70B1">
        <w:rPr>
          <w:rFonts w:ascii="Times New Roman" w:hAnsi="Times New Roman" w:cs="Times New Roman"/>
          <w:sz w:val="28"/>
          <w:szCs w:val="28"/>
        </w:rPr>
        <w:t>Lai nodrošinātu finansējumu komercd</w:t>
      </w:r>
      <w:r w:rsidR="009E70B1">
        <w:rPr>
          <w:rFonts w:ascii="Times New Roman" w:hAnsi="Times New Roman" w:cs="Times New Roman"/>
          <w:sz w:val="28"/>
          <w:szCs w:val="28"/>
        </w:rPr>
        <w:t>arbības attīstībai, ta</w:t>
      </w:r>
      <w:r w:rsidR="00A34A20">
        <w:rPr>
          <w:rFonts w:ascii="Times New Roman" w:hAnsi="Times New Roman" w:cs="Times New Roman"/>
          <w:sz w:val="28"/>
          <w:szCs w:val="28"/>
        </w:rPr>
        <w:t>jā</w:t>
      </w:r>
      <w:r w:rsidR="009E70B1">
        <w:rPr>
          <w:rFonts w:ascii="Times New Roman" w:hAnsi="Times New Roman" w:cs="Times New Roman"/>
          <w:sz w:val="28"/>
          <w:szCs w:val="28"/>
        </w:rPr>
        <w:t xml:space="preserve"> skaitā</w:t>
      </w:r>
      <w:r w:rsidR="009E70B1" w:rsidRPr="009E70B1">
        <w:rPr>
          <w:rFonts w:ascii="Times New Roman" w:hAnsi="Times New Roman" w:cs="Times New Roman"/>
          <w:sz w:val="28"/>
          <w:szCs w:val="28"/>
        </w:rPr>
        <w:t xml:space="preserve"> inovatīviem projektiem, </w:t>
      </w:r>
      <w:r w:rsidR="00173A8A">
        <w:rPr>
          <w:rFonts w:ascii="Times New Roman" w:hAnsi="Times New Roman" w:cs="Times New Roman"/>
          <w:sz w:val="28"/>
          <w:szCs w:val="28"/>
        </w:rPr>
        <w:t>EM</w:t>
      </w:r>
      <w:r w:rsidR="009E70B1" w:rsidRPr="009E70B1">
        <w:rPr>
          <w:rFonts w:ascii="Times New Roman" w:hAnsi="Times New Roman" w:cs="Times New Roman"/>
          <w:sz w:val="28"/>
          <w:szCs w:val="28"/>
        </w:rPr>
        <w:t xml:space="preserve"> sadarbībā ar citām institūcijām (E</w:t>
      </w:r>
      <w:r w:rsidR="00173A8A">
        <w:rPr>
          <w:rFonts w:ascii="Times New Roman" w:hAnsi="Times New Roman" w:cs="Times New Roman"/>
          <w:sz w:val="28"/>
          <w:szCs w:val="28"/>
        </w:rPr>
        <w:t xml:space="preserve">iropas </w:t>
      </w:r>
      <w:r w:rsidR="00D46258" w:rsidRPr="009E70B1">
        <w:rPr>
          <w:rFonts w:ascii="Times New Roman" w:hAnsi="Times New Roman" w:cs="Times New Roman"/>
          <w:sz w:val="28"/>
          <w:szCs w:val="28"/>
        </w:rPr>
        <w:t>I</w:t>
      </w:r>
      <w:r w:rsidR="00D46258">
        <w:rPr>
          <w:rFonts w:ascii="Times New Roman" w:hAnsi="Times New Roman" w:cs="Times New Roman"/>
          <w:sz w:val="28"/>
          <w:szCs w:val="28"/>
        </w:rPr>
        <w:t>nvestīciju</w:t>
      </w:r>
      <w:r w:rsidR="00173A8A">
        <w:rPr>
          <w:rFonts w:ascii="Times New Roman" w:hAnsi="Times New Roman" w:cs="Times New Roman"/>
          <w:sz w:val="28"/>
          <w:szCs w:val="28"/>
        </w:rPr>
        <w:t xml:space="preserve"> fondu</w:t>
      </w:r>
      <w:r w:rsidR="009E70B1" w:rsidRPr="009E70B1">
        <w:rPr>
          <w:rFonts w:ascii="Times New Roman" w:hAnsi="Times New Roman" w:cs="Times New Roman"/>
          <w:sz w:val="28"/>
          <w:szCs w:val="28"/>
        </w:rPr>
        <w:t xml:space="preserve">, </w:t>
      </w:r>
      <w:r w:rsidR="00173A8A" w:rsidRPr="009E70B1">
        <w:rPr>
          <w:rFonts w:ascii="Times New Roman" w:hAnsi="Times New Roman" w:cs="Times New Roman"/>
          <w:sz w:val="28"/>
          <w:szCs w:val="28"/>
        </w:rPr>
        <w:t>L</w:t>
      </w:r>
      <w:r w:rsidR="00173A8A">
        <w:rPr>
          <w:rFonts w:ascii="Times New Roman" w:hAnsi="Times New Roman" w:cs="Times New Roman"/>
          <w:sz w:val="28"/>
          <w:szCs w:val="28"/>
        </w:rPr>
        <w:t>atvijas Garantiju aģentūru</w:t>
      </w:r>
      <w:r w:rsidR="009E70B1" w:rsidRPr="009E70B1">
        <w:rPr>
          <w:rFonts w:ascii="Times New Roman" w:hAnsi="Times New Roman" w:cs="Times New Roman"/>
          <w:sz w:val="28"/>
          <w:szCs w:val="28"/>
        </w:rPr>
        <w:t xml:space="preserve">, </w:t>
      </w:r>
      <w:r w:rsidR="00173A8A" w:rsidRPr="009E70B1">
        <w:rPr>
          <w:rFonts w:ascii="Times New Roman" w:hAnsi="Times New Roman" w:cs="Times New Roman"/>
          <w:sz w:val="28"/>
          <w:szCs w:val="28"/>
        </w:rPr>
        <w:t>L</w:t>
      </w:r>
      <w:r w:rsidR="00173A8A">
        <w:rPr>
          <w:rFonts w:ascii="Times New Roman" w:hAnsi="Times New Roman" w:cs="Times New Roman"/>
          <w:sz w:val="28"/>
          <w:szCs w:val="28"/>
        </w:rPr>
        <w:t>atvijas Hipotēku un zemes banku</w:t>
      </w:r>
      <w:r w:rsidR="009E70B1" w:rsidRPr="009E70B1">
        <w:rPr>
          <w:rFonts w:ascii="Times New Roman" w:hAnsi="Times New Roman" w:cs="Times New Roman"/>
          <w:sz w:val="28"/>
          <w:szCs w:val="28"/>
        </w:rPr>
        <w:t>) nodrošina aizdevumus, individuālās garantijas, īstermiņa eksporta garantijas, riska kapitāla, sagatavošanas un uzsākšanas kapitāla finansējumu. Kopumā šajos instrumentos plānots ieguldīt 150 milj</w:t>
      </w:r>
      <w:r w:rsidR="009E70B1">
        <w:rPr>
          <w:rFonts w:ascii="Times New Roman" w:hAnsi="Times New Roman" w:cs="Times New Roman"/>
          <w:sz w:val="28"/>
          <w:szCs w:val="28"/>
        </w:rPr>
        <w:t>.</w:t>
      </w:r>
      <w:r w:rsidR="009E70B1" w:rsidRPr="009E70B1">
        <w:rPr>
          <w:rFonts w:ascii="Times New Roman" w:hAnsi="Times New Roman" w:cs="Times New Roman"/>
          <w:sz w:val="28"/>
          <w:szCs w:val="28"/>
        </w:rPr>
        <w:t xml:space="preserve"> </w:t>
      </w:r>
      <w:r w:rsidR="009E70B1">
        <w:rPr>
          <w:rFonts w:ascii="Times New Roman" w:hAnsi="Times New Roman" w:cs="Times New Roman"/>
          <w:sz w:val="28"/>
          <w:szCs w:val="28"/>
        </w:rPr>
        <w:t>LVL</w:t>
      </w:r>
      <w:r w:rsidR="009E70B1" w:rsidRPr="009E70B1">
        <w:rPr>
          <w:rFonts w:ascii="Times New Roman" w:hAnsi="Times New Roman" w:cs="Times New Roman"/>
          <w:sz w:val="28"/>
          <w:szCs w:val="28"/>
        </w:rPr>
        <w:t xml:space="preserve"> un atbalstīt vairāk kā 950 uzņēmumus.</w:t>
      </w:r>
    </w:p>
    <w:p w:rsidR="00622264" w:rsidRDefault="00441801" w:rsidP="00622264">
      <w:pPr>
        <w:spacing w:after="0" w:line="240" w:lineRule="auto"/>
        <w:ind w:firstLine="720"/>
        <w:jc w:val="both"/>
        <w:rPr>
          <w:rFonts w:ascii="Times New Roman" w:hAnsi="Times New Roman" w:cs="Times New Roman"/>
          <w:sz w:val="28"/>
          <w:szCs w:val="28"/>
        </w:rPr>
      </w:pPr>
      <w:r w:rsidRPr="00441801">
        <w:rPr>
          <w:rFonts w:ascii="Times New Roman" w:eastAsia="Calibri" w:hAnsi="Times New Roman" w:cs="Times New Roman"/>
          <w:sz w:val="28"/>
          <w:szCs w:val="28"/>
        </w:rPr>
        <w:t>Programmu „</w:t>
      </w:r>
      <w:r w:rsidRPr="00441801">
        <w:rPr>
          <w:rFonts w:ascii="Times New Roman" w:hAnsi="Times New Roman" w:cs="Times New Roman"/>
          <w:sz w:val="28"/>
          <w:szCs w:val="28"/>
        </w:rPr>
        <w:t>Aizdevumi komersantu konkurētspējas uzlabošanai” un  „</w:t>
      </w:r>
      <w:r w:rsidRPr="00441801">
        <w:rPr>
          <w:rFonts w:ascii="Times New Roman" w:eastAsia="Calibri" w:hAnsi="Times New Roman" w:cs="Times New Roman"/>
          <w:sz w:val="28"/>
          <w:szCs w:val="28"/>
        </w:rPr>
        <w:t>MVU izaugsmes aizdevumu programmas” ietvaros MVU ir pieejami divu veidu aizdevumi</w:t>
      </w:r>
      <w:r w:rsidR="00E50B35">
        <w:rPr>
          <w:rFonts w:ascii="Times New Roman" w:eastAsia="Calibri" w:hAnsi="Times New Roman" w:cs="Times New Roman"/>
          <w:sz w:val="28"/>
          <w:szCs w:val="28"/>
        </w:rPr>
        <w:t xml:space="preserve"> –</w:t>
      </w:r>
      <w:r w:rsidRPr="00441801">
        <w:rPr>
          <w:rFonts w:ascii="Times New Roman" w:eastAsia="Calibri" w:hAnsi="Times New Roman" w:cs="Times New Roman"/>
          <w:sz w:val="28"/>
          <w:szCs w:val="28"/>
        </w:rPr>
        <w:t xml:space="preserve"> investīcijām un apgrozāmajiem līdzekļiem (t.sk. kredītlīnijas). Līdz 2010.gada beigām programmas „</w:t>
      </w:r>
      <w:r w:rsidRPr="00441801">
        <w:rPr>
          <w:rFonts w:ascii="Times New Roman" w:hAnsi="Times New Roman" w:cs="Times New Roman"/>
          <w:sz w:val="28"/>
          <w:szCs w:val="28"/>
        </w:rPr>
        <w:t xml:space="preserve">Aizdevumi komersantu konkurētspējas uzlabošanai” ietvaros apstiprināti 49 projekti 58,5 milj. </w:t>
      </w:r>
      <w:r w:rsidR="00E50B35">
        <w:rPr>
          <w:rFonts w:ascii="Times New Roman" w:hAnsi="Times New Roman" w:cs="Times New Roman"/>
          <w:sz w:val="28"/>
          <w:szCs w:val="28"/>
        </w:rPr>
        <w:t>LVL</w:t>
      </w:r>
      <w:r w:rsidR="00E50B35" w:rsidRPr="00441801">
        <w:rPr>
          <w:rFonts w:ascii="Times New Roman" w:hAnsi="Times New Roman" w:cs="Times New Roman"/>
          <w:sz w:val="28"/>
          <w:szCs w:val="28"/>
        </w:rPr>
        <w:t xml:space="preserve"> </w:t>
      </w:r>
      <w:r w:rsidR="00B872DC">
        <w:rPr>
          <w:rFonts w:ascii="Times New Roman" w:hAnsi="Times New Roman" w:cs="Times New Roman"/>
          <w:sz w:val="28"/>
          <w:szCs w:val="28"/>
        </w:rPr>
        <w:t>apmērā, n</w:t>
      </w:r>
      <w:r w:rsidRPr="00441801">
        <w:rPr>
          <w:rFonts w:ascii="Times New Roman" w:hAnsi="Times New Roman" w:cs="Times New Roman"/>
          <w:sz w:val="28"/>
          <w:szCs w:val="28"/>
        </w:rPr>
        <w:t xml:space="preserve">oslēgti 32 līgumi 30,5 milj. </w:t>
      </w:r>
      <w:r w:rsidR="00E50B35">
        <w:rPr>
          <w:rFonts w:ascii="Times New Roman" w:hAnsi="Times New Roman" w:cs="Times New Roman"/>
          <w:sz w:val="28"/>
          <w:szCs w:val="28"/>
        </w:rPr>
        <w:t>LVL</w:t>
      </w:r>
      <w:r w:rsidR="00E50B35" w:rsidRPr="00441801">
        <w:rPr>
          <w:rFonts w:ascii="Times New Roman" w:hAnsi="Times New Roman" w:cs="Times New Roman"/>
          <w:sz w:val="28"/>
          <w:szCs w:val="28"/>
        </w:rPr>
        <w:t xml:space="preserve"> </w:t>
      </w:r>
      <w:r w:rsidRPr="00441801">
        <w:rPr>
          <w:rFonts w:ascii="Times New Roman" w:hAnsi="Times New Roman" w:cs="Times New Roman"/>
          <w:sz w:val="28"/>
          <w:szCs w:val="28"/>
        </w:rPr>
        <w:t>apmērā. „</w:t>
      </w:r>
      <w:r w:rsidRPr="00441801">
        <w:rPr>
          <w:rFonts w:ascii="Times New Roman" w:eastAsia="Calibri" w:hAnsi="Times New Roman" w:cs="Times New Roman"/>
          <w:sz w:val="28"/>
          <w:szCs w:val="28"/>
        </w:rPr>
        <w:t xml:space="preserve">MVU izaugsmes aizdevumu programmas” ietvaros </w:t>
      </w:r>
      <w:r w:rsidRPr="00441801">
        <w:rPr>
          <w:rFonts w:ascii="Times New Roman" w:hAnsi="Times New Roman" w:cs="Times New Roman"/>
          <w:sz w:val="28"/>
          <w:szCs w:val="28"/>
        </w:rPr>
        <w:t xml:space="preserve">līdz 2010.gada 31.decembrim  piešķirti 162 aizdevumi par kopējo summu 8,9 milj. </w:t>
      </w:r>
      <w:r w:rsidR="002717CE">
        <w:rPr>
          <w:rFonts w:ascii="Times New Roman" w:hAnsi="Times New Roman" w:cs="Times New Roman"/>
          <w:sz w:val="28"/>
          <w:szCs w:val="28"/>
        </w:rPr>
        <w:t>LVL</w:t>
      </w:r>
      <w:r w:rsidRPr="00441801">
        <w:rPr>
          <w:rFonts w:ascii="Times New Roman" w:hAnsi="Times New Roman" w:cs="Times New Roman"/>
          <w:sz w:val="28"/>
          <w:szCs w:val="28"/>
        </w:rPr>
        <w:t>.</w:t>
      </w:r>
    </w:p>
    <w:p w:rsidR="00441801" w:rsidRPr="00441801" w:rsidRDefault="004C27F6" w:rsidP="004418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Eiropas Investīciju f</w:t>
      </w:r>
      <w:r w:rsidR="00441801" w:rsidRPr="00441801">
        <w:rPr>
          <w:rFonts w:ascii="Times New Roman" w:hAnsi="Times New Roman" w:cs="Times New Roman"/>
          <w:sz w:val="28"/>
          <w:szCs w:val="28"/>
        </w:rPr>
        <w:t>onds (</w:t>
      </w:r>
      <w:r w:rsidR="002717CE">
        <w:rPr>
          <w:rFonts w:ascii="Times New Roman" w:hAnsi="Times New Roman" w:cs="Times New Roman"/>
          <w:sz w:val="28"/>
          <w:szCs w:val="28"/>
        </w:rPr>
        <w:t xml:space="preserve">turpmāk – </w:t>
      </w:r>
      <w:r w:rsidR="00441801" w:rsidRPr="00441801">
        <w:rPr>
          <w:rFonts w:ascii="Times New Roman" w:hAnsi="Times New Roman" w:cs="Times New Roman"/>
          <w:sz w:val="28"/>
          <w:szCs w:val="28"/>
        </w:rPr>
        <w:t>EIF) turpināja īsteno</w:t>
      </w:r>
      <w:r w:rsidR="0031019A">
        <w:rPr>
          <w:rFonts w:ascii="Times New Roman" w:hAnsi="Times New Roman" w:cs="Times New Roman"/>
          <w:sz w:val="28"/>
          <w:szCs w:val="28"/>
        </w:rPr>
        <w:t xml:space="preserve">t finanšu aizdevumu instrumentu </w:t>
      </w:r>
      <w:r w:rsidR="00441801" w:rsidRPr="00441801">
        <w:rPr>
          <w:rFonts w:ascii="Times New Roman" w:hAnsi="Times New Roman" w:cs="Times New Roman"/>
          <w:sz w:val="28"/>
          <w:szCs w:val="28"/>
        </w:rPr>
        <w:t>„Augsta riska aizdevumu instruments”. 2010</w:t>
      </w:r>
      <w:r w:rsidR="0031019A">
        <w:rPr>
          <w:rFonts w:ascii="Times New Roman" w:hAnsi="Times New Roman" w:cs="Times New Roman"/>
          <w:sz w:val="28"/>
          <w:szCs w:val="28"/>
        </w:rPr>
        <w:t>.gadā tika parakstīti līgumi ar</w:t>
      </w:r>
      <w:r w:rsidR="00441801" w:rsidRPr="00441801">
        <w:rPr>
          <w:rFonts w:ascii="Times New Roman" w:hAnsi="Times New Roman" w:cs="Times New Roman"/>
          <w:sz w:val="28"/>
          <w:szCs w:val="28"/>
        </w:rPr>
        <w:t xml:space="preserve"> A/S „SEB banka” un A/S „</w:t>
      </w:r>
      <w:proofErr w:type="spellStart"/>
      <w:r w:rsidR="00441801" w:rsidRPr="00441801">
        <w:rPr>
          <w:rFonts w:ascii="Times New Roman" w:hAnsi="Times New Roman" w:cs="Times New Roman"/>
          <w:sz w:val="28"/>
          <w:szCs w:val="28"/>
        </w:rPr>
        <w:t>Swedbank</w:t>
      </w:r>
      <w:proofErr w:type="spellEnd"/>
      <w:r w:rsidR="00441801" w:rsidRPr="00441801">
        <w:rPr>
          <w:rFonts w:ascii="Times New Roman" w:hAnsi="Times New Roman" w:cs="Times New Roman"/>
          <w:sz w:val="28"/>
          <w:szCs w:val="28"/>
        </w:rPr>
        <w:t xml:space="preserve">” par finanšu instrumenta ieviešanu. Kopējais uzņēmumiem pieejamais finansējums ieskaitot banku līdzfinansējumu (50%) </w:t>
      </w:r>
      <w:r w:rsidR="003E439C">
        <w:rPr>
          <w:rFonts w:ascii="Times New Roman" w:hAnsi="Times New Roman" w:cs="Times New Roman"/>
          <w:sz w:val="28"/>
          <w:szCs w:val="28"/>
        </w:rPr>
        <w:t>pārsniedza</w:t>
      </w:r>
      <w:r w:rsidR="002717CE">
        <w:rPr>
          <w:rFonts w:ascii="Times New Roman" w:hAnsi="Times New Roman" w:cs="Times New Roman"/>
          <w:sz w:val="28"/>
          <w:szCs w:val="28"/>
        </w:rPr>
        <w:t xml:space="preserve"> 73</w:t>
      </w:r>
      <w:r w:rsidR="00441801" w:rsidRPr="00441801">
        <w:rPr>
          <w:rFonts w:ascii="Times New Roman" w:hAnsi="Times New Roman" w:cs="Times New Roman"/>
          <w:sz w:val="28"/>
          <w:szCs w:val="28"/>
        </w:rPr>
        <w:t xml:space="preserve"> milj</w:t>
      </w:r>
      <w:r w:rsidR="002717CE">
        <w:rPr>
          <w:rFonts w:ascii="Times New Roman" w:hAnsi="Times New Roman" w:cs="Times New Roman"/>
          <w:sz w:val="28"/>
          <w:szCs w:val="28"/>
        </w:rPr>
        <w:t>.</w:t>
      </w:r>
      <w:r w:rsidR="00441801" w:rsidRPr="00441801">
        <w:rPr>
          <w:rFonts w:ascii="Times New Roman" w:hAnsi="Times New Roman" w:cs="Times New Roman"/>
          <w:sz w:val="28"/>
          <w:szCs w:val="28"/>
        </w:rPr>
        <w:t xml:space="preserve"> </w:t>
      </w:r>
      <w:r w:rsidR="002717CE">
        <w:rPr>
          <w:rFonts w:ascii="Times New Roman" w:hAnsi="Times New Roman" w:cs="Times New Roman"/>
          <w:sz w:val="28"/>
          <w:szCs w:val="28"/>
        </w:rPr>
        <w:t>LVL</w:t>
      </w:r>
      <w:r w:rsidR="00441801" w:rsidRPr="00441801">
        <w:rPr>
          <w:rFonts w:ascii="Times New Roman" w:hAnsi="Times New Roman" w:cs="Times New Roman"/>
          <w:sz w:val="28"/>
          <w:szCs w:val="28"/>
        </w:rPr>
        <w:t xml:space="preserve">. Līdz 2010.gada beigām augsta riska aizdevumu instrumenta ietvaros kopumā ir izsniegti 3 aizdevumi par kopējo summu </w:t>
      </w:r>
      <w:r w:rsidR="002717CE">
        <w:rPr>
          <w:rFonts w:ascii="Times New Roman" w:hAnsi="Times New Roman" w:cs="Times New Roman"/>
          <w:sz w:val="28"/>
          <w:szCs w:val="28"/>
        </w:rPr>
        <w:t>0,98</w:t>
      </w:r>
      <w:r w:rsidR="00441801" w:rsidRPr="00441801">
        <w:rPr>
          <w:rFonts w:ascii="Times New Roman" w:hAnsi="Times New Roman" w:cs="Times New Roman"/>
          <w:sz w:val="28"/>
          <w:szCs w:val="28"/>
        </w:rPr>
        <w:t xml:space="preserve">  milj</w:t>
      </w:r>
      <w:r w:rsidR="002717CE">
        <w:rPr>
          <w:rFonts w:ascii="Times New Roman" w:hAnsi="Times New Roman" w:cs="Times New Roman"/>
          <w:sz w:val="28"/>
          <w:szCs w:val="28"/>
        </w:rPr>
        <w:t>.</w:t>
      </w:r>
      <w:r w:rsidR="00441801" w:rsidRPr="00441801">
        <w:rPr>
          <w:rFonts w:ascii="Times New Roman" w:hAnsi="Times New Roman" w:cs="Times New Roman"/>
          <w:sz w:val="28"/>
          <w:szCs w:val="28"/>
        </w:rPr>
        <w:t xml:space="preserve"> </w:t>
      </w:r>
      <w:r w:rsidR="002717CE">
        <w:rPr>
          <w:rFonts w:ascii="Times New Roman" w:hAnsi="Times New Roman" w:cs="Times New Roman"/>
          <w:sz w:val="28"/>
          <w:szCs w:val="28"/>
        </w:rPr>
        <w:t>LVL</w:t>
      </w:r>
      <w:r w:rsidR="00441801" w:rsidRPr="00441801">
        <w:rPr>
          <w:rFonts w:ascii="Times New Roman" w:hAnsi="Times New Roman" w:cs="Times New Roman"/>
          <w:sz w:val="28"/>
          <w:szCs w:val="28"/>
        </w:rPr>
        <w:t>. Papildus sadarbībā ar EIF 2010.gadā tika izstrādāti priekšlikumi atbalsta instrumenta nosacījumu pilnveidošanai, kas paredz grozīt instrumenta maksimālo aizdevuma apjomu</w:t>
      </w:r>
      <w:r w:rsidR="002717CE">
        <w:rPr>
          <w:rFonts w:ascii="Times New Roman" w:hAnsi="Times New Roman" w:cs="Times New Roman"/>
          <w:sz w:val="28"/>
          <w:szCs w:val="28"/>
        </w:rPr>
        <w:t xml:space="preserve"> un</w:t>
      </w:r>
      <w:r w:rsidR="00441801" w:rsidRPr="00441801">
        <w:rPr>
          <w:rFonts w:ascii="Times New Roman" w:hAnsi="Times New Roman" w:cs="Times New Roman"/>
          <w:sz w:val="28"/>
          <w:szCs w:val="28"/>
        </w:rPr>
        <w:t xml:space="preserve"> termiņu, kā arī atvieglot nosacījumus attiecībā uz banku vērtēšanas procedūras riska klasēm, lai veicinātu aizdevumu izsniegšanu. </w:t>
      </w:r>
    </w:p>
    <w:p w:rsidR="00441801" w:rsidRPr="00441801" w:rsidRDefault="00441801" w:rsidP="00441801">
      <w:pPr>
        <w:spacing w:after="0" w:line="240" w:lineRule="auto"/>
        <w:ind w:firstLine="720"/>
        <w:jc w:val="both"/>
        <w:rPr>
          <w:rFonts w:ascii="Times New Roman" w:hAnsi="Times New Roman" w:cs="Times New Roman"/>
          <w:sz w:val="28"/>
          <w:szCs w:val="28"/>
        </w:rPr>
      </w:pPr>
      <w:r w:rsidRPr="00441801">
        <w:rPr>
          <w:rFonts w:ascii="Times New Roman" w:hAnsi="Times New Roman" w:cs="Times New Roman"/>
          <w:sz w:val="28"/>
          <w:szCs w:val="28"/>
        </w:rPr>
        <w:t xml:space="preserve">EIF </w:t>
      </w:r>
      <w:r w:rsidR="003E439C">
        <w:rPr>
          <w:rFonts w:ascii="Times New Roman" w:hAnsi="Times New Roman" w:cs="Times New Roman"/>
          <w:sz w:val="28"/>
          <w:szCs w:val="28"/>
        </w:rPr>
        <w:t>2010.gadā</w:t>
      </w:r>
      <w:r w:rsidR="003E439C" w:rsidRPr="00441801">
        <w:rPr>
          <w:rFonts w:ascii="Times New Roman" w:hAnsi="Times New Roman" w:cs="Times New Roman"/>
          <w:sz w:val="28"/>
          <w:szCs w:val="28"/>
        </w:rPr>
        <w:t xml:space="preserve"> </w:t>
      </w:r>
      <w:r w:rsidRPr="00441801">
        <w:rPr>
          <w:rFonts w:ascii="Times New Roman" w:hAnsi="Times New Roman" w:cs="Times New Roman"/>
          <w:sz w:val="28"/>
          <w:szCs w:val="28"/>
        </w:rPr>
        <w:t>parakstīja līgumu ar riska kapitāla fonda ieviesēju „</w:t>
      </w:r>
      <w:proofErr w:type="spellStart"/>
      <w:r w:rsidRPr="00441801">
        <w:rPr>
          <w:rFonts w:ascii="Times New Roman" w:hAnsi="Times New Roman" w:cs="Times New Roman"/>
          <w:sz w:val="28"/>
          <w:szCs w:val="28"/>
        </w:rPr>
        <w:t>BaltCap</w:t>
      </w:r>
      <w:proofErr w:type="spellEnd"/>
      <w:r w:rsidRPr="00441801">
        <w:rPr>
          <w:rFonts w:ascii="Times New Roman" w:hAnsi="Times New Roman" w:cs="Times New Roman"/>
          <w:sz w:val="28"/>
          <w:szCs w:val="28"/>
        </w:rPr>
        <w:t xml:space="preserve"> </w:t>
      </w:r>
      <w:proofErr w:type="spellStart"/>
      <w:r w:rsidRPr="00441801">
        <w:rPr>
          <w:rFonts w:ascii="Times New Roman" w:hAnsi="Times New Roman" w:cs="Times New Roman"/>
          <w:sz w:val="28"/>
          <w:szCs w:val="28"/>
        </w:rPr>
        <w:t>Management</w:t>
      </w:r>
      <w:proofErr w:type="spellEnd"/>
      <w:r w:rsidRPr="00441801">
        <w:rPr>
          <w:rFonts w:ascii="Times New Roman" w:hAnsi="Times New Roman" w:cs="Times New Roman"/>
          <w:sz w:val="28"/>
          <w:szCs w:val="28"/>
        </w:rPr>
        <w:t xml:space="preserve"> </w:t>
      </w:r>
      <w:proofErr w:type="spellStart"/>
      <w:r w:rsidRPr="00441801">
        <w:rPr>
          <w:rFonts w:ascii="Times New Roman" w:hAnsi="Times New Roman" w:cs="Times New Roman"/>
          <w:sz w:val="28"/>
          <w:szCs w:val="28"/>
        </w:rPr>
        <w:t>Latvia</w:t>
      </w:r>
      <w:proofErr w:type="spellEnd"/>
      <w:r w:rsidRPr="00441801">
        <w:rPr>
          <w:rFonts w:ascii="Times New Roman" w:hAnsi="Times New Roman" w:cs="Times New Roman"/>
          <w:sz w:val="28"/>
          <w:szCs w:val="28"/>
        </w:rPr>
        <w:t xml:space="preserve">”. Izveidotajam fondam investīcijām tika novirzīti </w:t>
      </w:r>
      <w:r w:rsidR="002717CE">
        <w:rPr>
          <w:rFonts w:ascii="Times New Roman" w:hAnsi="Times New Roman" w:cs="Times New Roman"/>
          <w:sz w:val="28"/>
          <w:szCs w:val="28"/>
        </w:rPr>
        <w:t>vairāk kā</w:t>
      </w:r>
      <w:r w:rsidR="002717CE" w:rsidRPr="00441801">
        <w:rPr>
          <w:rFonts w:ascii="Times New Roman" w:hAnsi="Times New Roman" w:cs="Times New Roman"/>
          <w:sz w:val="28"/>
          <w:szCs w:val="28"/>
        </w:rPr>
        <w:t xml:space="preserve"> </w:t>
      </w:r>
      <w:r w:rsidR="002717CE">
        <w:rPr>
          <w:rFonts w:ascii="Times New Roman" w:hAnsi="Times New Roman" w:cs="Times New Roman"/>
          <w:sz w:val="28"/>
          <w:szCs w:val="28"/>
        </w:rPr>
        <w:t>21</w:t>
      </w:r>
      <w:r w:rsidR="00740509">
        <w:rPr>
          <w:rFonts w:ascii="Times New Roman" w:hAnsi="Times New Roman" w:cs="Times New Roman"/>
          <w:sz w:val="28"/>
          <w:szCs w:val="28"/>
        </w:rPr>
        <w:t xml:space="preserve"> </w:t>
      </w:r>
      <w:r w:rsidRPr="00441801">
        <w:rPr>
          <w:rFonts w:ascii="Times New Roman" w:hAnsi="Times New Roman" w:cs="Times New Roman"/>
          <w:sz w:val="28"/>
          <w:szCs w:val="28"/>
        </w:rPr>
        <w:t xml:space="preserve">milj. </w:t>
      </w:r>
      <w:r w:rsidR="002717CE">
        <w:rPr>
          <w:rFonts w:ascii="Times New Roman" w:hAnsi="Times New Roman" w:cs="Times New Roman"/>
          <w:sz w:val="28"/>
          <w:szCs w:val="28"/>
        </w:rPr>
        <w:t>LVL</w:t>
      </w:r>
      <w:r w:rsidRPr="00441801">
        <w:rPr>
          <w:rFonts w:ascii="Times New Roman" w:hAnsi="Times New Roman" w:cs="Times New Roman"/>
          <w:sz w:val="28"/>
          <w:szCs w:val="28"/>
        </w:rPr>
        <w:t>, ieskaitot piesaistīto privāto līdzfinansējumu. „</w:t>
      </w:r>
      <w:proofErr w:type="spellStart"/>
      <w:r w:rsidRPr="00441801">
        <w:rPr>
          <w:rFonts w:ascii="Times New Roman" w:hAnsi="Times New Roman" w:cs="Times New Roman"/>
          <w:sz w:val="28"/>
          <w:szCs w:val="28"/>
        </w:rPr>
        <w:t>BaltCap</w:t>
      </w:r>
      <w:proofErr w:type="spellEnd"/>
      <w:r w:rsidRPr="00441801">
        <w:rPr>
          <w:rFonts w:ascii="Times New Roman" w:hAnsi="Times New Roman" w:cs="Times New Roman"/>
          <w:sz w:val="28"/>
          <w:szCs w:val="28"/>
        </w:rPr>
        <w:t xml:space="preserve"> </w:t>
      </w:r>
      <w:proofErr w:type="spellStart"/>
      <w:r w:rsidRPr="00441801">
        <w:rPr>
          <w:rFonts w:ascii="Times New Roman" w:hAnsi="Times New Roman" w:cs="Times New Roman"/>
          <w:sz w:val="28"/>
          <w:szCs w:val="28"/>
        </w:rPr>
        <w:t>Management</w:t>
      </w:r>
      <w:proofErr w:type="spellEnd"/>
      <w:r w:rsidRPr="00441801">
        <w:rPr>
          <w:rFonts w:ascii="Times New Roman" w:hAnsi="Times New Roman" w:cs="Times New Roman"/>
          <w:sz w:val="28"/>
          <w:szCs w:val="28"/>
        </w:rPr>
        <w:t xml:space="preserve"> </w:t>
      </w:r>
      <w:proofErr w:type="spellStart"/>
      <w:r w:rsidRPr="00441801">
        <w:rPr>
          <w:rFonts w:ascii="Times New Roman" w:hAnsi="Times New Roman" w:cs="Times New Roman"/>
          <w:sz w:val="28"/>
          <w:szCs w:val="28"/>
        </w:rPr>
        <w:t>Latvia</w:t>
      </w:r>
      <w:proofErr w:type="spellEnd"/>
      <w:r w:rsidRPr="00441801">
        <w:rPr>
          <w:rFonts w:ascii="Times New Roman" w:hAnsi="Times New Roman" w:cs="Times New Roman"/>
          <w:sz w:val="28"/>
          <w:szCs w:val="28"/>
        </w:rPr>
        <w:t xml:space="preserve">” </w:t>
      </w:r>
      <w:r w:rsidR="003E439C" w:rsidRPr="00441801">
        <w:rPr>
          <w:rFonts w:ascii="Times New Roman" w:hAnsi="Times New Roman" w:cs="Times New Roman"/>
          <w:sz w:val="28"/>
          <w:szCs w:val="28"/>
        </w:rPr>
        <w:t xml:space="preserve">2010.gadā </w:t>
      </w:r>
      <w:r w:rsidRPr="00441801">
        <w:rPr>
          <w:rFonts w:ascii="Times New Roman" w:hAnsi="Times New Roman" w:cs="Times New Roman"/>
          <w:sz w:val="28"/>
          <w:szCs w:val="28"/>
        </w:rPr>
        <w:t>ir veicis 2 investīcijas  1,</w:t>
      </w:r>
      <w:r w:rsidR="002717CE">
        <w:rPr>
          <w:rFonts w:ascii="Times New Roman" w:hAnsi="Times New Roman" w:cs="Times New Roman"/>
          <w:sz w:val="28"/>
          <w:szCs w:val="28"/>
        </w:rPr>
        <w:t>23</w:t>
      </w:r>
      <w:r w:rsidR="002717CE" w:rsidRPr="00441801">
        <w:rPr>
          <w:rFonts w:ascii="Times New Roman" w:hAnsi="Times New Roman" w:cs="Times New Roman"/>
          <w:sz w:val="28"/>
          <w:szCs w:val="28"/>
        </w:rPr>
        <w:t xml:space="preserve"> milj</w:t>
      </w:r>
      <w:r w:rsidR="002717CE">
        <w:rPr>
          <w:rFonts w:ascii="Times New Roman" w:hAnsi="Times New Roman" w:cs="Times New Roman"/>
          <w:sz w:val="28"/>
          <w:szCs w:val="28"/>
        </w:rPr>
        <w:t>.</w:t>
      </w:r>
      <w:r w:rsidR="002717CE" w:rsidRPr="00441801">
        <w:rPr>
          <w:rFonts w:ascii="Times New Roman" w:hAnsi="Times New Roman" w:cs="Times New Roman"/>
          <w:sz w:val="28"/>
          <w:szCs w:val="28"/>
        </w:rPr>
        <w:t xml:space="preserve"> </w:t>
      </w:r>
      <w:r w:rsidR="002717CE">
        <w:rPr>
          <w:rFonts w:ascii="Times New Roman" w:hAnsi="Times New Roman" w:cs="Times New Roman"/>
          <w:sz w:val="28"/>
          <w:szCs w:val="28"/>
        </w:rPr>
        <w:t>LVL</w:t>
      </w:r>
      <w:r w:rsidR="002717CE" w:rsidRPr="00441801">
        <w:rPr>
          <w:rFonts w:ascii="Times New Roman" w:hAnsi="Times New Roman" w:cs="Times New Roman"/>
          <w:sz w:val="28"/>
          <w:szCs w:val="28"/>
        </w:rPr>
        <w:t xml:space="preserve"> </w:t>
      </w:r>
      <w:r w:rsidRPr="00441801">
        <w:rPr>
          <w:rFonts w:ascii="Times New Roman" w:hAnsi="Times New Roman" w:cs="Times New Roman"/>
          <w:sz w:val="28"/>
          <w:szCs w:val="28"/>
        </w:rPr>
        <w:t>apmērā.  Tāpat 2010.gadā tika parakstīts līgums ar „</w:t>
      </w:r>
      <w:proofErr w:type="spellStart"/>
      <w:r w:rsidRPr="00441801">
        <w:rPr>
          <w:rFonts w:ascii="Times New Roman" w:hAnsi="Times New Roman" w:cs="Times New Roman"/>
          <w:sz w:val="28"/>
          <w:szCs w:val="28"/>
        </w:rPr>
        <w:t>Imprimatur</w:t>
      </w:r>
      <w:proofErr w:type="spellEnd"/>
      <w:r w:rsidRPr="00441801">
        <w:rPr>
          <w:rFonts w:ascii="Times New Roman" w:hAnsi="Times New Roman" w:cs="Times New Roman"/>
          <w:sz w:val="28"/>
          <w:szCs w:val="28"/>
        </w:rPr>
        <w:t xml:space="preserve"> </w:t>
      </w:r>
      <w:proofErr w:type="spellStart"/>
      <w:r w:rsidRPr="00441801">
        <w:rPr>
          <w:rFonts w:ascii="Times New Roman" w:hAnsi="Times New Roman" w:cs="Times New Roman"/>
          <w:sz w:val="28"/>
          <w:szCs w:val="28"/>
        </w:rPr>
        <w:t>Capital</w:t>
      </w:r>
      <w:proofErr w:type="spellEnd"/>
      <w:r w:rsidRPr="00441801">
        <w:rPr>
          <w:rFonts w:ascii="Times New Roman" w:hAnsi="Times New Roman" w:cs="Times New Roman"/>
          <w:sz w:val="28"/>
          <w:szCs w:val="28"/>
        </w:rPr>
        <w:t xml:space="preserve"> </w:t>
      </w:r>
      <w:proofErr w:type="spellStart"/>
      <w:r w:rsidRPr="00441801">
        <w:rPr>
          <w:rFonts w:ascii="Times New Roman" w:hAnsi="Times New Roman" w:cs="Times New Roman"/>
          <w:sz w:val="28"/>
          <w:szCs w:val="28"/>
        </w:rPr>
        <w:t>Baltics</w:t>
      </w:r>
      <w:proofErr w:type="spellEnd"/>
      <w:r w:rsidRPr="00441801">
        <w:rPr>
          <w:rFonts w:ascii="Times New Roman" w:hAnsi="Times New Roman" w:cs="Times New Roman"/>
          <w:sz w:val="28"/>
          <w:szCs w:val="28"/>
        </w:rPr>
        <w:t xml:space="preserve">” kā sēklas kapitāla un uzsākšanas kapitāla fonda instrumenta ieviesēju. Kopējais abu fondu ietvaros pieejamais finansējums ir </w:t>
      </w:r>
      <w:r w:rsidR="0052434A">
        <w:rPr>
          <w:rFonts w:ascii="Times New Roman" w:hAnsi="Times New Roman" w:cs="Times New Roman"/>
          <w:sz w:val="28"/>
          <w:szCs w:val="28"/>
        </w:rPr>
        <w:t>14,38</w:t>
      </w:r>
      <w:r w:rsidRPr="00441801">
        <w:rPr>
          <w:rFonts w:ascii="Times New Roman" w:hAnsi="Times New Roman" w:cs="Times New Roman"/>
          <w:sz w:val="28"/>
          <w:szCs w:val="28"/>
        </w:rPr>
        <w:t xml:space="preserve"> milj. </w:t>
      </w:r>
      <w:r w:rsidR="0052434A">
        <w:rPr>
          <w:rFonts w:ascii="Times New Roman" w:hAnsi="Times New Roman" w:cs="Times New Roman"/>
          <w:sz w:val="28"/>
          <w:szCs w:val="28"/>
        </w:rPr>
        <w:t>LVL</w:t>
      </w:r>
      <w:r w:rsidRPr="00441801">
        <w:rPr>
          <w:rFonts w:ascii="Times New Roman" w:hAnsi="Times New Roman" w:cs="Times New Roman"/>
          <w:sz w:val="28"/>
          <w:szCs w:val="28"/>
        </w:rPr>
        <w:t>. 2010.gada laikā „</w:t>
      </w:r>
      <w:proofErr w:type="spellStart"/>
      <w:r w:rsidRPr="00441801">
        <w:rPr>
          <w:rFonts w:ascii="Times New Roman" w:hAnsi="Times New Roman" w:cs="Times New Roman"/>
          <w:sz w:val="28"/>
          <w:szCs w:val="28"/>
        </w:rPr>
        <w:t>Imprimatur</w:t>
      </w:r>
      <w:proofErr w:type="spellEnd"/>
      <w:r w:rsidRPr="00441801">
        <w:rPr>
          <w:rFonts w:ascii="Times New Roman" w:hAnsi="Times New Roman" w:cs="Times New Roman"/>
          <w:sz w:val="28"/>
          <w:szCs w:val="28"/>
        </w:rPr>
        <w:t xml:space="preserve"> </w:t>
      </w:r>
      <w:proofErr w:type="spellStart"/>
      <w:r w:rsidRPr="00441801">
        <w:rPr>
          <w:rFonts w:ascii="Times New Roman" w:hAnsi="Times New Roman" w:cs="Times New Roman"/>
          <w:sz w:val="28"/>
          <w:szCs w:val="28"/>
        </w:rPr>
        <w:t>Capital</w:t>
      </w:r>
      <w:proofErr w:type="spellEnd"/>
      <w:r w:rsidRPr="00441801">
        <w:rPr>
          <w:rFonts w:ascii="Times New Roman" w:hAnsi="Times New Roman" w:cs="Times New Roman"/>
          <w:sz w:val="28"/>
          <w:szCs w:val="28"/>
        </w:rPr>
        <w:t xml:space="preserve"> </w:t>
      </w:r>
      <w:proofErr w:type="spellStart"/>
      <w:r w:rsidRPr="00441801">
        <w:rPr>
          <w:rFonts w:ascii="Times New Roman" w:hAnsi="Times New Roman" w:cs="Times New Roman"/>
          <w:sz w:val="28"/>
          <w:szCs w:val="28"/>
        </w:rPr>
        <w:t>Baltics</w:t>
      </w:r>
      <w:proofErr w:type="spellEnd"/>
      <w:r w:rsidRPr="00441801">
        <w:rPr>
          <w:rFonts w:ascii="Times New Roman" w:hAnsi="Times New Roman" w:cs="Times New Roman"/>
          <w:sz w:val="28"/>
          <w:szCs w:val="28"/>
        </w:rPr>
        <w:t xml:space="preserve">” ir veicis kopumā 3 sēklas kapitāla investīcijas </w:t>
      </w:r>
      <w:r w:rsidR="00740509">
        <w:rPr>
          <w:rFonts w:ascii="Times New Roman" w:hAnsi="Times New Roman" w:cs="Times New Roman"/>
          <w:sz w:val="28"/>
          <w:szCs w:val="28"/>
        </w:rPr>
        <w:t>0,21 milj</w:t>
      </w:r>
      <w:r w:rsidR="0052434A">
        <w:rPr>
          <w:rFonts w:ascii="Times New Roman" w:hAnsi="Times New Roman" w:cs="Times New Roman"/>
          <w:sz w:val="28"/>
          <w:szCs w:val="28"/>
        </w:rPr>
        <w:t>.</w:t>
      </w:r>
      <w:r w:rsidRPr="00441801">
        <w:rPr>
          <w:rFonts w:ascii="Times New Roman" w:hAnsi="Times New Roman" w:cs="Times New Roman"/>
          <w:sz w:val="28"/>
          <w:szCs w:val="28"/>
        </w:rPr>
        <w:t xml:space="preserve"> </w:t>
      </w:r>
      <w:r w:rsidR="0052434A">
        <w:rPr>
          <w:rFonts w:ascii="Times New Roman" w:hAnsi="Times New Roman" w:cs="Times New Roman"/>
          <w:sz w:val="28"/>
          <w:szCs w:val="28"/>
        </w:rPr>
        <w:t>LVL</w:t>
      </w:r>
      <w:r w:rsidR="0052434A" w:rsidRPr="00441801">
        <w:rPr>
          <w:rFonts w:ascii="Times New Roman" w:hAnsi="Times New Roman" w:cs="Times New Roman"/>
          <w:sz w:val="28"/>
          <w:szCs w:val="28"/>
        </w:rPr>
        <w:t xml:space="preserve"> </w:t>
      </w:r>
      <w:r w:rsidRPr="00441801">
        <w:rPr>
          <w:rFonts w:ascii="Times New Roman" w:hAnsi="Times New Roman" w:cs="Times New Roman"/>
          <w:sz w:val="28"/>
          <w:szCs w:val="28"/>
        </w:rPr>
        <w:t>apmērā.</w:t>
      </w:r>
    </w:p>
    <w:p w:rsidR="00DC171F" w:rsidRDefault="00297E64" w:rsidP="007B73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2010.gadā tika turpināta kredītu garantiju, t.sk. eksporta kredītu garantiju izsniegšana komersantiem Latvijas Garantiju aģentūras administ</w:t>
      </w:r>
      <w:r w:rsidR="00441801">
        <w:rPr>
          <w:rFonts w:ascii="Times New Roman" w:hAnsi="Times New Roman" w:cs="Times New Roman"/>
          <w:sz w:val="28"/>
          <w:szCs w:val="28"/>
        </w:rPr>
        <w:t xml:space="preserve">rētajā valsts atbalsta programmā. </w:t>
      </w:r>
      <w:r>
        <w:rPr>
          <w:rFonts w:ascii="Times New Roman" w:hAnsi="Times New Roman" w:cs="Times New Roman"/>
          <w:sz w:val="28"/>
          <w:szCs w:val="28"/>
        </w:rPr>
        <w:t xml:space="preserve">Kopumā 2010.gadā </w:t>
      </w:r>
      <w:r w:rsidR="003E439C">
        <w:rPr>
          <w:rFonts w:ascii="Times New Roman" w:hAnsi="Times New Roman" w:cs="Times New Roman"/>
          <w:sz w:val="28"/>
          <w:szCs w:val="28"/>
        </w:rPr>
        <w:t>k</w:t>
      </w:r>
      <w:r w:rsidRPr="00297E64">
        <w:rPr>
          <w:rFonts w:ascii="Times New Roman" w:hAnsi="Times New Roman" w:cs="Times New Roman"/>
          <w:sz w:val="28"/>
          <w:szCs w:val="28"/>
        </w:rPr>
        <w:t>redītu garantiju programmas ietvaros</w:t>
      </w:r>
      <w:r>
        <w:rPr>
          <w:rFonts w:ascii="Times New Roman" w:hAnsi="Times New Roman" w:cs="Times New Roman"/>
          <w:sz w:val="28"/>
          <w:szCs w:val="28"/>
        </w:rPr>
        <w:t xml:space="preserve"> tika saņemti 120 uzņēmumu pieteikumi 68,8 milj. LVL apmērā, bet garantijas </w:t>
      </w:r>
      <w:r w:rsidR="00DC171F">
        <w:rPr>
          <w:rFonts w:ascii="Times New Roman" w:hAnsi="Times New Roman" w:cs="Times New Roman"/>
          <w:sz w:val="28"/>
          <w:szCs w:val="28"/>
        </w:rPr>
        <w:t xml:space="preserve">par kopējo garantiju apjomu 33 milj. LVL </w:t>
      </w:r>
      <w:r>
        <w:rPr>
          <w:rFonts w:ascii="Times New Roman" w:hAnsi="Times New Roman" w:cs="Times New Roman"/>
          <w:sz w:val="28"/>
          <w:szCs w:val="28"/>
        </w:rPr>
        <w:t xml:space="preserve">tika izsniegtas 87 </w:t>
      </w:r>
      <w:r w:rsidR="003E439C">
        <w:rPr>
          <w:rFonts w:ascii="Times New Roman" w:hAnsi="Times New Roman" w:cs="Times New Roman"/>
          <w:sz w:val="28"/>
          <w:szCs w:val="28"/>
        </w:rPr>
        <w:t>komersantiem</w:t>
      </w:r>
      <w:r>
        <w:rPr>
          <w:rFonts w:ascii="Times New Roman" w:hAnsi="Times New Roman" w:cs="Times New Roman"/>
          <w:sz w:val="28"/>
          <w:szCs w:val="28"/>
        </w:rPr>
        <w:t>.</w:t>
      </w:r>
      <w:r w:rsidR="00B872DC">
        <w:rPr>
          <w:rFonts w:ascii="Times New Roman" w:hAnsi="Times New Roman" w:cs="Times New Roman"/>
          <w:sz w:val="28"/>
          <w:szCs w:val="28"/>
        </w:rPr>
        <w:t xml:space="preserve"> G</w:t>
      </w:r>
      <w:r w:rsidR="00DC171F">
        <w:rPr>
          <w:rFonts w:ascii="Times New Roman" w:hAnsi="Times New Roman" w:cs="Times New Roman"/>
          <w:sz w:val="28"/>
          <w:szCs w:val="28"/>
        </w:rPr>
        <w:t>arantēto kredītu apjoms 2010.gadā sasniedza 65,2 milj. LVL.</w:t>
      </w:r>
    </w:p>
    <w:p w:rsidR="001272C8" w:rsidRDefault="00DC171F" w:rsidP="00DC171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E</w:t>
      </w:r>
      <w:r w:rsidRPr="00455462">
        <w:rPr>
          <w:rFonts w:ascii="Times New Roman" w:hAnsi="Times New Roman" w:cs="Times New Roman"/>
          <w:sz w:val="28"/>
          <w:szCs w:val="28"/>
        </w:rPr>
        <w:t>ksporta kredītu garantiju programmas ietvaros</w:t>
      </w:r>
      <w:r>
        <w:rPr>
          <w:rFonts w:ascii="Times New Roman" w:hAnsi="Times New Roman" w:cs="Times New Roman"/>
          <w:sz w:val="28"/>
          <w:szCs w:val="28"/>
        </w:rPr>
        <w:t xml:space="preserve"> 2010.gadā tika saņemti 64 darījumu pieteikumi un eksporta kredītu garantijas izsniegta</w:t>
      </w:r>
      <w:r w:rsidR="005B54E6">
        <w:rPr>
          <w:rFonts w:ascii="Times New Roman" w:hAnsi="Times New Roman" w:cs="Times New Roman"/>
          <w:sz w:val="28"/>
          <w:szCs w:val="28"/>
        </w:rPr>
        <w:t>s 14</w:t>
      </w:r>
      <w:r>
        <w:rPr>
          <w:rFonts w:ascii="Times New Roman" w:hAnsi="Times New Roman" w:cs="Times New Roman"/>
          <w:sz w:val="28"/>
          <w:szCs w:val="28"/>
        </w:rPr>
        <w:t xml:space="preserve"> komersantiem</w:t>
      </w:r>
      <w:r w:rsidR="00FA4C06">
        <w:rPr>
          <w:rFonts w:ascii="Times New Roman" w:hAnsi="Times New Roman" w:cs="Times New Roman"/>
          <w:sz w:val="28"/>
          <w:szCs w:val="28"/>
        </w:rPr>
        <w:t xml:space="preserve"> par kopējo finansējuma apjomu </w:t>
      </w:r>
      <w:r w:rsidR="00405B2E">
        <w:rPr>
          <w:rFonts w:ascii="Times New Roman" w:hAnsi="Times New Roman" w:cs="Times New Roman"/>
          <w:sz w:val="28"/>
          <w:szCs w:val="28"/>
        </w:rPr>
        <w:t xml:space="preserve">– </w:t>
      </w:r>
      <w:r w:rsidR="006A55E1">
        <w:rPr>
          <w:rFonts w:ascii="Times New Roman" w:hAnsi="Times New Roman" w:cs="Times New Roman"/>
          <w:sz w:val="28"/>
          <w:szCs w:val="28"/>
        </w:rPr>
        <w:t>1,7</w:t>
      </w:r>
      <w:r>
        <w:rPr>
          <w:rFonts w:ascii="Times New Roman" w:hAnsi="Times New Roman" w:cs="Times New Roman"/>
          <w:sz w:val="28"/>
          <w:szCs w:val="28"/>
        </w:rPr>
        <w:t xml:space="preserve"> milj. LVL. </w:t>
      </w:r>
      <w:r w:rsidRPr="00455462">
        <w:rPr>
          <w:rFonts w:ascii="Times New Roman" w:hAnsi="Times New Roman" w:cs="Times New Roman"/>
          <w:sz w:val="28"/>
          <w:szCs w:val="28"/>
        </w:rPr>
        <w:t>Visi uzņēmumi ar kuriem noslēgti līgumi pārstāv apstrādes rūpniecību (sakaru iekārtu ražošana</w:t>
      </w:r>
      <w:r w:rsidR="0052434A">
        <w:rPr>
          <w:rFonts w:ascii="Times New Roman" w:hAnsi="Times New Roman" w:cs="Times New Roman"/>
          <w:sz w:val="28"/>
          <w:szCs w:val="28"/>
        </w:rPr>
        <w:t>,</w:t>
      </w:r>
      <w:r w:rsidRPr="00455462">
        <w:rPr>
          <w:rFonts w:ascii="Times New Roman" w:hAnsi="Times New Roman" w:cs="Times New Roman"/>
          <w:sz w:val="28"/>
          <w:szCs w:val="28"/>
        </w:rPr>
        <w:t xml:space="preserve"> sadzīves elektroiekārtu ražošana</w:t>
      </w:r>
      <w:r w:rsidR="0052434A">
        <w:rPr>
          <w:rFonts w:ascii="Times New Roman" w:hAnsi="Times New Roman" w:cs="Times New Roman"/>
          <w:sz w:val="28"/>
          <w:szCs w:val="28"/>
        </w:rPr>
        <w:t>,</w:t>
      </w:r>
      <w:r w:rsidRPr="00455462">
        <w:rPr>
          <w:rFonts w:ascii="Times New Roman" w:hAnsi="Times New Roman" w:cs="Times New Roman"/>
          <w:sz w:val="28"/>
          <w:szCs w:val="28"/>
        </w:rPr>
        <w:t xml:space="preserve"> finiera lokšņu un koka paneļu ražošana</w:t>
      </w:r>
      <w:r w:rsidR="0052434A">
        <w:rPr>
          <w:rFonts w:ascii="Times New Roman" w:hAnsi="Times New Roman" w:cs="Times New Roman"/>
          <w:sz w:val="28"/>
          <w:szCs w:val="28"/>
        </w:rPr>
        <w:t>,</w:t>
      </w:r>
      <w:r w:rsidRPr="00455462">
        <w:rPr>
          <w:rFonts w:ascii="Times New Roman" w:hAnsi="Times New Roman" w:cs="Times New Roman"/>
          <w:sz w:val="28"/>
          <w:szCs w:val="28"/>
        </w:rPr>
        <w:t xml:space="preserve"> ziepju, mazgāšanas, tīrīšanas un spodrināšanas līdzekļu ražošana</w:t>
      </w:r>
      <w:r w:rsidR="0052434A">
        <w:rPr>
          <w:rFonts w:ascii="Times New Roman" w:hAnsi="Times New Roman" w:cs="Times New Roman"/>
          <w:sz w:val="28"/>
          <w:szCs w:val="28"/>
        </w:rPr>
        <w:t>,</w:t>
      </w:r>
      <w:r w:rsidRPr="00455462">
        <w:rPr>
          <w:rFonts w:ascii="Times New Roman" w:hAnsi="Times New Roman" w:cs="Times New Roman"/>
          <w:sz w:val="28"/>
          <w:szCs w:val="28"/>
        </w:rPr>
        <w:t xml:space="preserve"> pārtikas produktu ražošana).</w:t>
      </w:r>
    </w:p>
    <w:p w:rsidR="00DC171F" w:rsidRPr="00DC171F" w:rsidRDefault="00DC171F" w:rsidP="00DC171F">
      <w:pPr>
        <w:spacing w:after="0" w:line="240" w:lineRule="auto"/>
        <w:ind w:firstLine="720"/>
        <w:jc w:val="both"/>
        <w:rPr>
          <w:rFonts w:ascii="Times New Roman" w:hAnsi="Times New Roman" w:cs="Times New Roman"/>
          <w:sz w:val="28"/>
          <w:szCs w:val="28"/>
        </w:rPr>
      </w:pPr>
    </w:p>
    <w:p w:rsidR="004130BC" w:rsidRDefault="004130BC" w:rsidP="00B85B1F">
      <w:pPr>
        <w:pStyle w:val="ListParagraph"/>
        <w:numPr>
          <w:ilvl w:val="1"/>
          <w:numId w:val="8"/>
        </w:numPr>
        <w:spacing w:after="0" w:line="240" w:lineRule="auto"/>
        <w:ind w:left="709" w:hanging="709"/>
        <w:jc w:val="both"/>
        <w:rPr>
          <w:rFonts w:ascii="Times New Roman" w:hAnsi="Times New Roman" w:cs="Times New Roman"/>
          <w:b/>
          <w:sz w:val="28"/>
          <w:szCs w:val="28"/>
        </w:rPr>
      </w:pPr>
      <w:r w:rsidRPr="004130BC">
        <w:rPr>
          <w:rFonts w:ascii="Times New Roman" w:hAnsi="Times New Roman" w:cs="Times New Roman"/>
          <w:b/>
          <w:sz w:val="28"/>
          <w:szCs w:val="28"/>
        </w:rPr>
        <w:t xml:space="preserve">Jaunu komercdarbības iniciatīvu attīstība un to konkurētspējas veicināšana, </w:t>
      </w:r>
      <w:r>
        <w:rPr>
          <w:rFonts w:ascii="Times New Roman" w:hAnsi="Times New Roman" w:cs="Times New Roman"/>
          <w:b/>
          <w:sz w:val="28"/>
          <w:szCs w:val="28"/>
        </w:rPr>
        <w:t>sabiedrības izpratnes</w:t>
      </w:r>
      <w:r w:rsidRPr="004130BC">
        <w:rPr>
          <w:rFonts w:ascii="Times New Roman" w:hAnsi="Times New Roman" w:cs="Times New Roman"/>
          <w:b/>
          <w:sz w:val="28"/>
          <w:szCs w:val="28"/>
        </w:rPr>
        <w:t xml:space="preserve"> par inovācijas lomu konkurētspējas veicināšanā</w:t>
      </w:r>
      <w:r w:rsidR="00790FC4">
        <w:rPr>
          <w:rFonts w:ascii="Times New Roman" w:hAnsi="Times New Roman" w:cs="Times New Roman"/>
          <w:b/>
          <w:sz w:val="28"/>
          <w:szCs w:val="28"/>
        </w:rPr>
        <w:t xml:space="preserve"> sekmēšana</w:t>
      </w:r>
    </w:p>
    <w:p w:rsidR="004130BC" w:rsidRDefault="004130BC" w:rsidP="004130BC">
      <w:pPr>
        <w:spacing w:after="0" w:line="240" w:lineRule="auto"/>
        <w:jc w:val="both"/>
        <w:rPr>
          <w:rFonts w:ascii="Times New Roman" w:hAnsi="Times New Roman" w:cs="Times New Roman"/>
          <w:b/>
          <w:sz w:val="28"/>
          <w:szCs w:val="28"/>
        </w:rPr>
      </w:pPr>
    </w:p>
    <w:p w:rsidR="000C3A5A" w:rsidRPr="000C3A5A" w:rsidRDefault="007E7E38" w:rsidP="000C3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Būtiskākās</w:t>
      </w:r>
      <w:r w:rsidR="000C3A5A" w:rsidRPr="000C3A5A">
        <w:rPr>
          <w:rFonts w:ascii="Times New Roman" w:hAnsi="Times New Roman" w:cs="Times New Roman"/>
          <w:sz w:val="28"/>
          <w:szCs w:val="28"/>
        </w:rPr>
        <w:t xml:space="preserve"> aktivitātes </w:t>
      </w:r>
      <w:r w:rsidR="000C3A5A">
        <w:rPr>
          <w:rFonts w:ascii="Times New Roman" w:hAnsi="Times New Roman" w:cs="Times New Roman"/>
          <w:sz w:val="28"/>
          <w:szCs w:val="28"/>
        </w:rPr>
        <w:t>j</w:t>
      </w:r>
      <w:r w:rsidR="000C3A5A" w:rsidRPr="000C3A5A">
        <w:rPr>
          <w:rFonts w:ascii="Times New Roman" w:hAnsi="Times New Roman" w:cs="Times New Roman"/>
          <w:sz w:val="28"/>
          <w:szCs w:val="28"/>
        </w:rPr>
        <w:t>aunu komercdarbības iniciatīvu attīstība</w:t>
      </w:r>
      <w:r w:rsidR="000C3A5A">
        <w:rPr>
          <w:rFonts w:ascii="Times New Roman" w:hAnsi="Times New Roman" w:cs="Times New Roman"/>
          <w:sz w:val="28"/>
          <w:szCs w:val="28"/>
        </w:rPr>
        <w:t>i</w:t>
      </w:r>
      <w:r w:rsidR="000C3A5A" w:rsidRPr="000C3A5A">
        <w:rPr>
          <w:rFonts w:ascii="Times New Roman" w:hAnsi="Times New Roman" w:cs="Times New Roman"/>
          <w:sz w:val="28"/>
          <w:szCs w:val="28"/>
        </w:rPr>
        <w:t xml:space="preserve"> un sabiedrības izpratnes par inovācijas lomu konkurētspējas veicināšanā sekmēšanas jomā</w:t>
      </w:r>
      <w:r>
        <w:rPr>
          <w:rFonts w:ascii="Times New Roman" w:hAnsi="Times New Roman" w:cs="Times New Roman"/>
          <w:sz w:val="28"/>
          <w:szCs w:val="28"/>
        </w:rPr>
        <w:t xml:space="preserve"> tika īstenotas </w:t>
      </w:r>
      <w:r w:rsidR="00B27D46">
        <w:rPr>
          <w:rFonts w:ascii="Times New Roman" w:hAnsi="Times New Roman" w:cs="Times New Roman"/>
          <w:sz w:val="28"/>
          <w:szCs w:val="28"/>
        </w:rPr>
        <w:t>„</w:t>
      </w:r>
      <w:r>
        <w:rPr>
          <w:rFonts w:ascii="Times New Roman" w:hAnsi="Times New Roman" w:cs="Times New Roman"/>
          <w:sz w:val="28"/>
          <w:szCs w:val="28"/>
        </w:rPr>
        <w:t>Biznesa inkubatoru programmas</w:t>
      </w:r>
      <w:r w:rsidR="00B27D46">
        <w:rPr>
          <w:rFonts w:ascii="Times New Roman" w:hAnsi="Times New Roman" w:cs="Times New Roman"/>
          <w:sz w:val="28"/>
          <w:szCs w:val="28"/>
        </w:rPr>
        <w:t>”</w:t>
      </w:r>
      <w:r>
        <w:rPr>
          <w:rFonts w:ascii="Times New Roman" w:hAnsi="Times New Roman" w:cs="Times New Roman"/>
          <w:sz w:val="28"/>
          <w:szCs w:val="28"/>
        </w:rPr>
        <w:t xml:space="preserve"> un aktivitātes </w:t>
      </w:r>
      <w:r w:rsidR="00B27D46">
        <w:rPr>
          <w:rFonts w:ascii="Times New Roman" w:hAnsi="Times New Roman" w:cs="Times New Roman"/>
          <w:sz w:val="28"/>
          <w:szCs w:val="28"/>
        </w:rPr>
        <w:t>„</w:t>
      </w:r>
      <w:r w:rsidRPr="00F60EE0">
        <w:rPr>
          <w:rFonts w:ascii="Times New Roman" w:hAnsi="Times New Roman" w:cs="Times New Roman"/>
          <w:sz w:val="28"/>
          <w:szCs w:val="28"/>
        </w:rPr>
        <w:t>Pasākumi motivācijas celšanai inovācijām un uzņēmējdarbības uzsākšanai</w:t>
      </w:r>
      <w:r>
        <w:rPr>
          <w:rFonts w:ascii="Times New Roman" w:hAnsi="Times New Roman" w:cs="Times New Roman"/>
          <w:sz w:val="28"/>
          <w:szCs w:val="28"/>
        </w:rPr>
        <w:t>” ietvaros.</w:t>
      </w:r>
    </w:p>
    <w:p w:rsidR="005C76AB" w:rsidRDefault="007E7E38" w:rsidP="00755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Biznesa inkubatoru programmas ietvaros </w:t>
      </w:r>
      <w:r w:rsidR="00B27D46">
        <w:rPr>
          <w:rFonts w:ascii="Times New Roman" w:hAnsi="Times New Roman" w:cs="Times New Roman"/>
          <w:sz w:val="28"/>
          <w:szCs w:val="28"/>
        </w:rPr>
        <w:t xml:space="preserve">Latvijas Investīciju un attīstības aģentūra (turpmāk – </w:t>
      </w:r>
      <w:r>
        <w:rPr>
          <w:rFonts w:ascii="Times New Roman" w:hAnsi="Times New Roman" w:cs="Times New Roman"/>
          <w:sz w:val="28"/>
          <w:szCs w:val="28"/>
        </w:rPr>
        <w:t>LIAA</w:t>
      </w:r>
      <w:r w:rsidR="00B27D46">
        <w:rPr>
          <w:rFonts w:ascii="Times New Roman" w:hAnsi="Times New Roman" w:cs="Times New Roman"/>
          <w:sz w:val="28"/>
          <w:szCs w:val="28"/>
        </w:rPr>
        <w:t>)</w:t>
      </w:r>
      <w:r>
        <w:rPr>
          <w:rFonts w:ascii="Times New Roman" w:hAnsi="Times New Roman" w:cs="Times New Roman"/>
          <w:sz w:val="28"/>
          <w:szCs w:val="28"/>
        </w:rPr>
        <w:t xml:space="preserve"> </w:t>
      </w:r>
      <w:r w:rsidR="005C76AB">
        <w:rPr>
          <w:rFonts w:ascii="Times New Roman" w:hAnsi="Times New Roman" w:cs="Times New Roman"/>
          <w:sz w:val="28"/>
          <w:szCs w:val="28"/>
        </w:rPr>
        <w:t>2010.gadā turpinā</w:t>
      </w:r>
      <w:r>
        <w:rPr>
          <w:rFonts w:ascii="Times New Roman" w:hAnsi="Times New Roman" w:cs="Times New Roman"/>
          <w:sz w:val="28"/>
          <w:szCs w:val="28"/>
        </w:rPr>
        <w:t>j</w:t>
      </w:r>
      <w:r w:rsidR="005C76AB">
        <w:rPr>
          <w:rFonts w:ascii="Times New Roman" w:hAnsi="Times New Roman" w:cs="Times New Roman"/>
          <w:sz w:val="28"/>
          <w:szCs w:val="28"/>
        </w:rPr>
        <w:t>a atbalsta sniegšan</w:t>
      </w:r>
      <w:r>
        <w:rPr>
          <w:rFonts w:ascii="Times New Roman" w:hAnsi="Times New Roman" w:cs="Times New Roman"/>
          <w:sz w:val="28"/>
          <w:szCs w:val="28"/>
        </w:rPr>
        <w:t>u</w:t>
      </w:r>
      <w:r w:rsidR="005C76AB">
        <w:rPr>
          <w:rFonts w:ascii="Times New Roman" w:hAnsi="Times New Roman" w:cs="Times New Roman"/>
          <w:sz w:val="28"/>
          <w:szCs w:val="28"/>
        </w:rPr>
        <w:t xml:space="preserve"> 10 biznesa inkubatoru darbības nodrošināšanai visos Latvijas reģionos</w:t>
      </w:r>
      <w:r w:rsidR="00405B2E">
        <w:rPr>
          <w:rFonts w:ascii="Times New Roman" w:hAnsi="Times New Roman" w:cs="Times New Roman"/>
          <w:sz w:val="28"/>
          <w:szCs w:val="28"/>
        </w:rPr>
        <w:t>. B</w:t>
      </w:r>
      <w:r>
        <w:rPr>
          <w:rFonts w:ascii="Times New Roman" w:hAnsi="Times New Roman" w:cs="Times New Roman"/>
          <w:sz w:val="28"/>
          <w:szCs w:val="28"/>
        </w:rPr>
        <w:t xml:space="preserve">iznesa inkubatoru sniegtie pakalpojumi bija pieejami </w:t>
      </w:r>
      <w:r w:rsidR="0096168C">
        <w:rPr>
          <w:rFonts w:ascii="Times New Roman" w:hAnsi="Times New Roman" w:cs="Times New Roman"/>
          <w:sz w:val="28"/>
          <w:szCs w:val="28"/>
        </w:rPr>
        <w:t>24</w:t>
      </w:r>
      <w:r w:rsidR="00740509">
        <w:rPr>
          <w:rFonts w:ascii="Times New Roman" w:hAnsi="Times New Roman" w:cs="Times New Roman"/>
          <w:sz w:val="28"/>
          <w:szCs w:val="28"/>
        </w:rPr>
        <w:t xml:space="preserve"> Latvijas pilsētās.</w:t>
      </w:r>
      <w:r>
        <w:rPr>
          <w:rFonts w:ascii="Times New Roman" w:hAnsi="Times New Roman" w:cs="Times New Roman"/>
          <w:sz w:val="28"/>
          <w:szCs w:val="28"/>
        </w:rPr>
        <w:t xml:space="preserve"> </w:t>
      </w:r>
      <w:r w:rsidR="005C76AB">
        <w:rPr>
          <w:rFonts w:ascii="Times New Roman" w:hAnsi="Times New Roman" w:cs="Times New Roman"/>
          <w:sz w:val="28"/>
          <w:szCs w:val="28"/>
        </w:rPr>
        <w:t xml:space="preserve">Kopumā </w:t>
      </w:r>
      <w:r>
        <w:rPr>
          <w:rFonts w:ascii="Times New Roman" w:hAnsi="Times New Roman" w:cs="Times New Roman"/>
          <w:sz w:val="28"/>
          <w:szCs w:val="28"/>
        </w:rPr>
        <w:t xml:space="preserve">9 </w:t>
      </w:r>
      <w:r w:rsidR="005C76AB">
        <w:rPr>
          <w:rFonts w:ascii="Times New Roman" w:hAnsi="Times New Roman" w:cs="Times New Roman"/>
          <w:sz w:val="28"/>
          <w:szCs w:val="28"/>
        </w:rPr>
        <w:t>biznesa inkubator</w:t>
      </w:r>
      <w:r w:rsidR="0096168C">
        <w:rPr>
          <w:rFonts w:ascii="Times New Roman" w:hAnsi="Times New Roman" w:cs="Times New Roman"/>
          <w:sz w:val="28"/>
          <w:szCs w:val="28"/>
        </w:rPr>
        <w:t>os</w:t>
      </w:r>
      <w:r w:rsidR="005C76AB">
        <w:rPr>
          <w:rFonts w:ascii="Times New Roman" w:hAnsi="Times New Roman" w:cs="Times New Roman"/>
          <w:sz w:val="28"/>
          <w:szCs w:val="28"/>
        </w:rPr>
        <w:t xml:space="preserve"> Latvijas reģionos un radošajā biznesa inkubatorā Rīgā </w:t>
      </w:r>
      <w:r w:rsidR="00405B2E">
        <w:rPr>
          <w:rFonts w:ascii="Times New Roman" w:hAnsi="Times New Roman" w:cs="Times New Roman"/>
          <w:sz w:val="28"/>
          <w:szCs w:val="28"/>
        </w:rPr>
        <w:t xml:space="preserve">tika sniegts </w:t>
      </w:r>
      <w:r w:rsidR="005C76AB" w:rsidRPr="00CA6663">
        <w:rPr>
          <w:rFonts w:ascii="Times New Roman" w:hAnsi="Times New Roman" w:cs="Times New Roman"/>
          <w:sz w:val="28"/>
          <w:szCs w:val="28"/>
        </w:rPr>
        <w:t xml:space="preserve">atbalsts </w:t>
      </w:r>
      <w:r w:rsidR="00647A35">
        <w:rPr>
          <w:rFonts w:ascii="Times New Roman" w:hAnsi="Times New Roman" w:cs="Times New Roman"/>
          <w:sz w:val="28"/>
          <w:szCs w:val="28"/>
        </w:rPr>
        <w:t>295</w:t>
      </w:r>
      <w:r w:rsidR="005C76AB" w:rsidRPr="00CA6663">
        <w:rPr>
          <w:rFonts w:ascii="Times New Roman" w:hAnsi="Times New Roman" w:cs="Times New Roman"/>
          <w:sz w:val="28"/>
          <w:szCs w:val="28"/>
        </w:rPr>
        <w:t xml:space="preserve"> komersantiem, </w:t>
      </w:r>
      <w:r w:rsidR="00647A35">
        <w:rPr>
          <w:rFonts w:ascii="Times New Roman" w:hAnsi="Times New Roman" w:cs="Times New Roman"/>
          <w:sz w:val="28"/>
          <w:szCs w:val="28"/>
        </w:rPr>
        <w:t>ta</w:t>
      </w:r>
      <w:r w:rsidR="00405B2E">
        <w:rPr>
          <w:rFonts w:ascii="Times New Roman" w:hAnsi="Times New Roman" w:cs="Times New Roman"/>
          <w:sz w:val="28"/>
          <w:szCs w:val="28"/>
        </w:rPr>
        <w:t>jā skaitā 53 komersanti saņēma</w:t>
      </w:r>
      <w:r w:rsidR="00647A35">
        <w:rPr>
          <w:rFonts w:ascii="Times New Roman" w:hAnsi="Times New Roman" w:cs="Times New Roman"/>
          <w:sz w:val="28"/>
          <w:szCs w:val="28"/>
        </w:rPr>
        <w:t xml:space="preserve"> virtuālās inkubācijas pakalpojumus. I</w:t>
      </w:r>
      <w:r w:rsidR="00405B2E">
        <w:rPr>
          <w:rFonts w:ascii="Times New Roman" w:hAnsi="Times New Roman" w:cs="Times New Roman"/>
          <w:sz w:val="28"/>
          <w:szCs w:val="28"/>
        </w:rPr>
        <w:t xml:space="preserve">nkubējamajos </w:t>
      </w:r>
      <w:r w:rsidR="008D1637">
        <w:rPr>
          <w:rFonts w:ascii="Times New Roman" w:hAnsi="Times New Roman" w:cs="Times New Roman"/>
          <w:sz w:val="28"/>
          <w:szCs w:val="28"/>
        </w:rPr>
        <w:t>komersantos</w:t>
      </w:r>
      <w:r w:rsidR="005C76AB" w:rsidRPr="00CA6663">
        <w:rPr>
          <w:rFonts w:ascii="Times New Roman" w:hAnsi="Times New Roman" w:cs="Times New Roman"/>
          <w:sz w:val="28"/>
          <w:szCs w:val="28"/>
        </w:rPr>
        <w:t xml:space="preserve"> izveidotas (saglabātas)</w:t>
      </w:r>
      <w:r w:rsidR="00647A35">
        <w:rPr>
          <w:rFonts w:ascii="Times New Roman" w:hAnsi="Times New Roman" w:cs="Times New Roman"/>
          <w:sz w:val="28"/>
          <w:szCs w:val="28"/>
        </w:rPr>
        <w:t xml:space="preserve"> 966</w:t>
      </w:r>
      <w:r w:rsidR="005C76AB" w:rsidRPr="00CA6663">
        <w:rPr>
          <w:rFonts w:ascii="Times New Roman" w:hAnsi="Times New Roman" w:cs="Times New Roman"/>
          <w:sz w:val="28"/>
          <w:szCs w:val="28"/>
        </w:rPr>
        <w:t xml:space="preserve"> darba vietas.</w:t>
      </w:r>
      <w:r w:rsidRPr="007E7E38">
        <w:rPr>
          <w:rFonts w:ascii="Times New Roman" w:hAnsi="Times New Roman" w:cs="Times New Roman"/>
          <w:sz w:val="28"/>
          <w:szCs w:val="28"/>
        </w:rPr>
        <w:t xml:space="preserve"> </w:t>
      </w:r>
      <w:r>
        <w:rPr>
          <w:rFonts w:ascii="Times New Roman" w:hAnsi="Times New Roman" w:cs="Times New Roman"/>
          <w:sz w:val="28"/>
          <w:szCs w:val="28"/>
        </w:rPr>
        <w:t xml:space="preserve"> Kopējais programmas ietvaros pieejamais finansējums ir </w:t>
      </w:r>
      <w:r w:rsidR="0096168C" w:rsidRPr="00D46258">
        <w:rPr>
          <w:rFonts w:ascii="Times New Roman" w:hAnsi="Times New Roman" w:cs="Times New Roman"/>
          <w:sz w:val="28"/>
          <w:szCs w:val="28"/>
        </w:rPr>
        <w:t>20,2 milj. LVL</w:t>
      </w:r>
      <w:r w:rsidRPr="00D46258">
        <w:rPr>
          <w:rFonts w:ascii="Times New Roman" w:hAnsi="Times New Roman" w:cs="Times New Roman"/>
          <w:sz w:val="28"/>
          <w:szCs w:val="28"/>
        </w:rPr>
        <w:t>,</w:t>
      </w:r>
      <w:r>
        <w:rPr>
          <w:rFonts w:ascii="Times New Roman" w:hAnsi="Times New Roman" w:cs="Times New Roman"/>
          <w:sz w:val="28"/>
          <w:szCs w:val="28"/>
        </w:rPr>
        <w:t xml:space="preserve"> </w:t>
      </w:r>
      <w:r w:rsidR="00405B2E">
        <w:rPr>
          <w:rFonts w:ascii="Times New Roman" w:hAnsi="Times New Roman" w:cs="Times New Roman"/>
          <w:sz w:val="28"/>
          <w:szCs w:val="28"/>
        </w:rPr>
        <w:t>no kura</w:t>
      </w:r>
      <w:r>
        <w:rPr>
          <w:rFonts w:ascii="Times New Roman" w:hAnsi="Times New Roman" w:cs="Times New Roman"/>
          <w:sz w:val="28"/>
          <w:szCs w:val="28"/>
        </w:rPr>
        <w:t xml:space="preserve"> 2010.gadā biznesa inkubatoru sniegto atbalsta pakalpojumu nodrošināšanai tika izlietoti </w:t>
      </w:r>
      <w:r w:rsidR="001F1EFD">
        <w:rPr>
          <w:rFonts w:ascii="Times New Roman" w:hAnsi="Times New Roman" w:cs="Times New Roman"/>
          <w:sz w:val="28"/>
          <w:szCs w:val="28"/>
        </w:rPr>
        <w:t>1</w:t>
      </w:r>
      <w:r>
        <w:rPr>
          <w:rFonts w:ascii="Times New Roman" w:hAnsi="Times New Roman" w:cs="Times New Roman"/>
          <w:sz w:val="28"/>
          <w:szCs w:val="28"/>
        </w:rPr>
        <w:t>,</w:t>
      </w:r>
      <w:r w:rsidR="001F1EFD">
        <w:rPr>
          <w:rFonts w:ascii="Times New Roman" w:hAnsi="Times New Roman" w:cs="Times New Roman"/>
          <w:sz w:val="28"/>
          <w:szCs w:val="28"/>
        </w:rPr>
        <w:t xml:space="preserve">9 </w:t>
      </w:r>
      <w:r>
        <w:rPr>
          <w:rFonts w:ascii="Times New Roman" w:hAnsi="Times New Roman" w:cs="Times New Roman"/>
          <w:sz w:val="28"/>
          <w:szCs w:val="28"/>
        </w:rPr>
        <w:t>milj. LVL.</w:t>
      </w:r>
    </w:p>
    <w:p w:rsidR="005C195E" w:rsidRDefault="005C195E" w:rsidP="00405B2E">
      <w:pPr>
        <w:spacing w:after="0" w:line="240" w:lineRule="auto"/>
        <w:ind w:firstLine="720"/>
        <w:jc w:val="both"/>
        <w:rPr>
          <w:rFonts w:ascii="Times New Roman" w:hAnsi="Times New Roman" w:cs="Times New Roman"/>
          <w:sz w:val="28"/>
          <w:szCs w:val="28"/>
        </w:rPr>
      </w:pPr>
      <w:r w:rsidRPr="00441801">
        <w:rPr>
          <w:rFonts w:ascii="Times New Roman" w:hAnsi="Times New Roman" w:cs="Times New Roman"/>
          <w:sz w:val="28"/>
          <w:szCs w:val="28"/>
        </w:rPr>
        <w:t>Latvijas Hipotēku un zemes banka</w:t>
      </w:r>
      <w:r>
        <w:rPr>
          <w:rFonts w:ascii="Times New Roman" w:hAnsi="Times New Roman" w:cs="Times New Roman"/>
          <w:sz w:val="28"/>
          <w:szCs w:val="28"/>
        </w:rPr>
        <w:t xml:space="preserve"> 2010.gadā turpināja  īstenot finanšu atbalsta programmu </w:t>
      </w:r>
      <w:r w:rsidRPr="00441801">
        <w:rPr>
          <w:rFonts w:ascii="Times New Roman" w:eastAsia="Calibri" w:hAnsi="Times New Roman" w:cs="Times New Roman"/>
          <w:iCs/>
          <w:sz w:val="28"/>
          <w:szCs w:val="28"/>
        </w:rPr>
        <w:t>„Atbalsts pašnodarbinātības un uzņēmējdarbības uzsākšanai”</w:t>
      </w:r>
      <w:r>
        <w:rPr>
          <w:rFonts w:ascii="Times New Roman" w:eastAsia="Calibri" w:hAnsi="Times New Roman" w:cs="Times New Roman"/>
          <w:iCs/>
          <w:sz w:val="28"/>
          <w:szCs w:val="28"/>
        </w:rPr>
        <w:t xml:space="preserve">, kuras ietvaros </w:t>
      </w:r>
      <w:r w:rsidR="00405B2E">
        <w:rPr>
          <w:rFonts w:ascii="Times New Roman" w:eastAsia="Calibri" w:hAnsi="Times New Roman" w:cs="Times New Roman"/>
          <w:iCs/>
          <w:sz w:val="28"/>
          <w:szCs w:val="28"/>
        </w:rPr>
        <w:t xml:space="preserve">bija pieejams </w:t>
      </w:r>
      <w:r>
        <w:rPr>
          <w:rFonts w:ascii="Times New Roman" w:eastAsia="Calibri" w:hAnsi="Times New Roman" w:cs="Times New Roman"/>
          <w:iCs/>
          <w:sz w:val="28"/>
          <w:szCs w:val="28"/>
        </w:rPr>
        <w:t xml:space="preserve">atbalsts </w:t>
      </w:r>
      <w:r w:rsidRPr="00E50B35">
        <w:rPr>
          <w:rFonts w:ascii="Times New Roman" w:eastAsia="Calibri" w:hAnsi="Times New Roman" w:cs="Times New Roman"/>
          <w:iCs/>
          <w:sz w:val="28"/>
          <w:szCs w:val="28"/>
        </w:rPr>
        <w:t>saimnieciskās darbības uzsācējiem</w:t>
      </w:r>
      <w:r>
        <w:rPr>
          <w:rFonts w:ascii="Times New Roman" w:eastAsia="Calibri" w:hAnsi="Times New Roman" w:cs="Times New Roman"/>
          <w:iCs/>
          <w:sz w:val="28"/>
          <w:szCs w:val="28"/>
        </w:rPr>
        <w:t xml:space="preserve"> (</w:t>
      </w:r>
      <w:r w:rsidRPr="00E50B35">
        <w:rPr>
          <w:rFonts w:ascii="Times New Roman" w:eastAsia="Calibri" w:hAnsi="Times New Roman" w:cs="Times New Roman"/>
          <w:iCs/>
          <w:sz w:val="28"/>
          <w:szCs w:val="28"/>
        </w:rPr>
        <w:t>iedzīvotāji</w:t>
      </w:r>
      <w:r>
        <w:rPr>
          <w:rFonts w:ascii="Times New Roman" w:eastAsia="Calibri" w:hAnsi="Times New Roman" w:cs="Times New Roman"/>
          <w:iCs/>
          <w:sz w:val="28"/>
          <w:szCs w:val="28"/>
        </w:rPr>
        <w:t>em</w:t>
      </w:r>
      <w:r w:rsidRPr="00E50B35">
        <w:rPr>
          <w:rFonts w:ascii="Times New Roman" w:eastAsia="Calibri" w:hAnsi="Times New Roman" w:cs="Times New Roman"/>
          <w:iCs/>
          <w:sz w:val="28"/>
          <w:szCs w:val="28"/>
        </w:rPr>
        <w:t>, kuri vēlas uzsākt uzņēmējdarbību vai kļūt par pašnodarbinātām personām, kā arī jaundibināti</w:t>
      </w:r>
      <w:r>
        <w:rPr>
          <w:rFonts w:ascii="Times New Roman" w:eastAsia="Calibri" w:hAnsi="Times New Roman" w:cs="Times New Roman"/>
          <w:iCs/>
          <w:sz w:val="28"/>
          <w:szCs w:val="28"/>
        </w:rPr>
        <w:t>em</w:t>
      </w:r>
      <w:r w:rsidRPr="00E50B35">
        <w:rPr>
          <w:rFonts w:ascii="Times New Roman" w:eastAsia="Calibri" w:hAnsi="Times New Roman" w:cs="Times New Roman"/>
          <w:iCs/>
          <w:sz w:val="28"/>
          <w:szCs w:val="28"/>
        </w:rPr>
        <w:t xml:space="preserve"> komersanti</w:t>
      </w:r>
      <w:r>
        <w:rPr>
          <w:rFonts w:ascii="Times New Roman" w:eastAsia="Calibri" w:hAnsi="Times New Roman" w:cs="Times New Roman"/>
          <w:iCs/>
          <w:sz w:val="28"/>
          <w:szCs w:val="28"/>
        </w:rPr>
        <w:t>em)</w:t>
      </w:r>
      <w:r w:rsidRPr="00E50B35">
        <w:rPr>
          <w:rFonts w:ascii="Times New Roman" w:eastAsia="Calibri" w:hAnsi="Times New Roman" w:cs="Times New Roman"/>
          <w:iCs/>
          <w:sz w:val="28"/>
          <w:szCs w:val="28"/>
        </w:rPr>
        <w:t>, sniedzot apmācības, konsultācijas un finansiālu atbalstu uzņēmējdarbība</w:t>
      </w:r>
      <w:r>
        <w:rPr>
          <w:rFonts w:ascii="Times New Roman" w:eastAsia="Calibri" w:hAnsi="Times New Roman" w:cs="Times New Roman"/>
          <w:iCs/>
          <w:sz w:val="28"/>
          <w:szCs w:val="28"/>
        </w:rPr>
        <w:t>s</w:t>
      </w:r>
      <w:r w:rsidRPr="00E50B35">
        <w:rPr>
          <w:rFonts w:ascii="Times New Roman" w:eastAsia="Calibri" w:hAnsi="Times New Roman" w:cs="Times New Roman"/>
          <w:iCs/>
          <w:sz w:val="28"/>
          <w:szCs w:val="28"/>
        </w:rPr>
        <w:t xml:space="preserve"> uzsākšanai</w:t>
      </w:r>
      <w:r>
        <w:rPr>
          <w:rFonts w:ascii="Times New Roman" w:eastAsia="Calibri" w:hAnsi="Times New Roman" w:cs="Times New Roman"/>
          <w:iCs/>
          <w:sz w:val="28"/>
          <w:szCs w:val="28"/>
        </w:rPr>
        <w:t xml:space="preserve">. </w:t>
      </w:r>
      <w:r w:rsidRPr="00441801">
        <w:rPr>
          <w:rFonts w:ascii="Times New Roman" w:hAnsi="Times New Roman" w:cs="Times New Roman"/>
          <w:i/>
          <w:iCs/>
          <w:sz w:val="28"/>
          <w:szCs w:val="28"/>
        </w:rPr>
        <w:t xml:space="preserve"> </w:t>
      </w:r>
      <w:r>
        <w:rPr>
          <w:rFonts w:ascii="Times New Roman" w:hAnsi="Times New Roman" w:cs="Times New Roman"/>
          <w:iCs/>
          <w:sz w:val="28"/>
          <w:szCs w:val="28"/>
        </w:rPr>
        <w:t>L</w:t>
      </w:r>
      <w:r w:rsidRPr="00441801">
        <w:rPr>
          <w:rFonts w:ascii="Times New Roman" w:eastAsia="Calibri" w:hAnsi="Times New Roman" w:cs="Times New Roman"/>
          <w:sz w:val="28"/>
          <w:szCs w:val="28"/>
        </w:rPr>
        <w:t>īdz 2010.gada beigām ar 1</w:t>
      </w:r>
      <w:r w:rsidR="00405B2E">
        <w:rPr>
          <w:rFonts w:ascii="Times New Roman" w:eastAsia="Calibri" w:hAnsi="Times New Roman" w:cs="Times New Roman"/>
          <w:sz w:val="28"/>
          <w:szCs w:val="28"/>
        </w:rPr>
        <w:t xml:space="preserve"> </w:t>
      </w:r>
      <w:r w:rsidRPr="00441801">
        <w:rPr>
          <w:rFonts w:ascii="Times New Roman" w:eastAsia="Calibri" w:hAnsi="Times New Roman" w:cs="Times New Roman"/>
          <w:sz w:val="28"/>
          <w:szCs w:val="28"/>
        </w:rPr>
        <w:t xml:space="preserve">232 </w:t>
      </w:r>
      <w:r w:rsidRPr="00441801">
        <w:rPr>
          <w:rFonts w:ascii="Times New Roman" w:hAnsi="Times New Roman" w:cs="Times New Roman"/>
          <w:sz w:val="28"/>
          <w:szCs w:val="28"/>
        </w:rPr>
        <w:t>uzņēmējdarbības uzsācējiem</w:t>
      </w:r>
      <w:r w:rsidRPr="00441801">
        <w:rPr>
          <w:rFonts w:ascii="Times New Roman" w:eastAsia="Calibri" w:hAnsi="Times New Roman" w:cs="Times New Roman"/>
          <w:sz w:val="28"/>
          <w:szCs w:val="28"/>
        </w:rPr>
        <w:t xml:space="preserve"> ir noslēgta sadarbības vienošanās, </w:t>
      </w:r>
      <w:r w:rsidRPr="00441801">
        <w:rPr>
          <w:rFonts w:ascii="Times New Roman" w:eastAsia="Calibri" w:hAnsi="Times New Roman" w:cs="Times New Roman"/>
          <w:sz w:val="28"/>
          <w:szCs w:val="28"/>
        </w:rPr>
        <w:lastRenderedPageBreak/>
        <w:t xml:space="preserve">498 </w:t>
      </w:r>
      <w:r w:rsidRPr="00441801">
        <w:rPr>
          <w:rFonts w:ascii="Times New Roman" w:hAnsi="Times New Roman" w:cs="Times New Roman"/>
          <w:sz w:val="28"/>
          <w:szCs w:val="28"/>
        </w:rPr>
        <w:t>interesenti</w:t>
      </w:r>
      <w:r w:rsidRPr="00441801">
        <w:rPr>
          <w:rFonts w:ascii="Times New Roman" w:eastAsia="Calibri" w:hAnsi="Times New Roman" w:cs="Times New Roman"/>
          <w:sz w:val="28"/>
          <w:szCs w:val="28"/>
        </w:rPr>
        <w:t xml:space="preserve"> ir iesnieguši biznesa plānus, t.sk. jau ir atbalstīti 267 uzsācēju projekti par kopējo aizdevumu summu 3,</w:t>
      </w:r>
      <w:r>
        <w:rPr>
          <w:rFonts w:ascii="Times New Roman" w:eastAsia="Calibri" w:hAnsi="Times New Roman" w:cs="Times New Roman"/>
          <w:sz w:val="28"/>
          <w:szCs w:val="28"/>
        </w:rPr>
        <w:t>8</w:t>
      </w:r>
      <w:r w:rsidRPr="00441801">
        <w:rPr>
          <w:rFonts w:ascii="Times New Roman" w:eastAsia="Calibri" w:hAnsi="Times New Roman" w:cs="Times New Roman"/>
          <w:sz w:val="28"/>
          <w:szCs w:val="28"/>
        </w:rPr>
        <w:t xml:space="preserve"> milj. </w:t>
      </w:r>
      <w:r>
        <w:rPr>
          <w:rFonts w:ascii="Times New Roman" w:eastAsia="Calibri" w:hAnsi="Times New Roman" w:cs="Times New Roman"/>
          <w:sz w:val="28"/>
          <w:szCs w:val="28"/>
        </w:rPr>
        <w:t>LVL</w:t>
      </w:r>
      <w:r w:rsidRPr="004418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Savukārt </w:t>
      </w:r>
      <w:r w:rsidRPr="00441801">
        <w:rPr>
          <w:rFonts w:ascii="Times New Roman" w:eastAsia="Calibri" w:hAnsi="Times New Roman" w:cs="Times New Roman"/>
          <w:sz w:val="28"/>
          <w:szCs w:val="28"/>
        </w:rPr>
        <w:t xml:space="preserve">247 projektiem ir piešķirti granti par kopējo summu </w:t>
      </w:r>
      <w:r w:rsidR="00740509">
        <w:rPr>
          <w:rFonts w:ascii="Times New Roman" w:eastAsia="Calibri" w:hAnsi="Times New Roman" w:cs="Times New Roman"/>
          <w:sz w:val="28"/>
          <w:szCs w:val="28"/>
        </w:rPr>
        <w:t>0,73 milj.</w:t>
      </w:r>
      <w:r w:rsidRPr="00441801">
        <w:rPr>
          <w:rFonts w:ascii="Times New Roman" w:eastAsia="Calibri" w:hAnsi="Times New Roman" w:cs="Times New Roman"/>
          <w:sz w:val="28"/>
          <w:szCs w:val="28"/>
        </w:rPr>
        <w:t xml:space="preserve"> </w:t>
      </w:r>
      <w:r>
        <w:rPr>
          <w:rFonts w:ascii="Times New Roman" w:eastAsia="Calibri" w:hAnsi="Times New Roman" w:cs="Times New Roman"/>
          <w:sz w:val="28"/>
          <w:szCs w:val="28"/>
        </w:rPr>
        <w:t>LVL</w:t>
      </w:r>
      <w:r w:rsidRPr="00441801">
        <w:rPr>
          <w:rFonts w:ascii="Times New Roman" w:eastAsia="Calibri" w:hAnsi="Times New Roman" w:cs="Times New Roman"/>
          <w:sz w:val="28"/>
          <w:szCs w:val="28"/>
        </w:rPr>
        <w:t>.</w:t>
      </w:r>
    </w:p>
    <w:p w:rsidR="00755F8A" w:rsidRPr="00755F8A" w:rsidRDefault="00755F8A" w:rsidP="00E61CF8">
      <w:pPr>
        <w:spacing w:after="0" w:line="240" w:lineRule="auto"/>
        <w:ind w:firstLine="709"/>
        <w:jc w:val="both"/>
        <w:rPr>
          <w:rFonts w:ascii="Times New Roman" w:hAnsi="Times New Roman" w:cs="Times New Roman"/>
          <w:color w:val="000000"/>
          <w:sz w:val="28"/>
          <w:szCs w:val="28"/>
        </w:rPr>
      </w:pPr>
      <w:r w:rsidRPr="00755F8A">
        <w:rPr>
          <w:rFonts w:ascii="Times New Roman" w:hAnsi="Times New Roman" w:cs="Times New Roman"/>
          <w:sz w:val="28"/>
          <w:szCs w:val="28"/>
        </w:rPr>
        <w:t xml:space="preserve">Aktivitātes </w:t>
      </w:r>
      <w:r w:rsidR="0096168C">
        <w:rPr>
          <w:rFonts w:ascii="Times New Roman" w:hAnsi="Times New Roman" w:cs="Times New Roman"/>
          <w:sz w:val="28"/>
          <w:szCs w:val="28"/>
        </w:rPr>
        <w:t>„</w:t>
      </w:r>
      <w:r w:rsidRPr="00755F8A">
        <w:rPr>
          <w:rFonts w:ascii="Times New Roman" w:hAnsi="Times New Roman" w:cs="Times New Roman"/>
          <w:sz w:val="28"/>
          <w:szCs w:val="28"/>
        </w:rPr>
        <w:t>Pasākumi motivācijas celšanai inovācijām un uzņēmējdarbības uzsākšanai” mērķis ir plašākas sabiedrības izglītošana</w:t>
      </w:r>
      <w:r w:rsidR="0096168C">
        <w:rPr>
          <w:rFonts w:ascii="Times New Roman" w:hAnsi="Times New Roman" w:cs="Times New Roman"/>
          <w:sz w:val="28"/>
          <w:szCs w:val="28"/>
        </w:rPr>
        <w:t xml:space="preserve"> un</w:t>
      </w:r>
      <w:r w:rsidRPr="00755F8A">
        <w:rPr>
          <w:rFonts w:ascii="Times New Roman" w:hAnsi="Times New Roman" w:cs="Times New Roman"/>
          <w:sz w:val="28"/>
          <w:szCs w:val="28"/>
        </w:rPr>
        <w:t xml:space="preserve"> izpratnes veicināšana</w:t>
      </w:r>
      <w:r w:rsidR="0096168C">
        <w:rPr>
          <w:rFonts w:ascii="Times New Roman" w:hAnsi="Times New Roman" w:cs="Times New Roman"/>
          <w:sz w:val="28"/>
          <w:szCs w:val="28"/>
        </w:rPr>
        <w:t>, kā arī</w:t>
      </w:r>
      <w:r w:rsidRPr="00755F8A">
        <w:rPr>
          <w:rFonts w:ascii="Times New Roman" w:hAnsi="Times New Roman" w:cs="Times New Roman"/>
          <w:sz w:val="28"/>
          <w:szCs w:val="28"/>
        </w:rPr>
        <w:t xml:space="preserve"> motivēšana uzsākt uzņēmējdarbību</w:t>
      </w:r>
      <w:r w:rsidR="0096168C">
        <w:rPr>
          <w:rFonts w:ascii="Times New Roman" w:hAnsi="Times New Roman" w:cs="Times New Roman"/>
          <w:sz w:val="28"/>
          <w:szCs w:val="28"/>
        </w:rPr>
        <w:t xml:space="preserve"> un</w:t>
      </w:r>
      <w:r w:rsidRPr="00755F8A">
        <w:rPr>
          <w:rFonts w:ascii="Times New Roman" w:hAnsi="Times New Roman" w:cs="Times New Roman"/>
          <w:sz w:val="28"/>
          <w:szCs w:val="28"/>
        </w:rPr>
        <w:t xml:space="preserve"> pievērsties inovatīvu risinājumu izstrādei un pielietošanai. Kopējais programmas ietvaros pieejamais finansējums ir </w:t>
      </w:r>
      <w:r w:rsidR="0096168C">
        <w:rPr>
          <w:rFonts w:ascii="Times New Roman" w:hAnsi="Times New Roman" w:cs="Times New Roman"/>
          <w:sz w:val="28"/>
          <w:szCs w:val="28"/>
        </w:rPr>
        <w:t>2,11 milj. LVL</w:t>
      </w:r>
      <w:r w:rsidR="0096168C" w:rsidRPr="00755F8A">
        <w:rPr>
          <w:rFonts w:ascii="Times New Roman" w:hAnsi="Times New Roman" w:cs="Times New Roman"/>
          <w:sz w:val="28"/>
          <w:szCs w:val="28"/>
        </w:rPr>
        <w:t xml:space="preserve">, </w:t>
      </w:r>
      <w:r w:rsidRPr="00755F8A">
        <w:rPr>
          <w:rFonts w:ascii="Times New Roman" w:hAnsi="Times New Roman" w:cs="Times New Roman"/>
          <w:sz w:val="28"/>
          <w:szCs w:val="28"/>
        </w:rPr>
        <w:t xml:space="preserve">bet 2010.gadā pasākumiem tika izlietoti </w:t>
      </w:r>
      <w:r w:rsidR="00C02D80">
        <w:rPr>
          <w:rFonts w:ascii="Times New Roman" w:hAnsi="Times New Roman" w:cs="Times New Roman"/>
          <w:sz w:val="28"/>
          <w:szCs w:val="28"/>
        </w:rPr>
        <w:t>0,</w:t>
      </w:r>
      <w:r w:rsidR="004D6092">
        <w:rPr>
          <w:rFonts w:ascii="Times New Roman" w:hAnsi="Times New Roman" w:cs="Times New Roman"/>
          <w:sz w:val="28"/>
          <w:szCs w:val="28"/>
        </w:rPr>
        <w:t>27</w:t>
      </w:r>
      <w:r w:rsidR="004D6092" w:rsidRPr="00755F8A">
        <w:rPr>
          <w:rFonts w:ascii="Times New Roman" w:hAnsi="Times New Roman" w:cs="Times New Roman"/>
          <w:sz w:val="28"/>
          <w:szCs w:val="28"/>
        </w:rPr>
        <w:t xml:space="preserve"> </w:t>
      </w:r>
      <w:r w:rsidR="00C02D80">
        <w:rPr>
          <w:rFonts w:ascii="Times New Roman" w:hAnsi="Times New Roman" w:cs="Times New Roman"/>
          <w:sz w:val="28"/>
          <w:szCs w:val="28"/>
        </w:rPr>
        <w:t>milj</w:t>
      </w:r>
      <w:r w:rsidRPr="00755F8A">
        <w:rPr>
          <w:rFonts w:ascii="Times New Roman" w:hAnsi="Times New Roman" w:cs="Times New Roman"/>
          <w:sz w:val="28"/>
          <w:szCs w:val="28"/>
        </w:rPr>
        <w:t>. LVL.</w:t>
      </w:r>
      <w:r w:rsidRPr="00755F8A">
        <w:rPr>
          <w:bCs/>
        </w:rPr>
        <w:t xml:space="preserve"> </w:t>
      </w:r>
      <w:r w:rsidR="00622264" w:rsidRPr="00622264">
        <w:rPr>
          <w:rFonts w:ascii="Times New Roman" w:hAnsi="Times New Roman" w:cs="Times New Roman"/>
          <w:bCs/>
          <w:sz w:val="28"/>
          <w:szCs w:val="28"/>
        </w:rPr>
        <w:t>P</w:t>
      </w:r>
      <w:r w:rsidRPr="00755F8A">
        <w:rPr>
          <w:rFonts w:ascii="Times New Roman" w:hAnsi="Times New Roman" w:cs="Times New Roman"/>
          <w:bCs/>
          <w:sz w:val="28"/>
          <w:szCs w:val="28"/>
        </w:rPr>
        <w:t>rogrammā 2010.gadā tika iesai</w:t>
      </w:r>
      <w:r w:rsidR="0096168C">
        <w:rPr>
          <w:rFonts w:ascii="Times New Roman" w:hAnsi="Times New Roman" w:cs="Times New Roman"/>
          <w:bCs/>
          <w:sz w:val="28"/>
          <w:szCs w:val="28"/>
        </w:rPr>
        <w:t>s</w:t>
      </w:r>
      <w:r w:rsidRPr="00755F8A">
        <w:rPr>
          <w:rFonts w:ascii="Times New Roman" w:hAnsi="Times New Roman" w:cs="Times New Roman"/>
          <w:bCs/>
          <w:sz w:val="28"/>
          <w:szCs w:val="28"/>
        </w:rPr>
        <w:t>tīt</w:t>
      </w:r>
      <w:r w:rsidR="0096168C">
        <w:rPr>
          <w:rFonts w:ascii="Times New Roman" w:hAnsi="Times New Roman" w:cs="Times New Roman"/>
          <w:bCs/>
          <w:sz w:val="28"/>
          <w:szCs w:val="28"/>
        </w:rPr>
        <w:t>i</w:t>
      </w:r>
      <w:r w:rsidRPr="00755F8A">
        <w:rPr>
          <w:rFonts w:ascii="Times New Roman" w:hAnsi="Times New Roman" w:cs="Times New Roman"/>
          <w:bCs/>
          <w:sz w:val="28"/>
          <w:szCs w:val="28"/>
        </w:rPr>
        <w:t xml:space="preserve"> </w:t>
      </w:r>
      <w:r>
        <w:rPr>
          <w:rFonts w:ascii="Times New Roman" w:hAnsi="Times New Roman" w:cs="Times New Roman"/>
          <w:bCs/>
          <w:sz w:val="28"/>
          <w:szCs w:val="28"/>
        </w:rPr>
        <w:t xml:space="preserve">vairāk kā </w:t>
      </w:r>
      <w:r w:rsidRPr="00755F8A">
        <w:rPr>
          <w:rFonts w:ascii="Times New Roman" w:hAnsi="Times New Roman" w:cs="Times New Roman"/>
          <w:bCs/>
          <w:sz w:val="28"/>
          <w:szCs w:val="28"/>
        </w:rPr>
        <w:t>4</w:t>
      </w:r>
      <w:r w:rsidR="00A857A8">
        <w:rPr>
          <w:rFonts w:ascii="Times New Roman" w:hAnsi="Times New Roman" w:cs="Times New Roman"/>
          <w:bCs/>
          <w:sz w:val="28"/>
          <w:szCs w:val="28"/>
        </w:rPr>
        <w:t xml:space="preserve"> </w:t>
      </w:r>
      <w:r w:rsidRPr="00755F8A">
        <w:rPr>
          <w:rFonts w:ascii="Times New Roman" w:hAnsi="Times New Roman" w:cs="Times New Roman"/>
          <w:bCs/>
          <w:sz w:val="28"/>
          <w:szCs w:val="28"/>
        </w:rPr>
        <w:t>0</w:t>
      </w:r>
      <w:r>
        <w:rPr>
          <w:rFonts w:ascii="Times New Roman" w:hAnsi="Times New Roman" w:cs="Times New Roman"/>
          <w:bCs/>
          <w:sz w:val="28"/>
          <w:szCs w:val="28"/>
        </w:rPr>
        <w:t>00</w:t>
      </w:r>
      <w:r w:rsidRPr="00755F8A">
        <w:rPr>
          <w:rFonts w:ascii="Times New Roman" w:hAnsi="Times New Roman" w:cs="Times New Roman"/>
          <w:bCs/>
          <w:sz w:val="28"/>
          <w:szCs w:val="28"/>
        </w:rPr>
        <w:t xml:space="preserve"> </w:t>
      </w:r>
      <w:r>
        <w:rPr>
          <w:rFonts w:ascii="Times New Roman" w:hAnsi="Times New Roman" w:cs="Times New Roman"/>
          <w:bCs/>
          <w:sz w:val="28"/>
          <w:szCs w:val="28"/>
        </w:rPr>
        <w:t>dalībnieku</w:t>
      </w:r>
      <w:r w:rsidRPr="00755F8A">
        <w:rPr>
          <w:rFonts w:ascii="Times New Roman" w:hAnsi="Times New Roman" w:cs="Times New Roman"/>
          <w:bCs/>
          <w:sz w:val="28"/>
          <w:szCs w:val="28"/>
        </w:rPr>
        <w:t xml:space="preserve"> – inov</w:t>
      </w:r>
      <w:r w:rsidR="0096168C">
        <w:rPr>
          <w:rFonts w:ascii="Times New Roman" w:hAnsi="Times New Roman" w:cs="Times New Roman"/>
          <w:bCs/>
          <w:sz w:val="28"/>
          <w:szCs w:val="28"/>
        </w:rPr>
        <w:t>ācijas</w:t>
      </w:r>
      <w:r w:rsidRPr="00755F8A">
        <w:rPr>
          <w:rFonts w:ascii="Times New Roman" w:hAnsi="Times New Roman" w:cs="Times New Roman"/>
          <w:bCs/>
          <w:sz w:val="28"/>
          <w:szCs w:val="28"/>
        </w:rPr>
        <w:t xml:space="preserve"> </w:t>
      </w:r>
      <w:r w:rsidR="0096168C">
        <w:rPr>
          <w:rFonts w:ascii="Times New Roman" w:hAnsi="Times New Roman" w:cs="Times New Roman"/>
          <w:bCs/>
          <w:sz w:val="28"/>
          <w:szCs w:val="28"/>
        </w:rPr>
        <w:t xml:space="preserve">jomā aktīvie </w:t>
      </w:r>
      <w:r w:rsidRPr="00755F8A">
        <w:rPr>
          <w:rFonts w:ascii="Times New Roman" w:hAnsi="Times New Roman" w:cs="Times New Roman"/>
          <w:bCs/>
          <w:sz w:val="28"/>
          <w:szCs w:val="28"/>
        </w:rPr>
        <w:t xml:space="preserve">uzņēmēji, esošie uzņēmēji, studenti, skolēni, uzņēmējdarbības uzsācēji un citi.  </w:t>
      </w:r>
      <w:r w:rsidRPr="00755F8A">
        <w:rPr>
          <w:rFonts w:ascii="Times New Roman" w:hAnsi="Times New Roman" w:cs="Times New Roman"/>
          <w:bCs/>
          <w:color w:val="000000"/>
          <w:sz w:val="28"/>
          <w:szCs w:val="28"/>
        </w:rPr>
        <w:t>Programmas ietvaros īstenoti dažādi informatīvi</w:t>
      </w:r>
      <w:r w:rsidR="0096168C">
        <w:rPr>
          <w:rFonts w:ascii="Times New Roman" w:hAnsi="Times New Roman" w:cs="Times New Roman"/>
          <w:bCs/>
          <w:color w:val="000000"/>
          <w:sz w:val="28"/>
          <w:szCs w:val="28"/>
        </w:rPr>
        <w:t>e</w:t>
      </w:r>
      <w:r w:rsidRPr="00755F8A">
        <w:rPr>
          <w:rFonts w:ascii="Times New Roman" w:hAnsi="Times New Roman" w:cs="Times New Roman"/>
          <w:bCs/>
          <w:color w:val="000000"/>
          <w:sz w:val="28"/>
          <w:szCs w:val="28"/>
        </w:rPr>
        <w:t xml:space="preserve"> un apmācību pasākumi, </w:t>
      </w:r>
      <w:r w:rsidR="0096168C">
        <w:rPr>
          <w:rFonts w:ascii="Times New Roman" w:hAnsi="Times New Roman" w:cs="Times New Roman"/>
          <w:bCs/>
          <w:color w:val="000000"/>
          <w:sz w:val="28"/>
          <w:szCs w:val="28"/>
        </w:rPr>
        <w:t xml:space="preserve">kā </w:t>
      </w:r>
      <w:r w:rsidRPr="00755F8A">
        <w:rPr>
          <w:rFonts w:ascii="Times New Roman" w:hAnsi="Times New Roman" w:cs="Times New Roman"/>
          <w:bCs/>
          <w:color w:val="000000"/>
          <w:sz w:val="28"/>
          <w:szCs w:val="28"/>
        </w:rPr>
        <w:t xml:space="preserve">piemēram, </w:t>
      </w:r>
      <w:r w:rsidRPr="00755F8A">
        <w:rPr>
          <w:rFonts w:ascii="Times New Roman" w:hAnsi="Times New Roman" w:cs="Times New Roman"/>
          <w:sz w:val="28"/>
          <w:szCs w:val="28"/>
        </w:rPr>
        <w:t xml:space="preserve">„Ideju kauss 2010”, semināru cikls „Inovatīvas uzņēmējdarbības uzsākšana”, </w:t>
      </w:r>
      <w:proofErr w:type="spellStart"/>
      <w:r w:rsidRPr="00755F8A">
        <w:rPr>
          <w:rFonts w:ascii="Times New Roman" w:hAnsi="Times New Roman" w:cs="Times New Roman"/>
          <w:sz w:val="28"/>
          <w:szCs w:val="28"/>
        </w:rPr>
        <w:t>mentoringa</w:t>
      </w:r>
      <w:proofErr w:type="spellEnd"/>
      <w:r w:rsidRPr="00755F8A">
        <w:rPr>
          <w:rFonts w:ascii="Times New Roman" w:hAnsi="Times New Roman" w:cs="Times New Roman"/>
          <w:sz w:val="28"/>
          <w:szCs w:val="28"/>
        </w:rPr>
        <w:t xml:space="preserve"> programma jaunajiem uzņēmējiem, apmācību kurss „Kļūsti par uzņēmēju 5 dienās”</w:t>
      </w:r>
      <w:r w:rsidR="0096168C">
        <w:rPr>
          <w:rFonts w:ascii="Times New Roman" w:hAnsi="Times New Roman" w:cs="Times New Roman"/>
          <w:bCs/>
          <w:sz w:val="28"/>
          <w:szCs w:val="28"/>
        </w:rPr>
        <w:t>, k</w:t>
      </w:r>
      <w:r w:rsidR="003765EA">
        <w:rPr>
          <w:rFonts w:ascii="Times New Roman" w:hAnsi="Times New Roman" w:cs="Times New Roman"/>
          <w:bCs/>
          <w:sz w:val="28"/>
          <w:szCs w:val="28"/>
        </w:rPr>
        <w:t>ā</w:t>
      </w:r>
      <w:r w:rsidR="0096168C">
        <w:rPr>
          <w:rFonts w:ascii="Times New Roman" w:hAnsi="Times New Roman" w:cs="Times New Roman"/>
          <w:bCs/>
          <w:sz w:val="28"/>
          <w:szCs w:val="28"/>
        </w:rPr>
        <w:t xml:space="preserve"> arī </w:t>
      </w:r>
      <w:r w:rsidR="003765EA">
        <w:rPr>
          <w:rFonts w:ascii="Times New Roman" w:hAnsi="Times New Roman" w:cs="Times New Roman"/>
          <w:bCs/>
          <w:sz w:val="28"/>
          <w:szCs w:val="28"/>
        </w:rPr>
        <w:t>pasākumi</w:t>
      </w:r>
      <w:r w:rsidR="0096168C">
        <w:rPr>
          <w:rFonts w:ascii="Times New Roman" w:hAnsi="Times New Roman" w:cs="Times New Roman"/>
          <w:bCs/>
          <w:sz w:val="28"/>
          <w:szCs w:val="28"/>
        </w:rPr>
        <w:t xml:space="preserve">, kas vērsti uz skolēnu, studentu un pedagogu izglītošanu par inovāciju un uzņēmējdarbību, </w:t>
      </w:r>
      <w:r w:rsidR="00523EE6">
        <w:rPr>
          <w:rFonts w:ascii="Times New Roman" w:hAnsi="Times New Roman" w:cs="Times New Roman"/>
          <w:bCs/>
          <w:sz w:val="28"/>
          <w:szCs w:val="28"/>
        </w:rPr>
        <w:t>un to</w:t>
      </w:r>
      <w:r w:rsidR="0096168C">
        <w:rPr>
          <w:rFonts w:ascii="Times New Roman" w:hAnsi="Times New Roman" w:cs="Times New Roman"/>
          <w:bCs/>
          <w:sz w:val="28"/>
          <w:szCs w:val="28"/>
        </w:rPr>
        <w:t xml:space="preserve"> praktisku </w:t>
      </w:r>
      <w:r w:rsidR="00523EE6">
        <w:rPr>
          <w:rFonts w:ascii="Times New Roman" w:hAnsi="Times New Roman" w:cs="Times New Roman"/>
          <w:bCs/>
          <w:sz w:val="28"/>
          <w:szCs w:val="28"/>
        </w:rPr>
        <w:t xml:space="preserve">iesaisti </w:t>
      </w:r>
      <w:r w:rsidR="0096168C">
        <w:rPr>
          <w:rFonts w:ascii="Times New Roman" w:hAnsi="Times New Roman" w:cs="Times New Roman"/>
          <w:bCs/>
          <w:sz w:val="28"/>
          <w:szCs w:val="28"/>
        </w:rPr>
        <w:t>aktivitāšu īstenošanā.</w:t>
      </w:r>
    </w:p>
    <w:p w:rsidR="000E7371" w:rsidRDefault="003768FB" w:rsidP="003E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Lai nodrošinātu uzņēmējiem</w:t>
      </w:r>
      <w:r w:rsidRPr="003768FB">
        <w:rPr>
          <w:rFonts w:ascii="Times New Roman" w:hAnsi="Times New Roman" w:cs="Times New Roman"/>
          <w:sz w:val="28"/>
          <w:szCs w:val="28"/>
        </w:rPr>
        <w:t xml:space="preserve"> informatīvo un konsultatīvo atbalstu, </w:t>
      </w:r>
      <w:r>
        <w:rPr>
          <w:rFonts w:ascii="Times New Roman" w:hAnsi="Times New Roman" w:cs="Times New Roman"/>
          <w:sz w:val="28"/>
          <w:szCs w:val="28"/>
        </w:rPr>
        <w:t>tajā skaitā</w:t>
      </w:r>
      <w:r w:rsidRPr="003768FB">
        <w:rPr>
          <w:rFonts w:ascii="Times New Roman" w:hAnsi="Times New Roman" w:cs="Times New Roman"/>
          <w:sz w:val="28"/>
          <w:szCs w:val="28"/>
        </w:rPr>
        <w:t xml:space="preserve"> veicinātu to konkurētspēju </w:t>
      </w:r>
      <w:r>
        <w:rPr>
          <w:rFonts w:ascii="Times New Roman" w:hAnsi="Times New Roman" w:cs="Times New Roman"/>
          <w:sz w:val="28"/>
          <w:szCs w:val="28"/>
        </w:rPr>
        <w:t xml:space="preserve">ES un plašākā mērogā, </w:t>
      </w:r>
      <w:r w:rsidR="001531D1">
        <w:rPr>
          <w:rFonts w:ascii="Times New Roman" w:hAnsi="Times New Roman" w:cs="Times New Roman"/>
          <w:sz w:val="28"/>
          <w:szCs w:val="28"/>
        </w:rPr>
        <w:t xml:space="preserve">2010.gadā darbu turpināja Eiropas Biznesa atbalsta tīkls </w:t>
      </w:r>
      <w:r w:rsidR="00074D5C">
        <w:rPr>
          <w:rFonts w:ascii="Times New Roman" w:hAnsi="Times New Roman" w:cs="Times New Roman"/>
          <w:sz w:val="28"/>
          <w:szCs w:val="28"/>
        </w:rPr>
        <w:t xml:space="preserve">(turpmāk – EEN) </w:t>
      </w:r>
      <w:r w:rsidR="001531D1">
        <w:rPr>
          <w:rFonts w:ascii="Times New Roman" w:hAnsi="Times New Roman" w:cs="Times New Roman"/>
          <w:sz w:val="28"/>
          <w:szCs w:val="28"/>
        </w:rPr>
        <w:t>Latvijā</w:t>
      </w:r>
      <w:r w:rsidR="00074D5C">
        <w:rPr>
          <w:rFonts w:ascii="Times New Roman" w:hAnsi="Times New Roman" w:cs="Times New Roman"/>
          <w:sz w:val="28"/>
          <w:szCs w:val="28"/>
        </w:rPr>
        <w:t>. EEN</w:t>
      </w:r>
      <w:r>
        <w:rPr>
          <w:rFonts w:ascii="Times New Roman" w:hAnsi="Times New Roman" w:cs="Times New Roman"/>
          <w:sz w:val="28"/>
          <w:szCs w:val="28"/>
        </w:rPr>
        <w:t xml:space="preserve"> ir liela </w:t>
      </w:r>
      <w:r w:rsidRPr="003768FB">
        <w:rPr>
          <w:rFonts w:ascii="Times New Roman" w:hAnsi="Times New Roman" w:cs="Times New Roman"/>
          <w:sz w:val="28"/>
          <w:szCs w:val="28"/>
        </w:rPr>
        <w:t>mēr</w:t>
      </w:r>
      <w:r>
        <w:rPr>
          <w:rFonts w:ascii="Times New Roman" w:hAnsi="Times New Roman" w:cs="Times New Roman"/>
          <w:sz w:val="28"/>
          <w:szCs w:val="28"/>
        </w:rPr>
        <w:t>oga uzņēmējdarbības un inovācijas</w:t>
      </w:r>
      <w:r w:rsidRPr="003768FB">
        <w:rPr>
          <w:rFonts w:ascii="Times New Roman" w:hAnsi="Times New Roman" w:cs="Times New Roman"/>
          <w:sz w:val="28"/>
          <w:szCs w:val="28"/>
        </w:rPr>
        <w:t xml:space="preserve"> atbalsta tīkls, ko veido gandrīz 600 dažādas </w:t>
      </w:r>
      <w:proofErr w:type="spellStart"/>
      <w:r w:rsidRPr="003768FB">
        <w:rPr>
          <w:rFonts w:ascii="Times New Roman" w:hAnsi="Times New Roman" w:cs="Times New Roman"/>
          <w:sz w:val="28"/>
          <w:szCs w:val="28"/>
        </w:rPr>
        <w:t>partnerorga</w:t>
      </w:r>
      <w:r>
        <w:rPr>
          <w:rFonts w:ascii="Times New Roman" w:hAnsi="Times New Roman" w:cs="Times New Roman"/>
          <w:sz w:val="28"/>
          <w:szCs w:val="28"/>
        </w:rPr>
        <w:t>nizācijas</w:t>
      </w:r>
      <w:proofErr w:type="spellEnd"/>
      <w:r>
        <w:rPr>
          <w:rFonts w:ascii="Times New Roman" w:hAnsi="Times New Roman" w:cs="Times New Roman"/>
          <w:sz w:val="28"/>
          <w:szCs w:val="28"/>
        </w:rPr>
        <w:t xml:space="preserve"> vairāk kā 40 valstīs. </w:t>
      </w:r>
      <w:r w:rsidR="00371939">
        <w:rPr>
          <w:rFonts w:ascii="Times New Roman" w:hAnsi="Times New Roman" w:cs="Times New Roman"/>
          <w:sz w:val="28"/>
          <w:szCs w:val="28"/>
        </w:rPr>
        <w:t>EEN darbību Latvijā nodrošina Latvijas</w:t>
      </w:r>
      <w:r w:rsidR="0014431E">
        <w:rPr>
          <w:rFonts w:ascii="Times New Roman" w:hAnsi="Times New Roman" w:cs="Times New Roman"/>
          <w:sz w:val="28"/>
          <w:szCs w:val="28"/>
        </w:rPr>
        <w:t xml:space="preserve"> Tehnoloģiskais centrs un LIAA.</w:t>
      </w:r>
      <w:r w:rsidR="003E7E9E">
        <w:rPr>
          <w:rFonts w:ascii="Times New Roman" w:hAnsi="Times New Roman" w:cs="Times New Roman"/>
          <w:sz w:val="28"/>
          <w:szCs w:val="28"/>
        </w:rPr>
        <w:t xml:space="preserve"> Tīkla ietvaros 2010.gadā </w:t>
      </w:r>
      <w:r w:rsidR="00371939">
        <w:rPr>
          <w:rFonts w:ascii="Times New Roman" w:hAnsi="Times New Roman" w:cs="Times New Roman"/>
          <w:sz w:val="28"/>
          <w:szCs w:val="28"/>
        </w:rPr>
        <w:t>sniegta</w:t>
      </w:r>
      <w:r>
        <w:rPr>
          <w:rFonts w:ascii="Times New Roman" w:hAnsi="Times New Roman" w:cs="Times New Roman"/>
          <w:sz w:val="28"/>
          <w:szCs w:val="28"/>
        </w:rPr>
        <w:t xml:space="preserve"> </w:t>
      </w:r>
      <w:r w:rsidR="0014431E">
        <w:rPr>
          <w:rFonts w:ascii="Times New Roman" w:hAnsi="Times New Roman" w:cs="Times New Roman"/>
          <w:sz w:val="28"/>
          <w:szCs w:val="28"/>
        </w:rPr>
        <w:t>1</w:t>
      </w:r>
      <w:r w:rsidR="00A857A8">
        <w:rPr>
          <w:rFonts w:ascii="Times New Roman" w:hAnsi="Times New Roman" w:cs="Times New Roman"/>
          <w:sz w:val="28"/>
          <w:szCs w:val="28"/>
        </w:rPr>
        <w:t xml:space="preserve"> </w:t>
      </w:r>
      <w:r w:rsidR="0014431E">
        <w:rPr>
          <w:rFonts w:ascii="Times New Roman" w:hAnsi="Times New Roman" w:cs="Times New Roman"/>
          <w:sz w:val="28"/>
          <w:szCs w:val="28"/>
        </w:rPr>
        <w:t>131 konsultācija</w:t>
      </w:r>
      <w:r>
        <w:rPr>
          <w:rFonts w:ascii="Times New Roman" w:hAnsi="Times New Roman" w:cs="Times New Roman"/>
          <w:sz w:val="28"/>
          <w:szCs w:val="28"/>
        </w:rPr>
        <w:t xml:space="preserve"> </w:t>
      </w:r>
      <w:r w:rsidR="00371939" w:rsidRPr="00371939">
        <w:rPr>
          <w:rFonts w:ascii="Times New Roman" w:hAnsi="Times New Roman" w:cs="Times New Roman"/>
          <w:sz w:val="28"/>
          <w:szCs w:val="28"/>
        </w:rPr>
        <w:t xml:space="preserve">par ārējās </w:t>
      </w:r>
      <w:r w:rsidR="00371939">
        <w:rPr>
          <w:rFonts w:ascii="Times New Roman" w:hAnsi="Times New Roman" w:cs="Times New Roman"/>
          <w:sz w:val="28"/>
          <w:szCs w:val="28"/>
        </w:rPr>
        <w:t>tirdzniecības jautājumiem</w:t>
      </w:r>
      <w:r w:rsidR="0014431E">
        <w:rPr>
          <w:rFonts w:ascii="Times New Roman" w:hAnsi="Times New Roman" w:cs="Times New Roman"/>
          <w:sz w:val="28"/>
          <w:szCs w:val="28"/>
        </w:rPr>
        <w:t xml:space="preserve"> un</w:t>
      </w:r>
      <w:r w:rsidR="00371939" w:rsidRPr="00371939">
        <w:rPr>
          <w:rFonts w:ascii="Times New Roman" w:hAnsi="Times New Roman" w:cs="Times New Roman"/>
          <w:sz w:val="28"/>
          <w:szCs w:val="28"/>
        </w:rPr>
        <w:t xml:space="preserve"> ES vienoto tirgu</w:t>
      </w:r>
      <w:r w:rsidR="00371939">
        <w:rPr>
          <w:rFonts w:ascii="Times New Roman" w:hAnsi="Times New Roman" w:cs="Times New Roman"/>
          <w:sz w:val="28"/>
          <w:szCs w:val="28"/>
        </w:rPr>
        <w:t xml:space="preserve">, noorganizēti </w:t>
      </w:r>
      <w:r w:rsidR="003E7E9E">
        <w:rPr>
          <w:rFonts w:ascii="Times New Roman" w:hAnsi="Times New Roman" w:cs="Times New Roman"/>
          <w:sz w:val="28"/>
          <w:szCs w:val="28"/>
        </w:rPr>
        <w:t>57</w:t>
      </w:r>
      <w:r w:rsidR="00371939">
        <w:rPr>
          <w:rFonts w:ascii="Times New Roman" w:hAnsi="Times New Roman" w:cs="Times New Roman"/>
          <w:sz w:val="28"/>
          <w:szCs w:val="28"/>
        </w:rPr>
        <w:t xml:space="preserve"> </w:t>
      </w:r>
      <w:r w:rsidR="003E7E9E">
        <w:rPr>
          <w:rFonts w:ascii="Times New Roman" w:hAnsi="Times New Roman" w:cs="Times New Roman"/>
          <w:sz w:val="28"/>
          <w:szCs w:val="28"/>
        </w:rPr>
        <w:t xml:space="preserve">informatīvi un </w:t>
      </w:r>
      <w:r w:rsidR="00371939">
        <w:rPr>
          <w:rFonts w:ascii="Times New Roman" w:hAnsi="Times New Roman" w:cs="Times New Roman"/>
          <w:sz w:val="28"/>
          <w:szCs w:val="28"/>
        </w:rPr>
        <w:t xml:space="preserve">izglītojoši semināri, veikti 38 tehnoloģiju auditi uzņēmumos, </w:t>
      </w:r>
      <w:r w:rsidR="00876423">
        <w:rPr>
          <w:rFonts w:ascii="Times New Roman" w:hAnsi="Times New Roman" w:cs="Times New Roman"/>
          <w:sz w:val="28"/>
          <w:szCs w:val="28"/>
        </w:rPr>
        <w:t xml:space="preserve">noslēgts </w:t>
      </w:r>
      <w:r w:rsidR="0014431E">
        <w:rPr>
          <w:rFonts w:ascii="Times New Roman" w:hAnsi="Times New Roman" w:cs="Times New Roman"/>
          <w:sz w:val="28"/>
          <w:szCs w:val="28"/>
        </w:rPr>
        <w:t>21 tehnoloģiju pārneses līgums</w:t>
      </w:r>
      <w:r w:rsidR="005D5360">
        <w:rPr>
          <w:rFonts w:ascii="Times New Roman" w:hAnsi="Times New Roman" w:cs="Times New Roman"/>
          <w:sz w:val="28"/>
          <w:szCs w:val="28"/>
        </w:rPr>
        <w:t>, kā arī veiktas citas uzņēmējdarbības informatīvās un konsultāciju atbalsta aktivitātes.</w:t>
      </w:r>
    </w:p>
    <w:p w:rsidR="003765EA" w:rsidRDefault="003E7E9E" w:rsidP="000C3A5A">
      <w:pPr>
        <w:spacing w:after="0" w:line="240" w:lineRule="auto"/>
        <w:ind w:firstLine="709"/>
        <w:jc w:val="both"/>
        <w:rPr>
          <w:rFonts w:ascii="Times New Roman" w:hAnsi="Times New Roman" w:cs="Times New Roman"/>
          <w:sz w:val="28"/>
          <w:szCs w:val="28"/>
        </w:rPr>
      </w:pPr>
      <w:r w:rsidRPr="003C40AE">
        <w:rPr>
          <w:rFonts w:ascii="Times New Roman" w:hAnsi="Times New Roman" w:cs="Times New Roman"/>
          <w:color w:val="000000" w:themeColor="text1"/>
          <w:sz w:val="28"/>
          <w:szCs w:val="28"/>
        </w:rPr>
        <w:t>Tāpat</w:t>
      </w:r>
      <w:r w:rsidR="00AF0A0B" w:rsidRPr="003C40AE">
        <w:rPr>
          <w:rFonts w:ascii="Times New Roman" w:hAnsi="Times New Roman" w:cs="Times New Roman"/>
          <w:color w:val="000000" w:themeColor="text1"/>
          <w:sz w:val="28"/>
          <w:szCs w:val="28"/>
        </w:rPr>
        <w:t xml:space="preserve"> </w:t>
      </w:r>
      <w:r w:rsidR="0085494E" w:rsidRPr="003C40AE">
        <w:rPr>
          <w:rFonts w:ascii="Times New Roman" w:hAnsi="Times New Roman" w:cs="Times New Roman"/>
          <w:color w:val="000000" w:themeColor="text1"/>
          <w:sz w:val="28"/>
          <w:szCs w:val="28"/>
        </w:rPr>
        <w:t xml:space="preserve">2010.gadā </w:t>
      </w:r>
      <w:r w:rsidRPr="003C40AE">
        <w:rPr>
          <w:rFonts w:ascii="Times New Roman" w:hAnsi="Times New Roman" w:cs="Times New Roman"/>
          <w:color w:val="000000" w:themeColor="text1"/>
          <w:sz w:val="28"/>
          <w:szCs w:val="28"/>
        </w:rPr>
        <w:t xml:space="preserve">tika </w:t>
      </w:r>
      <w:r w:rsidR="00A857A8">
        <w:rPr>
          <w:rFonts w:ascii="Times New Roman" w:hAnsi="Times New Roman" w:cs="Times New Roman"/>
          <w:color w:val="000000" w:themeColor="text1"/>
          <w:sz w:val="28"/>
          <w:szCs w:val="28"/>
        </w:rPr>
        <w:t>organizēts konkurss</w:t>
      </w:r>
      <w:r w:rsidR="0085494E" w:rsidRPr="003C40AE">
        <w:rPr>
          <w:rFonts w:ascii="Times New Roman" w:hAnsi="Times New Roman" w:cs="Times New Roman"/>
          <w:color w:val="000000" w:themeColor="text1"/>
          <w:sz w:val="28"/>
          <w:szCs w:val="28"/>
        </w:rPr>
        <w:t xml:space="preserve"> „Eksporta </w:t>
      </w:r>
      <w:r w:rsidR="000C3A5A" w:rsidRPr="003C40AE">
        <w:rPr>
          <w:rFonts w:ascii="Times New Roman" w:hAnsi="Times New Roman" w:cs="Times New Roman"/>
          <w:color w:val="000000" w:themeColor="text1"/>
          <w:sz w:val="28"/>
          <w:szCs w:val="28"/>
        </w:rPr>
        <w:t>un inovācijas gada balva 2010”</w:t>
      </w:r>
      <w:r w:rsidR="00A857A8">
        <w:rPr>
          <w:rFonts w:ascii="Times New Roman" w:hAnsi="Times New Roman" w:cs="Times New Roman"/>
          <w:color w:val="000000" w:themeColor="text1"/>
          <w:sz w:val="28"/>
          <w:szCs w:val="28"/>
        </w:rPr>
        <w:t>, kura</w:t>
      </w:r>
      <w:r w:rsidRPr="003C40AE">
        <w:rPr>
          <w:rFonts w:ascii="Times New Roman" w:hAnsi="Times New Roman" w:cs="Times New Roman"/>
          <w:color w:val="000000" w:themeColor="text1"/>
          <w:sz w:val="28"/>
          <w:szCs w:val="28"/>
        </w:rPr>
        <w:t xml:space="preserve"> mērķis ir sekmēt komersantu konkurētspēju, veicināt produktu eksporta apjoma pieaugumu, kā </w:t>
      </w:r>
      <w:r w:rsidR="003C40AE" w:rsidRPr="003C40AE">
        <w:rPr>
          <w:rFonts w:ascii="Times New Roman" w:hAnsi="Times New Roman" w:cs="Times New Roman"/>
          <w:color w:val="000000" w:themeColor="text1"/>
          <w:sz w:val="28"/>
          <w:szCs w:val="28"/>
        </w:rPr>
        <w:t>a</w:t>
      </w:r>
      <w:r w:rsidRPr="003C40AE">
        <w:rPr>
          <w:rFonts w:ascii="Times New Roman" w:hAnsi="Times New Roman" w:cs="Times New Roman"/>
          <w:color w:val="000000" w:themeColor="text1"/>
          <w:sz w:val="28"/>
          <w:szCs w:val="28"/>
        </w:rPr>
        <w:t>rī sekmēt inovāciju, izvērtējot komersantu rezultātus un atzinīgi novērtējot sekmīgākos komersantus un to produktus</w:t>
      </w:r>
      <w:r w:rsidR="000C3A5A" w:rsidRPr="003C40AE">
        <w:rPr>
          <w:rFonts w:ascii="Times New Roman" w:hAnsi="Times New Roman" w:cs="Times New Roman"/>
          <w:color w:val="000000" w:themeColor="text1"/>
          <w:sz w:val="28"/>
          <w:szCs w:val="28"/>
        </w:rPr>
        <w:t>.</w:t>
      </w:r>
      <w:r w:rsidR="000C3A5A">
        <w:rPr>
          <w:rFonts w:ascii="Times New Roman" w:hAnsi="Times New Roman" w:cs="Times New Roman"/>
          <w:sz w:val="28"/>
          <w:szCs w:val="28"/>
        </w:rPr>
        <w:t xml:space="preserve"> </w:t>
      </w:r>
      <w:r w:rsidR="0085494E" w:rsidRPr="0085494E">
        <w:rPr>
          <w:rFonts w:ascii="Times New Roman" w:hAnsi="Times New Roman" w:cs="Times New Roman"/>
          <w:sz w:val="28"/>
          <w:szCs w:val="28"/>
        </w:rPr>
        <w:t xml:space="preserve">Konkursam tika saņemti pieteikumi </w:t>
      </w:r>
      <w:r w:rsidR="003C40AE">
        <w:rPr>
          <w:rFonts w:ascii="Times New Roman" w:hAnsi="Times New Roman" w:cs="Times New Roman"/>
          <w:sz w:val="28"/>
          <w:szCs w:val="28"/>
        </w:rPr>
        <w:t>sekojošās</w:t>
      </w:r>
      <w:r w:rsidR="0085494E" w:rsidRPr="0085494E">
        <w:rPr>
          <w:rFonts w:ascii="Times New Roman" w:hAnsi="Times New Roman" w:cs="Times New Roman"/>
          <w:sz w:val="28"/>
          <w:szCs w:val="28"/>
        </w:rPr>
        <w:t xml:space="preserve"> kategorijās</w:t>
      </w:r>
      <w:r w:rsidR="005D5360">
        <w:rPr>
          <w:rFonts w:ascii="Times New Roman" w:hAnsi="Times New Roman" w:cs="Times New Roman"/>
          <w:sz w:val="28"/>
          <w:szCs w:val="28"/>
        </w:rPr>
        <w:t>:</w:t>
      </w:r>
      <w:r w:rsidR="003C40AE">
        <w:rPr>
          <w:rFonts w:ascii="Times New Roman" w:hAnsi="Times New Roman" w:cs="Times New Roman"/>
          <w:sz w:val="28"/>
          <w:szCs w:val="28"/>
        </w:rPr>
        <w:t xml:space="preserve"> </w:t>
      </w:r>
      <w:r w:rsidR="003C40AE">
        <w:rPr>
          <w:rFonts w:ascii="Times New Roman" w:eastAsia="Times New Roman" w:hAnsi="Times New Roman" w:cs="Times New Roman"/>
          <w:bCs/>
          <w:sz w:val="28"/>
          <w:szCs w:val="28"/>
          <w:lang w:eastAsia="lv-LV"/>
        </w:rPr>
        <w:t>e</w:t>
      </w:r>
      <w:r w:rsidR="003C40AE" w:rsidRPr="003C40AE">
        <w:rPr>
          <w:rFonts w:ascii="Times New Roman" w:eastAsia="Times New Roman" w:hAnsi="Times New Roman" w:cs="Times New Roman"/>
          <w:bCs/>
          <w:sz w:val="28"/>
          <w:szCs w:val="28"/>
          <w:lang w:eastAsia="lv-LV"/>
        </w:rPr>
        <w:t>ksportspējīgākais komersants</w:t>
      </w:r>
      <w:r w:rsidR="005D5360">
        <w:rPr>
          <w:rFonts w:ascii="Times New Roman" w:eastAsia="Times New Roman" w:hAnsi="Times New Roman" w:cs="Times New Roman"/>
          <w:bCs/>
          <w:sz w:val="28"/>
          <w:szCs w:val="28"/>
          <w:lang w:eastAsia="lv-LV"/>
        </w:rPr>
        <w:t xml:space="preserve"> (mazo un lielo/vidējo komercsabiedrību grupā</w:t>
      </w:r>
      <w:r w:rsidR="00CE2DCC">
        <w:rPr>
          <w:rFonts w:ascii="Times New Roman" w:eastAsia="Times New Roman" w:hAnsi="Times New Roman" w:cs="Times New Roman"/>
          <w:bCs/>
          <w:sz w:val="28"/>
          <w:szCs w:val="28"/>
          <w:lang w:eastAsia="lv-LV"/>
        </w:rPr>
        <w:t>)</w:t>
      </w:r>
      <w:r w:rsidR="003C40AE" w:rsidRPr="003C40AE">
        <w:rPr>
          <w:rFonts w:ascii="Times New Roman" w:eastAsia="Times New Roman" w:hAnsi="Times New Roman" w:cs="Times New Roman"/>
          <w:bCs/>
          <w:sz w:val="28"/>
          <w:szCs w:val="28"/>
          <w:lang w:eastAsia="lv-LV"/>
        </w:rPr>
        <w:t xml:space="preserve">, </w:t>
      </w:r>
      <w:r w:rsidR="003C40AE">
        <w:rPr>
          <w:rFonts w:ascii="Times New Roman" w:eastAsia="Times New Roman" w:hAnsi="Times New Roman" w:cs="Times New Roman"/>
          <w:bCs/>
          <w:sz w:val="28"/>
          <w:szCs w:val="28"/>
          <w:lang w:eastAsia="lv-LV"/>
        </w:rPr>
        <w:t>i</w:t>
      </w:r>
      <w:r w:rsidR="003C40AE" w:rsidRPr="003C40AE">
        <w:rPr>
          <w:rFonts w:ascii="Times New Roman" w:eastAsia="Times New Roman" w:hAnsi="Times New Roman" w:cs="Times New Roman"/>
          <w:bCs/>
          <w:sz w:val="28"/>
          <w:szCs w:val="28"/>
          <w:lang w:eastAsia="lv-LV"/>
        </w:rPr>
        <w:t xml:space="preserve">mporta aizstājējprodukts, </w:t>
      </w:r>
      <w:proofErr w:type="spellStart"/>
      <w:r w:rsidR="003C40AE">
        <w:rPr>
          <w:rFonts w:ascii="Times New Roman" w:eastAsia="Times New Roman" w:hAnsi="Times New Roman" w:cs="Times New Roman"/>
          <w:bCs/>
          <w:sz w:val="28"/>
          <w:szCs w:val="28"/>
          <w:lang w:eastAsia="lv-LV"/>
        </w:rPr>
        <w:t>i</w:t>
      </w:r>
      <w:r w:rsidR="003C40AE" w:rsidRPr="003C40AE">
        <w:rPr>
          <w:rFonts w:ascii="Times New Roman" w:eastAsia="Times New Roman" w:hAnsi="Times New Roman" w:cs="Times New Roman"/>
          <w:bCs/>
          <w:sz w:val="28"/>
          <w:szCs w:val="28"/>
          <w:lang w:eastAsia="lv-LV"/>
        </w:rPr>
        <w:t>novatīvākais</w:t>
      </w:r>
      <w:proofErr w:type="spellEnd"/>
      <w:r w:rsidR="003C40AE" w:rsidRPr="003C40AE">
        <w:rPr>
          <w:rFonts w:ascii="Times New Roman" w:eastAsia="Times New Roman" w:hAnsi="Times New Roman" w:cs="Times New Roman"/>
          <w:bCs/>
          <w:sz w:val="28"/>
          <w:szCs w:val="28"/>
          <w:lang w:eastAsia="lv-LV"/>
        </w:rPr>
        <w:t xml:space="preserve"> produkts, </w:t>
      </w:r>
      <w:r w:rsidR="003C40AE">
        <w:rPr>
          <w:rFonts w:ascii="Times New Roman" w:eastAsia="Times New Roman" w:hAnsi="Times New Roman" w:cs="Times New Roman"/>
          <w:bCs/>
          <w:sz w:val="28"/>
          <w:szCs w:val="28"/>
          <w:lang w:eastAsia="lv-LV"/>
        </w:rPr>
        <w:t>r</w:t>
      </w:r>
      <w:r w:rsidR="003C40AE" w:rsidRPr="003C40AE">
        <w:rPr>
          <w:rFonts w:ascii="Times New Roman" w:eastAsia="Times New Roman" w:hAnsi="Times New Roman" w:cs="Times New Roman"/>
          <w:bCs/>
          <w:sz w:val="28"/>
          <w:szCs w:val="28"/>
          <w:lang w:eastAsia="lv-LV"/>
        </w:rPr>
        <w:t xml:space="preserve">ūpnieciskais </w:t>
      </w:r>
      <w:r w:rsidR="003765EA" w:rsidRPr="003C40AE">
        <w:rPr>
          <w:rFonts w:ascii="Times New Roman" w:eastAsia="Times New Roman" w:hAnsi="Times New Roman" w:cs="Times New Roman"/>
          <w:bCs/>
          <w:sz w:val="28"/>
          <w:szCs w:val="28"/>
          <w:lang w:eastAsia="lv-LV"/>
        </w:rPr>
        <w:t>dizains.</w:t>
      </w:r>
    </w:p>
    <w:p w:rsidR="000C3A5A" w:rsidRDefault="003765EA" w:rsidP="000C3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Atsevišķi</w:t>
      </w:r>
      <w:r w:rsidR="000C3A5A">
        <w:rPr>
          <w:rFonts w:ascii="Times New Roman" w:hAnsi="Times New Roman" w:cs="Times New Roman"/>
          <w:sz w:val="28"/>
          <w:szCs w:val="28"/>
        </w:rPr>
        <w:t xml:space="preserve"> pasākumi 2010.gadā tika veikti, lai informētu </w:t>
      </w:r>
      <w:r w:rsidR="00B872DC">
        <w:rPr>
          <w:rFonts w:ascii="Times New Roman" w:hAnsi="Times New Roman" w:cs="Times New Roman"/>
          <w:sz w:val="28"/>
          <w:szCs w:val="28"/>
        </w:rPr>
        <w:t xml:space="preserve">gan </w:t>
      </w:r>
      <w:r w:rsidR="000C3A5A" w:rsidRPr="0085494E">
        <w:rPr>
          <w:rFonts w:ascii="Times New Roman" w:hAnsi="Times New Roman" w:cs="Times New Roman"/>
          <w:sz w:val="28"/>
          <w:szCs w:val="28"/>
        </w:rPr>
        <w:t>patērētāj</w:t>
      </w:r>
      <w:r w:rsidR="000C3A5A">
        <w:rPr>
          <w:rFonts w:ascii="Times New Roman" w:hAnsi="Times New Roman" w:cs="Times New Roman"/>
          <w:sz w:val="28"/>
          <w:szCs w:val="28"/>
        </w:rPr>
        <w:t>us</w:t>
      </w:r>
      <w:r w:rsidR="000C3A5A" w:rsidRPr="0085494E">
        <w:rPr>
          <w:rFonts w:ascii="Times New Roman" w:hAnsi="Times New Roman" w:cs="Times New Roman"/>
          <w:sz w:val="28"/>
          <w:szCs w:val="28"/>
        </w:rPr>
        <w:t xml:space="preserve"> par patērētāju </w:t>
      </w:r>
      <w:r w:rsidR="000C3A5A">
        <w:rPr>
          <w:rFonts w:ascii="Times New Roman" w:hAnsi="Times New Roman" w:cs="Times New Roman"/>
          <w:sz w:val="28"/>
          <w:szCs w:val="28"/>
        </w:rPr>
        <w:t>tiesību aizsardzību</w:t>
      </w:r>
      <w:r w:rsidR="00B872DC">
        <w:rPr>
          <w:rFonts w:ascii="Times New Roman" w:hAnsi="Times New Roman" w:cs="Times New Roman"/>
          <w:sz w:val="28"/>
          <w:szCs w:val="28"/>
        </w:rPr>
        <w:t>, gan uzņēmējus un patērētājus par</w:t>
      </w:r>
      <w:r w:rsidR="000C3A5A">
        <w:rPr>
          <w:rFonts w:ascii="Times New Roman" w:hAnsi="Times New Roman" w:cs="Times New Roman"/>
          <w:sz w:val="28"/>
          <w:szCs w:val="28"/>
        </w:rPr>
        <w:t xml:space="preserve"> drošību i</w:t>
      </w:r>
      <w:r w:rsidR="000C3A5A" w:rsidRPr="0085494E">
        <w:rPr>
          <w:rFonts w:ascii="Times New Roman" w:hAnsi="Times New Roman" w:cs="Times New Roman"/>
          <w:sz w:val="28"/>
          <w:szCs w:val="28"/>
        </w:rPr>
        <w:t>nternetā</w:t>
      </w:r>
      <w:r w:rsidR="000C3A5A">
        <w:rPr>
          <w:rFonts w:ascii="Times New Roman" w:hAnsi="Times New Roman" w:cs="Times New Roman"/>
          <w:sz w:val="28"/>
          <w:szCs w:val="28"/>
        </w:rPr>
        <w:t xml:space="preserve">, kā arī veicot pirkumus internetā. Šim nolūkam Patērētāju tiesību aizsardzības centrs īstenojis dažādus izglītojošus seminārus, </w:t>
      </w:r>
      <w:r w:rsidR="00B872DC">
        <w:rPr>
          <w:rFonts w:ascii="Times New Roman" w:hAnsi="Times New Roman" w:cs="Times New Roman"/>
          <w:sz w:val="28"/>
          <w:szCs w:val="28"/>
        </w:rPr>
        <w:t xml:space="preserve">piemēram, </w:t>
      </w:r>
      <w:r w:rsidR="00B872DC" w:rsidRPr="00B872DC">
        <w:rPr>
          <w:rFonts w:ascii="Times New Roman" w:hAnsi="Times New Roman" w:cs="Times New Roman"/>
          <w:sz w:val="28"/>
          <w:szCs w:val="28"/>
        </w:rPr>
        <w:t>„Kas jāzina uzņēmējam, piedāvājot preces interneta vidē?”</w:t>
      </w:r>
      <w:r w:rsidR="000B3D53">
        <w:rPr>
          <w:rFonts w:ascii="Times New Roman" w:hAnsi="Times New Roman" w:cs="Times New Roman"/>
          <w:sz w:val="28"/>
          <w:szCs w:val="28"/>
        </w:rPr>
        <w:t>,</w:t>
      </w:r>
      <w:r w:rsidR="00B872DC" w:rsidRPr="00B872DC">
        <w:rPr>
          <w:rFonts w:ascii="Times New Roman" w:hAnsi="Times New Roman" w:cs="Times New Roman"/>
          <w:sz w:val="28"/>
          <w:szCs w:val="28"/>
        </w:rPr>
        <w:t xml:space="preserve"> </w:t>
      </w:r>
      <w:r w:rsidR="000B3D53" w:rsidRPr="000B3D53">
        <w:rPr>
          <w:rFonts w:ascii="Times New Roman" w:hAnsi="Times New Roman" w:cs="Times New Roman"/>
          <w:sz w:val="28"/>
          <w:szCs w:val="28"/>
        </w:rPr>
        <w:t xml:space="preserve">„Kas jāzina iepērkoties ES?”, tajā skaitā </w:t>
      </w:r>
      <w:r w:rsidR="00262DFE">
        <w:rPr>
          <w:rFonts w:ascii="Times New Roman" w:hAnsi="Times New Roman" w:cs="Times New Roman"/>
          <w:sz w:val="28"/>
          <w:szCs w:val="28"/>
        </w:rPr>
        <w:lastRenderedPageBreak/>
        <w:t xml:space="preserve">organizētas </w:t>
      </w:r>
      <w:r w:rsidR="00262DFE" w:rsidRPr="00262DFE">
        <w:rPr>
          <w:rFonts w:ascii="Times New Roman" w:hAnsi="Times New Roman" w:cs="Times New Roman"/>
          <w:sz w:val="28"/>
          <w:szCs w:val="28"/>
        </w:rPr>
        <w:t>uzņēmēj</w:t>
      </w:r>
      <w:r w:rsidR="00262DFE">
        <w:rPr>
          <w:rFonts w:ascii="Times New Roman" w:hAnsi="Times New Roman" w:cs="Times New Roman"/>
          <w:sz w:val="28"/>
          <w:szCs w:val="28"/>
        </w:rPr>
        <w:t>u</w:t>
      </w:r>
      <w:r w:rsidR="00262DFE" w:rsidRPr="00262DFE">
        <w:rPr>
          <w:rFonts w:ascii="Times New Roman" w:hAnsi="Times New Roman" w:cs="Times New Roman"/>
          <w:sz w:val="28"/>
          <w:szCs w:val="28"/>
        </w:rPr>
        <w:t xml:space="preserve">, </w:t>
      </w:r>
      <w:r w:rsidR="00262DFE">
        <w:rPr>
          <w:rFonts w:ascii="Times New Roman" w:hAnsi="Times New Roman" w:cs="Times New Roman"/>
          <w:sz w:val="28"/>
          <w:szCs w:val="28"/>
        </w:rPr>
        <w:t>nevalstisko organizāciju</w:t>
      </w:r>
      <w:r w:rsidR="00262DFE" w:rsidRPr="00262DFE">
        <w:rPr>
          <w:rFonts w:ascii="Times New Roman" w:hAnsi="Times New Roman" w:cs="Times New Roman"/>
          <w:sz w:val="28"/>
          <w:szCs w:val="28"/>
        </w:rPr>
        <w:t xml:space="preserve"> un valsts institūcij</w:t>
      </w:r>
      <w:r w:rsidR="00262DFE">
        <w:rPr>
          <w:rFonts w:ascii="Times New Roman" w:hAnsi="Times New Roman" w:cs="Times New Roman"/>
          <w:sz w:val="28"/>
          <w:szCs w:val="28"/>
        </w:rPr>
        <w:t>u pārstāvju</w:t>
      </w:r>
      <w:r w:rsidR="00262DFE" w:rsidRPr="00262DFE">
        <w:rPr>
          <w:rFonts w:ascii="Times New Roman" w:hAnsi="Times New Roman" w:cs="Times New Roman"/>
          <w:sz w:val="28"/>
          <w:szCs w:val="28"/>
        </w:rPr>
        <w:t xml:space="preserve"> </w:t>
      </w:r>
      <w:r w:rsidR="000B3D53" w:rsidRPr="000B3D53">
        <w:rPr>
          <w:rFonts w:ascii="Times New Roman" w:hAnsi="Times New Roman" w:cs="Times New Roman"/>
          <w:sz w:val="28"/>
          <w:szCs w:val="28"/>
        </w:rPr>
        <w:t>diskusija ar mērķi sekmēt nozaru speciālistu un e-komersantu dialogu patērētāju tiesību aizsardzības jomā un aktualizēt jautājumus par šķēršļiem un tiesībām elektroniskajā vidē.</w:t>
      </w:r>
    </w:p>
    <w:p w:rsidR="001272C8" w:rsidRPr="004130BC" w:rsidRDefault="001272C8" w:rsidP="004130BC">
      <w:pPr>
        <w:spacing w:after="0" w:line="240" w:lineRule="auto"/>
        <w:jc w:val="both"/>
        <w:rPr>
          <w:rFonts w:ascii="Times New Roman" w:hAnsi="Times New Roman" w:cs="Times New Roman"/>
          <w:b/>
          <w:sz w:val="28"/>
          <w:szCs w:val="28"/>
        </w:rPr>
      </w:pPr>
    </w:p>
    <w:p w:rsidR="004130BC" w:rsidRDefault="004130BC" w:rsidP="00B85B1F">
      <w:pPr>
        <w:pStyle w:val="ListParagraph"/>
        <w:numPr>
          <w:ilvl w:val="1"/>
          <w:numId w:val="8"/>
        </w:numPr>
        <w:spacing w:after="0" w:line="24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R</w:t>
      </w:r>
      <w:r w:rsidRPr="004130BC">
        <w:rPr>
          <w:rFonts w:ascii="Times New Roman" w:hAnsi="Times New Roman" w:cs="Times New Roman"/>
          <w:b/>
          <w:sz w:val="28"/>
          <w:szCs w:val="28"/>
        </w:rPr>
        <w:t>ūpniecības, izglītīb</w:t>
      </w:r>
      <w:r>
        <w:rPr>
          <w:rFonts w:ascii="Times New Roman" w:hAnsi="Times New Roman" w:cs="Times New Roman"/>
          <w:b/>
          <w:sz w:val="28"/>
          <w:szCs w:val="28"/>
        </w:rPr>
        <w:t xml:space="preserve">as un zinātnes sektoru </w:t>
      </w:r>
      <w:r w:rsidR="00790FC4">
        <w:rPr>
          <w:rFonts w:ascii="Times New Roman" w:hAnsi="Times New Roman" w:cs="Times New Roman"/>
          <w:b/>
          <w:sz w:val="28"/>
          <w:szCs w:val="28"/>
        </w:rPr>
        <w:t>sadarbības</w:t>
      </w:r>
      <w:r>
        <w:rPr>
          <w:rFonts w:ascii="Times New Roman" w:hAnsi="Times New Roman" w:cs="Times New Roman"/>
          <w:b/>
          <w:sz w:val="28"/>
          <w:szCs w:val="28"/>
        </w:rPr>
        <w:t>, zināšanu pārneses</w:t>
      </w:r>
      <w:r w:rsidRPr="004130BC">
        <w:rPr>
          <w:rFonts w:ascii="Times New Roman" w:hAnsi="Times New Roman" w:cs="Times New Roman"/>
          <w:b/>
          <w:sz w:val="28"/>
          <w:szCs w:val="28"/>
        </w:rPr>
        <w:t xml:space="preserve"> u</w:t>
      </w:r>
      <w:r>
        <w:rPr>
          <w:rFonts w:ascii="Times New Roman" w:hAnsi="Times New Roman" w:cs="Times New Roman"/>
          <w:b/>
          <w:sz w:val="28"/>
          <w:szCs w:val="28"/>
        </w:rPr>
        <w:t>n</w:t>
      </w:r>
      <w:r w:rsidR="00790FC4">
        <w:rPr>
          <w:rFonts w:ascii="Times New Roman" w:hAnsi="Times New Roman" w:cs="Times New Roman"/>
          <w:b/>
          <w:sz w:val="28"/>
          <w:szCs w:val="28"/>
        </w:rPr>
        <w:t xml:space="preserve"> komercializācijas sekmēšana</w:t>
      </w:r>
    </w:p>
    <w:p w:rsidR="004130BC" w:rsidRPr="00B16B00" w:rsidRDefault="004130BC" w:rsidP="004130BC">
      <w:pPr>
        <w:spacing w:after="0" w:line="240" w:lineRule="auto"/>
        <w:jc w:val="both"/>
        <w:rPr>
          <w:rFonts w:ascii="Times New Roman" w:hAnsi="Times New Roman" w:cs="Times New Roman"/>
          <w:sz w:val="28"/>
          <w:szCs w:val="28"/>
        </w:rPr>
      </w:pPr>
    </w:p>
    <w:p w:rsidR="001272C8" w:rsidRDefault="00BF3ED7" w:rsidP="00C514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2010.gadā </w:t>
      </w:r>
      <w:r w:rsidR="00C514FF">
        <w:rPr>
          <w:rFonts w:ascii="Times New Roman" w:hAnsi="Times New Roman" w:cs="Times New Roman"/>
          <w:sz w:val="28"/>
          <w:szCs w:val="28"/>
        </w:rPr>
        <w:t xml:space="preserve">īstenotas vairākas aktivitātes ar mērķi uzlabot </w:t>
      </w:r>
      <w:r w:rsidR="0007479C">
        <w:rPr>
          <w:rFonts w:ascii="Times New Roman" w:hAnsi="Times New Roman" w:cs="Times New Roman"/>
          <w:sz w:val="28"/>
          <w:szCs w:val="28"/>
        </w:rPr>
        <w:t>sadarbību starp rūpniecības sektoru un pētniecības sektoru, lai nodrošinātu tehnoloģiju un zināšanu pārnesi un jaunu tehnoloģiju un produktu izstrādi.</w:t>
      </w:r>
    </w:p>
    <w:p w:rsidR="0007479C" w:rsidRDefault="0007479C" w:rsidP="00C514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2010.gadā tika </w:t>
      </w:r>
      <w:r w:rsidRPr="0007479C">
        <w:rPr>
          <w:rFonts w:ascii="Times New Roman" w:hAnsi="Times New Roman" w:cs="Times New Roman"/>
          <w:sz w:val="28"/>
          <w:szCs w:val="28"/>
        </w:rPr>
        <w:t>uzsākta valsts atbalsta programmas „Kompetenc</w:t>
      </w:r>
      <w:r>
        <w:rPr>
          <w:rFonts w:ascii="Times New Roman" w:hAnsi="Times New Roman" w:cs="Times New Roman"/>
          <w:sz w:val="28"/>
          <w:szCs w:val="28"/>
        </w:rPr>
        <w:t>es centri” praktiskā īstenošana</w:t>
      </w:r>
      <w:r w:rsidR="001B37E1">
        <w:rPr>
          <w:rFonts w:ascii="Times New Roman" w:hAnsi="Times New Roman" w:cs="Times New Roman"/>
          <w:sz w:val="28"/>
          <w:szCs w:val="28"/>
        </w:rPr>
        <w:t xml:space="preserve"> un gada beigās tika</w:t>
      </w:r>
      <w:r>
        <w:rPr>
          <w:rFonts w:ascii="Times New Roman" w:hAnsi="Times New Roman" w:cs="Times New Roman"/>
          <w:sz w:val="28"/>
          <w:szCs w:val="28"/>
        </w:rPr>
        <w:t xml:space="preserve"> pieņemts lēmums par </w:t>
      </w:r>
      <w:r w:rsidR="001B37E1">
        <w:rPr>
          <w:rFonts w:ascii="Times New Roman" w:hAnsi="Times New Roman" w:cs="Times New Roman"/>
          <w:sz w:val="28"/>
          <w:szCs w:val="28"/>
        </w:rPr>
        <w:t xml:space="preserve">atbalsta piešķiršanu </w:t>
      </w:r>
      <w:r>
        <w:rPr>
          <w:rFonts w:ascii="Times New Roman" w:hAnsi="Times New Roman" w:cs="Times New Roman"/>
          <w:sz w:val="28"/>
          <w:szCs w:val="28"/>
        </w:rPr>
        <w:t>Kompetences centr</w:t>
      </w:r>
      <w:r w:rsidR="001B37E1">
        <w:rPr>
          <w:rFonts w:ascii="Times New Roman" w:hAnsi="Times New Roman" w:cs="Times New Roman"/>
          <w:sz w:val="28"/>
          <w:szCs w:val="28"/>
        </w:rPr>
        <w:t>iem</w:t>
      </w:r>
      <w:r w:rsidR="0033729E">
        <w:rPr>
          <w:rFonts w:ascii="Times New Roman" w:hAnsi="Times New Roman" w:cs="Times New Roman"/>
          <w:sz w:val="28"/>
          <w:szCs w:val="28"/>
        </w:rPr>
        <w:t xml:space="preserve"> </w:t>
      </w:r>
      <w:r w:rsidRPr="0007479C">
        <w:rPr>
          <w:rFonts w:ascii="Times New Roman" w:hAnsi="Times New Roman" w:cs="Times New Roman"/>
          <w:sz w:val="28"/>
          <w:szCs w:val="28"/>
        </w:rPr>
        <w:t>sešās Latvijas tautsaimniecība</w:t>
      </w:r>
      <w:r>
        <w:rPr>
          <w:rFonts w:ascii="Times New Roman" w:hAnsi="Times New Roman" w:cs="Times New Roman"/>
          <w:sz w:val="28"/>
          <w:szCs w:val="28"/>
        </w:rPr>
        <w:t>i</w:t>
      </w:r>
      <w:r w:rsidRPr="0007479C">
        <w:rPr>
          <w:rFonts w:ascii="Times New Roman" w:hAnsi="Times New Roman" w:cs="Times New Roman"/>
          <w:sz w:val="28"/>
          <w:szCs w:val="28"/>
        </w:rPr>
        <w:t xml:space="preserve"> nozīmīgās </w:t>
      </w:r>
      <w:r>
        <w:rPr>
          <w:rFonts w:ascii="Times New Roman" w:hAnsi="Times New Roman" w:cs="Times New Roman"/>
          <w:sz w:val="28"/>
          <w:szCs w:val="28"/>
        </w:rPr>
        <w:t xml:space="preserve">jomās: (1) </w:t>
      </w:r>
      <w:r w:rsidRPr="0007479C">
        <w:rPr>
          <w:rFonts w:ascii="Times New Roman" w:hAnsi="Times New Roman" w:cs="Times New Roman"/>
          <w:sz w:val="28"/>
          <w:szCs w:val="28"/>
        </w:rPr>
        <w:t>farmācij</w:t>
      </w:r>
      <w:r w:rsidR="005D5360">
        <w:rPr>
          <w:rFonts w:ascii="Times New Roman" w:hAnsi="Times New Roman" w:cs="Times New Roman"/>
          <w:sz w:val="28"/>
          <w:szCs w:val="28"/>
        </w:rPr>
        <w:t>a</w:t>
      </w:r>
      <w:r w:rsidRPr="0007479C">
        <w:rPr>
          <w:rFonts w:ascii="Times New Roman" w:hAnsi="Times New Roman" w:cs="Times New Roman"/>
          <w:sz w:val="28"/>
          <w:szCs w:val="28"/>
        </w:rPr>
        <w:t xml:space="preserve"> un ķīmiskā rūpniecīb</w:t>
      </w:r>
      <w:r w:rsidR="005D5360">
        <w:rPr>
          <w:rFonts w:ascii="Times New Roman" w:hAnsi="Times New Roman" w:cs="Times New Roman"/>
          <w:sz w:val="28"/>
          <w:szCs w:val="28"/>
        </w:rPr>
        <w:t>a</w:t>
      </w:r>
      <w:r w:rsidRPr="0007479C">
        <w:rPr>
          <w:rFonts w:ascii="Times New Roman" w:hAnsi="Times New Roman" w:cs="Times New Roman"/>
          <w:sz w:val="28"/>
          <w:szCs w:val="28"/>
        </w:rPr>
        <w:t>;</w:t>
      </w:r>
      <w:r>
        <w:rPr>
          <w:rFonts w:ascii="Times New Roman" w:hAnsi="Times New Roman" w:cs="Times New Roman"/>
          <w:sz w:val="28"/>
          <w:szCs w:val="28"/>
        </w:rPr>
        <w:t xml:space="preserve"> (2) informācijas un komunikācijas</w:t>
      </w:r>
      <w:r w:rsidRPr="0007479C">
        <w:rPr>
          <w:rFonts w:ascii="Times New Roman" w:hAnsi="Times New Roman" w:cs="Times New Roman"/>
          <w:sz w:val="28"/>
          <w:szCs w:val="28"/>
        </w:rPr>
        <w:t xml:space="preserve"> tehnoloģij</w:t>
      </w:r>
      <w:r w:rsidR="005D5360">
        <w:rPr>
          <w:rFonts w:ascii="Times New Roman" w:hAnsi="Times New Roman" w:cs="Times New Roman"/>
          <w:sz w:val="28"/>
          <w:szCs w:val="28"/>
        </w:rPr>
        <w:t>a</w:t>
      </w:r>
      <w:r w:rsidRPr="0007479C">
        <w:rPr>
          <w:rFonts w:ascii="Times New Roman" w:hAnsi="Times New Roman" w:cs="Times New Roman"/>
          <w:sz w:val="28"/>
          <w:szCs w:val="28"/>
        </w:rPr>
        <w:t>s;</w:t>
      </w:r>
      <w:r>
        <w:rPr>
          <w:rFonts w:ascii="Times New Roman" w:hAnsi="Times New Roman" w:cs="Times New Roman"/>
          <w:sz w:val="28"/>
          <w:szCs w:val="28"/>
        </w:rPr>
        <w:t xml:space="preserve"> (3) </w:t>
      </w:r>
      <w:r w:rsidRPr="0007479C">
        <w:rPr>
          <w:rFonts w:ascii="Times New Roman" w:hAnsi="Times New Roman" w:cs="Times New Roman"/>
          <w:sz w:val="28"/>
          <w:szCs w:val="28"/>
        </w:rPr>
        <w:t>meža nozar</w:t>
      </w:r>
      <w:r w:rsidR="005D5360">
        <w:rPr>
          <w:rFonts w:ascii="Times New Roman" w:hAnsi="Times New Roman" w:cs="Times New Roman"/>
          <w:sz w:val="28"/>
          <w:szCs w:val="28"/>
        </w:rPr>
        <w:t>e</w:t>
      </w:r>
      <w:r w:rsidRPr="0007479C">
        <w:rPr>
          <w:rFonts w:ascii="Times New Roman" w:hAnsi="Times New Roman" w:cs="Times New Roman"/>
          <w:sz w:val="28"/>
          <w:szCs w:val="28"/>
        </w:rPr>
        <w:t>;</w:t>
      </w:r>
      <w:r>
        <w:rPr>
          <w:rFonts w:ascii="Times New Roman" w:hAnsi="Times New Roman" w:cs="Times New Roman"/>
          <w:sz w:val="28"/>
          <w:szCs w:val="28"/>
        </w:rPr>
        <w:t xml:space="preserve"> (4) </w:t>
      </w:r>
      <w:r w:rsidRPr="0007479C">
        <w:rPr>
          <w:rFonts w:ascii="Times New Roman" w:hAnsi="Times New Roman" w:cs="Times New Roman"/>
          <w:sz w:val="28"/>
          <w:szCs w:val="28"/>
        </w:rPr>
        <w:t>elektrisko un optisko iekārtu ražošan</w:t>
      </w:r>
      <w:r w:rsidR="005D5360">
        <w:rPr>
          <w:rFonts w:ascii="Times New Roman" w:hAnsi="Times New Roman" w:cs="Times New Roman"/>
          <w:sz w:val="28"/>
          <w:szCs w:val="28"/>
        </w:rPr>
        <w:t>a</w:t>
      </w:r>
      <w:r w:rsidRPr="0007479C">
        <w:rPr>
          <w:rFonts w:ascii="Times New Roman" w:hAnsi="Times New Roman" w:cs="Times New Roman"/>
          <w:sz w:val="28"/>
          <w:szCs w:val="28"/>
        </w:rPr>
        <w:t>;</w:t>
      </w:r>
      <w:r>
        <w:rPr>
          <w:rFonts w:ascii="Times New Roman" w:hAnsi="Times New Roman" w:cs="Times New Roman"/>
          <w:sz w:val="28"/>
          <w:szCs w:val="28"/>
        </w:rPr>
        <w:t xml:space="preserve"> (5) </w:t>
      </w:r>
      <w:r w:rsidRPr="0007479C">
        <w:rPr>
          <w:rFonts w:ascii="Times New Roman" w:hAnsi="Times New Roman" w:cs="Times New Roman"/>
          <w:sz w:val="28"/>
          <w:szCs w:val="28"/>
        </w:rPr>
        <w:t>vides, bioenerģētikas un biotehnoloģiju nozar</w:t>
      </w:r>
      <w:r w:rsidR="005D5360">
        <w:rPr>
          <w:rFonts w:ascii="Times New Roman" w:hAnsi="Times New Roman" w:cs="Times New Roman"/>
          <w:sz w:val="28"/>
          <w:szCs w:val="28"/>
        </w:rPr>
        <w:t>e</w:t>
      </w:r>
      <w:r w:rsidRPr="0007479C">
        <w:rPr>
          <w:rFonts w:ascii="Times New Roman" w:hAnsi="Times New Roman" w:cs="Times New Roman"/>
          <w:sz w:val="28"/>
          <w:szCs w:val="28"/>
        </w:rPr>
        <w:t>;</w:t>
      </w:r>
      <w:r>
        <w:rPr>
          <w:rFonts w:ascii="Times New Roman" w:hAnsi="Times New Roman" w:cs="Times New Roman"/>
          <w:sz w:val="28"/>
          <w:szCs w:val="28"/>
        </w:rPr>
        <w:t xml:space="preserve"> (6) </w:t>
      </w:r>
      <w:r w:rsidRPr="0007479C">
        <w:rPr>
          <w:rFonts w:ascii="Times New Roman" w:hAnsi="Times New Roman" w:cs="Times New Roman"/>
          <w:sz w:val="28"/>
          <w:szCs w:val="28"/>
        </w:rPr>
        <w:t xml:space="preserve">transporta </w:t>
      </w:r>
      <w:r w:rsidR="005D5360">
        <w:rPr>
          <w:rFonts w:ascii="Times New Roman" w:hAnsi="Times New Roman" w:cs="Times New Roman"/>
          <w:sz w:val="28"/>
          <w:szCs w:val="28"/>
        </w:rPr>
        <w:t xml:space="preserve">un </w:t>
      </w:r>
      <w:r w:rsidRPr="0007479C">
        <w:rPr>
          <w:rFonts w:ascii="Times New Roman" w:hAnsi="Times New Roman" w:cs="Times New Roman"/>
          <w:sz w:val="28"/>
          <w:szCs w:val="28"/>
        </w:rPr>
        <w:t>mašīnbūves nozar</w:t>
      </w:r>
      <w:r w:rsidR="005D5360">
        <w:rPr>
          <w:rFonts w:ascii="Times New Roman" w:hAnsi="Times New Roman" w:cs="Times New Roman"/>
          <w:sz w:val="28"/>
          <w:szCs w:val="28"/>
        </w:rPr>
        <w:t>e</w:t>
      </w:r>
      <w:r w:rsidRPr="0007479C">
        <w:rPr>
          <w:rFonts w:ascii="Times New Roman" w:hAnsi="Times New Roman" w:cs="Times New Roman"/>
          <w:sz w:val="28"/>
          <w:szCs w:val="28"/>
        </w:rPr>
        <w:t>. Apstiprināt</w:t>
      </w:r>
      <w:r w:rsidR="004D3371">
        <w:rPr>
          <w:rFonts w:ascii="Times New Roman" w:hAnsi="Times New Roman" w:cs="Times New Roman"/>
          <w:sz w:val="28"/>
          <w:szCs w:val="28"/>
        </w:rPr>
        <w:t>o</w:t>
      </w:r>
      <w:r w:rsidR="00BC4E16">
        <w:rPr>
          <w:rFonts w:ascii="Times New Roman" w:hAnsi="Times New Roman" w:cs="Times New Roman"/>
          <w:sz w:val="28"/>
          <w:szCs w:val="28"/>
        </w:rPr>
        <w:t xml:space="preserve"> 6 projektu</w:t>
      </w:r>
      <w:r w:rsidRPr="0007479C">
        <w:rPr>
          <w:rFonts w:ascii="Times New Roman" w:hAnsi="Times New Roman" w:cs="Times New Roman"/>
          <w:sz w:val="28"/>
          <w:szCs w:val="28"/>
        </w:rPr>
        <w:t xml:space="preserve"> ies</w:t>
      </w:r>
      <w:r w:rsidR="004D3371">
        <w:rPr>
          <w:rFonts w:ascii="Times New Roman" w:hAnsi="Times New Roman" w:cs="Times New Roman"/>
          <w:sz w:val="28"/>
          <w:szCs w:val="28"/>
        </w:rPr>
        <w:t>niedzēji</w:t>
      </w:r>
      <w:r w:rsidRPr="0007479C">
        <w:rPr>
          <w:rFonts w:ascii="Times New Roman" w:hAnsi="Times New Roman" w:cs="Times New Roman"/>
          <w:sz w:val="28"/>
          <w:szCs w:val="28"/>
        </w:rPr>
        <w:t xml:space="preserve"> </w:t>
      </w:r>
      <w:r w:rsidR="0033729E">
        <w:rPr>
          <w:rFonts w:ascii="Times New Roman" w:hAnsi="Times New Roman" w:cs="Times New Roman"/>
          <w:sz w:val="28"/>
          <w:szCs w:val="28"/>
        </w:rPr>
        <w:t xml:space="preserve">līdz 2015.gadam </w:t>
      </w:r>
      <w:r>
        <w:rPr>
          <w:rFonts w:ascii="Times New Roman" w:hAnsi="Times New Roman" w:cs="Times New Roman"/>
          <w:sz w:val="28"/>
          <w:szCs w:val="28"/>
        </w:rPr>
        <w:t>kopumā saņems</w:t>
      </w:r>
      <w:r w:rsidRPr="0007479C">
        <w:rPr>
          <w:rFonts w:ascii="Times New Roman" w:hAnsi="Times New Roman" w:cs="Times New Roman"/>
          <w:sz w:val="28"/>
          <w:szCs w:val="28"/>
        </w:rPr>
        <w:t xml:space="preserve"> ES fondu </w:t>
      </w:r>
      <w:r w:rsidR="00A857A8">
        <w:rPr>
          <w:rFonts w:ascii="Times New Roman" w:hAnsi="Times New Roman" w:cs="Times New Roman"/>
          <w:sz w:val="28"/>
          <w:szCs w:val="28"/>
        </w:rPr>
        <w:t>līdz</w:t>
      </w:r>
      <w:r w:rsidRPr="0007479C">
        <w:rPr>
          <w:rFonts w:ascii="Times New Roman" w:hAnsi="Times New Roman" w:cs="Times New Roman"/>
          <w:sz w:val="28"/>
          <w:szCs w:val="28"/>
        </w:rPr>
        <w:t>finansējumu 37</w:t>
      </w:r>
      <w:r>
        <w:rPr>
          <w:rFonts w:ascii="Times New Roman" w:hAnsi="Times New Roman" w:cs="Times New Roman"/>
          <w:sz w:val="28"/>
          <w:szCs w:val="28"/>
        </w:rPr>
        <w:t>,</w:t>
      </w:r>
      <w:r w:rsidR="0089612B">
        <w:rPr>
          <w:rFonts w:ascii="Times New Roman" w:hAnsi="Times New Roman" w:cs="Times New Roman"/>
          <w:sz w:val="28"/>
          <w:szCs w:val="28"/>
        </w:rPr>
        <w:t>4</w:t>
      </w:r>
      <w:r w:rsidR="00BC4E16">
        <w:rPr>
          <w:rFonts w:ascii="Times New Roman" w:hAnsi="Times New Roman" w:cs="Times New Roman"/>
          <w:sz w:val="28"/>
          <w:szCs w:val="28"/>
        </w:rPr>
        <w:t xml:space="preserve"> milj. </w:t>
      </w:r>
      <w:r w:rsidR="005D5360">
        <w:rPr>
          <w:rFonts w:ascii="Times New Roman" w:hAnsi="Times New Roman" w:cs="Times New Roman"/>
          <w:sz w:val="28"/>
          <w:szCs w:val="28"/>
        </w:rPr>
        <w:t xml:space="preserve">LVL </w:t>
      </w:r>
      <w:r w:rsidR="00BC4E16">
        <w:rPr>
          <w:rFonts w:ascii="Times New Roman" w:hAnsi="Times New Roman" w:cs="Times New Roman"/>
          <w:sz w:val="28"/>
          <w:szCs w:val="28"/>
        </w:rPr>
        <w:t>apmērā un tas piesaistī</w:t>
      </w:r>
      <w:r>
        <w:rPr>
          <w:rFonts w:ascii="Times New Roman" w:hAnsi="Times New Roman" w:cs="Times New Roman"/>
          <w:sz w:val="28"/>
          <w:szCs w:val="28"/>
        </w:rPr>
        <w:t xml:space="preserve">s </w:t>
      </w:r>
      <w:r w:rsidR="00BC4E16">
        <w:rPr>
          <w:rFonts w:ascii="Times New Roman" w:hAnsi="Times New Roman" w:cs="Times New Roman"/>
          <w:sz w:val="28"/>
          <w:szCs w:val="28"/>
        </w:rPr>
        <w:t xml:space="preserve">papildu </w:t>
      </w:r>
      <w:r w:rsidR="001B37E1">
        <w:rPr>
          <w:rFonts w:ascii="Times New Roman" w:hAnsi="Times New Roman" w:cs="Times New Roman"/>
          <w:sz w:val="28"/>
          <w:szCs w:val="28"/>
        </w:rPr>
        <w:t>vismaz</w:t>
      </w:r>
      <w:r>
        <w:rPr>
          <w:rFonts w:ascii="Times New Roman" w:hAnsi="Times New Roman" w:cs="Times New Roman"/>
          <w:sz w:val="28"/>
          <w:szCs w:val="28"/>
        </w:rPr>
        <w:t xml:space="preserve"> </w:t>
      </w:r>
      <w:r w:rsidRPr="0089612B">
        <w:rPr>
          <w:rFonts w:ascii="Times New Roman" w:hAnsi="Times New Roman" w:cs="Times New Roman"/>
          <w:sz w:val="28"/>
          <w:szCs w:val="28"/>
        </w:rPr>
        <w:t>2</w:t>
      </w:r>
      <w:r w:rsidR="0089612B" w:rsidRPr="0089612B">
        <w:rPr>
          <w:rFonts w:ascii="Times New Roman" w:hAnsi="Times New Roman" w:cs="Times New Roman"/>
          <w:sz w:val="28"/>
          <w:szCs w:val="28"/>
        </w:rPr>
        <w:t>2</w:t>
      </w:r>
      <w:r w:rsidRPr="0089612B">
        <w:rPr>
          <w:rFonts w:ascii="Times New Roman" w:hAnsi="Times New Roman" w:cs="Times New Roman"/>
          <w:sz w:val="28"/>
          <w:szCs w:val="28"/>
        </w:rPr>
        <w:t xml:space="preserve"> milj</w:t>
      </w:r>
      <w:r w:rsidR="00BC4E16" w:rsidRPr="0089612B">
        <w:rPr>
          <w:rFonts w:ascii="Times New Roman" w:hAnsi="Times New Roman" w:cs="Times New Roman"/>
          <w:sz w:val="28"/>
          <w:szCs w:val="28"/>
        </w:rPr>
        <w:t>.</w:t>
      </w:r>
      <w:r w:rsidR="00BC4E16">
        <w:rPr>
          <w:rFonts w:ascii="Times New Roman" w:hAnsi="Times New Roman" w:cs="Times New Roman"/>
          <w:sz w:val="28"/>
          <w:szCs w:val="28"/>
        </w:rPr>
        <w:t xml:space="preserve"> LVL</w:t>
      </w:r>
      <w:r>
        <w:rPr>
          <w:rFonts w:ascii="Times New Roman" w:hAnsi="Times New Roman" w:cs="Times New Roman"/>
          <w:sz w:val="28"/>
          <w:szCs w:val="28"/>
        </w:rPr>
        <w:t xml:space="preserve"> privātā sektora lī</w:t>
      </w:r>
      <w:r w:rsidR="00BC4E16">
        <w:rPr>
          <w:rFonts w:ascii="Times New Roman" w:hAnsi="Times New Roman" w:cs="Times New Roman"/>
          <w:sz w:val="28"/>
          <w:szCs w:val="28"/>
        </w:rPr>
        <w:t>dzfinansējuma.</w:t>
      </w:r>
      <w:r w:rsidR="00BC4E16" w:rsidRPr="00BC4E16">
        <w:t xml:space="preserve"> </w:t>
      </w:r>
      <w:r w:rsidR="00BC4E16" w:rsidRPr="00BC4E16">
        <w:rPr>
          <w:rFonts w:ascii="Times New Roman" w:hAnsi="Times New Roman" w:cs="Times New Roman"/>
          <w:sz w:val="28"/>
          <w:szCs w:val="28"/>
        </w:rPr>
        <w:t>Kompetences centros</w:t>
      </w:r>
      <w:r w:rsidR="005C76AB">
        <w:rPr>
          <w:rFonts w:ascii="Times New Roman" w:hAnsi="Times New Roman" w:cs="Times New Roman"/>
          <w:sz w:val="28"/>
          <w:szCs w:val="28"/>
        </w:rPr>
        <w:t xml:space="preserve"> </w:t>
      </w:r>
      <w:r w:rsidR="00BC4E16" w:rsidRPr="00BC4E16">
        <w:rPr>
          <w:rFonts w:ascii="Times New Roman" w:hAnsi="Times New Roman" w:cs="Times New Roman"/>
          <w:sz w:val="28"/>
          <w:szCs w:val="28"/>
        </w:rPr>
        <w:t xml:space="preserve">tiks iesaistīti vismaz </w:t>
      </w:r>
      <w:r w:rsidR="0033729E" w:rsidRPr="00D45E8D">
        <w:rPr>
          <w:rFonts w:ascii="Times New Roman" w:hAnsi="Times New Roman" w:cs="Times New Roman"/>
          <w:sz w:val="28"/>
          <w:szCs w:val="28"/>
        </w:rPr>
        <w:t>60 uzņēmumu</w:t>
      </w:r>
      <w:r w:rsidR="00BC4E16" w:rsidRPr="00D45E8D">
        <w:rPr>
          <w:rFonts w:ascii="Times New Roman" w:hAnsi="Times New Roman" w:cs="Times New Roman"/>
          <w:sz w:val="28"/>
          <w:szCs w:val="28"/>
        </w:rPr>
        <w:t xml:space="preserve"> un 8 valsts</w:t>
      </w:r>
      <w:r w:rsidR="00BC4E16" w:rsidRPr="00BC4E16">
        <w:rPr>
          <w:rFonts w:ascii="Times New Roman" w:hAnsi="Times New Roman" w:cs="Times New Roman"/>
          <w:sz w:val="28"/>
          <w:szCs w:val="28"/>
        </w:rPr>
        <w:t xml:space="preserve"> zinātniskās institūcij</w:t>
      </w:r>
      <w:r w:rsidR="0033729E">
        <w:rPr>
          <w:rFonts w:ascii="Times New Roman" w:hAnsi="Times New Roman" w:cs="Times New Roman"/>
          <w:sz w:val="28"/>
          <w:szCs w:val="28"/>
        </w:rPr>
        <w:t>as</w:t>
      </w:r>
      <w:r w:rsidR="00BC4E16" w:rsidRPr="00BC4E16">
        <w:rPr>
          <w:rFonts w:ascii="Times New Roman" w:hAnsi="Times New Roman" w:cs="Times New Roman"/>
          <w:sz w:val="28"/>
          <w:szCs w:val="28"/>
        </w:rPr>
        <w:t>.</w:t>
      </w:r>
    </w:p>
    <w:p w:rsidR="005D5360" w:rsidRPr="00D45E8D" w:rsidRDefault="00D45E8D" w:rsidP="005D5360">
      <w:pPr>
        <w:spacing w:after="0" w:line="240" w:lineRule="auto"/>
        <w:ind w:firstLine="709"/>
        <w:jc w:val="both"/>
        <w:rPr>
          <w:rFonts w:ascii="Times New Roman" w:hAnsi="Times New Roman" w:cs="Times New Roman"/>
          <w:sz w:val="28"/>
          <w:szCs w:val="28"/>
        </w:rPr>
      </w:pPr>
      <w:r w:rsidRPr="00D45E8D">
        <w:rPr>
          <w:rFonts w:ascii="Times New Roman" w:hAnsi="Times New Roman" w:cs="Times New Roman"/>
          <w:sz w:val="28"/>
          <w:szCs w:val="28"/>
        </w:rPr>
        <w:t xml:space="preserve">Savukārt </w:t>
      </w:r>
      <w:r w:rsidR="00C92DF2">
        <w:rPr>
          <w:rFonts w:ascii="Times New Roman" w:hAnsi="Times New Roman" w:cs="Times New Roman"/>
          <w:sz w:val="28"/>
          <w:szCs w:val="28"/>
        </w:rPr>
        <w:t>Izglītības un zinātnes ministrija (turpmāk – IZM)</w:t>
      </w:r>
      <w:r w:rsidRPr="00D45E8D">
        <w:rPr>
          <w:rFonts w:ascii="Times New Roman" w:hAnsi="Times New Roman" w:cs="Times New Roman"/>
          <w:sz w:val="28"/>
          <w:szCs w:val="28"/>
        </w:rPr>
        <w:t xml:space="preserve"> </w:t>
      </w:r>
      <w:r w:rsidR="008040FA" w:rsidRPr="00D45E8D">
        <w:rPr>
          <w:rFonts w:ascii="Times New Roman" w:hAnsi="Times New Roman" w:cs="Times New Roman"/>
          <w:sz w:val="28"/>
          <w:szCs w:val="28"/>
        </w:rPr>
        <w:t>2010.gadā</w:t>
      </w:r>
      <w:r w:rsidRPr="00D45E8D">
        <w:rPr>
          <w:rFonts w:ascii="Times New Roman" w:hAnsi="Times New Roman" w:cs="Times New Roman"/>
          <w:sz w:val="28"/>
          <w:szCs w:val="28"/>
        </w:rPr>
        <w:t xml:space="preserve"> </w:t>
      </w:r>
      <w:r w:rsidR="008040FA" w:rsidRPr="00D45E8D">
        <w:rPr>
          <w:rFonts w:ascii="Times New Roman" w:hAnsi="Times New Roman" w:cs="Times New Roman"/>
          <w:sz w:val="28"/>
          <w:szCs w:val="28"/>
        </w:rPr>
        <w:t xml:space="preserve">turpināja atbalstīt </w:t>
      </w:r>
      <w:r w:rsidRPr="00D45E8D">
        <w:rPr>
          <w:rFonts w:ascii="Times New Roman" w:hAnsi="Times New Roman" w:cs="Times New Roman"/>
          <w:sz w:val="28"/>
          <w:szCs w:val="28"/>
        </w:rPr>
        <w:t xml:space="preserve">jau </w:t>
      </w:r>
      <w:r w:rsidR="008040FA" w:rsidRPr="00D45E8D">
        <w:rPr>
          <w:rFonts w:ascii="Times New Roman" w:hAnsi="Times New Roman" w:cs="Times New Roman"/>
          <w:sz w:val="28"/>
          <w:szCs w:val="28"/>
        </w:rPr>
        <w:t xml:space="preserve">iepriekšējos gados </w:t>
      </w:r>
      <w:r w:rsidRPr="00D45E8D">
        <w:rPr>
          <w:rFonts w:ascii="Times New Roman" w:hAnsi="Times New Roman" w:cs="Times New Roman"/>
          <w:sz w:val="28"/>
          <w:szCs w:val="28"/>
        </w:rPr>
        <w:t>uzsāktos</w:t>
      </w:r>
      <w:r w:rsidR="008040FA" w:rsidRPr="00D45E8D">
        <w:rPr>
          <w:rFonts w:ascii="Times New Roman" w:hAnsi="Times New Roman" w:cs="Times New Roman"/>
          <w:sz w:val="28"/>
          <w:szCs w:val="28"/>
        </w:rPr>
        <w:t xml:space="preserve"> zinātnieku un ražotāju sadarbības projektus jaunu produktu un tehnoloģiju izstrādei „Tirgus orientēto pētījumu programmas” ietvaros. </w:t>
      </w:r>
      <w:r w:rsidRPr="00D45E8D">
        <w:rPr>
          <w:rFonts w:ascii="Times New Roman" w:hAnsi="Times New Roman" w:cs="Times New Roman"/>
          <w:sz w:val="28"/>
          <w:szCs w:val="28"/>
        </w:rPr>
        <w:t xml:space="preserve">2010.gadā </w:t>
      </w:r>
      <w:r w:rsidR="008040FA" w:rsidRPr="00D45E8D">
        <w:rPr>
          <w:rFonts w:ascii="Times New Roman" w:hAnsi="Times New Roman" w:cs="Times New Roman"/>
          <w:sz w:val="28"/>
          <w:szCs w:val="28"/>
        </w:rPr>
        <w:t>23 noslēgto līgumu par projektu īstenošanu atbalstam tika piešķirts finansējums 0,28 milj. LVL apmērā.</w:t>
      </w:r>
      <w:r w:rsidRPr="00D45E8D">
        <w:rPr>
          <w:rFonts w:ascii="Times New Roman" w:hAnsi="Times New Roman" w:cs="Times New Roman"/>
          <w:sz w:val="28"/>
          <w:szCs w:val="28"/>
        </w:rPr>
        <w:t xml:space="preserve"> EUREKA programmas projektu finansēšanai 2010.gadā tika piešķirti 0,21 milj. LVL, t.sk. 0,</w:t>
      </w:r>
      <w:r w:rsidR="004D6092" w:rsidRPr="00D45E8D">
        <w:rPr>
          <w:rFonts w:ascii="Times New Roman" w:hAnsi="Times New Roman" w:cs="Times New Roman"/>
          <w:sz w:val="28"/>
          <w:szCs w:val="28"/>
        </w:rPr>
        <w:t>0</w:t>
      </w:r>
      <w:r w:rsidR="004D6092">
        <w:rPr>
          <w:rFonts w:ascii="Times New Roman" w:hAnsi="Times New Roman" w:cs="Times New Roman"/>
          <w:sz w:val="28"/>
          <w:szCs w:val="28"/>
        </w:rPr>
        <w:t>8</w:t>
      </w:r>
      <w:r w:rsidR="004D6092" w:rsidRPr="00D45E8D">
        <w:rPr>
          <w:rFonts w:ascii="Times New Roman" w:hAnsi="Times New Roman" w:cs="Times New Roman"/>
          <w:sz w:val="28"/>
          <w:szCs w:val="28"/>
        </w:rPr>
        <w:t xml:space="preserve"> </w:t>
      </w:r>
      <w:r w:rsidRPr="00D45E8D">
        <w:rPr>
          <w:rFonts w:ascii="Times New Roman" w:hAnsi="Times New Roman" w:cs="Times New Roman"/>
          <w:sz w:val="28"/>
          <w:szCs w:val="28"/>
        </w:rPr>
        <w:t xml:space="preserve">milj. LVL 11 jauniem projektiem un 0,13 milj. LVL 7 iepriekšējos gados uzsāktajiem projektiem.  </w:t>
      </w:r>
    </w:p>
    <w:p w:rsidR="0017725F" w:rsidRDefault="0017725F" w:rsidP="0017725F">
      <w:pPr>
        <w:spacing w:after="0" w:line="240" w:lineRule="auto"/>
        <w:ind w:firstLine="709"/>
        <w:jc w:val="both"/>
        <w:rPr>
          <w:rFonts w:ascii="Times New Roman" w:hAnsi="Times New Roman" w:cs="Times New Roman"/>
          <w:sz w:val="28"/>
          <w:szCs w:val="28"/>
        </w:rPr>
      </w:pPr>
      <w:r w:rsidRPr="0017725F">
        <w:rPr>
          <w:rFonts w:ascii="Times New Roman" w:hAnsi="Times New Roman" w:cs="Times New Roman"/>
          <w:sz w:val="28"/>
          <w:szCs w:val="28"/>
        </w:rPr>
        <w:t>Papildus Programmā iekļautajām aktivitātēm IZM 2010.gadā uzs</w:t>
      </w:r>
      <w:r>
        <w:rPr>
          <w:rFonts w:ascii="Times New Roman" w:hAnsi="Times New Roman" w:cs="Times New Roman"/>
          <w:sz w:val="28"/>
          <w:szCs w:val="28"/>
        </w:rPr>
        <w:t>āk</w:t>
      </w:r>
      <w:r w:rsidRPr="0017725F">
        <w:rPr>
          <w:rFonts w:ascii="Times New Roman" w:hAnsi="Times New Roman" w:cs="Times New Roman"/>
          <w:sz w:val="28"/>
          <w:szCs w:val="28"/>
        </w:rPr>
        <w:t xml:space="preserve">a īstenot struktūrfondu aktivitāti „Atbalsts zinātnei un pētniecībai”, kuras ietvaros tiks atbalstīti praktiskas ievirzes pētniecības projekti, prioritārajos pētniecības virzienos. Programmas ietvaros atbalstīti 122 </w:t>
      </w:r>
      <w:r w:rsidR="00D45E8D">
        <w:rPr>
          <w:rFonts w:ascii="Times New Roman" w:hAnsi="Times New Roman" w:cs="Times New Roman"/>
          <w:sz w:val="28"/>
          <w:szCs w:val="28"/>
        </w:rPr>
        <w:t xml:space="preserve">zinātnisko institūciju </w:t>
      </w:r>
      <w:r w:rsidRPr="0017725F">
        <w:rPr>
          <w:rFonts w:ascii="Times New Roman" w:hAnsi="Times New Roman" w:cs="Times New Roman"/>
          <w:sz w:val="28"/>
          <w:szCs w:val="28"/>
        </w:rPr>
        <w:t>projekti</w:t>
      </w:r>
      <w:r>
        <w:rPr>
          <w:rFonts w:ascii="Times New Roman" w:hAnsi="Times New Roman" w:cs="Times New Roman"/>
          <w:sz w:val="28"/>
          <w:szCs w:val="28"/>
        </w:rPr>
        <w:t xml:space="preserve"> un publiskais fi</w:t>
      </w:r>
      <w:r w:rsidRPr="0017725F">
        <w:rPr>
          <w:rFonts w:ascii="Times New Roman" w:hAnsi="Times New Roman" w:cs="Times New Roman"/>
          <w:sz w:val="28"/>
          <w:szCs w:val="28"/>
        </w:rPr>
        <w:t>n</w:t>
      </w:r>
      <w:r>
        <w:rPr>
          <w:rFonts w:ascii="Times New Roman" w:hAnsi="Times New Roman" w:cs="Times New Roman"/>
          <w:sz w:val="28"/>
          <w:szCs w:val="28"/>
        </w:rPr>
        <w:t>ans</w:t>
      </w:r>
      <w:r w:rsidRPr="0017725F">
        <w:rPr>
          <w:rFonts w:ascii="Times New Roman" w:hAnsi="Times New Roman" w:cs="Times New Roman"/>
          <w:sz w:val="28"/>
          <w:szCs w:val="28"/>
        </w:rPr>
        <w:t xml:space="preserve">ējums projektiem plānots 33,7 milj. LVL. </w:t>
      </w:r>
    </w:p>
    <w:p w:rsidR="008E630F" w:rsidRDefault="00CC5D27" w:rsidP="0017725F">
      <w:pPr>
        <w:spacing w:after="0" w:line="240" w:lineRule="auto"/>
        <w:ind w:firstLine="709"/>
        <w:jc w:val="both"/>
        <w:rPr>
          <w:rFonts w:ascii="Times New Roman" w:hAnsi="Times New Roman" w:cs="Times New Roman"/>
          <w:sz w:val="28"/>
          <w:szCs w:val="28"/>
        </w:rPr>
      </w:pPr>
      <w:r w:rsidRPr="00CC5D27">
        <w:rPr>
          <w:rFonts w:ascii="Times New Roman" w:hAnsi="Times New Roman" w:cs="Times New Roman"/>
          <w:sz w:val="28"/>
          <w:szCs w:val="28"/>
        </w:rPr>
        <w:t xml:space="preserve">Tehnoloģiju pārneses sekmēšanai </w:t>
      </w:r>
      <w:r w:rsidR="00BC4E16">
        <w:rPr>
          <w:rFonts w:ascii="Times New Roman" w:hAnsi="Times New Roman" w:cs="Times New Roman"/>
          <w:sz w:val="28"/>
          <w:szCs w:val="28"/>
        </w:rPr>
        <w:t xml:space="preserve">2010.gadā </w:t>
      </w:r>
      <w:r>
        <w:rPr>
          <w:rFonts w:ascii="Times New Roman" w:hAnsi="Times New Roman" w:cs="Times New Roman"/>
          <w:sz w:val="28"/>
          <w:szCs w:val="28"/>
        </w:rPr>
        <w:t xml:space="preserve">turpināta atbalsta sniegšana astoņu </w:t>
      </w:r>
      <w:r w:rsidR="00BC4E16">
        <w:rPr>
          <w:rFonts w:ascii="Times New Roman" w:hAnsi="Times New Roman" w:cs="Times New Roman"/>
          <w:sz w:val="28"/>
          <w:szCs w:val="28"/>
        </w:rPr>
        <w:t>Tehn</w:t>
      </w:r>
      <w:r>
        <w:rPr>
          <w:rFonts w:ascii="Times New Roman" w:hAnsi="Times New Roman" w:cs="Times New Roman"/>
          <w:sz w:val="28"/>
          <w:szCs w:val="28"/>
        </w:rPr>
        <w:t xml:space="preserve">oloģiju pārneses kontaktpunktu darbībai augstākās izglītības iestādēs </w:t>
      </w:r>
      <w:r w:rsidRPr="00CC5D27">
        <w:rPr>
          <w:rFonts w:ascii="Times New Roman" w:hAnsi="Times New Roman" w:cs="Times New Roman"/>
          <w:sz w:val="28"/>
          <w:szCs w:val="28"/>
        </w:rPr>
        <w:t>(Latvijas Universitātē, Rīgas Tehniskajā universitātē, Latvijas Lauksaimniecības universitātē, Rīgas Stradiņa universitātē, Ventspils augstskolā, Rēzeknes au</w:t>
      </w:r>
      <w:r>
        <w:rPr>
          <w:rFonts w:ascii="Times New Roman" w:hAnsi="Times New Roman" w:cs="Times New Roman"/>
          <w:sz w:val="28"/>
          <w:szCs w:val="28"/>
        </w:rPr>
        <w:t>gstskolā, Daugavpils augstskolā un</w:t>
      </w:r>
      <w:r w:rsidR="00A857A8">
        <w:rPr>
          <w:rFonts w:ascii="Times New Roman" w:hAnsi="Times New Roman" w:cs="Times New Roman"/>
          <w:sz w:val="28"/>
          <w:szCs w:val="28"/>
        </w:rPr>
        <w:t xml:space="preserve"> </w:t>
      </w:r>
      <w:r w:rsidR="00A857A8">
        <w:rPr>
          <w:rFonts w:ascii="Times New Roman" w:hAnsi="Times New Roman" w:cs="Times New Roman"/>
          <w:sz w:val="28"/>
          <w:szCs w:val="28"/>
        </w:rPr>
        <w:lastRenderedPageBreak/>
        <w:t>Latvijas Mākslas akadēmijā).</w:t>
      </w:r>
      <w:r w:rsidRPr="00CC5D27">
        <w:rPr>
          <w:rFonts w:ascii="Times New Roman" w:hAnsi="Times New Roman" w:cs="Times New Roman"/>
          <w:sz w:val="28"/>
          <w:szCs w:val="28"/>
        </w:rPr>
        <w:t xml:space="preserve"> Programmu </w:t>
      </w:r>
      <w:r w:rsidR="00A857A8">
        <w:rPr>
          <w:rFonts w:ascii="Times New Roman" w:hAnsi="Times New Roman" w:cs="Times New Roman"/>
          <w:sz w:val="28"/>
          <w:szCs w:val="28"/>
        </w:rPr>
        <w:t>līdz</w:t>
      </w:r>
      <w:r w:rsidRPr="00CC5D27">
        <w:rPr>
          <w:rFonts w:ascii="Times New Roman" w:hAnsi="Times New Roman" w:cs="Times New Roman"/>
          <w:sz w:val="28"/>
          <w:szCs w:val="28"/>
        </w:rPr>
        <w:t>finansē no Eiropas Reģionālās attīstība</w:t>
      </w:r>
      <w:r w:rsidR="00577667">
        <w:rPr>
          <w:rFonts w:ascii="Times New Roman" w:hAnsi="Times New Roman" w:cs="Times New Roman"/>
          <w:sz w:val="28"/>
          <w:szCs w:val="28"/>
        </w:rPr>
        <w:t xml:space="preserve">s fonda </w:t>
      </w:r>
      <w:r w:rsidR="00A857A8">
        <w:rPr>
          <w:rFonts w:ascii="Times New Roman" w:hAnsi="Times New Roman" w:cs="Times New Roman"/>
          <w:sz w:val="28"/>
          <w:szCs w:val="28"/>
        </w:rPr>
        <w:t xml:space="preserve">(turpmāk – ERAF) </w:t>
      </w:r>
      <w:r w:rsidR="00577667">
        <w:rPr>
          <w:rFonts w:ascii="Times New Roman" w:hAnsi="Times New Roman" w:cs="Times New Roman"/>
          <w:sz w:val="28"/>
          <w:szCs w:val="28"/>
        </w:rPr>
        <w:t>līdzekļiem un k</w:t>
      </w:r>
      <w:r w:rsidRPr="00CC5D27">
        <w:rPr>
          <w:rFonts w:ascii="Times New Roman" w:hAnsi="Times New Roman" w:cs="Times New Roman"/>
          <w:sz w:val="28"/>
          <w:szCs w:val="28"/>
        </w:rPr>
        <w:t>opējais aktivitātes ietvaros pieejamais publiskais finansējums līdz 2013.gadam ir 1,93 milj</w:t>
      </w:r>
      <w:r w:rsidR="00577667">
        <w:rPr>
          <w:rFonts w:ascii="Times New Roman" w:hAnsi="Times New Roman" w:cs="Times New Roman"/>
          <w:sz w:val="28"/>
          <w:szCs w:val="28"/>
        </w:rPr>
        <w:t>.</w:t>
      </w:r>
      <w:r w:rsidRPr="00CC5D27">
        <w:rPr>
          <w:rFonts w:ascii="Times New Roman" w:hAnsi="Times New Roman" w:cs="Times New Roman"/>
          <w:sz w:val="28"/>
          <w:szCs w:val="28"/>
        </w:rPr>
        <w:t xml:space="preserve"> </w:t>
      </w:r>
      <w:r w:rsidR="00577667">
        <w:rPr>
          <w:rFonts w:ascii="Times New Roman" w:hAnsi="Times New Roman" w:cs="Times New Roman"/>
          <w:sz w:val="28"/>
          <w:szCs w:val="28"/>
        </w:rPr>
        <w:t>LVL, bet</w:t>
      </w:r>
      <w:r w:rsidRPr="00CC5D27">
        <w:rPr>
          <w:rFonts w:ascii="Times New Roman" w:hAnsi="Times New Roman" w:cs="Times New Roman"/>
          <w:sz w:val="28"/>
          <w:szCs w:val="28"/>
        </w:rPr>
        <w:t xml:space="preserve"> </w:t>
      </w:r>
      <w:r w:rsidR="00577667">
        <w:rPr>
          <w:rFonts w:ascii="Times New Roman" w:hAnsi="Times New Roman" w:cs="Times New Roman"/>
          <w:sz w:val="28"/>
          <w:szCs w:val="28"/>
        </w:rPr>
        <w:t xml:space="preserve">2010.gadā tehnoloģiju pārneses kontaktpunktu darbības nodrošināšanai izlietots publiskais finansējums </w:t>
      </w:r>
      <w:r w:rsidR="00427E61">
        <w:rPr>
          <w:rFonts w:ascii="Times New Roman" w:hAnsi="Times New Roman" w:cs="Times New Roman"/>
          <w:sz w:val="28"/>
          <w:szCs w:val="28"/>
        </w:rPr>
        <w:t>0,</w:t>
      </w:r>
      <w:r w:rsidR="00577667">
        <w:rPr>
          <w:rFonts w:ascii="Times New Roman" w:hAnsi="Times New Roman" w:cs="Times New Roman"/>
          <w:sz w:val="28"/>
          <w:szCs w:val="28"/>
        </w:rPr>
        <w:t>2</w:t>
      </w:r>
      <w:r w:rsidR="00427E61">
        <w:rPr>
          <w:rFonts w:ascii="Times New Roman" w:hAnsi="Times New Roman" w:cs="Times New Roman"/>
          <w:sz w:val="28"/>
          <w:szCs w:val="28"/>
        </w:rPr>
        <w:t>6</w:t>
      </w:r>
      <w:r w:rsidR="00577667">
        <w:rPr>
          <w:rFonts w:ascii="Times New Roman" w:hAnsi="Times New Roman" w:cs="Times New Roman"/>
          <w:sz w:val="28"/>
          <w:szCs w:val="28"/>
        </w:rPr>
        <w:t xml:space="preserve"> </w:t>
      </w:r>
      <w:r w:rsidR="00427E61">
        <w:rPr>
          <w:rFonts w:ascii="Times New Roman" w:hAnsi="Times New Roman" w:cs="Times New Roman"/>
          <w:sz w:val="28"/>
          <w:szCs w:val="28"/>
        </w:rPr>
        <w:t>milj</w:t>
      </w:r>
      <w:r w:rsidR="00577667">
        <w:rPr>
          <w:rFonts w:ascii="Times New Roman" w:hAnsi="Times New Roman" w:cs="Times New Roman"/>
          <w:sz w:val="28"/>
          <w:szCs w:val="28"/>
        </w:rPr>
        <w:t xml:space="preserve">. LVL apmērā. </w:t>
      </w:r>
      <w:r w:rsidRPr="00CC5D27">
        <w:rPr>
          <w:rFonts w:ascii="Times New Roman" w:hAnsi="Times New Roman" w:cs="Times New Roman"/>
          <w:sz w:val="28"/>
          <w:szCs w:val="28"/>
        </w:rPr>
        <w:t xml:space="preserve">Tehnoloģiju pārneses kontaktpunktu uzdevums ir </w:t>
      </w:r>
      <w:r w:rsidR="00577667">
        <w:rPr>
          <w:rFonts w:ascii="Times New Roman" w:hAnsi="Times New Roman" w:cs="Times New Roman"/>
          <w:sz w:val="28"/>
          <w:szCs w:val="28"/>
        </w:rPr>
        <w:t xml:space="preserve">nodrošināt praktisku saikni starp pētniecības un rūpniecības sektoru, </w:t>
      </w:r>
      <w:r w:rsidR="00262DFE">
        <w:rPr>
          <w:rFonts w:ascii="Times New Roman" w:hAnsi="Times New Roman" w:cs="Times New Roman"/>
          <w:sz w:val="28"/>
          <w:szCs w:val="28"/>
        </w:rPr>
        <w:t xml:space="preserve">aktīvi iesaistīties </w:t>
      </w:r>
      <w:r w:rsidRPr="00CC5D27">
        <w:rPr>
          <w:rFonts w:ascii="Times New Roman" w:hAnsi="Times New Roman" w:cs="Times New Roman"/>
          <w:sz w:val="28"/>
          <w:szCs w:val="28"/>
        </w:rPr>
        <w:t>komercializējamu pētījumu rezultātu</w:t>
      </w:r>
      <w:r w:rsidR="00262DFE" w:rsidRPr="00262DFE">
        <w:rPr>
          <w:rFonts w:ascii="Times New Roman" w:hAnsi="Times New Roman" w:cs="Times New Roman"/>
          <w:sz w:val="28"/>
          <w:szCs w:val="28"/>
        </w:rPr>
        <w:t xml:space="preserve"> </w:t>
      </w:r>
      <w:r w:rsidR="00262DFE">
        <w:rPr>
          <w:rFonts w:ascii="Times New Roman" w:hAnsi="Times New Roman" w:cs="Times New Roman"/>
          <w:sz w:val="28"/>
          <w:szCs w:val="28"/>
        </w:rPr>
        <w:t>apzināšanā</w:t>
      </w:r>
      <w:r w:rsidRPr="00CC5D27">
        <w:rPr>
          <w:rFonts w:ascii="Times New Roman" w:hAnsi="Times New Roman" w:cs="Times New Roman"/>
          <w:sz w:val="28"/>
          <w:szCs w:val="28"/>
        </w:rPr>
        <w:t xml:space="preserve">, </w:t>
      </w:r>
      <w:r w:rsidR="00577667">
        <w:rPr>
          <w:rFonts w:ascii="Times New Roman" w:hAnsi="Times New Roman" w:cs="Times New Roman"/>
          <w:sz w:val="28"/>
          <w:szCs w:val="28"/>
        </w:rPr>
        <w:t>kā</w:t>
      </w:r>
      <w:r w:rsidR="00262DFE">
        <w:rPr>
          <w:rFonts w:ascii="Times New Roman" w:hAnsi="Times New Roman" w:cs="Times New Roman"/>
          <w:sz w:val="28"/>
          <w:szCs w:val="28"/>
        </w:rPr>
        <w:t xml:space="preserve"> arī</w:t>
      </w:r>
      <w:r w:rsidR="00577667">
        <w:rPr>
          <w:rFonts w:ascii="Times New Roman" w:hAnsi="Times New Roman" w:cs="Times New Roman"/>
          <w:sz w:val="28"/>
          <w:szCs w:val="28"/>
        </w:rPr>
        <w:t xml:space="preserve"> </w:t>
      </w:r>
      <w:r w:rsidR="00F67478">
        <w:rPr>
          <w:rFonts w:ascii="Times New Roman" w:hAnsi="Times New Roman" w:cs="Times New Roman"/>
          <w:sz w:val="28"/>
          <w:szCs w:val="28"/>
        </w:rPr>
        <w:t xml:space="preserve">nodrošināt </w:t>
      </w:r>
      <w:r w:rsidRPr="00CC5D27">
        <w:rPr>
          <w:rFonts w:ascii="Times New Roman" w:hAnsi="Times New Roman" w:cs="Times New Roman"/>
          <w:sz w:val="28"/>
          <w:szCs w:val="28"/>
        </w:rPr>
        <w:t>rūpnieciskā īpašuma aizsardzības</w:t>
      </w:r>
      <w:r w:rsidR="00F67478">
        <w:rPr>
          <w:rFonts w:ascii="Times New Roman" w:hAnsi="Times New Roman" w:cs="Times New Roman"/>
          <w:sz w:val="28"/>
          <w:szCs w:val="28"/>
        </w:rPr>
        <w:t xml:space="preserve"> pakalpojumus</w:t>
      </w:r>
      <w:r w:rsidR="00577667">
        <w:rPr>
          <w:rFonts w:ascii="Times New Roman" w:hAnsi="Times New Roman" w:cs="Times New Roman"/>
          <w:sz w:val="28"/>
          <w:szCs w:val="28"/>
        </w:rPr>
        <w:t>.</w:t>
      </w:r>
      <w:r w:rsidR="00F67478">
        <w:rPr>
          <w:rFonts w:ascii="Times New Roman" w:hAnsi="Times New Roman" w:cs="Times New Roman"/>
          <w:sz w:val="28"/>
          <w:szCs w:val="28"/>
        </w:rPr>
        <w:t xml:space="preserve"> Kopumā</w:t>
      </w:r>
      <w:r w:rsidR="00577667">
        <w:rPr>
          <w:rFonts w:ascii="Times New Roman" w:hAnsi="Times New Roman" w:cs="Times New Roman"/>
          <w:sz w:val="28"/>
          <w:szCs w:val="28"/>
        </w:rPr>
        <w:t xml:space="preserve"> 2010.gadā astoņu tehnoloģiju pārneses kontaktpunktu darbības rezultātā sagatavoti </w:t>
      </w:r>
      <w:r w:rsidR="00577667" w:rsidRPr="00577667">
        <w:rPr>
          <w:rFonts w:ascii="Times New Roman" w:hAnsi="Times New Roman" w:cs="Times New Roman"/>
          <w:sz w:val="28"/>
          <w:szCs w:val="28"/>
        </w:rPr>
        <w:t xml:space="preserve">67 </w:t>
      </w:r>
      <w:r w:rsidR="00577667" w:rsidRPr="00CC5D27">
        <w:rPr>
          <w:rFonts w:ascii="Times New Roman" w:hAnsi="Times New Roman" w:cs="Times New Roman"/>
          <w:sz w:val="28"/>
          <w:szCs w:val="28"/>
        </w:rPr>
        <w:t xml:space="preserve">pētniecības </w:t>
      </w:r>
      <w:r w:rsidR="005C76AB">
        <w:rPr>
          <w:rFonts w:ascii="Times New Roman" w:hAnsi="Times New Roman" w:cs="Times New Roman"/>
          <w:sz w:val="28"/>
          <w:szCs w:val="28"/>
        </w:rPr>
        <w:t>pro</w:t>
      </w:r>
      <w:r w:rsidR="00B6642B">
        <w:rPr>
          <w:rFonts w:ascii="Times New Roman" w:hAnsi="Times New Roman" w:cs="Times New Roman"/>
          <w:sz w:val="28"/>
          <w:szCs w:val="28"/>
        </w:rPr>
        <w:t>je</w:t>
      </w:r>
      <w:r w:rsidR="005C76AB">
        <w:rPr>
          <w:rFonts w:ascii="Times New Roman" w:hAnsi="Times New Roman" w:cs="Times New Roman"/>
          <w:sz w:val="28"/>
          <w:szCs w:val="28"/>
        </w:rPr>
        <w:t>ktu</w:t>
      </w:r>
      <w:r w:rsidR="00577667" w:rsidRPr="00CC5D27">
        <w:rPr>
          <w:rFonts w:ascii="Times New Roman" w:hAnsi="Times New Roman" w:cs="Times New Roman"/>
          <w:sz w:val="28"/>
          <w:szCs w:val="28"/>
        </w:rPr>
        <w:t xml:space="preserve"> rezultātu </w:t>
      </w:r>
      <w:r w:rsidR="00577667" w:rsidRPr="00577667">
        <w:rPr>
          <w:rFonts w:ascii="Times New Roman" w:hAnsi="Times New Roman" w:cs="Times New Roman"/>
          <w:sz w:val="28"/>
          <w:szCs w:val="28"/>
        </w:rPr>
        <w:t xml:space="preserve">komercializācijas piedāvājumi, </w:t>
      </w:r>
      <w:r w:rsidR="00F67478">
        <w:rPr>
          <w:rFonts w:ascii="Times New Roman" w:hAnsi="Times New Roman" w:cs="Times New Roman"/>
          <w:sz w:val="28"/>
          <w:szCs w:val="28"/>
        </w:rPr>
        <w:t xml:space="preserve">iesniegti </w:t>
      </w:r>
      <w:r w:rsidR="00577667" w:rsidRPr="00577667">
        <w:rPr>
          <w:rFonts w:ascii="Times New Roman" w:hAnsi="Times New Roman" w:cs="Times New Roman"/>
          <w:sz w:val="28"/>
          <w:szCs w:val="28"/>
        </w:rPr>
        <w:t xml:space="preserve">36 patentu pieteikumi </w:t>
      </w:r>
      <w:r w:rsidR="00F67478">
        <w:rPr>
          <w:rFonts w:ascii="Times New Roman" w:hAnsi="Times New Roman" w:cs="Times New Roman"/>
          <w:sz w:val="28"/>
          <w:szCs w:val="28"/>
        </w:rPr>
        <w:t xml:space="preserve">(no tiem </w:t>
      </w:r>
      <w:r w:rsidR="00577667" w:rsidRPr="00577667">
        <w:rPr>
          <w:rFonts w:ascii="Times New Roman" w:hAnsi="Times New Roman" w:cs="Times New Roman"/>
          <w:sz w:val="28"/>
          <w:szCs w:val="28"/>
        </w:rPr>
        <w:t>5 starptautiski</w:t>
      </w:r>
      <w:r w:rsidR="00F67478">
        <w:rPr>
          <w:rFonts w:ascii="Times New Roman" w:hAnsi="Times New Roman" w:cs="Times New Roman"/>
          <w:sz w:val="28"/>
          <w:szCs w:val="28"/>
        </w:rPr>
        <w:t>e</w:t>
      </w:r>
      <w:r w:rsidR="00577667" w:rsidRPr="00577667">
        <w:rPr>
          <w:rFonts w:ascii="Times New Roman" w:hAnsi="Times New Roman" w:cs="Times New Roman"/>
          <w:sz w:val="28"/>
          <w:szCs w:val="28"/>
        </w:rPr>
        <w:t xml:space="preserve"> patentu pieteikumi</w:t>
      </w:r>
      <w:r w:rsidR="00F67478">
        <w:rPr>
          <w:rFonts w:ascii="Times New Roman" w:hAnsi="Times New Roman" w:cs="Times New Roman"/>
          <w:sz w:val="28"/>
          <w:szCs w:val="28"/>
        </w:rPr>
        <w:t>)</w:t>
      </w:r>
      <w:r w:rsidR="00577667" w:rsidRPr="00577667">
        <w:rPr>
          <w:rFonts w:ascii="Times New Roman" w:hAnsi="Times New Roman" w:cs="Times New Roman"/>
          <w:sz w:val="28"/>
          <w:szCs w:val="28"/>
        </w:rPr>
        <w:t>,</w:t>
      </w:r>
      <w:r w:rsidR="00F67478">
        <w:rPr>
          <w:rFonts w:ascii="Times New Roman" w:hAnsi="Times New Roman" w:cs="Times New Roman"/>
          <w:sz w:val="28"/>
          <w:szCs w:val="28"/>
        </w:rPr>
        <w:t xml:space="preserve"> kā arī noslēgts</w:t>
      </w:r>
      <w:r w:rsidR="00577667" w:rsidRPr="00577667">
        <w:rPr>
          <w:rFonts w:ascii="Times New Roman" w:hAnsi="Times New Roman" w:cs="Times New Roman"/>
          <w:sz w:val="28"/>
          <w:szCs w:val="28"/>
        </w:rPr>
        <w:t xml:space="preserve"> 51  komersantu </w:t>
      </w:r>
      <w:r w:rsidR="00F67478">
        <w:rPr>
          <w:rFonts w:ascii="Times New Roman" w:hAnsi="Times New Roman" w:cs="Times New Roman"/>
          <w:sz w:val="28"/>
          <w:szCs w:val="28"/>
        </w:rPr>
        <w:t>un zinātnieku sadarbības līgums</w:t>
      </w:r>
      <w:r w:rsidR="00F67478" w:rsidRPr="00F67478">
        <w:rPr>
          <w:rFonts w:ascii="Times New Roman" w:hAnsi="Times New Roman" w:cs="Times New Roman"/>
          <w:sz w:val="28"/>
          <w:szCs w:val="28"/>
        </w:rPr>
        <w:t xml:space="preserve"> </w:t>
      </w:r>
      <w:r w:rsidR="00F67478" w:rsidRPr="00CC5D27">
        <w:rPr>
          <w:rFonts w:ascii="Times New Roman" w:hAnsi="Times New Roman" w:cs="Times New Roman"/>
          <w:sz w:val="28"/>
          <w:szCs w:val="28"/>
        </w:rPr>
        <w:t>par pasūtījumu pētījumu veikšanu, pētniecisko pakalpojumu sniegšanu un rūpnieciskā īpašuma vai tā lietošanas tiesību pārdošanu</w:t>
      </w:r>
      <w:r w:rsidR="00F67478">
        <w:rPr>
          <w:rFonts w:ascii="Times New Roman" w:hAnsi="Times New Roman" w:cs="Times New Roman"/>
          <w:sz w:val="28"/>
          <w:szCs w:val="28"/>
        </w:rPr>
        <w:t>.</w:t>
      </w:r>
    </w:p>
    <w:p w:rsidR="00667145" w:rsidRDefault="008E630F" w:rsidP="00667145">
      <w:pPr>
        <w:spacing w:after="0" w:line="240" w:lineRule="auto"/>
        <w:ind w:firstLine="709"/>
        <w:jc w:val="both"/>
        <w:rPr>
          <w:rFonts w:ascii="Times New Roman" w:hAnsi="Times New Roman" w:cs="Times New Roman"/>
          <w:sz w:val="28"/>
          <w:szCs w:val="28"/>
        </w:rPr>
      </w:pPr>
      <w:r w:rsidRPr="000A7DED">
        <w:rPr>
          <w:rFonts w:ascii="Times New Roman" w:hAnsi="Times New Roman" w:cs="Times New Roman"/>
          <w:sz w:val="28"/>
          <w:szCs w:val="28"/>
        </w:rPr>
        <w:t xml:space="preserve">Papildus </w:t>
      </w:r>
      <w:r w:rsidR="000A7DED" w:rsidRPr="000A7DED">
        <w:rPr>
          <w:rFonts w:ascii="Times New Roman" w:hAnsi="Times New Roman" w:cs="Times New Roman"/>
          <w:sz w:val="28"/>
          <w:szCs w:val="28"/>
        </w:rPr>
        <w:t xml:space="preserve"> Programmā </w:t>
      </w:r>
      <w:r w:rsidRPr="000A7DED">
        <w:rPr>
          <w:rFonts w:ascii="Times New Roman" w:hAnsi="Times New Roman" w:cs="Times New Roman"/>
          <w:sz w:val="28"/>
          <w:szCs w:val="28"/>
        </w:rPr>
        <w:t xml:space="preserve"> iekļautajām aktivitātēm tehno</w:t>
      </w:r>
      <w:r w:rsidR="00AF2862">
        <w:rPr>
          <w:rFonts w:ascii="Times New Roman" w:hAnsi="Times New Roman" w:cs="Times New Roman"/>
          <w:sz w:val="28"/>
          <w:szCs w:val="28"/>
        </w:rPr>
        <w:t>loģiju pārneses sekmēšanai LIAA</w:t>
      </w:r>
      <w:r w:rsidRPr="000A7DED">
        <w:rPr>
          <w:rFonts w:ascii="Times New Roman" w:hAnsi="Times New Roman" w:cs="Times New Roman"/>
          <w:sz w:val="28"/>
          <w:szCs w:val="28"/>
        </w:rPr>
        <w:t xml:space="preserve"> sadarbībā ar </w:t>
      </w:r>
      <w:r w:rsidR="000A7DED" w:rsidRPr="000A7DED">
        <w:rPr>
          <w:rFonts w:ascii="Times New Roman" w:hAnsi="Times New Roman" w:cs="Times New Roman"/>
          <w:sz w:val="28"/>
          <w:szCs w:val="28"/>
        </w:rPr>
        <w:t>parteriem</w:t>
      </w:r>
      <w:r w:rsidRPr="000A7DED">
        <w:rPr>
          <w:rFonts w:ascii="Times New Roman" w:hAnsi="Times New Roman" w:cs="Times New Roman"/>
          <w:sz w:val="28"/>
          <w:szCs w:val="28"/>
        </w:rPr>
        <w:t xml:space="preserve"> organizē</w:t>
      </w:r>
      <w:r w:rsidR="000A7DED" w:rsidRPr="000A7DED">
        <w:rPr>
          <w:rFonts w:ascii="Times New Roman" w:hAnsi="Times New Roman" w:cs="Times New Roman"/>
          <w:sz w:val="28"/>
          <w:szCs w:val="28"/>
        </w:rPr>
        <w:t>ja</w:t>
      </w:r>
      <w:r w:rsidRPr="000A7DED">
        <w:rPr>
          <w:rFonts w:ascii="Times New Roman" w:hAnsi="Times New Roman" w:cs="Times New Roman"/>
          <w:sz w:val="28"/>
          <w:szCs w:val="28"/>
        </w:rPr>
        <w:t xml:space="preserve"> pasākumu „Komercializācijas reaktors”. </w:t>
      </w:r>
      <w:r w:rsidR="000A7DED" w:rsidRPr="000A7DED">
        <w:rPr>
          <w:rFonts w:ascii="Times New Roman" w:hAnsi="Times New Roman" w:cs="Times New Roman"/>
          <w:sz w:val="28"/>
          <w:szCs w:val="28"/>
        </w:rPr>
        <w:t>Pasākuma</w:t>
      </w:r>
      <w:r w:rsidRPr="000A7DED">
        <w:rPr>
          <w:rFonts w:ascii="Times New Roman" w:hAnsi="Times New Roman" w:cs="Times New Roman"/>
          <w:sz w:val="28"/>
          <w:szCs w:val="28"/>
        </w:rPr>
        <w:t xml:space="preserve"> mērķis ir veidot Latvijā strauji augošus, starptautiski konkurētspējīgus tehnoloģiju uzņēmumus, komercializējot NVS valstīs un Latvijā radītās </w:t>
      </w:r>
      <w:r w:rsidR="00667145" w:rsidRPr="000A7DED">
        <w:rPr>
          <w:rFonts w:ascii="Times New Roman" w:hAnsi="Times New Roman" w:cs="Times New Roman"/>
          <w:sz w:val="28"/>
          <w:szCs w:val="28"/>
        </w:rPr>
        <w:t>zinātniski tehnoloģiskās izstrādnes. 2010.gadā tika organizēti divi  „Komercializācijas reaktora” pasākumi, kuros kopā tika prezentētas 28 zinātniski tehnoloģiskās izstrādnes ar augstu tirgus potenc</w:t>
      </w:r>
      <w:r w:rsidR="00AF2862">
        <w:rPr>
          <w:rFonts w:ascii="Times New Roman" w:hAnsi="Times New Roman" w:cs="Times New Roman"/>
          <w:sz w:val="28"/>
          <w:szCs w:val="28"/>
        </w:rPr>
        <w:t>iālu tādās jomās kā elektronika,</w:t>
      </w:r>
      <w:r w:rsidR="00667145" w:rsidRPr="000A7DED">
        <w:rPr>
          <w:rFonts w:ascii="Times New Roman" w:hAnsi="Times New Roman" w:cs="Times New Roman"/>
          <w:sz w:val="28"/>
          <w:szCs w:val="28"/>
        </w:rPr>
        <w:t xml:space="preserve"> alternatīvā enerģija, medicīnas iekārtas, biotehnoloģijas un farmācij</w:t>
      </w:r>
      <w:r w:rsidR="00AF2862">
        <w:rPr>
          <w:rFonts w:ascii="Times New Roman" w:hAnsi="Times New Roman" w:cs="Times New Roman"/>
          <w:sz w:val="28"/>
          <w:szCs w:val="28"/>
        </w:rPr>
        <w:t>a.</w:t>
      </w:r>
    </w:p>
    <w:p w:rsidR="00F67478" w:rsidRDefault="00F67478" w:rsidP="00C514FF">
      <w:pPr>
        <w:spacing w:after="0" w:line="240" w:lineRule="auto"/>
        <w:ind w:firstLine="709"/>
        <w:jc w:val="both"/>
        <w:rPr>
          <w:rFonts w:ascii="Times New Roman" w:hAnsi="Times New Roman" w:cs="Times New Roman"/>
          <w:sz w:val="28"/>
          <w:szCs w:val="28"/>
        </w:rPr>
      </w:pPr>
    </w:p>
    <w:p w:rsidR="004130BC" w:rsidRDefault="004130BC" w:rsidP="00B85B1F">
      <w:pPr>
        <w:pStyle w:val="ListParagraph"/>
        <w:numPr>
          <w:ilvl w:val="1"/>
          <w:numId w:val="8"/>
        </w:numPr>
        <w:spacing w:after="0" w:line="240" w:lineRule="auto"/>
        <w:ind w:left="709" w:hanging="709"/>
        <w:jc w:val="both"/>
        <w:rPr>
          <w:rFonts w:ascii="Times New Roman" w:hAnsi="Times New Roman" w:cs="Times New Roman"/>
          <w:b/>
          <w:sz w:val="28"/>
          <w:szCs w:val="28"/>
        </w:rPr>
      </w:pPr>
      <w:r w:rsidRPr="004130BC">
        <w:rPr>
          <w:rFonts w:ascii="Times New Roman" w:hAnsi="Times New Roman" w:cs="Times New Roman"/>
          <w:b/>
          <w:sz w:val="28"/>
          <w:szCs w:val="28"/>
        </w:rPr>
        <w:t>Rūpniecības nozaru attīstības veicināšana un produktivitātes paaugstināšana</w:t>
      </w:r>
    </w:p>
    <w:p w:rsidR="004130BC" w:rsidRPr="00B16B00" w:rsidRDefault="004130BC" w:rsidP="004130BC">
      <w:pPr>
        <w:spacing w:after="0" w:line="240" w:lineRule="auto"/>
        <w:jc w:val="both"/>
        <w:rPr>
          <w:rFonts w:ascii="Times New Roman" w:hAnsi="Times New Roman" w:cs="Times New Roman"/>
          <w:sz w:val="28"/>
          <w:szCs w:val="28"/>
        </w:rPr>
      </w:pPr>
    </w:p>
    <w:p w:rsidR="004B4625" w:rsidRDefault="00220DF3" w:rsidP="00BA16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Lai sekmētu rūpniecības nozares attīstību un produktivitātes paaugstināšanos</w:t>
      </w:r>
      <w:r w:rsidR="00A857A8">
        <w:rPr>
          <w:rFonts w:ascii="Times New Roman" w:hAnsi="Times New Roman" w:cs="Times New Roman"/>
          <w:sz w:val="28"/>
          <w:szCs w:val="28"/>
        </w:rPr>
        <w:t>,</w:t>
      </w:r>
      <w:r>
        <w:rPr>
          <w:rFonts w:ascii="Times New Roman" w:hAnsi="Times New Roman" w:cs="Times New Roman"/>
          <w:sz w:val="28"/>
          <w:szCs w:val="28"/>
        </w:rPr>
        <w:t xml:space="preserve"> 2010.gadā tika turpināt</w:t>
      </w:r>
      <w:r w:rsidR="002B1D40">
        <w:rPr>
          <w:rFonts w:ascii="Times New Roman" w:hAnsi="Times New Roman" w:cs="Times New Roman"/>
          <w:sz w:val="28"/>
          <w:szCs w:val="28"/>
        </w:rPr>
        <w:t>i</w:t>
      </w:r>
      <w:r>
        <w:rPr>
          <w:rFonts w:ascii="Times New Roman" w:hAnsi="Times New Roman" w:cs="Times New Roman"/>
          <w:sz w:val="28"/>
          <w:szCs w:val="28"/>
        </w:rPr>
        <w:t xml:space="preserve"> </w:t>
      </w:r>
      <w:r w:rsidR="002B1D40">
        <w:rPr>
          <w:rFonts w:ascii="Times New Roman" w:hAnsi="Times New Roman" w:cs="Times New Roman"/>
          <w:sz w:val="28"/>
          <w:szCs w:val="28"/>
        </w:rPr>
        <w:t xml:space="preserve">un </w:t>
      </w:r>
      <w:r>
        <w:rPr>
          <w:rFonts w:ascii="Times New Roman" w:hAnsi="Times New Roman" w:cs="Times New Roman"/>
          <w:sz w:val="28"/>
          <w:szCs w:val="28"/>
        </w:rPr>
        <w:t>uzsākt</w:t>
      </w:r>
      <w:r w:rsidR="002B1D40">
        <w:rPr>
          <w:rFonts w:ascii="Times New Roman" w:hAnsi="Times New Roman" w:cs="Times New Roman"/>
          <w:sz w:val="28"/>
          <w:szCs w:val="28"/>
        </w:rPr>
        <w:t>i</w:t>
      </w:r>
      <w:r>
        <w:rPr>
          <w:rFonts w:ascii="Times New Roman" w:hAnsi="Times New Roman" w:cs="Times New Roman"/>
          <w:sz w:val="28"/>
          <w:szCs w:val="28"/>
        </w:rPr>
        <w:t xml:space="preserve"> vairāki pas</w:t>
      </w:r>
      <w:r w:rsidR="004B4625">
        <w:rPr>
          <w:rFonts w:ascii="Times New Roman" w:hAnsi="Times New Roman" w:cs="Times New Roman"/>
          <w:sz w:val="28"/>
          <w:szCs w:val="28"/>
        </w:rPr>
        <w:t>ākum</w:t>
      </w:r>
      <w:r>
        <w:rPr>
          <w:rFonts w:ascii="Times New Roman" w:hAnsi="Times New Roman" w:cs="Times New Roman"/>
          <w:sz w:val="28"/>
          <w:szCs w:val="28"/>
        </w:rPr>
        <w:t>i,</w:t>
      </w:r>
      <w:r w:rsidR="004B4625">
        <w:rPr>
          <w:rFonts w:ascii="Times New Roman" w:hAnsi="Times New Roman" w:cs="Times New Roman"/>
          <w:sz w:val="28"/>
          <w:szCs w:val="28"/>
        </w:rPr>
        <w:t xml:space="preserve"> </w:t>
      </w:r>
      <w:r>
        <w:rPr>
          <w:rFonts w:ascii="Times New Roman" w:hAnsi="Times New Roman" w:cs="Times New Roman"/>
          <w:sz w:val="28"/>
          <w:szCs w:val="28"/>
        </w:rPr>
        <w:t xml:space="preserve">kuru mērķis ir sekmēt </w:t>
      </w:r>
      <w:r w:rsidR="00740EB2">
        <w:rPr>
          <w:rFonts w:ascii="Times New Roman" w:hAnsi="Times New Roman" w:cs="Times New Roman"/>
          <w:sz w:val="28"/>
          <w:szCs w:val="28"/>
        </w:rPr>
        <w:t xml:space="preserve">gan </w:t>
      </w:r>
      <w:r>
        <w:rPr>
          <w:rFonts w:ascii="Times New Roman" w:hAnsi="Times New Roman" w:cs="Times New Roman"/>
          <w:sz w:val="28"/>
          <w:szCs w:val="28"/>
        </w:rPr>
        <w:t xml:space="preserve">jaunu produktu izstrādi un ieviešanu, </w:t>
      </w:r>
      <w:r w:rsidR="00740EB2">
        <w:rPr>
          <w:rFonts w:ascii="Times New Roman" w:hAnsi="Times New Roman" w:cs="Times New Roman"/>
          <w:sz w:val="28"/>
          <w:szCs w:val="28"/>
        </w:rPr>
        <w:t xml:space="preserve">gan </w:t>
      </w:r>
      <w:r>
        <w:rPr>
          <w:rFonts w:ascii="Times New Roman" w:hAnsi="Times New Roman" w:cs="Times New Roman"/>
          <w:sz w:val="28"/>
          <w:szCs w:val="28"/>
        </w:rPr>
        <w:t>investīcijas jaunu ražo</w:t>
      </w:r>
      <w:r w:rsidR="00740EB2">
        <w:rPr>
          <w:rFonts w:ascii="Times New Roman" w:hAnsi="Times New Roman" w:cs="Times New Roman"/>
          <w:sz w:val="28"/>
          <w:szCs w:val="28"/>
        </w:rPr>
        <w:t>tņu</w:t>
      </w:r>
      <w:r>
        <w:rPr>
          <w:rFonts w:ascii="Times New Roman" w:hAnsi="Times New Roman" w:cs="Times New Roman"/>
          <w:sz w:val="28"/>
          <w:szCs w:val="28"/>
        </w:rPr>
        <w:t xml:space="preserve"> </w:t>
      </w:r>
      <w:r w:rsidR="00740EB2">
        <w:rPr>
          <w:rFonts w:ascii="Times New Roman" w:hAnsi="Times New Roman" w:cs="Times New Roman"/>
          <w:sz w:val="28"/>
          <w:szCs w:val="28"/>
        </w:rPr>
        <w:t>izveidei</w:t>
      </w:r>
      <w:r>
        <w:rPr>
          <w:rFonts w:ascii="Times New Roman" w:hAnsi="Times New Roman" w:cs="Times New Roman"/>
          <w:sz w:val="28"/>
          <w:szCs w:val="28"/>
        </w:rPr>
        <w:t xml:space="preserve"> vai paplašināšanai, kā arī </w:t>
      </w:r>
      <w:r w:rsidR="00740EB2">
        <w:rPr>
          <w:rFonts w:ascii="Times New Roman" w:hAnsi="Times New Roman" w:cs="Times New Roman"/>
          <w:sz w:val="28"/>
          <w:szCs w:val="28"/>
        </w:rPr>
        <w:t xml:space="preserve">īstenotas </w:t>
      </w:r>
      <w:r>
        <w:rPr>
          <w:rFonts w:ascii="Times New Roman" w:hAnsi="Times New Roman" w:cs="Times New Roman"/>
          <w:sz w:val="28"/>
          <w:szCs w:val="28"/>
        </w:rPr>
        <w:t xml:space="preserve">aktivitātes, kas vērstas uz </w:t>
      </w:r>
      <w:r w:rsidR="004B4625">
        <w:rPr>
          <w:rFonts w:ascii="Times New Roman" w:hAnsi="Times New Roman" w:cs="Times New Roman"/>
          <w:sz w:val="28"/>
          <w:szCs w:val="28"/>
        </w:rPr>
        <w:t>darba spēka produktivitātes paaugstināšanu.</w:t>
      </w:r>
    </w:p>
    <w:p w:rsidR="001E4884" w:rsidRPr="001E4884" w:rsidRDefault="00BA1601" w:rsidP="001E4884">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rPr>
        <w:t xml:space="preserve">Lai atbalstītu </w:t>
      </w:r>
      <w:r w:rsidR="008D1637">
        <w:rPr>
          <w:rFonts w:ascii="Times New Roman" w:hAnsi="Times New Roman" w:cs="Times New Roman"/>
          <w:sz w:val="28"/>
          <w:szCs w:val="28"/>
        </w:rPr>
        <w:t>komersantu</w:t>
      </w:r>
      <w:r w:rsidR="00740EB2">
        <w:rPr>
          <w:rFonts w:ascii="Times New Roman" w:hAnsi="Times New Roman" w:cs="Times New Roman"/>
          <w:sz w:val="28"/>
          <w:szCs w:val="28"/>
        </w:rPr>
        <w:t xml:space="preserve"> centienus izstrādāt un ieviest ražošanā </w:t>
      </w:r>
      <w:r>
        <w:rPr>
          <w:rFonts w:ascii="Times New Roman" w:hAnsi="Times New Roman" w:cs="Times New Roman"/>
          <w:sz w:val="28"/>
          <w:szCs w:val="28"/>
        </w:rPr>
        <w:t xml:space="preserve"> jaunu</w:t>
      </w:r>
      <w:r w:rsidR="00740EB2">
        <w:rPr>
          <w:rFonts w:ascii="Times New Roman" w:hAnsi="Times New Roman" w:cs="Times New Roman"/>
          <w:sz w:val="28"/>
          <w:szCs w:val="28"/>
        </w:rPr>
        <w:t>s</w:t>
      </w:r>
      <w:r>
        <w:rPr>
          <w:rFonts w:ascii="Times New Roman" w:hAnsi="Times New Roman" w:cs="Times New Roman"/>
          <w:sz w:val="28"/>
          <w:szCs w:val="28"/>
        </w:rPr>
        <w:t xml:space="preserve"> vai būtiski uzlabotu</w:t>
      </w:r>
      <w:r w:rsidR="00740EB2">
        <w:rPr>
          <w:rFonts w:ascii="Times New Roman" w:hAnsi="Times New Roman" w:cs="Times New Roman"/>
          <w:sz w:val="28"/>
          <w:szCs w:val="28"/>
        </w:rPr>
        <w:t>s</w:t>
      </w:r>
      <w:r>
        <w:rPr>
          <w:rFonts w:ascii="Times New Roman" w:hAnsi="Times New Roman" w:cs="Times New Roman"/>
          <w:sz w:val="28"/>
          <w:szCs w:val="28"/>
        </w:rPr>
        <w:t xml:space="preserve"> inovatīvu</w:t>
      </w:r>
      <w:r w:rsidR="00740EB2">
        <w:rPr>
          <w:rFonts w:ascii="Times New Roman" w:hAnsi="Times New Roman" w:cs="Times New Roman"/>
          <w:sz w:val="28"/>
          <w:szCs w:val="28"/>
        </w:rPr>
        <w:t>s</w:t>
      </w:r>
      <w:r>
        <w:rPr>
          <w:rFonts w:ascii="Times New Roman" w:hAnsi="Times New Roman" w:cs="Times New Roman"/>
          <w:sz w:val="28"/>
          <w:szCs w:val="28"/>
        </w:rPr>
        <w:t xml:space="preserve"> produktu</w:t>
      </w:r>
      <w:r w:rsidR="00740EB2">
        <w:rPr>
          <w:rFonts w:ascii="Times New Roman" w:hAnsi="Times New Roman" w:cs="Times New Roman"/>
          <w:sz w:val="28"/>
          <w:szCs w:val="28"/>
        </w:rPr>
        <w:t>s</w:t>
      </w:r>
      <w:r>
        <w:rPr>
          <w:rFonts w:ascii="Times New Roman" w:hAnsi="Times New Roman" w:cs="Times New Roman"/>
          <w:sz w:val="28"/>
          <w:szCs w:val="28"/>
        </w:rPr>
        <w:t xml:space="preserve">, </w:t>
      </w:r>
      <w:r w:rsidR="001E4884" w:rsidRPr="001E4884">
        <w:rPr>
          <w:rFonts w:ascii="Times New Roman" w:hAnsi="Times New Roman" w:cs="Times New Roman"/>
          <w:sz w:val="28"/>
          <w:szCs w:val="28"/>
          <w:lang w:eastAsia="lv-LV"/>
        </w:rPr>
        <w:t xml:space="preserve">2010.gadā tika turpinātas vairākas </w:t>
      </w:r>
      <w:r w:rsidR="002B1D40">
        <w:rPr>
          <w:rFonts w:ascii="Times New Roman" w:hAnsi="Times New Roman" w:cs="Times New Roman"/>
          <w:sz w:val="28"/>
          <w:szCs w:val="28"/>
          <w:lang w:eastAsia="lv-LV"/>
        </w:rPr>
        <w:t>no ES</w:t>
      </w:r>
      <w:r w:rsidR="001E4884" w:rsidRPr="001E4884">
        <w:rPr>
          <w:rFonts w:ascii="Times New Roman" w:hAnsi="Times New Roman" w:cs="Times New Roman"/>
          <w:sz w:val="28"/>
          <w:szCs w:val="28"/>
          <w:lang w:eastAsia="lv-LV"/>
        </w:rPr>
        <w:t xml:space="preserve"> struktūrfond</w:t>
      </w:r>
      <w:r w:rsidR="002B1D40">
        <w:rPr>
          <w:rFonts w:ascii="Times New Roman" w:hAnsi="Times New Roman" w:cs="Times New Roman"/>
          <w:sz w:val="28"/>
          <w:szCs w:val="28"/>
          <w:lang w:eastAsia="lv-LV"/>
        </w:rPr>
        <w:t>iem</w:t>
      </w:r>
      <w:r w:rsidR="001E4884" w:rsidRPr="001E4884">
        <w:rPr>
          <w:rFonts w:ascii="Times New Roman" w:hAnsi="Times New Roman" w:cs="Times New Roman"/>
          <w:sz w:val="28"/>
          <w:szCs w:val="28"/>
          <w:lang w:eastAsia="lv-LV"/>
        </w:rPr>
        <w:t xml:space="preserve"> līdzfinansēt</w:t>
      </w:r>
      <w:r w:rsidR="002B1D40">
        <w:rPr>
          <w:rFonts w:ascii="Times New Roman" w:hAnsi="Times New Roman" w:cs="Times New Roman"/>
          <w:sz w:val="28"/>
          <w:szCs w:val="28"/>
          <w:lang w:eastAsia="lv-LV"/>
        </w:rPr>
        <w:t>as</w:t>
      </w:r>
      <w:r w:rsidR="001E4884" w:rsidRPr="001E4884">
        <w:rPr>
          <w:rFonts w:ascii="Times New Roman" w:hAnsi="Times New Roman" w:cs="Times New Roman"/>
          <w:sz w:val="28"/>
          <w:szCs w:val="28"/>
          <w:lang w:eastAsia="lv-LV"/>
        </w:rPr>
        <w:t xml:space="preserve"> </w:t>
      </w:r>
      <w:r w:rsidR="002B1D40">
        <w:rPr>
          <w:rFonts w:ascii="Times New Roman" w:hAnsi="Times New Roman" w:cs="Times New Roman"/>
          <w:sz w:val="28"/>
          <w:szCs w:val="28"/>
          <w:lang w:eastAsia="lv-LV"/>
        </w:rPr>
        <w:t xml:space="preserve">valsts atbalsta </w:t>
      </w:r>
      <w:r w:rsidR="001E4884" w:rsidRPr="001E4884">
        <w:rPr>
          <w:rFonts w:ascii="Times New Roman" w:hAnsi="Times New Roman" w:cs="Times New Roman"/>
          <w:sz w:val="28"/>
          <w:szCs w:val="28"/>
          <w:lang w:eastAsia="lv-LV"/>
        </w:rPr>
        <w:t>programmas</w:t>
      </w:r>
      <w:r w:rsidR="002B1D40">
        <w:rPr>
          <w:rFonts w:ascii="Times New Roman" w:hAnsi="Times New Roman" w:cs="Times New Roman"/>
          <w:sz w:val="28"/>
          <w:szCs w:val="28"/>
          <w:lang w:eastAsia="lv-LV"/>
        </w:rPr>
        <w:t>.</w:t>
      </w:r>
      <w:r w:rsidR="001E4884" w:rsidRPr="001E4884">
        <w:rPr>
          <w:rFonts w:ascii="Times New Roman" w:hAnsi="Times New Roman" w:cs="Times New Roman"/>
          <w:sz w:val="28"/>
          <w:szCs w:val="28"/>
          <w:lang w:eastAsia="lv-LV"/>
        </w:rPr>
        <w:t xml:space="preserve"> </w:t>
      </w:r>
      <w:r w:rsidR="002B1D40">
        <w:rPr>
          <w:rFonts w:ascii="Times New Roman" w:hAnsi="Times New Roman" w:cs="Times New Roman"/>
          <w:sz w:val="28"/>
          <w:szCs w:val="28"/>
          <w:lang w:eastAsia="lv-LV"/>
        </w:rPr>
        <w:t>P</w:t>
      </w:r>
      <w:r w:rsidR="001E4884" w:rsidRPr="001E4884">
        <w:rPr>
          <w:rFonts w:ascii="Times New Roman" w:hAnsi="Times New Roman" w:cs="Times New Roman"/>
          <w:sz w:val="28"/>
          <w:szCs w:val="28"/>
          <w:lang w:eastAsia="lv-LV"/>
        </w:rPr>
        <w:t xml:space="preserve">rogrammas „Jaunu produktu un tehnoloģiju izstrāde” ietvaros tika nodrošināta 105 projektu īstenošana par kopējo atbalsta summu 6,47 milj. </w:t>
      </w:r>
      <w:r w:rsidR="002B1D40">
        <w:rPr>
          <w:rFonts w:ascii="Times New Roman" w:hAnsi="Times New Roman" w:cs="Times New Roman"/>
          <w:sz w:val="28"/>
          <w:szCs w:val="28"/>
          <w:lang w:eastAsia="lv-LV"/>
        </w:rPr>
        <w:t>LVL, bet</w:t>
      </w:r>
      <w:r w:rsidR="001E4884" w:rsidRPr="001E4884">
        <w:rPr>
          <w:rFonts w:ascii="Times New Roman" w:hAnsi="Times New Roman" w:cs="Times New Roman"/>
          <w:sz w:val="28"/>
          <w:szCs w:val="28"/>
          <w:lang w:eastAsia="lv-LV"/>
        </w:rPr>
        <w:t xml:space="preserve"> atbalsta programmas „Jaunu produktu un tehnoloģiju izstrāde – atbalsts jaunu produktu un tehnoloģiju ieviešanai ražošanā” ietvaros tika nodrošināts atbalsts 47 projektu īstenošanai par 8,79 milj. </w:t>
      </w:r>
      <w:r w:rsidR="002B1D40">
        <w:rPr>
          <w:rFonts w:ascii="Times New Roman" w:hAnsi="Times New Roman" w:cs="Times New Roman"/>
          <w:sz w:val="28"/>
          <w:szCs w:val="28"/>
          <w:lang w:eastAsia="lv-LV"/>
        </w:rPr>
        <w:t>LVL</w:t>
      </w:r>
      <w:r w:rsidR="002B1D40" w:rsidRPr="001E4884">
        <w:rPr>
          <w:rFonts w:ascii="Times New Roman" w:hAnsi="Times New Roman" w:cs="Times New Roman"/>
          <w:sz w:val="28"/>
          <w:szCs w:val="28"/>
          <w:lang w:eastAsia="lv-LV"/>
        </w:rPr>
        <w:t xml:space="preserve"> </w:t>
      </w:r>
      <w:r w:rsidR="00A857A8">
        <w:rPr>
          <w:rFonts w:ascii="Times New Roman" w:hAnsi="Times New Roman" w:cs="Times New Roman"/>
          <w:sz w:val="28"/>
          <w:szCs w:val="28"/>
          <w:lang w:eastAsia="lv-LV"/>
        </w:rPr>
        <w:t>no ERAF</w:t>
      </w:r>
      <w:r w:rsidR="001E4884" w:rsidRPr="001E4884">
        <w:rPr>
          <w:rFonts w:ascii="Times New Roman" w:hAnsi="Times New Roman" w:cs="Times New Roman"/>
          <w:sz w:val="28"/>
          <w:szCs w:val="28"/>
          <w:lang w:eastAsia="lv-LV"/>
        </w:rPr>
        <w:t xml:space="preserve"> finansējuma.</w:t>
      </w:r>
    </w:p>
    <w:p w:rsidR="0089612B" w:rsidRDefault="00A00D21" w:rsidP="0089612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2010.gadā</w:t>
      </w:r>
      <w:r w:rsidR="009760B2">
        <w:rPr>
          <w:rFonts w:ascii="Times New Roman" w:hAnsi="Times New Roman" w:cs="Times New Roman"/>
          <w:sz w:val="28"/>
          <w:szCs w:val="28"/>
        </w:rPr>
        <w:t xml:space="preserve"> </w:t>
      </w:r>
      <w:r w:rsidR="00A3385D" w:rsidRPr="00A3385D">
        <w:rPr>
          <w:rFonts w:ascii="Times New Roman" w:hAnsi="Times New Roman" w:cs="Times New Roman"/>
          <w:sz w:val="28"/>
          <w:szCs w:val="28"/>
        </w:rPr>
        <w:t xml:space="preserve">aktivitātes </w:t>
      </w:r>
      <w:r w:rsidR="00A3385D" w:rsidRPr="00740EB2">
        <w:rPr>
          <w:rFonts w:ascii="Times New Roman" w:hAnsi="Times New Roman" w:cs="Times New Roman"/>
          <w:sz w:val="28"/>
          <w:szCs w:val="28"/>
        </w:rPr>
        <w:t>„Augstas pievienotās vērtības investīcijas”</w:t>
      </w:r>
      <w:r w:rsidR="00A3385D" w:rsidRPr="00A3385D">
        <w:rPr>
          <w:rFonts w:ascii="Times New Roman" w:hAnsi="Times New Roman" w:cs="Times New Roman"/>
          <w:sz w:val="28"/>
          <w:szCs w:val="28"/>
        </w:rPr>
        <w:t xml:space="preserve"> </w:t>
      </w:r>
      <w:r w:rsidR="009760B2">
        <w:rPr>
          <w:rFonts w:ascii="Times New Roman" w:hAnsi="Times New Roman" w:cs="Times New Roman"/>
          <w:sz w:val="28"/>
          <w:szCs w:val="28"/>
        </w:rPr>
        <w:t xml:space="preserve">ietvaros </w:t>
      </w:r>
      <w:r>
        <w:rPr>
          <w:rFonts w:ascii="Times New Roman" w:hAnsi="Times New Roman" w:cs="Times New Roman"/>
          <w:sz w:val="28"/>
          <w:szCs w:val="28"/>
        </w:rPr>
        <w:t xml:space="preserve">tika </w:t>
      </w:r>
      <w:r w:rsidR="0089612B" w:rsidRPr="00D46258">
        <w:rPr>
          <w:rFonts w:ascii="Times New Roman" w:hAnsi="Times New Roman" w:cs="Times New Roman"/>
          <w:sz w:val="28"/>
          <w:szCs w:val="28"/>
        </w:rPr>
        <w:t>apstiprināta</w:t>
      </w:r>
      <w:r w:rsidR="009760B2" w:rsidRPr="00D46258">
        <w:rPr>
          <w:rFonts w:ascii="Times New Roman" w:hAnsi="Times New Roman" w:cs="Times New Roman"/>
          <w:sz w:val="28"/>
          <w:szCs w:val="28"/>
        </w:rPr>
        <w:t xml:space="preserve"> </w:t>
      </w:r>
      <w:r w:rsidR="002B1D40" w:rsidRPr="00D46258">
        <w:rPr>
          <w:rFonts w:ascii="Times New Roman" w:hAnsi="Times New Roman" w:cs="Times New Roman"/>
          <w:sz w:val="28"/>
          <w:szCs w:val="28"/>
        </w:rPr>
        <w:t>31</w:t>
      </w:r>
      <w:r w:rsidR="0089612B" w:rsidRPr="00D46258">
        <w:rPr>
          <w:rFonts w:ascii="Times New Roman" w:hAnsi="Times New Roman" w:cs="Times New Roman"/>
          <w:sz w:val="28"/>
          <w:szCs w:val="28"/>
        </w:rPr>
        <w:t xml:space="preserve"> </w:t>
      </w:r>
      <w:r w:rsidR="002B1D40" w:rsidRPr="00D46258">
        <w:rPr>
          <w:rFonts w:ascii="Times New Roman" w:hAnsi="Times New Roman" w:cs="Times New Roman"/>
          <w:sz w:val="28"/>
          <w:szCs w:val="28"/>
        </w:rPr>
        <w:t>p</w:t>
      </w:r>
      <w:r w:rsidR="009760B2" w:rsidRPr="00D46258">
        <w:rPr>
          <w:rFonts w:ascii="Times New Roman" w:hAnsi="Times New Roman" w:cs="Times New Roman"/>
          <w:sz w:val="28"/>
          <w:szCs w:val="28"/>
        </w:rPr>
        <w:t>rojekt</w:t>
      </w:r>
      <w:r w:rsidR="002B1D40" w:rsidRPr="00D46258">
        <w:rPr>
          <w:rFonts w:ascii="Times New Roman" w:hAnsi="Times New Roman" w:cs="Times New Roman"/>
          <w:sz w:val="28"/>
          <w:szCs w:val="28"/>
        </w:rPr>
        <w:t xml:space="preserve">a </w:t>
      </w:r>
      <w:r w:rsidRPr="00D46258">
        <w:rPr>
          <w:rFonts w:ascii="Times New Roman" w:hAnsi="Times New Roman" w:cs="Times New Roman"/>
          <w:sz w:val="28"/>
          <w:szCs w:val="28"/>
        </w:rPr>
        <w:t xml:space="preserve">īstenošana </w:t>
      </w:r>
      <w:r w:rsidR="00AB4275" w:rsidRPr="00D46258">
        <w:rPr>
          <w:rFonts w:ascii="Times New Roman" w:hAnsi="Times New Roman" w:cs="Times New Roman"/>
          <w:sz w:val="28"/>
          <w:szCs w:val="28"/>
        </w:rPr>
        <w:t>jaunu ražotņu</w:t>
      </w:r>
      <w:r w:rsidRPr="00D46258">
        <w:rPr>
          <w:rFonts w:ascii="Times New Roman" w:hAnsi="Times New Roman" w:cs="Times New Roman"/>
          <w:sz w:val="28"/>
          <w:szCs w:val="28"/>
        </w:rPr>
        <w:t xml:space="preserve"> izveidei </w:t>
      </w:r>
      <w:r w:rsidR="002B1D40" w:rsidRPr="00D46258">
        <w:rPr>
          <w:rFonts w:ascii="Times New Roman" w:hAnsi="Times New Roman" w:cs="Times New Roman"/>
          <w:sz w:val="28"/>
          <w:szCs w:val="28"/>
        </w:rPr>
        <w:t>par kopējo finansējumu 71,56 milj. LVL</w:t>
      </w:r>
      <w:r w:rsidR="00A3385D" w:rsidRPr="00D46258">
        <w:rPr>
          <w:rFonts w:ascii="Times New Roman" w:hAnsi="Times New Roman" w:cs="Times New Roman"/>
          <w:sz w:val="28"/>
          <w:szCs w:val="28"/>
        </w:rPr>
        <w:t xml:space="preserve">. Programmas ietvaros atbalsts tiek piešķirts liela mēroga ražotņu izveidei </w:t>
      </w:r>
      <w:r w:rsidR="00740EB2" w:rsidRPr="00D46258">
        <w:rPr>
          <w:rFonts w:ascii="Times New Roman" w:hAnsi="Times New Roman" w:cs="Times New Roman"/>
          <w:sz w:val="28"/>
          <w:szCs w:val="28"/>
        </w:rPr>
        <w:t xml:space="preserve">– iekārtu iegādei, ēku būvniecībai un rekonstrukcijai </w:t>
      </w:r>
      <w:r w:rsidR="00A3385D" w:rsidRPr="00D46258">
        <w:rPr>
          <w:rFonts w:ascii="Times New Roman" w:hAnsi="Times New Roman" w:cs="Times New Roman"/>
          <w:sz w:val="28"/>
          <w:szCs w:val="28"/>
        </w:rPr>
        <w:t>un jaunu darba vietu radīšanai.</w:t>
      </w:r>
      <w:r w:rsidR="0089612B" w:rsidRPr="00D46258">
        <w:rPr>
          <w:rFonts w:ascii="Times New Roman" w:hAnsi="Times New Roman" w:cs="Times New Roman"/>
          <w:sz w:val="28"/>
          <w:szCs w:val="28"/>
        </w:rPr>
        <w:t xml:space="preserve"> </w:t>
      </w:r>
      <w:r w:rsidRPr="00D46258">
        <w:rPr>
          <w:rFonts w:ascii="Times New Roman" w:hAnsi="Times New Roman" w:cs="Times New Roman"/>
          <w:sz w:val="28"/>
          <w:szCs w:val="28"/>
        </w:rPr>
        <w:t>2010.gadā</w:t>
      </w:r>
      <w:r w:rsidR="00AB4275" w:rsidRPr="00D46258">
        <w:rPr>
          <w:rFonts w:ascii="Times New Roman" w:hAnsi="Times New Roman" w:cs="Times New Roman"/>
          <w:sz w:val="28"/>
          <w:szCs w:val="28"/>
        </w:rPr>
        <w:t xml:space="preserve"> </w:t>
      </w:r>
      <w:r w:rsidR="00262DFE">
        <w:rPr>
          <w:rFonts w:ascii="Times New Roman" w:hAnsi="Times New Roman" w:cs="Times New Roman"/>
          <w:sz w:val="28"/>
          <w:szCs w:val="28"/>
        </w:rPr>
        <w:t xml:space="preserve">tika </w:t>
      </w:r>
      <w:r w:rsidRPr="00D46258">
        <w:rPr>
          <w:rFonts w:ascii="Times New Roman" w:hAnsi="Times New Roman" w:cs="Times New Roman"/>
          <w:sz w:val="28"/>
          <w:szCs w:val="28"/>
        </w:rPr>
        <w:t xml:space="preserve"> izmaksāts </w:t>
      </w:r>
      <w:r w:rsidR="004D6092" w:rsidRPr="00D46258">
        <w:rPr>
          <w:rFonts w:ascii="Times New Roman" w:hAnsi="Times New Roman" w:cs="Times New Roman"/>
          <w:sz w:val="28"/>
          <w:szCs w:val="28"/>
        </w:rPr>
        <w:t>2</w:t>
      </w:r>
      <w:r w:rsidR="004D6092">
        <w:rPr>
          <w:rFonts w:ascii="Times New Roman" w:hAnsi="Times New Roman" w:cs="Times New Roman"/>
          <w:sz w:val="28"/>
          <w:szCs w:val="28"/>
        </w:rPr>
        <w:t>0</w:t>
      </w:r>
      <w:r w:rsidRPr="00D46258">
        <w:rPr>
          <w:rFonts w:ascii="Times New Roman" w:hAnsi="Times New Roman" w:cs="Times New Roman"/>
          <w:sz w:val="28"/>
          <w:szCs w:val="28"/>
        </w:rPr>
        <w:t>,</w:t>
      </w:r>
      <w:r w:rsidR="004D6092">
        <w:rPr>
          <w:rFonts w:ascii="Times New Roman" w:hAnsi="Times New Roman" w:cs="Times New Roman"/>
          <w:sz w:val="28"/>
          <w:szCs w:val="28"/>
        </w:rPr>
        <w:t>6</w:t>
      </w:r>
      <w:r w:rsidR="004D6092" w:rsidRPr="00D46258">
        <w:rPr>
          <w:rFonts w:ascii="Times New Roman" w:hAnsi="Times New Roman" w:cs="Times New Roman"/>
          <w:sz w:val="28"/>
          <w:szCs w:val="28"/>
        </w:rPr>
        <w:t xml:space="preserve">6 </w:t>
      </w:r>
      <w:r w:rsidRPr="00D46258">
        <w:rPr>
          <w:rFonts w:ascii="Times New Roman" w:hAnsi="Times New Roman" w:cs="Times New Roman"/>
          <w:sz w:val="28"/>
          <w:szCs w:val="28"/>
        </w:rPr>
        <w:t>milj. LVL publiskā finansējuma</w:t>
      </w:r>
      <w:r w:rsidR="00262DFE" w:rsidRPr="00262DFE">
        <w:rPr>
          <w:rFonts w:ascii="Times New Roman" w:hAnsi="Times New Roman" w:cs="Times New Roman"/>
          <w:sz w:val="28"/>
          <w:szCs w:val="28"/>
        </w:rPr>
        <w:t xml:space="preserve"> </w:t>
      </w:r>
      <w:r w:rsidR="00262DFE">
        <w:rPr>
          <w:rFonts w:ascii="Times New Roman" w:hAnsi="Times New Roman" w:cs="Times New Roman"/>
          <w:sz w:val="28"/>
          <w:szCs w:val="28"/>
        </w:rPr>
        <w:t>uzsāktajai</w:t>
      </w:r>
      <w:r w:rsidR="00262DFE" w:rsidRPr="00D46258">
        <w:rPr>
          <w:rFonts w:ascii="Times New Roman" w:hAnsi="Times New Roman" w:cs="Times New Roman"/>
          <w:sz w:val="28"/>
          <w:szCs w:val="28"/>
        </w:rPr>
        <w:t xml:space="preserve"> ražotņu būvniecība</w:t>
      </w:r>
      <w:r w:rsidR="00262DFE">
        <w:rPr>
          <w:rFonts w:ascii="Times New Roman" w:hAnsi="Times New Roman" w:cs="Times New Roman"/>
          <w:sz w:val="28"/>
          <w:szCs w:val="28"/>
        </w:rPr>
        <w:t>i</w:t>
      </w:r>
      <w:r w:rsidRPr="00D46258">
        <w:rPr>
          <w:rFonts w:ascii="Times New Roman" w:hAnsi="Times New Roman" w:cs="Times New Roman"/>
          <w:sz w:val="28"/>
          <w:szCs w:val="28"/>
        </w:rPr>
        <w:t>. Ražotņu būvniecību plānots pabeigt līdz 2013.gadam.</w:t>
      </w:r>
    </w:p>
    <w:p w:rsidR="009760B2" w:rsidRPr="005B75F1" w:rsidRDefault="005B75F1" w:rsidP="0089612B">
      <w:pPr>
        <w:spacing w:after="0" w:line="240" w:lineRule="auto"/>
        <w:ind w:firstLine="709"/>
        <w:jc w:val="both"/>
        <w:rPr>
          <w:rFonts w:ascii="Times New Roman" w:hAnsi="Times New Roman" w:cs="Times New Roman"/>
          <w:sz w:val="28"/>
          <w:szCs w:val="28"/>
        </w:rPr>
      </w:pPr>
      <w:r w:rsidRPr="005B75F1">
        <w:rPr>
          <w:rFonts w:ascii="Times New Roman" w:hAnsi="Times New Roman" w:cs="Times New Roman"/>
          <w:sz w:val="28"/>
          <w:szCs w:val="28"/>
        </w:rPr>
        <w:t xml:space="preserve">Lai sekmētu </w:t>
      </w:r>
      <w:r w:rsidR="00125D98">
        <w:rPr>
          <w:rFonts w:ascii="Times New Roman" w:hAnsi="Times New Roman" w:cs="Times New Roman"/>
          <w:sz w:val="28"/>
          <w:szCs w:val="28"/>
        </w:rPr>
        <w:t xml:space="preserve">saistīto nozaru </w:t>
      </w:r>
      <w:r w:rsidR="008D1637">
        <w:rPr>
          <w:rFonts w:ascii="Times New Roman" w:hAnsi="Times New Roman" w:cs="Times New Roman"/>
          <w:sz w:val="28"/>
          <w:szCs w:val="28"/>
        </w:rPr>
        <w:t>komersantu</w:t>
      </w:r>
      <w:r w:rsidRPr="005B75F1">
        <w:rPr>
          <w:rFonts w:ascii="Times New Roman" w:hAnsi="Times New Roman" w:cs="Times New Roman"/>
          <w:sz w:val="28"/>
          <w:szCs w:val="28"/>
        </w:rPr>
        <w:t xml:space="preserve"> savstarpējo sadarbību</w:t>
      </w:r>
      <w:r w:rsidR="00125D98">
        <w:rPr>
          <w:rFonts w:ascii="Times New Roman" w:hAnsi="Times New Roman" w:cs="Times New Roman"/>
          <w:sz w:val="28"/>
          <w:szCs w:val="28"/>
        </w:rPr>
        <w:t>, tajā skaitā</w:t>
      </w:r>
      <w:r w:rsidRPr="005B75F1">
        <w:rPr>
          <w:rFonts w:ascii="Times New Roman" w:hAnsi="Times New Roman" w:cs="Times New Roman"/>
          <w:sz w:val="28"/>
          <w:szCs w:val="28"/>
        </w:rPr>
        <w:t xml:space="preserve"> </w:t>
      </w:r>
      <w:r w:rsidR="00A857A8">
        <w:rPr>
          <w:rFonts w:ascii="Times New Roman" w:hAnsi="Times New Roman" w:cs="Times New Roman"/>
          <w:sz w:val="28"/>
          <w:szCs w:val="28"/>
        </w:rPr>
        <w:t xml:space="preserve">– </w:t>
      </w:r>
      <w:r w:rsidR="00125D98">
        <w:rPr>
          <w:rFonts w:ascii="Times New Roman" w:hAnsi="Times New Roman" w:cs="Times New Roman"/>
          <w:sz w:val="28"/>
          <w:szCs w:val="28"/>
        </w:rPr>
        <w:t>kopīgu projektu realizēšanai</w:t>
      </w:r>
      <w:r w:rsidR="00A857A8">
        <w:rPr>
          <w:rFonts w:ascii="Times New Roman" w:hAnsi="Times New Roman" w:cs="Times New Roman"/>
          <w:sz w:val="28"/>
          <w:szCs w:val="28"/>
        </w:rPr>
        <w:t>,</w:t>
      </w:r>
      <w:r w:rsidR="00125D98">
        <w:rPr>
          <w:rFonts w:ascii="Times New Roman" w:hAnsi="Times New Roman" w:cs="Times New Roman"/>
          <w:sz w:val="28"/>
          <w:szCs w:val="28"/>
        </w:rPr>
        <w:t xml:space="preserve"> </w:t>
      </w:r>
      <w:r w:rsidR="00BA2D6D">
        <w:rPr>
          <w:rFonts w:ascii="Times New Roman" w:hAnsi="Times New Roman" w:cs="Times New Roman"/>
          <w:sz w:val="28"/>
          <w:szCs w:val="28"/>
        </w:rPr>
        <w:t>EM</w:t>
      </w:r>
      <w:r w:rsidR="009760B2" w:rsidRPr="005B75F1">
        <w:rPr>
          <w:rFonts w:ascii="Times New Roman" w:hAnsi="Times New Roman" w:cs="Times New Roman"/>
          <w:sz w:val="28"/>
          <w:szCs w:val="28"/>
        </w:rPr>
        <w:t xml:space="preserve"> turpināja īstenot Klasteru attīstības programmu, kuras ietvaros </w:t>
      </w:r>
      <w:r w:rsidR="00BA2D6D">
        <w:rPr>
          <w:rFonts w:ascii="Times New Roman" w:hAnsi="Times New Roman" w:cs="Times New Roman"/>
          <w:sz w:val="28"/>
          <w:szCs w:val="28"/>
        </w:rPr>
        <w:t xml:space="preserve">2010.gadā </w:t>
      </w:r>
      <w:r w:rsidR="00BA2D6D" w:rsidRPr="005B75F1">
        <w:rPr>
          <w:rFonts w:ascii="Times New Roman" w:hAnsi="Times New Roman" w:cs="Times New Roman"/>
          <w:sz w:val="28"/>
          <w:szCs w:val="28"/>
        </w:rPr>
        <w:t>atbalst</w:t>
      </w:r>
      <w:r w:rsidR="00BA2D6D">
        <w:rPr>
          <w:rFonts w:ascii="Times New Roman" w:hAnsi="Times New Roman" w:cs="Times New Roman"/>
          <w:sz w:val="28"/>
          <w:szCs w:val="28"/>
        </w:rPr>
        <w:t xml:space="preserve">s </w:t>
      </w:r>
      <w:r w:rsidR="00A857A8">
        <w:rPr>
          <w:rFonts w:ascii="Times New Roman" w:hAnsi="Times New Roman" w:cs="Times New Roman"/>
          <w:sz w:val="28"/>
          <w:szCs w:val="28"/>
        </w:rPr>
        <w:t xml:space="preserve">tika </w:t>
      </w:r>
      <w:r w:rsidR="00BA2D6D">
        <w:rPr>
          <w:rFonts w:ascii="Times New Roman" w:hAnsi="Times New Roman" w:cs="Times New Roman"/>
          <w:sz w:val="28"/>
          <w:szCs w:val="28"/>
        </w:rPr>
        <w:t>sniegts</w:t>
      </w:r>
      <w:r w:rsidR="00BA2D6D" w:rsidRPr="005B75F1">
        <w:rPr>
          <w:rFonts w:ascii="Times New Roman" w:hAnsi="Times New Roman" w:cs="Times New Roman"/>
          <w:sz w:val="28"/>
          <w:szCs w:val="28"/>
        </w:rPr>
        <w:t xml:space="preserve"> </w:t>
      </w:r>
      <w:r w:rsidR="009760B2" w:rsidRPr="005B75F1">
        <w:rPr>
          <w:rFonts w:ascii="Times New Roman" w:hAnsi="Times New Roman" w:cs="Times New Roman"/>
          <w:sz w:val="28"/>
          <w:szCs w:val="28"/>
        </w:rPr>
        <w:t>9 klaster</w:t>
      </w:r>
      <w:r w:rsidR="0089612B">
        <w:rPr>
          <w:rFonts w:ascii="Times New Roman" w:hAnsi="Times New Roman" w:cs="Times New Roman"/>
          <w:sz w:val="28"/>
          <w:szCs w:val="28"/>
        </w:rPr>
        <w:t>i</w:t>
      </w:r>
      <w:r w:rsidR="00BA2D6D">
        <w:rPr>
          <w:rFonts w:ascii="Times New Roman" w:hAnsi="Times New Roman" w:cs="Times New Roman"/>
          <w:sz w:val="28"/>
          <w:szCs w:val="28"/>
        </w:rPr>
        <w:t>em</w:t>
      </w:r>
      <w:r w:rsidR="0089612B">
        <w:rPr>
          <w:rFonts w:ascii="Times New Roman" w:hAnsi="Times New Roman" w:cs="Times New Roman"/>
          <w:sz w:val="28"/>
          <w:szCs w:val="28"/>
        </w:rPr>
        <w:t xml:space="preserve"> (</w:t>
      </w:r>
      <w:r w:rsidR="0089612B" w:rsidRPr="0089612B">
        <w:rPr>
          <w:rFonts w:ascii="Times New Roman" w:hAnsi="Times New Roman" w:cs="Times New Roman"/>
          <w:color w:val="000000"/>
          <w:sz w:val="28"/>
          <w:szCs w:val="28"/>
        </w:rPr>
        <w:t>IT, elektronikas, ķīmijas un farmācijas, metālapstrādes, pārtikas, vieglās rūpniecības, mēbeļu, loģistikas un saistītās nozarēs)</w:t>
      </w:r>
      <w:r w:rsidR="0089612B" w:rsidRPr="005B75F1">
        <w:rPr>
          <w:rFonts w:ascii="Times New Roman" w:hAnsi="Times New Roman" w:cs="Times New Roman"/>
          <w:color w:val="000000"/>
          <w:sz w:val="28"/>
          <w:szCs w:val="28"/>
        </w:rPr>
        <w:t xml:space="preserve"> par </w:t>
      </w:r>
      <w:r w:rsidR="009760B2" w:rsidRPr="005B75F1">
        <w:rPr>
          <w:rFonts w:ascii="Times New Roman" w:hAnsi="Times New Roman" w:cs="Times New Roman"/>
          <w:color w:val="000000"/>
          <w:sz w:val="28"/>
          <w:szCs w:val="28"/>
        </w:rPr>
        <w:t xml:space="preserve">kopējo finansējumu </w:t>
      </w:r>
      <w:r w:rsidR="009760B2" w:rsidRPr="0089612B">
        <w:rPr>
          <w:rFonts w:ascii="Times New Roman" w:hAnsi="Times New Roman" w:cs="Times New Roman"/>
          <w:color w:val="000000"/>
          <w:sz w:val="28"/>
          <w:szCs w:val="28"/>
        </w:rPr>
        <w:t>0,</w:t>
      </w:r>
      <w:r w:rsidR="004D6092">
        <w:rPr>
          <w:rFonts w:ascii="Times New Roman" w:hAnsi="Times New Roman" w:cs="Times New Roman"/>
          <w:color w:val="000000"/>
          <w:sz w:val="28"/>
          <w:szCs w:val="28"/>
        </w:rPr>
        <w:t>19</w:t>
      </w:r>
      <w:r w:rsidR="004D6092" w:rsidRPr="005B75F1">
        <w:rPr>
          <w:rFonts w:ascii="Times New Roman" w:hAnsi="Times New Roman" w:cs="Times New Roman"/>
          <w:color w:val="000000"/>
          <w:sz w:val="28"/>
          <w:szCs w:val="28"/>
        </w:rPr>
        <w:t xml:space="preserve"> </w:t>
      </w:r>
      <w:r w:rsidR="009760B2" w:rsidRPr="005B75F1">
        <w:rPr>
          <w:rFonts w:ascii="Times New Roman" w:hAnsi="Times New Roman" w:cs="Times New Roman"/>
          <w:color w:val="000000"/>
          <w:sz w:val="28"/>
          <w:szCs w:val="28"/>
        </w:rPr>
        <w:t>milj. LVL.</w:t>
      </w:r>
      <w:r w:rsidR="009760B2" w:rsidRPr="005B75F1">
        <w:rPr>
          <w:rFonts w:ascii="Times New Roman" w:hAnsi="Times New Roman" w:cs="Times New Roman"/>
          <w:sz w:val="28"/>
          <w:szCs w:val="28"/>
        </w:rPr>
        <w:t xml:space="preserve"> Klasteru projektu ietvaros sagatavoti  projektu pieteikumi kopīgai </w:t>
      </w:r>
      <w:r w:rsidR="008D1637">
        <w:rPr>
          <w:rFonts w:ascii="Times New Roman" w:hAnsi="Times New Roman" w:cs="Times New Roman"/>
          <w:sz w:val="28"/>
          <w:szCs w:val="28"/>
        </w:rPr>
        <w:t>komersantu</w:t>
      </w:r>
      <w:r w:rsidR="009760B2" w:rsidRPr="005B75F1">
        <w:rPr>
          <w:rFonts w:ascii="Times New Roman" w:hAnsi="Times New Roman" w:cs="Times New Roman"/>
          <w:sz w:val="28"/>
          <w:szCs w:val="28"/>
        </w:rPr>
        <w:t xml:space="preserve"> dalībai ES struktūrfondu programmas projektu konkursos un  starptautiskās sadarbības projektu pieteikumi,  izstrādātas  klasteru kooperatīvās identitātes, īstenoti divi praktiski klasteru dalībnieku komerciālas sadarbības projekti jaunu produktu izstrādē un ražošanas organizēšanā, noorganizētas klasteru dalībnieku apmācības par nozarei aktuālām tēmām.</w:t>
      </w:r>
    </w:p>
    <w:p w:rsidR="00220DF3" w:rsidRDefault="00220DF3" w:rsidP="00220D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Ar mērķi </w:t>
      </w:r>
      <w:r w:rsidRPr="00C15186">
        <w:rPr>
          <w:rFonts w:ascii="Times New Roman" w:hAnsi="Times New Roman" w:cs="Times New Roman"/>
          <w:sz w:val="28"/>
          <w:szCs w:val="28"/>
        </w:rPr>
        <w:t xml:space="preserve">veicināt investīcijas cilvēkresursos, kā arī komersantu dalību darbaspēka kvalifikācijas celšanā, tādējādi sekmējot darba ražīgumu, </w:t>
      </w:r>
      <w:r w:rsidR="0089612B">
        <w:rPr>
          <w:rFonts w:ascii="Times New Roman" w:hAnsi="Times New Roman" w:cs="Times New Roman"/>
          <w:sz w:val="28"/>
          <w:szCs w:val="28"/>
        </w:rPr>
        <w:t xml:space="preserve">LIAA </w:t>
      </w:r>
      <w:r>
        <w:rPr>
          <w:rFonts w:ascii="Times New Roman" w:hAnsi="Times New Roman" w:cs="Times New Roman"/>
          <w:sz w:val="28"/>
          <w:szCs w:val="28"/>
        </w:rPr>
        <w:t xml:space="preserve">2010.gadā </w:t>
      </w:r>
      <w:r w:rsidR="0089612B">
        <w:rPr>
          <w:rFonts w:ascii="Times New Roman" w:hAnsi="Times New Roman" w:cs="Times New Roman"/>
          <w:sz w:val="28"/>
          <w:szCs w:val="28"/>
        </w:rPr>
        <w:t>E</w:t>
      </w:r>
      <w:r w:rsidR="00BA2D6D">
        <w:rPr>
          <w:rFonts w:ascii="Times New Roman" w:hAnsi="Times New Roman" w:cs="Times New Roman"/>
          <w:sz w:val="28"/>
          <w:szCs w:val="28"/>
        </w:rPr>
        <w:t xml:space="preserve">iropas </w:t>
      </w:r>
      <w:r w:rsidR="0089612B">
        <w:rPr>
          <w:rFonts w:ascii="Times New Roman" w:hAnsi="Times New Roman" w:cs="Times New Roman"/>
          <w:sz w:val="28"/>
          <w:szCs w:val="28"/>
        </w:rPr>
        <w:t>S</w:t>
      </w:r>
      <w:r w:rsidR="00BA2D6D">
        <w:rPr>
          <w:rFonts w:ascii="Times New Roman" w:hAnsi="Times New Roman" w:cs="Times New Roman"/>
          <w:sz w:val="28"/>
          <w:szCs w:val="28"/>
        </w:rPr>
        <w:t>ociālā fonda</w:t>
      </w:r>
      <w:r w:rsidR="0089612B">
        <w:rPr>
          <w:rFonts w:ascii="Times New Roman" w:hAnsi="Times New Roman" w:cs="Times New Roman"/>
          <w:sz w:val="28"/>
          <w:szCs w:val="28"/>
        </w:rPr>
        <w:t xml:space="preserve"> </w:t>
      </w:r>
      <w:r w:rsidR="00BA2D6D">
        <w:rPr>
          <w:rFonts w:ascii="Times New Roman" w:hAnsi="Times New Roman" w:cs="Times New Roman"/>
          <w:sz w:val="28"/>
          <w:szCs w:val="28"/>
        </w:rPr>
        <w:t xml:space="preserve">(turpmāk – ESF) </w:t>
      </w:r>
      <w:r w:rsidR="00B45137">
        <w:rPr>
          <w:rFonts w:ascii="Times New Roman" w:hAnsi="Times New Roman" w:cs="Times New Roman"/>
          <w:sz w:val="28"/>
          <w:szCs w:val="28"/>
        </w:rPr>
        <w:t>līdzfinansēto aktivitāšu</w:t>
      </w:r>
      <w:r w:rsidRPr="00C15186">
        <w:rPr>
          <w:rFonts w:ascii="Times New Roman" w:hAnsi="Times New Roman" w:cs="Times New Roman"/>
          <w:sz w:val="28"/>
          <w:szCs w:val="28"/>
        </w:rPr>
        <w:t xml:space="preserve"> „Atbalsts nodarbināto apmācībām komersantu konkurētspējas veicināšanai – atbalsts par</w:t>
      </w:r>
      <w:r>
        <w:rPr>
          <w:rFonts w:ascii="Times New Roman" w:hAnsi="Times New Roman" w:cs="Times New Roman"/>
          <w:sz w:val="28"/>
          <w:szCs w:val="28"/>
        </w:rPr>
        <w:t>tnerībās organizētām apmācībām” un</w:t>
      </w:r>
      <w:r w:rsidRPr="00C15186">
        <w:rPr>
          <w:rFonts w:ascii="Times New Roman" w:hAnsi="Times New Roman" w:cs="Times New Roman"/>
          <w:sz w:val="28"/>
          <w:szCs w:val="28"/>
        </w:rPr>
        <w:t xml:space="preserve"> „Atbalsts nodarbināto apmācībām komersantu konkurētspējas veicināšanai – atbalsts komersantu individuāli organizētām apmācībām”</w:t>
      </w:r>
      <w:r w:rsidR="0089612B">
        <w:rPr>
          <w:rFonts w:ascii="Times New Roman" w:hAnsi="Times New Roman" w:cs="Times New Roman"/>
          <w:sz w:val="28"/>
          <w:szCs w:val="28"/>
        </w:rPr>
        <w:t xml:space="preserve"> ietvaros</w:t>
      </w:r>
      <w:r w:rsidR="0089612B" w:rsidRPr="0089612B">
        <w:rPr>
          <w:rFonts w:ascii="Times New Roman" w:hAnsi="Times New Roman" w:cs="Times New Roman"/>
          <w:sz w:val="28"/>
          <w:szCs w:val="28"/>
        </w:rPr>
        <w:t xml:space="preserve"> </w:t>
      </w:r>
      <w:r w:rsidR="0089612B">
        <w:rPr>
          <w:rFonts w:ascii="Times New Roman" w:hAnsi="Times New Roman" w:cs="Times New Roman"/>
          <w:sz w:val="28"/>
          <w:szCs w:val="28"/>
        </w:rPr>
        <w:t>turpināja sniegt atbalstu apstiprināto projektu</w:t>
      </w:r>
      <w:r w:rsidR="0089612B" w:rsidRPr="00C15186">
        <w:rPr>
          <w:rFonts w:ascii="Times New Roman" w:hAnsi="Times New Roman" w:cs="Times New Roman"/>
          <w:sz w:val="28"/>
          <w:szCs w:val="28"/>
        </w:rPr>
        <w:t xml:space="preserve"> īstenošana</w:t>
      </w:r>
      <w:r w:rsidR="0089612B">
        <w:rPr>
          <w:rFonts w:ascii="Times New Roman" w:hAnsi="Times New Roman" w:cs="Times New Roman"/>
          <w:sz w:val="28"/>
          <w:szCs w:val="28"/>
        </w:rPr>
        <w:t>i</w:t>
      </w:r>
      <w:r>
        <w:rPr>
          <w:rFonts w:ascii="Times New Roman" w:hAnsi="Times New Roman" w:cs="Times New Roman"/>
          <w:sz w:val="28"/>
          <w:szCs w:val="28"/>
        </w:rPr>
        <w:t xml:space="preserve">. Šo </w:t>
      </w:r>
      <w:r w:rsidR="00B45137">
        <w:rPr>
          <w:rFonts w:ascii="Times New Roman" w:hAnsi="Times New Roman" w:cs="Times New Roman"/>
          <w:sz w:val="28"/>
          <w:szCs w:val="28"/>
        </w:rPr>
        <w:t>aktivitāšu</w:t>
      </w:r>
      <w:r>
        <w:rPr>
          <w:rFonts w:ascii="Times New Roman" w:hAnsi="Times New Roman" w:cs="Times New Roman"/>
          <w:sz w:val="28"/>
          <w:szCs w:val="28"/>
        </w:rPr>
        <w:t xml:space="preserve"> ietvaros </w:t>
      </w:r>
      <w:r w:rsidRPr="00C15186">
        <w:rPr>
          <w:rFonts w:ascii="Times New Roman" w:hAnsi="Times New Roman" w:cs="Times New Roman"/>
          <w:sz w:val="28"/>
          <w:szCs w:val="28"/>
        </w:rPr>
        <w:t>2010.gadā t</w:t>
      </w:r>
      <w:r>
        <w:rPr>
          <w:rFonts w:ascii="Times New Roman" w:hAnsi="Times New Roman" w:cs="Times New Roman"/>
          <w:sz w:val="28"/>
          <w:szCs w:val="28"/>
        </w:rPr>
        <w:t>ika turpināta</w:t>
      </w:r>
      <w:r w:rsidRPr="00C15186">
        <w:rPr>
          <w:rFonts w:ascii="Times New Roman" w:hAnsi="Times New Roman" w:cs="Times New Roman"/>
          <w:sz w:val="28"/>
          <w:szCs w:val="28"/>
        </w:rPr>
        <w:t xml:space="preserve"> 1</w:t>
      </w:r>
      <w:r>
        <w:rPr>
          <w:rFonts w:ascii="Times New Roman" w:hAnsi="Times New Roman" w:cs="Times New Roman"/>
          <w:sz w:val="28"/>
          <w:szCs w:val="28"/>
        </w:rPr>
        <w:t>18</w:t>
      </w:r>
      <w:r w:rsidRPr="00C15186">
        <w:rPr>
          <w:rFonts w:ascii="Times New Roman" w:hAnsi="Times New Roman" w:cs="Times New Roman"/>
          <w:sz w:val="28"/>
          <w:szCs w:val="28"/>
        </w:rPr>
        <w:t xml:space="preserve"> noslēgto līgumu īstenošana par ES fondu finansējumu 19</w:t>
      </w:r>
      <w:r>
        <w:rPr>
          <w:rFonts w:ascii="Times New Roman" w:hAnsi="Times New Roman" w:cs="Times New Roman"/>
          <w:sz w:val="28"/>
          <w:szCs w:val="28"/>
        </w:rPr>
        <w:t>,4</w:t>
      </w:r>
      <w:r w:rsidRPr="00C15186">
        <w:rPr>
          <w:rFonts w:ascii="Times New Roman" w:hAnsi="Times New Roman" w:cs="Times New Roman"/>
          <w:sz w:val="28"/>
          <w:szCs w:val="28"/>
        </w:rPr>
        <w:t xml:space="preserve"> </w:t>
      </w:r>
      <w:r>
        <w:rPr>
          <w:rFonts w:ascii="Times New Roman" w:hAnsi="Times New Roman" w:cs="Times New Roman"/>
          <w:sz w:val="28"/>
          <w:szCs w:val="28"/>
        </w:rPr>
        <w:t>milj.</w:t>
      </w:r>
      <w:r w:rsidRPr="00C15186">
        <w:rPr>
          <w:rFonts w:ascii="Times New Roman" w:hAnsi="Times New Roman" w:cs="Times New Roman"/>
          <w:sz w:val="28"/>
          <w:szCs w:val="28"/>
        </w:rPr>
        <w:t xml:space="preserve"> LVL, no kuriem </w:t>
      </w:r>
      <w:r>
        <w:rPr>
          <w:rFonts w:ascii="Times New Roman" w:hAnsi="Times New Roman" w:cs="Times New Roman"/>
          <w:sz w:val="28"/>
          <w:szCs w:val="28"/>
        </w:rPr>
        <w:t>2010.gadā tika pabeigti 90</w:t>
      </w:r>
      <w:r w:rsidRPr="00C15186">
        <w:rPr>
          <w:rFonts w:ascii="Times New Roman" w:hAnsi="Times New Roman" w:cs="Times New Roman"/>
          <w:sz w:val="28"/>
          <w:szCs w:val="28"/>
        </w:rPr>
        <w:t xml:space="preserve"> līgumi par kopējo ES fondu finansējumu 3</w:t>
      </w:r>
      <w:r>
        <w:rPr>
          <w:rFonts w:ascii="Times New Roman" w:hAnsi="Times New Roman" w:cs="Times New Roman"/>
          <w:sz w:val="28"/>
          <w:szCs w:val="28"/>
        </w:rPr>
        <w:t>,63 milj.</w:t>
      </w:r>
      <w:r w:rsidRPr="00C15186">
        <w:rPr>
          <w:rFonts w:ascii="Times New Roman" w:hAnsi="Times New Roman" w:cs="Times New Roman"/>
          <w:sz w:val="28"/>
          <w:szCs w:val="28"/>
        </w:rPr>
        <w:t xml:space="preserve"> LVL.</w:t>
      </w:r>
      <w:r>
        <w:rPr>
          <w:rFonts w:ascii="Times New Roman" w:hAnsi="Times New Roman" w:cs="Times New Roman"/>
          <w:sz w:val="28"/>
          <w:szCs w:val="28"/>
        </w:rPr>
        <w:t xml:space="preserve"> Faktiski izmaksātās publiskā finansējuma summas projektu īstenotājiem </w:t>
      </w:r>
      <w:r w:rsidR="0089612B">
        <w:rPr>
          <w:rFonts w:ascii="Times New Roman" w:hAnsi="Times New Roman" w:cs="Times New Roman"/>
          <w:sz w:val="28"/>
          <w:szCs w:val="28"/>
        </w:rPr>
        <w:t xml:space="preserve">abās </w:t>
      </w:r>
      <w:r w:rsidR="00B45137">
        <w:rPr>
          <w:rFonts w:ascii="Times New Roman" w:hAnsi="Times New Roman" w:cs="Times New Roman"/>
          <w:sz w:val="28"/>
          <w:szCs w:val="28"/>
        </w:rPr>
        <w:t>aktivitātēs</w:t>
      </w:r>
      <w:r>
        <w:rPr>
          <w:rFonts w:ascii="Times New Roman" w:hAnsi="Times New Roman" w:cs="Times New Roman"/>
          <w:sz w:val="28"/>
          <w:szCs w:val="28"/>
        </w:rPr>
        <w:t xml:space="preserve"> 2010.gadā bija 1,37 milj. LVL.</w:t>
      </w:r>
    </w:p>
    <w:p w:rsidR="00220DF3" w:rsidRPr="006E4005" w:rsidRDefault="008040FA" w:rsidP="00220DF3">
      <w:pPr>
        <w:spacing w:after="0" w:line="240" w:lineRule="auto"/>
        <w:ind w:firstLine="709"/>
        <w:jc w:val="both"/>
        <w:rPr>
          <w:rFonts w:ascii="Times New Roman" w:hAnsi="Times New Roman" w:cs="Times New Roman"/>
          <w:sz w:val="28"/>
          <w:szCs w:val="28"/>
        </w:rPr>
      </w:pPr>
      <w:r w:rsidRPr="00E67333">
        <w:rPr>
          <w:rFonts w:ascii="Times New Roman" w:hAnsi="Times New Roman" w:cs="Times New Roman"/>
          <w:sz w:val="28"/>
          <w:szCs w:val="28"/>
        </w:rPr>
        <w:t>Nodarbinātības valsts aģentūra</w:t>
      </w:r>
      <w:r w:rsidR="00D46258">
        <w:rPr>
          <w:rFonts w:ascii="Times New Roman" w:hAnsi="Times New Roman" w:cs="Times New Roman"/>
          <w:sz w:val="28"/>
          <w:szCs w:val="28"/>
        </w:rPr>
        <w:t xml:space="preserve"> </w:t>
      </w:r>
      <w:r w:rsidR="00DB1FD4">
        <w:rPr>
          <w:rFonts w:ascii="Times New Roman" w:hAnsi="Times New Roman" w:cs="Times New Roman"/>
          <w:sz w:val="28"/>
          <w:szCs w:val="28"/>
        </w:rPr>
        <w:t xml:space="preserve">(turpmāk – NVA) </w:t>
      </w:r>
      <w:r w:rsidR="00220DF3">
        <w:rPr>
          <w:rFonts w:ascii="Times New Roman" w:hAnsi="Times New Roman" w:cs="Times New Roman"/>
          <w:sz w:val="28"/>
          <w:szCs w:val="28"/>
        </w:rPr>
        <w:t>2010.gadā īstenoja divus</w:t>
      </w:r>
      <w:r w:rsidR="00D46258">
        <w:rPr>
          <w:rFonts w:ascii="Times New Roman" w:hAnsi="Times New Roman" w:cs="Times New Roman"/>
          <w:sz w:val="28"/>
          <w:szCs w:val="28"/>
        </w:rPr>
        <w:t xml:space="preserve"> </w:t>
      </w:r>
      <w:r w:rsidR="00A857A8">
        <w:rPr>
          <w:rFonts w:ascii="Times New Roman" w:hAnsi="Times New Roman" w:cs="Times New Roman"/>
          <w:sz w:val="28"/>
          <w:szCs w:val="28"/>
        </w:rPr>
        <w:t xml:space="preserve">no </w:t>
      </w:r>
      <w:r w:rsidR="00BD64FA">
        <w:rPr>
          <w:rFonts w:ascii="Times New Roman" w:hAnsi="Times New Roman" w:cs="Times New Roman"/>
          <w:sz w:val="28"/>
          <w:szCs w:val="28"/>
        </w:rPr>
        <w:t>ESF</w:t>
      </w:r>
      <w:r w:rsidR="00220DF3">
        <w:rPr>
          <w:rFonts w:ascii="Times New Roman" w:hAnsi="Times New Roman" w:cs="Times New Roman"/>
          <w:sz w:val="28"/>
          <w:szCs w:val="28"/>
        </w:rPr>
        <w:t xml:space="preserve"> </w:t>
      </w:r>
      <w:r w:rsidR="00A857A8">
        <w:rPr>
          <w:rFonts w:ascii="Times New Roman" w:hAnsi="Times New Roman" w:cs="Times New Roman"/>
          <w:sz w:val="28"/>
          <w:szCs w:val="28"/>
        </w:rPr>
        <w:t xml:space="preserve">līdzfinansētus </w:t>
      </w:r>
      <w:r w:rsidR="00220DF3">
        <w:rPr>
          <w:rFonts w:ascii="Times New Roman" w:hAnsi="Times New Roman" w:cs="Times New Roman"/>
          <w:sz w:val="28"/>
          <w:szCs w:val="28"/>
        </w:rPr>
        <w:t>projektus</w:t>
      </w:r>
      <w:r w:rsidR="00220DF3" w:rsidRPr="006E4005">
        <w:rPr>
          <w:rFonts w:ascii="Times New Roman" w:hAnsi="Times New Roman" w:cs="Times New Roman"/>
          <w:sz w:val="28"/>
          <w:szCs w:val="28"/>
        </w:rPr>
        <w:t xml:space="preserve"> „Profesionālā apmācība bezdarba riskam pakļautām personām” </w:t>
      </w:r>
      <w:r w:rsidR="00220DF3">
        <w:rPr>
          <w:rFonts w:ascii="Times New Roman" w:hAnsi="Times New Roman" w:cs="Times New Roman"/>
          <w:sz w:val="28"/>
          <w:szCs w:val="28"/>
        </w:rPr>
        <w:t xml:space="preserve">un </w:t>
      </w:r>
      <w:r w:rsidR="00220DF3" w:rsidRPr="006E4005">
        <w:rPr>
          <w:rFonts w:ascii="Times New Roman" w:hAnsi="Times New Roman" w:cs="Times New Roman"/>
          <w:sz w:val="28"/>
          <w:szCs w:val="28"/>
        </w:rPr>
        <w:t>„Mūžizglītības pasākumi nodarbinātām personām”</w:t>
      </w:r>
      <w:r w:rsidR="00220DF3">
        <w:rPr>
          <w:rFonts w:ascii="Times New Roman" w:hAnsi="Times New Roman" w:cs="Times New Roman"/>
          <w:sz w:val="28"/>
          <w:szCs w:val="28"/>
        </w:rPr>
        <w:t>. Šo projektu īstenošanai 2010.gadā publiskais finansējums bija 4,25 milj. LVL. Projektā</w:t>
      </w:r>
      <w:r w:rsidR="00220DF3" w:rsidRPr="006E4005">
        <w:rPr>
          <w:rFonts w:ascii="Times New Roman" w:hAnsi="Times New Roman" w:cs="Times New Roman"/>
          <w:sz w:val="28"/>
          <w:szCs w:val="28"/>
        </w:rPr>
        <w:t xml:space="preserve"> „Profesionālā apmācība bezdarba riskam pakļautām personām” </w:t>
      </w:r>
      <w:r w:rsidR="00DB1FD4">
        <w:rPr>
          <w:rFonts w:ascii="Times New Roman" w:hAnsi="Times New Roman" w:cs="Times New Roman"/>
          <w:sz w:val="28"/>
          <w:szCs w:val="28"/>
        </w:rPr>
        <w:t>tika iesaistītas 5</w:t>
      </w:r>
      <w:r w:rsidR="00A857A8">
        <w:rPr>
          <w:rFonts w:ascii="Times New Roman" w:hAnsi="Times New Roman" w:cs="Times New Roman"/>
          <w:sz w:val="28"/>
          <w:szCs w:val="28"/>
        </w:rPr>
        <w:t xml:space="preserve"> </w:t>
      </w:r>
      <w:r w:rsidR="00DB1FD4">
        <w:rPr>
          <w:rFonts w:ascii="Times New Roman" w:hAnsi="Times New Roman" w:cs="Times New Roman"/>
          <w:sz w:val="28"/>
          <w:szCs w:val="28"/>
        </w:rPr>
        <w:t>740 personas, bet</w:t>
      </w:r>
      <w:r w:rsidR="00220DF3">
        <w:rPr>
          <w:rFonts w:ascii="Times New Roman" w:hAnsi="Times New Roman" w:cs="Times New Roman"/>
          <w:sz w:val="28"/>
          <w:szCs w:val="28"/>
        </w:rPr>
        <w:t xml:space="preserve"> </w:t>
      </w:r>
      <w:r w:rsidR="00DB1FD4">
        <w:rPr>
          <w:rFonts w:ascii="Times New Roman" w:hAnsi="Times New Roman" w:cs="Times New Roman"/>
          <w:sz w:val="28"/>
          <w:szCs w:val="28"/>
        </w:rPr>
        <w:t>2010.gada 2.pusgadā aktivitāte</w:t>
      </w:r>
      <w:r w:rsidR="00DB1FD4" w:rsidRPr="006E4005">
        <w:rPr>
          <w:rFonts w:ascii="Times New Roman" w:hAnsi="Times New Roman" w:cs="Times New Roman"/>
          <w:sz w:val="28"/>
          <w:szCs w:val="28"/>
        </w:rPr>
        <w:t xml:space="preserve"> </w:t>
      </w:r>
      <w:r w:rsidR="00DB1FD4">
        <w:rPr>
          <w:rFonts w:ascii="Times New Roman" w:hAnsi="Times New Roman" w:cs="Times New Roman"/>
          <w:sz w:val="28"/>
          <w:szCs w:val="28"/>
        </w:rPr>
        <w:t xml:space="preserve">tika </w:t>
      </w:r>
      <w:r w:rsidR="00DB1FD4" w:rsidRPr="006E4005">
        <w:rPr>
          <w:rFonts w:ascii="Times New Roman" w:hAnsi="Times New Roman" w:cs="Times New Roman"/>
          <w:sz w:val="28"/>
          <w:szCs w:val="28"/>
        </w:rPr>
        <w:t>pārtraukt</w:t>
      </w:r>
      <w:r w:rsidR="00DB1FD4">
        <w:rPr>
          <w:rFonts w:ascii="Times New Roman" w:hAnsi="Times New Roman" w:cs="Times New Roman"/>
          <w:sz w:val="28"/>
          <w:szCs w:val="28"/>
        </w:rPr>
        <w:t>a.</w:t>
      </w:r>
    </w:p>
    <w:p w:rsidR="00220DF3" w:rsidRDefault="00DB1FD4" w:rsidP="00220D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Līdz </w:t>
      </w:r>
      <w:r w:rsidR="00220DF3" w:rsidRPr="006E4005">
        <w:rPr>
          <w:rFonts w:ascii="Times New Roman" w:hAnsi="Times New Roman" w:cs="Times New Roman"/>
          <w:sz w:val="28"/>
          <w:szCs w:val="28"/>
        </w:rPr>
        <w:t>ar iepriekš minētā p</w:t>
      </w:r>
      <w:r>
        <w:rPr>
          <w:rFonts w:ascii="Times New Roman" w:hAnsi="Times New Roman" w:cs="Times New Roman"/>
          <w:sz w:val="28"/>
          <w:szCs w:val="28"/>
        </w:rPr>
        <w:t>rojekta</w:t>
      </w:r>
      <w:r w:rsidR="00220DF3" w:rsidRPr="006E4005">
        <w:rPr>
          <w:rFonts w:ascii="Times New Roman" w:hAnsi="Times New Roman" w:cs="Times New Roman"/>
          <w:sz w:val="28"/>
          <w:szCs w:val="28"/>
        </w:rPr>
        <w:t xml:space="preserve"> </w:t>
      </w:r>
      <w:r>
        <w:rPr>
          <w:rFonts w:ascii="Times New Roman" w:hAnsi="Times New Roman" w:cs="Times New Roman"/>
          <w:sz w:val="28"/>
          <w:szCs w:val="28"/>
        </w:rPr>
        <w:t xml:space="preserve">īstenošanas </w:t>
      </w:r>
      <w:r w:rsidR="00220DF3" w:rsidRPr="006E4005">
        <w:rPr>
          <w:rFonts w:ascii="Times New Roman" w:hAnsi="Times New Roman" w:cs="Times New Roman"/>
          <w:sz w:val="28"/>
          <w:szCs w:val="28"/>
        </w:rPr>
        <w:t xml:space="preserve">pārtraukšanu, 2010.gada jūlijā </w:t>
      </w:r>
      <w:r>
        <w:rPr>
          <w:rFonts w:ascii="Times New Roman" w:hAnsi="Times New Roman" w:cs="Times New Roman"/>
          <w:sz w:val="28"/>
          <w:szCs w:val="28"/>
        </w:rPr>
        <w:t xml:space="preserve">projekta </w:t>
      </w:r>
      <w:r w:rsidRPr="00DB1FD4">
        <w:rPr>
          <w:rFonts w:ascii="Times New Roman" w:hAnsi="Times New Roman" w:cs="Times New Roman"/>
          <w:sz w:val="28"/>
          <w:szCs w:val="28"/>
        </w:rPr>
        <w:t>„Mūžizglītības pasākumi nodarbinātām personām”</w:t>
      </w:r>
      <w:r>
        <w:rPr>
          <w:rFonts w:ascii="Times New Roman" w:hAnsi="Times New Roman" w:cs="Times New Roman"/>
          <w:sz w:val="28"/>
          <w:szCs w:val="28"/>
        </w:rPr>
        <w:t xml:space="preserve"> ietvaros NVA</w:t>
      </w:r>
      <w:r w:rsidR="00220DF3" w:rsidRPr="006E4005">
        <w:rPr>
          <w:rFonts w:ascii="Times New Roman" w:hAnsi="Times New Roman" w:cs="Times New Roman"/>
          <w:sz w:val="28"/>
          <w:szCs w:val="28"/>
        </w:rPr>
        <w:t xml:space="preserve"> uzsāk</w:t>
      </w:r>
      <w:r w:rsidR="00220DF3">
        <w:rPr>
          <w:rFonts w:ascii="Times New Roman" w:hAnsi="Times New Roman" w:cs="Times New Roman"/>
          <w:sz w:val="28"/>
          <w:szCs w:val="28"/>
        </w:rPr>
        <w:t>a</w:t>
      </w:r>
      <w:r w:rsidR="00220DF3" w:rsidRPr="006E4005">
        <w:rPr>
          <w:rFonts w:ascii="Times New Roman" w:hAnsi="Times New Roman" w:cs="Times New Roman"/>
          <w:sz w:val="28"/>
          <w:szCs w:val="28"/>
        </w:rPr>
        <w:t xml:space="preserve"> p</w:t>
      </w:r>
      <w:r>
        <w:rPr>
          <w:rFonts w:ascii="Times New Roman" w:hAnsi="Times New Roman" w:cs="Times New Roman"/>
          <w:sz w:val="28"/>
          <w:szCs w:val="28"/>
        </w:rPr>
        <w:t>asākuma</w:t>
      </w:r>
      <w:r w:rsidR="00220DF3" w:rsidRPr="006E4005">
        <w:rPr>
          <w:rFonts w:ascii="Times New Roman" w:hAnsi="Times New Roman" w:cs="Times New Roman"/>
          <w:sz w:val="28"/>
          <w:szCs w:val="28"/>
        </w:rPr>
        <w:t xml:space="preserve"> „Apmācību programmas </w:t>
      </w:r>
      <w:r w:rsidR="00220DF3" w:rsidRPr="006E4005">
        <w:rPr>
          <w:rFonts w:ascii="Times New Roman" w:hAnsi="Times New Roman" w:cs="Times New Roman"/>
          <w:sz w:val="28"/>
          <w:szCs w:val="28"/>
        </w:rPr>
        <w:lastRenderedPageBreak/>
        <w:t>pieaugušo ie</w:t>
      </w:r>
      <w:r w:rsidR="00220DF3">
        <w:rPr>
          <w:rFonts w:ascii="Times New Roman" w:hAnsi="Times New Roman" w:cs="Times New Roman"/>
          <w:sz w:val="28"/>
          <w:szCs w:val="28"/>
        </w:rPr>
        <w:t>saistei mūžizglītībā” īstenošanu</w:t>
      </w:r>
      <w:r>
        <w:rPr>
          <w:rFonts w:ascii="Times New Roman" w:hAnsi="Times New Roman" w:cs="Times New Roman"/>
          <w:sz w:val="28"/>
          <w:szCs w:val="28"/>
        </w:rPr>
        <w:t>. Pasākuma</w:t>
      </w:r>
      <w:r w:rsidR="00220DF3" w:rsidRPr="006E4005">
        <w:rPr>
          <w:rFonts w:ascii="Times New Roman" w:hAnsi="Times New Roman" w:cs="Times New Roman"/>
          <w:sz w:val="28"/>
          <w:szCs w:val="28"/>
        </w:rPr>
        <w:t xml:space="preserve"> mērķis ir veicināt </w:t>
      </w:r>
      <w:r>
        <w:rPr>
          <w:rFonts w:ascii="Times New Roman" w:hAnsi="Times New Roman" w:cs="Times New Roman"/>
          <w:sz w:val="28"/>
          <w:szCs w:val="28"/>
        </w:rPr>
        <w:t>nodarbināto un pašnodarbināto personu</w:t>
      </w:r>
      <w:r w:rsidR="00220DF3" w:rsidRPr="006E4005">
        <w:rPr>
          <w:rFonts w:ascii="Times New Roman" w:hAnsi="Times New Roman" w:cs="Times New Roman"/>
          <w:sz w:val="28"/>
          <w:szCs w:val="28"/>
        </w:rPr>
        <w:t xml:space="preserve"> </w:t>
      </w:r>
      <w:r w:rsidRPr="006E4005">
        <w:rPr>
          <w:rFonts w:ascii="Times New Roman" w:hAnsi="Times New Roman" w:cs="Times New Roman"/>
          <w:sz w:val="28"/>
          <w:szCs w:val="28"/>
        </w:rPr>
        <w:t>vecumā no 25 gadiem konkurētspēju</w:t>
      </w:r>
      <w:r>
        <w:rPr>
          <w:rFonts w:ascii="Times New Roman" w:hAnsi="Times New Roman" w:cs="Times New Roman"/>
          <w:sz w:val="28"/>
          <w:szCs w:val="28"/>
        </w:rPr>
        <w:t xml:space="preserve">, </w:t>
      </w:r>
      <w:r w:rsidR="00220DF3" w:rsidRPr="006E4005">
        <w:rPr>
          <w:rFonts w:ascii="Times New Roman" w:hAnsi="Times New Roman" w:cs="Times New Roman"/>
          <w:sz w:val="28"/>
          <w:szCs w:val="28"/>
        </w:rPr>
        <w:t>paplašinot mūžizglītības pieejamību pieaugušajiem. Pasākuma ietvaros nodarbinātā persona var piedalīties profesionālās pilnveides vai neformālās izglītības programmās, sedzot 10% no izglītības programmas izmaksām. 2010.gadā mūžizglītības pasākumā nodarbinātām personām piedalījās 5</w:t>
      </w:r>
      <w:r w:rsidR="00BA161D">
        <w:rPr>
          <w:rFonts w:ascii="Times New Roman" w:hAnsi="Times New Roman" w:cs="Times New Roman"/>
          <w:sz w:val="28"/>
          <w:szCs w:val="28"/>
        </w:rPr>
        <w:t xml:space="preserve"> </w:t>
      </w:r>
      <w:r w:rsidR="00220DF3" w:rsidRPr="006E4005">
        <w:rPr>
          <w:rFonts w:ascii="Times New Roman" w:hAnsi="Times New Roman" w:cs="Times New Roman"/>
          <w:sz w:val="28"/>
          <w:szCs w:val="28"/>
        </w:rPr>
        <w:t>155 personas.</w:t>
      </w:r>
    </w:p>
    <w:p w:rsidR="002B6C88" w:rsidRPr="00B16B00" w:rsidRDefault="00D16CA7" w:rsidP="006C1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2010.gadā LIAA turpināja īstenot aktivitātes rūpnieciskā dizaina </w:t>
      </w:r>
      <w:r w:rsidR="00B03295">
        <w:rPr>
          <w:rFonts w:ascii="Times New Roman" w:hAnsi="Times New Roman" w:cs="Times New Roman"/>
          <w:sz w:val="28"/>
          <w:szCs w:val="28"/>
        </w:rPr>
        <w:t>attīstīšanas jomā</w:t>
      </w:r>
      <w:r>
        <w:rPr>
          <w:rFonts w:ascii="Times New Roman" w:hAnsi="Times New Roman" w:cs="Times New Roman"/>
          <w:sz w:val="28"/>
          <w:szCs w:val="28"/>
        </w:rPr>
        <w:t>. Organizēta</w:t>
      </w:r>
      <w:r w:rsidR="003B05FB">
        <w:rPr>
          <w:rFonts w:ascii="Times New Roman" w:hAnsi="Times New Roman" w:cs="Times New Roman"/>
          <w:sz w:val="28"/>
          <w:szCs w:val="28"/>
        </w:rPr>
        <w:t xml:space="preserve"> aktivitāte </w:t>
      </w:r>
      <w:r>
        <w:rPr>
          <w:rFonts w:ascii="Times New Roman" w:hAnsi="Times New Roman" w:cs="Times New Roman"/>
          <w:sz w:val="28"/>
          <w:szCs w:val="28"/>
        </w:rPr>
        <w:t xml:space="preserve">„Dizaina autobuss”, kas nodrošina iespēju </w:t>
      </w:r>
      <w:r w:rsidR="003B05FB">
        <w:rPr>
          <w:rFonts w:ascii="Times New Roman" w:hAnsi="Times New Roman" w:cs="Times New Roman"/>
          <w:sz w:val="28"/>
          <w:szCs w:val="28"/>
        </w:rPr>
        <w:t xml:space="preserve">Latvijas dizaineriem </w:t>
      </w:r>
      <w:r>
        <w:rPr>
          <w:rFonts w:ascii="Times New Roman" w:hAnsi="Times New Roman" w:cs="Times New Roman"/>
          <w:sz w:val="28"/>
          <w:szCs w:val="28"/>
        </w:rPr>
        <w:t>veidot tiešus kontaktus ar ražošanas uzņēmumiem sadarbības projektu attīstīšanai. Latvijas reģionos organizēt</w:t>
      </w:r>
      <w:r w:rsidR="00CC0444">
        <w:rPr>
          <w:rFonts w:ascii="Times New Roman" w:hAnsi="Times New Roman" w:cs="Times New Roman"/>
          <w:sz w:val="28"/>
          <w:szCs w:val="28"/>
        </w:rPr>
        <w:t>s</w:t>
      </w:r>
      <w:r>
        <w:rPr>
          <w:rFonts w:ascii="Times New Roman" w:hAnsi="Times New Roman" w:cs="Times New Roman"/>
          <w:sz w:val="28"/>
          <w:szCs w:val="28"/>
        </w:rPr>
        <w:t xml:space="preserve"> </w:t>
      </w:r>
      <w:r w:rsidR="00CC0444">
        <w:rPr>
          <w:rFonts w:ascii="Times New Roman" w:hAnsi="Times New Roman" w:cs="Times New Roman"/>
          <w:sz w:val="28"/>
          <w:szCs w:val="28"/>
        </w:rPr>
        <w:t>semināru cikls</w:t>
      </w:r>
      <w:r>
        <w:rPr>
          <w:rFonts w:ascii="Times New Roman" w:hAnsi="Times New Roman" w:cs="Times New Roman"/>
          <w:sz w:val="28"/>
          <w:szCs w:val="28"/>
        </w:rPr>
        <w:t xml:space="preserve"> „Seši soļi</w:t>
      </w:r>
      <w:r w:rsidR="00A857A8">
        <w:rPr>
          <w:rFonts w:ascii="Times New Roman" w:hAnsi="Times New Roman" w:cs="Times New Roman"/>
          <w:sz w:val="28"/>
          <w:szCs w:val="28"/>
        </w:rPr>
        <w:t xml:space="preserve"> līdz veiksmīgam zīmolam”, kuru</w:t>
      </w:r>
      <w:r>
        <w:rPr>
          <w:rFonts w:ascii="Times New Roman" w:hAnsi="Times New Roman" w:cs="Times New Roman"/>
          <w:sz w:val="28"/>
          <w:szCs w:val="28"/>
        </w:rPr>
        <w:t xml:space="preserve"> </w:t>
      </w:r>
      <w:r w:rsidR="00CC0444">
        <w:rPr>
          <w:rFonts w:ascii="Times New Roman" w:hAnsi="Times New Roman" w:cs="Times New Roman"/>
          <w:sz w:val="28"/>
          <w:szCs w:val="28"/>
        </w:rPr>
        <w:t xml:space="preserve">kopumā apmeklēja 425 </w:t>
      </w:r>
      <w:r w:rsidR="003B05FB">
        <w:rPr>
          <w:rFonts w:ascii="Times New Roman" w:hAnsi="Times New Roman" w:cs="Times New Roman"/>
          <w:sz w:val="28"/>
          <w:szCs w:val="28"/>
        </w:rPr>
        <w:t>dalībnieku</w:t>
      </w:r>
      <w:r w:rsidR="00CC0444">
        <w:rPr>
          <w:rFonts w:ascii="Times New Roman" w:hAnsi="Times New Roman" w:cs="Times New Roman"/>
          <w:sz w:val="28"/>
          <w:szCs w:val="28"/>
        </w:rPr>
        <w:t>, kā arī īstenotas atbalsta aktivitātes projekta „Produktu dizaina izstrādes pakalpojumu sniegšana ražošanas komersantiem” ietvaros, kurā</w:t>
      </w:r>
      <w:r w:rsidR="00B03295">
        <w:rPr>
          <w:rFonts w:ascii="Times New Roman" w:hAnsi="Times New Roman" w:cs="Times New Roman"/>
          <w:sz w:val="28"/>
          <w:szCs w:val="28"/>
        </w:rPr>
        <w:t xml:space="preserve"> piedalījās desmit</w:t>
      </w:r>
      <w:r w:rsidR="00CC0444">
        <w:rPr>
          <w:rFonts w:ascii="Times New Roman" w:hAnsi="Times New Roman" w:cs="Times New Roman"/>
          <w:sz w:val="28"/>
          <w:szCs w:val="28"/>
        </w:rPr>
        <w:t xml:space="preserve"> </w:t>
      </w:r>
      <w:r w:rsidR="008D1637">
        <w:rPr>
          <w:rFonts w:ascii="Times New Roman" w:hAnsi="Times New Roman" w:cs="Times New Roman"/>
          <w:sz w:val="28"/>
          <w:szCs w:val="28"/>
        </w:rPr>
        <w:t>komersanti</w:t>
      </w:r>
      <w:r w:rsidR="00CC0444">
        <w:rPr>
          <w:rFonts w:ascii="Times New Roman" w:hAnsi="Times New Roman" w:cs="Times New Roman"/>
          <w:sz w:val="28"/>
          <w:szCs w:val="28"/>
        </w:rPr>
        <w:t>, saņemot produktu dizaina izstrādes pakalpojumus. Savukārt EM organizētājā konkursā „Eksporta un inovācijas gada balva 2010” tika iekļauta jauna kategorija „Rūpnieciskais dizains”</w:t>
      </w:r>
      <w:r w:rsidR="00B03295">
        <w:rPr>
          <w:rFonts w:ascii="Times New Roman" w:hAnsi="Times New Roman" w:cs="Times New Roman"/>
          <w:sz w:val="28"/>
          <w:szCs w:val="28"/>
        </w:rPr>
        <w:t xml:space="preserve">, un tajā pirmo vietu ieguva uzņēmums, kas izstrādājis jauna dizaina izlietnes. 2010.gadā nodrošināta arī rūpnieciskā dizaina portāla </w:t>
      </w:r>
      <w:r w:rsidR="00B03295" w:rsidRPr="00B03295">
        <w:rPr>
          <w:rFonts w:ascii="Times New Roman" w:hAnsi="Times New Roman" w:cs="Times New Roman"/>
          <w:sz w:val="28"/>
          <w:szCs w:val="28"/>
        </w:rPr>
        <w:t>www.designlatvia.lv</w:t>
      </w:r>
      <w:r w:rsidR="00B03295">
        <w:rPr>
          <w:rFonts w:ascii="Times New Roman" w:hAnsi="Times New Roman" w:cs="Times New Roman"/>
          <w:sz w:val="28"/>
          <w:szCs w:val="28"/>
        </w:rPr>
        <w:t xml:space="preserve"> uzturēšana.</w:t>
      </w:r>
    </w:p>
    <w:p w:rsidR="008E44F7" w:rsidRDefault="008E44F7" w:rsidP="008E44F7">
      <w:pPr>
        <w:spacing w:after="0" w:line="240" w:lineRule="auto"/>
        <w:jc w:val="both"/>
        <w:rPr>
          <w:rFonts w:ascii="Times New Roman" w:hAnsi="Times New Roman" w:cs="Times New Roman"/>
          <w:sz w:val="28"/>
          <w:szCs w:val="28"/>
        </w:rPr>
      </w:pPr>
    </w:p>
    <w:p w:rsidR="003739F6" w:rsidRDefault="003739F6" w:rsidP="008E44F7">
      <w:pPr>
        <w:spacing w:after="0" w:line="240" w:lineRule="auto"/>
        <w:jc w:val="both"/>
        <w:rPr>
          <w:rFonts w:ascii="Times New Roman" w:hAnsi="Times New Roman" w:cs="Times New Roman"/>
          <w:sz w:val="28"/>
          <w:szCs w:val="28"/>
        </w:rPr>
      </w:pPr>
    </w:p>
    <w:p w:rsidR="008E44F7" w:rsidRDefault="008E44F7" w:rsidP="008E44F7">
      <w:pPr>
        <w:spacing w:after="0" w:line="240" w:lineRule="auto"/>
        <w:jc w:val="both"/>
        <w:rPr>
          <w:rFonts w:ascii="Times New Roman" w:hAnsi="Times New Roman" w:cs="Times New Roman"/>
          <w:sz w:val="28"/>
          <w:szCs w:val="28"/>
        </w:rPr>
      </w:pPr>
    </w:p>
    <w:p w:rsidR="008E44F7" w:rsidRPr="008E44F7" w:rsidRDefault="008E44F7" w:rsidP="008E44F7">
      <w:pPr>
        <w:spacing w:after="0" w:line="240" w:lineRule="auto"/>
        <w:jc w:val="both"/>
        <w:rPr>
          <w:rFonts w:ascii="Times New Roman" w:hAnsi="Times New Roman" w:cs="Times New Roman"/>
          <w:sz w:val="28"/>
          <w:szCs w:val="28"/>
        </w:rPr>
      </w:pPr>
      <w:r w:rsidRPr="008E44F7">
        <w:rPr>
          <w:rFonts w:ascii="Times New Roman" w:hAnsi="Times New Roman" w:cs="Times New Roman"/>
          <w:sz w:val="28"/>
          <w:szCs w:val="28"/>
        </w:rPr>
        <w:t>E</w:t>
      </w:r>
      <w:r>
        <w:rPr>
          <w:rFonts w:ascii="Times New Roman" w:hAnsi="Times New Roman" w:cs="Times New Roman"/>
          <w:sz w:val="28"/>
          <w:szCs w:val="28"/>
        </w:rPr>
        <w:t>konomikas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E44F7">
        <w:rPr>
          <w:rFonts w:ascii="Times New Roman" w:hAnsi="Times New Roman" w:cs="Times New Roman"/>
          <w:sz w:val="28"/>
          <w:szCs w:val="28"/>
        </w:rPr>
        <w:t>A.Kampars</w:t>
      </w:r>
    </w:p>
    <w:p w:rsidR="008E44F7" w:rsidRDefault="008E44F7" w:rsidP="008E44F7">
      <w:pPr>
        <w:spacing w:after="0" w:line="240" w:lineRule="auto"/>
        <w:jc w:val="both"/>
        <w:rPr>
          <w:rFonts w:ascii="Times New Roman" w:hAnsi="Times New Roman" w:cs="Times New Roman"/>
          <w:sz w:val="28"/>
          <w:szCs w:val="28"/>
        </w:rPr>
      </w:pPr>
    </w:p>
    <w:p w:rsidR="00FA0F0A" w:rsidRPr="008E44F7" w:rsidRDefault="00FA0F0A" w:rsidP="008E44F7">
      <w:pPr>
        <w:spacing w:after="0" w:line="240" w:lineRule="auto"/>
        <w:jc w:val="both"/>
        <w:rPr>
          <w:rFonts w:ascii="Times New Roman" w:hAnsi="Times New Roman" w:cs="Times New Roman"/>
          <w:sz w:val="28"/>
          <w:szCs w:val="28"/>
        </w:rPr>
      </w:pPr>
    </w:p>
    <w:p w:rsidR="008E44F7" w:rsidRPr="008E44F7" w:rsidRDefault="008E44F7" w:rsidP="008E44F7">
      <w:pPr>
        <w:spacing w:after="0" w:line="240" w:lineRule="auto"/>
        <w:jc w:val="both"/>
        <w:rPr>
          <w:rFonts w:ascii="Times New Roman" w:hAnsi="Times New Roman" w:cs="Times New Roman"/>
          <w:sz w:val="28"/>
          <w:szCs w:val="28"/>
        </w:rPr>
      </w:pPr>
      <w:r w:rsidRPr="008E44F7">
        <w:rPr>
          <w:rFonts w:ascii="Times New Roman" w:hAnsi="Times New Roman" w:cs="Times New Roman"/>
          <w:sz w:val="28"/>
          <w:szCs w:val="28"/>
        </w:rPr>
        <w:t>Vīz</w:t>
      </w:r>
      <w:r>
        <w:rPr>
          <w:rFonts w:ascii="Times New Roman" w:hAnsi="Times New Roman" w:cs="Times New Roman"/>
          <w:sz w:val="28"/>
          <w:szCs w:val="28"/>
        </w:rPr>
        <w:t>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E44F7">
        <w:rPr>
          <w:rFonts w:ascii="Times New Roman" w:hAnsi="Times New Roman" w:cs="Times New Roman"/>
          <w:sz w:val="28"/>
          <w:szCs w:val="28"/>
        </w:rPr>
        <w:t>J.Pūce</w:t>
      </w:r>
    </w:p>
    <w:p w:rsidR="002B6C88" w:rsidRPr="00B16B00" w:rsidRDefault="002B6C88" w:rsidP="002B6C88">
      <w:pPr>
        <w:spacing w:after="0" w:line="240" w:lineRule="auto"/>
        <w:jc w:val="both"/>
        <w:rPr>
          <w:rFonts w:ascii="Times New Roman" w:hAnsi="Times New Roman" w:cs="Times New Roman"/>
          <w:sz w:val="28"/>
          <w:szCs w:val="28"/>
        </w:rPr>
      </w:pPr>
    </w:p>
    <w:p w:rsidR="002B6C88" w:rsidRPr="00B16B00" w:rsidRDefault="002B6C88" w:rsidP="002B6C88">
      <w:pPr>
        <w:spacing w:after="0" w:line="240" w:lineRule="auto"/>
        <w:jc w:val="both"/>
        <w:rPr>
          <w:rFonts w:ascii="Times New Roman" w:hAnsi="Times New Roman" w:cs="Times New Roman"/>
          <w:sz w:val="28"/>
          <w:szCs w:val="28"/>
        </w:rPr>
      </w:pPr>
    </w:p>
    <w:p w:rsidR="002B6C88" w:rsidRPr="00B16B00" w:rsidRDefault="002B6C88" w:rsidP="002B6C88">
      <w:pPr>
        <w:spacing w:after="0" w:line="240" w:lineRule="auto"/>
        <w:jc w:val="both"/>
        <w:rPr>
          <w:rFonts w:ascii="Times New Roman" w:hAnsi="Times New Roman" w:cs="Times New Roman"/>
          <w:sz w:val="28"/>
          <w:szCs w:val="28"/>
        </w:rPr>
      </w:pPr>
    </w:p>
    <w:p w:rsidR="002B6C88" w:rsidRPr="00B16B00" w:rsidRDefault="002B6C88" w:rsidP="002B6C88">
      <w:pPr>
        <w:spacing w:after="0" w:line="240" w:lineRule="auto"/>
        <w:jc w:val="both"/>
        <w:rPr>
          <w:rFonts w:ascii="Times New Roman" w:hAnsi="Times New Roman" w:cs="Times New Roman"/>
          <w:sz w:val="28"/>
          <w:szCs w:val="28"/>
        </w:rPr>
      </w:pPr>
    </w:p>
    <w:p w:rsidR="002B6C88" w:rsidRPr="00B16B00" w:rsidRDefault="002B6C88" w:rsidP="002B6C88">
      <w:pPr>
        <w:spacing w:after="0" w:line="240" w:lineRule="auto"/>
        <w:jc w:val="both"/>
        <w:rPr>
          <w:rFonts w:ascii="Times New Roman" w:hAnsi="Times New Roman" w:cs="Times New Roman"/>
          <w:sz w:val="28"/>
          <w:szCs w:val="28"/>
        </w:rPr>
      </w:pPr>
    </w:p>
    <w:p w:rsidR="002B6C88" w:rsidRPr="00B16B00" w:rsidRDefault="002B6C88" w:rsidP="002B6C88">
      <w:pPr>
        <w:spacing w:after="0" w:line="240" w:lineRule="auto"/>
        <w:jc w:val="both"/>
        <w:rPr>
          <w:rFonts w:ascii="Times New Roman" w:hAnsi="Times New Roman" w:cs="Times New Roman"/>
          <w:sz w:val="28"/>
          <w:szCs w:val="28"/>
        </w:rPr>
      </w:pPr>
    </w:p>
    <w:p w:rsidR="002B6C88" w:rsidRDefault="002B6C88" w:rsidP="002B6C88">
      <w:pPr>
        <w:spacing w:after="0" w:line="240" w:lineRule="auto"/>
        <w:jc w:val="both"/>
        <w:rPr>
          <w:rFonts w:ascii="Times New Roman" w:hAnsi="Times New Roman" w:cs="Times New Roman"/>
          <w:sz w:val="28"/>
          <w:szCs w:val="28"/>
        </w:rPr>
      </w:pPr>
    </w:p>
    <w:p w:rsidR="00FA0F0A" w:rsidRDefault="00FA0F0A" w:rsidP="002B6C88">
      <w:pPr>
        <w:spacing w:after="0" w:line="240" w:lineRule="auto"/>
        <w:jc w:val="both"/>
        <w:rPr>
          <w:rFonts w:ascii="Times New Roman" w:hAnsi="Times New Roman" w:cs="Times New Roman"/>
          <w:sz w:val="28"/>
          <w:szCs w:val="28"/>
        </w:rPr>
      </w:pPr>
    </w:p>
    <w:p w:rsidR="00FA0F0A" w:rsidRDefault="00FA0F0A" w:rsidP="002B6C88">
      <w:pPr>
        <w:spacing w:after="0" w:line="240" w:lineRule="auto"/>
        <w:jc w:val="both"/>
        <w:rPr>
          <w:rFonts w:ascii="Times New Roman" w:hAnsi="Times New Roman" w:cs="Times New Roman"/>
          <w:sz w:val="28"/>
          <w:szCs w:val="28"/>
        </w:rPr>
      </w:pPr>
    </w:p>
    <w:p w:rsidR="00FA0F0A" w:rsidRDefault="00FA0F0A" w:rsidP="002B6C88">
      <w:pPr>
        <w:spacing w:after="0" w:line="240" w:lineRule="auto"/>
        <w:jc w:val="both"/>
        <w:rPr>
          <w:rFonts w:ascii="Times New Roman" w:hAnsi="Times New Roman" w:cs="Times New Roman"/>
          <w:sz w:val="28"/>
          <w:szCs w:val="28"/>
        </w:rPr>
      </w:pPr>
    </w:p>
    <w:p w:rsidR="00FA0F0A" w:rsidRDefault="00FA0F0A" w:rsidP="002B6C88">
      <w:pPr>
        <w:spacing w:after="0" w:line="240" w:lineRule="auto"/>
        <w:jc w:val="both"/>
        <w:rPr>
          <w:rFonts w:ascii="Times New Roman" w:hAnsi="Times New Roman" w:cs="Times New Roman"/>
          <w:sz w:val="28"/>
          <w:szCs w:val="28"/>
        </w:rPr>
      </w:pPr>
    </w:p>
    <w:p w:rsidR="00FA0F0A" w:rsidRPr="00B16B00" w:rsidRDefault="00FA0F0A" w:rsidP="002B6C88">
      <w:pPr>
        <w:spacing w:after="0" w:line="240" w:lineRule="auto"/>
        <w:jc w:val="both"/>
        <w:rPr>
          <w:rFonts w:ascii="Times New Roman" w:hAnsi="Times New Roman" w:cs="Times New Roman"/>
          <w:sz w:val="28"/>
          <w:szCs w:val="28"/>
        </w:rPr>
      </w:pPr>
    </w:p>
    <w:p w:rsidR="002B6C88" w:rsidRPr="002B6C88" w:rsidRDefault="00EA3A6E" w:rsidP="002B6C88">
      <w:pPr>
        <w:tabs>
          <w:tab w:val="left" w:pos="7230"/>
        </w:tabs>
        <w:spacing w:after="0" w:line="240" w:lineRule="auto"/>
        <w:jc w:val="both"/>
        <w:rPr>
          <w:rFonts w:ascii="Times New Roman" w:hAnsi="Times New Roman" w:cs="Times New Roman"/>
          <w:sz w:val="20"/>
          <w:szCs w:val="20"/>
        </w:rPr>
      </w:pPr>
      <w:r w:rsidRPr="002B6C88">
        <w:rPr>
          <w:rFonts w:ascii="Times New Roman" w:hAnsi="Times New Roman" w:cs="Times New Roman"/>
          <w:sz w:val="20"/>
          <w:szCs w:val="20"/>
        </w:rPr>
        <w:fldChar w:fldCharType="begin"/>
      </w:r>
      <w:r w:rsidR="002B6C88" w:rsidRPr="002B6C88">
        <w:rPr>
          <w:rFonts w:ascii="Times New Roman" w:hAnsi="Times New Roman" w:cs="Times New Roman"/>
          <w:sz w:val="20"/>
          <w:szCs w:val="20"/>
        </w:rPr>
        <w:instrText xml:space="preserve"> TIME  \@ "dd.MM.yyyy. H:mm" </w:instrText>
      </w:r>
      <w:r w:rsidRPr="002B6C88">
        <w:rPr>
          <w:rFonts w:ascii="Times New Roman" w:hAnsi="Times New Roman" w:cs="Times New Roman"/>
          <w:sz w:val="20"/>
          <w:szCs w:val="20"/>
        </w:rPr>
        <w:fldChar w:fldCharType="separate"/>
      </w:r>
      <w:r w:rsidR="00B7271C">
        <w:rPr>
          <w:rFonts w:ascii="Times New Roman" w:hAnsi="Times New Roman" w:cs="Times New Roman"/>
          <w:noProof/>
          <w:sz w:val="20"/>
          <w:szCs w:val="20"/>
        </w:rPr>
        <w:t>30.05.2011. 11:26</w:t>
      </w:r>
      <w:r w:rsidRPr="002B6C88">
        <w:rPr>
          <w:rFonts w:ascii="Times New Roman" w:hAnsi="Times New Roman" w:cs="Times New Roman"/>
          <w:sz w:val="20"/>
          <w:szCs w:val="20"/>
        </w:rPr>
        <w:fldChar w:fldCharType="end"/>
      </w:r>
    </w:p>
    <w:p w:rsidR="002B6C88" w:rsidRPr="002B6C88" w:rsidRDefault="00EA3A6E" w:rsidP="002B6C88">
      <w:pPr>
        <w:tabs>
          <w:tab w:val="left" w:pos="7230"/>
        </w:tabs>
        <w:spacing w:after="0" w:line="240" w:lineRule="auto"/>
        <w:jc w:val="both"/>
        <w:rPr>
          <w:rFonts w:ascii="Times New Roman" w:hAnsi="Times New Roman" w:cs="Times New Roman"/>
          <w:sz w:val="20"/>
          <w:szCs w:val="20"/>
        </w:rPr>
      </w:pPr>
      <w:fldSimple w:instr=" NUMWORDS   \* MERGEFORMAT ">
        <w:r w:rsidR="00B91BEB" w:rsidRPr="00B91BEB">
          <w:rPr>
            <w:rFonts w:ascii="Times New Roman" w:hAnsi="Times New Roman" w:cs="Times New Roman"/>
            <w:noProof/>
            <w:sz w:val="20"/>
            <w:szCs w:val="20"/>
          </w:rPr>
          <w:t>3686</w:t>
        </w:r>
      </w:fldSimple>
    </w:p>
    <w:p w:rsidR="002B6C88" w:rsidRPr="002B6C88" w:rsidRDefault="002B6C88" w:rsidP="002B6C88">
      <w:pPr>
        <w:tabs>
          <w:tab w:val="left" w:pos="72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Mārtiņš </w:t>
      </w:r>
      <w:r w:rsidRPr="002B6C88">
        <w:rPr>
          <w:rFonts w:ascii="Times New Roman" w:hAnsi="Times New Roman" w:cs="Times New Roman"/>
          <w:sz w:val="20"/>
          <w:szCs w:val="20"/>
        </w:rPr>
        <w:t>Jansons</w:t>
      </w:r>
    </w:p>
    <w:p w:rsidR="002B6C88" w:rsidRPr="002B6C88" w:rsidRDefault="002B6C88" w:rsidP="002B6C88">
      <w:pPr>
        <w:tabs>
          <w:tab w:val="left" w:pos="7230"/>
        </w:tabs>
        <w:spacing w:after="0" w:line="240" w:lineRule="auto"/>
        <w:jc w:val="both"/>
        <w:rPr>
          <w:rFonts w:ascii="Times New Roman" w:hAnsi="Times New Roman" w:cs="Times New Roman"/>
          <w:sz w:val="20"/>
          <w:szCs w:val="20"/>
        </w:rPr>
      </w:pPr>
      <w:r w:rsidRPr="002B6C88">
        <w:rPr>
          <w:rFonts w:ascii="Times New Roman" w:hAnsi="Times New Roman" w:cs="Times New Roman"/>
          <w:sz w:val="20"/>
          <w:szCs w:val="20"/>
        </w:rPr>
        <w:t xml:space="preserve">67013057, </w:t>
      </w:r>
      <w:hyperlink r:id="rId11" w:history="1">
        <w:r w:rsidRPr="002B6C88">
          <w:rPr>
            <w:rStyle w:val="Hyperlink"/>
            <w:rFonts w:ascii="Times New Roman" w:hAnsi="Times New Roman" w:cs="Times New Roman"/>
            <w:sz w:val="20"/>
            <w:szCs w:val="20"/>
          </w:rPr>
          <w:t>Martins.Jansons@em.gov.lv</w:t>
        </w:r>
      </w:hyperlink>
      <w:r w:rsidRPr="002B6C88">
        <w:rPr>
          <w:rFonts w:ascii="Times New Roman" w:hAnsi="Times New Roman" w:cs="Times New Roman"/>
          <w:sz w:val="20"/>
          <w:szCs w:val="20"/>
        </w:rPr>
        <w:t xml:space="preserve"> </w:t>
      </w:r>
    </w:p>
    <w:p w:rsidR="001B37E1" w:rsidRDefault="001B37E1" w:rsidP="002B6C88">
      <w:pPr>
        <w:spacing w:after="0" w:line="240" w:lineRule="auto"/>
        <w:jc w:val="both"/>
        <w:rPr>
          <w:rFonts w:ascii="Times New Roman" w:hAnsi="Times New Roman" w:cs="Times New Roman"/>
          <w:b/>
          <w:sz w:val="28"/>
          <w:szCs w:val="28"/>
        </w:rPr>
      </w:pPr>
    </w:p>
    <w:sectPr w:rsidR="001B37E1" w:rsidSect="006D1908">
      <w:headerReference w:type="default" r:id="rId12"/>
      <w:footerReference w:type="default" r:id="rId13"/>
      <w:footerReference w:type="first" r:id="rId14"/>
      <w:pgSz w:w="11906" w:h="16838"/>
      <w:pgMar w:top="1440" w:right="1800" w:bottom="1440" w:left="1800" w:header="708" w:footer="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90" w:rsidRDefault="00810890" w:rsidP="00735AF1">
      <w:pPr>
        <w:spacing w:after="0" w:line="240" w:lineRule="auto"/>
      </w:pPr>
      <w:r>
        <w:separator/>
      </w:r>
    </w:p>
  </w:endnote>
  <w:endnote w:type="continuationSeparator" w:id="0">
    <w:p w:rsidR="00810890" w:rsidRDefault="00810890" w:rsidP="00735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9E" w:rsidRPr="00735AF1" w:rsidRDefault="003E7E9E" w:rsidP="00735AF1">
    <w:pPr>
      <w:spacing w:after="0" w:line="240" w:lineRule="auto"/>
      <w:jc w:val="both"/>
      <w:rPr>
        <w:rFonts w:ascii="Times New Roman" w:hAnsi="Times New Roman" w:cs="Times New Roman"/>
        <w:sz w:val="20"/>
      </w:rPr>
    </w:pPr>
    <w:r w:rsidRPr="00735AF1">
      <w:rPr>
        <w:rFonts w:ascii="Times New Roman" w:hAnsi="Times New Roman" w:cs="Times New Roman"/>
        <w:sz w:val="20"/>
      </w:rPr>
      <w:t>EMZino_</w:t>
    </w:r>
    <w:r w:rsidR="006B6BF7">
      <w:rPr>
        <w:rFonts w:ascii="Times New Roman" w:hAnsi="Times New Roman" w:cs="Times New Roman"/>
        <w:sz w:val="20"/>
      </w:rPr>
      <w:t>30</w:t>
    </w:r>
    <w:r>
      <w:rPr>
        <w:rFonts w:ascii="Times New Roman" w:hAnsi="Times New Roman" w:cs="Times New Roman"/>
        <w:sz w:val="20"/>
      </w:rPr>
      <w:t>0511</w:t>
    </w:r>
    <w:r w:rsidRPr="00735AF1">
      <w:rPr>
        <w:rFonts w:ascii="Times New Roman" w:hAnsi="Times New Roman" w:cs="Times New Roman"/>
        <w:sz w:val="20"/>
      </w:rPr>
      <w:t>_KV</w:t>
    </w:r>
    <w:r w:rsidR="001A0F8C">
      <w:rPr>
        <w:rFonts w:ascii="Times New Roman" w:hAnsi="Times New Roman" w:cs="Times New Roman"/>
        <w:sz w:val="20"/>
      </w:rPr>
      <w:t>IP; Informatīvais ziņojums „</w:t>
    </w:r>
    <w:r>
      <w:rPr>
        <w:rFonts w:ascii="Times New Roman" w:hAnsi="Times New Roman" w:cs="Times New Roman"/>
        <w:sz w:val="20"/>
      </w:rPr>
      <w:t>K</w:t>
    </w:r>
    <w:r w:rsidRPr="00735AF1">
      <w:rPr>
        <w:rFonts w:ascii="Times New Roman" w:hAnsi="Times New Roman" w:cs="Times New Roman"/>
        <w:sz w:val="20"/>
      </w:rPr>
      <w:t xml:space="preserve">omercdarbības konkurētspējas un inovācijas veicināšanas programmas </w:t>
    </w:r>
    <w:r>
      <w:rPr>
        <w:rFonts w:ascii="Times New Roman" w:hAnsi="Times New Roman" w:cs="Times New Roman"/>
        <w:sz w:val="20"/>
      </w:rPr>
      <w:t>2007.-2013.gadam izpildi 2010</w:t>
    </w:r>
    <w:r w:rsidRPr="00735AF1">
      <w:rPr>
        <w:rFonts w:ascii="Times New Roman" w:hAnsi="Times New Roman" w:cs="Times New Roman"/>
        <w:sz w:val="20"/>
      </w:rPr>
      <w:t>.gadā”</w:t>
    </w:r>
  </w:p>
  <w:p w:rsidR="003E7E9E" w:rsidRDefault="003E7E9E">
    <w:pPr>
      <w:pStyle w:val="Footer"/>
    </w:pPr>
  </w:p>
  <w:p w:rsidR="003E7E9E" w:rsidRDefault="003E7E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57" w:rsidRPr="008A27A1" w:rsidRDefault="00F400A7" w:rsidP="00FF5257">
    <w:pPr>
      <w:pStyle w:val="BlockText"/>
      <w:spacing w:after="0"/>
      <w:ind w:left="0" w:right="-1"/>
      <w:jc w:val="both"/>
      <w:rPr>
        <w:b w:val="0"/>
        <w:sz w:val="20"/>
      </w:rPr>
    </w:pPr>
    <w:r>
      <w:rPr>
        <w:b w:val="0"/>
        <w:sz w:val="20"/>
        <w:lang w:val="de-DE"/>
      </w:rPr>
      <w:t>EMZino_30</w:t>
    </w:r>
    <w:r w:rsidR="00FF5257">
      <w:rPr>
        <w:b w:val="0"/>
        <w:sz w:val="20"/>
        <w:lang w:val="de-DE"/>
      </w:rPr>
      <w:t xml:space="preserve">0511_KVIP; Informatīvais </w:t>
    </w:r>
    <w:r w:rsidR="00FF5257" w:rsidRPr="008A27A1">
      <w:rPr>
        <w:b w:val="0"/>
        <w:sz w:val="20"/>
      </w:rPr>
      <w:t>ziņojums „</w:t>
    </w:r>
    <w:r w:rsidR="00FF5257">
      <w:rPr>
        <w:b w:val="0"/>
        <w:sz w:val="20"/>
      </w:rPr>
      <w:t>Komercdarbības konkurētspējas un inovācijas veicināšanas programmas 2007.-2013.gadam izpilde</w:t>
    </w:r>
    <w:r w:rsidR="00FF5257" w:rsidRPr="008A27A1">
      <w:rPr>
        <w:b w:val="0"/>
        <w:sz w:val="20"/>
      </w:rPr>
      <w:t xml:space="preserve"> 2010.gadā”</w:t>
    </w:r>
  </w:p>
  <w:p w:rsidR="00FF5257" w:rsidRDefault="00FF5257">
    <w:pPr>
      <w:pStyle w:val="Footer"/>
    </w:pPr>
  </w:p>
  <w:p w:rsidR="00FF5257" w:rsidRDefault="00FF5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90" w:rsidRDefault="00810890" w:rsidP="00735AF1">
      <w:pPr>
        <w:spacing w:after="0" w:line="240" w:lineRule="auto"/>
      </w:pPr>
      <w:r>
        <w:separator/>
      </w:r>
    </w:p>
  </w:footnote>
  <w:footnote w:type="continuationSeparator" w:id="0">
    <w:p w:rsidR="00810890" w:rsidRDefault="00810890" w:rsidP="00735AF1">
      <w:pPr>
        <w:spacing w:after="0" w:line="240" w:lineRule="auto"/>
      </w:pPr>
      <w:r>
        <w:continuationSeparator/>
      </w:r>
    </w:p>
  </w:footnote>
  <w:footnote w:id="1">
    <w:p w:rsidR="00AB4275" w:rsidRPr="00443A0D" w:rsidRDefault="00AB4275" w:rsidP="00645B93">
      <w:pPr>
        <w:pStyle w:val="FootnoteText"/>
        <w:jc w:val="both"/>
        <w:rPr>
          <w:rFonts w:ascii="Times New Roman" w:hAnsi="Times New Roman" w:cs="Times New Roman"/>
          <w:sz w:val="22"/>
        </w:rPr>
      </w:pPr>
      <w:r w:rsidRPr="00443A0D">
        <w:rPr>
          <w:rStyle w:val="FootnoteReference"/>
          <w:rFonts w:ascii="Times New Roman" w:hAnsi="Times New Roman" w:cs="Times New Roman"/>
          <w:sz w:val="22"/>
        </w:rPr>
        <w:footnoteRef/>
      </w:r>
      <w:r w:rsidRPr="00443A0D">
        <w:rPr>
          <w:rFonts w:ascii="Times New Roman" w:hAnsi="Times New Roman" w:cs="Times New Roman"/>
          <w:sz w:val="22"/>
        </w:rPr>
        <w:t xml:space="preserve"> </w:t>
      </w:r>
      <w:r w:rsidR="00645B93">
        <w:rPr>
          <w:rFonts w:ascii="Times New Roman" w:hAnsi="Times New Roman" w:cs="Times New Roman"/>
          <w:sz w:val="22"/>
        </w:rPr>
        <w:t xml:space="preserve"> </w:t>
      </w:r>
      <w:r w:rsidRPr="00443A0D">
        <w:rPr>
          <w:rFonts w:ascii="Times New Roman" w:hAnsi="Times New Roman" w:cs="Times New Roman"/>
          <w:sz w:val="22"/>
        </w:rPr>
        <w:t>IKP aprēķināšanā tiek izmantots NACE 1.1 klasifikators</w:t>
      </w:r>
    </w:p>
  </w:footnote>
  <w:footnote w:id="2">
    <w:p w:rsidR="00AB4275" w:rsidRPr="00443A0D" w:rsidRDefault="00AB4275" w:rsidP="00645B93">
      <w:pPr>
        <w:pStyle w:val="FootnoteText"/>
        <w:jc w:val="both"/>
        <w:rPr>
          <w:rFonts w:ascii="Times New Roman" w:hAnsi="Times New Roman" w:cs="Times New Roman"/>
          <w:sz w:val="22"/>
        </w:rPr>
      </w:pPr>
      <w:r w:rsidRPr="00443A0D">
        <w:rPr>
          <w:rStyle w:val="FootnoteReference"/>
          <w:rFonts w:ascii="Times New Roman" w:hAnsi="Times New Roman" w:cs="Times New Roman"/>
          <w:sz w:val="22"/>
        </w:rPr>
        <w:footnoteRef/>
      </w:r>
      <w:r w:rsidR="00645B93">
        <w:rPr>
          <w:rFonts w:ascii="Times New Roman" w:hAnsi="Times New Roman" w:cs="Times New Roman"/>
          <w:sz w:val="22"/>
        </w:rPr>
        <w:t xml:space="preserve"> </w:t>
      </w:r>
      <w:r w:rsidRPr="00443A0D">
        <w:rPr>
          <w:rFonts w:ascii="Times New Roman" w:hAnsi="Times New Roman" w:cs="Times New Roman"/>
          <w:sz w:val="22"/>
        </w:rPr>
        <w:t xml:space="preserve">Apstrādes rūpniecības </w:t>
      </w:r>
      <w:r w:rsidR="004E4687">
        <w:rPr>
          <w:rFonts w:ascii="Times New Roman" w:hAnsi="Times New Roman" w:cs="Times New Roman"/>
          <w:sz w:val="22"/>
        </w:rPr>
        <w:t>rādītāji tiek rēķināti</w:t>
      </w:r>
      <w:r w:rsidRPr="00443A0D">
        <w:rPr>
          <w:rFonts w:ascii="Times New Roman" w:hAnsi="Times New Roman" w:cs="Times New Roman"/>
          <w:sz w:val="22"/>
        </w:rPr>
        <w:t xml:space="preserve"> izmantojot NACE 2</w:t>
      </w:r>
      <w:r w:rsidR="00645B93">
        <w:rPr>
          <w:rFonts w:ascii="Times New Roman" w:hAnsi="Times New Roman" w:cs="Times New Roman"/>
          <w:sz w:val="22"/>
        </w:rPr>
        <w:t>.</w:t>
      </w:r>
      <w:r w:rsidRPr="00443A0D">
        <w:rPr>
          <w:rFonts w:ascii="Times New Roman" w:hAnsi="Times New Roman" w:cs="Times New Roman"/>
          <w:sz w:val="22"/>
        </w:rPr>
        <w:t xml:space="preserve"> </w:t>
      </w:r>
      <w:r w:rsidR="00645B93">
        <w:rPr>
          <w:rFonts w:ascii="Times New Roman" w:hAnsi="Times New Roman" w:cs="Times New Roman"/>
          <w:sz w:val="22"/>
        </w:rPr>
        <w:t xml:space="preserve">redakcijas </w:t>
      </w:r>
      <w:r w:rsidRPr="00443A0D">
        <w:rPr>
          <w:rFonts w:ascii="Times New Roman" w:hAnsi="Times New Roman" w:cs="Times New Roman"/>
          <w:sz w:val="22"/>
        </w:rPr>
        <w:t>klasifikatoru</w:t>
      </w:r>
    </w:p>
  </w:footnote>
  <w:footnote w:id="3">
    <w:p w:rsidR="003C40AE" w:rsidRPr="00FA07B6" w:rsidRDefault="003C40AE" w:rsidP="003C40AE">
      <w:pPr>
        <w:pStyle w:val="FootnoteText"/>
        <w:jc w:val="both"/>
        <w:rPr>
          <w:rFonts w:ascii="Times New Roman" w:hAnsi="Times New Roman" w:cs="Times New Roman"/>
        </w:rPr>
      </w:pPr>
      <w:r w:rsidRPr="00FA07B6">
        <w:rPr>
          <w:rStyle w:val="FootnoteReference"/>
          <w:rFonts w:ascii="Times New Roman" w:hAnsi="Times New Roman" w:cs="Times New Roman"/>
        </w:rPr>
        <w:footnoteRef/>
      </w:r>
      <w:r w:rsidRPr="00FA07B6">
        <w:rPr>
          <w:rFonts w:ascii="Times New Roman" w:hAnsi="Times New Roman" w:cs="Times New Roman"/>
        </w:rPr>
        <w:t xml:space="preserve"> </w:t>
      </w:r>
      <w:r>
        <w:rPr>
          <w:rFonts w:ascii="Times New Roman" w:hAnsi="Times New Roman" w:cs="Times New Roman"/>
        </w:rPr>
        <w:t xml:space="preserve">Neskaitot finansējumu </w:t>
      </w:r>
      <w:r w:rsidRPr="00FA07B6">
        <w:rPr>
          <w:rFonts w:ascii="Times New Roman" w:hAnsi="Times New Roman" w:cs="Times New Roman"/>
        </w:rPr>
        <w:t xml:space="preserve">aktivitātēm, kas </w:t>
      </w:r>
      <w:r w:rsidR="00255922">
        <w:rPr>
          <w:rFonts w:ascii="Times New Roman" w:hAnsi="Times New Roman" w:cs="Times New Roman"/>
        </w:rPr>
        <w:t>īstenotas</w:t>
      </w:r>
      <w:r w:rsidRPr="00FA07B6">
        <w:rPr>
          <w:rFonts w:ascii="Times New Roman" w:hAnsi="Times New Roman" w:cs="Times New Roman"/>
        </w:rPr>
        <w:t xml:space="preserve"> institūciju pamatdarbības funkciju </w:t>
      </w:r>
      <w:r w:rsidR="00255922">
        <w:rPr>
          <w:rFonts w:ascii="Times New Roman" w:hAnsi="Times New Roman" w:cs="Times New Roman"/>
        </w:rPr>
        <w:t>veik</w:t>
      </w:r>
      <w:r w:rsidRPr="00FA07B6">
        <w:rPr>
          <w:rFonts w:ascii="Times New Roman" w:hAnsi="Times New Roman" w:cs="Times New Roman"/>
        </w:rPr>
        <w:t>šanai piešķirto valsts budžeta līdzekļu ietvaros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0267"/>
      <w:docPartObj>
        <w:docPartGallery w:val="Page Numbers (Top of Page)"/>
        <w:docPartUnique/>
      </w:docPartObj>
    </w:sdtPr>
    <w:sdtContent>
      <w:p w:rsidR="006D1908" w:rsidRDefault="00EA3A6E">
        <w:pPr>
          <w:pStyle w:val="Header"/>
          <w:jc w:val="center"/>
        </w:pPr>
        <w:r w:rsidRPr="00DA7EB4">
          <w:rPr>
            <w:rFonts w:ascii="Times New Roman" w:hAnsi="Times New Roman" w:cs="Times New Roman"/>
            <w:sz w:val="24"/>
            <w:szCs w:val="24"/>
          </w:rPr>
          <w:fldChar w:fldCharType="begin"/>
        </w:r>
        <w:r w:rsidR="002B2064" w:rsidRPr="00DA7EB4">
          <w:rPr>
            <w:rFonts w:ascii="Times New Roman" w:hAnsi="Times New Roman" w:cs="Times New Roman"/>
            <w:sz w:val="24"/>
            <w:szCs w:val="24"/>
          </w:rPr>
          <w:instrText xml:space="preserve"> PAGE   \* MERGEFORMAT </w:instrText>
        </w:r>
        <w:r w:rsidRPr="00DA7EB4">
          <w:rPr>
            <w:rFonts w:ascii="Times New Roman" w:hAnsi="Times New Roman" w:cs="Times New Roman"/>
            <w:sz w:val="24"/>
            <w:szCs w:val="24"/>
          </w:rPr>
          <w:fldChar w:fldCharType="separate"/>
        </w:r>
        <w:r w:rsidR="00B7271C">
          <w:rPr>
            <w:rFonts w:ascii="Times New Roman" w:hAnsi="Times New Roman" w:cs="Times New Roman"/>
            <w:noProof/>
            <w:sz w:val="24"/>
            <w:szCs w:val="24"/>
          </w:rPr>
          <w:t>14</w:t>
        </w:r>
        <w:r w:rsidRPr="00DA7EB4">
          <w:rPr>
            <w:rFonts w:ascii="Times New Roman" w:hAnsi="Times New Roman" w:cs="Times New Roman"/>
            <w:sz w:val="24"/>
            <w:szCs w:val="24"/>
          </w:rPr>
          <w:fldChar w:fldCharType="end"/>
        </w:r>
      </w:p>
    </w:sdtContent>
  </w:sdt>
  <w:p w:rsidR="006D1908" w:rsidRDefault="006D1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E38"/>
    <w:multiLevelType w:val="hybridMultilevel"/>
    <w:tmpl w:val="5066E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E80F15"/>
    <w:multiLevelType w:val="hybridMultilevel"/>
    <w:tmpl w:val="763EBFD0"/>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CF830E8"/>
    <w:multiLevelType w:val="multilevel"/>
    <w:tmpl w:val="6226CCF6"/>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37C30E0"/>
    <w:multiLevelType w:val="hybridMultilevel"/>
    <w:tmpl w:val="56823FF0"/>
    <w:lvl w:ilvl="0" w:tplc="12E2E45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495619E2"/>
    <w:multiLevelType w:val="hybridMultilevel"/>
    <w:tmpl w:val="A56E20A4"/>
    <w:lvl w:ilvl="0" w:tplc="DCC4F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BEA096C"/>
    <w:multiLevelType w:val="multilevel"/>
    <w:tmpl w:val="2E00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17A1B"/>
    <w:multiLevelType w:val="multilevel"/>
    <w:tmpl w:val="4F24809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88D6FDB"/>
    <w:multiLevelType w:val="hybridMultilevel"/>
    <w:tmpl w:val="DE26E3E2"/>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8">
    <w:nsid w:val="58AD3FFA"/>
    <w:multiLevelType w:val="multilevel"/>
    <w:tmpl w:val="41D4B71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B4D0D89"/>
    <w:multiLevelType w:val="multilevel"/>
    <w:tmpl w:val="D7F8C3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
  </w:num>
  <w:num w:numId="8">
    <w:abstractNumId w:val="8"/>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50FD"/>
    <w:rsid w:val="00000F78"/>
    <w:rsid w:val="000135C9"/>
    <w:rsid w:val="00024556"/>
    <w:rsid w:val="000320DD"/>
    <w:rsid w:val="00050A80"/>
    <w:rsid w:val="0006073A"/>
    <w:rsid w:val="00061C6A"/>
    <w:rsid w:val="00070B5E"/>
    <w:rsid w:val="00071389"/>
    <w:rsid w:val="0007304E"/>
    <w:rsid w:val="000743D0"/>
    <w:rsid w:val="0007479C"/>
    <w:rsid w:val="00074D5C"/>
    <w:rsid w:val="00076D16"/>
    <w:rsid w:val="00077731"/>
    <w:rsid w:val="00082B56"/>
    <w:rsid w:val="000916EE"/>
    <w:rsid w:val="00095C37"/>
    <w:rsid w:val="000A5479"/>
    <w:rsid w:val="000A7DED"/>
    <w:rsid w:val="000B3D53"/>
    <w:rsid w:val="000C3072"/>
    <w:rsid w:val="000C3A5A"/>
    <w:rsid w:val="000D3056"/>
    <w:rsid w:val="000D3CA7"/>
    <w:rsid w:val="000D49B0"/>
    <w:rsid w:val="000E4AA6"/>
    <w:rsid w:val="000E7371"/>
    <w:rsid w:val="000F5EC2"/>
    <w:rsid w:val="001138A8"/>
    <w:rsid w:val="0012219E"/>
    <w:rsid w:val="0012547E"/>
    <w:rsid w:val="00125D98"/>
    <w:rsid w:val="001272C8"/>
    <w:rsid w:val="00135309"/>
    <w:rsid w:val="00141C7E"/>
    <w:rsid w:val="0014431E"/>
    <w:rsid w:val="001512A9"/>
    <w:rsid w:val="001531D1"/>
    <w:rsid w:val="00153B51"/>
    <w:rsid w:val="00163624"/>
    <w:rsid w:val="00172E46"/>
    <w:rsid w:val="00173680"/>
    <w:rsid w:val="00173A8A"/>
    <w:rsid w:val="0017725F"/>
    <w:rsid w:val="0018165B"/>
    <w:rsid w:val="001A0F8C"/>
    <w:rsid w:val="001B37E1"/>
    <w:rsid w:val="001C0BB9"/>
    <w:rsid w:val="001C3890"/>
    <w:rsid w:val="001D1382"/>
    <w:rsid w:val="001E3CA8"/>
    <w:rsid w:val="001E4884"/>
    <w:rsid w:val="001F0C79"/>
    <w:rsid w:val="001F1EFD"/>
    <w:rsid w:val="0021600F"/>
    <w:rsid w:val="00220DF3"/>
    <w:rsid w:val="00225CAA"/>
    <w:rsid w:val="00234230"/>
    <w:rsid w:val="00252290"/>
    <w:rsid w:val="00252D67"/>
    <w:rsid w:val="00254237"/>
    <w:rsid w:val="00255922"/>
    <w:rsid w:val="00262DFE"/>
    <w:rsid w:val="00262E51"/>
    <w:rsid w:val="002717CE"/>
    <w:rsid w:val="00282620"/>
    <w:rsid w:val="002873EA"/>
    <w:rsid w:val="0029714B"/>
    <w:rsid w:val="00297E64"/>
    <w:rsid w:val="002A5650"/>
    <w:rsid w:val="002B1158"/>
    <w:rsid w:val="002B1D40"/>
    <w:rsid w:val="002B2064"/>
    <w:rsid w:val="002B3813"/>
    <w:rsid w:val="002B4045"/>
    <w:rsid w:val="002B6C88"/>
    <w:rsid w:val="002E27D8"/>
    <w:rsid w:val="002E75FA"/>
    <w:rsid w:val="002F301B"/>
    <w:rsid w:val="002F5DFD"/>
    <w:rsid w:val="0030195A"/>
    <w:rsid w:val="0031019A"/>
    <w:rsid w:val="00313BE7"/>
    <w:rsid w:val="00315573"/>
    <w:rsid w:val="00317D05"/>
    <w:rsid w:val="00324969"/>
    <w:rsid w:val="0033729E"/>
    <w:rsid w:val="00344481"/>
    <w:rsid w:val="00347DCC"/>
    <w:rsid w:val="0035053A"/>
    <w:rsid w:val="00352123"/>
    <w:rsid w:val="00352FB6"/>
    <w:rsid w:val="00356E1F"/>
    <w:rsid w:val="0036273E"/>
    <w:rsid w:val="00366677"/>
    <w:rsid w:val="00371939"/>
    <w:rsid w:val="003739F6"/>
    <w:rsid w:val="003765EA"/>
    <w:rsid w:val="003768FB"/>
    <w:rsid w:val="003B05FB"/>
    <w:rsid w:val="003B219C"/>
    <w:rsid w:val="003C40AE"/>
    <w:rsid w:val="003C4650"/>
    <w:rsid w:val="003E439C"/>
    <w:rsid w:val="003E45AE"/>
    <w:rsid w:val="003E5F74"/>
    <w:rsid w:val="003E7E9E"/>
    <w:rsid w:val="003F3E1B"/>
    <w:rsid w:val="0040569C"/>
    <w:rsid w:val="00405B2E"/>
    <w:rsid w:val="00405C29"/>
    <w:rsid w:val="004130BC"/>
    <w:rsid w:val="00415DEA"/>
    <w:rsid w:val="00416FA3"/>
    <w:rsid w:val="00427E61"/>
    <w:rsid w:val="00431C72"/>
    <w:rsid w:val="00440592"/>
    <w:rsid w:val="00441801"/>
    <w:rsid w:val="00442585"/>
    <w:rsid w:val="00452437"/>
    <w:rsid w:val="00453B8A"/>
    <w:rsid w:val="004551B4"/>
    <w:rsid w:val="00455462"/>
    <w:rsid w:val="004650FD"/>
    <w:rsid w:val="00467CFA"/>
    <w:rsid w:val="004B032E"/>
    <w:rsid w:val="004B39E5"/>
    <w:rsid w:val="004B4625"/>
    <w:rsid w:val="004C27F6"/>
    <w:rsid w:val="004C681C"/>
    <w:rsid w:val="004D3371"/>
    <w:rsid w:val="004D3687"/>
    <w:rsid w:val="004D409C"/>
    <w:rsid w:val="004D6092"/>
    <w:rsid w:val="004D6795"/>
    <w:rsid w:val="004E4687"/>
    <w:rsid w:val="004F37A0"/>
    <w:rsid w:val="005017D4"/>
    <w:rsid w:val="00501CF6"/>
    <w:rsid w:val="00507327"/>
    <w:rsid w:val="005116B5"/>
    <w:rsid w:val="005119AA"/>
    <w:rsid w:val="005176CE"/>
    <w:rsid w:val="00523EE6"/>
    <w:rsid w:val="0052434A"/>
    <w:rsid w:val="00527D9E"/>
    <w:rsid w:val="0053101C"/>
    <w:rsid w:val="00531CA7"/>
    <w:rsid w:val="00535650"/>
    <w:rsid w:val="005701FB"/>
    <w:rsid w:val="00575512"/>
    <w:rsid w:val="00577667"/>
    <w:rsid w:val="00591E4D"/>
    <w:rsid w:val="005921C6"/>
    <w:rsid w:val="005964E2"/>
    <w:rsid w:val="005A3535"/>
    <w:rsid w:val="005A4CC6"/>
    <w:rsid w:val="005A4FC1"/>
    <w:rsid w:val="005A54B1"/>
    <w:rsid w:val="005B2AB1"/>
    <w:rsid w:val="005B2E4E"/>
    <w:rsid w:val="005B54E6"/>
    <w:rsid w:val="005B75F1"/>
    <w:rsid w:val="005C14D9"/>
    <w:rsid w:val="005C195E"/>
    <w:rsid w:val="005C2D64"/>
    <w:rsid w:val="005C76AB"/>
    <w:rsid w:val="005D5360"/>
    <w:rsid w:val="005E24CE"/>
    <w:rsid w:val="005E630F"/>
    <w:rsid w:val="005F41A8"/>
    <w:rsid w:val="00610B67"/>
    <w:rsid w:val="00612E26"/>
    <w:rsid w:val="006134C0"/>
    <w:rsid w:val="0061369F"/>
    <w:rsid w:val="00622264"/>
    <w:rsid w:val="00625AA1"/>
    <w:rsid w:val="00627243"/>
    <w:rsid w:val="00641E8B"/>
    <w:rsid w:val="00644DA9"/>
    <w:rsid w:val="00645A79"/>
    <w:rsid w:val="00645B93"/>
    <w:rsid w:val="00647A35"/>
    <w:rsid w:val="00657643"/>
    <w:rsid w:val="00667145"/>
    <w:rsid w:val="00674784"/>
    <w:rsid w:val="006801CD"/>
    <w:rsid w:val="00680A82"/>
    <w:rsid w:val="006822B6"/>
    <w:rsid w:val="006914BB"/>
    <w:rsid w:val="00695011"/>
    <w:rsid w:val="006A0B01"/>
    <w:rsid w:val="006A55E1"/>
    <w:rsid w:val="006A7DFD"/>
    <w:rsid w:val="006B46BA"/>
    <w:rsid w:val="006B6AF6"/>
    <w:rsid w:val="006B6BF7"/>
    <w:rsid w:val="006C13AA"/>
    <w:rsid w:val="006C17A8"/>
    <w:rsid w:val="006D1908"/>
    <w:rsid w:val="006E3E3D"/>
    <w:rsid w:val="006E4005"/>
    <w:rsid w:val="006F51E5"/>
    <w:rsid w:val="006F6C1B"/>
    <w:rsid w:val="00705143"/>
    <w:rsid w:val="00706D10"/>
    <w:rsid w:val="00730CBA"/>
    <w:rsid w:val="00732810"/>
    <w:rsid w:val="00735AF1"/>
    <w:rsid w:val="00740509"/>
    <w:rsid w:val="00740EB2"/>
    <w:rsid w:val="00745562"/>
    <w:rsid w:val="00752F94"/>
    <w:rsid w:val="007549C7"/>
    <w:rsid w:val="00755F8A"/>
    <w:rsid w:val="00756E5D"/>
    <w:rsid w:val="007769AF"/>
    <w:rsid w:val="0078156B"/>
    <w:rsid w:val="00782373"/>
    <w:rsid w:val="00790FC4"/>
    <w:rsid w:val="007B7300"/>
    <w:rsid w:val="007D6630"/>
    <w:rsid w:val="007D6B6A"/>
    <w:rsid w:val="007D6BEC"/>
    <w:rsid w:val="007D734B"/>
    <w:rsid w:val="007E4CDD"/>
    <w:rsid w:val="007E7E38"/>
    <w:rsid w:val="007F4CB8"/>
    <w:rsid w:val="007F5D62"/>
    <w:rsid w:val="008021CE"/>
    <w:rsid w:val="008040FA"/>
    <w:rsid w:val="0080613F"/>
    <w:rsid w:val="00810890"/>
    <w:rsid w:val="00810E38"/>
    <w:rsid w:val="0081386F"/>
    <w:rsid w:val="00824788"/>
    <w:rsid w:val="008247BC"/>
    <w:rsid w:val="0082553E"/>
    <w:rsid w:val="008370E5"/>
    <w:rsid w:val="00852EA6"/>
    <w:rsid w:val="0085494E"/>
    <w:rsid w:val="00860DFC"/>
    <w:rsid w:val="00860EB9"/>
    <w:rsid w:val="00872AB4"/>
    <w:rsid w:val="008747BE"/>
    <w:rsid w:val="00876423"/>
    <w:rsid w:val="008822CC"/>
    <w:rsid w:val="0089612B"/>
    <w:rsid w:val="00896DDC"/>
    <w:rsid w:val="008A2AF9"/>
    <w:rsid w:val="008A671D"/>
    <w:rsid w:val="008C60F4"/>
    <w:rsid w:val="008D0C11"/>
    <w:rsid w:val="008D1637"/>
    <w:rsid w:val="008E2236"/>
    <w:rsid w:val="008E3569"/>
    <w:rsid w:val="008E44F7"/>
    <w:rsid w:val="008E630F"/>
    <w:rsid w:val="008F3134"/>
    <w:rsid w:val="008F6076"/>
    <w:rsid w:val="00905571"/>
    <w:rsid w:val="00905F9A"/>
    <w:rsid w:val="00912A25"/>
    <w:rsid w:val="00912B52"/>
    <w:rsid w:val="00941DC4"/>
    <w:rsid w:val="00952491"/>
    <w:rsid w:val="00957A59"/>
    <w:rsid w:val="0096168C"/>
    <w:rsid w:val="00965C5C"/>
    <w:rsid w:val="00973477"/>
    <w:rsid w:val="009760B2"/>
    <w:rsid w:val="00981C86"/>
    <w:rsid w:val="009863AC"/>
    <w:rsid w:val="00995BEA"/>
    <w:rsid w:val="00997ADB"/>
    <w:rsid w:val="009A5A54"/>
    <w:rsid w:val="009A701B"/>
    <w:rsid w:val="009B5A03"/>
    <w:rsid w:val="009D0FDD"/>
    <w:rsid w:val="009E70B1"/>
    <w:rsid w:val="009F0206"/>
    <w:rsid w:val="009F6CA7"/>
    <w:rsid w:val="009F779F"/>
    <w:rsid w:val="00A00D21"/>
    <w:rsid w:val="00A05B3F"/>
    <w:rsid w:val="00A23B8B"/>
    <w:rsid w:val="00A3385D"/>
    <w:rsid w:val="00A34273"/>
    <w:rsid w:val="00A34A20"/>
    <w:rsid w:val="00A43646"/>
    <w:rsid w:val="00A449E7"/>
    <w:rsid w:val="00A517B9"/>
    <w:rsid w:val="00A53935"/>
    <w:rsid w:val="00A75A17"/>
    <w:rsid w:val="00A857A8"/>
    <w:rsid w:val="00A9135F"/>
    <w:rsid w:val="00A915A8"/>
    <w:rsid w:val="00AB4275"/>
    <w:rsid w:val="00AC02B9"/>
    <w:rsid w:val="00AD01A6"/>
    <w:rsid w:val="00AD3225"/>
    <w:rsid w:val="00AE2540"/>
    <w:rsid w:val="00AF0A0B"/>
    <w:rsid w:val="00AF2862"/>
    <w:rsid w:val="00AF6A02"/>
    <w:rsid w:val="00B03295"/>
    <w:rsid w:val="00B0398B"/>
    <w:rsid w:val="00B07AF4"/>
    <w:rsid w:val="00B133BD"/>
    <w:rsid w:val="00B1491B"/>
    <w:rsid w:val="00B16B00"/>
    <w:rsid w:val="00B17DC3"/>
    <w:rsid w:val="00B27A17"/>
    <w:rsid w:val="00B27D46"/>
    <w:rsid w:val="00B3105F"/>
    <w:rsid w:val="00B45137"/>
    <w:rsid w:val="00B5610F"/>
    <w:rsid w:val="00B57D7E"/>
    <w:rsid w:val="00B65C4D"/>
    <w:rsid w:val="00B6642B"/>
    <w:rsid w:val="00B7271C"/>
    <w:rsid w:val="00B85B1F"/>
    <w:rsid w:val="00B86305"/>
    <w:rsid w:val="00B872DC"/>
    <w:rsid w:val="00B877DA"/>
    <w:rsid w:val="00B91BEB"/>
    <w:rsid w:val="00B93737"/>
    <w:rsid w:val="00BA1601"/>
    <w:rsid w:val="00BA161D"/>
    <w:rsid w:val="00BA2D6D"/>
    <w:rsid w:val="00BA5199"/>
    <w:rsid w:val="00BA764C"/>
    <w:rsid w:val="00BA7FE1"/>
    <w:rsid w:val="00BB1ACC"/>
    <w:rsid w:val="00BB399E"/>
    <w:rsid w:val="00BB635D"/>
    <w:rsid w:val="00BC3DC7"/>
    <w:rsid w:val="00BC4E16"/>
    <w:rsid w:val="00BD0813"/>
    <w:rsid w:val="00BD4FA2"/>
    <w:rsid w:val="00BD64FA"/>
    <w:rsid w:val="00BF3ED7"/>
    <w:rsid w:val="00C02D80"/>
    <w:rsid w:val="00C06A09"/>
    <w:rsid w:val="00C15186"/>
    <w:rsid w:val="00C2071C"/>
    <w:rsid w:val="00C255FB"/>
    <w:rsid w:val="00C25C05"/>
    <w:rsid w:val="00C359F4"/>
    <w:rsid w:val="00C40251"/>
    <w:rsid w:val="00C514FF"/>
    <w:rsid w:val="00C66D9F"/>
    <w:rsid w:val="00C83618"/>
    <w:rsid w:val="00C859BA"/>
    <w:rsid w:val="00C92DF2"/>
    <w:rsid w:val="00CA6663"/>
    <w:rsid w:val="00CB024E"/>
    <w:rsid w:val="00CB038C"/>
    <w:rsid w:val="00CC0444"/>
    <w:rsid w:val="00CC30F8"/>
    <w:rsid w:val="00CC5D27"/>
    <w:rsid w:val="00CD33D7"/>
    <w:rsid w:val="00CD53D7"/>
    <w:rsid w:val="00CE2D5C"/>
    <w:rsid w:val="00CE2DCC"/>
    <w:rsid w:val="00CF38F2"/>
    <w:rsid w:val="00CF7050"/>
    <w:rsid w:val="00D10304"/>
    <w:rsid w:val="00D159AD"/>
    <w:rsid w:val="00D16CA7"/>
    <w:rsid w:val="00D205F0"/>
    <w:rsid w:val="00D2441D"/>
    <w:rsid w:val="00D42EF2"/>
    <w:rsid w:val="00D44D6E"/>
    <w:rsid w:val="00D45E8D"/>
    <w:rsid w:val="00D46258"/>
    <w:rsid w:val="00D472A9"/>
    <w:rsid w:val="00D53888"/>
    <w:rsid w:val="00D657B1"/>
    <w:rsid w:val="00D66219"/>
    <w:rsid w:val="00DA7EB4"/>
    <w:rsid w:val="00DB1FD4"/>
    <w:rsid w:val="00DC171F"/>
    <w:rsid w:val="00DE4A40"/>
    <w:rsid w:val="00DE5DDD"/>
    <w:rsid w:val="00E013B4"/>
    <w:rsid w:val="00E20AEB"/>
    <w:rsid w:val="00E24DB9"/>
    <w:rsid w:val="00E261F6"/>
    <w:rsid w:val="00E50B35"/>
    <w:rsid w:val="00E53961"/>
    <w:rsid w:val="00E55047"/>
    <w:rsid w:val="00E61CF8"/>
    <w:rsid w:val="00E67333"/>
    <w:rsid w:val="00E72877"/>
    <w:rsid w:val="00E81EE3"/>
    <w:rsid w:val="00E91B3A"/>
    <w:rsid w:val="00E91F3D"/>
    <w:rsid w:val="00EA1F41"/>
    <w:rsid w:val="00EA3A6E"/>
    <w:rsid w:val="00EA48CA"/>
    <w:rsid w:val="00EB078E"/>
    <w:rsid w:val="00F01113"/>
    <w:rsid w:val="00F12B0B"/>
    <w:rsid w:val="00F306EC"/>
    <w:rsid w:val="00F3442F"/>
    <w:rsid w:val="00F362FF"/>
    <w:rsid w:val="00F37639"/>
    <w:rsid w:val="00F400A7"/>
    <w:rsid w:val="00F435BB"/>
    <w:rsid w:val="00F45A39"/>
    <w:rsid w:val="00F5668B"/>
    <w:rsid w:val="00F56B24"/>
    <w:rsid w:val="00F60379"/>
    <w:rsid w:val="00F60EE0"/>
    <w:rsid w:val="00F64029"/>
    <w:rsid w:val="00F67478"/>
    <w:rsid w:val="00F67AB8"/>
    <w:rsid w:val="00F76651"/>
    <w:rsid w:val="00FA07B6"/>
    <w:rsid w:val="00FA0E93"/>
    <w:rsid w:val="00FA0F0A"/>
    <w:rsid w:val="00FA4C06"/>
    <w:rsid w:val="00FB7FE9"/>
    <w:rsid w:val="00FD6E34"/>
    <w:rsid w:val="00FE6560"/>
    <w:rsid w:val="00FF52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5AF1"/>
  </w:style>
  <w:style w:type="paragraph" w:styleId="Footer">
    <w:name w:val="footer"/>
    <w:basedOn w:val="Normal"/>
    <w:link w:val="FooterChar"/>
    <w:uiPriority w:val="99"/>
    <w:unhideWhenUsed/>
    <w:rsid w:val="00735A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5AF1"/>
  </w:style>
  <w:style w:type="paragraph" w:styleId="BalloonText">
    <w:name w:val="Balloon Text"/>
    <w:basedOn w:val="Normal"/>
    <w:link w:val="BalloonTextChar"/>
    <w:uiPriority w:val="99"/>
    <w:semiHidden/>
    <w:unhideWhenUsed/>
    <w:rsid w:val="0073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F1"/>
    <w:rPr>
      <w:rFonts w:ascii="Tahoma" w:hAnsi="Tahoma" w:cs="Tahoma"/>
      <w:sz w:val="16"/>
      <w:szCs w:val="16"/>
    </w:rPr>
  </w:style>
  <w:style w:type="paragraph" w:styleId="ListParagraph">
    <w:name w:val="List Paragraph"/>
    <w:basedOn w:val="Normal"/>
    <w:uiPriority w:val="34"/>
    <w:qFormat/>
    <w:rsid w:val="00B17DC3"/>
    <w:pPr>
      <w:ind w:left="720"/>
      <w:contextualSpacing/>
    </w:pPr>
  </w:style>
  <w:style w:type="table" w:styleId="TableGrid">
    <w:name w:val="Table Grid"/>
    <w:basedOn w:val="TableNormal"/>
    <w:uiPriority w:val="59"/>
    <w:rsid w:val="0095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CharChar2">
    <w:name w:val="Char Char Char Char1 Char Char Char Char Char Char2"/>
    <w:basedOn w:val="Normal"/>
    <w:next w:val="Normal"/>
    <w:rsid w:val="00AD3225"/>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AD32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FA0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7B6"/>
    <w:rPr>
      <w:sz w:val="20"/>
      <w:szCs w:val="20"/>
    </w:rPr>
  </w:style>
  <w:style w:type="character" w:styleId="FootnoteReference">
    <w:name w:val="footnote reference"/>
    <w:basedOn w:val="DefaultParagraphFont"/>
    <w:uiPriority w:val="99"/>
    <w:semiHidden/>
    <w:unhideWhenUsed/>
    <w:rsid w:val="00FA07B6"/>
    <w:rPr>
      <w:vertAlign w:val="superscript"/>
    </w:rPr>
  </w:style>
  <w:style w:type="character" w:styleId="Hyperlink">
    <w:name w:val="Hyperlink"/>
    <w:basedOn w:val="DefaultParagraphFont"/>
    <w:uiPriority w:val="99"/>
    <w:rsid w:val="002B6C88"/>
    <w:rPr>
      <w:color w:val="0000FF"/>
      <w:u w:val="single"/>
    </w:rPr>
  </w:style>
  <w:style w:type="character" w:styleId="Strong">
    <w:name w:val="Strong"/>
    <w:basedOn w:val="DefaultParagraphFont"/>
    <w:uiPriority w:val="22"/>
    <w:qFormat/>
    <w:rsid w:val="008E630F"/>
    <w:rPr>
      <w:b/>
      <w:bCs/>
    </w:rPr>
  </w:style>
  <w:style w:type="character" w:styleId="CommentReference">
    <w:name w:val="annotation reference"/>
    <w:basedOn w:val="DefaultParagraphFont"/>
    <w:uiPriority w:val="99"/>
    <w:semiHidden/>
    <w:unhideWhenUsed/>
    <w:rsid w:val="00220DF3"/>
    <w:rPr>
      <w:sz w:val="16"/>
      <w:szCs w:val="16"/>
    </w:rPr>
  </w:style>
  <w:style w:type="paragraph" w:styleId="CommentText">
    <w:name w:val="annotation text"/>
    <w:basedOn w:val="Normal"/>
    <w:link w:val="CommentTextChar"/>
    <w:uiPriority w:val="99"/>
    <w:semiHidden/>
    <w:unhideWhenUsed/>
    <w:rsid w:val="00220DF3"/>
    <w:pPr>
      <w:spacing w:line="240" w:lineRule="auto"/>
    </w:pPr>
    <w:rPr>
      <w:sz w:val="20"/>
      <w:szCs w:val="20"/>
    </w:rPr>
  </w:style>
  <w:style w:type="character" w:customStyle="1" w:styleId="CommentTextChar">
    <w:name w:val="Comment Text Char"/>
    <w:basedOn w:val="DefaultParagraphFont"/>
    <w:link w:val="CommentText"/>
    <w:uiPriority w:val="99"/>
    <w:semiHidden/>
    <w:rsid w:val="00220DF3"/>
    <w:rPr>
      <w:sz w:val="20"/>
      <w:szCs w:val="20"/>
    </w:rPr>
  </w:style>
  <w:style w:type="paragraph" w:styleId="CommentSubject">
    <w:name w:val="annotation subject"/>
    <w:basedOn w:val="CommentText"/>
    <w:next w:val="CommentText"/>
    <w:link w:val="CommentSubjectChar"/>
    <w:uiPriority w:val="99"/>
    <w:semiHidden/>
    <w:unhideWhenUsed/>
    <w:rsid w:val="00220DF3"/>
    <w:rPr>
      <w:b/>
      <w:bCs/>
    </w:rPr>
  </w:style>
  <w:style w:type="character" w:customStyle="1" w:styleId="CommentSubjectChar">
    <w:name w:val="Comment Subject Char"/>
    <w:basedOn w:val="CommentTextChar"/>
    <w:link w:val="CommentSubject"/>
    <w:uiPriority w:val="99"/>
    <w:semiHidden/>
    <w:rsid w:val="00220DF3"/>
    <w:rPr>
      <w:b/>
      <w:bCs/>
    </w:rPr>
  </w:style>
  <w:style w:type="paragraph" w:styleId="BlockText">
    <w:name w:val="Block Text"/>
    <w:basedOn w:val="Normal"/>
    <w:rsid w:val="00FF5257"/>
    <w:pPr>
      <w:spacing w:after="100" w:line="240" w:lineRule="auto"/>
      <w:ind w:left="567" w:right="707"/>
      <w:jc w:val="center"/>
    </w:pPr>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divs>
    <w:div w:id="408767063">
      <w:bodyDiv w:val="1"/>
      <w:marLeft w:val="0"/>
      <w:marRight w:val="0"/>
      <w:marTop w:val="0"/>
      <w:marBottom w:val="0"/>
      <w:divBdr>
        <w:top w:val="none" w:sz="0" w:space="0" w:color="auto"/>
        <w:left w:val="none" w:sz="0" w:space="0" w:color="auto"/>
        <w:bottom w:val="none" w:sz="0" w:space="0" w:color="auto"/>
        <w:right w:val="none" w:sz="0" w:space="0" w:color="auto"/>
      </w:divBdr>
    </w:div>
    <w:div w:id="433016917">
      <w:bodyDiv w:val="1"/>
      <w:marLeft w:val="0"/>
      <w:marRight w:val="0"/>
      <w:marTop w:val="0"/>
      <w:marBottom w:val="0"/>
      <w:divBdr>
        <w:top w:val="none" w:sz="0" w:space="0" w:color="auto"/>
        <w:left w:val="none" w:sz="0" w:space="0" w:color="auto"/>
        <w:bottom w:val="none" w:sz="0" w:space="0" w:color="auto"/>
        <w:right w:val="none" w:sz="0" w:space="0" w:color="auto"/>
      </w:divBdr>
    </w:div>
    <w:div w:id="694040609">
      <w:bodyDiv w:val="1"/>
      <w:marLeft w:val="0"/>
      <w:marRight w:val="0"/>
      <w:marTop w:val="0"/>
      <w:marBottom w:val="0"/>
      <w:divBdr>
        <w:top w:val="none" w:sz="0" w:space="0" w:color="auto"/>
        <w:left w:val="none" w:sz="0" w:space="0" w:color="auto"/>
        <w:bottom w:val="none" w:sz="0" w:space="0" w:color="auto"/>
        <w:right w:val="none" w:sz="0" w:space="0" w:color="auto"/>
      </w:divBdr>
      <w:divsChild>
        <w:div w:id="130831160">
          <w:marLeft w:val="0"/>
          <w:marRight w:val="0"/>
          <w:marTop w:val="0"/>
          <w:marBottom w:val="0"/>
          <w:divBdr>
            <w:top w:val="none" w:sz="0" w:space="0" w:color="auto"/>
            <w:left w:val="single" w:sz="18" w:space="5" w:color="FFFFFF"/>
            <w:bottom w:val="none" w:sz="0" w:space="0" w:color="auto"/>
            <w:right w:val="single" w:sz="18" w:space="5" w:color="FFFFFF"/>
          </w:divBdr>
          <w:divsChild>
            <w:div w:id="202594961">
              <w:marLeft w:val="300"/>
              <w:marRight w:val="225"/>
              <w:marTop w:val="0"/>
              <w:marBottom w:val="0"/>
              <w:divBdr>
                <w:top w:val="none" w:sz="0" w:space="0" w:color="auto"/>
                <w:left w:val="none" w:sz="0" w:space="0" w:color="auto"/>
                <w:bottom w:val="none" w:sz="0" w:space="0" w:color="auto"/>
                <w:right w:val="none" w:sz="0" w:space="0" w:color="auto"/>
              </w:divBdr>
              <w:divsChild>
                <w:div w:id="1858885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1480998">
      <w:bodyDiv w:val="1"/>
      <w:marLeft w:val="0"/>
      <w:marRight w:val="0"/>
      <w:marTop w:val="0"/>
      <w:marBottom w:val="0"/>
      <w:divBdr>
        <w:top w:val="none" w:sz="0" w:space="0" w:color="auto"/>
        <w:left w:val="none" w:sz="0" w:space="0" w:color="auto"/>
        <w:bottom w:val="none" w:sz="0" w:space="0" w:color="auto"/>
        <w:right w:val="none" w:sz="0" w:space="0" w:color="auto"/>
      </w:divBdr>
    </w:div>
    <w:div w:id="949162757">
      <w:bodyDiv w:val="1"/>
      <w:marLeft w:val="0"/>
      <w:marRight w:val="0"/>
      <w:marTop w:val="0"/>
      <w:marBottom w:val="0"/>
      <w:divBdr>
        <w:top w:val="none" w:sz="0" w:space="0" w:color="auto"/>
        <w:left w:val="none" w:sz="0" w:space="0" w:color="auto"/>
        <w:bottom w:val="none" w:sz="0" w:space="0" w:color="auto"/>
        <w:right w:val="none" w:sz="0" w:space="0" w:color="auto"/>
      </w:divBdr>
      <w:divsChild>
        <w:div w:id="396779274">
          <w:marLeft w:val="0"/>
          <w:marRight w:val="0"/>
          <w:marTop w:val="0"/>
          <w:marBottom w:val="0"/>
          <w:divBdr>
            <w:top w:val="none" w:sz="0" w:space="0" w:color="auto"/>
            <w:left w:val="none" w:sz="0" w:space="0" w:color="auto"/>
            <w:bottom w:val="none" w:sz="0" w:space="0" w:color="auto"/>
            <w:right w:val="none" w:sz="0" w:space="0" w:color="auto"/>
          </w:divBdr>
          <w:divsChild>
            <w:div w:id="1946110124">
              <w:marLeft w:val="0"/>
              <w:marRight w:val="0"/>
              <w:marTop w:val="0"/>
              <w:marBottom w:val="0"/>
              <w:divBdr>
                <w:top w:val="none" w:sz="0" w:space="0" w:color="auto"/>
                <w:left w:val="none" w:sz="0" w:space="0" w:color="auto"/>
                <w:bottom w:val="none" w:sz="0" w:space="0" w:color="auto"/>
                <w:right w:val="none" w:sz="0" w:space="0" w:color="auto"/>
              </w:divBdr>
              <w:divsChild>
                <w:div w:id="29578542">
                  <w:marLeft w:val="0"/>
                  <w:marRight w:val="0"/>
                  <w:marTop w:val="0"/>
                  <w:marBottom w:val="0"/>
                  <w:divBdr>
                    <w:top w:val="none" w:sz="0" w:space="0" w:color="auto"/>
                    <w:left w:val="none" w:sz="0" w:space="0" w:color="auto"/>
                    <w:bottom w:val="none" w:sz="0" w:space="0" w:color="auto"/>
                    <w:right w:val="none" w:sz="0" w:space="0" w:color="auto"/>
                  </w:divBdr>
                  <w:divsChild>
                    <w:div w:id="357388223">
                      <w:marLeft w:val="0"/>
                      <w:marRight w:val="0"/>
                      <w:marTop w:val="0"/>
                      <w:marBottom w:val="0"/>
                      <w:divBdr>
                        <w:top w:val="none" w:sz="0" w:space="0" w:color="auto"/>
                        <w:left w:val="none" w:sz="0" w:space="0" w:color="auto"/>
                        <w:bottom w:val="none" w:sz="0" w:space="0" w:color="auto"/>
                        <w:right w:val="none" w:sz="0" w:space="0" w:color="auto"/>
                      </w:divBdr>
                      <w:divsChild>
                        <w:div w:id="441919321">
                          <w:marLeft w:val="0"/>
                          <w:marRight w:val="0"/>
                          <w:marTop w:val="0"/>
                          <w:marBottom w:val="0"/>
                          <w:divBdr>
                            <w:top w:val="none" w:sz="0" w:space="0" w:color="auto"/>
                            <w:left w:val="none" w:sz="0" w:space="0" w:color="auto"/>
                            <w:bottom w:val="none" w:sz="0" w:space="0" w:color="auto"/>
                            <w:right w:val="none" w:sz="0" w:space="0" w:color="auto"/>
                          </w:divBdr>
                          <w:divsChild>
                            <w:div w:id="1354070686">
                              <w:marLeft w:val="0"/>
                              <w:marRight w:val="0"/>
                              <w:marTop w:val="0"/>
                              <w:marBottom w:val="0"/>
                              <w:divBdr>
                                <w:top w:val="none" w:sz="0" w:space="0" w:color="auto"/>
                                <w:left w:val="none" w:sz="0" w:space="0" w:color="auto"/>
                                <w:bottom w:val="none" w:sz="0" w:space="0" w:color="auto"/>
                                <w:right w:val="none" w:sz="0" w:space="0" w:color="auto"/>
                              </w:divBdr>
                              <w:divsChild>
                                <w:div w:id="1519004961">
                                  <w:marLeft w:val="0"/>
                                  <w:marRight w:val="0"/>
                                  <w:marTop w:val="0"/>
                                  <w:marBottom w:val="0"/>
                                  <w:divBdr>
                                    <w:top w:val="none" w:sz="0" w:space="0" w:color="auto"/>
                                    <w:left w:val="none" w:sz="0" w:space="0" w:color="auto"/>
                                    <w:bottom w:val="none" w:sz="0" w:space="0" w:color="auto"/>
                                    <w:right w:val="none" w:sz="0" w:space="0" w:color="auto"/>
                                  </w:divBdr>
                                  <w:divsChild>
                                    <w:div w:id="829323261">
                                      <w:marLeft w:val="0"/>
                                      <w:marRight w:val="0"/>
                                      <w:marTop w:val="0"/>
                                      <w:marBottom w:val="0"/>
                                      <w:divBdr>
                                        <w:top w:val="none" w:sz="0" w:space="0" w:color="auto"/>
                                        <w:left w:val="none" w:sz="0" w:space="0" w:color="auto"/>
                                        <w:bottom w:val="none" w:sz="0" w:space="0" w:color="auto"/>
                                        <w:right w:val="none" w:sz="0" w:space="0" w:color="auto"/>
                                      </w:divBdr>
                                      <w:divsChild>
                                        <w:div w:id="1578440997">
                                          <w:marLeft w:val="0"/>
                                          <w:marRight w:val="0"/>
                                          <w:marTop w:val="0"/>
                                          <w:marBottom w:val="0"/>
                                          <w:divBdr>
                                            <w:top w:val="none" w:sz="0" w:space="0" w:color="auto"/>
                                            <w:left w:val="none" w:sz="0" w:space="0" w:color="auto"/>
                                            <w:bottom w:val="none" w:sz="0" w:space="0" w:color="auto"/>
                                            <w:right w:val="none" w:sz="0" w:space="0" w:color="auto"/>
                                          </w:divBdr>
                                        </w:div>
                                        <w:div w:id="1035696658">
                                          <w:marLeft w:val="0"/>
                                          <w:marRight w:val="0"/>
                                          <w:marTop w:val="0"/>
                                          <w:marBottom w:val="0"/>
                                          <w:divBdr>
                                            <w:top w:val="none" w:sz="0" w:space="0" w:color="auto"/>
                                            <w:left w:val="none" w:sz="0" w:space="0" w:color="auto"/>
                                            <w:bottom w:val="none" w:sz="0" w:space="0" w:color="auto"/>
                                            <w:right w:val="none" w:sz="0" w:space="0" w:color="auto"/>
                                          </w:divBdr>
                                        </w:div>
                                        <w:div w:id="822232604">
                                          <w:marLeft w:val="0"/>
                                          <w:marRight w:val="0"/>
                                          <w:marTop w:val="0"/>
                                          <w:marBottom w:val="0"/>
                                          <w:divBdr>
                                            <w:top w:val="none" w:sz="0" w:space="0" w:color="auto"/>
                                            <w:left w:val="none" w:sz="0" w:space="0" w:color="auto"/>
                                            <w:bottom w:val="none" w:sz="0" w:space="0" w:color="auto"/>
                                            <w:right w:val="none" w:sz="0" w:space="0" w:color="auto"/>
                                          </w:divBdr>
                                        </w:div>
                                        <w:div w:id="1231844603">
                                          <w:marLeft w:val="0"/>
                                          <w:marRight w:val="0"/>
                                          <w:marTop w:val="0"/>
                                          <w:marBottom w:val="0"/>
                                          <w:divBdr>
                                            <w:top w:val="none" w:sz="0" w:space="0" w:color="auto"/>
                                            <w:left w:val="none" w:sz="0" w:space="0" w:color="auto"/>
                                            <w:bottom w:val="none" w:sz="0" w:space="0" w:color="auto"/>
                                            <w:right w:val="none" w:sz="0" w:space="0" w:color="auto"/>
                                          </w:divBdr>
                                        </w:div>
                                        <w:div w:id="20615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431010">
      <w:bodyDiv w:val="1"/>
      <w:marLeft w:val="0"/>
      <w:marRight w:val="0"/>
      <w:marTop w:val="0"/>
      <w:marBottom w:val="0"/>
      <w:divBdr>
        <w:top w:val="none" w:sz="0" w:space="0" w:color="auto"/>
        <w:left w:val="none" w:sz="0" w:space="0" w:color="auto"/>
        <w:bottom w:val="none" w:sz="0" w:space="0" w:color="auto"/>
        <w:right w:val="none" w:sz="0" w:space="0" w:color="auto"/>
      </w:divBdr>
    </w:div>
    <w:div w:id="1691954449">
      <w:bodyDiv w:val="1"/>
      <w:marLeft w:val="0"/>
      <w:marRight w:val="0"/>
      <w:marTop w:val="0"/>
      <w:marBottom w:val="0"/>
      <w:divBdr>
        <w:top w:val="none" w:sz="0" w:space="0" w:color="auto"/>
        <w:left w:val="none" w:sz="0" w:space="0" w:color="auto"/>
        <w:bottom w:val="none" w:sz="0" w:space="0" w:color="auto"/>
        <w:right w:val="none" w:sz="0" w:space="0" w:color="auto"/>
      </w:divBdr>
      <w:divsChild>
        <w:div w:id="1523320435">
          <w:marLeft w:val="0"/>
          <w:marRight w:val="0"/>
          <w:marTop w:val="0"/>
          <w:marBottom w:val="0"/>
          <w:divBdr>
            <w:top w:val="none" w:sz="0" w:space="0" w:color="auto"/>
            <w:left w:val="none" w:sz="0" w:space="0" w:color="auto"/>
            <w:bottom w:val="none" w:sz="0" w:space="0" w:color="auto"/>
            <w:right w:val="none" w:sz="0" w:space="0" w:color="auto"/>
          </w:divBdr>
          <w:divsChild>
            <w:div w:id="2057924698">
              <w:marLeft w:val="0"/>
              <w:marRight w:val="0"/>
              <w:marTop w:val="0"/>
              <w:marBottom w:val="0"/>
              <w:divBdr>
                <w:top w:val="none" w:sz="0" w:space="0" w:color="auto"/>
                <w:left w:val="none" w:sz="0" w:space="0" w:color="auto"/>
                <w:bottom w:val="none" w:sz="0" w:space="0" w:color="auto"/>
                <w:right w:val="none" w:sz="0" w:space="0" w:color="auto"/>
              </w:divBdr>
              <w:divsChild>
                <w:div w:id="500700224">
                  <w:marLeft w:val="0"/>
                  <w:marRight w:val="0"/>
                  <w:marTop w:val="0"/>
                  <w:marBottom w:val="0"/>
                  <w:divBdr>
                    <w:top w:val="none" w:sz="0" w:space="0" w:color="auto"/>
                    <w:left w:val="none" w:sz="0" w:space="0" w:color="auto"/>
                    <w:bottom w:val="none" w:sz="0" w:space="0" w:color="auto"/>
                    <w:right w:val="none" w:sz="0" w:space="0" w:color="auto"/>
                  </w:divBdr>
                  <w:divsChild>
                    <w:div w:id="866139658">
                      <w:marLeft w:val="0"/>
                      <w:marRight w:val="0"/>
                      <w:marTop w:val="0"/>
                      <w:marBottom w:val="0"/>
                      <w:divBdr>
                        <w:top w:val="none" w:sz="0" w:space="0" w:color="auto"/>
                        <w:left w:val="none" w:sz="0" w:space="0" w:color="auto"/>
                        <w:bottom w:val="none" w:sz="0" w:space="0" w:color="auto"/>
                        <w:right w:val="none" w:sz="0" w:space="0" w:color="auto"/>
                      </w:divBdr>
                      <w:divsChild>
                        <w:div w:id="1640499469">
                          <w:marLeft w:val="0"/>
                          <w:marRight w:val="0"/>
                          <w:marTop w:val="0"/>
                          <w:marBottom w:val="0"/>
                          <w:divBdr>
                            <w:top w:val="none" w:sz="0" w:space="0" w:color="auto"/>
                            <w:left w:val="none" w:sz="0" w:space="0" w:color="auto"/>
                            <w:bottom w:val="none" w:sz="0" w:space="0" w:color="auto"/>
                            <w:right w:val="none" w:sz="0" w:space="0" w:color="auto"/>
                          </w:divBdr>
                          <w:divsChild>
                            <w:div w:id="2006392476">
                              <w:marLeft w:val="0"/>
                              <w:marRight w:val="0"/>
                              <w:marTop w:val="0"/>
                              <w:marBottom w:val="0"/>
                              <w:divBdr>
                                <w:top w:val="none" w:sz="0" w:space="0" w:color="auto"/>
                                <w:left w:val="none" w:sz="0" w:space="0" w:color="auto"/>
                                <w:bottom w:val="none" w:sz="0" w:space="0" w:color="auto"/>
                                <w:right w:val="none" w:sz="0" w:space="0" w:color="auto"/>
                              </w:divBdr>
                              <w:divsChild>
                                <w:div w:id="1145313491">
                                  <w:marLeft w:val="0"/>
                                  <w:marRight w:val="0"/>
                                  <w:marTop w:val="0"/>
                                  <w:marBottom w:val="0"/>
                                  <w:divBdr>
                                    <w:top w:val="none" w:sz="0" w:space="0" w:color="auto"/>
                                    <w:left w:val="none" w:sz="0" w:space="0" w:color="auto"/>
                                    <w:bottom w:val="none" w:sz="0" w:space="0" w:color="auto"/>
                                    <w:right w:val="none" w:sz="0" w:space="0" w:color="auto"/>
                                  </w:divBdr>
                                  <w:divsChild>
                                    <w:div w:id="16249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97178">
      <w:bodyDiv w:val="1"/>
      <w:marLeft w:val="0"/>
      <w:marRight w:val="0"/>
      <w:marTop w:val="0"/>
      <w:marBottom w:val="0"/>
      <w:divBdr>
        <w:top w:val="none" w:sz="0" w:space="0" w:color="auto"/>
        <w:left w:val="none" w:sz="0" w:space="0" w:color="auto"/>
        <w:bottom w:val="none" w:sz="0" w:space="0" w:color="auto"/>
        <w:right w:val="none" w:sz="0" w:space="0" w:color="auto"/>
      </w:divBdr>
    </w:div>
    <w:div w:id="1732926741">
      <w:bodyDiv w:val="1"/>
      <w:marLeft w:val="0"/>
      <w:marRight w:val="0"/>
      <w:marTop w:val="0"/>
      <w:marBottom w:val="0"/>
      <w:divBdr>
        <w:top w:val="none" w:sz="0" w:space="0" w:color="auto"/>
        <w:left w:val="none" w:sz="0" w:space="0" w:color="auto"/>
        <w:bottom w:val="none" w:sz="0" w:space="0" w:color="auto"/>
        <w:right w:val="none" w:sz="0" w:space="0" w:color="auto"/>
      </w:divBdr>
    </w:div>
    <w:div w:id="1759060593">
      <w:bodyDiv w:val="1"/>
      <w:marLeft w:val="0"/>
      <w:marRight w:val="0"/>
      <w:marTop w:val="0"/>
      <w:marBottom w:val="0"/>
      <w:divBdr>
        <w:top w:val="none" w:sz="0" w:space="0" w:color="auto"/>
        <w:left w:val="none" w:sz="0" w:space="0" w:color="auto"/>
        <w:bottom w:val="none" w:sz="0" w:space="0" w:color="auto"/>
        <w:right w:val="none" w:sz="0" w:space="0" w:color="auto"/>
      </w:divBdr>
    </w:div>
    <w:div w:id="1938172203">
      <w:bodyDiv w:val="1"/>
      <w:marLeft w:val="0"/>
      <w:marRight w:val="0"/>
      <w:marTop w:val="0"/>
      <w:marBottom w:val="0"/>
      <w:divBdr>
        <w:top w:val="none" w:sz="0" w:space="0" w:color="auto"/>
        <w:left w:val="none" w:sz="0" w:space="0" w:color="auto"/>
        <w:bottom w:val="none" w:sz="0" w:space="0" w:color="auto"/>
        <w:right w:val="none" w:sz="0" w:space="0" w:color="auto"/>
      </w:divBdr>
      <w:divsChild>
        <w:div w:id="895581439">
          <w:marLeft w:val="0"/>
          <w:marRight w:val="0"/>
          <w:marTop w:val="0"/>
          <w:marBottom w:val="0"/>
          <w:divBdr>
            <w:top w:val="none" w:sz="0" w:space="0" w:color="auto"/>
            <w:left w:val="none" w:sz="0" w:space="0" w:color="auto"/>
            <w:bottom w:val="none" w:sz="0" w:space="0" w:color="auto"/>
            <w:right w:val="none" w:sz="0" w:space="0" w:color="auto"/>
          </w:divBdr>
          <w:divsChild>
            <w:div w:id="892738423">
              <w:marLeft w:val="0"/>
              <w:marRight w:val="0"/>
              <w:marTop w:val="0"/>
              <w:marBottom w:val="0"/>
              <w:divBdr>
                <w:top w:val="none" w:sz="0" w:space="0" w:color="auto"/>
                <w:left w:val="none" w:sz="0" w:space="0" w:color="auto"/>
                <w:bottom w:val="none" w:sz="0" w:space="0" w:color="auto"/>
                <w:right w:val="none" w:sz="0" w:space="0" w:color="auto"/>
              </w:divBdr>
              <w:divsChild>
                <w:div w:id="1453597343">
                  <w:marLeft w:val="0"/>
                  <w:marRight w:val="0"/>
                  <w:marTop w:val="0"/>
                  <w:marBottom w:val="0"/>
                  <w:divBdr>
                    <w:top w:val="none" w:sz="0" w:space="0" w:color="auto"/>
                    <w:left w:val="none" w:sz="0" w:space="0" w:color="auto"/>
                    <w:bottom w:val="none" w:sz="0" w:space="0" w:color="auto"/>
                    <w:right w:val="none" w:sz="0" w:space="0" w:color="auto"/>
                  </w:divBdr>
                  <w:divsChild>
                    <w:div w:id="585072040">
                      <w:marLeft w:val="0"/>
                      <w:marRight w:val="0"/>
                      <w:marTop w:val="0"/>
                      <w:marBottom w:val="0"/>
                      <w:divBdr>
                        <w:top w:val="none" w:sz="0" w:space="0" w:color="auto"/>
                        <w:left w:val="none" w:sz="0" w:space="0" w:color="auto"/>
                        <w:bottom w:val="none" w:sz="0" w:space="0" w:color="auto"/>
                        <w:right w:val="none" w:sz="0" w:space="0" w:color="auto"/>
                      </w:divBdr>
                      <w:divsChild>
                        <w:div w:id="1021469570">
                          <w:marLeft w:val="0"/>
                          <w:marRight w:val="0"/>
                          <w:marTop w:val="0"/>
                          <w:marBottom w:val="0"/>
                          <w:divBdr>
                            <w:top w:val="none" w:sz="0" w:space="0" w:color="auto"/>
                            <w:left w:val="none" w:sz="0" w:space="0" w:color="auto"/>
                            <w:bottom w:val="none" w:sz="0" w:space="0" w:color="auto"/>
                            <w:right w:val="none" w:sz="0" w:space="0" w:color="auto"/>
                          </w:divBdr>
                          <w:divsChild>
                            <w:div w:id="1124926145">
                              <w:marLeft w:val="0"/>
                              <w:marRight w:val="0"/>
                              <w:marTop w:val="0"/>
                              <w:marBottom w:val="0"/>
                              <w:divBdr>
                                <w:top w:val="none" w:sz="0" w:space="0" w:color="auto"/>
                                <w:left w:val="none" w:sz="0" w:space="0" w:color="auto"/>
                                <w:bottom w:val="none" w:sz="0" w:space="0" w:color="auto"/>
                                <w:right w:val="none" w:sz="0" w:space="0" w:color="auto"/>
                              </w:divBdr>
                              <w:divsChild>
                                <w:div w:id="603732307">
                                  <w:marLeft w:val="0"/>
                                  <w:marRight w:val="0"/>
                                  <w:marTop w:val="0"/>
                                  <w:marBottom w:val="0"/>
                                  <w:divBdr>
                                    <w:top w:val="none" w:sz="0" w:space="0" w:color="auto"/>
                                    <w:left w:val="none" w:sz="0" w:space="0" w:color="auto"/>
                                    <w:bottom w:val="none" w:sz="0" w:space="0" w:color="auto"/>
                                    <w:right w:val="none" w:sz="0" w:space="0" w:color="auto"/>
                                  </w:divBdr>
                                  <w:divsChild>
                                    <w:div w:id="1253973018">
                                      <w:marLeft w:val="0"/>
                                      <w:marRight w:val="0"/>
                                      <w:marTop w:val="0"/>
                                      <w:marBottom w:val="0"/>
                                      <w:divBdr>
                                        <w:top w:val="none" w:sz="0" w:space="0" w:color="auto"/>
                                        <w:left w:val="none" w:sz="0" w:space="0" w:color="auto"/>
                                        <w:bottom w:val="none" w:sz="0" w:space="0" w:color="auto"/>
                                        <w:right w:val="none" w:sz="0" w:space="0" w:color="auto"/>
                                      </w:divBdr>
                                      <w:divsChild>
                                        <w:div w:id="825320199">
                                          <w:marLeft w:val="0"/>
                                          <w:marRight w:val="0"/>
                                          <w:marTop w:val="0"/>
                                          <w:marBottom w:val="0"/>
                                          <w:divBdr>
                                            <w:top w:val="none" w:sz="0" w:space="0" w:color="auto"/>
                                            <w:left w:val="none" w:sz="0" w:space="0" w:color="auto"/>
                                            <w:bottom w:val="none" w:sz="0" w:space="0" w:color="auto"/>
                                            <w:right w:val="none" w:sz="0" w:space="0" w:color="auto"/>
                                          </w:divBdr>
                                        </w:div>
                                        <w:div w:id="501313833">
                                          <w:marLeft w:val="0"/>
                                          <w:marRight w:val="0"/>
                                          <w:marTop w:val="0"/>
                                          <w:marBottom w:val="0"/>
                                          <w:divBdr>
                                            <w:top w:val="none" w:sz="0" w:space="0" w:color="auto"/>
                                            <w:left w:val="none" w:sz="0" w:space="0" w:color="auto"/>
                                            <w:bottom w:val="none" w:sz="0" w:space="0" w:color="auto"/>
                                            <w:right w:val="none" w:sz="0" w:space="0" w:color="auto"/>
                                          </w:divBdr>
                                        </w:div>
                                        <w:div w:id="1698576167">
                                          <w:marLeft w:val="0"/>
                                          <w:marRight w:val="0"/>
                                          <w:marTop w:val="0"/>
                                          <w:marBottom w:val="0"/>
                                          <w:divBdr>
                                            <w:top w:val="none" w:sz="0" w:space="0" w:color="auto"/>
                                            <w:left w:val="none" w:sz="0" w:space="0" w:color="auto"/>
                                            <w:bottom w:val="none" w:sz="0" w:space="0" w:color="auto"/>
                                            <w:right w:val="none" w:sz="0" w:space="0" w:color="auto"/>
                                          </w:divBdr>
                                        </w:div>
                                        <w:div w:id="2062318173">
                                          <w:marLeft w:val="0"/>
                                          <w:marRight w:val="0"/>
                                          <w:marTop w:val="0"/>
                                          <w:marBottom w:val="0"/>
                                          <w:divBdr>
                                            <w:top w:val="none" w:sz="0" w:space="0" w:color="auto"/>
                                            <w:left w:val="none" w:sz="0" w:space="0" w:color="auto"/>
                                            <w:bottom w:val="none" w:sz="0" w:space="0" w:color="auto"/>
                                            <w:right w:val="none" w:sz="0" w:space="0" w:color="auto"/>
                                          </w:divBdr>
                                        </w:div>
                                        <w:div w:id="1660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052856">
      <w:bodyDiv w:val="1"/>
      <w:marLeft w:val="0"/>
      <w:marRight w:val="0"/>
      <w:marTop w:val="0"/>
      <w:marBottom w:val="0"/>
      <w:divBdr>
        <w:top w:val="none" w:sz="0" w:space="0" w:color="auto"/>
        <w:left w:val="none" w:sz="0" w:space="0" w:color="auto"/>
        <w:bottom w:val="none" w:sz="0" w:space="0" w:color="auto"/>
        <w:right w:val="none" w:sz="0" w:space="0" w:color="auto"/>
      </w:divBdr>
      <w:divsChild>
        <w:div w:id="30501018">
          <w:marLeft w:val="0"/>
          <w:marRight w:val="0"/>
          <w:marTop w:val="0"/>
          <w:marBottom w:val="0"/>
          <w:divBdr>
            <w:top w:val="none" w:sz="0" w:space="0" w:color="auto"/>
            <w:left w:val="none" w:sz="0" w:space="0" w:color="auto"/>
            <w:bottom w:val="none" w:sz="0" w:space="0" w:color="auto"/>
            <w:right w:val="none" w:sz="0" w:space="0" w:color="auto"/>
          </w:divBdr>
          <w:divsChild>
            <w:div w:id="1831022555">
              <w:marLeft w:val="0"/>
              <w:marRight w:val="0"/>
              <w:marTop w:val="0"/>
              <w:marBottom w:val="0"/>
              <w:divBdr>
                <w:top w:val="none" w:sz="0" w:space="0" w:color="auto"/>
                <w:left w:val="none" w:sz="0" w:space="0" w:color="auto"/>
                <w:bottom w:val="none" w:sz="0" w:space="0" w:color="auto"/>
                <w:right w:val="none" w:sz="0" w:space="0" w:color="auto"/>
              </w:divBdr>
              <w:divsChild>
                <w:div w:id="1844930373">
                  <w:marLeft w:val="0"/>
                  <w:marRight w:val="0"/>
                  <w:marTop w:val="0"/>
                  <w:marBottom w:val="0"/>
                  <w:divBdr>
                    <w:top w:val="none" w:sz="0" w:space="0" w:color="auto"/>
                    <w:left w:val="none" w:sz="0" w:space="0" w:color="auto"/>
                    <w:bottom w:val="none" w:sz="0" w:space="0" w:color="auto"/>
                    <w:right w:val="none" w:sz="0" w:space="0" w:color="auto"/>
                  </w:divBdr>
                  <w:divsChild>
                    <w:div w:id="948052070">
                      <w:marLeft w:val="0"/>
                      <w:marRight w:val="0"/>
                      <w:marTop w:val="0"/>
                      <w:marBottom w:val="0"/>
                      <w:divBdr>
                        <w:top w:val="none" w:sz="0" w:space="0" w:color="auto"/>
                        <w:left w:val="none" w:sz="0" w:space="0" w:color="auto"/>
                        <w:bottom w:val="none" w:sz="0" w:space="0" w:color="auto"/>
                        <w:right w:val="none" w:sz="0" w:space="0" w:color="auto"/>
                      </w:divBdr>
                      <w:divsChild>
                        <w:div w:id="128773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6665158">
      <w:bodyDiv w:val="1"/>
      <w:marLeft w:val="0"/>
      <w:marRight w:val="0"/>
      <w:marTop w:val="0"/>
      <w:marBottom w:val="0"/>
      <w:divBdr>
        <w:top w:val="none" w:sz="0" w:space="0" w:color="auto"/>
        <w:left w:val="none" w:sz="0" w:space="0" w:color="auto"/>
        <w:bottom w:val="none" w:sz="0" w:space="0" w:color="auto"/>
        <w:right w:val="none" w:sz="0" w:space="0" w:color="auto"/>
      </w:divBdr>
    </w:div>
    <w:div w:id="212082788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39">
          <w:marLeft w:val="0"/>
          <w:marRight w:val="0"/>
          <w:marTop w:val="0"/>
          <w:marBottom w:val="0"/>
          <w:divBdr>
            <w:top w:val="none" w:sz="0" w:space="0" w:color="auto"/>
            <w:left w:val="none" w:sz="0" w:space="0" w:color="auto"/>
            <w:bottom w:val="none" w:sz="0" w:space="0" w:color="auto"/>
            <w:right w:val="none" w:sz="0" w:space="0" w:color="auto"/>
          </w:divBdr>
          <w:divsChild>
            <w:div w:id="428621705">
              <w:marLeft w:val="0"/>
              <w:marRight w:val="0"/>
              <w:marTop w:val="0"/>
              <w:marBottom w:val="0"/>
              <w:divBdr>
                <w:top w:val="none" w:sz="0" w:space="0" w:color="auto"/>
                <w:left w:val="none" w:sz="0" w:space="0" w:color="auto"/>
                <w:bottom w:val="none" w:sz="0" w:space="0" w:color="auto"/>
                <w:right w:val="none" w:sz="0" w:space="0" w:color="auto"/>
              </w:divBdr>
              <w:divsChild>
                <w:div w:id="1815102252">
                  <w:marLeft w:val="0"/>
                  <w:marRight w:val="0"/>
                  <w:marTop w:val="0"/>
                  <w:marBottom w:val="0"/>
                  <w:divBdr>
                    <w:top w:val="none" w:sz="0" w:space="0" w:color="auto"/>
                    <w:left w:val="none" w:sz="0" w:space="0" w:color="auto"/>
                    <w:bottom w:val="none" w:sz="0" w:space="0" w:color="auto"/>
                    <w:right w:val="none" w:sz="0" w:space="0" w:color="auto"/>
                  </w:divBdr>
                  <w:divsChild>
                    <w:div w:id="1761755263">
                      <w:marLeft w:val="0"/>
                      <w:marRight w:val="0"/>
                      <w:marTop w:val="0"/>
                      <w:marBottom w:val="0"/>
                      <w:divBdr>
                        <w:top w:val="none" w:sz="0" w:space="0" w:color="auto"/>
                        <w:left w:val="none" w:sz="0" w:space="0" w:color="auto"/>
                        <w:bottom w:val="none" w:sz="0" w:space="0" w:color="auto"/>
                        <w:right w:val="none" w:sz="0" w:space="0" w:color="auto"/>
                      </w:divBdr>
                      <w:divsChild>
                        <w:div w:id="10077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Jansons@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7.6515972222222423E-2"/>
          <c:y val="3.5645370370372416E-2"/>
          <c:w val="0.8884930555555578"/>
          <c:h val="0.79702083333334273"/>
        </c:manualLayout>
      </c:layout>
      <c:lineChart>
        <c:grouping val="standard"/>
        <c:ser>
          <c:idx val="0"/>
          <c:order val="0"/>
          <c:tx>
            <c:strRef>
              <c:f>Sheet1!$C$1</c:f>
              <c:strCache>
                <c:ptCount val="1"/>
                <c:pt idx="0">
                  <c:v>EKSPORTS</c:v>
                </c:pt>
              </c:strCache>
            </c:strRef>
          </c:tx>
          <c:spPr>
            <a:ln w="50800">
              <a:solidFill>
                <a:srgbClr val="7E0000"/>
              </a:solidFill>
              <a:prstDash val="solid"/>
            </a:ln>
          </c:spPr>
          <c:marker>
            <c:symbol val="none"/>
          </c:marker>
          <c:cat>
            <c:multiLvlStrRef>
              <c:f>Sheet1!$A$2:$B$26</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2005</c:v>
                  </c:pt>
                  <c:pt idx="4">
                    <c:v>2006</c:v>
                  </c:pt>
                  <c:pt idx="8">
                    <c:v>2007</c:v>
                  </c:pt>
                  <c:pt idx="12">
                    <c:v>2008</c:v>
                  </c:pt>
                  <c:pt idx="16">
                    <c:v>2009</c:v>
                  </c:pt>
                  <c:pt idx="20">
                    <c:v>2010</c:v>
                  </c:pt>
                  <c:pt idx="24">
                    <c:v>2011</c:v>
                  </c:pt>
                </c:lvl>
              </c:multiLvlStrCache>
            </c:multiLvlStrRef>
          </c:cat>
          <c:val>
            <c:numRef>
              <c:f>Sheet1!$C$2:$C$26</c:f>
              <c:numCache>
                <c:formatCode>0</c:formatCode>
                <c:ptCount val="25"/>
                <c:pt idx="0">
                  <c:v>629</c:v>
                </c:pt>
                <c:pt idx="1">
                  <c:v>725</c:v>
                </c:pt>
                <c:pt idx="2">
                  <c:v>736</c:v>
                </c:pt>
                <c:pt idx="3">
                  <c:v>799</c:v>
                </c:pt>
                <c:pt idx="4">
                  <c:v>730</c:v>
                </c:pt>
                <c:pt idx="5">
                  <c:v>829</c:v>
                </c:pt>
                <c:pt idx="6">
                  <c:v>846</c:v>
                </c:pt>
                <c:pt idx="7">
                  <c:v>889</c:v>
                </c:pt>
                <c:pt idx="8">
                  <c:v>908</c:v>
                </c:pt>
                <c:pt idx="9">
                  <c:v>1015</c:v>
                </c:pt>
                <c:pt idx="10">
                  <c:v>1027</c:v>
                </c:pt>
                <c:pt idx="11">
                  <c:v>1091</c:v>
                </c:pt>
                <c:pt idx="12" formatCode="General">
                  <c:v>1074</c:v>
                </c:pt>
                <c:pt idx="13" formatCode="General">
                  <c:v>1139</c:v>
                </c:pt>
                <c:pt idx="14" formatCode="General">
                  <c:v>1183</c:v>
                </c:pt>
                <c:pt idx="15" formatCode="General">
                  <c:v>1033</c:v>
                </c:pt>
                <c:pt idx="16">
                  <c:v>819</c:v>
                </c:pt>
                <c:pt idx="17">
                  <c:v>855</c:v>
                </c:pt>
                <c:pt idx="18">
                  <c:v>912</c:v>
                </c:pt>
                <c:pt idx="19">
                  <c:v>1016</c:v>
                </c:pt>
                <c:pt idx="20">
                  <c:v>942.19999999999993</c:v>
                </c:pt>
                <c:pt idx="21">
                  <c:v>1137.4000000000001</c:v>
                </c:pt>
                <c:pt idx="22">
                  <c:v>1287.4000000000001</c:v>
                </c:pt>
                <c:pt idx="23">
                  <c:v>1335.8999999999999</c:v>
                </c:pt>
                <c:pt idx="24">
                  <c:v>1330.1</c:v>
                </c:pt>
              </c:numCache>
            </c:numRef>
          </c:val>
          <c:smooth val="1"/>
        </c:ser>
        <c:ser>
          <c:idx val="1"/>
          <c:order val="1"/>
          <c:tx>
            <c:strRef>
              <c:f>Sheet1!$D$1</c:f>
              <c:strCache>
                <c:ptCount val="1"/>
                <c:pt idx="0">
                  <c:v>IMPORTS</c:v>
                </c:pt>
              </c:strCache>
            </c:strRef>
          </c:tx>
          <c:spPr>
            <a:ln w="50800">
              <a:solidFill>
                <a:srgbClr val="002060"/>
              </a:solidFill>
              <a:prstDash val="solid"/>
            </a:ln>
          </c:spPr>
          <c:marker>
            <c:symbol val="none"/>
          </c:marker>
          <c:cat>
            <c:multiLvlStrRef>
              <c:f>Sheet1!$A$2:$B$26</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2005</c:v>
                  </c:pt>
                  <c:pt idx="4">
                    <c:v>2006</c:v>
                  </c:pt>
                  <c:pt idx="8">
                    <c:v>2007</c:v>
                  </c:pt>
                  <c:pt idx="12">
                    <c:v>2008</c:v>
                  </c:pt>
                  <c:pt idx="16">
                    <c:v>2009</c:v>
                  </c:pt>
                  <c:pt idx="20">
                    <c:v>2010</c:v>
                  </c:pt>
                  <c:pt idx="24">
                    <c:v>2011</c:v>
                  </c:pt>
                </c:lvl>
              </c:multiLvlStrCache>
            </c:multiLvlStrRef>
          </c:cat>
          <c:val>
            <c:numRef>
              <c:f>Sheet1!$D$2:$D$26</c:f>
              <c:numCache>
                <c:formatCode>0</c:formatCode>
                <c:ptCount val="25"/>
                <c:pt idx="0">
                  <c:v>1000</c:v>
                </c:pt>
                <c:pt idx="1">
                  <c:v>1176</c:v>
                </c:pt>
                <c:pt idx="2">
                  <c:v>1242</c:v>
                </c:pt>
                <c:pt idx="3">
                  <c:v>1449</c:v>
                </c:pt>
                <c:pt idx="4">
                  <c:v>1319</c:v>
                </c:pt>
                <c:pt idx="5">
                  <c:v>1532</c:v>
                </c:pt>
                <c:pt idx="6">
                  <c:v>1667</c:v>
                </c:pt>
                <c:pt idx="7">
                  <c:v>1860</c:v>
                </c:pt>
                <c:pt idx="8">
                  <c:v>1783</c:v>
                </c:pt>
                <c:pt idx="9">
                  <c:v>1961</c:v>
                </c:pt>
                <c:pt idx="10">
                  <c:v>2038</c:v>
                </c:pt>
                <c:pt idx="11">
                  <c:v>1997</c:v>
                </c:pt>
                <c:pt idx="12" formatCode="General">
                  <c:v>1876</c:v>
                </c:pt>
                <c:pt idx="13" formatCode="General">
                  <c:v>1935</c:v>
                </c:pt>
                <c:pt idx="14" formatCode="General">
                  <c:v>1983</c:v>
                </c:pt>
                <c:pt idx="15" formatCode="General">
                  <c:v>1734</c:v>
                </c:pt>
                <c:pt idx="16">
                  <c:v>1205</c:v>
                </c:pt>
                <c:pt idx="17">
                  <c:v>1106</c:v>
                </c:pt>
                <c:pt idx="18">
                  <c:v>1173</c:v>
                </c:pt>
                <c:pt idx="19">
                  <c:v>1225</c:v>
                </c:pt>
                <c:pt idx="20">
                  <c:v>1184.0999999999999</c:v>
                </c:pt>
                <c:pt idx="21">
                  <c:v>1428.7</c:v>
                </c:pt>
                <c:pt idx="22">
                  <c:v>1612.3</c:v>
                </c:pt>
                <c:pt idx="23">
                  <c:v>1747</c:v>
                </c:pt>
                <c:pt idx="24">
                  <c:v>1604.2</c:v>
                </c:pt>
              </c:numCache>
            </c:numRef>
          </c:val>
          <c:smooth val="1"/>
        </c:ser>
        <c:ser>
          <c:idx val="2"/>
          <c:order val="2"/>
          <c:tx>
            <c:strRef>
              <c:f>Sheet1!$E$1</c:f>
              <c:strCache>
                <c:ptCount val="1"/>
                <c:pt idx="0">
                  <c:v>e</c:v>
                </c:pt>
              </c:strCache>
            </c:strRef>
          </c:tx>
          <c:spPr>
            <a:ln w="38100">
              <a:solidFill>
                <a:srgbClr val="7E0000"/>
              </a:solidFill>
              <a:prstDash val="dash"/>
            </a:ln>
          </c:spPr>
          <c:marker>
            <c:symbol val="none"/>
          </c:marker>
          <c:cat>
            <c:multiLvlStrRef>
              <c:f>Sheet1!$A$2:$B$26</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2005</c:v>
                  </c:pt>
                  <c:pt idx="4">
                    <c:v>2006</c:v>
                  </c:pt>
                  <c:pt idx="8">
                    <c:v>2007</c:v>
                  </c:pt>
                  <c:pt idx="12">
                    <c:v>2008</c:v>
                  </c:pt>
                  <c:pt idx="16">
                    <c:v>2009</c:v>
                  </c:pt>
                  <c:pt idx="20">
                    <c:v>2010</c:v>
                  </c:pt>
                  <c:pt idx="24">
                    <c:v>2011</c:v>
                  </c:pt>
                </c:lvl>
              </c:multiLvlStrCache>
            </c:multiLvlStrRef>
          </c:cat>
          <c:val>
            <c:numRef>
              <c:f>Sheet1!$E$2:$E$26</c:f>
              <c:numCache>
                <c:formatCode>General</c:formatCode>
                <c:ptCount val="25"/>
                <c:pt idx="14">
                  <c:v>1330.1</c:v>
                </c:pt>
                <c:pt idx="15">
                  <c:v>1330.1</c:v>
                </c:pt>
                <c:pt idx="16">
                  <c:v>1330.1</c:v>
                </c:pt>
                <c:pt idx="17">
                  <c:v>1330.1</c:v>
                </c:pt>
                <c:pt idx="18">
                  <c:v>1330.1</c:v>
                </c:pt>
                <c:pt idx="19">
                  <c:v>1330.1</c:v>
                </c:pt>
                <c:pt idx="20">
                  <c:v>1330.1</c:v>
                </c:pt>
                <c:pt idx="21">
                  <c:v>1330.1</c:v>
                </c:pt>
                <c:pt idx="22">
                  <c:v>1330.1</c:v>
                </c:pt>
                <c:pt idx="23">
                  <c:v>1330.1</c:v>
                </c:pt>
                <c:pt idx="24">
                  <c:v>1330.1</c:v>
                </c:pt>
              </c:numCache>
            </c:numRef>
          </c:val>
        </c:ser>
        <c:ser>
          <c:idx val="3"/>
          <c:order val="3"/>
          <c:tx>
            <c:strRef>
              <c:f>Sheet1!$F$1</c:f>
              <c:strCache>
                <c:ptCount val="1"/>
                <c:pt idx="0">
                  <c:v>i</c:v>
                </c:pt>
              </c:strCache>
            </c:strRef>
          </c:tx>
          <c:spPr>
            <a:ln w="38100">
              <a:solidFill>
                <a:srgbClr val="002060"/>
              </a:solidFill>
              <a:prstDash val="dash"/>
            </a:ln>
          </c:spPr>
          <c:marker>
            <c:symbol val="none"/>
          </c:marker>
          <c:cat>
            <c:multiLvlStrRef>
              <c:f>Sheet1!$A$2:$B$26</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2005</c:v>
                  </c:pt>
                  <c:pt idx="4">
                    <c:v>2006</c:v>
                  </c:pt>
                  <c:pt idx="8">
                    <c:v>2007</c:v>
                  </c:pt>
                  <c:pt idx="12">
                    <c:v>2008</c:v>
                  </c:pt>
                  <c:pt idx="16">
                    <c:v>2009</c:v>
                  </c:pt>
                  <c:pt idx="20">
                    <c:v>2010</c:v>
                  </c:pt>
                  <c:pt idx="24">
                    <c:v>2011</c:v>
                  </c:pt>
                </c:lvl>
              </c:multiLvlStrCache>
            </c:multiLvlStrRef>
          </c:cat>
          <c:val>
            <c:numRef>
              <c:f>Sheet1!$F$2:$F$26</c:f>
              <c:numCache>
                <c:formatCode>General</c:formatCode>
                <c:ptCount val="25"/>
                <c:pt idx="6">
                  <c:v>1604.2</c:v>
                </c:pt>
                <c:pt idx="7">
                  <c:v>1604.2</c:v>
                </c:pt>
                <c:pt idx="8">
                  <c:v>1604.2</c:v>
                </c:pt>
                <c:pt idx="9">
                  <c:v>1604.2</c:v>
                </c:pt>
                <c:pt idx="10">
                  <c:v>1604.2</c:v>
                </c:pt>
                <c:pt idx="11">
                  <c:v>1604.2</c:v>
                </c:pt>
                <c:pt idx="12">
                  <c:v>1604.2</c:v>
                </c:pt>
                <c:pt idx="13">
                  <c:v>1604.2</c:v>
                </c:pt>
                <c:pt idx="14">
                  <c:v>1604.2</c:v>
                </c:pt>
                <c:pt idx="15">
                  <c:v>1604.2</c:v>
                </c:pt>
                <c:pt idx="16">
                  <c:v>1604.2</c:v>
                </c:pt>
                <c:pt idx="17">
                  <c:v>1604.2</c:v>
                </c:pt>
                <c:pt idx="18">
                  <c:v>1604.2</c:v>
                </c:pt>
                <c:pt idx="19">
                  <c:v>1604.2</c:v>
                </c:pt>
                <c:pt idx="20">
                  <c:v>1604.2</c:v>
                </c:pt>
                <c:pt idx="21">
                  <c:v>1604.2</c:v>
                </c:pt>
                <c:pt idx="22">
                  <c:v>1604.2</c:v>
                </c:pt>
                <c:pt idx="23">
                  <c:v>1604.2</c:v>
                </c:pt>
                <c:pt idx="24">
                  <c:v>1604.2</c:v>
                </c:pt>
              </c:numCache>
            </c:numRef>
          </c:val>
        </c:ser>
        <c:marker val="1"/>
        <c:axId val="64587264"/>
        <c:axId val="64615168"/>
      </c:lineChart>
      <c:catAx>
        <c:axId val="64587264"/>
        <c:scaling>
          <c:orientation val="minMax"/>
        </c:scaling>
        <c:axPos val="b"/>
        <c:numFmt formatCode="General" sourceLinked="1"/>
        <c:tickLblPos val="nextTo"/>
        <c:spPr>
          <a:ln w="3175">
            <a:solidFill>
              <a:sysClr val="windowText" lastClr="000000"/>
            </a:solidFill>
            <a:prstDash val="solid"/>
          </a:ln>
        </c:spPr>
        <c:txPr>
          <a:bodyPr rot="0" vert="horz"/>
          <a:lstStyle/>
          <a:p>
            <a:pPr>
              <a:defRPr/>
            </a:pPr>
            <a:endParaRPr lang="lv-LV"/>
          </a:p>
        </c:txPr>
        <c:crossAx val="64615168"/>
        <c:crosses val="autoZero"/>
        <c:lblAlgn val="ctr"/>
        <c:lblOffset val="0"/>
        <c:tickLblSkip val="1"/>
        <c:tickMarkSkip val="1"/>
        <c:noMultiLvlLbl val="1"/>
      </c:catAx>
      <c:valAx>
        <c:axId val="64615168"/>
        <c:scaling>
          <c:orientation val="minMax"/>
          <c:max val="2100"/>
          <c:min val="0"/>
        </c:scaling>
        <c:axPos val="l"/>
        <c:numFmt formatCode="0" sourceLinked="1"/>
        <c:tickLblPos val="nextTo"/>
        <c:spPr>
          <a:ln w="3175">
            <a:solidFill>
              <a:sysClr val="windowText" lastClr="000000"/>
            </a:solidFill>
            <a:prstDash val="solid"/>
          </a:ln>
        </c:spPr>
        <c:txPr>
          <a:bodyPr rot="0" vert="horz"/>
          <a:lstStyle/>
          <a:p>
            <a:pPr>
              <a:defRPr/>
            </a:pPr>
            <a:endParaRPr lang="lv-LV"/>
          </a:p>
        </c:txPr>
        <c:crossAx val="64587264"/>
        <c:crosses val="autoZero"/>
        <c:crossBetween val="midCat"/>
        <c:majorUnit val="400"/>
        <c:minorUnit val="80"/>
      </c:valAx>
      <c:spPr>
        <a:noFill/>
        <a:ln w="25400">
          <a:noFill/>
        </a:ln>
      </c:spPr>
    </c:plotArea>
    <c:plotVisOnly val="1"/>
    <c:dispBlanksAs val="gap"/>
  </c:chart>
  <c:spPr>
    <a:noFill/>
    <a:ln>
      <a:noFill/>
    </a:ln>
  </c:spPr>
  <c:txPr>
    <a:bodyPr/>
    <a:lstStyle/>
    <a:p>
      <a:pPr>
        <a:defRPr sz="1200" b="0" i="0" u="none" strike="noStrike" baseline="0">
          <a:solidFill>
            <a:srgbClr val="000000"/>
          </a:solidFill>
          <a:latin typeface="Times New Roman" pitchFamily="18" charset="0"/>
          <a:ea typeface="Arial"/>
          <a:cs typeface="Times New Roman" pitchFamily="18" charset="0"/>
        </a:defRPr>
      </a:pPr>
      <a:endParaRPr lang="lv-LV"/>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style val="4"/>
  <c:chart>
    <c:plotArea>
      <c:layout/>
      <c:barChart>
        <c:barDir val="col"/>
        <c:grouping val="stacked"/>
        <c:ser>
          <c:idx val="0"/>
          <c:order val="0"/>
          <c:tx>
            <c:strRef>
              <c:f>Sheet1!$B$1</c:f>
              <c:strCache>
                <c:ptCount val="1"/>
                <c:pt idx="0">
                  <c:v>Ārvalstu</c:v>
                </c:pt>
              </c:strCache>
            </c:strRef>
          </c:tx>
          <c:dLbls>
            <c:txPr>
              <a:bodyPr/>
              <a:lstStyle/>
              <a:p>
                <a:pPr>
                  <a:defRPr sz="999" b="0" i="0" u="none" strike="noStrike" baseline="0">
                    <a:solidFill>
                      <a:srgbClr val="000000"/>
                    </a:solidFill>
                    <a:latin typeface="Times New Roman" pitchFamily="18" charset="0"/>
                    <a:ea typeface="Calibri"/>
                    <a:cs typeface="Times New Roman" pitchFamily="18" charset="0"/>
                  </a:defRPr>
                </a:pPr>
                <a:endParaRPr lang="lv-LV"/>
              </a:p>
            </c:txPr>
            <c:showVal val="1"/>
          </c:dLbls>
          <c:cat>
            <c:numRef>
              <c:f>Sheet1!$A$2:$A$8</c:f>
              <c:numCache>
                <c:formatCode>General</c:formatCode>
                <c:ptCount val="7"/>
                <c:pt idx="0">
                  <c:v>2003</c:v>
                </c:pt>
                <c:pt idx="1">
                  <c:v>2004</c:v>
                </c:pt>
                <c:pt idx="2">
                  <c:v>2005</c:v>
                </c:pt>
                <c:pt idx="3">
                  <c:v>2006</c:v>
                </c:pt>
                <c:pt idx="4">
                  <c:v>2007</c:v>
                </c:pt>
                <c:pt idx="5">
                  <c:v>2008</c:v>
                </c:pt>
                <c:pt idx="6">
                  <c:v>2009</c:v>
                </c:pt>
              </c:numCache>
            </c:numRef>
          </c:cat>
          <c:val>
            <c:numRef>
              <c:f>Sheet1!$B$2:$B$8</c:f>
              <c:numCache>
                <c:formatCode>General</c:formatCode>
                <c:ptCount val="7"/>
                <c:pt idx="0">
                  <c:v>8.0000000000000127E-2</c:v>
                </c:pt>
                <c:pt idx="1">
                  <c:v>9.0000000000000066E-2</c:v>
                </c:pt>
                <c:pt idx="2">
                  <c:v>0.1</c:v>
                </c:pt>
                <c:pt idx="3">
                  <c:v>5.0000000000000093E-2</c:v>
                </c:pt>
                <c:pt idx="4">
                  <c:v>7.0000000000000034E-2</c:v>
                </c:pt>
                <c:pt idx="5">
                  <c:v>0.14000000000000001</c:v>
                </c:pt>
                <c:pt idx="6">
                  <c:v>7.0000000000000034E-2</c:v>
                </c:pt>
              </c:numCache>
            </c:numRef>
          </c:val>
        </c:ser>
        <c:ser>
          <c:idx val="1"/>
          <c:order val="1"/>
          <c:tx>
            <c:strRef>
              <c:f>Sheet1!$C$1</c:f>
              <c:strCache>
                <c:ptCount val="1"/>
                <c:pt idx="0">
                  <c:v>Valsts un augstskolu</c:v>
                </c:pt>
              </c:strCache>
            </c:strRef>
          </c:tx>
          <c:dLbls>
            <c:txPr>
              <a:bodyPr/>
              <a:lstStyle/>
              <a:p>
                <a:pPr>
                  <a:defRPr sz="999" b="0" i="0" u="none" strike="noStrike" baseline="0">
                    <a:solidFill>
                      <a:srgbClr val="000000"/>
                    </a:solidFill>
                    <a:latin typeface="Times New Roman" pitchFamily="18" charset="0"/>
                    <a:ea typeface="Calibri"/>
                    <a:cs typeface="Times New Roman" pitchFamily="18" charset="0"/>
                  </a:defRPr>
                </a:pPr>
                <a:endParaRPr lang="lv-LV"/>
              </a:p>
            </c:txPr>
            <c:showVal val="1"/>
          </c:dLbls>
          <c:cat>
            <c:numRef>
              <c:f>Sheet1!$A$2:$A$8</c:f>
              <c:numCache>
                <c:formatCode>General</c:formatCode>
                <c:ptCount val="7"/>
                <c:pt idx="0">
                  <c:v>2003</c:v>
                </c:pt>
                <c:pt idx="1">
                  <c:v>2004</c:v>
                </c:pt>
                <c:pt idx="2">
                  <c:v>2005</c:v>
                </c:pt>
                <c:pt idx="3">
                  <c:v>2006</c:v>
                </c:pt>
                <c:pt idx="4">
                  <c:v>2007</c:v>
                </c:pt>
                <c:pt idx="5">
                  <c:v>2008</c:v>
                </c:pt>
                <c:pt idx="6">
                  <c:v>2009</c:v>
                </c:pt>
              </c:numCache>
            </c:numRef>
          </c:cat>
          <c:val>
            <c:numRef>
              <c:f>Sheet1!$C$2:$C$8</c:f>
              <c:numCache>
                <c:formatCode>General</c:formatCode>
                <c:ptCount val="7"/>
                <c:pt idx="0">
                  <c:v>0.18000000000000024</c:v>
                </c:pt>
                <c:pt idx="1">
                  <c:v>0.13</c:v>
                </c:pt>
                <c:pt idx="2">
                  <c:v>0.27</c:v>
                </c:pt>
                <c:pt idx="3">
                  <c:v>0.28000000000000008</c:v>
                </c:pt>
                <c:pt idx="4">
                  <c:v>0.30000000000000032</c:v>
                </c:pt>
                <c:pt idx="5">
                  <c:v>0.30000000000000032</c:v>
                </c:pt>
                <c:pt idx="6">
                  <c:v>0.2</c:v>
                </c:pt>
              </c:numCache>
            </c:numRef>
          </c:val>
        </c:ser>
        <c:ser>
          <c:idx val="2"/>
          <c:order val="2"/>
          <c:tx>
            <c:strRef>
              <c:f>Sheet1!$D$1</c:f>
              <c:strCache>
                <c:ptCount val="1"/>
                <c:pt idx="0">
                  <c:v>Uzņēmumu</c:v>
                </c:pt>
              </c:strCache>
            </c:strRef>
          </c:tx>
          <c:dLbls>
            <c:txPr>
              <a:bodyPr/>
              <a:lstStyle/>
              <a:p>
                <a:pPr>
                  <a:defRPr sz="999" b="0" i="0" u="none" strike="noStrike" baseline="0">
                    <a:solidFill>
                      <a:srgbClr val="000000"/>
                    </a:solidFill>
                    <a:latin typeface="Times New Roman" pitchFamily="18" charset="0"/>
                    <a:ea typeface="Calibri"/>
                    <a:cs typeface="Times New Roman" pitchFamily="18" charset="0"/>
                  </a:defRPr>
                </a:pPr>
                <a:endParaRPr lang="lv-LV"/>
              </a:p>
            </c:txPr>
            <c:showVal val="1"/>
          </c:dLbls>
          <c:cat>
            <c:numRef>
              <c:f>Sheet1!$A$2:$A$8</c:f>
              <c:numCache>
                <c:formatCode>General</c:formatCode>
                <c:ptCount val="7"/>
                <c:pt idx="0">
                  <c:v>2003</c:v>
                </c:pt>
                <c:pt idx="1">
                  <c:v>2004</c:v>
                </c:pt>
                <c:pt idx="2">
                  <c:v>2005</c:v>
                </c:pt>
                <c:pt idx="3">
                  <c:v>2006</c:v>
                </c:pt>
                <c:pt idx="4">
                  <c:v>2007</c:v>
                </c:pt>
                <c:pt idx="5">
                  <c:v>2008</c:v>
                </c:pt>
                <c:pt idx="6">
                  <c:v>2009</c:v>
                </c:pt>
              </c:numCache>
            </c:numRef>
          </c:cat>
          <c:val>
            <c:numRef>
              <c:f>Sheet1!$D$2:$D$8</c:f>
              <c:numCache>
                <c:formatCode>General</c:formatCode>
                <c:ptCount val="7"/>
                <c:pt idx="0">
                  <c:v>0.13</c:v>
                </c:pt>
                <c:pt idx="1">
                  <c:v>0.19000000000000009</c:v>
                </c:pt>
                <c:pt idx="2">
                  <c:v>0.19000000000000009</c:v>
                </c:pt>
                <c:pt idx="3">
                  <c:v>0.37000000000000038</c:v>
                </c:pt>
                <c:pt idx="4">
                  <c:v>0.22000000000000008</c:v>
                </c:pt>
                <c:pt idx="5">
                  <c:v>0.17</c:v>
                </c:pt>
                <c:pt idx="6">
                  <c:v>0.17</c:v>
                </c:pt>
              </c:numCache>
            </c:numRef>
          </c:val>
        </c:ser>
        <c:gapWidth val="75"/>
        <c:overlap val="100"/>
        <c:axId val="71754496"/>
        <c:axId val="71756416"/>
      </c:barChart>
      <c:catAx>
        <c:axId val="71754496"/>
        <c:scaling>
          <c:orientation val="minMax"/>
        </c:scaling>
        <c:axPos val="b"/>
        <c:numFmt formatCode="General" sourceLinked="1"/>
        <c:majorTickMark val="none"/>
        <c:tickLblPos val="nextTo"/>
        <c:txPr>
          <a:bodyPr rot="0" vert="horz"/>
          <a:lstStyle/>
          <a:p>
            <a:pPr>
              <a:defRPr sz="999" b="0" i="0" u="none" strike="noStrike" baseline="0">
                <a:solidFill>
                  <a:srgbClr val="000000"/>
                </a:solidFill>
                <a:latin typeface="Times New Roman" pitchFamily="18" charset="0"/>
                <a:ea typeface="Calibri"/>
                <a:cs typeface="Times New Roman" pitchFamily="18" charset="0"/>
              </a:defRPr>
            </a:pPr>
            <a:endParaRPr lang="lv-LV"/>
          </a:p>
        </c:txPr>
        <c:crossAx val="71756416"/>
        <c:crosses val="autoZero"/>
        <c:auto val="1"/>
        <c:lblAlgn val="ctr"/>
        <c:lblOffset val="100"/>
      </c:catAx>
      <c:valAx>
        <c:axId val="71756416"/>
        <c:scaling>
          <c:orientation val="minMax"/>
        </c:scaling>
        <c:axPos val="l"/>
        <c:majorGridlines/>
        <c:numFmt formatCode="General" sourceLinked="1"/>
        <c:majorTickMark val="none"/>
        <c:tickLblPos val="nextTo"/>
        <c:txPr>
          <a:bodyPr rot="0" vert="horz"/>
          <a:lstStyle/>
          <a:p>
            <a:pPr>
              <a:defRPr sz="999" b="0" i="0" u="none" strike="noStrike" baseline="0">
                <a:solidFill>
                  <a:srgbClr val="000000"/>
                </a:solidFill>
                <a:latin typeface="Times New Roman" pitchFamily="18" charset="0"/>
                <a:ea typeface="Calibri"/>
                <a:cs typeface="Times New Roman" pitchFamily="18" charset="0"/>
              </a:defRPr>
            </a:pPr>
            <a:endParaRPr lang="lv-LV"/>
          </a:p>
        </c:txPr>
        <c:crossAx val="71754496"/>
        <c:crosses val="autoZero"/>
        <c:crossBetween val="between"/>
      </c:valAx>
    </c:plotArea>
    <c:legend>
      <c:legendPos val="b"/>
      <c:layout>
        <c:manualLayout>
          <c:xMode val="edge"/>
          <c:yMode val="edge"/>
          <c:x val="0.13428956515570689"/>
          <c:y val="0.85894306068885118"/>
          <c:w val="0.69076592698640005"/>
          <c:h val="8.9503669184210571E-2"/>
        </c:manualLayout>
      </c:layout>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lv-LV"/>
        </a:p>
      </c:txPr>
    </c:legend>
    <c:plotVisOnly val="1"/>
    <c:dispBlanksAs val="gap"/>
  </c:chart>
  <c:spPr>
    <a:ln>
      <a:solidFill>
        <a:sysClr val="windowText" lastClr="000000">
          <a:lumMod val="50000"/>
          <a:lumOff val="50000"/>
          <a:alpha val="99000"/>
        </a:sysClr>
      </a:solidFill>
    </a:ln>
  </c:spPr>
  <c:txPr>
    <a:bodyPr/>
    <a:lstStyle/>
    <a:p>
      <a:pPr>
        <a:defRPr sz="999" b="0" i="0" u="none" strike="noStrike" baseline="0">
          <a:solidFill>
            <a:srgbClr val="000000"/>
          </a:solidFill>
          <a:latin typeface="Calibri"/>
          <a:ea typeface="Calibri"/>
          <a:cs typeface="Calibri"/>
        </a:defRPr>
      </a:pPr>
      <a:endParaRPr lang="lv-LV"/>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8.3462561971420268E-2"/>
          <c:y val="4.4057617797775513E-2"/>
          <c:w val="0.84658772558443529"/>
          <c:h val="0.7049240719910016"/>
        </c:manualLayout>
      </c:layout>
      <c:barChart>
        <c:barDir val="col"/>
        <c:grouping val="clustered"/>
        <c:ser>
          <c:idx val="0"/>
          <c:order val="0"/>
          <c:tx>
            <c:strRef>
              <c:f>Sheet1!$B$1</c:f>
              <c:strCache>
                <c:ptCount val="1"/>
                <c:pt idx="0">
                  <c:v>SIA</c:v>
                </c:pt>
              </c:strCache>
            </c:strRef>
          </c:tx>
          <c:spPr>
            <a:solidFill>
              <a:schemeClr val="bg1">
                <a:lumMod val="50000"/>
              </a:schemeClr>
            </a:solidFill>
          </c:spPr>
          <c:dLbls>
            <c:txPr>
              <a:bodyPr/>
              <a:lstStyle/>
              <a:p>
                <a:pPr>
                  <a:defRPr sz="1050" b="1">
                    <a:latin typeface="Times New Roman" pitchFamily="18" charset="0"/>
                    <a:cs typeface="Times New Roman" pitchFamily="18" charset="0"/>
                  </a:defRPr>
                </a:pPr>
                <a:endParaRPr lang="lv-LV"/>
              </a:p>
            </c:txPr>
            <c:showVal val="1"/>
          </c:dLbls>
          <c:cat>
            <c:strRef>
              <c:f>Sheet1!$A$2:$A$13</c:f>
              <c:strCache>
                <c:ptCount val="12"/>
                <c:pt idx="0">
                  <c:v>2010 V</c:v>
                </c:pt>
                <c:pt idx="1">
                  <c:v>2010 VI</c:v>
                </c:pt>
                <c:pt idx="2">
                  <c:v>2010 VII</c:v>
                </c:pt>
                <c:pt idx="3">
                  <c:v>2010 IX</c:v>
                </c:pt>
                <c:pt idx="4">
                  <c:v>2010 X</c:v>
                </c:pt>
                <c:pt idx="5">
                  <c:v>2010 XI</c:v>
                </c:pt>
                <c:pt idx="6">
                  <c:v>2010 XII</c:v>
                </c:pt>
                <c:pt idx="7">
                  <c:v>2011 I</c:v>
                </c:pt>
                <c:pt idx="8">
                  <c:v>2011 II</c:v>
                </c:pt>
                <c:pt idx="9">
                  <c:v>2011 II</c:v>
                </c:pt>
                <c:pt idx="10">
                  <c:v>2011 III</c:v>
                </c:pt>
                <c:pt idx="11">
                  <c:v>2011 IV</c:v>
                </c:pt>
              </c:strCache>
            </c:strRef>
          </c:cat>
          <c:val>
            <c:numRef>
              <c:f>Sheet1!$B$2:$B$13</c:f>
              <c:numCache>
                <c:formatCode>General</c:formatCode>
                <c:ptCount val="12"/>
                <c:pt idx="0">
                  <c:v>860</c:v>
                </c:pt>
                <c:pt idx="1">
                  <c:v>883</c:v>
                </c:pt>
                <c:pt idx="2">
                  <c:v>879</c:v>
                </c:pt>
                <c:pt idx="3">
                  <c:v>878</c:v>
                </c:pt>
                <c:pt idx="4">
                  <c:v>1295</c:v>
                </c:pt>
                <c:pt idx="5">
                  <c:v>1332</c:v>
                </c:pt>
                <c:pt idx="6">
                  <c:v>1408</c:v>
                </c:pt>
                <c:pt idx="7">
                  <c:v>1529</c:v>
                </c:pt>
                <c:pt idx="8">
                  <c:v>1493</c:v>
                </c:pt>
                <c:pt idx="9">
                  <c:v>1532</c:v>
                </c:pt>
                <c:pt idx="10">
                  <c:v>1823</c:v>
                </c:pt>
                <c:pt idx="11">
                  <c:v>1324</c:v>
                </c:pt>
              </c:numCache>
            </c:numRef>
          </c:val>
        </c:ser>
        <c:ser>
          <c:idx val="1"/>
          <c:order val="1"/>
          <c:tx>
            <c:strRef>
              <c:f>Sheet1!$C$1</c:f>
              <c:strCache>
                <c:ptCount val="1"/>
                <c:pt idx="0">
                  <c:v>SIA ar samazinātu pamatkapitālu</c:v>
                </c:pt>
              </c:strCache>
            </c:strRef>
          </c:tx>
          <c:spPr>
            <a:solidFill>
              <a:srgbClr val="C00000"/>
            </a:solidFill>
          </c:spPr>
          <c:dLbls>
            <c:txPr>
              <a:bodyPr/>
              <a:lstStyle/>
              <a:p>
                <a:pPr>
                  <a:defRPr sz="1050" b="1">
                    <a:latin typeface="Times New Roman" pitchFamily="18" charset="0"/>
                    <a:cs typeface="Times New Roman" pitchFamily="18" charset="0"/>
                  </a:defRPr>
                </a:pPr>
                <a:endParaRPr lang="lv-LV"/>
              </a:p>
            </c:txPr>
            <c:showVal val="1"/>
          </c:dLbls>
          <c:cat>
            <c:strRef>
              <c:f>Sheet1!$A$2:$A$13</c:f>
              <c:strCache>
                <c:ptCount val="12"/>
                <c:pt idx="0">
                  <c:v>2010 V</c:v>
                </c:pt>
                <c:pt idx="1">
                  <c:v>2010 VI</c:v>
                </c:pt>
                <c:pt idx="2">
                  <c:v>2010 VII</c:v>
                </c:pt>
                <c:pt idx="3">
                  <c:v>2010 IX</c:v>
                </c:pt>
                <c:pt idx="4">
                  <c:v>2010 X</c:v>
                </c:pt>
                <c:pt idx="5">
                  <c:v>2010 XI</c:v>
                </c:pt>
                <c:pt idx="6">
                  <c:v>2010 XII</c:v>
                </c:pt>
                <c:pt idx="7">
                  <c:v>2011 I</c:v>
                </c:pt>
                <c:pt idx="8">
                  <c:v>2011 II</c:v>
                </c:pt>
                <c:pt idx="9">
                  <c:v>2011 II</c:v>
                </c:pt>
                <c:pt idx="10">
                  <c:v>2011 III</c:v>
                </c:pt>
                <c:pt idx="11">
                  <c:v>2011 IV</c:v>
                </c:pt>
              </c:strCache>
            </c:strRef>
          </c:cat>
          <c:val>
            <c:numRef>
              <c:f>Sheet1!$C$2:$C$13</c:f>
              <c:numCache>
                <c:formatCode>General</c:formatCode>
                <c:ptCount val="12"/>
                <c:pt idx="0">
                  <c:v>291</c:v>
                </c:pt>
                <c:pt idx="1">
                  <c:v>432</c:v>
                </c:pt>
                <c:pt idx="2">
                  <c:v>415</c:v>
                </c:pt>
                <c:pt idx="3">
                  <c:v>462</c:v>
                </c:pt>
                <c:pt idx="4">
                  <c:v>757</c:v>
                </c:pt>
                <c:pt idx="5">
                  <c:v>845</c:v>
                </c:pt>
                <c:pt idx="6">
                  <c:v>942</c:v>
                </c:pt>
                <c:pt idx="7">
                  <c:v>1033</c:v>
                </c:pt>
                <c:pt idx="8">
                  <c:v>1059</c:v>
                </c:pt>
                <c:pt idx="9">
                  <c:v>1091</c:v>
                </c:pt>
                <c:pt idx="10">
                  <c:v>1269</c:v>
                </c:pt>
                <c:pt idx="11">
                  <c:v>910</c:v>
                </c:pt>
              </c:numCache>
            </c:numRef>
          </c:val>
        </c:ser>
        <c:gapWidth val="30"/>
        <c:overlap val="8"/>
        <c:axId val="72256128"/>
        <c:axId val="73258880"/>
      </c:barChart>
      <c:catAx>
        <c:axId val="72256128"/>
        <c:scaling>
          <c:orientation val="minMax"/>
        </c:scaling>
        <c:axPos val="b"/>
        <c:tickLblPos val="nextTo"/>
        <c:txPr>
          <a:bodyPr/>
          <a:lstStyle/>
          <a:p>
            <a:pPr>
              <a:defRPr sz="1200">
                <a:latin typeface="Times New Roman" pitchFamily="18" charset="0"/>
                <a:cs typeface="Times New Roman" pitchFamily="18" charset="0"/>
              </a:defRPr>
            </a:pPr>
            <a:endParaRPr lang="lv-LV"/>
          </a:p>
        </c:txPr>
        <c:crossAx val="73258880"/>
        <c:crosses val="autoZero"/>
        <c:auto val="1"/>
        <c:lblAlgn val="ctr"/>
        <c:lblOffset val="100"/>
      </c:catAx>
      <c:valAx>
        <c:axId val="7325888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lv-LV"/>
          </a:p>
        </c:txPr>
        <c:crossAx val="72256128"/>
        <c:crosses val="autoZero"/>
        <c:crossBetween val="between"/>
      </c:valAx>
    </c:plotArea>
    <c:legend>
      <c:legendPos val="r"/>
      <c:legendEntry>
        <c:idx val="0"/>
        <c:txPr>
          <a:bodyPr/>
          <a:lstStyle/>
          <a:p>
            <a:pPr>
              <a:defRPr sz="1200" b="1">
                <a:latin typeface="Times New Roman" pitchFamily="18" charset="0"/>
                <a:cs typeface="Times New Roman" pitchFamily="18" charset="0"/>
              </a:defRPr>
            </a:pPr>
            <a:endParaRPr lang="lv-LV"/>
          </a:p>
        </c:txPr>
      </c:legendEntry>
      <c:legendEntry>
        <c:idx val="1"/>
        <c:txPr>
          <a:bodyPr/>
          <a:lstStyle/>
          <a:p>
            <a:pPr>
              <a:defRPr sz="1200" b="1">
                <a:latin typeface="Times New Roman" pitchFamily="18" charset="0"/>
                <a:cs typeface="Times New Roman" pitchFamily="18" charset="0"/>
              </a:defRPr>
            </a:pPr>
            <a:endParaRPr lang="lv-LV"/>
          </a:p>
        </c:txPr>
      </c:legendEntry>
      <c:layout>
        <c:manualLayout>
          <c:xMode val="edge"/>
          <c:yMode val="edge"/>
          <c:x val="0.1410012029746282"/>
          <c:y val="0.86522153480815533"/>
          <c:w val="0.7918691673957422"/>
          <c:h val="0.13463629546306721"/>
        </c:manualLayout>
      </c:layout>
      <c:txPr>
        <a:bodyPr/>
        <a:lstStyle/>
        <a:p>
          <a:pPr>
            <a:defRPr>
              <a:latin typeface="Times New Roman" pitchFamily="18" charset="0"/>
              <a:cs typeface="Times New Roman" pitchFamily="18" charset="0"/>
            </a:defRPr>
          </a:pPr>
          <a:endParaRPr lang="lv-LV"/>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0.14286</cdr:x>
      <cdr:y>0.18335</cdr:y>
    </cdr:from>
    <cdr:to>
      <cdr:x>0.28336</cdr:x>
      <cdr:y>0.7071</cdr:y>
    </cdr:to>
    <cdr:sp macro="" textlink="">
      <cdr:nvSpPr>
        <cdr:cNvPr id="1027" name="Text 3"/>
        <cdr:cNvSpPr txBox="1">
          <a:spLocks xmlns:a="http://schemas.openxmlformats.org/drawingml/2006/main" noChangeArrowheads="1"/>
        </cdr:cNvSpPr>
      </cdr:nvSpPr>
      <cdr:spPr bwMode="auto">
        <a:xfrm xmlns:a="http://schemas.openxmlformats.org/drawingml/2006/main">
          <a:off x="1234310" y="792088"/>
          <a:ext cx="1213962" cy="226258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lv-LV" sz="1200" b="0" i="0" strike="noStrike" dirty="0">
              <a:solidFill>
                <a:srgbClr val="000000"/>
              </a:solidFill>
              <a:latin typeface="Times New Roman" pitchFamily="18" charset="0"/>
              <a:cs typeface="Times New Roman" pitchFamily="18" charset="0"/>
            </a:rPr>
            <a:t>imports</a:t>
          </a:r>
        </a:p>
        <a:p xmlns:a="http://schemas.openxmlformats.org/drawingml/2006/main">
          <a:pPr algn="ctr" rtl="0">
            <a:defRPr sz="1000"/>
          </a:pPr>
          <a:endParaRPr lang="lv-LV" sz="1200" b="0" i="0" strike="noStrike" dirty="0">
            <a:solidFill>
              <a:srgbClr val="000000"/>
            </a:solidFill>
            <a:latin typeface="Times New Roman" pitchFamily="18" charset="0"/>
            <a:cs typeface="Times New Roman" pitchFamily="18" charset="0"/>
          </a:endParaRPr>
        </a:p>
        <a:p xmlns:a="http://schemas.openxmlformats.org/drawingml/2006/main">
          <a:pPr algn="ctr" rtl="0">
            <a:defRPr sz="1000"/>
          </a:pPr>
          <a:endParaRPr lang="lv-LV" sz="1200" b="0" i="0" strike="noStrike" dirty="0">
            <a:solidFill>
              <a:srgbClr val="000000"/>
            </a:solidFill>
            <a:latin typeface="Times New Roman" pitchFamily="18" charset="0"/>
            <a:cs typeface="Times New Roman" pitchFamily="18" charset="0"/>
          </a:endParaRPr>
        </a:p>
        <a:p xmlns:a="http://schemas.openxmlformats.org/drawingml/2006/main">
          <a:pPr algn="ctr" rtl="0">
            <a:defRPr sz="1000"/>
          </a:pPr>
          <a:endParaRPr lang="lv-LV" sz="1200" b="0" i="0" strike="noStrike" dirty="0">
            <a:solidFill>
              <a:srgbClr val="000000"/>
            </a:solidFill>
            <a:latin typeface="Times New Roman" pitchFamily="18" charset="0"/>
            <a:cs typeface="Times New Roman" pitchFamily="18" charset="0"/>
          </a:endParaRPr>
        </a:p>
        <a:p xmlns:a="http://schemas.openxmlformats.org/drawingml/2006/main">
          <a:pPr algn="ctr" rtl="0">
            <a:defRPr sz="1000"/>
          </a:pPr>
          <a:endParaRPr lang="lv-LV" sz="1200" b="0" i="0" strike="noStrike" dirty="0">
            <a:solidFill>
              <a:srgbClr val="000000"/>
            </a:solidFill>
            <a:latin typeface="Times New Roman" pitchFamily="18" charset="0"/>
            <a:cs typeface="Times New Roman" pitchFamily="18" charset="0"/>
          </a:endParaRPr>
        </a:p>
        <a:p xmlns:a="http://schemas.openxmlformats.org/drawingml/2006/main">
          <a:pPr algn="ctr" rtl="0">
            <a:defRPr sz="1000"/>
          </a:pPr>
          <a:endParaRPr lang="lv-LV" sz="1200" b="0" i="0" strike="noStrike" dirty="0">
            <a:solidFill>
              <a:srgbClr val="000000"/>
            </a:solidFill>
            <a:latin typeface="Times New Roman" pitchFamily="18" charset="0"/>
            <a:cs typeface="Times New Roman" pitchFamily="18" charset="0"/>
          </a:endParaRPr>
        </a:p>
        <a:p xmlns:a="http://schemas.openxmlformats.org/drawingml/2006/main">
          <a:pPr algn="ctr" rtl="0">
            <a:defRPr sz="1000"/>
          </a:pPr>
          <a:r>
            <a:rPr lang="lv-LV" sz="1200" b="0" i="0" strike="noStrike" dirty="0">
              <a:solidFill>
                <a:srgbClr val="000000"/>
              </a:solidFill>
              <a:latin typeface="Times New Roman" pitchFamily="18" charset="0"/>
              <a:cs typeface="Times New Roman" pitchFamily="18" charset="0"/>
            </a:rPr>
            <a:t>eksports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1B2F-8EBC-489A-8A2B-5AFEC431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3717</Words>
  <Characters>27172</Characters>
  <Application>Microsoft Office Word</Application>
  <DocSecurity>0</DocSecurity>
  <Lines>631</Lines>
  <Paragraphs>171</Paragraphs>
  <ScaleCrop>false</ScaleCrop>
  <HeadingPairs>
    <vt:vector size="2" baseType="variant">
      <vt:variant>
        <vt:lpstr>Title</vt:lpstr>
      </vt:variant>
      <vt:variant>
        <vt:i4>1</vt:i4>
      </vt:variant>
    </vt:vector>
  </HeadingPairs>
  <TitlesOfParts>
    <vt:vector size="1" baseType="lpstr">
      <vt:lpstr>Komercdarbības konkurētspējas un inovācijas veicināšanas programmas 2007.-2013.gadam izpilde 2010.gadā</vt:lpstr>
    </vt:vector>
  </TitlesOfParts>
  <Company>LR Ekonomikas ministrija</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Komercdarbības konkurētspējas un inovācijas veicināšanas programmas 2007.-2013.gadam izpilde 2010.gadā</dc:title>
  <dc:subject>Informatīvais ziņojums</dc:subject>
  <dc:creator>Mārtiņš Jansons</dc:creator>
  <cp:keywords/>
  <dc:description>T: 67013057
E: Martins.Jansons@em.gov.lv</dc:description>
  <cp:lastModifiedBy>Mārtiņš Jansons</cp:lastModifiedBy>
  <cp:revision>19</cp:revision>
  <cp:lastPrinted>2011-05-30T08:26:00Z</cp:lastPrinted>
  <dcterms:created xsi:type="dcterms:W3CDTF">2011-05-27T07:46:00Z</dcterms:created>
  <dcterms:modified xsi:type="dcterms:W3CDTF">2011-05-30T08:26:00Z</dcterms:modified>
</cp:coreProperties>
</file>