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baseform" w:val="ziņojum|s"/>
          <w:attr w:name="id" w:val="-1"/>
          <w:attr w:name="text"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E668E7" w:rsidRPr="00025B33" w:rsidRDefault="00E668E7" w:rsidP="006031F7">
      <w:pPr>
        <w:jc w:val="center"/>
        <w:rPr>
          <w:b/>
          <w:sz w:val="28"/>
          <w:szCs w:val="28"/>
        </w:rPr>
      </w:pPr>
      <w:bookmarkStart w:id="0" w:name="OLE_LINK3"/>
      <w:bookmarkStart w:id="1" w:name="OLE_LINK4"/>
      <w:r w:rsidRPr="00025B33">
        <w:rPr>
          <w:b/>
          <w:sz w:val="28"/>
          <w:szCs w:val="28"/>
        </w:rPr>
        <w:t>par Latvijas</w:t>
      </w:r>
      <w:r w:rsidR="003B32E1">
        <w:rPr>
          <w:b/>
          <w:sz w:val="28"/>
          <w:szCs w:val="28"/>
        </w:rPr>
        <w:t xml:space="preserve"> Republikas</w:t>
      </w:r>
      <w:r w:rsidRPr="00025B33">
        <w:rPr>
          <w:b/>
          <w:sz w:val="28"/>
          <w:szCs w:val="28"/>
        </w:rPr>
        <w:t xml:space="preserve"> </w:t>
      </w:r>
      <w:r w:rsidR="002357E6">
        <w:rPr>
          <w:b/>
          <w:sz w:val="28"/>
          <w:szCs w:val="28"/>
        </w:rPr>
        <w:t>nostāju</w:t>
      </w:r>
      <w:r w:rsidRPr="00025B33">
        <w:rPr>
          <w:b/>
          <w:sz w:val="28"/>
          <w:szCs w:val="28"/>
        </w:rPr>
        <w:t xml:space="preserve"> Eiropas Savienības Konkurētspējas ministru padomes 201</w:t>
      </w:r>
      <w:r w:rsidR="007A66B5" w:rsidRPr="00025B33">
        <w:rPr>
          <w:b/>
          <w:sz w:val="28"/>
          <w:szCs w:val="28"/>
        </w:rPr>
        <w:t>2</w:t>
      </w:r>
      <w:r w:rsidRPr="00025B33">
        <w:rPr>
          <w:b/>
          <w:sz w:val="28"/>
          <w:szCs w:val="28"/>
        </w:rPr>
        <w:t xml:space="preserve">.gada </w:t>
      </w:r>
      <w:r w:rsidR="00C6391A">
        <w:rPr>
          <w:b/>
          <w:sz w:val="28"/>
          <w:szCs w:val="28"/>
        </w:rPr>
        <w:t>1</w:t>
      </w:r>
      <w:r w:rsidR="009F0BE2">
        <w:rPr>
          <w:b/>
          <w:sz w:val="28"/>
          <w:szCs w:val="28"/>
        </w:rPr>
        <w:t>0</w:t>
      </w:r>
      <w:r w:rsidRPr="00025B33">
        <w:rPr>
          <w:b/>
          <w:sz w:val="28"/>
          <w:szCs w:val="28"/>
        </w:rPr>
        <w:t>.</w:t>
      </w:r>
      <w:r w:rsidR="009F0BE2">
        <w:rPr>
          <w:b/>
          <w:sz w:val="28"/>
          <w:szCs w:val="28"/>
        </w:rPr>
        <w:t>decembra</w:t>
      </w:r>
      <w:r w:rsidRPr="00025B33">
        <w:rPr>
          <w:b/>
          <w:sz w:val="28"/>
          <w:szCs w:val="28"/>
        </w:rPr>
        <w:t xml:space="preserve"> sanāksmē izskat</w:t>
      </w:r>
      <w:r w:rsidR="00505AE3">
        <w:rPr>
          <w:b/>
          <w:sz w:val="28"/>
          <w:szCs w:val="28"/>
        </w:rPr>
        <w:t>āmajos Ekonomikas ministrijas,</w:t>
      </w:r>
      <w:r w:rsidRPr="00025B33">
        <w:rPr>
          <w:b/>
          <w:sz w:val="28"/>
          <w:szCs w:val="28"/>
        </w:rPr>
        <w:t xml:space="preserve"> </w:t>
      </w:r>
      <w:r w:rsidR="009F0BE2" w:rsidRPr="009F0BE2">
        <w:rPr>
          <w:b/>
          <w:sz w:val="28"/>
          <w:szCs w:val="28"/>
        </w:rPr>
        <w:t>Izglītības un zinātnes ministrijas un Tieslietu ministrijas</w:t>
      </w:r>
      <w:r w:rsidR="00505AE3">
        <w:rPr>
          <w:b/>
          <w:sz w:val="28"/>
          <w:szCs w:val="28"/>
        </w:rPr>
        <w:t xml:space="preserve"> </w:t>
      </w:r>
      <w:r w:rsidRPr="00025B33">
        <w:rPr>
          <w:b/>
          <w:sz w:val="28"/>
          <w:szCs w:val="28"/>
        </w:rPr>
        <w:t>kompetences jautājumos</w:t>
      </w:r>
    </w:p>
    <w:bookmarkEnd w:id="0"/>
    <w:bookmarkEnd w:id="1"/>
    <w:p w:rsidR="00E668E7" w:rsidRPr="00025B33" w:rsidRDefault="00E668E7" w:rsidP="006031F7">
      <w:pPr>
        <w:spacing w:after="120"/>
        <w:jc w:val="both"/>
        <w:rPr>
          <w:sz w:val="28"/>
          <w:szCs w:val="28"/>
        </w:rPr>
      </w:pPr>
    </w:p>
    <w:p w:rsidR="00E668E7" w:rsidRPr="00025B33" w:rsidRDefault="00E668E7" w:rsidP="006031F7">
      <w:pPr>
        <w:spacing w:before="120" w:after="120"/>
        <w:rPr>
          <w:b/>
          <w:sz w:val="28"/>
          <w:szCs w:val="28"/>
        </w:rPr>
      </w:pPr>
      <w:r w:rsidRPr="00025B33">
        <w:rPr>
          <w:b/>
          <w:sz w:val="28"/>
          <w:szCs w:val="28"/>
        </w:rPr>
        <w:t>1. Konkurētspējas ministru padomes sanāksmes darba kārtība</w:t>
      </w:r>
    </w:p>
    <w:p w:rsidR="00897AEF" w:rsidRPr="00025B33" w:rsidRDefault="00897AEF" w:rsidP="004F0096">
      <w:pPr>
        <w:tabs>
          <w:tab w:val="left" w:pos="9288"/>
        </w:tabs>
        <w:ind w:firstLine="851"/>
        <w:jc w:val="both"/>
        <w:rPr>
          <w:sz w:val="28"/>
          <w:szCs w:val="28"/>
        </w:rPr>
      </w:pPr>
      <w:r w:rsidRPr="00025B33">
        <w:rPr>
          <w:sz w:val="28"/>
          <w:szCs w:val="28"/>
        </w:rPr>
        <w:t>201</w:t>
      </w:r>
      <w:r w:rsidR="00E730E6" w:rsidRPr="00025B33">
        <w:rPr>
          <w:sz w:val="28"/>
          <w:szCs w:val="28"/>
        </w:rPr>
        <w:t>2</w:t>
      </w:r>
      <w:r w:rsidR="00505AE3">
        <w:rPr>
          <w:sz w:val="28"/>
          <w:szCs w:val="28"/>
        </w:rPr>
        <w:t>.</w:t>
      </w:r>
      <w:r w:rsidRPr="00025B33">
        <w:rPr>
          <w:sz w:val="28"/>
          <w:szCs w:val="28"/>
        </w:rPr>
        <w:t xml:space="preserve">gada </w:t>
      </w:r>
      <w:r w:rsidR="00271604">
        <w:rPr>
          <w:sz w:val="28"/>
          <w:szCs w:val="28"/>
        </w:rPr>
        <w:t>10</w:t>
      </w:r>
      <w:r w:rsidRPr="00025B33">
        <w:rPr>
          <w:sz w:val="28"/>
          <w:szCs w:val="28"/>
        </w:rPr>
        <w:t>.</w:t>
      </w:r>
      <w:r w:rsidR="00271604">
        <w:rPr>
          <w:sz w:val="28"/>
          <w:szCs w:val="28"/>
        </w:rPr>
        <w:t>decembrī</w:t>
      </w:r>
      <w:r w:rsidRPr="00025B33">
        <w:rPr>
          <w:sz w:val="28"/>
          <w:szCs w:val="28"/>
        </w:rPr>
        <w:t xml:space="preserve"> </w:t>
      </w:r>
      <w:r w:rsidR="00271604">
        <w:rPr>
          <w:sz w:val="28"/>
          <w:szCs w:val="28"/>
        </w:rPr>
        <w:t>Briselē</w:t>
      </w:r>
      <w:r w:rsidRPr="00025B33">
        <w:rPr>
          <w:sz w:val="28"/>
          <w:szCs w:val="28"/>
        </w:rPr>
        <w:t xml:space="preserve"> notiks Eiropas Savienības (turpmāk – ES) Konkurētspējas ministru padomes sanāksme (turpmāk – </w:t>
      </w:r>
      <w:r w:rsidR="0013164E">
        <w:rPr>
          <w:sz w:val="28"/>
          <w:szCs w:val="28"/>
        </w:rPr>
        <w:t>s</w:t>
      </w:r>
      <w:r w:rsidRPr="00025B33">
        <w:rPr>
          <w:sz w:val="28"/>
          <w:szCs w:val="28"/>
        </w:rPr>
        <w:t>anāksme). Paredzams, ka sanāksmes gaitā tiks izskatīti šādi Ekonomikas ministrijas (</w:t>
      </w:r>
      <w:r w:rsidR="00E730E6" w:rsidRPr="00025B33">
        <w:rPr>
          <w:sz w:val="28"/>
          <w:szCs w:val="28"/>
        </w:rPr>
        <w:t xml:space="preserve">turpmāk - </w:t>
      </w:r>
      <w:r w:rsidR="00505AE3">
        <w:rPr>
          <w:sz w:val="28"/>
          <w:szCs w:val="28"/>
        </w:rPr>
        <w:t>EM),</w:t>
      </w:r>
      <w:r w:rsidRPr="00025B33">
        <w:rPr>
          <w:sz w:val="28"/>
          <w:szCs w:val="28"/>
        </w:rPr>
        <w:t xml:space="preserve"> </w:t>
      </w:r>
      <w:r w:rsidR="00505AE3">
        <w:rPr>
          <w:sz w:val="28"/>
          <w:szCs w:val="28"/>
        </w:rPr>
        <w:t xml:space="preserve">Izglītības un zinātnes ministrijas </w:t>
      </w:r>
      <w:r w:rsidR="00505AE3" w:rsidRPr="00025B33">
        <w:rPr>
          <w:sz w:val="28"/>
          <w:szCs w:val="28"/>
        </w:rPr>
        <w:t xml:space="preserve">(turpmāk - </w:t>
      </w:r>
      <w:r w:rsidR="00505AE3">
        <w:rPr>
          <w:sz w:val="28"/>
          <w:szCs w:val="28"/>
        </w:rPr>
        <w:t>IZM)</w:t>
      </w:r>
      <w:r w:rsidRPr="00025B33">
        <w:rPr>
          <w:sz w:val="28"/>
          <w:szCs w:val="28"/>
        </w:rPr>
        <w:t xml:space="preserve"> </w:t>
      </w:r>
      <w:r w:rsidR="00271604">
        <w:rPr>
          <w:sz w:val="28"/>
          <w:szCs w:val="28"/>
        </w:rPr>
        <w:t xml:space="preserve">un Tieslietu ministrijas (turpmāk- TM) </w:t>
      </w:r>
      <w:r w:rsidRPr="00025B33">
        <w:rPr>
          <w:sz w:val="28"/>
          <w:szCs w:val="28"/>
        </w:rPr>
        <w:t>kompetencē esoši jautājumi:</w:t>
      </w:r>
    </w:p>
    <w:p w:rsidR="00BD6689" w:rsidRPr="00025B33" w:rsidRDefault="00BD6689" w:rsidP="004F0096">
      <w:pPr>
        <w:tabs>
          <w:tab w:val="left" w:pos="9288"/>
        </w:tabs>
        <w:ind w:firstLine="851"/>
        <w:jc w:val="both"/>
        <w:rPr>
          <w:sz w:val="28"/>
          <w:szCs w:val="28"/>
        </w:rPr>
      </w:pPr>
    </w:p>
    <w:p w:rsidR="00897AEF" w:rsidRPr="00487328"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sidR="00B03397" w:rsidRPr="00227FFB">
        <w:rPr>
          <w:b/>
          <w:sz w:val="28"/>
          <w:szCs w:val="28"/>
        </w:rPr>
        <w:t>1.</w:t>
      </w:r>
      <w:r w:rsidRPr="00227FFB">
        <w:rPr>
          <w:b/>
          <w:sz w:val="28"/>
          <w:szCs w:val="28"/>
        </w:rPr>
        <w:t xml:space="preserve"> </w:t>
      </w:r>
      <w:r w:rsidR="003E1585" w:rsidRPr="003E1585">
        <w:rPr>
          <w:b/>
          <w:sz w:val="28"/>
          <w:szCs w:val="28"/>
        </w:rPr>
        <w:t xml:space="preserve">Priekšlikums – Eiropas Parlamenta un Padomes Direktīva, ar ko groza Direktīvu 2005/36/EK par profesionālo kvalifikāciju atzīšanu un Regulu par administratīvo sadarbību, izmantojot Iekšējā tirgus informācijas sistēmu (pirmais lasījums) </w:t>
      </w:r>
      <w:r w:rsidR="003E1585">
        <w:rPr>
          <w:i/>
          <w:sz w:val="28"/>
          <w:szCs w:val="28"/>
        </w:rPr>
        <w:t>(IZM</w:t>
      </w:r>
      <w:r w:rsidR="004F0096" w:rsidRPr="004F0096">
        <w:rPr>
          <w:i/>
          <w:sz w:val="28"/>
          <w:szCs w:val="28"/>
        </w:rPr>
        <w:t xml:space="preserve"> kompetence)</w:t>
      </w:r>
    </w:p>
    <w:p w:rsidR="00E730E6" w:rsidRPr="00227FFB" w:rsidRDefault="00897AEF" w:rsidP="006031F7">
      <w:pPr>
        <w:tabs>
          <w:tab w:val="left" w:pos="284"/>
        </w:tabs>
        <w:jc w:val="both"/>
        <w:rPr>
          <w:i/>
          <w:sz w:val="28"/>
          <w:szCs w:val="28"/>
        </w:rPr>
      </w:pPr>
      <w:r w:rsidRPr="00227FFB">
        <w:rPr>
          <w:i/>
          <w:sz w:val="28"/>
          <w:szCs w:val="28"/>
        </w:rPr>
        <w:t xml:space="preserve">- </w:t>
      </w:r>
      <w:r w:rsidR="003E1585">
        <w:rPr>
          <w:i/>
          <w:sz w:val="28"/>
          <w:szCs w:val="28"/>
        </w:rPr>
        <w:t>Progresa ziņojums</w:t>
      </w:r>
    </w:p>
    <w:p w:rsidR="00897AEF" w:rsidRPr="00487328" w:rsidRDefault="00897AEF" w:rsidP="006031F7">
      <w:pPr>
        <w:tabs>
          <w:tab w:val="left" w:pos="284"/>
        </w:tabs>
        <w:ind w:firstLine="851"/>
        <w:jc w:val="both"/>
        <w:rPr>
          <w:sz w:val="28"/>
          <w:szCs w:val="28"/>
          <w:highlight w:val="yellow"/>
        </w:rPr>
      </w:pPr>
    </w:p>
    <w:p w:rsidR="002C657D" w:rsidRPr="002C657D" w:rsidRDefault="00A2191E" w:rsidP="002C657D">
      <w:pPr>
        <w:autoSpaceDE w:val="0"/>
        <w:autoSpaceDN w:val="0"/>
        <w:adjustRightInd w:val="0"/>
        <w:spacing w:after="120"/>
        <w:ind w:firstLine="720"/>
        <w:jc w:val="both"/>
        <w:rPr>
          <w:noProof/>
          <w:sz w:val="28"/>
        </w:rPr>
      </w:pPr>
      <w:r>
        <w:rPr>
          <w:sz w:val="28"/>
        </w:rPr>
        <w:t>S</w:t>
      </w:r>
      <w:r w:rsidR="002C657D" w:rsidRPr="002C657D">
        <w:rPr>
          <w:sz w:val="28"/>
        </w:rPr>
        <w:t xml:space="preserve">anāksmē tiks izskatīts Kipras prezidentūras progresa ziņojums par </w:t>
      </w:r>
      <w:r w:rsidR="002C657D" w:rsidRPr="00A2191E">
        <w:rPr>
          <w:i/>
          <w:sz w:val="28"/>
        </w:rPr>
        <w:t>Eiropas Parlamenta un Padomes  direktīvas, ar ko groza Direktīvu 2005/36/EK par profesionālo kvalifikāciju atzīšanu un Regulu [...] par administratīvo sadarbību, izmantojot Iekšējā tirgus informācijas sistēmu</w:t>
      </w:r>
      <w:r w:rsidR="002C657D" w:rsidRPr="002C657D">
        <w:rPr>
          <w:sz w:val="28"/>
        </w:rPr>
        <w:t xml:space="preserve"> priekšlikuma (turpmāk – direktīvas priekšlikums) izskatīšanas gaitu, </w:t>
      </w:r>
      <w:r w:rsidR="002C657D" w:rsidRPr="002C657D">
        <w:rPr>
          <w:noProof/>
          <w:sz w:val="28"/>
        </w:rPr>
        <w:t xml:space="preserve">lai informētu par sasniegtajiem rezultātiem. </w:t>
      </w:r>
      <w:r w:rsidR="002C657D" w:rsidRPr="002C657D">
        <w:rPr>
          <w:sz w:val="28"/>
        </w:rPr>
        <w:t>Progresa ziņojumu Kipras prezidentūra nosūtīs dalībvalstīm 2012.gada 30.novembrī. Diskusija par pr</w:t>
      </w:r>
      <w:r w:rsidR="00792331">
        <w:rPr>
          <w:sz w:val="28"/>
        </w:rPr>
        <w:t>ogresa ziņojumu Konkurētspējas m</w:t>
      </w:r>
      <w:r w:rsidR="002C657D" w:rsidRPr="002C657D">
        <w:rPr>
          <w:sz w:val="28"/>
        </w:rPr>
        <w:t>inistru padomē nav paredzēta, bet dalībvalstis par to varēs izteikt komentārus, iepriekš piesakoties C</w:t>
      </w:r>
      <w:r w:rsidR="00767B38">
        <w:rPr>
          <w:sz w:val="28"/>
        </w:rPr>
        <w:t>OREPER</w:t>
      </w:r>
      <w:r w:rsidR="002C657D" w:rsidRPr="002C657D">
        <w:rPr>
          <w:sz w:val="28"/>
        </w:rPr>
        <w:t xml:space="preserve"> I sanāksmē. </w:t>
      </w:r>
    </w:p>
    <w:p w:rsidR="002C657D" w:rsidRPr="002C657D" w:rsidRDefault="002C657D" w:rsidP="002C657D">
      <w:pPr>
        <w:autoSpaceDE w:val="0"/>
        <w:autoSpaceDN w:val="0"/>
        <w:adjustRightInd w:val="0"/>
        <w:spacing w:after="120"/>
        <w:ind w:firstLine="720"/>
        <w:jc w:val="both"/>
        <w:rPr>
          <w:sz w:val="28"/>
        </w:rPr>
      </w:pPr>
      <w:r w:rsidRPr="002C657D">
        <w:rPr>
          <w:sz w:val="28"/>
        </w:rPr>
        <w:t>Direktīvas priekšlikums paredz veikt būtiskus grozījumus Eiropas Parlamenta un Padomes 2005.gada 7.septembra Direktīvā 2005/36/EK par profesionālo kvalifikāciju atzīšanu</w:t>
      </w:r>
      <w:r w:rsidRPr="002C657D">
        <w:rPr>
          <w:rFonts w:ascii="TimesNewRoman" w:hAnsi="TimesNewRoman" w:cs="TimesNewRoman"/>
          <w:sz w:val="26"/>
        </w:rPr>
        <w:t>, iev</w:t>
      </w:r>
      <w:r w:rsidRPr="002C657D">
        <w:rPr>
          <w:sz w:val="28"/>
        </w:rPr>
        <w:t xml:space="preserve">ērojot ka </w:t>
      </w:r>
      <w:r w:rsidR="00792331">
        <w:rPr>
          <w:rFonts w:ascii="TimesNewRoman" w:hAnsi="TimesNewRoman" w:cs="TimesNewRoman"/>
          <w:sz w:val="26"/>
        </w:rPr>
        <w:t>Vienotā tirgus aktā</w:t>
      </w:r>
      <w:r w:rsidRPr="002C657D">
        <w:rPr>
          <w:rFonts w:ascii="TimesNewRoman" w:hAnsi="TimesNewRoman" w:cs="TimesNewRoman"/>
          <w:sz w:val="26"/>
        </w:rPr>
        <w:t xml:space="preserve"> tirgu kā viena no divpadsmit iniciatīvām, kuru mērķis ir veicināt ekonomisko izaugsmi un ES pilsoņu uzticēšanos Eiropas Savienībai</w:t>
      </w:r>
      <w:r w:rsidR="00792331">
        <w:rPr>
          <w:rFonts w:ascii="TimesNewRoman" w:hAnsi="TimesNewRoman" w:cs="TimesNewRoman"/>
          <w:sz w:val="26"/>
        </w:rPr>
        <w:t>,</w:t>
      </w:r>
      <w:r w:rsidRPr="002C657D">
        <w:rPr>
          <w:rFonts w:ascii="TimesNewRoman" w:hAnsi="TimesNewRoman" w:cs="TimesNewRoman"/>
          <w:sz w:val="26"/>
        </w:rPr>
        <w:t xml:space="preserve"> ir norādīta esošā profesionālo kvalifikāciju atzīšanas tiesiskā regulējuma modernizācija.</w:t>
      </w:r>
      <w:r w:rsidRPr="002C657D">
        <w:rPr>
          <w:sz w:val="28"/>
        </w:rPr>
        <w:t xml:space="preserve"> Direktīvas priekšlikumā ir paredzēts:</w:t>
      </w:r>
    </w:p>
    <w:p w:rsidR="002C657D" w:rsidRPr="002C657D" w:rsidRDefault="002C657D" w:rsidP="002C657D">
      <w:pPr>
        <w:pStyle w:val="ListParagraph"/>
        <w:numPr>
          <w:ilvl w:val="0"/>
          <w:numId w:val="16"/>
        </w:numPr>
        <w:suppressAutoHyphens/>
        <w:autoSpaceDE w:val="0"/>
        <w:autoSpaceDN w:val="0"/>
        <w:adjustRightInd w:val="0"/>
        <w:jc w:val="both"/>
        <w:rPr>
          <w:sz w:val="28"/>
        </w:rPr>
      </w:pPr>
      <w:r w:rsidRPr="002C657D">
        <w:rPr>
          <w:sz w:val="28"/>
        </w:rPr>
        <w:t xml:space="preserve">vienkāršot procedūras Eiropas Profesionālās kartes ieviešanai, lai šādas kartes turētāji nākotnē varētu izmantot Iekšējā tirgus informācijas sistēmas (IMI) priekšrocības; </w:t>
      </w:r>
    </w:p>
    <w:p w:rsidR="002C657D" w:rsidRPr="002C657D"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t>reformēt pamatnoteikumus tiesību veikt uzņēmējdarbību vai sniegt pakalpojumus reglamentētajās profesijās iegūšanai citā ES dalībvalstī;</w:t>
      </w:r>
    </w:p>
    <w:p w:rsidR="002C657D" w:rsidRPr="002C657D"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lastRenderedPageBreak/>
        <w:t xml:space="preserve">modernizēt speciālās (automātiskās) profesionālās kvalifikācijas atzīšanas sistēmu medicīnas māsām, vecmātēm, farmaceitiem un arhitektiem; </w:t>
      </w:r>
    </w:p>
    <w:p w:rsidR="002C657D" w:rsidRPr="002C657D"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t>iekļaut direktīvas tiesiskajā regulējumā profesionāļus ar daļējām kvalifikācijām un notārus;</w:t>
      </w:r>
    </w:p>
    <w:p w:rsidR="002C657D" w:rsidRPr="002C657D"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t>precizēt direktīvā paredzētos pacientu tiesību aizsardzības mehānismus attiecībā uz veselības aprūpes profesionāļu valodas zināšanām un ierobežojumiem vai aizliegumu veikt profesionālo darbību savā dalībvalstī;</w:t>
      </w:r>
    </w:p>
    <w:p w:rsidR="00792331"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t>izveidot t</w:t>
      </w:r>
      <w:r w:rsidR="00792331">
        <w:rPr>
          <w:noProof/>
          <w:sz w:val="28"/>
        </w:rPr>
        <w:t>iesisko regulējumu, lai</w:t>
      </w:r>
      <w:r w:rsidRPr="002C657D">
        <w:rPr>
          <w:noProof/>
          <w:sz w:val="28"/>
        </w:rPr>
        <w:t xml:space="preserve"> noteiktu dalībvalstīm pienākumu lietotājam draudzīgas un saturiski noderīgas informācijas sniegšanai par profesionālās kvalifikācijas atzīšanas noteikumiem attiecīgajā dalībvalstī un ieviestu e-pārvaldības procesus visā atzīšanas proc</w:t>
      </w:r>
      <w:r w:rsidR="00792331">
        <w:rPr>
          <w:noProof/>
          <w:sz w:val="28"/>
        </w:rPr>
        <w:t>esā;</w:t>
      </w:r>
    </w:p>
    <w:p w:rsidR="002C657D" w:rsidRPr="002C657D" w:rsidRDefault="002C657D" w:rsidP="002C657D">
      <w:pPr>
        <w:pStyle w:val="ListParagraph"/>
        <w:numPr>
          <w:ilvl w:val="0"/>
          <w:numId w:val="16"/>
        </w:numPr>
        <w:suppressAutoHyphens/>
        <w:autoSpaceDE w:val="0"/>
        <w:autoSpaceDN w:val="0"/>
        <w:adjustRightInd w:val="0"/>
        <w:jc w:val="both"/>
        <w:rPr>
          <w:noProof/>
          <w:sz w:val="28"/>
        </w:rPr>
      </w:pPr>
      <w:r w:rsidRPr="002C657D">
        <w:rPr>
          <w:noProof/>
          <w:sz w:val="28"/>
        </w:rPr>
        <w:t>uzsāktu  sistemātiskas pārbaudes un visu reglamentēto profesiju izvērtēšanu dalībvalstīs.</w:t>
      </w:r>
    </w:p>
    <w:p w:rsidR="002C657D" w:rsidRPr="002C657D" w:rsidRDefault="002C657D" w:rsidP="002C657D">
      <w:pPr>
        <w:pStyle w:val="ListParagraph"/>
        <w:autoSpaceDE w:val="0"/>
        <w:autoSpaceDN w:val="0"/>
        <w:adjustRightInd w:val="0"/>
        <w:ind w:left="1080"/>
        <w:jc w:val="both"/>
        <w:rPr>
          <w:noProof/>
          <w:sz w:val="28"/>
        </w:rPr>
      </w:pPr>
    </w:p>
    <w:p w:rsidR="002C657D" w:rsidRPr="002C657D" w:rsidRDefault="002C657D" w:rsidP="002C657D">
      <w:pPr>
        <w:autoSpaceDE w:val="0"/>
        <w:autoSpaceDN w:val="0"/>
        <w:adjustRightInd w:val="0"/>
        <w:spacing w:after="120"/>
        <w:ind w:firstLine="720"/>
        <w:jc w:val="both"/>
        <w:rPr>
          <w:noProof/>
          <w:sz w:val="28"/>
        </w:rPr>
      </w:pPr>
      <w:r w:rsidRPr="002C657D">
        <w:rPr>
          <w:noProof/>
          <w:sz w:val="28"/>
        </w:rPr>
        <w:t>Dānijas prezidentūras laikā direktīvas priekšlikumu sāka izskatīt Padomes Uzņēmējdarbības un pakalpojumu darba grupā</w:t>
      </w:r>
      <w:r w:rsidR="00792331">
        <w:rPr>
          <w:noProof/>
          <w:sz w:val="28"/>
        </w:rPr>
        <w:t>,</w:t>
      </w:r>
      <w:r w:rsidRPr="002C657D">
        <w:rPr>
          <w:noProof/>
          <w:sz w:val="28"/>
        </w:rPr>
        <w:t xml:space="preserve"> un 2012.gada 30.maija Konkurētspējas </w:t>
      </w:r>
      <w:r w:rsidR="00792331">
        <w:rPr>
          <w:noProof/>
          <w:sz w:val="28"/>
        </w:rPr>
        <w:t>m</w:t>
      </w:r>
      <w:r w:rsidRPr="002C657D">
        <w:rPr>
          <w:noProof/>
          <w:sz w:val="28"/>
        </w:rPr>
        <w:t>inistru padomē notika ministru diskusija par Eiropas Profesionālo karti. Dānijas prezidentūras noslēgumā tika sagatavots pirmais kompromisa teksts (dok. Nr.11824/12). Direktīvas priekšlikuma izskatīšana turpinājās Kipras prezidentūras ietvaros, un 2012.gada 30.oktobrī Kipras prezidentūra nāca klajā ar otro kompromisa tekstu (15463/12). Padomes darba grupā izskatot Kipras prezidentūras kompromisa tekstu, dalībvalstis jau ir vienojušās par kopīgu redzējumu profesionālo kvalifikāciju atzīšanas sistēmas modernizācijai par lielāko daļu no direktīvas priekšlikumā iek</w:t>
      </w:r>
      <w:r w:rsidR="00792331">
        <w:rPr>
          <w:noProof/>
          <w:sz w:val="28"/>
        </w:rPr>
        <w:t>ļautajiem priekšlikumiem. Tomēr</w:t>
      </w:r>
      <w:r w:rsidRPr="002C657D">
        <w:rPr>
          <w:noProof/>
          <w:sz w:val="28"/>
        </w:rPr>
        <w:t xml:space="preserve"> darba grupā dalībvalstis un Eiropas Komisija vēl nav vienojušās par šādiem direktīvas priekšlikumā iekļautajiem jautājumiem:</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apmaksātas prakses jēdziena definēšanu un iekļaušanu direktīvas priekšlikumā;</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Eiropas Profesionālās kartes ieviešanu;</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notāra profesijas iekļaušanu direktīvas tvērumā;</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deleģēto tiesību aktu un ieviešanas tiesību aktu lietošanu direktīvas piemērošanā;</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daļējas piekļuves reglamentētajai profesijai principa piemērošanu profesionālo kvalifikāciju atzīšanai;</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medicīnas māsas profesionālās kvalifikācijas iegūšanas un atzīšanas principiem;</w:t>
      </w:r>
    </w:p>
    <w:p w:rsidR="002C657D" w:rsidRPr="002C657D" w:rsidRDefault="002C657D" w:rsidP="002C657D">
      <w:pPr>
        <w:pStyle w:val="ListParagraph"/>
        <w:numPr>
          <w:ilvl w:val="0"/>
          <w:numId w:val="17"/>
        </w:numPr>
        <w:autoSpaceDE w:val="0"/>
        <w:autoSpaceDN w:val="0"/>
        <w:adjustRightInd w:val="0"/>
        <w:spacing w:after="120"/>
        <w:jc w:val="both"/>
        <w:rPr>
          <w:noProof/>
          <w:sz w:val="28"/>
        </w:rPr>
      </w:pPr>
      <w:r w:rsidRPr="002C657D">
        <w:rPr>
          <w:noProof/>
          <w:sz w:val="28"/>
        </w:rPr>
        <w:t>arhitektu apmācības ilgumu un praksi;</w:t>
      </w:r>
    </w:p>
    <w:p w:rsidR="002C657D" w:rsidRPr="002C657D" w:rsidRDefault="00792331" w:rsidP="002C657D">
      <w:pPr>
        <w:pStyle w:val="ListParagraph"/>
        <w:numPr>
          <w:ilvl w:val="0"/>
          <w:numId w:val="17"/>
        </w:numPr>
        <w:autoSpaceDE w:val="0"/>
        <w:autoSpaceDN w:val="0"/>
        <w:adjustRightInd w:val="0"/>
        <w:spacing w:after="120"/>
        <w:jc w:val="both"/>
        <w:rPr>
          <w:noProof/>
          <w:sz w:val="28"/>
        </w:rPr>
      </w:pPr>
      <w:r>
        <w:rPr>
          <w:noProof/>
          <w:sz w:val="28"/>
        </w:rPr>
        <w:t>valodas pārbaužu veikšanu</w:t>
      </w:r>
      <w:r w:rsidR="002C657D" w:rsidRPr="002C657D">
        <w:rPr>
          <w:noProof/>
          <w:sz w:val="28"/>
        </w:rPr>
        <w:t xml:space="preserve"> profesionālās kvalifikācijas atzīšanas kontekstā.</w:t>
      </w:r>
    </w:p>
    <w:p w:rsidR="002902E4" w:rsidRPr="00487328" w:rsidRDefault="00227FFB" w:rsidP="00E369AA">
      <w:pPr>
        <w:jc w:val="both"/>
        <w:rPr>
          <w:rFonts w:eastAsia="Calibri"/>
          <w:b/>
          <w:sz w:val="28"/>
          <w:szCs w:val="28"/>
          <w:highlight w:val="yellow"/>
          <w:u w:val="single"/>
          <w:lang w:eastAsia="en-US"/>
        </w:rPr>
      </w:pPr>
      <w:r w:rsidRPr="002C657D">
        <w:rPr>
          <w:sz w:val="32"/>
          <w:szCs w:val="28"/>
        </w:rPr>
        <w:tab/>
      </w:r>
    </w:p>
    <w:p w:rsidR="006031F7" w:rsidRPr="002902E4" w:rsidRDefault="006031F7" w:rsidP="004C1552">
      <w:pPr>
        <w:spacing w:after="120"/>
        <w:jc w:val="both"/>
        <w:rPr>
          <w:rFonts w:eastAsia="Calibri"/>
          <w:b/>
          <w:sz w:val="28"/>
          <w:szCs w:val="28"/>
          <w:u w:val="single"/>
          <w:lang w:eastAsia="en-US"/>
        </w:rPr>
      </w:pPr>
      <w:r w:rsidRPr="002902E4">
        <w:rPr>
          <w:rFonts w:eastAsia="Calibri"/>
          <w:b/>
          <w:sz w:val="28"/>
          <w:szCs w:val="28"/>
          <w:u w:val="single"/>
          <w:lang w:eastAsia="en-US"/>
        </w:rPr>
        <w:lastRenderedPageBreak/>
        <w:t>Latvijas pozīcija:</w:t>
      </w:r>
      <w:r w:rsidR="009C3C35" w:rsidRPr="009C3C35">
        <w:rPr>
          <w:rStyle w:val="FootnoteReference"/>
          <w:i/>
          <w:sz w:val="28"/>
          <w:szCs w:val="28"/>
        </w:rPr>
        <w:t xml:space="preserve"> </w:t>
      </w:r>
      <w:r w:rsidR="009C3C35">
        <w:rPr>
          <w:rStyle w:val="FootnoteReference"/>
          <w:i/>
          <w:sz w:val="28"/>
          <w:szCs w:val="28"/>
        </w:rPr>
        <w:footnoteReference w:id="1"/>
      </w:r>
    </w:p>
    <w:p w:rsidR="002C657D" w:rsidRPr="002C657D" w:rsidRDefault="002C657D" w:rsidP="002C657D">
      <w:pPr>
        <w:autoSpaceDE w:val="0"/>
        <w:autoSpaceDN w:val="0"/>
        <w:adjustRightInd w:val="0"/>
        <w:spacing w:after="120"/>
        <w:ind w:firstLine="720"/>
        <w:jc w:val="both"/>
        <w:rPr>
          <w:noProof/>
          <w:sz w:val="28"/>
        </w:rPr>
      </w:pPr>
      <w:r w:rsidRPr="002C657D">
        <w:rPr>
          <w:b/>
          <w:noProof/>
          <w:sz w:val="28"/>
        </w:rPr>
        <w:t>Latvija atzinīgi vērtē</w:t>
      </w:r>
      <w:r w:rsidRPr="002C657D">
        <w:rPr>
          <w:noProof/>
          <w:sz w:val="28"/>
        </w:rPr>
        <w:t xml:space="preserve"> sasniegto progresu direktīvas priekšlikuma izskatīšanā un Kipras prezidentūras paveikto nolūkā panākt vienošanos par direktīvas priekšlikuma tekstu. </w:t>
      </w:r>
    </w:p>
    <w:p w:rsidR="002C657D" w:rsidRPr="002C657D" w:rsidRDefault="002C657D" w:rsidP="002C657D">
      <w:pPr>
        <w:autoSpaceDE w:val="0"/>
        <w:autoSpaceDN w:val="0"/>
        <w:adjustRightInd w:val="0"/>
        <w:spacing w:after="120"/>
        <w:ind w:firstLine="720"/>
        <w:jc w:val="both"/>
        <w:rPr>
          <w:noProof/>
          <w:sz w:val="28"/>
        </w:rPr>
      </w:pPr>
      <w:r w:rsidRPr="002C657D">
        <w:rPr>
          <w:b/>
          <w:noProof/>
          <w:sz w:val="28"/>
        </w:rPr>
        <w:t>Latvija uzskata</w:t>
      </w:r>
      <w:r w:rsidRPr="002C657D">
        <w:rPr>
          <w:noProof/>
          <w:sz w:val="28"/>
        </w:rPr>
        <w:t>, ka Eiropas Profesionālās kartes jomā kopumā sasniegtais kompromiss vērtējams pozitīvi</w:t>
      </w:r>
      <w:r w:rsidR="00792331">
        <w:rPr>
          <w:noProof/>
          <w:sz w:val="28"/>
        </w:rPr>
        <w:t>.</w:t>
      </w:r>
      <w:r w:rsidRPr="002C657D">
        <w:rPr>
          <w:noProof/>
          <w:sz w:val="28"/>
        </w:rPr>
        <w:t xml:space="preserve"> </w:t>
      </w:r>
      <w:r w:rsidR="00792331">
        <w:rPr>
          <w:noProof/>
          <w:sz w:val="28"/>
        </w:rPr>
        <w:t>I</w:t>
      </w:r>
      <w:r w:rsidRPr="002C657D">
        <w:rPr>
          <w:noProof/>
          <w:sz w:val="28"/>
        </w:rPr>
        <w:t>r palikuši daži diskutējami jautājumi. Latvijai ir izpētes atruna par Eiropas Profesionālās kartes izdošanu profesijās, kuras Latvijā nav reglamentētas.</w:t>
      </w:r>
    </w:p>
    <w:p w:rsidR="002C657D" w:rsidRPr="002C657D" w:rsidRDefault="002C657D" w:rsidP="002C657D">
      <w:pPr>
        <w:autoSpaceDE w:val="0"/>
        <w:autoSpaceDN w:val="0"/>
        <w:adjustRightInd w:val="0"/>
        <w:spacing w:after="120"/>
        <w:ind w:firstLine="720"/>
        <w:jc w:val="both"/>
        <w:rPr>
          <w:noProof/>
          <w:sz w:val="28"/>
        </w:rPr>
      </w:pPr>
      <w:r w:rsidRPr="002C657D">
        <w:rPr>
          <w:b/>
          <w:noProof/>
          <w:sz w:val="28"/>
        </w:rPr>
        <w:t xml:space="preserve">Latvija atzinīgi vērtē </w:t>
      </w:r>
      <w:r w:rsidRPr="002C657D">
        <w:rPr>
          <w:noProof/>
          <w:sz w:val="28"/>
        </w:rPr>
        <w:t>Kipras prezidentūras tekstā precizēto redakciju par administratīvajām procedūrām Eiropas profesionālās kartes ieviešanā, kas samazina administratīvo slogu dalībvalstīm.</w:t>
      </w:r>
    </w:p>
    <w:p w:rsidR="002C657D" w:rsidRPr="002C657D" w:rsidRDefault="002C657D" w:rsidP="002C657D">
      <w:pPr>
        <w:autoSpaceDE w:val="0"/>
        <w:autoSpaceDN w:val="0"/>
        <w:adjustRightInd w:val="0"/>
        <w:spacing w:after="120"/>
        <w:ind w:firstLine="720"/>
        <w:jc w:val="both"/>
        <w:rPr>
          <w:noProof/>
          <w:sz w:val="28"/>
        </w:rPr>
      </w:pPr>
      <w:r w:rsidRPr="002C657D">
        <w:rPr>
          <w:b/>
          <w:noProof/>
          <w:sz w:val="28"/>
        </w:rPr>
        <w:t>Latvija iebilst</w:t>
      </w:r>
      <w:r w:rsidRPr="002C657D">
        <w:rPr>
          <w:noProof/>
          <w:sz w:val="28"/>
        </w:rPr>
        <w:t xml:space="preserve"> zvērināta notāra profesijas iekļaušanai direktīvas tvērumā.</w:t>
      </w:r>
    </w:p>
    <w:p w:rsidR="002C657D" w:rsidRDefault="002C657D" w:rsidP="002C657D">
      <w:pPr>
        <w:autoSpaceDE w:val="0"/>
        <w:autoSpaceDN w:val="0"/>
        <w:adjustRightInd w:val="0"/>
        <w:spacing w:after="120"/>
        <w:ind w:firstLine="720"/>
        <w:jc w:val="both"/>
        <w:rPr>
          <w:noProof/>
          <w:sz w:val="28"/>
        </w:rPr>
      </w:pPr>
      <w:r w:rsidRPr="002C657D">
        <w:rPr>
          <w:b/>
          <w:noProof/>
          <w:sz w:val="28"/>
        </w:rPr>
        <w:t xml:space="preserve">Latvija iebilst </w:t>
      </w:r>
      <w:r w:rsidRPr="002C657D">
        <w:rPr>
          <w:noProof/>
          <w:sz w:val="28"/>
        </w:rPr>
        <w:t>tam, ka Direktīvā 2005/36/EK par profesionālo kvalifikāciju atzīšanu tiktu noteikts, kas ir kompetentās institūcijas dalībvalstī valsts valodas pārbaužu veikšanai, jo minētā direktīva attiecas tikai uz profesionālo kvalifikāciju atzīšanu, nevis uz valsts valodas lietošanas uzraudzības sistēmu dalībvalstīs. Minētajā jautājumā Latvija vēlas saglabāt spēkā esošās Direktīvas 2005/36/EK par profesionālo kvalifikāciju atzīšanu teksta redakciju minētajā jautājumā. Vienlaikus Latvija pauž cerību, ka jau Īrijas prezidentūras laikā izdosies panākt atbilstošu kompromisu šajā jautājumā.</w:t>
      </w:r>
    </w:p>
    <w:p w:rsidR="002B7AA4" w:rsidRPr="002C657D" w:rsidRDefault="002B7AA4" w:rsidP="002C657D">
      <w:pPr>
        <w:autoSpaceDE w:val="0"/>
        <w:autoSpaceDN w:val="0"/>
        <w:adjustRightInd w:val="0"/>
        <w:spacing w:after="120"/>
        <w:ind w:firstLine="720"/>
        <w:jc w:val="both"/>
        <w:rPr>
          <w:noProof/>
          <w:sz w:val="28"/>
        </w:rPr>
      </w:pPr>
    </w:p>
    <w:p w:rsidR="00897AEF" w:rsidRPr="00487328" w:rsidRDefault="00B03397" w:rsidP="006031F7">
      <w:pPr>
        <w:pBdr>
          <w:bottom w:val="single" w:sz="4" w:space="1" w:color="auto"/>
        </w:pBdr>
        <w:autoSpaceDE w:val="0"/>
        <w:autoSpaceDN w:val="0"/>
        <w:adjustRightInd w:val="0"/>
        <w:jc w:val="both"/>
        <w:rPr>
          <w:i/>
          <w:sz w:val="28"/>
          <w:szCs w:val="28"/>
          <w:highlight w:val="yellow"/>
          <w:u w:val="single"/>
        </w:rPr>
      </w:pPr>
      <w:r w:rsidRPr="007549E1">
        <w:rPr>
          <w:b/>
          <w:sz w:val="28"/>
          <w:szCs w:val="28"/>
        </w:rPr>
        <w:t>1.</w:t>
      </w:r>
      <w:r w:rsidR="00897AEF" w:rsidRPr="007549E1">
        <w:rPr>
          <w:b/>
          <w:sz w:val="28"/>
          <w:szCs w:val="28"/>
        </w:rPr>
        <w:t xml:space="preserve">2. </w:t>
      </w:r>
      <w:r w:rsidR="00920D5B" w:rsidRPr="00920D5B">
        <w:rPr>
          <w:b/>
          <w:sz w:val="28"/>
          <w:szCs w:val="28"/>
        </w:rPr>
        <w:t>Vienots patents un starptautisks nolīgums par Vienoto patentu tiesu</w:t>
      </w:r>
      <w:r w:rsidR="00920D5B">
        <w:rPr>
          <w:b/>
          <w:sz w:val="28"/>
          <w:szCs w:val="28"/>
        </w:rPr>
        <w:t xml:space="preserve"> </w:t>
      </w:r>
      <w:r w:rsidR="00920D5B">
        <w:rPr>
          <w:i/>
          <w:sz w:val="28"/>
          <w:szCs w:val="28"/>
        </w:rPr>
        <w:t>(TM</w:t>
      </w:r>
      <w:r w:rsidR="00920D5B" w:rsidRPr="004F0096">
        <w:rPr>
          <w:i/>
          <w:sz w:val="28"/>
          <w:szCs w:val="28"/>
        </w:rPr>
        <w:t xml:space="preserve"> kompetence)</w:t>
      </w:r>
    </w:p>
    <w:p w:rsidR="00BC652F" w:rsidRPr="00920D5B" w:rsidRDefault="00920D5B" w:rsidP="00014E4E">
      <w:pPr>
        <w:jc w:val="both"/>
        <w:rPr>
          <w:i/>
          <w:sz w:val="28"/>
          <w:szCs w:val="28"/>
        </w:rPr>
      </w:pPr>
      <w:r w:rsidRPr="00920D5B">
        <w:rPr>
          <w:i/>
          <w:sz w:val="28"/>
          <w:szCs w:val="28"/>
        </w:rPr>
        <w:t xml:space="preserve">- </w:t>
      </w:r>
      <w:r>
        <w:rPr>
          <w:i/>
          <w:sz w:val="28"/>
          <w:szCs w:val="28"/>
        </w:rPr>
        <w:t>P</w:t>
      </w:r>
      <w:r w:rsidRPr="00920D5B">
        <w:rPr>
          <w:i/>
          <w:sz w:val="28"/>
          <w:szCs w:val="28"/>
        </w:rPr>
        <w:t>rezidentvalsts sniegta informācija par pašreizējo stāvokli un galīgā dokumentu kopuma apstiprināšana</w:t>
      </w:r>
    </w:p>
    <w:p w:rsidR="00BC652F" w:rsidRDefault="00BC652F" w:rsidP="00014E4E">
      <w:pPr>
        <w:jc w:val="both"/>
        <w:rPr>
          <w:b/>
          <w:sz w:val="28"/>
          <w:szCs w:val="28"/>
        </w:rPr>
      </w:pPr>
    </w:p>
    <w:p w:rsidR="00BD6689" w:rsidRPr="00BD6689" w:rsidRDefault="00792331" w:rsidP="00BD6689">
      <w:pPr>
        <w:ind w:left="126" w:right="127" w:firstLine="594"/>
        <w:jc w:val="both"/>
        <w:rPr>
          <w:sz w:val="28"/>
        </w:rPr>
      </w:pPr>
      <w:r>
        <w:rPr>
          <w:sz w:val="28"/>
        </w:rPr>
        <w:t>Prezidentvalsts</w:t>
      </w:r>
      <w:r w:rsidR="00BD6689" w:rsidRPr="00BD6689">
        <w:rPr>
          <w:sz w:val="28"/>
        </w:rPr>
        <w:t xml:space="preserve"> sanāksmes ietvaros plāno informēt dalībvalstu ministrus par aktuālo situāciju attiecībā uz vienotās ES patentu sistēmas izstrādi, kā arī panākt politisko vienošanos par vienotās ES patenta sistēmas visiem elementiem. Vienotās ES patentu sistēmas elementi ir ES patents, ES patentu tulkošana un vienota patentu tiesvedības sistēma.</w:t>
      </w:r>
    </w:p>
    <w:p w:rsidR="00BD6689" w:rsidRPr="00BD6689" w:rsidRDefault="00BD6689" w:rsidP="00BD6689">
      <w:pPr>
        <w:ind w:left="126" w:right="127" w:firstLine="594"/>
        <w:jc w:val="both"/>
        <w:rPr>
          <w:sz w:val="28"/>
        </w:rPr>
      </w:pPr>
      <w:r w:rsidRPr="00BD6689">
        <w:rPr>
          <w:sz w:val="28"/>
        </w:rPr>
        <w:t xml:space="preserve">Gadījumā, ja šajā Padomes sanāksmē tiks panākta vienošanās par visiem vienotās ES patenta sistēmas elementiem, tad ilggadējs darbs pie vienotās ES patentu sistēmas izstrādes tiks noslēgts. </w:t>
      </w:r>
    </w:p>
    <w:p w:rsidR="00BD6689" w:rsidRPr="00BD6689" w:rsidRDefault="00BD6689" w:rsidP="00BD6689">
      <w:pPr>
        <w:pStyle w:val="naiskr"/>
        <w:spacing w:before="0" w:beforeAutospacing="0" w:after="0" w:afterAutospacing="0"/>
        <w:ind w:firstLine="720"/>
        <w:jc w:val="both"/>
        <w:rPr>
          <w:sz w:val="28"/>
        </w:rPr>
      </w:pPr>
      <w:r w:rsidRPr="00BD6689">
        <w:rPr>
          <w:sz w:val="28"/>
        </w:rPr>
        <w:lastRenderedPageBreak/>
        <w:t xml:space="preserve">2011.gada 10.martā ES Padomes sanāksmē tika pieņemts lēmums 2011/167/ES, ar ko atļauj ciešāku sadarbību attiecībā uz vienotās patentu aizsardzības izveidi. Ciešākas sadarbības mehānismā ir iesaistījušās 25 ES dalībvalstis, tai skaitā Latvija. </w:t>
      </w:r>
    </w:p>
    <w:p w:rsidR="00BD6689" w:rsidRPr="00BD6689" w:rsidRDefault="00BD6689" w:rsidP="00BD6689">
      <w:pPr>
        <w:pStyle w:val="ListParagraph"/>
        <w:tabs>
          <w:tab w:val="left" w:pos="709"/>
        </w:tabs>
        <w:ind w:left="0" w:right="-1"/>
        <w:jc w:val="both"/>
        <w:rPr>
          <w:sz w:val="28"/>
        </w:rPr>
      </w:pPr>
      <w:r w:rsidRPr="00BD6689">
        <w:rPr>
          <w:sz w:val="28"/>
        </w:rPr>
        <w:tab/>
        <w:t xml:space="preserve">2011.gada 27.jūnijā ES Padome noslēdza darbu pie regulas par ciešāko sadarbību saistībā ar vienotās patenta aizsardzības izveidi un regulas par ciešāko sadarbību saistībā ar vienotās patenta aizsardzības izveidi attiecībā uz piemērojamo </w:t>
      </w:r>
      <w:r w:rsidRPr="00BD6689">
        <w:rPr>
          <w:bCs/>
          <w:sz w:val="28"/>
        </w:rPr>
        <w:t>tulkošanas kārtību (turpmāk – Regulas projekti)</w:t>
      </w:r>
      <w:r w:rsidRPr="00BD6689">
        <w:rPr>
          <w:sz w:val="28"/>
        </w:rPr>
        <w:t xml:space="preserve">, attiecīgi uzsākot sarunas ar Eiropas Parlamentu. </w:t>
      </w:r>
    </w:p>
    <w:p w:rsidR="00BD6689" w:rsidRDefault="00BD6689" w:rsidP="00BD6689">
      <w:pPr>
        <w:ind w:firstLine="720"/>
        <w:jc w:val="both"/>
        <w:rPr>
          <w:bCs/>
          <w:sz w:val="28"/>
        </w:rPr>
      </w:pPr>
      <w:r w:rsidRPr="00BD6689">
        <w:rPr>
          <w:sz w:val="28"/>
        </w:rPr>
        <w:t>Lai uzsāktu darbu pie tiesvedības sistēmas izveides, Eiropas Komisija 2011. gada 14. jūnijā nāca klajā ar Līguma projektu par Patentu tiesas izveidi (turpmāk – Līgums)</w:t>
      </w:r>
      <w:r w:rsidRPr="00BD6689">
        <w:rPr>
          <w:i/>
          <w:sz w:val="28"/>
        </w:rPr>
        <w:t xml:space="preserve">. </w:t>
      </w:r>
      <w:r w:rsidRPr="00BD6689">
        <w:rPr>
          <w:sz w:val="28"/>
        </w:rPr>
        <w:t xml:space="preserve">Patentu tiesas sistēma plānota kā ekskluzīva patentu tiesas sistēma, kurā tiktu skatīti Eiropas patenta un nākotnē arī ES patenta strīdi, proti, lietas par patentu anulēšanu, patentu pārkāpumi un citi ar patentiem saistīti strīdi. Patentu tiesa tiek plānota kā specializēta patentu tiesa, kuras spriedumiem būs spēks visās Līguma projektā iesaistīto dalībvalstu teritorijās. 2012. gada 30. janvāra neformālajā Eiropadomē dalībvalstu valdību vadītāji apņēmās politisko vienošanos par Centrālās nodaļas atrašanās vietu un Līguma tekstu kopumā panākt līdz 2012.gada jūnija beigām. </w:t>
      </w:r>
      <w:r w:rsidRPr="00BD6689">
        <w:rPr>
          <w:bCs/>
          <w:sz w:val="28"/>
        </w:rPr>
        <w:t xml:space="preserve">Ņemot vērā jautājuma politisko un ekonomisko nozīmi, Dānijas un Kipras prezidentūras jautājumu par Patentu tiesu turpināja risināt kā neformāli un divpusēji, tā </w:t>
      </w:r>
      <w:r w:rsidRPr="00BD6689">
        <w:rPr>
          <w:sz w:val="28"/>
          <w:lang w:eastAsia="de-DE"/>
        </w:rPr>
        <w:t xml:space="preserve">ES Padomes Prezidentūras draugu grupas un </w:t>
      </w:r>
      <w:r w:rsidRPr="00BD6689">
        <w:rPr>
          <w:sz w:val="28"/>
        </w:rPr>
        <w:t>Pastāvīgo pārstāvju komitejas sanāksmēs</w:t>
      </w:r>
      <w:r w:rsidRPr="00BD6689">
        <w:rPr>
          <w:bCs/>
          <w:sz w:val="28"/>
        </w:rPr>
        <w:t xml:space="preserve">. </w:t>
      </w:r>
    </w:p>
    <w:p w:rsidR="00BD6689" w:rsidRDefault="00BD6689" w:rsidP="00BD6689">
      <w:pPr>
        <w:ind w:firstLine="720"/>
        <w:jc w:val="both"/>
        <w:rPr>
          <w:bCs/>
          <w:sz w:val="28"/>
        </w:rPr>
      </w:pPr>
    </w:p>
    <w:p w:rsidR="00BD6689" w:rsidRPr="00CC0AAE" w:rsidRDefault="00BD6689" w:rsidP="00BD6689">
      <w:pPr>
        <w:spacing w:after="120"/>
        <w:jc w:val="both"/>
        <w:rPr>
          <w:rFonts w:eastAsia="Calibri"/>
          <w:b/>
          <w:sz w:val="28"/>
          <w:szCs w:val="28"/>
          <w:u w:val="single"/>
          <w:lang w:eastAsia="en-US"/>
        </w:rPr>
      </w:pPr>
      <w:r w:rsidRPr="00CC0AAE">
        <w:rPr>
          <w:rFonts w:eastAsia="Calibri"/>
          <w:b/>
          <w:sz w:val="28"/>
          <w:szCs w:val="28"/>
          <w:u w:val="single"/>
          <w:lang w:eastAsia="en-US"/>
        </w:rPr>
        <w:t>Latvijas pozīcija:</w:t>
      </w:r>
    </w:p>
    <w:p w:rsidR="00BD6689" w:rsidRPr="00BD6689" w:rsidRDefault="00BD6689" w:rsidP="00BD6689">
      <w:pPr>
        <w:ind w:firstLine="720"/>
        <w:jc w:val="both"/>
        <w:rPr>
          <w:sz w:val="28"/>
        </w:rPr>
      </w:pPr>
    </w:p>
    <w:p w:rsidR="00916B92" w:rsidRDefault="00BD6689" w:rsidP="00BD6689">
      <w:pPr>
        <w:tabs>
          <w:tab w:val="left" w:pos="4820"/>
        </w:tabs>
        <w:ind w:right="-1" w:firstLine="709"/>
        <w:jc w:val="both"/>
        <w:rPr>
          <w:sz w:val="28"/>
        </w:rPr>
      </w:pPr>
      <w:r w:rsidRPr="00BD6689">
        <w:rPr>
          <w:b/>
          <w:iCs/>
          <w:sz w:val="28"/>
        </w:rPr>
        <w:t>Latvija novērtē</w:t>
      </w:r>
      <w:r w:rsidRPr="00BD6689">
        <w:rPr>
          <w:iCs/>
          <w:sz w:val="28"/>
        </w:rPr>
        <w:t xml:space="preserve"> ilggadējo darbu un ieguldītās pūles vienotās ES patenta sistēmas izstrādē un </w:t>
      </w:r>
      <w:r w:rsidRPr="00BD6689">
        <w:rPr>
          <w:b/>
          <w:iCs/>
          <w:sz w:val="28"/>
        </w:rPr>
        <w:t>uzskata</w:t>
      </w:r>
      <w:r w:rsidRPr="00BD6689">
        <w:rPr>
          <w:iCs/>
          <w:sz w:val="28"/>
        </w:rPr>
        <w:t xml:space="preserve">, ka svarīgi ir panākt vienošanos pēc iespējas ātrāk ar mērķi nodrošināt lētāku un pieejamāku patentēšanu, kas ir </w:t>
      </w:r>
      <w:r w:rsidRPr="00BD6689">
        <w:rPr>
          <w:sz w:val="28"/>
        </w:rPr>
        <w:t xml:space="preserve">būtiska inovāciju attīstībai un izaugsmei kopumā, veicinot uzņēmumu konkurētspēju Eiropas tirgū. </w:t>
      </w:r>
    </w:p>
    <w:p w:rsidR="00BD6689" w:rsidRPr="00BD6689" w:rsidRDefault="00916B92" w:rsidP="00916B92">
      <w:pPr>
        <w:ind w:right="-1"/>
        <w:jc w:val="both"/>
        <w:rPr>
          <w:bCs/>
          <w:sz w:val="28"/>
        </w:rPr>
      </w:pPr>
      <w:r>
        <w:rPr>
          <w:sz w:val="28"/>
        </w:rPr>
        <w:tab/>
      </w:r>
      <w:r w:rsidR="00BD6689" w:rsidRPr="00BD6689">
        <w:rPr>
          <w:b/>
          <w:sz w:val="28"/>
        </w:rPr>
        <w:t>Latvija uzskata</w:t>
      </w:r>
      <w:r w:rsidR="00BD6689" w:rsidRPr="00BD6689">
        <w:rPr>
          <w:sz w:val="28"/>
        </w:rPr>
        <w:t>, ka 2012.gada 10.decembra ES Padomes sanāksmes ietvaros dalībvalstu ministriem ir jānoslēdz darbs pie vienotās ES patenta sistēmas izstrādes ar mērķi sniegt iespēju uzņēmējiem pēc iespējas ātrāk izmantot sistēmu praksē.</w:t>
      </w:r>
    </w:p>
    <w:p w:rsidR="00BD6689" w:rsidRDefault="00BD6689" w:rsidP="00014E4E">
      <w:pPr>
        <w:jc w:val="both"/>
        <w:rPr>
          <w:b/>
          <w:sz w:val="28"/>
          <w:szCs w:val="28"/>
        </w:rPr>
      </w:pPr>
    </w:p>
    <w:p w:rsidR="00A30479" w:rsidRDefault="00A30479" w:rsidP="00014E4E">
      <w:pPr>
        <w:jc w:val="both"/>
        <w:rPr>
          <w:b/>
          <w:sz w:val="28"/>
          <w:szCs w:val="28"/>
        </w:rPr>
      </w:pPr>
    </w:p>
    <w:p w:rsidR="00A30479" w:rsidRDefault="00A30479" w:rsidP="00014E4E">
      <w:pPr>
        <w:jc w:val="both"/>
        <w:rPr>
          <w:b/>
          <w:sz w:val="28"/>
          <w:szCs w:val="28"/>
        </w:rPr>
      </w:pPr>
    </w:p>
    <w:p w:rsidR="00A30479" w:rsidRDefault="00A30479" w:rsidP="00014E4E">
      <w:pPr>
        <w:jc w:val="both"/>
        <w:rPr>
          <w:b/>
          <w:sz w:val="28"/>
          <w:szCs w:val="28"/>
        </w:rPr>
      </w:pPr>
    </w:p>
    <w:p w:rsidR="00A30479" w:rsidRDefault="00A30479" w:rsidP="00014E4E">
      <w:pPr>
        <w:jc w:val="both"/>
        <w:rPr>
          <w:b/>
          <w:sz w:val="28"/>
          <w:szCs w:val="28"/>
        </w:rPr>
      </w:pPr>
    </w:p>
    <w:p w:rsidR="00A30479" w:rsidRDefault="00A30479" w:rsidP="00014E4E">
      <w:pPr>
        <w:jc w:val="both"/>
        <w:rPr>
          <w:b/>
          <w:sz w:val="28"/>
          <w:szCs w:val="28"/>
        </w:rPr>
      </w:pPr>
    </w:p>
    <w:p w:rsidR="00A30479" w:rsidRDefault="00A30479" w:rsidP="00014E4E">
      <w:pPr>
        <w:jc w:val="both"/>
        <w:rPr>
          <w:b/>
          <w:sz w:val="28"/>
          <w:szCs w:val="28"/>
        </w:rPr>
      </w:pPr>
    </w:p>
    <w:p w:rsidR="004F0096" w:rsidRPr="00025B33" w:rsidRDefault="004F0096" w:rsidP="007C418C">
      <w:pPr>
        <w:ind w:firstLine="851"/>
        <w:jc w:val="both"/>
        <w:rPr>
          <w:b/>
          <w:sz w:val="28"/>
          <w:szCs w:val="28"/>
        </w:rPr>
      </w:pPr>
    </w:p>
    <w:p w:rsidR="00F25B38" w:rsidRPr="00025B33" w:rsidRDefault="003840A0" w:rsidP="006031F7">
      <w:pPr>
        <w:pBdr>
          <w:bottom w:val="single" w:sz="4" w:space="1" w:color="auto"/>
        </w:pBdr>
        <w:tabs>
          <w:tab w:val="left" w:pos="284"/>
        </w:tabs>
        <w:jc w:val="both"/>
        <w:rPr>
          <w:b/>
          <w:sz w:val="28"/>
          <w:szCs w:val="28"/>
        </w:rPr>
      </w:pPr>
      <w:r w:rsidRPr="00025B33">
        <w:rPr>
          <w:b/>
          <w:sz w:val="28"/>
          <w:szCs w:val="28"/>
        </w:rPr>
        <w:lastRenderedPageBreak/>
        <w:t>1.</w:t>
      </w:r>
      <w:r w:rsidR="000A4384">
        <w:rPr>
          <w:b/>
          <w:sz w:val="28"/>
          <w:szCs w:val="28"/>
        </w:rPr>
        <w:t>3</w:t>
      </w:r>
      <w:r w:rsidRPr="00025B33">
        <w:rPr>
          <w:b/>
          <w:sz w:val="28"/>
          <w:szCs w:val="28"/>
        </w:rPr>
        <w:t xml:space="preserve">. </w:t>
      </w:r>
      <w:r w:rsidR="00920D5B" w:rsidRPr="00920D5B">
        <w:rPr>
          <w:b/>
          <w:sz w:val="28"/>
          <w:szCs w:val="28"/>
        </w:rPr>
        <w:t>Vienotā tirgus akts II</w:t>
      </w:r>
      <w:r w:rsidR="004F0096">
        <w:rPr>
          <w:b/>
          <w:sz w:val="28"/>
          <w:szCs w:val="28"/>
        </w:rPr>
        <w:t xml:space="preserve"> </w:t>
      </w:r>
      <w:r w:rsidR="004F0096" w:rsidRPr="004F0096">
        <w:rPr>
          <w:i/>
          <w:sz w:val="28"/>
          <w:szCs w:val="28"/>
        </w:rPr>
        <w:t>(EM kompetence)</w:t>
      </w:r>
    </w:p>
    <w:p w:rsidR="003840A0" w:rsidRPr="00025B33" w:rsidRDefault="00510883" w:rsidP="006031F7">
      <w:pPr>
        <w:tabs>
          <w:tab w:val="left" w:pos="9288"/>
        </w:tabs>
        <w:jc w:val="both"/>
        <w:rPr>
          <w:i/>
          <w:sz w:val="28"/>
          <w:szCs w:val="28"/>
        </w:rPr>
      </w:pPr>
      <w:r w:rsidRPr="00025B33">
        <w:rPr>
          <w:i/>
          <w:sz w:val="28"/>
          <w:szCs w:val="28"/>
        </w:rPr>
        <w:t xml:space="preserve">- </w:t>
      </w:r>
      <w:r w:rsidR="00920D5B" w:rsidRPr="00920D5B">
        <w:rPr>
          <w:i/>
          <w:sz w:val="28"/>
          <w:szCs w:val="28"/>
        </w:rPr>
        <w:t>Padomes secinājumu pieņemšana</w:t>
      </w:r>
    </w:p>
    <w:p w:rsidR="003840A0" w:rsidRDefault="003840A0" w:rsidP="00CC0AAE">
      <w:pPr>
        <w:jc w:val="both"/>
        <w:rPr>
          <w:sz w:val="28"/>
          <w:szCs w:val="28"/>
        </w:rPr>
      </w:pPr>
    </w:p>
    <w:p w:rsidR="007F4FBC" w:rsidRPr="007F4FBC" w:rsidRDefault="007F4FBC" w:rsidP="007F4FBC">
      <w:pPr>
        <w:jc w:val="both"/>
        <w:rPr>
          <w:sz w:val="28"/>
          <w:szCs w:val="28"/>
        </w:rPr>
      </w:pPr>
      <w:r>
        <w:rPr>
          <w:sz w:val="28"/>
          <w:szCs w:val="28"/>
        </w:rPr>
        <w:tab/>
      </w:r>
      <w:r w:rsidRPr="007F4FBC">
        <w:rPr>
          <w:sz w:val="28"/>
          <w:szCs w:val="28"/>
        </w:rPr>
        <w:t>2012.gada 3.oktobrī tika publicēts Komisijas Paziņojums Eiropas Parlamentam, Padomei, Eiropas Ekonomikas un sociālo lietu komitejai un Reģionu komitejai „</w:t>
      </w:r>
      <w:r w:rsidRPr="006E6817">
        <w:rPr>
          <w:i/>
          <w:sz w:val="28"/>
          <w:szCs w:val="28"/>
        </w:rPr>
        <w:t>II vienotā tirgus akts – Kopā jaunai izaugsmei</w:t>
      </w:r>
      <w:r w:rsidRPr="007F4FBC">
        <w:rPr>
          <w:sz w:val="28"/>
          <w:szCs w:val="28"/>
        </w:rPr>
        <w:t>” (COM(2012) 573) (turpmāk – Vienotā tirgus akts II). Vienotā tirgus akts II izvirza četrus turpmākos prioritāros attīstības virzienus un 12 pasākumus, kuri sniegs ieguldījumu turpmākā Eiropas izaugsmē un veicinās nodarbinā</w:t>
      </w:r>
      <w:r w:rsidR="00A02671">
        <w:rPr>
          <w:sz w:val="28"/>
          <w:szCs w:val="28"/>
        </w:rPr>
        <w:t xml:space="preserve">tību, kā arī sociālo kohēziju. </w:t>
      </w:r>
      <w:r w:rsidRPr="007F4FBC">
        <w:rPr>
          <w:sz w:val="28"/>
          <w:szCs w:val="28"/>
        </w:rPr>
        <w:t xml:space="preserve">Lai paustu Padomes atbalstu Komisijas Vienotā tirgus aktam II, kā arī īsi uzrunātu Komisijas nosauktos rīcības virzienus un pasākumus, </w:t>
      </w:r>
      <w:r w:rsidR="00A02671" w:rsidRPr="00426FD3">
        <w:rPr>
          <w:sz w:val="28"/>
          <w:szCs w:val="28"/>
        </w:rPr>
        <w:t xml:space="preserve">Padomes </w:t>
      </w:r>
      <w:r w:rsidRPr="00426FD3">
        <w:rPr>
          <w:sz w:val="28"/>
          <w:szCs w:val="28"/>
        </w:rPr>
        <w:t>sanāksmē paredzēts apstiprināt Padomes secinājumus „</w:t>
      </w:r>
      <w:r w:rsidR="00A02671" w:rsidRPr="00426FD3">
        <w:rPr>
          <w:i/>
          <w:sz w:val="28"/>
          <w:szCs w:val="28"/>
        </w:rPr>
        <w:t>P</w:t>
      </w:r>
      <w:r w:rsidRPr="00426FD3">
        <w:rPr>
          <w:i/>
          <w:sz w:val="28"/>
          <w:szCs w:val="28"/>
        </w:rPr>
        <w:t>ar Vienotā tirgus aktu II - Kopā jaunai izaugsmei</w:t>
      </w:r>
      <w:r w:rsidRPr="00426FD3">
        <w:rPr>
          <w:sz w:val="28"/>
          <w:szCs w:val="28"/>
        </w:rPr>
        <w:t>”</w:t>
      </w:r>
      <w:r w:rsidRPr="007F4FBC">
        <w:rPr>
          <w:sz w:val="28"/>
          <w:szCs w:val="28"/>
        </w:rPr>
        <w:t>.</w:t>
      </w:r>
    </w:p>
    <w:p w:rsidR="00CC0AAE" w:rsidRDefault="007F4FBC" w:rsidP="007F4FBC">
      <w:pPr>
        <w:jc w:val="both"/>
        <w:rPr>
          <w:sz w:val="28"/>
          <w:szCs w:val="28"/>
        </w:rPr>
      </w:pPr>
      <w:r>
        <w:rPr>
          <w:sz w:val="28"/>
          <w:szCs w:val="28"/>
        </w:rPr>
        <w:tab/>
      </w:r>
      <w:r w:rsidRPr="007F4FBC">
        <w:rPr>
          <w:sz w:val="28"/>
          <w:szCs w:val="28"/>
        </w:rPr>
        <w:t>Padome secinājumu projektā uzsver, ka ES Vienotais tirgus ir radījis ievērojamas izaugsmes un nodarbinātības iespējas pilsoņiem un uzņēmumiem, piedāvājot iespējas brīvi pārvietoties, strādāt</w:t>
      </w:r>
      <w:r w:rsidR="006B4243">
        <w:rPr>
          <w:sz w:val="28"/>
          <w:szCs w:val="28"/>
        </w:rPr>
        <w:t xml:space="preserve"> un investēt ES robežās. Padome</w:t>
      </w:r>
      <w:r w:rsidRPr="007F4FBC">
        <w:rPr>
          <w:sz w:val="28"/>
          <w:szCs w:val="28"/>
        </w:rPr>
        <w:t xml:space="preserve"> uzsver, ka tālāka Vienotā tirgus attīstība ir galvenais elements ES atbildei uz ekonomisko, finanšu un sociālo krīzi, kas skar Eiropu, kā arī to, ka ES Vienotais tirgus spēlē nozīmīgu lomu vidējā un ilgtermiņa ieguvumiem, uzticības stiprināšanai un vīzijas sasniegšanai par augsti konkurētspējīgu sociālā tirgus ekonomikas modeli. Padome apliecina ES Vienotā tirgus ārējās dimensijas nozīmi, īpaši starptautiskās standartizācijas un tirgus uzraudzības jomās.</w:t>
      </w:r>
      <w:r w:rsidR="00767B38">
        <w:rPr>
          <w:sz w:val="28"/>
          <w:szCs w:val="28"/>
        </w:rPr>
        <w:t xml:space="preserve"> </w:t>
      </w:r>
      <w:r w:rsidRPr="007F4FBC">
        <w:rPr>
          <w:sz w:val="28"/>
          <w:szCs w:val="28"/>
        </w:rPr>
        <w:t>Padome atkārtoti pauž mērķi līdz 2012.gada beigām pieņemt pēc iespējas vairāk Vienotā tirgus akta I pasākumus, kā arī adresē Komisijai aicinājumus attiecībā uz koordinētu un efektīvu rīcību un Vienotā tirgus aktā I un II ietverto pasākumu ieviešanu praksē noteiktajos termiņos un aicina Prezidentūru attiecīgi rīkoties, lai paātrinātu šo procesu.</w:t>
      </w:r>
    </w:p>
    <w:p w:rsidR="00A12727" w:rsidRPr="00025B33" w:rsidRDefault="00A12727" w:rsidP="00A12727">
      <w:pPr>
        <w:jc w:val="both"/>
        <w:rPr>
          <w:sz w:val="28"/>
          <w:szCs w:val="28"/>
        </w:rPr>
      </w:pPr>
    </w:p>
    <w:p w:rsidR="006031F7" w:rsidRPr="00CC0AAE" w:rsidRDefault="006031F7" w:rsidP="004C1552">
      <w:pPr>
        <w:spacing w:after="120"/>
        <w:jc w:val="both"/>
        <w:rPr>
          <w:rFonts w:eastAsia="Calibri"/>
          <w:b/>
          <w:sz w:val="28"/>
          <w:szCs w:val="28"/>
          <w:u w:val="single"/>
          <w:lang w:eastAsia="en-US"/>
        </w:rPr>
      </w:pPr>
      <w:r w:rsidRPr="00887393">
        <w:rPr>
          <w:rFonts w:eastAsia="Calibri"/>
          <w:b/>
          <w:sz w:val="28"/>
          <w:szCs w:val="28"/>
          <w:u w:val="single"/>
          <w:lang w:eastAsia="en-US"/>
        </w:rPr>
        <w:t>Latvijas pozīcija:</w:t>
      </w:r>
    </w:p>
    <w:p w:rsidR="00767B38" w:rsidRDefault="00767B38" w:rsidP="00767B38">
      <w:pPr>
        <w:spacing w:before="75" w:after="75"/>
        <w:ind w:firstLine="709"/>
        <w:jc w:val="both"/>
        <w:rPr>
          <w:b/>
          <w:bCs/>
          <w:iCs/>
        </w:rPr>
      </w:pPr>
    </w:p>
    <w:p w:rsidR="00767B38" w:rsidRPr="00887393" w:rsidRDefault="00767B38" w:rsidP="00767B38">
      <w:pPr>
        <w:spacing w:before="75" w:after="75"/>
        <w:ind w:firstLine="709"/>
        <w:jc w:val="both"/>
        <w:rPr>
          <w:bCs/>
          <w:iCs/>
          <w:sz w:val="28"/>
          <w:szCs w:val="28"/>
        </w:rPr>
      </w:pPr>
      <w:r w:rsidRPr="00887393">
        <w:rPr>
          <w:b/>
          <w:bCs/>
          <w:iCs/>
          <w:sz w:val="28"/>
          <w:szCs w:val="28"/>
        </w:rPr>
        <w:t xml:space="preserve">Latvija kopumā atbalsta </w:t>
      </w:r>
      <w:r w:rsidRPr="00887393">
        <w:rPr>
          <w:bCs/>
          <w:iCs/>
          <w:sz w:val="28"/>
          <w:szCs w:val="28"/>
        </w:rPr>
        <w:t>Prezidentūras piedāvāto Padomes secinājumu redakciju un tās apstiprināšanu ES Konkurētspējas ministru padomē,</w:t>
      </w:r>
      <w:r w:rsidR="00F71F1B">
        <w:rPr>
          <w:bCs/>
          <w:iCs/>
          <w:sz w:val="28"/>
          <w:szCs w:val="28"/>
        </w:rPr>
        <w:t xml:space="preserve"> un</w:t>
      </w:r>
      <w:r w:rsidRPr="00887393">
        <w:rPr>
          <w:bCs/>
          <w:iCs/>
          <w:sz w:val="28"/>
          <w:szCs w:val="28"/>
        </w:rPr>
        <w:t xml:space="preserve"> ir gandarīta par ES Vienotā tirgus jautājumiem piešķirto prioritāti.</w:t>
      </w:r>
    </w:p>
    <w:p w:rsidR="00767B38" w:rsidRPr="00887393" w:rsidRDefault="00767B38" w:rsidP="00767B38">
      <w:pPr>
        <w:spacing w:after="120"/>
        <w:ind w:firstLine="709"/>
        <w:jc w:val="both"/>
        <w:rPr>
          <w:sz w:val="28"/>
          <w:szCs w:val="28"/>
        </w:rPr>
      </w:pPr>
      <w:r w:rsidRPr="00887393">
        <w:rPr>
          <w:b/>
          <w:sz w:val="28"/>
          <w:szCs w:val="28"/>
        </w:rPr>
        <w:t>Latvija</w:t>
      </w:r>
      <w:r w:rsidR="00340656">
        <w:rPr>
          <w:b/>
          <w:sz w:val="28"/>
          <w:szCs w:val="28"/>
        </w:rPr>
        <w:t>i</w:t>
      </w:r>
      <w:r w:rsidRPr="00887393">
        <w:rPr>
          <w:b/>
          <w:sz w:val="28"/>
          <w:szCs w:val="28"/>
        </w:rPr>
        <w:t xml:space="preserve"> </w:t>
      </w:r>
      <w:r w:rsidR="00BC2BEF">
        <w:rPr>
          <w:b/>
          <w:sz w:val="28"/>
          <w:szCs w:val="28"/>
        </w:rPr>
        <w:t xml:space="preserve">ir </w:t>
      </w:r>
      <w:r w:rsidRPr="00887393">
        <w:rPr>
          <w:b/>
          <w:sz w:val="28"/>
          <w:szCs w:val="28"/>
        </w:rPr>
        <w:t>svarīgi</w:t>
      </w:r>
      <w:r w:rsidRPr="00887393">
        <w:rPr>
          <w:sz w:val="28"/>
          <w:szCs w:val="28"/>
        </w:rPr>
        <w:t>, ka Padomes</w:t>
      </w:r>
      <w:r w:rsidRPr="00887393">
        <w:rPr>
          <w:bCs/>
          <w:sz w:val="28"/>
          <w:szCs w:val="28"/>
        </w:rPr>
        <w:t xml:space="preserve"> secinājumos paustas pēc iespējas lielākas ambīcijas, nosakot stingrus mērķus ar skaidriem politiskiem uzstādījumiem, lai pēc iespējas ātrāk, efektīvāk un rezultatīvāk sasniegtu Vienotā tirgus aktā II izklāstītos mērķus un </w:t>
      </w:r>
      <w:r w:rsidRPr="00887393">
        <w:rPr>
          <w:sz w:val="28"/>
          <w:szCs w:val="28"/>
        </w:rPr>
        <w:t>nodrošinātu atbilstošu, fokusētu, apņēmīgu un koordinētu rīcību pie nosaukto pasākumu pieņemšanas un realizēšanas.</w:t>
      </w:r>
    </w:p>
    <w:p w:rsidR="00767B38" w:rsidRPr="00887393" w:rsidRDefault="00767B38" w:rsidP="00767B38">
      <w:pPr>
        <w:spacing w:after="120"/>
        <w:ind w:firstLine="709"/>
        <w:jc w:val="both"/>
        <w:rPr>
          <w:bCs/>
          <w:sz w:val="28"/>
          <w:szCs w:val="28"/>
        </w:rPr>
      </w:pPr>
      <w:r w:rsidRPr="00887393">
        <w:rPr>
          <w:b/>
          <w:bCs/>
          <w:sz w:val="28"/>
          <w:szCs w:val="28"/>
        </w:rPr>
        <w:t>Latvija uzsver</w:t>
      </w:r>
      <w:r w:rsidRPr="00887393">
        <w:rPr>
          <w:bCs/>
          <w:sz w:val="28"/>
          <w:szCs w:val="28"/>
        </w:rPr>
        <w:t xml:space="preserve">, ka Vienotā tirgus aktā II minētie pasākumi ir tikai daļa no nepieciešamajām turpmākajām darbībām un </w:t>
      </w:r>
      <w:r w:rsidRPr="00887393">
        <w:rPr>
          <w:sz w:val="28"/>
          <w:szCs w:val="28"/>
        </w:rPr>
        <w:t>ka ES Vienotā tirgus stiprināšana ir pastāvīgs un nebeidzams process,</w:t>
      </w:r>
      <w:r w:rsidRPr="00887393">
        <w:rPr>
          <w:b/>
          <w:sz w:val="28"/>
          <w:szCs w:val="28"/>
        </w:rPr>
        <w:t xml:space="preserve"> </w:t>
      </w:r>
      <w:r w:rsidRPr="00887393">
        <w:rPr>
          <w:sz w:val="28"/>
          <w:szCs w:val="28"/>
        </w:rPr>
        <w:t xml:space="preserve">kam ir nepieciešama gan </w:t>
      </w:r>
      <w:proofErr w:type="spellStart"/>
      <w:r w:rsidRPr="00887393">
        <w:rPr>
          <w:sz w:val="28"/>
          <w:szCs w:val="28"/>
        </w:rPr>
        <w:lastRenderedPageBreak/>
        <w:t>sektorāla</w:t>
      </w:r>
      <w:proofErr w:type="spellEnd"/>
      <w:r w:rsidRPr="00887393">
        <w:rPr>
          <w:sz w:val="28"/>
          <w:szCs w:val="28"/>
        </w:rPr>
        <w:t>, gan arī horizontāla pieeja dažādos līmeņos (ES un nacionālajā līmenī)</w:t>
      </w:r>
      <w:r w:rsidRPr="00887393">
        <w:rPr>
          <w:bCs/>
          <w:sz w:val="28"/>
          <w:szCs w:val="28"/>
        </w:rPr>
        <w:t>, lai nodrošinātu ES Vienotā tirgus izaugsmi un turpmāku attīstību.</w:t>
      </w:r>
    </w:p>
    <w:p w:rsidR="00887393" w:rsidRPr="00887393" w:rsidRDefault="00887393" w:rsidP="00887393">
      <w:pPr>
        <w:spacing w:before="75" w:after="75"/>
        <w:jc w:val="both"/>
        <w:rPr>
          <w:bCs/>
          <w:sz w:val="28"/>
          <w:szCs w:val="28"/>
        </w:rPr>
      </w:pPr>
      <w:r w:rsidRPr="00887393">
        <w:rPr>
          <w:b/>
          <w:bCs/>
          <w:sz w:val="28"/>
          <w:szCs w:val="28"/>
        </w:rPr>
        <w:tab/>
        <w:t>Latvija ir īpaši gandarīta</w:t>
      </w:r>
      <w:r w:rsidRPr="00887393">
        <w:rPr>
          <w:bCs/>
          <w:sz w:val="28"/>
          <w:szCs w:val="28"/>
        </w:rPr>
        <w:t xml:space="preserve">, ka Padomes secinājumu projektā pēc Latvijas ierosinājuma ir ietverts paragrāfs par ES tiesību aktu saskaņotību un nepieciešamība pēc šo tiesību aktu kvalitātes uzlabošanas (Padomes secinājumu 8.punkts). Ir nepieciešama </w:t>
      </w:r>
      <w:r w:rsidRPr="00887393">
        <w:rPr>
          <w:sz w:val="28"/>
          <w:szCs w:val="28"/>
        </w:rPr>
        <w:t>tiesību aktu kvalitātes uzlabošana (tiesību aktu vienkāršošana un vispārēja administratīvā sloga samazināšana, kā arī tiesību aktu fragmentācijas mazināšana un likvidēšana), tiesību aktu korekta un laicīga pārņemšana un efektīva ieviešana</w:t>
      </w:r>
      <w:r w:rsidRPr="00887393">
        <w:rPr>
          <w:bCs/>
          <w:sz w:val="28"/>
          <w:szCs w:val="28"/>
        </w:rPr>
        <w:t xml:space="preserve"> ES Vienotā tirgus fragmentācijas mazināšanai.</w:t>
      </w:r>
    </w:p>
    <w:p w:rsidR="00767B38" w:rsidRPr="00E32C1F" w:rsidRDefault="00E32C1F" w:rsidP="009C3C35">
      <w:pPr>
        <w:spacing w:after="120"/>
        <w:jc w:val="both"/>
        <w:rPr>
          <w:sz w:val="28"/>
          <w:szCs w:val="28"/>
        </w:rPr>
      </w:pPr>
      <w:r>
        <w:rPr>
          <w:b/>
          <w:sz w:val="28"/>
          <w:szCs w:val="28"/>
        </w:rPr>
        <w:tab/>
      </w:r>
      <w:r w:rsidRPr="00E32C1F">
        <w:rPr>
          <w:b/>
          <w:sz w:val="28"/>
          <w:szCs w:val="28"/>
        </w:rPr>
        <w:t>Latvija atbalsta</w:t>
      </w:r>
      <w:r w:rsidRPr="00E32C1F">
        <w:rPr>
          <w:sz w:val="28"/>
          <w:szCs w:val="28"/>
        </w:rPr>
        <w:t xml:space="preserve"> atsauces uz Vienotā tirgus pārvaldību un aicinājumu pēc neatliekamas rīcības, lai Pakalpojumu direktīvā ietvertās darbības efektīvi un pēc iespējas ātrāk ieviestu praksē. Tas uzlabotu tiesību aktu izstrādāšanu, ieviešanu un piemērošanu, kā arī ļautu virzīties uz vēl vairāk integrētu ES pakalpojumu Vienoto tirgu</w:t>
      </w:r>
      <w:r w:rsidR="00340656">
        <w:rPr>
          <w:sz w:val="28"/>
          <w:szCs w:val="28"/>
        </w:rPr>
        <w:t>.</w:t>
      </w:r>
    </w:p>
    <w:p w:rsidR="00E32C1F" w:rsidRDefault="00E32C1F" w:rsidP="009C3C35">
      <w:pPr>
        <w:spacing w:after="120"/>
        <w:jc w:val="both"/>
        <w:rPr>
          <w:b/>
          <w:sz w:val="28"/>
          <w:szCs w:val="28"/>
        </w:rPr>
      </w:pPr>
    </w:p>
    <w:p w:rsidR="009C3C35" w:rsidRPr="009C3C35" w:rsidRDefault="00B120E4" w:rsidP="009C3C35">
      <w:pPr>
        <w:pBdr>
          <w:bottom w:val="single" w:sz="4" w:space="1" w:color="auto"/>
        </w:pBdr>
        <w:autoSpaceDE w:val="0"/>
        <w:autoSpaceDN w:val="0"/>
        <w:adjustRightInd w:val="0"/>
        <w:jc w:val="both"/>
        <w:rPr>
          <w:b/>
          <w:sz w:val="28"/>
          <w:szCs w:val="28"/>
        </w:rPr>
      </w:pPr>
      <w:r>
        <w:rPr>
          <w:b/>
          <w:sz w:val="28"/>
          <w:szCs w:val="28"/>
        </w:rPr>
        <w:t>1.4</w:t>
      </w:r>
      <w:r w:rsidR="009C3C35" w:rsidRPr="007549E1">
        <w:rPr>
          <w:b/>
          <w:sz w:val="28"/>
          <w:szCs w:val="28"/>
        </w:rPr>
        <w:t xml:space="preserve">. </w:t>
      </w:r>
      <w:r w:rsidR="009C3C35">
        <w:rPr>
          <w:b/>
          <w:sz w:val="28"/>
          <w:szCs w:val="28"/>
        </w:rPr>
        <w:t>Rūpniecības</w:t>
      </w:r>
      <w:r w:rsidR="009C3C35" w:rsidRPr="007549E1">
        <w:rPr>
          <w:b/>
          <w:sz w:val="28"/>
          <w:szCs w:val="28"/>
        </w:rPr>
        <w:t xml:space="preserve"> politika</w:t>
      </w:r>
      <w:r w:rsidR="009C3C35">
        <w:rPr>
          <w:b/>
          <w:sz w:val="28"/>
          <w:szCs w:val="28"/>
        </w:rPr>
        <w:t xml:space="preserve"> </w:t>
      </w:r>
    </w:p>
    <w:p w:rsidR="009C3C35" w:rsidRDefault="009C3C35" w:rsidP="009C3C35">
      <w:pPr>
        <w:spacing w:after="120"/>
        <w:jc w:val="both"/>
        <w:rPr>
          <w:b/>
          <w:sz w:val="28"/>
          <w:szCs w:val="28"/>
        </w:rPr>
      </w:pPr>
    </w:p>
    <w:p w:rsidR="009C3C35" w:rsidRDefault="009C3C35" w:rsidP="009C3C35">
      <w:pPr>
        <w:jc w:val="both"/>
        <w:rPr>
          <w:i/>
          <w:sz w:val="28"/>
          <w:szCs w:val="28"/>
        </w:rPr>
      </w:pPr>
      <w:r w:rsidRPr="00014E4E">
        <w:rPr>
          <w:b/>
          <w:sz w:val="28"/>
          <w:szCs w:val="28"/>
        </w:rPr>
        <w:t xml:space="preserve">a) </w:t>
      </w:r>
      <w:r w:rsidRPr="009C3C35">
        <w:rPr>
          <w:b/>
          <w:sz w:val="28"/>
          <w:szCs w:val="28"/>
        </w:rPr>
        <w:t>Komisijas paziņojums – Spēcīgāka Eiropas rūpniecība izaugsmei un ekonomikas atveseļošanai – Atjaunināts pazi</w:t>
      </w:r>
      <w:r>
        <w:rPr>
          <w:b/>
          <w:sz w:val="28"/>
          <w:szCs w:val="28"/>
        </w:rPr>
        <w:t>ņojums par rūpniecības politiku</w:t>
      </w:r>
      <w:r w:rsidR="004459DC">
        <w:rPr>
          <w:b/>
          <w:sz w:val="28"/>
          <w:szCs w:val="28"/>
        </w:rPr>
        <w:t xml:space="preserve"> </w:t>
      </w:r>
      <w:r w:rsidR="004459DC" w:rsidRPr="00014E4E">
        <w:rPr>
          <w:i/>
          <w:sz w:val="28"/>
          <w:szCs w:val="28"/>
        </w:rPr>
        <w:t>(</w:t>
      </w:r>
      <w:r w:rsidR="004459DC" w:rsidRPr="007549E1">
        <w:rPr>
          <w:i/>
          <w:sz w:val="28"/>
          <w:szCs w:val="28"/>
        </w:rPr>
        <w:t>EM kompetence</w:t>
      </w:r>
      <w:r w:rsidR="004459DC">
        <w:rPr>
          <w:i/>
          <w:sz w:val="28"/>
          <w:szCs w:val="28"/>
        </w:rPr>
        <w:t>)</w:t>
      </w:r>
    </w:p>
    <w:p w:rsidR="009C3C35" w:rsidRDefault="009C3C35" w:rsidP="009C3C35">
      <w:pPr>
        <w:rPr>
          <w:i/>
          <w:sz w:val="28"/>
          <w:szCs w:val="28"/>
        </w:rPr>
      </w:pPr>
      <w:r>
        <w:rPr>
          <w:i/>
          <w:sz w:val="28"/>
          <w:szCs w:val="28"/>
        </w:rPr>
        <w:t xml:space="preserve">- </w:t>
      </w:r>
      <w:r w:rsidRPr="009C3C35">
        <w:rPr>
          <w:i/>
          <w:sz w:val="28"/>
          <w:szCs w:val="28"/>
        </w:rPr>
        <w:t>Padomes secinājumu pieņemšana</w:t>
      </w:r>
    </w:p>
    <w:p w:rsidR="009C3C35" w:rsidRPr="00191FBE" w:rsidRDefault="009C3C35" w:rsidP="009C3C35">
      <w:pPr>
        <w:rPr>
          <w:sz w:val="28"/>
          <w:szCs w:val="28"/>
        </w:rPr>
      </w:pPr>
    </w:p>
    <w:p w:rsidR="00191FBE" w:rsidRPr="00191FBE" w:rsidRDefault="00191FBE" w:rsidP="00191FBE">
      <w:pPr>
        <w:jc w:val="both"/>
        <w:rPr>
          <w:sz w:val="28"/>
          <w:szCs w:val="23"/>
        </w:rPr>
      </w:pPr>
      <w:r>
        <w:rPr>
          <w:sz w:val="28"/>
          <w:szCs w:val="23"/>
        </w:rPr>
        <w:tab/>
        <w:t>Sanāksmē</w:t>
      </w:r>
      <w:r w:rsidRPr="00191FBE">
        <w:rPr>
          <w:sz w:val="28"/>
          <w:szCs w:val="23"/>
        </w:rPr>
        <w:t xml:space="preserve"> plānots apstiprināt „</w:t>
      </w:r>
      <w:r w:rsidRPr="00191FBE">
        <w:rPr>
          <w:i/>
          <w:sz w:val="28"/>
          <w:szCs w:val="23"/>
        </w:rPr>
        <w:t>Padomes secinājumus par atjauninātu paziņojumu par rūpniecības politiku – Spēcīgāka Eiropas rūpniecība izaugsmei un ekonomikas atveseļošanai</w:t>
      </w:r>
      <w:r w:rsidRPr="00191FBE">
        <w:rPr>
          <w:sz w:val="28"/>
          <w:szCs w:val="23"/>
        </w:rPr>
        <w:t>” (</w:t>
      </w:r>
      <w:r w:rsidR="00BC2BEF">
        <w:rPr>
          <w:sz w:val="28"/>
          <w:szCs w:val="23"/>
        </w:rPr>
        <w:t>turpmāk - s</w:t>
      </w:r>
      <w:r w:rsidRPr="00191FBE">
        <w:rPr>
          <w:sz w:val="28"/>
          <w:szCs w:val="23"/>
        </w:rPr>
        <w:t>ecinājumi). Balstoties uz Eiropas Komisijas 2012.gada 10.oktobrī publicēto paziņojumu „</w:t>
      </w:r>
      <w:r w:rsidRPr="00191FBE">
        <w:rPr>
          <w:i/>
          <w:sz w:val="28"/>
          <w:szCs w:val="23"/>
        </w:rPr>
        <w:t>Spēcīgāka Eiropas rūpniecība izaugsmei un ekonomikas atveseļošanai: Atjaunināts paziņojums par rūpniecības politiku</w:t>
      </w:r>
      <w:r w:rsidRPr="00191FBE">
        <w:rPr>
          <w:sz w:val="28"/>
          <w:szCs w:val="23"/>
        </w:rPr>
        <w:t>”</w:t>
      </w:r>
      <w:r w:rsidR="004459DC">
        <w:rPr>
          <w:sz w:val="28"/>
          <w:szCs w:val="23"/>
        </w:rPr>
        <w:t>,</w:t>
      </w:r>
      <w:r w:rsidRPr="00191FBE">
        <w:rPr>
          <w:sz w:val="28"/>
          <w:szCs w:val="23"/>
        </w:rPr>
        <w:t xml:space="preserve"> ES Padome secinājumos izvirza galvenos virzienus ES rūpniecības konkurētspējas un izaugsmes atjaunošanai.</w:t>
      </w:r>
    </w:p>
    <w:p w:rsidR="0018606F" w:rsidRDefault="00191FBE" w:rsidP="00D00F9B">
      <w:pPr>
        <w:jc w:val="both"/>
        <w:rPr>
          <w:sz w:val="28"/>
          <w:szCs w:val="23"/>
        </w:rPr>
      </w:pPr>
      <w:r>
        <w:rPr>
          <w:sz w:val="28"/>
          <w:szCs w:val="23"/>
        </w:rPr>
        <w:tab/>
      </w:r>
      <w:r w:rsidR="00D00F9B" w:rsidRPr="00D00F9B">
        <w:rPr>
          <w:sz w:val="28"/>
          <w:szCs w:val="23"/>
        </w:rPr>
        <w:t>Padome secinājumos atzīst ieguldījumu, ko visas rūpniecības nozares var sniegt ES konkurētspējai, kā arī atzinīgi vērtē nesen pieņemtos paziņojumus par būvniecības nozari, aizsardzības nozari, kultūras un radošajām nozarēm  un autobūves nozari, izvirza konkrētus aicinājumus rīcībai katrā no šīm nozarēm.</w:t>
      </w:r>
    </w:p>
    <w:p w:rsidR="00D00F9B" w:rsidRDefault="00D00F9B" w:rsidP="00D00F9B">
      <w:pPr>
        <w:jc w:val="both"/>
        <w:rPr>
          <w:sz w:val="28"/>
          <w:szCs w:val="23"/>
        </w:rPr>
      </w:pPr>
      <w:r>
        <w:rPr>
          <w:sz w:val="28"/>
          <w:szCs w:val="23"/>
        </w:rPr>
        <w:tab/>
      </w:r>
      <w:r w:rsidR="004459DC">
        <w:rPr>
          <w:sz w:val="28"/>
          <w:szCs w:val="23"/>
        </w:rPr>
        <w:t>Padome</w:t>
      </w:r>
      <w:r w:rsidRPr="00D00F9B">
        <w:rPr>
          <w:sz w:val="28"/>
          <w:szCs w:val="23"/>
        </w:rPr>
        <w:t xml:space="preserve"> secinājumos izvirza šādus prioritāros virzienus, kuros nepieciešams uzlabot Komisijas un dalībvalstu un citu ieinteresēto pušu centienus: </w:t>
      </w:r>
    </w:p>
    <w:p w:rsidR="00D00F9B" w:rsidRPr="00D00F9B" w:rsidRDefault="00D00F9B" w:rsidP="00D00F9B">
      <w:pPr>
        <w:pStyle w:val="ListParagraph"/>
        <w:numPr>
          <w:ilvl w:val="0"/>
          <w:numId w:val="18"/>
        </w:numPr>
        <w:jc w:val="both"/>
        <w:rPr>
          <w:sz w:val="28"/>
          <w:szCs w:val="23"/>
        </w:rPr>
      </w:pPr>
      <w:r w:rsidRPr="00D00F9B">
        <w:rPr>
          <w:sz w:val="28"/>
          <w:szCs w:val="23"/>
        </w:rPr>
        <w:t xml:space="preserve">investīciju palielināšana jaunu tehnoloģiju ieviešanai tirgū un atbalsts visa veida inovācijai, </w:t>
      </w:r>
    </w:p>
    <w:p w:rsidR="00D00F9B" w:rsidRPr="00D00F9B" w:rsidRDefault="00D00F9B" w:rsidP="00D00F9B">
      <w:pPr>
        <w:pStyle w:val="ListParagraph"/>
        <w:numPr>
          <w:ilvl w:val="0"/>
          <w:numId w:val="18"/>
        </w:numPr>
        <w:jc w:val="both"/>
        <w:rPr>
          <w:sz w:val="28"/>
          <w:szCs w:val="23"/>
        </w:rPr>
      </w:pPr>
      <w:r w:rsidRPr="00D00F9B">
        <w:rPr>
          <w:sz w:val="28"/>
          <w:szCs w:val="23"/>
        </w:rPr>
        <w:t xml:space="preserve">vienotā tirgus, tostarp vienotā enerģētikas tirgus tālāka stiprināšana, </w:t>
      </w:r>
    </w:p>
    <w:p w:rsidR="00D00F9B" w:rsidRPr="00D00F9B" w:rsidRDefault="00D00F9B" w:rsidP="00D00F9B">
      <w:pPr>
        <w:pStyle w:val="ListParagraph"/>
        <w:numPr>
          <w:ilvl w:val="0"/>
          <w:numId w:val="18"/>
        </w:numPr>
        <w:jc w:val="both"/>
        <w:rPr>
          <w:sz w:val="28"/>
          <w:szCs w:val="23"/>
        </w:rPr>
      </w:pPr>
      <w:r w:rsidRPr="00D00F9B">
        <w:rPr>
          <w:sz w:val="28"/>
          <w:szCs w:val="23"/>
        </w:rPr>
        <w:lastRenderedPageBreak/>
        <w:t xml:space="preserve">administratīvā sloga mazināšana un konkurētspējas novērtēšana, </w:t>
      </w:r>
    </w:p>
    <w:p w:rsidR="00D00F9B" w:rsidRPr="00D00F9B" w:rsidRDefault="00D00F9B" w:rsidP="00D00F9B">
      <w:pPr>
        <w:pStyle w:val="ListParagraph"/>
        <w:numPr>
          <w:ilvl w:val="0"/>
          <w:numId w:val="18"/>
        </w:numPr>
        <w:jc w:val="both"/>
        <w:rPr>
          <w:sz w:val="28"/>
          <w:szCs w:val="23"/>
        </w:rPr>
      </w:pPr>
      <w:r w:rsidRPr="00D00F9B">
        <w:rPr>
          <w:sz w:val="28"/>
          <w:szCs w:val="23"/>
        </w:rPr>
        <w:t xml:space="preserve">efektīva ES intelektuālā īpašuma tiesību sistēma, </w:t>
      </w:r>
    </w:p>
    <w:p w:rsidR="00D00F9B" w:rsidRPr="00D00F9B" w:rsidRDefault="00D00F9B" w:rsidP="00D00F9B">
      <w:pPr>
        <w:pStyle w:val="ListParagraph"/>
        <w:numPr>
          <w:ilvl w:val="0"/>
          <w:numId w:val="18"/>
        </w:numPr>
        <w:jc w:val="both"/>
        <w:rPr>
          <w:sz w:val="28"/>
          <w:szCs w:val="23"/>
        </w:rPr>
      </w:pPr>
      <w:r w:rsidRPr="00D00F9B">
        <w:rPr>
          <w:sz w:val="28"/>
          <w:szCs w:val="23"/>
        </w:rPr>
        <w:t xml:space="preserve">ES uzņēmumu piekļuve finansējumam, </w:t>
      </w:r>
    </w:p>
    <w:p w:rsidR="00D00F9B" w:rsidRPr="00D00F9B" w:rsidRDefault="00D00F9B" w:rsidP="00D00F9B">
      <w:pPr>
        <w:pStyle w:val="ListParagraph"/>
        <w:numPr>
          <w:ilvl w:val="0"/>
          <w:numId w:val="18"/>
        </w:numPr>
        <w:jc w:val="both"/>
        <w:rPr>
          <w:sz w:val="28"/>
          <w:szCs w:val="23"/>
        </w:rPr>
      </w:pPr>
      <w:r w:rsidRPr="00D00F9B">
        <w:rPr>
          <w:sz w:val="28"/>
          <w:szCs w:val="23"/>
        </w:rPr>
        <w:t xml:space="preserve">prasmju un cilvēka kapitāla attīstība, </w:t>
      </w:r>
    </w:p>
    <w:p w:rsidR="00D00F9B" w:rsidRPr="00D00F9B" w:rsidRDefault="00D00F9B" w:rsidP="00D00F9B">
      <w:pPr>
        <w:pStyle w:val="ListParagraph"/>
        <w:numPr>
          <w:ilvl w:val="0"/>
          <w:numId w:val="18"/>
        </w:numPr>
        <w:jc w:val="both"/>
        <w:rPr>
          <w:sz w:val="28"/>
          <w:szCs w:val="23"/>
        </w:rPr>
      </w:pPr>
      <w:r w:rsidRPr="00D00F9B">
        <w:rPr>
          <w:sz w:val="28"/>
          <w:szCs w:val="23"/>
        </w:rPr>
        <w:t>saiknes veidošana starp saistītajām politikām.</w:t>
      </w:r>
    </w:p>
    <w:p w:rsidR="00340D8E" w:rsidRDefault="00340D8E" w:rsidP="00340D8E">
      <w:pPr>
        <w:jc w:val="both"/>
        <w:rPr>
          <w:sz w:val="28"/>
          <w:szCs w:val="23"/>
        </w:rPr>
      </w:pPr>
    </w:p>
    <w:p w:rsidR="004459DC" w:rsidRDefault="004459DC" w:rsidP="00340D8E">
      <w:pPr>
        <w:jc w:val="both"/>
        <w:rPr>
          <w:sz w:val="28"/>
          <w:szCs w:val="23"/>
        </w:rPr>
      </w:pPr>
    </w:p>
    <w:p w:rsidR="00340D8E" w:rsidRPr="00340D8E" w:rsidRDefault="00340D8E" w:rsidP="00340D8E">
      <w:pPr>
        <w:jc w:val="both"/>
        <w:rPr>
          <w:b/>
          <w:sz w:val="28"/>
          <w:szCs w:val="23"/>
          <w:u w:val="single"/>
        </w:rPr>
      </w:pPr>
      <w:r w:rsidRPr="00340D8E">
        <w:rPr>
          <w:b/>
          <w:sz w:val="28"/>
          <w:szCs w:val="23"/>
          <w:u w:val="single"/>
        </w:rPr>
        <w:t>Latvijas pozīcija:</w:t>
      </w:r>
    </w:p>
    <w:p w:rsidR="00BD6689" w:rsidRPr="0018606F" w:rsidRDefault="00BD6689" w:rsidP="0018606F">
      <w:pPr>
        <w:jc w:val="both"/>
        <w:rPr>
          <w:sz w:val="36"/>
          <w:szCs w:val="28"/>
        </w:rPr>
      </w:pPr>
    </w:p>
    <w:p w:rsidR="0018606F" w:rsidRPr="0018606F" w:rsidRDefault="0018606F" w:rsidP="0018606F">
      <w:pPr>
        <w:jc w:val="both"/>
        <w:rPr>
          <w:sz w:val="28"/>
          <w:szCs w:val="23"/>
        </w:rPr>
      </w:pPr>
      <w:r>
        <w:rPr>
          <w:b/>
          <w:sz w:val="28"/>
          <w:szCs w:val="23"/>
        </w:rPr>
        <w:tab/>
      </w:r>
      <w:r w:rsidRPr="0018606F">
        <w:rPr>
          <w:b/>
          <w:sz w:val="28"/>
          <w:szCs w:val="23"/>
        </w:rPr>
        <w:t xml:space="preserve">Latvija kopumā atbalsta </w:t>
      </w:r>
      <w:r w:rsidRPr="0018606F">
        <w:rPr>
          <w:sz w:val="28"/>
          <w:szCs w:val="23"/>
        </w:rPr>
        <w:t>Padomes secinājumu apstiprināšanu ES Konkurētspējas ministru padomē. Uzskatām, ka Padome secinājumos ietvērusi skaidru vēstījumu par izaicināj</w:t>
      </w:r>
      <w:r w:rsidR="004459DC">
        <w:rPr>
          <w:sz w:val="28"/>
          <w:szCs w:val="23"/>
        </w:rPr>
        <w:t>umiem Komisijas, dalībvalstu un</w:t>
      </w:r>
      <w:r w:rsidRPr="0018606F">
        <w:rPr>
          <w:sz w:val="28"/>
          <w:szCs w:val="23"/>
        </w:rPr>
        <w:t xml:space="preserve"> reģionu līmenī, lai uzlabotu ES rūpniecības konkurētspēju un globālās pozīcijas.</w:t>
      </w:r>
    </w:p>
    <w:p w:rsidR="0018606F" w:rsidRDefault="0018606F" w:rsidP="0018606F">
      <w:pPr>
        <w:jc w:val="both"/>
        <w:rPr>
          <w:sz w:val="28"/>
          <w:szCs w:val="28"/>
        </w:rPr>
      </w:pPr>
      <w:r>
        <w:rPr>
          <w:b/>
          <w:sz w:val="28"/>
          <w:szCs w:val="28"/>
        </w:rPr>
        <w:tab/>
      </w:r>
      <w:r w:rsidRPr="0018606F">
        <w:rPr>
          <w:b/>
          <w:sz w:val="28"/>
          <w:szCs w:val="28"/>
        </w:rPr>
        <w:t>Latvija uzsver</w:t>
      </w:r>
      <w:r w:rsidRPr="0018606F">
        <w:rPr>
          <w:sz w:val="28"/>
          <w:szCs w:val="28"/>
        </w:rPr>
        <w:t xml:space="preserve"> ES Vienotā tirgus tālākas integrācijas nozīmību ES </w:t>
      </w:r>
      <w:r>
        <w:rPr>
          <w:sz w:val="28"/>
          <w:szCs w:val="28"/>
        </w:rPr>
        <w:t>r</w:t>
      </w:r>
      <w:r w:rsidRPr="0018606F">
        <w:rPr>
          <w:sz w:val="28"/>
          <w:szCs w:val="28"/>
        </w:rPr>
        <w:t>ūpniecības konkurētspējas celšanai, lai ES uzņēmējiem nodrošinātu vienādus nosacījumus un vieglāku piekļuvi ES Vienotā tirgus sniegtajām priekšrocībām un iespējām.</w:t>
      </w:r>
      <w:r w:rsidR="00AC7D60">
        <w:rPr>
          <w:sz w:val="28"/>
          <w:szCs w:val="28"/>
        </w:rPr>
        <w:t xml:space="preserve"> </w:t>
      </w:r>
      <w:r w:rsidR="00AC7D60" w:rsidRPr="00AC7D60">
        <w:rPr>
          <w:sz w:val="28"/>
          <w:szCs w:val="28"/>
        </w:rPr>
        <w:t>Šim nolūkam aicinām ES līmenī noteikt stingrus mērķus ar skaidriem politiskiem uzstādījumiem, lai nodrošinātu ES Vienotā tirgus izaugsmi un turpmāku attīstību.</w:t>
      </w:r>
    </w:p>
    <w:p w:rsidR="00AC7D60" w:rsidRDefault="00AC7D60" w:rsidP="0018606F">
      <w:pPr>
        <w:jc w:val="both"/>
        <w:rPr>
          <w:sz w:val="28"/>
          <w:szCs w:val="28"/>
        </w:rPr>
      </w:pPr>
      <w:r>
        <w:rPr>
          <w:sz w:val="28"/>
          <w:szCs w:val="28"/>
        </w:rPr>
        <w:tab/>
      </w:r>
      <w:r w:rsidRPr="00AC7D60">
        <w:rPr>
          <w:b/>
          <w:sz w:val="28"/>
          <w:szCs w:val="28"/>
        </w:rPr>
        <w:t>Latvija norāda</w:t>
      </w:r>
      <w:r w:rsidRPr="00AC7D60">
        <w:rPr>
          <w:sz w:val="28"/>
          <w:szCs w:val="28"/>
        </w:rPr>
        <w:t>, ka nepieciešams turpināt darbu pie pastāvošo šķēršļu novēršanas, kas kavē patiesu ES enerģijas tirgus atvēršanu visiem spēlētajiem. Kā primāros pasākumus šajā aspektā jāmin enerģ</w:t>
      </w:r>
      <w:r w:rsidR="004459DC">
        <w:rPr>
          <w:sz w:val="28"/>
          <w:szCs w:val="28"/>
        </w:rPr>
        <w:t>ētikas infrastruktūras attīstību</w:t>
      </w:r>
      <w:r>
        <w:rPr>
          <w:sz w:val="28"/>
          <w:szCs w:val="28"/>
        </w:rPr>
        <w:t xml:space="preserve"> un </w:t>
      </w:r>
      <w:r w:rsidRPr="00AC7D60">
        <w:rPr>
          <w:sz w:val="28"/>
          <w:szCs w:val="28"/>
        </w:rPr>
        <w:t>darbu pie tiesiskā regulējuma</w:t>
      </w:r>
      <w:r>
        <w:rPr>
          <w:sz w:val="28"/>
          <w:szCs w:val="28"/>
        </w:rPr>
        <w:t>.</w:t>
      </w:r>
    </w:p>
    <w:p w:rsidR="00AC7D60" w:rsidRDefault="00AC7D60" w:rsidP="0018606F">
      <w:pPr>
        <w:jc w:val="both"/>
        <w:rPr>
          <w:sz w:val="28"/>
          <w:szCs w:val="28"/>
        </w:rPr>
      </w:pPr>
      <w:r>
        <w:rPr>
          <w:sz w:val="28"/>
          <w:szCs w:val="28"/>
        </w:rPr>
        <w:tab/>
      </w:r>
      <w:r w:rsidRPr="00AC7D60">
        <w:rPr>
          <w:b/>
          <w:sz w:val="28"/>
          <w:szCs w:val="28"/>
        </w:rPr>
        <w:t>Latvija uzsver</w:t>
      </w:r>
      <w:r w:rsidRPr="00AC7D60">
        <w:rPr>
          <w:sz w:val="28"/>
          <w:szCs w:val="28"/>
        </w:rPr>
        <w:t xml:space="preserve"> ES ārējās dimensijas jautājumu nozīmīgumu ES rūpniecībai. Šajā aspektā svarīgākie uzdevumi ir pārdomātas ES tirdzniecības politikas īstenošana, godīgu starptautiskās tirdzniecības nosacījumu ES preču un pakalpojumu eksporta tirgos nodrošināšana, piekļuves trešo valstu publisko iepirkumu tirgiem sekmēšana, labāko standartu piemērošana starpta</w:t>
      </w:r>
      <w:r w:rsidR="001129BD">
        <w:rPr>
          <w:sz w:val="28"/>
          <w:szCs w:val="28"/>
        </w:rPr>
        <w:t>utisko investīciju aizsardzībā un darbs</w:t>
      </w:r>
      <w:r w:rsidRPr="00AC7D60">
        <w:rPr>
          <w:sz w:val="28"/>
          <w:szCs w:val="28"/>
        </w:rPr>
        <w:t xml:space="preserve"> pie eksporta ierobežojumu samazināšanas/atcelšanas izejvielām un izejmateriāliem trešajās valstīs.</w:t>
      </w:r>
    </w:p>
    <w:p w:rsidR="00AC7D60" w:rsidRDefault="00AC7D60" w:rsidP="0018606F">
      <w:pPr>
        <w:jc w:val="both"/>
        <w:rPr>
          <w:sz w:val="28"/>
          <w:szCs w:val="28"/>
        </w:rPr>
      </w:pPr>
      <w:r>
        <w:rPr>
          <w:sz w:val="28"/>
          <w:szCs w:val="28"/>
        </w:rPr>
        <w:tab/>
      </w:r>
      <w:r w:rsidRPr="00AC7D60">
        <w:rPr>
          <w:b/>
          <w:sz w:val="28"/>
          <w:szCs w:val="28"/>
        </w:rPr>
        <w:t>Latvijas nemainīgi nozīmīga</w:t>
      </w:r>
      <w:r w:rsidR="001129BD">
        <w:rPr>
          <w:b/>
          <w:sz w:val="28"/>
          <w:szCs w:val="28"/>
        </w:rPr>
        <w:t>s prioritātes</w:t>
      </w:r>
      <w:r>
        <w:rPr>
          <w:sz w:val="28"/>
          <w:szCs w:val="28"/>
        </w:rPr>
        <w:t xml:space="preserve"> </w:t>
      </w:r>
      <w:r w:rsidRPr="00AC7D60">
        <w:rPr>
          <w:sz w:val="28"/>
          <w:szCs w:val="28"/>
        </w:rPr>
        <w:t>rūpniecības konkurētspējas stiprināšanai ir uzņēmumu piekļuves finansējumam uzlabošana, atbalsts inovācijai, kvalitatīvas uzņēmējdarbības vides veidošana un administratīvā sloga mazināšana, kā arī neatbilstību mazināšana starp darba tirgus pieprasījumu un piedāvājumu (prasmju attīstīšana).</w:t>
      </w:r>
    </w:p>
    <w:p w:rsidR="00AC7D60" w:rsidRPr="00191FBE" w:rsidRDefault="00AC7D60" w:rsidP="009C3C35">
      <w:pPr>
        <w:rPr>
          <w:sz w:val="28"/>
          <w:szCs w:val="28"/>
        </w:rPr>
      </w:pPr>
    </w:p>
    <w:p w:rsidR="009C3C35" w:rsidRPr="00650183" w:rsidRDefault="009C3C35" w:rsidP="009C3C35">
      <w:pPr>
        <w:jc w:val="both"/>
        <w:rPr>
          <w:i/>
          <w:sz w:val="28"/>
          <w:szCs w:val="28"/>
        </w:rPr>
      </w:pPr>
      <w:r w:rsidRPr="00650183">
        <w:rPr>
          <w:b/>
          <w:sz w:val="28"/>
          <w:szCs w:val="28"/>
        </w:rPr>
        <w:t>b) CARS 2020: rīcības plāns konkurētspējīgai un ilgtspējīgai Eiropas autobūves nozarei Eiropā</w:t>
      </w:r>
      <w:r w:rsidR="004459DC">
        <w:rPr>
          <w:b/>
          <w:sz w:val="28"/>
          <w:szCs w:val="28"/>
        </w:rPr>
        <w:t xml:space="preserve"> </w:t>
      </w:r>
      <w:r w:rsidR="004459DC" w:rsidRPr="00014E4E">
        <w:rPr>
          <w:i/>
          <w:sz w:val="28"/>
          <w:szCs w:val="28"/>
        </w:rPr>
        <w:t>(</w:t>
      </w:r>
      <w:r w:rsidR="004459DC" w:rsidRPr="007549E1">
        <w:rPr>
          <w:i/>
          <w:sz w:val="28"/>
          <w:szCs w:val="28"/>
        </w:rPr>
        <w:t>EM kompetence</w:t>
      </w:r>
      <w:r w:rsidR="004459DC">
        <w:rPr>
          <w:i/>
          <w:sz w:val="28"/>
          <w:szCs w:val="28"/>
        </w:rPr>
        <w:t>)</w:t>
      </w:r>
    </w:p>
    <w:p w:rsidR="009C3C35" w:rsidRPr="00650183" w:rsidRDefault="009C3C35" w:rsidP="009C3C35">
      <w:pPr>
        <w:rPr>
          <w:i/>
          <w:sz w:val="28"/>
          <w:szCs w:val="28"/>
        </w:rPr>
      </w:pPr>
      <w:r w:rsidRPr="00650183">
        <w:rPr>
          <w:i/>
          <w:sz w:val="28"/>
          <w:szCs w:val="28"/>
        </w:rPr>
        <w:t>- Komisijas sniegta informācija</w:t>
      </w:r>
    </w:p>
    <w:p w:rsidR="009C3C35" w:rsidRDefault="009C3C35" w:rsidP="009C3C35">
      <w:pPr>
        <w:rPr>
          <w:i/>
          <w:sz w:val="28"/>
          <w:szCs w:val="28"/>
        </w:rPr>
      </w:pPr>
      <w:r w:rsidRPr="00650183">
        <w:rPr>
          <w:i/>
          <w:sz w:val="28"/>
          <w:szCs w:val="28"/>
        </w:rPr>
        <w:t>- viedokļu apmaiņa</w:t>
      </w:r>
    </w:p>
    <w:p w:rsidR="009C3C35" w:rsidRDefault="009C3C35" w:rsidP="009C3C35">
      <w:pPr>
        <w:rPr>
          <w:sz w:val="28"/>
          <w:szCs w:val="28"/>
        </w:rPr>
      </w:pPr>
    </w:p>
    <w:p w:rsidR="006F63B2" w:rsidRPr="006F63B2" w:rsidRDefault="006F63B2" w:rsidP="006F63B2">
      <w:pPr>
        <w:jc w:val="both"/>
        <w:rPr>
          <w:sz w:val="28"/>
          <w:szCs w:val="28"/>
        </w:rPr>
      </w:pPr>
      <w:r>
        <w:rPr>
          <w:sz w:val="28"/>
          <w:szCs w:val="28"/>
        </w:rPr>
        <w:tab/>
        <w:t xml:space="preserve">Sanāksmes laikā paredzēta viedokļu apmaiņa par </w:t>
      </w:r>
      <w:r w:rsidRPr="006F63B2">
        <w:rPr>
          <w:sz w:val="28"/>
          <w:szCs w:val="28"/>
        </w:rPr>
        <w:t>2012.gada 8.oktobrī Eiropas Komisija</w:t>
      </w:r>
      <w:r>
        <w:rPr>
          <w:sz w:val="28"/>
          <w:szCs w:val="28"/>
        </w:rPr>
        <w:t>s</w:t>
      </w:r>
      <w:r w:rsidRPr="006F63B2">
        <w:rPr>
          <w:sz w:val="28"/>
          <w:szCs w:val="28"/>
        </w:rPr>
        <w:t xml:space="preserve"> </w:t>
      </w:r>
      <w:r>
        <w:rPr>
          <w:sz w:val="28"/>
          <w:szCs w:val="28"/>
        </w:rPr>
        <w:t>publicēto</w:t>
      </w:r>
      <w:r w:rsidRPr="006F63B2">
        <w:rPr>
          <w:sz w:val="28"/>
          <w:szCs w:val="28"/>
        </w:rPr>
        <w:t xml:space="preserve"> paziņojumu „CARS 2020: rīcības plāns </w:t>
      </w:r>
      <w:r w:rsidRPr="006F63B2">
        <w:rPr>
          <w:sz w:val="28"/>
          <w:szCs w:val="28"/>
        </w:rPr>
        <w:lastRenderedPageBreak/>
        <w:t>konkurētspējīgai un ilgtspējīgai Eiropas autobūves nozarei” (</w:t>
      </w:r>
      <w:r w:rsidR="00DC7C9D">
        <w:rPr>
          <w:sz w:val="28"/>
          <w:szCs w:val="28"/>
        </w:rPr>
        <w:t xml:space="preserve">turpmāk - </w:t>
      </w:r>
      <w:r w:rsidRPr="006F63B2">
        <w:rPr>
          <w:sz w:val="28"/>
          <w:szCs w:val="28"/>
        </w:rPr>
        <w:t>paziņojums).</w:t>
      </w:r>
      <w:r>
        <w:rPr>
          <w:sz w:val="28"/>
          <w:szCs w:val="28"/>
        </w:rPr>
        <w:t xml:space="preserve"> </w:t>
      </w:r>
      <w:r w:rsidRPr="006F63B2">
        <w:rPr>
          <w:sz w:val="28"/>
          <w:szCs w:val="28"/>
        </w:rPr>
        <w:t>Paziņojums</w:t>
      </w:r>
      <w:r>
        <w:rPr>
          <w:sz w:val="28"/>
          <w:szCs w:val="28"/>
        </w:rPr>
        <w:t xml:space="preserve"> ir rīcības plāns</w:t>
      </w:r>
      <w:r w:rsidR="00650183">
        <w:rPr>
          <w:rStyle w:val="FootnoteReference"/>
          <w:sz w:val="28"/>
          <w:szCs w:val="28"/>
        </w:rPr>
        <w:footnoteReference w:id="2"/>
      </w:r>
      <w:r w:rsidRPr="006F63B2">
        <w:rPr>
          <w:sz w:val="28"/>
          <w:szCs w:val="28"/>
        </w:rPr>
        <w:t>, kura mērķis ir līdz 2020.gadam nostiprināt autobūves nozares</w:t>
      </w:r>
      <w:r w:rsidR="00650183">
        <w:rPr>
          <w:rStyle w:val="FootnoteReference"/>
          <w:sz w:val="28"/>
          <w:szCs w:val="28"/>
        </w:rPr>
        <w:footnoteReference w:id="3"/>
      </w:r>
      <w:r w:rsidRPr="006F63B2">
        <w:rPr>
          <w:sz w:val="28"/>
          <w:szCs w:val="28"/>
        </w:rPr>
        <w:t xml:space="preserve"> konkurētspēju un ilgtspēju, lai panāktu, ka Eiropas Savienība ir autobūves līdere, kas ražo pasaulē </w:t>
      </w:r>
      <w:proofErr w:type="spellStart"/>
      <w:r w:rsidRPr="006F63B2">
        <w:rPr>
          <w:sz w:val="28"/>
          <w:szCs w:val="28"/>
        </w:rPr>
        <w:t>energoefektīvākos</w:t>
      </w:r>
      <w:proofErr w:type="spellEnd"/>
      <w:r w:rsidRPr="006F63B2">
        <w:rPr>
          <w:sz w:val="28"/>
          <w:szCs w:val="28"/>
        </w:rPr>
        <w:t xml:space="preserve"> un drošākos transportlīdzekļus un nodrošina augsti kvalificētas darba vietas.</w:t>
      </w:r>
    </w:p>
    <w:p w:rsidR="006F63B2" w:rsidRPr="006F63B2" w:rsidRDefault="006F63B2" w:rsidP="006F63B2">
      <w:pPr>
        <w:jc w:val="both"/>
        <w:rPr>
          <w:sz w:val="28"/>
          <w:szCs w:val="28"/>
        </w:rPr>
      </w:pPr>
      <w:r>
        <w:rPr>
          <w:sz w:val="28"/>
          <w:szCs w:val="28"/>
        </w:rPr>
        <w:tab/>
      </w:r>
      <w:r w:rsidRPr="006F63B2">
        <w:rPr>
          <w:sz w:val="28"/>
          <w:szCs w:val="28"/>
        </w:rPr>
        <w:t>Komisijas paziņojums piedāvā rīcības plānu ar konkrētiem priekšlikumiem politikas iniciatīvām, kuru mērķi ir šādi.</w:t>
      </w:r>
    </w:p>
    <w:p w:rsidR="006F63B2" w:rsidRPr="006F63B2" w:rsidRDefault="006F63B2" w:rsidP="006F63B2">
      <w:pPr>
        <w:pStyle w:val="ListParagraph"/>
        <w:numPr>
          <w:ilvl w:val="0"/>
          <w:numId w:val="21"/>
        </w:numPr>
        <w:jc w:val="both"/>
        <w:rPr>
          <w:sz w:val="28"/>
          <w:szCs w:val="28"/>
        </w:rPr>
      </w:pPr>
      <w:r w:rsidRPr="006F63B2">
        <w:rPr>
          <w:b/>
          <w:sz w:val="28"/>
          <w:szCs w:val="28"/>
        </w:rPr>
        <w:t>Ieguldījumi progresīvās tehnoloģijās un inovācijā</w:t>
      </w:r>
      <w:r w:rsidRPr="006F63B2">
        <w:rPr>
          <w:sz w:val="28"/>
          <w:szCs w:val="28"/>
        </w:rPr>
        <w:t xml:space="preserve"> (pasākumu kopums CO2, piesārņojuma un trokšņu mazināšanai; ceļu satiksmes drošības pasākumi, tostarp viedo transporta sistēmu ieviešana; alternatīvās degvielas (elektrība, ūdeņradis, dabasgāze) infrastruktūras izbūve; ES standartu ieviešana elektrisko transportlīdzekļu uzlādei; Eiropas „Zaļo automobiļu” iniciatīvas īstenošana, atbilstoši pētniecības un inovācijas pamatprogrammai „Horizonts 2020”, lai veicinātu ieguldījumus pētniecībā un inovācijā);</w:t>
      </w:r>
    </w:p>
    <w:p w:rsidR="006F63B2" w:rsidRPr="006F63B2" w:rsidRDefault="006F63B2" w:rsidP="006F63B2">
      <w:pPr>
        <w:pStyle w:val="ListParagraph"/>
        <w:numPr>
          <w:ilvl w:val="0"/>
          <w:numId w:val="21"/>
        </w:numPr>
        <w:jc w:val="both"/>
        <w:rPr>
          <w:sz w:val="28"/>
          <w:szCs w:val="28"/>
        </w:rPr>
      </w:pPr>
      <w:r w:rsidRPr="006F63B2">
        <w:rPr>
          <w:b/>
          <w:sz w:val="28"/>
          <w:szCs w:val="28"/>
        </w:rPr>
        <w:t>Tirgus apstākļu uzlabošana</w:t>
      </w:r>
      <w:r w:rsidRPr="006F63B2">
        <w:rPr>
          <w:sz w:val="28"/>
          <w:szCs w:val="28"/>
        </w:rPr>
        <w:t xml:space="preserve"> (vienotā transportlīdzekļu tirgus stiprināšana, tostarp tirgus uzraudzība, lai novērstu negodīgu konkurenci; finansiālo stimulu ekoloģiski tīriem transportlīdzekļiem racionalizēšana; lietpratīga regulējuma principu piemērošana, tostarp „konkurētspējas pārbaužu” veikšana attiecībā uz nozīmīgākajām politikas iniciatīvām, lai novērtētu svarīgāko politikas iniciatīvu konkrēto ietekmi uz autobūves nozari);</w:t>
      </w:r>
    </w:p>
    <w:p w:rsidR="006F63B2" w:rsidRPr="006F63B2" w:rsidRDefault="002948F4" w:rsidP="006F63B2">
      <w:pPr>
        <w:pStyle w:val="ListParagraph"/>
        <w:numPr>
          <w:ilvl w:val="0"/>
          <w:numId w:val="21"/>
        </w:numPr>
        <w:jc w:val="both"/>
        <w:rPr>
          <w:sz w:val="28"/>
          <w:szCs w:val="28"/>
        </w:rPr>
      </w:pPr>
      <w:r>
        <w:rPr>
          <w:b/>
          <w:sz w:val="28"/>
          <w:szCs w:val="28"/>
        </w:rPr>
        <w:t>Atbalsts nozares</w:t>
      </w:r>
      <w:r w:rsidR="006F63B2" w:rsidRPr="006F63B2">
        <w:rPr>
          <w:b/>
          <w:sz w:val="28"/>
          <w:szCs w:val="28"/>
        </w:rPr>
        <w:t xml:space="preserve"> piekļuvei ārējiem tirgiem</w:t>
      </w:r>
      <w:r w:rsidR="006F63B2" w:rsidRPr="006F63B2">
        <w:rPr>
          <w:sz w:val="28"/>
          <w:szCs w:val="28"/>
        </w:rPr>
        <w:t xml:space="preserve"> (līdzsvarotu tirdzniecības nolīgumu slēgšana, rūpīgi izvērtējot šo nolīgumu kopējo ietekmi un sekmējot un turpinot divpusējos dialogus ar nozīmīgākajām trešajām partnervalstīm; pievēršanās starptautiskai noteikumu saskaņošanai a</w:t>
      </w:r>
      <w:r>
        <w:rPr>
          <w:sz w:val="28"/>
          <w:szCs w:val="28"/>
        </w:rPr>
        <w:t>ttiecībā uz transportlīdzekļiem ar mērķi</w:t>
      </w:r>
      <w:r w:rsidR="006F63B2" w:rsidRPr="006F63B2">
        <w:rPr>
          <w:sz w:val="28"/>
          <w:szCs w:val="28"/>
        </w:rPr>
        <w:t xml:space="preserve"> panākt vienošanos par drošības prasībām elektriskajiem transportlīdzekļiem un to akumulatoriem);</w:t>
      </w:r>
    </w:p>
    <w:p w:rsidR="006F63B2" w:rsidRPr="006F63B2" w:rsidRDefault="006F63B2" w:rsidP="006F63B2">
      <w:pPr>
        <w:pStyle w:val="ListParagraph"/>
        <w:numPr>
          <w:ilvl w:val="0"/>
          <w:numId w:val="21"/>
        </w:numPr>
        <w:jc w:val="both"/>
        <w:rPr>
          <w:sz w:val="28"/>
          <w:szCs w:val="28"/>
        </w:rPr>
      </w:pPr>
      <w:r w:rsidRPr="006F63B2">
        <w:rPr>
          <w:b/>
          <w:sz w:val="28"/>
          <w:szCs w:val="28"/>
        </w:rPr>
        <w:t>Ieguldījumi apmācībās un prasmēs</w:t>
      </w:r>
      <w:r w:rsidRPr="006F63B2">
        <w:rPr>
          <w:sz w:val="28"/>
          <w:szCs w:val="28"/>
        </w:rPr>
        <w:t>, lai atbalstītu strukturālas pārmaiņas un prognozētu nodarbinātības un prasmju pieprasījumu, piemēram, veicinot Eiropas Sociālā fonda (ESF) izmantošanu.</w:t>
      </w:r>
    </w:p>
    <w:p w:rsidR="006F63B2" w:rsidRDefault="006F63B2" w:rsidP="006F63B2">
      <w:pPr>
        <w:jc w:val="both"/>
        <w:rPr>
          <w:sz w:val="28"/>
          <w:szCs w:val="28"/>
        </w:rPr>
      </w:pPr>
    </w:p>
    <w:p w:rsidR="006F63B2" w:rsidRDefault="006F63B2" w:rsidP="006F63B2">
      <w:pPr>
        <w:jc w:val="both"/>
        <w:rPr>
          <w:sz w:val="28"/>
          <w:szCs w:val="28"/>
        </w:rPr>
      </w:pPr>
      <w:r w:rsidRPr="006F63B2">
        <w:rPr>
          <w:sz w:val="28"/>
          <w:szCs w:val="28"/>
        </w:rPr>
        <w:t>Lai uzraudzītu šo procesu un turpinātu dialogu ar ieinteresētajām personām, tiks ieviests īpaši šim nolūkam paredzētais rīcības plāns „CARS 2020”.</w:t>
      </w:r>
    </w:p>
    <w:p w:rsidR="00C053B2" w:rsidRDefault="00C053B2" w:rsidP="006F63B2">
      <w:pPr>
        <w:jc w:val="both"/>
        <w:rPr>
          <w:sz w:val="28"/>
          <w:szCs w:val="28"/>
        </w:rPr>
      </w:pPr>
    </w:p>
    <w:p w:rsidR="00A30479" w:rsidRDefault="00A30479" w:rsidP="006F63B2">
      <w:pPr>
        <w:jc w:val="both"/>
        <w:rPr>
          <w:sz w:val="28"/>
          <w:szCs w:val="28"/>
        </w:rPr>
      </w:pPr>
    </w:p>
    <w:p w:rsidR="00A30479" w:rsidRDefault="00A30479" w:rsidP="006F63B2">
      <w:pPr>
        <w:jc w:val="both"/>
        <w:rPr>
          <w:sz w:val="28"/>
          <w:szCs w:val="28"/>
        </w:rPr>
      </w:pPr>
    </w:p>
    <w:p w:rsidR="00C053B2" w:rsidRPr="00C053B2" w:rsidRDefault="00C053B2" w:rsidP="00C053B2">
      <w:pPr>
        <w:jc w:val="both"/>
        <w:rPr>
          <w:b/>
          <w:sz w:val="28"/>
          <w:szCs w:val="28"/>
          <w:u w:val="single"/>
        </w:rPr>
      </w:pPr>
      <w:r w:rsidRPr="00C053B2">
        <w:rPr>
          <w:b/>
          <w:sz w:val="28"/>
          <w:szCs w:val="28"/>
          <w:u w:val="single"/>
        </w:rPr>
        <w:lastRenderedPageBreak/>
        <w:t>Latvijas indikatīvais viedoklis:</w:t>
      </w:r>
    </w:p>
    <w:p w:rsidR="00C053B2" w:rsidRDefault="00C053B2" w:rsidP="00C053B2">
      <w:pPr>
        <w:jc w:val="both"/>
        <w:rPr>
          <w:sz w:val="28"/>
          <w:szCs w:val="28"/>
        </w:rPr>
      </w:pPr>
    </w:p>
    <w:p w:rsidR="00C053B2" w:rsidRPr="00C053B2" w:rsidRDefault="00C053B2" w:rsidP="00C053B2">
      <w:pPr>
        <w:jc w:val="both"/>
        <w:rPr>
          <w:sz w:val="28"/>
          <w:szCs w:val="28"/>
        </w:rPr>
      </w:pPr>
      <w:r>
        <w:rPr>
          <w:sz w:val="28"/>
          <w:szCs w:val="28"/>
        </w:rPr>
        <w:tab/>
      </w:r>
      <w:r w:rsidRPr="00650183">
        <w:rPr>
          <w:b/>
          <w:sz w:val="28"/>
          <w:szCs w:val="28"/>
        </w:rPr>
        <w:t>Latvija atzinīgi vērtē</w:t>
      </w:r>
      <w:r w:rsidRPr="00C053B2">
        <w:rPr>
          <w:sz w:val="28"/>
          <w:szCs w:val="28"/>
        </w:rPr>
        <w:t xml:space="preserve"> Komisijas izstrādāto paziņojumu un atbalsta piedāvātajā rīcības plānā ierosinātos 4 rīcības virzienus ar tajos ietvertajiem konkrētajiem politikas iniciatīvu priekšlikumiem.</w:t>
      </w:r>
    </w:p>
    <w:p w:rsidR="00C053B2" w:rsidRDefault="00C053B2" w:rsidP="00C053B2">
      <w:pPr>
        <w:jc w:val="both"/>
        <w:rPr>
          <w:sz w:val="28"/>
          <w:szCs w:val="28"/>
        </w:rPr>
      </w:pPr>
      <w:r>
        <w:rPr>
          <w:sz w:val="28"/>
          <w:szCs w:val="28"/>
        </w:rPr>
        <w:tab/>
      </w:r>
      <w:r w:rsidRPr="00650183">
        <w:rPr>
          <w:b/>
          <w:sz w:val="28"/>
          <w:szCs w:val="28"/>
        </w:rPr>
        <w:t>Latvija ir ieinteresēta</w:t>
      </w:r>
      <w:r w:rsidRPr="00C053B2">
        <w:rPr>
          <w:sz w:val="28"/>
          <w:szCs w:val="28"/>
        </w:rPr>
        <w:t xml:space="preserve"> Eiropas autobūves kopumā (automobiļu ražotāji, piegāžu ķēdes, pakārtotās nozares un tirgi) konkurētspējā un izaugsmē, jo Eiropas autobūves nozare un piegāžu ķēdes ir svarīgs Latvijas ražojošo komersantu preču eksporta tirgus. Pieprasījums Eiropas autobūves nozarē var sniegt nozīmīgu ieguldījumu daudzu Latvijas nozaru ražošanas potenciāla attīstībā (autobūves komponentu ražošana, mašīnbūve un metālapstrāde, iekārtu un tehnoloģisko rīku ražošana, plastmasas un gumijas detaļu izgatavošana, elektronika un automatizācija, pētniecība un projektēšana).</w:t>
      </w:r>
    </w:p>
    <w:p w:rsidR="00C053B2" w:rsidRPr="009C3C35" w:rsidRDefault="00C053B2" w:rsidP="006F63B2">
      <w:pPr>
        <w:jc w:val="both"/>
        <w:rPr>
          <w:sz w:val="28"/>
          <w:szCs w:val="28"/>
        </w:rPr>
      </w:pPr>
    </w:p>
    <w:p w:rsidR="009C3C35" w:rsidRPr="009C3C35" w:rsidRDefault="009C3C35" w:rsidP="009C3C35">
      <w:pPr>
        <w:rPr>
          <w:sz w:val="28"/>
          <w:szCs w:val="28"/>
        </w:rPr>
      </w:pPr>
    </w:p>
    <w:p w:rsidR="00B03397" w:rsidRPr="00025B33" w:rsidRDefault="00B120E4" w:rsidP="009C3C35">
      <w:pPr>
        <w:pBdr>
          <w:bottom w:val="single" w:sz="4" w:space="1" w:color="auto"/>
        </w:pBdr>
        <w:tabs>
          <w:tab w:val="left" w:pos="9288"/>
        </w:tabs>
        <w:spacing w:after="120"/>
        <w:jc w:val="both"/>
        <w:rPr>
          <w:b/>
          <w:sz w:val="28"/>
          <w:szCs w:val="28"/>
        </w:rPr>
      </w:pPr>
      <w:r>
        <w:rPr>
          <w:b/>
          <w:sz w:val="28"/>
          <w:szCs w:val="28"/>
        </w:rPr>
        <w:t>1.5</w:t>
      </w:r>
      <w:r w:rsidR="00B03397" w:rsidRPr="00025B33">
        <w:rPr>
          <w:b/>
          <w:sz w:val="28"/>
          <w:szCs w:val="28"/>
        </w:rPr>
        <w:t xml:space="preserve">. Citi jautājumi </w:t>
      </w:r>
    </w:p>
    <w:p w:rsidR="00B03397" w:rsidRDefault="00B03397" w:rsidP="004C1552">
      <w:pPr>
        <w:jc w:val="both"/>
        <w:rPr>
          <w:sz w:val="28"/>
          <w:szCs w:val="28"/>
        </w:rPr>
      </w:pPr>
    </w:p>
    <w:p w:rsidR="00B03397" w:rsidRPr="00025B33" w:rsidRDefault="004D1754" w:rsidP="004D1754">
      <w:pPr>
        <w:pStyle w:val="ListParagraph"/>
        <w:numPr>
          <w:ilvl w:val="0"/>
          <w:numId w:val="3"/>
        </w:numPr>
        <w:tabs>
          <w:tab w:val="left" w:pos="284"/>
        </w:tabs>
        <w:jc w:val="both"/>
        <w:rPr>
          <w:b/>
          <w:sz w:val="28"/>
          <w:szCs w:val="28"/>
        </w:rPr>
      </w:pPr>
      <w:r w:rsidRPr="004D1754">
        <w:rPr>
          <w:b/>
          <w:sz w:val="28"/>
          <w:szCs w:val="28"/>
        </w:rPr>
        <w:t>Eiropas semestris/2013.gada Ikgadējais izaugsmes ziņojums</w:t>
      </w:r>
      <w:r w:rsidR="00013A67">
        <w:rPr>
          <w:b/>
          <w:sz w:val="28"/>
          <w:szCs w:val="28"/>
        </w:rPr>
        <w:t xml:space="preserve"> </w:t>
      </w:r>
      <w:r w:rsidR="00013A67">
        <w:rPr>
          <w:i/>
          <w:sz w:val="28"/>
          <w:szCs w:val="28"/>
        </w:rPr>
        <w:t>(E</w:t>
      </w:r>
      <w:r w:rsidR="00013A67" w:rsidRPr="0046554A">
        <w:rPr>
          <w:i/>
          <w:sz w:val="28"/>
          <w:szCs w:val="28"/>
        </w:rPr>
        <w:t>M kompetence)</w:t>
      </w:r>
    </w:p>
    <w:p w:rsidR="00B03397" w:rsidRPr="00D603C1" w:rsidRDefault="00B03397" w:rsidP="002902E4">
      <w:pPr>
        <w:pStyle w:val="ListParagraph"/>
        <w:numPr>
          <w:ilvl w:val="0"/>
          <w:numId w:val="5"/>
        </w:numPr>
        <w:tabs>
          <w:tab w:val="left" w:pos="284"/>
        </w:tabs>
        <w:jc w:val="both"/>
        <w:rPr>
          <w:i/>
          <w:sz w:val="28"/>
          <w:szCs w:val="28"/>
        </w:rPr>
      </w:pPr>
      <w:r w:rsidRPr="00D603C1">
        <w:rPr>
          <w:i/>
          <w:sz w:val="28"/>
          <w:szCs w:val="28"/>
        </w:rPr>
        <w:t xml:space="preserve">Komisijas </w:t>
      </w:r>
      <w:r w:rsidR="00C90A02" w:rsidRPr="00D603C1">
        <w:rPr>
          <w:i/>
          <w:sz w:val="28"/>
          <w:szCs w:val="28"/>
        </w:rPr>
        <w:t>sniegta informācija</w:t>
      </w:r>
    </w:p>
    <w:p w:rsidR="00F87D49" w:rsidRPr="00025B33" w:rsidRDefault="00F87D49" w:rsidP="00C90A02">
      <w:pPr>
        <w:jc w:val="both"/>
        <w:rPr>
          <w:sz w:val="28"/>
          <w:szCs w:val="28"/>
        </w:rPr>
      </w:pPr>
    </w:p>
    <w:p w:rsidR="004D1754" w:rsidRPr="004D1754" w:rsidRDefault="00C90A02" w:rsidP="004D1754">
      <w:pPr>
        <w:tabs>
          <w:tab w:val="left" w:pos="798"/>
          <w:tab w:val="left" w:pos="2127"/>
        </w:tabs>
        <w:jc w:val="both"/>
        <w:rPr>
          <w:sz w:val="28"/>
          <w:szCs w:val="28"/>
        </w:rPr>
      </w:pPr>
      <w:r>
        <w:rPr>
          <w:sz w:val="28"/>
          <w:szCs w:val="28"/>
        </w:rPr>
        <w:tab/>
      </w:r>
      <w:r w:rsidR="004D1754" w:rsidRPr="004D1754">
        <w:rPr>
          <w:sz w:val="28"/>
          <w:szCs w:val="28"/>
        </w:rPr>
        <w:t>Sanāksmes laikā Eiropas Komisija prezentēs galvenos secinājumus par 2012.gada 28.novembrī publicēto 2013.gada Ikgadējo izaugsmes ziņojumu, kas 2013.gadā iesāks trešo Eiropas semestra posmu. Balstoties uz Eiropas Komisijas prezentāciju, notiks viedokļu apmaiņa.</w:t>
      </w:r>
    </w:p>
    <w:p w:rsidR="004D1754" w:rsidRPr="004D1754" w:rsidRDefault="004D1754" w:rsidP="004D1754">
      <w:pPr>
        <w:tabs>
          <w:tab w:val="left" w:pos="798"/>
          <w:tab w:val="left" w:pos="2127"/>
        </w:tabs>
        <w:jc w:val="both"/>
        <w:rPr>
          <w:sz w:val="28"/>
          <w:szCs w:val="28"/>
        </w:rPr>
      </w:pPr>
      <w:r>
        <w:rPr>
          <w:sz w:val="28"/>
          <w:szCs w:val="28"/>
        </w:rPr>
        <w:tab/>
      </w:r>
      <w:r w:rsidRPr="004D1754">
        <w:rPr>
          <w:sz w:val="28"/>
          <w:szCs w:val="28"/>
        </w:rPr>
        <w:t>Eiropas Komisijas Ikgadējais izaugsmes ziņojums ir svarīgs elements Eiropas semestra procesā, jo ar tā publicēšanu tiek uzsāktas diskusijas dažādos ES Padomes formātos Eiropas semestra sākumā. Šo diskusiju rezultātā ES dalībvalstis vienojas par galvenajām ekonomiskās politikas prioritātēm, kuras tām jāņem vērā, atjaunojot Nacionālās reformu programmas, Stabilitātes un Konverģences programmas.</w:t>
      </w:r>
    </w:p>
    <w:p w:rsidR="004D1754" w:rsidRPr="004D1754" w:rsidRDefault="004D1754" w:rsidP="004D1754">
      <w:pPr>
        <w:tabs>
          <w:tab w:val="left" w:pos="798"/>
          <w:tab w:val="left" w:pos="2127"/>
        </w:tabs>
        <w:jc w:val="both"/>
        <w:rPr>
          <w:sz w:val="28"/>
          <w:szCs w:val="28"/>
        </w:rPr>
      </w:pPr>
      <w:r>
        <w:rPr>
          <w:sz w:val="28"/>
          <w:szCs w:val="28"/>
        </w:rPr>
        <w:tab/>
      </w:r>
      <w:r w:rsidRPr="004D1754">
        <w:rPr>
          <w:sz w:val="28"/>
          <w:szCs w:val="28"/>
        </w:rPr>
        <w:t>Eiropas Komisija uzskata, ka 2012.gadā identificētās prioritārās jomas joprojām saglabā savu aktualitāti, tādēļ arī 2013.gadā nacionālām un ES līmeņa aktivitātēm jākoncentrējas uz sekojošām piecām prioritātēm:</w:t>
      </w:r>
    </w:p>
    <w:p w:rsidR="004D1754" w:rsidRPr="004D1754" w:rsidRDefault="004D1754" w:rsidP="004D1754">
      <w:pPr>
        <w:pStyle w:val="ListParagraph"/>
        <w:numPr>
          <w:ilvl w:val="0"/>
          <w:numId w:val="15"/>
        </w:numPr>
        <w:tabs>
          <w:tab w:val="left" w:pos="798"/>
          <w:tab w:val="left" w:pos="2127"/>
        </w:tabs>
        <w:jc w:val="both"/>
        <w:rPr>
          <w:sz w:val="28"/>
          <w:szCs w:val="28"/>
        </w:rPr>
      </w:pPr>
      <w:r w:rsidRPr="004D1754">
        <w:rPr>
          <w:sz w:val="28"/>
          <w:szCs w:val="28"/>
        </w:rPr>
        <w:t>izaugsmei draudzīgas fiskālās konsolidācijas īstenošana;</w:t>
      </w:r>
    </w:p>
    <w:p w:rsidR="004D1754" w:rsidRPr="004D1754" w:rsidRDefault="004D1754" w:rsidP="004D1754">
      <w:pPr>
        <w:pStyle w:val="ListParagraph"/>
        <w:numPr>
          <w:ilvl w:val="0"/>
          <w:numId w:val="15"/>
        </w:numPr>
        <w:tabs>
          <w:tab w:val="left" w:pos="798"/>
          <w:tab w:val="left" w:pos="2127"/>
        </w:tabs>
        <w:jc w:val="both"/>
        <w:rPr>
          <w:sz w:val="28"/>
          <w:szCs w:val="28"/>
        </w:rPr>
      </w:pPr>
      <w:r w:rsidRPr="004D1754">
        <w:rPr>
          <w:sz w:val="28"/>
          <w:szCs w:val="28"/>
        </w:rPr>
        <w:t>normālās kreditēšanas atjaunošana ekonomikā;</w:t>
      </w:r>
    </w:p>
    <w:p w:rsidR="004D1754" w:rsidRPr="004D1754" w:rsidRDefault="004D1754" w:rsidP="004D1754">
      <w:pPr>
        <w:pStyle w:val="ListParagraph"/>
        <w:numPr>
          <w:ilvl w:val="0"/>
          <w:numId w:val="15"/>
        </w:numPr>
        <w:tabs>
          <w:tab w:val="left" w:pos="798"/>
          <w:tab w:val="left" w:pos="2127"/>
        </w:tabs>
        <w:jc w:val="both"/>
        <w:rPr>
          <w:sz w:val="28"/>
          <w:szCs w:val="28"/>
        </w:rPr>
      </w:pPr>
      <w:r w:rsidRPr="004D1754">
        <w:rPr>
          <w:sz w:val="28"/>
          <w:szCs w:val="28"/>
        </w:rPr>
        <w:t>izaugsmes un konkurētspējas veicināšana;</w:t>
      </w:r>
    </w:p>
    <w:p w:rsidR="004D1754" w:rsidRPr="004D1754" w:rsidRDefault="004D1754" w:rsidP="004D1754">
      <w:pPr>
        <w:pStyle w:val="ListParagraph"/>
        <w:numPr>
          <w:ilvl w:val="0"/>
          <w:numId w:val="15"/>
        </w:numPr>
        <w:tabs>
          <w:tab w:val="left" w:pos="798"/>
          <w:tab w:val="left" w:pos="2127"/>
        </w:tabs>
        <w:jc w:val="both"/>
        <w:rPr>
          <w:sz w:val="28"/>
          <w:szCs w:val="28"/>
        </w:rPr>
      </w:pPr>
      <w:r w:rsidRPr="004D1754">
        <w:rPr>
          <w:sz w:val="28"/>
          <w:szCs w:val="28"/>
        </w:rPr>
        <w:t>bezdarba un sociālo problēmu risināšana;</w:t>
      </w:r>
    </w:p>
    <w:p w:rsidR="004D1754" w:rsidRPr="004D1754" w:rsidRDefault="004D1754" w:rsidP="004D1754">
      <w:pPr>
        <w:pStyle w:val="ListParagraph"/>
        <w:numPr>
          <w:ilvl w:val="0"/>
          <w:numId w:val="15"/>
        </w:numPr>
        <w:tabs>
          <w:tab w:val="left" w:pos="798"/>
          <w:tab w:val="left" w:pos="2127"/>
        </w:tabs>
        <w:jc w:val="both"/>
        <w:rPr>
          <w:sz w:val="28"/>
          <w:szCs w:val="28"/>
        </w:rPr>
      </w:pPr>
      <w:r w:rsidRPr="004D1754">
        <w:rPr>
          <w:sz w:val="28"/>
          <w:szCs w:val="28"/>
        </w:rPr>
        <w:t>valsts pārvaldes modernizācija.</w:t>
      </w:r>
    </w:p>
    <w:p w:rsidR="00492CE1" w:rsidRDefault="00492CE1" w:rsidP="004D1754">
      <w:pPr>
        <w:jc w:val="both"/>
        <w:textAlignment w:val="top"/>
        <w:rPr>
          <w:b/>
          <w:bCs/>
          <w:sz w:val="26"/>
          <w:szCs w:val="26"/>
        </w:rPr>
      </w:pPr>
    </w:p>
    <w:p w:rsidR="004D1754" w:rsidRPr="004D1754" w:rsidRDefault="004D1754" w:rsidP="004D1754">
      <w:pPr>
        <w:jc w:val="both"/>
        <w:textAlignment w:val="top"/>
        <w:rPr>
          <w:i/>
          <w:iCs/>
          <w:sz w:val="28"/>
          <w:szCs w:val="26"/>
        </w:rPr>
      </w:pPr>
      <w:r>
        <w:rPr>
          <w:b/>
          <w:bCs/>
          <w:sz w:val="26"/>
          <w:szCs w:val="26"/>
        </w:rPr>
        <w:tab/>
      </w:r>
      <w:r w:rsidRPr="004D1754">
        <w:rPr>
          <w:b/>
          <w:bCs/>
          <w:sz w:val="28"/>
          <w:szCs w:val="26"/>
        </w:rPr>
        <w:t>Latvija pozitīvi vērtē</w:t>
      </w:r>
      <w:r w:rsidRPr="004D1754">
        <w:rPr>
          <w:sz w:val="28"/>
          <w:szCs w:val="26"/>
        </w:rPr>
        <w:t xml:space="preserve"> savlaicīgu Ikgadējā izaugsmes ziņojuma publicēšanu.</w:t>
      </w:r>
    </w:p>
    <w:p w:rsidR="004D1754" w:rsidRPr="004D1754" w:rsidRDefault="004D1754" w:rsidP="004D1754">
      <w:pPr>
        <w:jc w:val="both"/>
        <w:rPr>
          <w:sz w:val="28"/>
          <w:szCs w:val="26"/>
        </w:rPr>
      </w:pPr>
      <w:r w:rsidRPr="004D1754">
        <w:rPr>
          <w:sz w:val="28"/>
          <w:szCs w:val="26"/>
        </w:rPr>
        <w:lastRenderedPageBreak/>
        <w:tab/>
        <w:t xml:space="preserve">Pēc Latvijas domām, 2012.gada Ikgadējā izaugsmes ziņojuma prioritātes joprojām ir aktuālas arī 2013.gada Ikgadējā izaugsmes ziņojuma kontekstā, tāpēc </w:t>
      </w:r>
      <w:r w:rsidRPr="004D1754">
        <w:rPr>
          <w:b/>
          <w:sz w:val="28"/>
          <w:szCs w:val="26"/>
        </w:rPr>
        <w:t>esam gandarīti, ka Eiropas Komisija nav mainījusi iepriekšējā Ikgadējā izaugsmes ziņojumā noteiktās prioritātes</w:t>
      </w:r>
      <w:r w:rsidRPr="004D1754">
        <w:rPr>
          <w:sz w:val="28"/>
          <w:szCs w:val="26"/>
        </w:rPr>
        <w:t>.</w:t>
      </w:r>
    </w:p>
    <w:p w:rsidR="004D1754" w:rsidRPr="004D1754" w:rsidRDefault="004D1754" w:rsidP="004D1754">
      <w:pPr>
        <w:jc w:val="both"/>
        <w:rPr>
          <w:sz w:val="28"/>
          <w:szCs w:val="26"/>
        </w:rPr>
      </w:pPr>
      <w:r w:rsidRPr="004D1754">
        <w:rPr>
          <w:b/>
          <w:bCs/>
          <w:sz w:val="28"/>
          <w:szCs w:val="26"/>
        </w:rPr>
        <w:tab/>
        <w:t>Latvija uzskata</w:t>
      </w:r>
      <w:r w:rsidRPr="004D1754">
        <w:rPr>
          <w:sz w:val="28"/>
          <w:szCs w:val="26"/>
        </w:rPr>
        <w:t xml:space="preserve">, ka ES dalībvalstīm un ES kopumā ir </w:t>
      </w:r>
      <w:r w:rsidRPr="004D1754">
        <w:rPr>
          <w:b/>
          <w:bCs/>
          <w:sz w:val="28"/>
          <w:szCs w:val="26"/>
        </w:rPr>
        <w:t>jāturpina jau iepriekšējā Eiropas semestra laikā iesāktais darbs</w:t>
      </w:r>
      <w:r w:rsidRPr="004D1754">
        <w:rPr>
          <w:sz w:val="28"/>
          <w:szCs w:val="26"/>
        </w:rPr>
        <w:t xml:space="preserve"> fiskālās atbildības stiprināšanā, bezdarba un sociālo problēmu risināšanā un konkurētspējas uzlabošanā, īstenojot nepieciešamās strukturālās reformas.</w:t>
      </w:r>
    </w:p>
    <w:p w:rsidR="004D1754" w:rsidRPr="004D1754" w:rsidRDefault="004D1754" w:rsidP="004D1754">
      <w:pPr>
        <w:jc w:val="both"/>
        <w:rPr>
          <w:sz w:val="28"/>
          <w:szCs w:val="26"/>
        </w:rPr>
      </w:pPr>
      <w:r w:rsidRPr="004D1754">
        <w:rPr>
          <w:b/>
          <w:bCs/>
          <w:sz w:val="28"/>
          <w:szCs w:val="26"/>
        </w:rPr>
        <w:tab/>
        <w:t>Tieši konkurētspējas uzlabošanas kontekstā L</w:t>
      </w:r>
      <w:r w:rsidR="002948F4">
        <w:rPr>
          <w:b/>
          <w:bCs/>
          <w:sz w:val="28"/>
          <w:szCs w:val="26"/>
        </w:rPr>
        <w:t>atvijai ir svarīga turpmākā ES v</w:t>
      </w:r>
      <w:r w:rsidRPr="004D1754">
        <w:rPr>
          <w:b/>
          <w:bCs/>
          <w:sz w:val="28"/>
          <w:szCs w:val="26"/>
        </w:rPr>
        <w:t>ienotā tirgus stiprināšana</w:t>
      </w:r>
      <w:r w:rsidR="002948F4">
        <w:rPr>
          <w:sz w:val="28"/>
          <w:szCs w:val="26"/>
        </w:rPr>
        <w:t>. Latvija vēlas v</w:t>
      </w:r>
      <w:r w:rsidRPr="004D1754">
        <w:rPr>
          <w:sz w:val="28"/>
          <w:szCs w:val="26"/>
        </w:rPr>
        <w:t xml:space="preserve">ienotā tirgus tālāku padziļināšanu un liberalizāciju, četru brīvību nodrošināšanu, likvidējot jebkādus šķēršļus, kas var traucēt sekmīgai </w:t>
      </w:r>
      <w:r w:rsidR="002948F4">
        <w:rPr>
          <w:sz w:val="28"/>
          <w:szCs w:val="26"/>
        </w:rPr>
        <w:t>v</w:t>
      </w:r>
      <w:r w:rsidRPr="004D1754">
        <w:rPr>
          <w:sz w:val="28"/>
          <w:szCs w:val="26"/>
        </w:rPr>
        <w:t xml:space="preserve">ienotā tirgus darbībai </w:t>
      </w:r>
      <w:r w:rsidR="002948F4">
        <w:rPr>
          <w:sz w:val="28"/>
          <w:szCs w:val="26"/>
        </w:rPr>
        <w:t>un brīvai konkurencei. Sekmīga v</w:t>
      </w:r>
      <w:r w:rsidRPr="004D1754">
        <w:rPr>
          <w:sz w:val="28"/>
          <w:szCs w:val="26"/>
        </w:rPr>
        <w:t>ienotā tirgus darbība un brīva konkurence ir efektīvākais instruments ilgtspējīgas konkurētspējas veicināšanai.</w:t>
      </w:r>
    </w:p>
    <w:p w:rsidR="004D1754" w:rsidRPr="004D1754" w:rsidRDefault="004D1754" w:rsidP="004D1754">
      <w:pPr>
        <w:jc w:val="both"/>
        <w:rPr>
          <w:bCs/>
          <w:sz w:val="28"/>
          <w:szCs w:val="26"/>
        </w:rPr>
      </w:pPr>
      <w:r w:rsidRPr="004D1754">
        <w:rPr>
          <w:bCs/>
          <w:sz w:val="28"/>
          <w:szCs w:val="26"/>
        </w:rPr>
        <w:tab/>
        <w:t xml:space="preserve">Tā kā Latvija plāno iestāties </w:t>
      </w:r>
      <w:proofErr w:type="spellStart"/>
      <w:r w:rsidRPr="004D1754">
        <w:rPr>
          <w:bCs/>
          <w:sz w:val="28"/>
          <w:szCs w:val="26"/>
        </w:rPr>
        <w:t>eirozonā</w:t>
      </w:r>
      <w:proofErr w:type="spellEnd"/>
      <w:r w:rsidRPr="004D1754">
        <w:rPr>
          <w:bCs/>
          <w:sz w:val="28"/>
          <w:szCs w:val="26"/>
        </w:rPr>
        <w:t xml:space="preserve"> 2014.gada 1.janvārī, </w:t>
      </w:r>
      <w:r w:rsidRPr="004D1754">
        <w:rPr>
          <w:b/>
          <w:bCs/>
          <w:sz w:val="28"/>
          <w:szCs w:val="26"/>
        </w:rPr>
        <w:t xml:space="preserve">Latvija atbalsta visus centienus stabilizēt situāciju </w:t>
      </w:r>
      <w:proofErr w:type="spellStart"/>
      <w:r w:rsidRPr="004D1754">
        <w:rPr>
          <w:b/>
          <w:bCs/>
          <w:sz w:val="28"/>
          <w:szCs w:val="26"/>
        </w:rPr>
        <w:t>eirozonā</w:t>
      </w:r>
      <w:proofErr w:type="spellEnd"/>
      <w:r w:rsidRPr="004D1754">
        <w:rPr>
          <w:bCs/>
          <w:sz w:val="28"/>
          <w:szCs w:val="26"/>
        </w:rPr>
        <w:t xml:space="preserve"> un ieviest labākus mehānismus situācijas stabilizēšanai un uzlabošanai. </w:t>
      </w:r>
      <w:r w:rsidRPr="004D1754">
        <w:rPr>
          <w:b/>
          <w:bCs/>
          <w:sz w:val="28"/>
          <w:szCs w:val="26"/>
        </w:rPr>
        <w:t xml:space="preserve">Latvija uzskata, ka neskatoties uz šī brīža problēmām </w:t>
      </w:r>
      <w:proofErr w:type="spellStart"/>
      <w:r w:rsidRPr="004D1754">
        <w:rPr>
          <w:b/>
          <w:bCs/>
          <w:sz w:val="28"/>
          <w:szCs w:val="26"/>
        </w:rPr>
        <w:t>eirozonā</w:t>
      </w:r>
      <w:proofErr w:type="spellEnd"/>
      <w:r w:rsidRPr="004D1754">
        <w:rPr>
          <w:b/>
          <w:bCs/>
          <w:sz w:val="28"/>
          <w:szCs w:val="26"/>
        </w:rPr>
        <w:t>, tās paplašināšana būtu jāturpina</w:t>
      </w:r>
      <w:r w:rsidRPr="004D1754">
        <w:rPr>
          <w:bCs/>
          <w:sz w:val="28"/>
          <w:szCs w:val="26"/>
        </w:rPr>
        <w:t xml:space="preserve">, ļaujot tajā iestāties fiskāli atbildīgajām valstīm, kuras izpilda visus konverģences kritērijus. Šādā veidā tiktu veicināta papildu uzticība </w:t>
      </w:r>
      <w:proofErr w:type="spellStart"/>
      <w:r w:rsidRPr="004D1754">
        <w:rPr>
          <w:bCs/>
          <w:sz w:val="28"/>
          <w:szCs w:val="26"/>
        </w:rPr>
        <w:t>eirozonai</w:t>
      </w:r>
      <w:proofErr w:type="spellEnd"/>
      <w:r w:rsidRPr="004D1754">
        <w:rPr>
          <w:bCs/>
          <w:sz w:val="28"/>
          <w:szCs w:val="26"/>
        </w:rPr>
        <w:t>.</w:t>
      </w:r>
    </w:p>
    <w:p w:rsidR="00C90A02" w:rsidRDefault="00C90A02" w:rsidP="00C90A02">
      <w:pPr>
        <w:jc w:val="both"/>
        <w:rPr>
          <w:sz w:val="28"/>
          <w:szCs w:val="28"/>
        </w:rPr>
      </w:pPr>
    </w:p>
    <w:p w:rsidR="00F87D49" w:rsidRPr="00713692" w:rsidRDefault="004D1754" w:rsidP="004D1754">
      <w:pPr>
        <w:pStyle w:val="ListParagraph"/>
        <w:numPr>
          <w:ilvl w:val="0"/>
          <w:numId w:val="3"/>
        </w:numPr>
        <w:jc w:val="both"/>
        <w:rPr>
          <w:b/>
          <w:sz w:val="28"/>
          <w:szCs w:val="28"/>
        </w:rPr>
      </w:pPr>
      <w:r w:rsidRPr="00713692">
        <w:rPr>
          <w:b/>
          <w:sz w:val="28"/>
          <w:szCs w:val="28"/>
        </w:rPr>
        <w:t>Patērētāju strīdu izšķiršana</w:t>
      </w:r>
      <w:r w:rsidR="0046554A" w:rsidRPr="00713692">
        <w:rPr>
          <w:b/>
          <w:sz w:val="28"/>
          <w:szCs w:val="28"/>
        </w:rPr>
        <w:t xml:space="preserve"> </w:t>
      </w:r>
      <w:r w:rsidR="0046554A" w:rsidRPr="00713692">
        <w:rPr>
          <w:i/>
          <w:sz w:val="28"/>
          <w:szCs w:val="28"/>
        </w:rPr>
        <w:t>(</w:t>
      </w:r>
      <w:r w:rsidRPr="00713692">
        <w:rPr>
          <w:i/>
          <w:sz w:val="28"/>
          <w:szCs w:val="28"/>
        </w:rPr>
        <w:t>EM</w:t>
      </w:r>
      <w:r w:rsidR="0046554A" w:rsidRPr="00713692">
        <w:rPr>
          <w:i/>
          <w:sz w:val="28"/>
          <w:szCs w:val="28"/>
        </w:rPr>
        <w:t xml:space="preserve"> kompetence)</w:t>
      </w:r>
    </w:p>
    <w:p w:rsidR="00F87D49" w:rsidRPr="00713692" w:rsidRDefault="004D1754" w:rsidP="002902E4">
      <w:pPr>
        <w:pStyle w:val="ListParagraph"/>
        <w:numPr>
          <w:ilvl w:val="0"/>
          <w:numId w:val="2"/>
        </w:numPr>
        <w:jc w:val="both"/>
        <w:rPr>
          <w:i/>
          <w:sz w:val="28"/>
          <w:szCs w:val="28"/>
        </w:rPr>
      </w:pPr>
      <w:r w:rsidRPr="00713692">
        <w:rPr>
          <w:i/>
          <w:sz w:val="28"/>
          <w:szCs w:val="28"/>
        </w:rPr>
        <w:t>Prezidentvalsts</w:t>
      </w:r>
      <w:r w:rsidR="00F87D49" w:rsidRPr="00713692">
        <w:rPr>
          <w:i/>
          <w:sz w:val="28"/>
          <w:szCs w:val="28"/>
        </w:rPr>
        <w:t xml:space="preserve"> sniegta informācija</w:t>
      </w:r>
    </w:p>
    <w:p w:rsidR="001129BD" w:rsidRDefault="001129BD" w:rsidP="00C90A02">
      <w:pPr>
        <w:jc w:val="both"/>
        <w:rPr>
          <w:sz w:val="28"/>
          <w:szCs w:val="28"/>
        </w:rPr>
      </w:pPr>
    </w:p>
    <w:p w:rsidR="001129BD" w:rsidRPr="001129BD" w:rsidRDefault="001129BD" w:rsidP="001129BD">
      <w:pPr>
        <w:jc w:val="both"/>
        <w:rPr>
          <w:sz w:val="28"/>
          <w:szCs w:val="28"/>
        </w:rPr>
      </w:pPr>
      <w:r>
        <w:rPr>
          <w:sz w:val="28"/>
          <w:szCs w:val="28"/>
        </w:rPr>
        <w:tab/>
      </w:r>
      <w:r w:rsidRPr="001129BD">
        <w:rPr>
          <w:sz w:val="28"/>
          <w:szCs w:val="28"/>
        </w:rPr>
        <w:t xml:space="preserve">Kipras prezidentūras laikā turpinājās aktīvas diskusijas par direktīvas projektu par patērētāju alternatīvo strīdu risināšanu (ADR)  un regulas projektu par patērētāju alternatīvo strīdu risināšanu tiešsaistē (ODR), un vienošanās panākšanai ar Eiropas Parlamentu tika organizēti vairāki neformālie </w:t>
      </w:r>
      <w:proofErr w:type="spellStart"/>
      <w:r w:rsidRPr="001129BD">
        <w:rPr>
          <w:sz w:val="28"/>
          <w:szCs w:val="28"/>
        </w:rPr>
        <w:t>trialogi</w:t>
      </w:r>
      <w:proofErr w:type="spellEnd"/>
      <w:r w:rsidRPr="001129BD">
        <w:rPr>
          <w:sz w:val="28"/>
          <w:szCs w:val="28"/>
        </w:rPr>
        <w:t xml:space="preserve">. </w:t>
      </w:r>
    </w:p>
    <w:p w:rsidR="001129BD" w:rsidRDefault="001129BD" w:rsidP="001129BD">
      <w:pPr>
        <w:jc w:val="both"/>
        <w:rPr>
          <w:sz w:val="28"/>
          <w:szCs w:val="28"/>
        </w:rPr>
      </w:pPr>
      <w:r>
        <w:rPr>
          <w:sz w:val="28"/>
          <w:szCs w:val="28"/>
        </w:rPr>
        <w:tab/>
      </w:r>
      <w:r w:rsidRPr="001129BD">
        <w:rPr>
          <w:sz w:val="28"/>
          <w:szCs w:val="28"/>
        </w:rPr>
        <w:t xml:space="preserve">Priekšlikumi ir  izstrādāti ar mērķi veicināt patērētāju un uzņēmēju uzticību pārrobežu darījumu slēgšanai ES vienotajā tirgū, nodrošinot, ka visās ES dalībvalstīs pastāv kvalitatīvas patērētāju ārpustiesas strīdu risināšanas  struktūras, kurās patērētāji bez vēršanās tiesā var atrisināt jebkuru līgumisku strīdu ar uzņēmumu par preces vai pakalpojuma iegādi. </w:t>
      </w:r>
    </w:p>
    <w:p w:rsidR="000A7F3E" w:rsidRDefault="001129BD" w:rsidP="001129BD">
      <w:pPr>
        <w:jc w:val="both"/>
        <w:rPr>
          <w:sz w:val="28"/>
          <w:szCs w:val="28"/>
        </w:rPr>
      </w:pPr>
      <w:r>
        <w:rPr>
          <w:sz w:val="28"/>
          <w:szCs w:val="28"/>
        </w:rPr>
        <w:tab/>
      </w:r>
      <w:r w:rsidRPr="000A7F3E">
        <w:rPr>
          <w:b/>
          <w:sz w:val="28"/>
          <w:szCs w:val="28"/>
        </w:rPr>
        <w:t>L</w:t>
      </w:r>
      <w:r w:rsidR="000A7F3E" w:rsidRPr="000A7F3E">
        <w:rPr>
          <w:b/>
          <w:sz w:val="28"/>
          <w:szCs w:val="28"/>
        </w:rPr>
        <w:t>atvija</w:t>
      </w:r>
      <w:r w:rsidRPr="000A7F3E">
        <w:rPr>
          <w:b/>
          <w:sz w:val="28"/>
          <w:szCs w:val="28"/>
        </w:rPr>
        <w:t xml:space="preserve"> atbalsta</w:t>
      </w:r>
      <w:r w:rsidRPr="001129BD">
        <w:rPr>
          <w:sz w:val="28"/>
          <w:szCs w:val="28"/>
        </w:rPr>
        <w:t xml:space="preserve"> priekšlikumus un uzskata, ka to pieņemšana veicinās patērētāju tiesību aizsardzību un sniegs ieguldījumu ES iekšējā tirgus darbības attīstībā. Lai nodrošinātu augstu patērētāju tiesību aizsardzības līmeni un veicinātu patērētāju uzticību ES iekšējam tirgum, ir būtiski, lai patērētājiem būtu pieejams vienkāršs un efektīvs mehānisms strīdu risināšanai. Skaidrāki noteikumi attiecībā uz ārpustiesas strīdu risināšanas struktūru pieejamību un to vienoti kvalitātes kritēriji visās ES dalībvalstīs vairos patērētāju un uzņēmēju uzticību pārrobežu darījumiem ES iekšējā tirgū, tostarp slēdzot darījumus tiešsaistē. </w:t>
      </w:r>
    </w:p>
    <w:p w:rsidR="001129BD" w:rsidRDefault="000A7F3E" w:rsidP="001129BD">
      <w:pPr>
        <w:jc w:val="both"/>
        <w:rPr>
          <w:sz w:val="28"/>
          <w:szCs w:val="28"/>
        </w:rPr>
      </w:pPr>
      <w:r>
        <w:rPr>
          <w:sz w:val="28"/>
          <w:szCs w:val="28"/>
        </w:rPr>
        <w:lastRenderedPageBreak/>
        <w:tab/>
      </w:r>
      <w:r w:rsidR="001129BD" w:rsidRPr="001129BD">
        <w:rPr>
          <w:sz w:val="28"/>
          <w:szCs w:val="28"/>
        </w:rPr>
        <w:t xml:space="preserve">Diskusijās par priekšlikumiem </w:t>
      </w:r>
      <w:r w:rsidR="001129BD" w:rsidRPr="000A7F3E">
        <w:rPr>
          <w:b/>
          <w:sz w:val="28"/>
          <w:szCs w:val="28"/>
        </w:rPr>
        <w:t>Latvijai ir svarīgi</w:t>
      </w:r>
      <w:r w:rsidR="001129BD" w:rsidRPr="001129BD">
        <w:rPr>
          <w:sz w:val="28"/>
          <w:szCs w:val="28"/>
        </w:rPr>
        <w:t>, lai visu ES dalībvalstu ADR struktūrās tiktu nodrošināti vienoti augsti kvalitātes un neatkarības principi. Un jo īpaši svarīgi tas ir viena tirgotāja izveidoto ADR struktūru gadījumā un pārrobežu darījumu kontekstā.</w:t>
      </w:r>
    </w:p>
    <w:p w:rsidR="001129BD" w:rsidRDefault="001129BD" w:rsidP="00C90A02">
      <w:pPr>
        <w:jc w:val="both"/>
        <w:rPr>
          <w:sz w:val="28"/>
          <w:szCs w:val="28"/>
        </w:rPr>
      </w:pPr>
    </w:p>
    <w:p w:rsidR="00C90A02" w:rsidRPr="00B222DB" w:rsidRDefault="004D1754" w:rsidP="004D1754">
      <w:pPr>
        <w:pStyle w:val="ListParagraph"/>
        <w:numPr>
          <w:ilvl w:val="0"/>
          <w:numId w:val="3"/>
        </w:numPr>
        <w:jc w:val="both"/>
        <w:rPr>
          <w:b/>
          <w:sz w:val="28"/>
          <w:szCs w:val="28"/>
        </w:rPr>
      </w:pPr>
      <w:r w:rsidRPr="004D1754">
        <w:rPr>
          <w:b/>
          <w:sz w:val="28"/>
          <w:szCs w:val="28"/>
        </w:rPr>
        <w:t>Priekšlikums – Eiropas Parlamenta un Padomes Regula par Patērētāju tiesību aizsardzības programmu 2014.–2020. gadam (pirmais lasījums)</w:t>
      </w:r>
      <w:r w:rsidR="0046554A">
        <w:rPr>
          <w:b/>
          <w:sz w:val="28"/>
          <w:szCs w:val="28"/>
        </w:rPr>
        <w:t xml:space="preserve"> </w:t>
      </w:r>
      <w:r w:rsidR="0046554A">
        <w:rPr>
          <w:i/>
          <w:sz w:val="28"/>
          <w:szCs w:val="28"/>
        </w:rPr>
        <w:t>(E</w:t>
      </w:r>
      <w:r w:rsidR="0046554A" w:rsidRPr="0046554A">
        <w:rPr>
          <w:i/>
          <w:sz w:val="28"/>
          <w:szCs w:val="28"/>
        </w:rPr>
        <w:t>M kompetence)</w:t>
      </w:r>
    </w:p>
    <w:p w:rsidR="00C90A02" w:rsidRPr="00B222DB" w:rsidRDefault="004D1754" w:rsidP="002902E4">
      <w:pPr>
        <w:pStyle w:val="ListParagraph"/>
        <w:numPr>
          <w:ilvl w:val="0"/>
          <w:numId w:val="2"/>
        </w:numPr>
        <w:jc w:val="both"/>
        <w:rPr>
          <w:i/>
          <w:sz w:val="28"/>
          <w:szCs w:val="28"/>
        </w:rPr>
      </w:pPr>
      <w:r>
        <w:rPr>
          <w:i/>
          <w:sz w:val="28"/>
          <w:szCs w:val="28"/>
        </w:rPr>
        <w:t>Prezidentvalsts</w:t>
      </w:r>
      <w:r w:rsidR="00C90A02" w:rsidRPr="00B222DB">
        <w:rPr>
          <w:i/>
          <w:sz w:val="28"/>
          <w:szCs w:val="28"/>
        </w:rPr>
        <w:t xml:space="preserve"> sniegta informācija</w:t>
      </w:r>
    </w:p>
    <w:p w:rsidR="00B222DB" w:rsidRDefault="00B222DB" w:rsidP="00492CE1">
      <w:pPr>
        <w:jc w:val="both"/>
        <w:rPr>
          <w:sz w:val="28"/>
        </w:rPr>
      </w:pPr>
    </w:p>
    <w:p w:rsidR="00492CE1" w:rsidRPr="00492CE1" w:rsidRDefault="00492CE1" w:rsidP="00492CE1">
      <w:pPr>
        <w:jc w:val="both"/>
        <w:rPr>
          <w:sz w:val="28"/>
        </w:rPr>
      </w:pPr>
      <w:r>
        <w:rPr>
          <w:sz w:val="28"/>
        </w:rPr>
        <w:tab/>
      </w:r>
      <w:r w:rsidRPr="00492CE1">
        <w:rPr>
          <w:sz w:val="28"/>
        </w:rPr>
        <w:t xml:space="preserve">2011.gada 9.novembrī Eiropas Komisija apstiprināja priekšlikumu Eiropas Parlamenta un Padomes regulai par Patērētāju tiesību aizsardzības programmu 2014.–2020.gadam, kuras mērķis ir turpināt 2007.–2013. gada Kopienas rīcības programmas patērētāju tiesību aizsardzības politikas jomā iesākto – nodrošināt, lai ES iedzīvotāji, baudot drošību un ekonomisko interešu pienācīgu aizsardzību, visā pilnībā varētu izmantot vienotā tirgus priekšrocības. Regulas projektā, tāpat kā citos ES patērētāju aizsardzības politikas instrumentos atzīts, ka izmantojot tieši patērētāju izdevumu lielo spēku (šie izdevumi ir 56 % no ES IKP), tiks veicināta virzība uz mērķi atjaunot ES izaugsmi. </w:t>
      </w:r>
    </w:p>
    <w:p w:rsidR="00492CE1" w:rsidRDefault="00492CE1" w:rsidP="00492CE1">
      <w:pPr>
        <w:jc w:val="both"/>
        <w:rPr>
          <w:sz w:val="28"/>
        </w:rPr>
      </w:pPr>
      <w:r>
        <w:rPr>
          <w:sz w:val="28"/>
        </w:rPr>
        <w:tab/>
      </w:r>
      <w:r w:rsidRPr="00492CE1">
        <w:rPr>
          <w:b/>
          <w:sz w:val="28"/>
        </w:rPr>
        <w:t>Latvija kopumā atbalsta</w:t>
      </w:r>
      <w:r w:rsidRPr="00492CE1">
        <w:rPr>
          <w:sz w:val="28"/>
        </w:rPr>
        <w:t xml:space="preserve"> regulas projektu un tajā izvirzītos mērķus - preču drošumu un pakalpojumu drošuma jomas pilnveidošanu, patērētāju informēšanu, izglītošanu un izpratnes par savām tiesībām pilnveidošanu, patērētāju tiesības un to aizsardzības pieejamību, tai skaitā nodrošinot alternatīvus strīdu izšķiršanas mehānismus un tiesību īstenošanas atbalstu, pastiprinot sadarbību starp dalībvalstu uzraudzības iestādēm, kā arī regulas projektā paredzētos administratīvos pasākumus šo mērķu sasniegšanai.</w:t>
      </w:r>
    </w:p>
    <w:p w:rsidR="00492CE1" w:rsidRDefault="00492CE1" w:rsidP="00492CE1">
      <w:pPr>
        <w:jc w:val="both"/>
        <w:rPr>
          <w:sz w:val="28"/>
        </w:rPr>
      </w:pPr>
    </w:p>
    <w:p w:rsidR="004D1754" w:rsidRPr="00B222DB" w:rsidRDefault="004D1754" w:rsidP="004D1754">
      <w:pPr>
        <w:pStyle w:val="ListParagraph"/>
        <w:numPr>
          <w:ilvl w:val="0"/>
          <w:numId w:val="3"/>
        </w:numPr>
        <w:jc w:val="both"/>
        <w:rPr>
          <w:b/>
          <w:sz w:val="28"/>
          <w:szCs w:val="28"/>
        </w:rPr>
      </w:pPr>
      <w:r w:rsidRPr="004D1754">
        <w:rPr>
          <w:b/>
          <w:sz w:val="28"/>
          <w:szCs w:val="28"/>
        </w:rPr>
        <w:t>Patēriņa tirgu rezultātu astotais apkopojums</w:t>
      </w:r>
      <w:r>
        <w:rPr>
          <w:b/>
          <w:sz w:val="28"/>
          <w:szCs w:val="28"/>
        </w:rPr>
        <w:t xml:space="preserve"> </w:t>
      </w:r>
      <w:r>
        <w:rPr>
          <w:i/>
          <w:sz w:val="28"/>
          <w:szCs w:val="28"/>
        </w:rPr>
        <w:t>(E</w:t>
      </w:r>
      <w:r w:rsidRPr="0046554A">
        <w:rPr>
          <w:i/>
          <w:sz w:val="28"/>
          <w:szCs w:val="28"/>
        </w:rPr>
        <w:t>M kompetence)</w:t>
      </w:r>
    </w:p>
    <w:p w:rsidR="004D1754" w:rsidRPr="00B222DB" w:rsidRDefault="004D1754" w:rsidP="004D1754">
      <w:pPr>
        <w:pStyle w:val="ListParagraph"/>
        <w:numPr>
          <w:ilvl w:val="0"/>
          <w:numId w:val="2"/>
        </w:numPr>
        <w:jc w:val="both"/>
        <w:rPr>
          <w:i/>
          <w:sz w:val="28"/>
          <w:szCs w:val="28"/>
        </w:rPr>
      </w:pPr>
      <w:r>
        <w:rPr>
          <w:i/>
          <w:sz w:val="28"/>
          <w:szCs w:val="28"/>
        </w:rPr>
        <w:t>Komisijas</w:t>
      </w:r>
      <w:r w:rsidRPr="00B222DB">
        <w:rPr>
          <w:i/>
          <w:sz w:val="28"/>
          <w:szCs w:val="28"/>
        </w:rPr>
        <w:t xml:space="preserve"> sniegta informācija</w:t>
      </w:r>
    </w:p>
    <w:p w:rsidR="004D1754" w:rsidRDefault="004D1754" w:rsidP="00B222DB">
      <w:pPr>
        <w:jc w:val="both"/>
        <w:rPr>
          <w:sz w:val="28"/>
        </w:rPr>
      </w:pPr>
    </w:p>
    <w:p w:rsidR="00492CE1" w:rsidRPr="00492CE1" w:rsidRDefault="00492CE1" w:rsidP="00492CE1">
      <w:pPr>
        <w:jc w:val="both"/>
        <w:rPr>
          <w:sz w:val="28"/>
        </w:rPr>
      </w:pPr>
      <w:r>
        <w:rPr>
          <w:sz w:val="28"/>
        </w:rPr>
        <w:tab/>
      </w:r>
      <w:r w:rsidRPr="00492CE1">
        <w:rPr>
          <w:sz w:val="28"/>
        </w:rPr>
        <w:t xml:space="preserve">Iniciatīva uzraudzīt iekšējā tirgus darbību patērētāju labā ir izstrādāta, lai uzraudzītu tirgu no patērētāju perspektīvas, kā arī, lai izveidotu salīdzināmu datu avotu par konkurenci, patērētāju apmierinātību un citām jomām, kuru varētu izmantot valstu politikas veidotāji un kas tiem palīdzētu noteikt tirgus jomas, kuras valstī darbojas vāji. </w:t>
      </w:r>
    </w:p>
    <w:p w:rsidR="00492CE1" w:rsidRDefault="00492CE1" w:rsidP="00492CE1">
      <w:pPr>
        <w:jc w:val="both"/>
        <w:rPr>
          <w:sz w:val="28"/>
        </w:rPr>
      </w:pPr>
      <w:r>
        <w:rPr>
          <w:sz w:val="28"/>
        </w:rPr>
        <w:tab/>
      </w:r>
      <w:r w:rsidRPr="00492CE1">
        <w:rPr>
          <w:sz w:val="28"/>
        </w:rPr>
        <w:t xml:space="preserve">Eiropas Komisija 2012. gada maijā pieņēma patēriņa tirgu rezultātu septīto apkopojumu,  sekojot kuram šobrīd  Eiropas Komisija ir sagatavojusi </w:t>
      </w:r>
      <w:proofErr w:type="spellStart"/>
      <w:r w:rsidRPr="002948F4">
        <w:rPr>
          <w:i/>
          <w:sz w:val="28"/>
        </w:rPr>
        <w:t>Consumer</w:t>
      </w:r>
      <w:proofErr w:type="spellEnd"/>
      <w:r w:rsidRPr="002948F4">
        <w:rPr>
          <w:i/>
          <w:sz w:val="28"/>
        </w:rPr>
        <w:t xml:space="preserve"> </w:t>
      </w:r>
      <w:proofErr w:type="spellStart"/>
      <w:r w:rsidRPr="002948F4">
        <w:rPr>
          <w:i/>
          <w:sz w:val="28"/>
        </w:rPr>
        <w:t>Market</w:t>
      </w:r>
      <w:proofErr w:type="spellEnd"/>
      <w:r w:rsidRPr="002948F4">
        <w:rPr>
          <w:i/>
          <w:sz w:val="28"/>
        </w:rPr>
        <w:t xml:space="preserve"> </w:t>
      </w:r>
      <w:proofErr w:type="spellStart"/>
      <w:r w:rsidRPr="002948F4">
        <w:rPr>
          <w:i/>
          <w:sz w:val="28"/>
        </w:rPr>
        <w:t>Scoreboard</w:t>
      </w:r>
      <w:proofErr w:type="spellEnd"/>
      <w:r w:rsidRPr="00492CE1">
        <w:rPr>
          <w:sz w:val="28"/>
        </w:rPr>
        <w:t xml:space="preserve"> astoto izdevumu.  Patēriņa tirgu rezultātu izdevumu galvenais mērķis ir noteikt, kuras iekšējā tirgus daļas nedarbojas sekmīgi attiecībā uz patērētājiem, vai darbojas, neievērojot patērētāju intereses. Tāpat šī pētījuma veikšanas mērķis veicināt diskusijas par patērētāju politikas jautājumiem. Arī Eiropas Parlaments ir atzinīgi novērtējis patēriņa </w:t>
      </w:r>
      <w:r w:rsidRPr="00492CE1">
        <w:rPr>
          <w:sz w:val="28"/>
        </w:rPr>
        <w:lastRenderedPageBreak/>
        <w:t>tirgu rezultātu apkopojumus kā nozīmīgu instrumentu ES pilsoņiem iekšējā tirgus priekšrocību izmantošanā.</w:t>
      </w:r>
    </w:p>
    <w:p w:rsidR="00492CE1" w:rsidRDefault="00492CE1" w:rsidP="00B222DB">
      <w:pPr>
        <w:jc w:val="both"/>
        <w:rPr>
          <w:sz w:val="28"/>
        </w:rPr>
      </w:pPr>
    </w:p>
    <w:p w:rsidR="004D1754" w:rsidRPr="00B222DB" w:rsidRDefault="004D1754" w:rsidP="004D1754">
      <w:pPr>
        <w:pStyle w:val="ListParagraph"/>
        <w:numPr>
          <w:ilvl w:val="0"/>
          <w:numId w:val="3"/>
        </w:numPr>
        <w:jc w:val="both"/>
        <w:rPr>
          <w:b/>
          <w:sz w:val="28"/>
          <w:szCs w:val="28"/>
        </w:rPr>
      </w:pPr>
      <w:r w:rsidRPr="004D1754">
        <w:rPr>
          <w:b/>
          <w:sz w:val="28"/>
          <w:szCs w:val="28"/>
        </w:rPr>
        <w:t>Eiropas uzņēmējdarbības rīcības plāns</w:t>
      </w:r>
      <w:r>
        <w:rPr>
          <w:b/>
          <w:sz w:val="28"/>
          <w:szCs w:val="28"/>
        </w:rPr>
        <w:t xml:space="preserve"> </w:t>
      </w:r>
      <w:r>
        <w:rPr>
          <w:i/>
          <w:sz w:val="28"/>
          <w:szCs w:val="28"/>
        </w:rPr>
        <w:t>(E</w:t>
      </w:r>
      <w:r w:rsidRPr="0046554A">
        <w:rPr>
          <w:i/>
          <w:sz w:val="28"/>
          <w:szCs w:val="28"/>
        </w:rPr>
        <w:t>M kompetence)</w:t>
      </w:r>
    </w:p>
    <w:p w:rsidR="004D1754" w:rsidRPr="00B222DB" w:rsidRDefault="004D1754" w:rsidP="004D1754">
      <w:pPr>
        <w:pStyle w:val="ListParagraph"/>
        <w:numPr>
          <w:ilvl w:val="0"/>
          <w:numId w:val="2"/>
        </w:numPr>
        <w:jc w:val="both"/>
        <w:rPr>
          <w:i/>
          <w:sz w:val="28"/>
          <w:szCs w:val="28"/>
        </w:rPr>
      </w:pPr>
      <w:r>
        <w:rPr>
          <w:i/>
          <w:sz w:val="28"/>
          <w:szCs w:val="28"/>
        </w:rPr>
        <w:t>Komisijas</w:t>
      </w:r>
      <w:r w:rsidRPr="00B222DB">
        <w:rPr>
          <w:i/>
          <w:sz w:val="28"/>
          <w:szCs w:val="28"/>
        </w:rPr>
        <w:t xml:space="preserve"> sniegta informācija</w:t>
      </w:r>
    </w:p>
    <w:p w:rsidR="004D1754" w:rsidRDefault="004D1754" w:rsidP="00B222DB">
      <w:pPr>
        <w:jc w:val="both"/>
        <w:rPr>
          <w:sz w:val="28"/>
        </w:rPr>
      </w:pPr>
    </w:p>
    <w:p w:rsidR="00A50C8B" w:rsidRDefault="00A50C8B" w:rsidP="00A50C8B">
      <w:pPr>
        <w:jc w:val="both"/>
        <w:rPr>
          <w:sz w:val="28"/>
        </w:rPr>
      </w:pPr>
      <w:r>
        <w:rPr>
          <w:sz w:val="28"/>
        </w:rPr>
        <w:tab/>
      </w:r>
      <w:r w:rsidRPr="00A50C8B">
        <w:rPr>
          <w:sz w:val="28"/>
        </w:rPr>
        <w:t>2012.gada novembra beigās</w:t>
      </w:r>
      <w:r>
        <w:rPr>
          <w:sz w:val="28"/>
        </w:rPr>
        <w:t xml:space="preserve"> </w:t>
      </w:r>
      <w:r w:rsidRPr="00A50C8B">
        <w:rPr>
          <w:sz w:val="28"/>
        </w:rPr>
        <w:t>Eiropas Komisija plāno publicēt Uzņēmējdarbības rīcības plānu, kurā būs izstrādāti pasākumi (ieteikumi) dalībvalstīm, kas paredz veicināt jaundibinātu uzņēmumu dibināšanu (e-reģistrācija), vienkāršot PVN deklarācijas, atvieglot uzņēmumu tālāk nodošanas procedūras, izstrā</w:t>
      </w:r>
      <w:r w:rsidR="002948F4">
        <w:rPr>
          <w:sz w:val="28"/>
        </w:rPr>
        <w:t>dāt efektīvas bankrota procedūras</w:t>
      </w:r>
      <w:r w:rsidRPr="00A50C8B">
        <w:rPr>
          <w:sz w:val="28"/>
        </w:rPr>
        <w:t xml:space="preserve"> regulējumu, kas uzņēmējiem dotu otru iespēju ekonomiskajai aktivitātei, kā arī papildus pasākumus, lai veicinātu digitālo tehnoloģiju un e-komerciju.</w:t>
      </w:r>
    </w:p>
    <w:p w:rsidR="00A50C8B" w:rsidRDefault="00A50C8B" w:rsidP="00A50C8B">
      <w:pPr>
        <w:jc w:val="both"/>
        <w:rPr>
          <w:sz w:val="28"/>
        </w:rPr>
      </w:pPr>
    </w:p>
    <w:p w:rsidR="00A50C8B" w:rsidRPr="00A50C8B" w:rsidRDefault="00A50C8B" w:rsidP="00A50C8B">
      <w:pPr>
        <w:jc w:val="both"/>
        <w:rPr>
          <w:b/>
          <w:sz w:val="28"/>
          <w:u w:val="single"/>
        </w:rPr>
      </w:pPr>
      <w:r w:rsidRPr="00A50C8B">
        <w:rPr>
          <w:b/>
          <w:sz w:val="28"/>
          <w:u w:val="single"/>
        </w:rPr>
        <w:t>Latvijas pozīcija:</w:t>
      </w:r>
    </w:p>
    <w:p w:rsidR="00A50C8B" w:rsidRDefault="00A50C8B" w:rsidP="00A50C8B">
      <w:pPr>
        <w:jc w:val="both"/>
        <w:rPr>
          <w:sz w:val="28"/>
        </w:rPr>
      </w:pPr>
    </w:p>
    <w:p w:rsidR="00A50C8B" w:rsidRPr="00B222DB" w:rsidRDefault="00A50C8B" w:rsidP="00A50C8B">
      <w:pPr>
        <w:jc w:val="both"/>
        <w:rPr>
          <w:sz w:val="28"/>
        </w:rPr>
      </w:pPr>
      <w:r>
        <w:rPr>
          <w:sz w:val="28"/>
        </w:rPr>
        <w:tab/>
      </w:r>
      <w:r w:rsidRPr="00A50C8B">
        <w:rPr>
          <w:sz w:val="28"/>
        </w:rPr>
        <w:t>Uzņēmējdarbības un investīcijām labvēlīgas vides nodrošināšana ir viena no Latvijas ilgtermiņa prioritātē</w:t>
      </w:r>
      <w:r w:rsidR="000B652B">
        <w:rPr>
          <w:sz w:val="28"/>
        </w:rPr>
        <w:t>m, tāpēc ar interesi sagaidām Eiropas Komisijas</w:t>
      </w:r>
      <w:r w:rsidRPr="00A50C8B">
        <w:rPr>
          <w:sz w:val="28"/>
        </w:rPr>
        <w:t xml:space="preserve"> Uzņēmējdarbības rīcības plānu, ko plānots publicēt 2012.gada nogalē. Latvija uzskata, ka ir ļoti svarīgi piedāvāt uzņēmējiem labvēlīgus nosacījumus to darbības īstenošanai. Latvija īpaši atbalsta uzsvērtos akcentus par pieejas </w:t>
      </w:r>
      <w:r w:rsidR="002948F4">
        <w:rPr>
          <w:sz w:val="28"/>
        </w:rPr>
        <w:t>vienotam</w:t>
      </w:r>
      <w:r w:rsidRPr="00A50C8B">
        <w:rPr>
          <w:sz w:val="28"/>
        </w:rPr>
        <w:t xml:space="preserve"> tirgum stiprināšanu no uzņēmējdarbības skatu punkta. Uzskatām, ka uzņēmējdarb</w:t>
      </w:r>
      <w:r w:rsidR="000B652B">
        <w:rPr>
          <w:sz w:val="28"/>
        </w:rPr>
        <w:t>ības vides kvalitāte un īpaši Eiropas Komisijas</w:t>
      </w:r>
      <w:r w:rsidRPr="00A50C8B">
        <w:rPr>
          <w:sz w:val="28"/>
        </w:rPr>
        <w:t xml:space="preserve"> uzsvērtās jomas – uzņēmējdarbības uzsākšanas procedūras, nodokļi (PVN maksātāju reģistrācija), maksātnespējas procedūras un e-pakalpojumu nodrošināšana – ir prioritārie virzieni </w:t>
      </w:r>
      <w:r w:rsidR="002948F4">
        <w:rPr>
          <w:sz w:val="28"/>
        </w:rPr>
        <w:t>vienotā</w:t>
      </w:r>
      <w:r w:rsidRPr="00A50C8B">
        <w:rPr>
          <w:sz w:val="28"/>
        </w:rPr>
        <w:t xml:space="preserve"> tirgus sakārtotībai un konkurētspējai, attiecīgi – iedzīvotāju labklājībai. Latvija pilnībā atbalsta digitālo tehnoloģiju un e-komercijas veicināšanas pasākumus un uzskata, ka ir jāpanāk dalībvalstu regulējuma un tehnisko standartu maksimāla harmonizācija ES līmenī.</w:t>
      </w:r>
    </w:p>
    <w:p w:rsidR="00F87D49" w:rsidRPr="00025B33" w:rsidRDefault="00F87D49" w:rsidP="00C90A02">
      <w:pPr>
        <w:ind w:firstLine="851"/>
        <w:jc w:val="both"/>
        <w:rPr>
          <w:sz w:val="28"/>
          <w:szCs w:val="28"/>
        </w:rPr>
      </w:pPr>
    </w:p>
    <w:p w:rsidR="00EA0064" w:rsidRPr="00025B33" w:rsidRDefault="00EA0064" w:rsidP="00C90A02">
      <w:pPr>
        <w:ind w:firstLine="851"/>
        <w:jc w:val="both"/>
        <w:rPr>
          <w:sz w:val="28"/>
          <w:szCs w:val="28"/>
        </w:rPr>
      </w:pPr>
      <w:r w:rsidRPr="00025B33">
        <w:rPr>
          <w:sz w:val="28"/>
          <w:szCs w:val="28"/>
        </w:rPr>
        <w:br w:type="page"/>
      </w:r>
    </w:p>
    <w:p w:rsidR="0049471A" w:rsidRPr="00025B33" w:rsidRDefault="0049471A" w:rsidP="006031F7">
      <w:pPr>
        <w:spacing w:after="200"/>
        <w:ind w:firstLine="851"/>
        <w:jc w:val="both"/>
        <w:rPr>
          <w:b/>
          <w:sz w:val="28"/>
          <w:szCs w:val="28"/>
        </w:rPr>
      </w:pPr>
      <w:r w:rsidRPr="00025B33">
        <w:rPr>
          <w:b/>
          <w:sz w:val="28"/>
          <w:szCs w:val="28"/>
        </w:rPr>
        <w:lastRenderedPageBreak/>
        <w:t>2.  Latvijas delegācija</w:t>
      </w:r>
    </w:p>
    <w:p w:rsidR="0066585F" w:rsidRDefault="0066585F" w:rsidP="0066585F">
      <w:pPr>
        <w:ind w:left="2977" w:hanging="2977"/>
        <w:jc w:val="both"/>
        <w:rPr>
          <w:sz w:val="28"/>
          <w:szCs w:val="28"/>
        </w:rPr>
      </w:pPr>
      <w:r w:rsidRPr="001F33E5">
        <w:rPr>
          <w:sz w:val="28"/>
          <w:szCs w:val="28"/>
        </w:rPr>
        <w:t xml:space="preserve">Delegācijas vadītājs: </w:t>
      </w:r>
      <w:r w:rsidRPr="001F33E5">
        <w:rPr>
          <w:sz w:val="28"/>
          <w:szCs w:val="28"/>
        </w:rPr>
        <w:tab/>
      </w:r>
      <w:r w:rsidRPr="00025B33">
        <w:rPr>
          <w:b/>
          <w:sz w:val="28"/>
          <w:szCs w:val="28"/>
        </w:rPr>
        <w:t>Juris Pūce</w:t>
      </w:r>
      <w:r w:rsidRPr="001F33E5">
        <w:rPr>
          <w:sz w:val="28"/>
          <w:szCs w:val="28"/>
        </w:rPr>
        <w:t xml:space="preserve">, </w:t>
      </w:r>
      <w:r w:rsidRPr="00025B33">
        <w:rPr>
          <w:sz w:val="28"/>
          <w:szCs w:val="28"/>
        </w:rPr>
        <w:t>Ekonomikas ministrijas valsts sekretārs</w:t>
      </w:r>
      <w:r w:rsidRPr="001F33E5">
        <w:rPr>
          <w:sz w:val="28"/>
          <w:szCs w:val="28"/>
        </w:rPr>
        <w:t>.</w:t>
      </w:r>
    </w:p>
    <w:p w:rsidR="0066585F" w:rsidRPr="001F33E5" w:rsidRDefault="0066585F" w:rsidP="0066585F">
      <w:pPr>
        <w:ind w:left="2977" w:hanging="2977"/>
        <w:jc w:val="both"/>
        <w:rPr>
          <w:sz w:val="28"/>
          <w:szCs w:val="28"/>
        </w:rPr>
      </w:pPr>
    </w:p>
    <w:p w:rsidR="00601F9C" w:rsidRPr="00601F9C" w:rsidRDefault="0066585F" w:rsidP="00601F9C">
      <w:pPr>
        <w:ind w:left="2977" w:hanging="2977"/>
        <w:jc w:val="both"/>
        <w:rPr>
          <w:sz w:val="28"/>
          <w:szCs w:val="28"/>
        </w:rPr>
      </w:pPr>
      <w:r w:rsidRPr="001F33E5">
        <w:rPr>
          <w:sz w:val="28"/>
          <w:szCs w:val="28"/>
        </w:rPr>
        <w:t xml:space="preserve">Delegācijas dalībnieki: </w:t>
      </w:r>
      <w:r w:rsidRPr="001F33E5">
        <w:rPr>
          <w:sz w:val="28"/>
          <w:szCs w:val="28"/>
        </w:rPr>
        <w:tab/>
      </w:r>
      <w:r w:rsidR="00601F9C" w:rsidRPr="00601F9C">
        <w:rPr>
          <w:b/>
          <w:sz w:val="28"/>
          <w:szCs w:val="28"/>
        </w:rPr>
        <w:t>J</w:t>
      </w:r>
      <w:r w:rsidR="004D1754">
        <w:rPr>
          <w:b/>
          <w:sz w:val="28"/>
          <w:szCs w:val="28"/>
        </w:rPr>
        <w:t xml:space="preserve">uris </w:t>
      </w:r>
      <w:proofErr w:type="spellStart"/>
      <w:r w:rsidR="00601F9C" w:rsidRPr="00601F9C">
        <w:rPr>
          <w:b/>
          <w:sz w:val="28"/>
          <w:szCs w:val="28"/>
        </w:rPr>
        <w:t>Štālmeistars</w:t>
      </w:r>
      <w:proofErr w:type="spellEnd"/>
      <w:r w:rsidR="00601F9C" w:rsidRPr="00601F9C">
        <w:rPr>
          <w:sz w:val="28"/>
          <w:szCs w:val="28"/>
        </w:rPr>
        <w:t>, Latvijas Republikas pastāvīgā pārstāvja Eiropas Savienībā vietnieks;</w:t>
      </w:r>
    </w:p>
    <w:p w:rsidR="00601F9C" w:rsidRDefault="004D1754" w:rsidP="00601F9C">
      <w:pPr>
        <w:ind w:left="2977"/>
        <w:jc w:val="both"/>
        <w:rPr>
          <w:sz w:val="28"/>
          <w:szCs w:val="28"/>
        </w:rPr>
      </w:pPr>
      <w:r>
        <w:rPr>
          <w:b/>
          <w:sz w:val="28"/>
          <w:szCs w:val="28"/>
        </w:rPr>
        <w:t xml:space="preserve">Zaiga </w:t>
      </w:r>
      <w:r w:rsidR="0066585F" w:rsidRPr="006754F2">
        <w:rPr>
          <w:b/>
          <w:sz w:val="28"/>
          <w:szCs w:val="28"/>
        </w:rPr>
        <w:t>Liepiņa</w:t>
      </w:r>
      <w:r w:rsidR="0066585F" w:rsidRPr="001F33E5">
        <w:rPr>
          <w:sz w:val="28"/>
          <w:szCs w:val="28"/>
        </w:rPr>
        <w:t>, Ekonomikas minist</w:t>
      </w:r>
      <w:r w:rsidR="0066585F">
        <w:rPr>
          <w:sz w:val="28"/>
          <w:szCs w:val="28"/>
        </w:rPr>
        <w:t>rijas valsts sekretāra vietniece</w:t>
      </w:r>
      <w:r w:rsidR="0066585F" w:rsidRPr="001F33E5">
        <w:rPr>
          <w:sz w:val="28"/>
          <w:szCs w:val="28"/>
        </w:rPr>
        <w:t>;</w:t>
      </w:r>
    </w:p>
    <w:p w:rsidR="0066585F" w:rsidRDefault="004D1754" w:rsidP="0066585F">
      <w:pPr>
        <w:ind w:left="2977"/>
        <w:jc w:val="both"/>
        <w:rPr>
          <w:sz w:val="28"/>
          <w:szCs w:val="28"/>
        </w:rPr>
      </w:pPr>
      <w:r>
        <w:rPr>
          <w:b/>
          <w:sz w:val="28"/>
          <w:szCs w:val="28"/>
        </w:rPr>
        <w:t xml:space="preserve">Aivars </w:t>
      </w:r>
      <w:r w:rsidR="0066585F" w:rsidRPr="006754F2">
        <w:rPr>
          <w:b/>
          <w:sz w:val="28"/>
          <w:szCs w:val="28"/>
        </w:rPr>
        <w:t>Neimanis</w:t>
      </w:r>
      <w:r w:rsidR="0066585F" w:rsidRPr="001F33E5">
        <w:rPr>
          <w:sz w:val="28"/>
          <w:szCs w:val="28"/>
        </w:rPr>
        <w:t>, Ekonomikas ministrijas nozares padomnieks Latvijas Republikas</w:t>
      </w:r>
      <w:r w:rsidR="0066585F">
        <w:rPr>
          <w:sz w:val="28"/>
          <w:szCs w:val="28"/>
        </w:rPr>
        <w:t xml:space="preserve"> Pastāvīgajā</w:t>
      </w:r>
      <w:r w:rsidR="0066585F" w:rsidRPr="001F33E5">
        <w:rPr>
          <w:sz w:val="28"/>
          <w:szCs w:val="28"/>
        </w:rPr>
        <w:t xml:space="preserve"> pārstāvniecībā Eiropas Savienībā</w:t>
      </w:r>
      <w:r w:rsidR="0066585F">
        <w:rPr>
          <w:sz w:val="28"/>
          <w:szCs w:val="28"/>
        </w:rPr>
        <w:t>;</w:t>
      </w:r>
    </w:p>
    <w:p w:rsidR="0066585F" w:rsidRDefault="0066585F" w:rsidP="0066585F">
      <w:pPr>
        <w:ind w:left="2977"/>
        <w:jc w:val="both"/>
        <w:rPr>
          <w:bCs/>
          <w:sz w:val="28"/>
          <w:szCs w:val="28"/>
        </w:rPr>
      </w:pPr>
      <w:r w:rsidRPr="0066585F">
        <w:rPr>
          <w:b/>
          <w:bCs/>
          <w:sz w:val="28"/>
          <w:szCs w:val="28"/>
        </w:rPr>
        <w:t>Anna Upena</w:t>
      </w:r>
      <w:r w:rsidRPr="0066585F">
        <w:rPr>
          <w:bCs/>
          <w:sz w:val="28"/>
          <w:szCs w:val="28"/>
        </w:rPr>
        <w:t>,</w:t>
      </w:r>
      <w:r w:rsidRPr="0066585F">
        <w:rPr>
          <w:b/>
          <w:bCs/>
          <w:sz w:val="28"/>
          <w:szCs w:val="28"/>
        </w:rPr>
        <w:t xml:space="preserve"> </w:t>
      </w:r>
      <w:r w:rsidRPr="0066585F">
        <w:rPr>
          <w:bCs/>
          <w:sz w:val="28"/>
          <w:szCs w:val="28"/>
        </w:rPr>
        <w:t xml:space="preserve">Ekonomikas ministrijas nozares padomniece Latvijas Republikas </w:t>
      </w:r>
      <w:r w:rsidRPr="0066585F">
        <w:rPr>
          <w:sz w:val="28"/>
          <w:szCs w:val="28"/>
        </w:rPr>
        <w:t xml:space="preserve">Pastāvīgajā pārstāvniecībā </w:t>
      </w:r>
      <w:r w:rsidR="0046554A">
        <w:rPr>
          <w:bCs/>
          <w:sz w:val="28"/>
          <w:szCs w:val="28"/>
        </w:rPr>
        <w:t>Eiropas Savienībā</w:t>
      </w:r>
      <w:r w:rsidR="004A40D6">
        <w:rPr>
          <w:bCs/>
          <w:sz w:val="28"/>
          <w:szCs w:val="28"/>
        </w:rPr>
        <w:t>;</w:t>
      </w:r>
    </w:p>
    <w:p w:rsidR="004A40D6" w:rsidRPr="0066585F" w:rsidRDefault="004D1754" w:rsidP="0066585F">
      <w:pPr>
        <w:ind w:left="2977"/>
        <w:jc w:val="both"/>
        <w:rPr>
          <w:bCs/>
          <w:sz w:val="28"/>
          <w:szCs w:val="28"/>
        </w:rPr>
      </w:pPr>
      <w:r>
        <w:rPr>
          <w:b/>
          <w:bCs/>
          <w:sz w:val="28"/>
          <w:szCs w:val="28"/>
        </w:rPr>
        <w:t xml:space="preserve">Sandris </w:t>
      </w:r>
      <w:proofErr w:type="spellStart"/>
      <w:r>
        <w:rPr>
          <w:b/>
          <w:bCs/>
          <w:sz w:val="28"/>
          <w:szCs w:val="28"/>
        </w:rPr>
        <w:t>Laganovskis</w:t>
      </w:r>
      <w:proofErr w:type="spellEnd"/>
      <w:r w:rsidR="004A40D6">
        <w:rPr>
          <w:bCs/>
          <w:sz w:val="28"/>
          <w:szCs w:val="28"/>
        </w:rPr>
        <w:t>,</w:t>
      </w:r>
      <w:r w:rsidR="004A40D6" w:rsidRPr="004A40D6">
        <w:rPr>
          <w:bCs/>
          <w:sz w:val="28"/>
          <w:szCs w:val="28"/>
        </w:rPr>
        <w:t xml:space="preserve"> </w:t>
      </w:r>
      <w:r>
        <w:rPr>
          <w:bCs/>
          <w:sz w:val="28"/>
          <w:szCs w:val="28"/>
        </w:rPr>
        <w:t>tieslietu</w:t>
      </w:r>
      <w:r w:rsidR="004A40D6" w:rsidRPr="004A40D6">
        <w:rPr>
          <w:bCs/>
          <w:sz w:val="28"/>
          <w:szCs w:val="28"/>
        </w:rPr>
        <w:t xml:space="preserve"> </w:t>
      </w:r>
      <w:r w:rsidR="00340539">
        <w:rPr>
          <w:bCs/>
          <w:sz w:val="28"/>
          <w:szCs w:val="28"/>
        </w:rPr>
        <w:t xml:space="preserve">nozares </w:t>
      </w:r>
      <w:r>
        <w:rPr>
          <w:bCs/>
          <w:sz w:val="28"/>
          <w:szCs w:val="28"/>
        </w:rPr>
        <w:t>padomnieks</w:t>
      </w:r>
      <w:r w:rsidR="004A40D6" w:rsidRPr="004A40D6">
        <w:rPr>
          <w:bCs/>
          <w:sz w:val="28"/>
          <w:szCs w:val="28"/>
        </w:rPr>
        <w:t xml:space="preserve"> L</w:t>
      </w:r>
      <w:r w:rsidR="00977FEC">
        <w:rPr>
          <w:bCs/>
          <w:sz w:val="28"/>
          <w:szCs w:val="28"/>
        </w:rPr>
        <w:t xml:space="preserve">atvijas </w:t>
      </w:r>
      <w:r w:rsidR="004A40D6">
        <w:rPr>
          <w:bCs/>
          <w:sz w:val="28"/>
          <w:szCs w:val="28"/>
        </w:rPr>
        <w:t>R</w:t>
      </w:r>
      <w:r w:rsidR="00977FEC">
        <w:rPr>
          <w:bCs/>
          <w:sz w:val="28"/>
          <w:szCs w:val="28"/>
        </w:rPr>
        <w:t>epublikas</w:t>
      </w:r>
      <w:r w:rsidR="004A40D6">
        <w:rPr>
          <w:bCs/>
          <w:sz w:val="28"/>
          <w:szCs w:val="28"/>
        </w:rPr>
        <w:t xml:space="preserve"> Pastāvīgajā pārstāvniecībā E</w:t>
      </w:r>
      <w:r w:rsidR="00977FEC">
        <w:rPr>
          <w:bCs/>
          <w:sz w:val="28"/>
          <w:szCs w:val="28"/>
        </w:rPr>
        <w:t xml:space="preserve">iropas </w:t>
      </w:r>
      <w:r w:rsidR="004A40D6">
        <w:rPr>
          <w:bCs/>
          <w:sz w:val="28"/>
          <w:szCs w:val="28"/>
        </w:rPr>
        <w:t>S</w:t>
      </w:r>
      <w:r w:rsidR="00977FEC">
        <w:rPr>
          <w:bCs/>
          <w:sz w:val="28"/>
          <w:szCs w:val="28"/>
        </w:rPr>
        <w:t>avienībā</w:t>
      </w:r>
      <w:r w:rsidR="004A40D6">
        <w:rPr>
          <w:bCs/>
          <w:sz w:val="28"/>
          <w:szCs w:val="28"/>
        </w:rPr>
        <w:t>.</w:t>
      </w:r>
    </w:p>
    <w:p w:rsidR="0049471A" w:rsidRPr="00025B33" w:rsidRDefault="0049471A" w:rsidP="006031F7">
      <w:pPr>
        <w:tabs>
          <w:tab w:val="right" w:pos="9071"/>
        </w:tabs>
        <w:spacing w:after="120"/>
        <w:ind w:firstLine="851"/>
        <w:jc w:val="both"/>
        <w:rPr>
          <w:sz w:val="28"/>
          <w:szCs w:val="28"/>
        </w:rPr>
      </w:pPr>
    </w:p>
    <w:p w:rsidR="002D40CD" w:rsidRPr="00025B33" w:rsidRDefault="002D40CD" w:rsidP="006031F7">
      <w:pPr>
        <w:tabs>
          <w:tab w:val="right" w:pos="9071"/>
        </w:tabs>
        <w:spacing w:after="120"/>
        <w:ind w:firstLine="851"/>
        <w:jc w:val="both"/>
        <w:rPr>
          <w:sz w:val="28"/>
          <w:szCs w:val="28"/>
        </w:rPr>
      </w:pPr>
    </w:p>
    <w:p w:rsidR="00546424" w:rsidRPr="00025B33" w:rsidRDefault="00546424" w:rsidP="006031F7">
      <w:pPr>
        <w:ind w:firstLine="851"/>
        <w:jc w:val="both"/>
        <w:rPr>
          <w:sz w:val="28"/>
          <w:szCs w:val="28"/>
        </w:rPr>
      </w:pPr>
    </w:p>
    <w:p w:rsidR="00084744" w:rsidRDefault="003840A0" w:rsidP="00025B33">
      <w:pPr>
        <w:tabs>
          <w:tab w:val="right" w:pos="8931"/>
        </w:tabs>
        <w:spacing w:after="120"/>
        <w:rPr>
          <w:sz w:val="28"/>
          <w:szCs w:val="28"/>
        </w:rPr>
      </w:pPr>
      <w:r w:rsidRPr="00025B33">
        <w:rPr>
          <w:sz w:val="28"/>
          <w:szCs w:val="28"/>
        </w:rPr>
        <w:t xml:space="preserve">Iesniedzējs: </w:t>
      </w:r>
      <w:r w:rsidR="00025B33">
        <w:rPr>
          <w:sz w:val="28"/>
          <w:szCs w:val="28"/>
        </w:rPr>
        <w:tab/>
      </w:r>
    </w:p>
    <w:p w:rsidR="00084744" w:rsidRPr="00084744" w:rsidRDefault="00084744" w:rsidP="00084744">
      <w:pPr>
        <w:tabs>
          <w:tab w:val="right" w:pos="8931"/>
        </w:tabs>
        <w:spacing w:after="120"/>
        <w:rPr>
          <w:sz w:val="28"/>
          <w:szCs w:val="28"/>
        </w:rPr>
      </w:pPr>
      <w:r w:rsidRPr="00084744">
        <w:rPr>
          <w:sz w:val="28"/>
          <w:szCs w:val="28"/>
        </w:rPr>
        <w:t>Ekonomikas ministra</w:t>
      </w:r>
    </w:p>
    <w:p w:rsidR="00084744" w:rsidRPr="00084744" w:rsidRDefault="00084744" w:rsidP="00084744">
      <w:pPr>
        <w:tabs>
          <w:tab w:val="right" w:pos="8931"/>
        </w:tabs>
        <w:spacing w:after="120"/>
        <w:rPr>
          <w:sz w:val="28"/>
          <w:szCs w:val="28"/>
        </w:rPr>
      </w:pPr>
      <w:r w:rsidRPr="00084744">
        <w:rPr>
          <w:sz w:val="28"/>
          <w:szCs w:val="28"/>
        </w:rPr>
        <w:t>pienākumu izpildītājs,</w:t>
      </w:r>
    </w:p>
    <w:p w:rsidR="00484651" w:rsidRPr="00025B33" w:rsidRDefault="00084744" w:rsidP="00084744">
      <w:pPr>
        <w:spacing w:after="120"/>
        <w:rPr>
          <w:sz w:val="28"/>
          <w:szCs w:val="28"/>
        </w:rPr>
      </w:pPr>
      <w:r w:rsidRPr="00084744">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084744">
        <w:rPr>
          <w:sz w:val="28"/>
          <w:szCs w:val="28"/>
        </w:rPr>
        <w:t>R.Kozlovskis</w:t>
      </w:r>
      <w:proofErr w:type="spellEnd"/>
    </w:p>
    <w:p w:rsidR="003840A0" w:rsidRPr="00025B33" w:rsidRDefault="003840A0" w:rsidP="00977FEC">
      <w:pPr>
        <w:spacing w:after="120"/>
        <w:jc w:val="both"/>
        <w:rPr>
          <w:sz w:val="28"/>
          <w:szCs w:val="28"/>
        </w:rPr>
      </w:pPr>
    </w:p>
    <w:p w:rsidR="0066585F" w:rsidRDefault="003840A0" w:rsidP="00025B33">
      <w:pPr>
        <w:tabs>
          <w:tab w:val="right" w:pos="8931"/>
        </w:tabs>
        <w:spacing w:after="120"/>
        <w:rPr>
          <w:sz w:val="28"/>
          <w:szCs w:val="28"/>
        </w:rPr>
      </w:pPr>
      <w:r w:rsidRPr="00025B33">
        <w:rPr>
          <w:sz w:val="28"/>
          <w:szCs w:val="28"/>
        </w:rPr>
        <w:t xml:space="preserve">Vizē: </w:t>
      </w:r>
      <w:r w:rsidR="00025B33">
        <w:rPr>
          <w:sz w:val="28"/>
          <w:szCs w:val="28"/>
        </w:rPr>
        <w:tab/>
      </w:r>
      <w:r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66585F" w:rsidRPr="00025B33" w:rsidRDefault="0066585F" w:rsidP="006031F7">
      <w:pPr>
        <w:ind w:firstLine="851"/>
        <w:jc w:val="both"/>
        <w:rPr>
          <w:sz w:val="28"/>
          <w:szCs w:val="28"/>
        </w:rPr>
      </w:pPr>
    </w:p>
    <w:p w:rsidR="00422C05" w:rsidRPr="00271604" w:rsidRDefault="00422C05" w:rsidP="00025B33">
      <w:pPr>
        <w:jc w:val="both"/>
        <w:rPr>
          <w:sz w:val="20"/>
          <w:szCs w:val="18"/>
        </w:rPr>
      </w:pPr>
      <w:r w:rsidRPr="00271604">
        <w:rPr>
          <w:sz w:val="20"/>
          <w:szCs w:val="18"/>
        </w:rPr>
        <w:t xml:space="preserve">Atbildīgā amatpersona: </w:t>
      </w:r>
    </w:p>
    <w:p w:rsidR="00447246" w:rsidRPr="00271604" w:rsidRDefault="003840A0" w:rsidP="00025B33">
      <w:pPr>
        <w:jc w:val="both"/>
        <w:rPr>
          <w:sz w:val="20"/>
          <w:szCs w:val="18"/>
        </w:rPr>
      </w:pPr>
      <w:r w:rsidRPr="00271604">
        <w:rPr>
          <w:sz w:val="20"/>
          <w:szCs w:val="18"/>
        </w:rPr>
        <w:t>Inese Balode</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tabs>
          <w:tab w:val="left" w:pos="6882"/>
        </w:tabs>
        <w:jc w:val="both"/>
        <w:rPr>
          <w:sz w:val="20"/>
          <w:szCs w:val="18"/>
        </w:rPr>
      </w:pPr>
      <w:r w:rsidRPr="00271604">
        <w:rPr>
          <w:sz w:val="20"/>
          <w:szCs w:val="18"/>
        </w:rPr>
        <w:t>Ārējo ekonomisko at</w:t>
      </w:r>
      <w:r w:rsidR="003840A0" w:rsidRPr="00271604">
        <w:rPr>
          <w:sz w:val="20"/>
          <w:szCs w:val="18"/>
        </w:rPr>
        <w:t>tiecību departamenta direktore</w:t>
      </w:r>
      <w:r w:rsidR="00850787" w:rsidRPr="00271604">
        <w:rPr>
          <w:sz w:val="20"/>
          <w:szCs w:val="18"/>
        </w:rPr>
        <w:tab/>
      </w:r>
    </w:p>
    <w:p w:rsidR="00447246" w:rsidRPr="00271604" w:rsidRDefault="00447246" w:rsidP="00025B33">
      <w:pPr>
        <w:jc w:val="both"/>
        <w:rPr>
          <w:sz w:val="20"/>
          <w:szCs w:val="18"/>
        </w:rPr>
      </w:pPr>
      <w:r w:rsidRPr="00271604">
        <w:rPr>
          <w:sz w:val="20"/>
          <w:szCs w:val="18"/>
        </w:rPr>
        <w:t>tālr.:67013</w:t>
      </w:r>
      <w:r w:rsidR="003840A0" w:rsidRPr="00271604">
        <w:rPr>
          <w:sz w:val="20"/>
          <w:szCs w:val="18"/>
        </w:rPr>
        <w:t>064</w:t>
      </w:r>
    </w:p>
    <w:p w:rsidR="00447246" w:rsidRPr="00271604" w:rsidRDefault="00447246" w:rsidP="00025B33">
      <w:pPr>
        <w:jc w:val="both"/>
        <w:rPr>
          <w:sz w:val="20"/>
          <w:szCs w:val="18"/>
        </w:rPr>
      </w:pPr>
      <w:r w:rsidRPr="00271604">
        <w:rPr>
          <w:sz w:val="20"/>
          <w:szCs w:val="18"/>
        </w:rPr>
        <w:t xml:space="preserve">faksa numurs 67280882 </w:t>
      </w:r>
    </w:p>
    <w:p w:rsidR="00447246" w:rsidRPr="00271604" w:rsidRDefault="00447246" w:rsidP="00025B33">
      <w:pPr>
        <w:jc w:val="both"/>
        <w:rPr>
          <w:sz w:val="20"/>
          <w:szCs w:val="18"/>
        </w:rPr>
      </w:pPr>
      <w:r w:rsidRPr="00271604">
        <w:rPr>
          <w:sz w:val="20"/>
          <w:szCs w:val="18"/>
        </w:rPr>
        <w:t xml:space="preserve">e-pasts: </w:t>
      </w:r>
      <w:r w:rsidR="003840A0" w:rsidRPr="00271604">
        <w:rPr>
          <w:sz w:val="20"/>
          <w:szCs w:val="18"/>
        </w:rPr>
        <w:t>Inese.Balode@em.gov.lv</w:t>
      </w:r>
    </w:p>
    <w:p w:rsidR="00422C05" w:rsidRPr="00025B33" w:rsidRDefault="00422C05" w:rsidP="00025B33">
      <w:pPr>
        <w:jc w:val="both"/>
        <w:rPr>
          <w:sz w:val="18"/>
          <w:szCs w:val="18"/>
          <w:u w:val="single"/>
        </w:rPr>
      </w:pPr>
    </w:p>
    <w:p w:rsidR="00271604" w:rsidRDefault="00271604" w:rsidP="00025B33">
      <w:pPr>
        <w:jc w:val="both"/>
      </w:pPr>
      <w:r>
        <w:t>30.11.2012 14</w:t>
      </w:r>
      <w:r w:rsidRPr="00271604">
        <w:t>:</w:t>
      </w:r>
      <w:r w:rsidR="0016420F">
        <w:t>32</w:t>
      </w:r>
    </w:p>
    <w:p w:rsidR="00447246" w:rsidRPr="00271604" w:rsidRDefault="004D1754" w:rsidP="00025B33">
      <w:pPr>
        <w:jc w:val="both"/>
        <w:rPr>
          <w:sz w:val="20"/>
          <w:szCs w:val="18"/>
        </w:rPr>
      </w:pPr>
      <w:r w:rsidRPr="00271604">
        <w:rPr>
          <w:sz w:val="28"/>
        </w:rPr>
        <w:fldChar w:fldCharType="begin"/>
      </w:r>
      <w:r w:rsidRPr="00271604">
        <w:rPr>
          <w:sz w:val="28"/>
        </w:rPr>
        <w:instrText xml:space="preserve"> NUMWORDS   \* MERGEFORMAT </w:instrText>
      </w:r>
      <w:r w:rsidRPr="00271604">
        <w:rPr>
          <w:sz w:val="28"/>
        </w:rPr>
        <w:fldChar w:fldCharType="separate"/>
      </w:r>
      <w:r w:rsidR="00084744" w:rsidRPr="00084744">
        <w:rPr>
          <w:noProof/>
          <w:sz w:val="20"/>
          <w:szCs w:val="18"/>
        </w:rPr>
        <w:t>3377</w:t>
      </w:r>
      <w:r w:rsidRPr="00271604">
        <w:rPr>
          <w:noProof/>
          <w:sz w:val="20"/>
          <w:szCs w:val="18"/>
        </w:rPr>
        <w:fldChar w:fldCharType="end"/>
      </w:r>
      <w:bookmarkStart w:id="2" w:name="_GoBack"/>
      <w:bookmarkEnd w:id="2"/>
    </w:p>
    <w:p w:rsidR="00447246" w:rsidRPr="00271604" w:rsidRDefault="00DC4512" w:rsidP="00025B33">
      <w:pPr>
        <w:jc w:val="both"/>
        <w:rPr>
          <w:sz w:val="20"/>
          <w:szCs w:val="18"/>
        </w:rPr>
      </w:pPr>
      <w:r w:rsidRPr="00271604">
        <w:rPr>
          <w:sz w:val="20"/>
          <w:szCs w:val="18"/>
        </w:rPr>
        <w:t>K</w:t>
      </w:r>
      <w:r w:rsidR="00447246" w:rsidRPr="00271604">
        <w:rPr>
          <w:sz w:val="20"/>
          <w:szCs w:val="18"/>
        </w:rPr>
        <w:t>.</w:t>
      </w:r>
      <w:r w:rsidRPr="00271604">
        <w:rPr>
          <w:sz w:val="20"/>
          <w:szCs w:val="18"/>
        </w:rPr>
        <w:t>Stabiņš</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jc w:val="both"/>
        <w:rPr>
          <w:sz w:val="20"/>
          <w:szCs w:val="18"/>
        </w:rPr>
      </w:pPr>
      <w:r w:rsidRPr="00271604">
        <w:rPr>
          <w:sz w:val="20"/>
          <w:szCs w:val="18"/>
        </w:rPr>
        <w:t>Ārējo ekonomisko attiecību departaments</w:t>
      </w:r>
    </w:p>
    <w:p w:rsidR="00447246" w:rsidRPr="00271604" w:rsidRDefault="00DC4512" w:rsidP="00025B33">
      <w:pPr>
        <w:jc w:val="both"/>
        <w:rPr>
          <w:sz w:val="32"/>
          <w:szCs w:val="28"/>
        </w:rPr>
      </w:pPr>
      <w:r w:rsidRPr="00271604">
        <w:rPr>
          <w:sz w:val="20"/>
          <w:szCs w:val="18"/>
        </w:rPr>
        <w:t>67013046</w:t>
      </w:r>
      <w:r w:rsidR="00447246" w:rsidRPr="00271604">
        <w:rPr>
          <w:sz w:val="20"/>
          <w:szCs w:val="18"/>
        </w:rPr>
        <w:t xml:space="preserve">, </w:t>
      </w:r>
      <w:r w:rsidRPr="00271604">
        <w:rPr>
          <w:sz w:val="20"/>
          <w:szCs w:val="18"/>
        </w:rPr>
        <w:t>Kaspars</w:t>
      </w:r>
      <w:r w:rsidR="00447246" w:rsidRPr="00271604">
        <w:rPr>
          <w:sz w:val="20"/>
          <w:szCs w:val="18"/>
        </w:rPr>
        <w:t>.</w:t>
      </w:r>
      <w:r w:rsidRPr="00271604">
        <w:rPr>
          <w:sz w:val="20"/>
          <w:szCs w:val="18"/>
        </w:rPr>
        <w:t>Stabins</w:t>
      </w:r>
      <w:r w:rsidR="00447246" w:rsidRPr="00271604">
        <w:rPr>
          <w:sz w:val="20"/>
          <w:szCs w:val="18"/>
        </w:rPr>
        <w:t xml:space="preserve">@em.gov.lv </w:t>
      </w:r>
    </w:p>
    <w:sectPr w:rsidR="00447246" w:rsidRPr="00271604"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92" w:rsidRDefault="00713692" w:rsidP="0079342A">
      <w:r>
        <w:separator/>
      </w:r>
    </w:p>
  </w:endnote>
  <w:endnote w:type="continuationSeparator" w:id="0">
    <w:p w:rsidR="00713692" w:rsidRDefault="0071369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D24C05" w:rsidRDefault="00713692" w:rsidP="00A005C0">
    <w:pPr>
      <w:rPr>
        <w:sz w:val="20"/>
        <w:szCs w:val="20"/>
        <w:lang w:eastAsia="en-US"/>
      </w:rPr>
    </w:pPr>
    <w:r w:rsidRPr="00D24C05">
      <w:rPr>
        <w:sz w:val="20"/>
        <w:szCs w:val="20"/>
        <w:lang w:eastAsia="en-US"/>
      </w:rPr>
      <w:t>EMZino_</w:t>
    </w:r>
    <w:r>
      <w:rPr>
        <w:sz w:val="20"/>
        <w:szCs w:val="20"/>
        <w:lang w:eastAsia="en-US"/>
      </w:rPr>
      <w:t>3011</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w:t>
    </w:r>
    <w:r w:rsidRPr="00271604">
      <w:rPr>
        <w:sz w:val="20"/>
        <w:szCs w:val="20"/>
        <w:lang w:eastAsia="en-US"/>
      </w:rPr>
      <w:t>par Latvijas Republikas nostāju Eiropas Savienības Konkurētspējas ministru padomes 2012.gada 10.decembra sanāksmē izskatāmajos Ekonomikas ministrijas, Izglītības un zinātnes ministrijas un Tieslietu ministrijas kompetences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3840A0" w:rsidRDefault="00713692" w:rsidP="003840A0">
    <w:pPr>
      <w:rPr>
        <w:szCs w:val="20"/>
      </w:rPr>
    </w:pPr>
    <w:r w:rsidRPr="00D24C05">
      <w:rPr>
        <w:sz w:val="20"/>
        <w:szCs w:val="20"/>
        <w:lang w:eastAsia="en-US"/>
      </w:rPr>
      <w:t>EMZino_</w:t>
    </w:r>
    <w:r>
      <w:rPr>
        <w:sz w:val="20"/>
        <w:szCs w:val="20"/>
        <w:lang w:eastAsia="en-US"/>
      </w:rPr>
      <w:t>3011</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w:t>
    </w:r>
    <w:r w:rsidRPr="00271604">
      <w:rPr>
        <w:sz w:val="20"/>
        <w:szCs w:val="20"/>
        <w:lang w:eastAsia="en-US"/>
      </w:rPr>
      <w:t>par Latvijas Republikas nostāju Eiropas Savienības Konkurētspējas ministru padomes 2012.gada 10.decembra sanāksmē izskatāmajos Ekonomikas ministrijas, Izglītības un zinātnes ministrijas un Tieslietu ministrijas kompetences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92" w:rsidRDefault="00713692" w:rsidP="0079342A">
      <w:r>
        <w:separator/>
      </w:r>
    </w:p>
  </w:footnote>
  <w:footnote w:type="continuationSeparator" w:id="0">
    <w:p w:rsidR="00713692" w:rsidRDefault="00713692" w:rsidP="0079342A">
      <w:r>
        <w:continuationSeparator/>
      </w:r>
    </w:p>
  </w:footnote>
  <w:footnote w:id="1">
    <w:p w:rsidR="00713692" w:rsidRDefault="00713692" w:rsidP="009C3C35">
      <w:pPr>
        <w:pStyle w:val="FootnoteText"/>
        <w:jc w:val="both"/>
      </w:pPr>
      <w:r>
        <w:rPr>
          <w:rStyle w:val="FootnoteReference"/>
        </w:rPr>
        <w:footnoteRef/>
      </w:r>
      <w:r>
        <w:t xml:space="preserve"> </w:t>
      </w:r>
      <w:r w:rsidRPr="00806061">
        <w:t>Spēkā ir nacionālā pozīcija Nr.1 „</w:t>
      </w:r>
      <w:r w:rsidRPr="00806061">
        <w:rPr>
          <w:i/>
        </w:rPr>
        <w:t>Par Priekšlikumu Eiropas Parlamenta un Padomes Direktīvai, kas groza Direktīvu 2005/36/EK par profesionālo kvalifikāciju atzīšanu un Regulu [...] par administratīvo sadarbību Iekšējā tirgus informācijas sistēmas ietvaros</w:t>
      </w:r>
      <w:r w:rsidRPr="00806061">
        <w:t>”, kas apstiprinā</w:t>
      </w:r>
      <w:r>
        <w:t>ta Ministru kabinetā 2011.gada 29</w:t>
      </w:r>
      <w:r w:rsidRPr="00806061">
        <w:t>.</w:t>
      </w:r>
      <w:r>
        <w:t>mai</w:t>
      </w:r>
      <w:r w:rsidRPr="00806061">
        <w:t>jā un Saeimas Eiropas lietu komisij</w:t>
      </w:r>
      <w:r>
        <w:t>ā 2011.gada 25</w:t>
      </w:r>
      <w:r w:rsidRPr="00806061">
        <w:t>.maijā</w:t>
      </w:r>
      <w:r w:rsidRPr="00683E64">
        <w:t>.</w:t>
      </w:r>
      <w:r>
        <w:t xml:space="preserve"> </w:t>
      </w:r>
    </w:p>
  </w:footnote>
  <w:footnote w:id="2">
    <w:p w:rsidR="00650183" w:rsidRPr="00650183" w:rsidRDefault="00650183">
      <w:pPr>
        <w:pStyle w:val="FootnoteText"/>
      </w:pPr>
      <w:r>
        <w:rPr>
          <w:rStyle w:val="FootnoteReference"/>
        </w:rPr>
        <w:footnoteRef/>
      </w:r>
      <w:r>
        <w:t xml:space="preserve"> </w:t>
      </w:r>
      <w:r w:rsidRPr="00650183">
        <w:t>„CARS 2020” rīcības plāns ir pirmais konkrētais panākums saistībā ar jaunajām politikas prioritātēm, kas ierosinātas Komisijas paziņojumā par atjauninātu rūpniecības politiku. Rīcības plāns balstās uz rezultātiem, ko panāca augsta līmeņa darba grupa „CARS 21”, kurā bija pārstāvēti septiņi komisāri, dalībvalstis un galvenās ieinteresētās personas (tostarp nozares pārstāvji un nevalstiskas organizācijas). Grupa CARS 21 atsāka darbu 2010.gadā un 2012.gada jūnijā sagatavoja nobeiguma ziņojumu.</w:t>
      </w:r>
    </w:p>
  </w:footnote>
  <w:footnote w:id="3">
    <w:p w:rsidR="00650183" w:rsidRDefault="00650183">
      <w:pPr>
        <w:pStyle w:val="FootnoteText"/>
      </w:pPr>
      <w:r w:rsidRPr="00650183">
        <w:rPr>
          <w:rStyle w:val="FootnoteReference"/>
        </w:rPr>
        <w:footnoteRef/>
      </w:r>
      <w:r w:rsidRPr="00650183">
        <w:t xml:space="preserve"> </w:t>
      </w:r>
      <w:r w:rsidRPr="00650183">
        <w:rPr>
          <w:rFonts w:cstheme="minorHAnsi"/>
        </w:rPr>
        <w:t>Eiropas autobūves nozari kopumā (automobiļu ražotāji, piegādes ķēde un pakārtotais tirgus, tostarp mazie un vidējie uzņēmumi) raksturo šādi rādītāji: 12 miljoni tiešu un netiešu darba vietu, 4% IKP, tirdzniecības bilances pārpalikums 90 miljardu eiro apmērā (2011.gads). Nozare ir lielākais privātā sektora ieguldītājs pētniecībā, attīstībā un inovācijā (aptuveni 30 miljardi eiro gadā).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084744">
          <w:rPr>
            <w:noProof/>
          </w:rPr>
          <w:t>13</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5E1"/>
    <w:multiLevelType w:val="hybridMultilevel"/>
    <w:tmpl w:val="407666B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
    <w:nsid w:val="031C74E4"/>
    <w:multiLevelType w:val="hybridMultilevel"/>
    <w:tmpl w:val="7F30BD40"/>
    <w:lvl w:ilvl="0" w:tplc="83C21008">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E504798"/>
    <w:multiLevelType w:val="hybridMultilevel"/>
    <w:tmpl w:val="506E2326"/>
    <w:lvl w:ilvl="0" w:tplc="B26A2A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2A3A8B"/>
    <w:multiLevelType w:val="hybridMultilevel"/>
    <w:tmpl w:val="4D3EB860"/>
    <w:lvl w:ilvl="0" w:tplc="2A36E7E6">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5DE5E3E"/>
    <w:multiLevelType w:val="hybridMultilevel"/>
    <w:tmpl w:val="7B7CC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716C51"/>
    <w:multiLevelType w:val="hybridMultilevel"/>
    <w:tmpl w:val="8820BBEA"/>
    <w:lvl w:ilvl="0" w:tplc="5CEA0A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1B74FB"/>
    <w:multiLevelType w:val="hybridMultilevel"/>
    <w:tmpl w:val="43DE12F2"/>
    <w:lvl w:ilvl="0" w:tplc="F58699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AD48F8"/>
    <w:multiLevelType w:val="hybridMultilevel"/>
    <w:tmpl w:val="E5AA5E98"/>
    <w:lvl w:ilvl="0" w:tplc="A9CC90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A75568E"/>
    <w:multiLevelType w:val="hybridMultilevel"/>
    <w:tmpl w:val="93D035CC"/>
    <w:lvl w:ilvl="0" w:tplc="B8B0B76A">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9">
    <w:nsid w:val="3D4968C2"/>
    <w:multiLevelType w:val="hybridMultilevel"/>
    <w:tmpl w:val="014278DE"/>
    <w:lvl w:ilvl="0" w:tplc="B8B0B76A">
      <w:start w:val="1"/>
      <w:numFmt w:val="lowerLetter"/>
      <w:lvlText w:val="%1)"/>
      <w:lvlJc w:val="left"/>
      <w:pPr>
        <w:ind w:left="1080" w:hanging="360"/>
      </w:pPr>
      <w:rPr>
        <w:rFonts w:hint="default"/>
      </w:rPr>
    </w:lvl>
    <w:lvl w:ilvl="1" w:tplc="819249D4">
      <w:start w:val="1"/>
      <w:numFmt w:val="decimal"/>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DF37F4"/>
    <w:multiLevelType w:val="hybridMultilevel"/>
    <w:tmpl w:val="1BD8780C"/>
    <w:lvl w:ilvl="0" w:tplc="C71C23FE">
      <w:start w:val="1"/>
      <w:numFmt w:val="lowerLetter"/>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34B2A81"/>
    <w:multiLevelType w:val="hybridMultilevel"/>
    <w:tmpl w:val="9F727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0C795B"/>
    <w:multiLevelType w:val="hybridMultilevel"/>
    <w:tmpl w:val="CEAAD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2A4CCA"/>
    <w:multiLevelType w:val="hybridMultilevel"/>
    <w:tmpl w:val="65F6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B0E7EB9"/>
    <w:multiLevelType w:val="hybridMultilevel"/>
    <w:tmpl w:val="B42C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BD07D52"/>
    <w:multiLevelType w:val="hybridMultilevel"/>
    <w:tmpl w:val="A358DBE0"/>
    <w:lvl w:ilvl="0" w:tplc="C2AA8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681665"/>
    <w:multiLevelType w:val="hybridMultilevel"/>
    <w:tmpl w:val="18328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581204"/>
    <w:multiLevelType w:val="hybridMultilevel"/>
    <w:tmpl w:val="A21EF22E"/>
    <w:lvl w:ilvl="0" w:tplc="B26A2A7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A7B19E4"/>
    <w:multiLevelType w:val="hybridMultilevel"/>
    <w:tmpl w:val="C914C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7"/>
  </w:num>
  <w:num w:numId="5">
    <w:abstractNumId w:val="7"/>
  </w:num>
  <w:num w:numId="6">
    <w:abstractNumId w:val="5"/>
  </w:num>
  <w:num w:numId="7">
    <w:abstractNumId w:val="18"/>
  </w:num>
  <w:num w:numId="8">
    <w:abstractNumId w:val="14"/>
  </w:num>
  <w:num w:numId="9">
    <w:abstractNumId w:val="2"/>
  </w:num>
  <w:num w:numId="10">
    <w:abstractNumId w:val="19"/>
  </w:num>
  <w:num w:numId="11">
    <w:abstractNumId w:val="16"/>
  </w:num>
  <w:num w:numId="12">
    <w:abstractNumId w:val="1"/>
  </w:num>
  <w:num w:numId="13">
    <w:abstractNumId w:val="13"/>
  </w:num>
  <w:num w:numId="14">
    <w:abstractNumId w:val="3"/>
  </w:num>
  <w:num w:numId="15">
    <w:abstractNumId w:val="15"/>
  </w:num>
  <w:num w:numId="16">
    <w:abstractNumId w:val="9"/>
  </w:num>
  <w:num w:numId="17">
    <w:abstractNumId w:val="11"/>
  </w:num>
  <w:num w:numId="18">
    <w:abstractNumId w:val="20"/>
  </w:num>
  <w:num w:numId="19">
    <w:abstractNumId w:val="4"/>
  </w:num>
  <w:num w:numId="20">
    <w:abstractNumId w:val="8"/>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948"/>
    <w:rsid w:val="00013A67"/>
    <w:rsid w:val="00014E4E"/>
    <w:rsid w:val="000163A1"/>
    <w:rsid w:val="00017CA9"/>
    <w:rsid w:val="00022163"/>
    <w:rsid w:val="000230C6"/>
    <w:rsid w:val="00025B33"/>
    <w:rsid w:val="000304D8"/>
    <w:rsid w:val="00033500"/>
    <w:rsid w:val="00037E43"/>
    <w:rsid w:val="00045380"/>
    <w:rsid w:val="00053471"/>
    <w:rsid w:val="000538D0"/>
    <w:rsid w:val="00054145"/>
    <w:rsid w:val="00060563"/>
    <w:rsid w:val="00071F6B"/>
    <w:rsid w:val="00074A8E"/>
    <w:rsid w:val="00076994"/>
    <w:rsid w:val="00077875"/>
    <w:rsid w:val="0008031F"/>
    <w:rsid w:val="00084744"/>
    <w:rsid w:val="0009144F"/>
    <w:rsid w:val="0009145C"/>
    <w:rsid w:val="000A4383"/>
    <w:rsid w:val="000A4384"/>
    <w:rsid w:val="000A599E"/>
    <w:rsid w:val="000A61D6"/>
    <w:rsid w:val="000A7576"/>
    <w:rsid w:val="000A7F3E"/>
    <w:rsid w:val="000B468F"/>
    <w:rsid w:val="000B5EF5"/>
    <w:rsid w:val="000B652B"/>
    <w:rsid w:val="000C5C3C"/>
    <w:rsid w:val="000C66EB"/>
    <w:rsid w:val="001129BD"/>
    <w:rsid w:val="00117654"/>
    <w:rsid w:val="00117904"/>
    <w:rsid w:val="00121DEA"/>
    <w:rsid w:val="00122F72"/>
    <w:rsid w:val="00126A02"/>
    <w:rsid w:val="0013164E"/>
    <w:rsid w:val="00150BB3"/>
    <w:rsid w:val="00155A62"/>
    <w:rsid w:val="00156ECD"/>
    <w:rsid w:val="00157C4A"/>
    <w:rsid w:val="001620EA"/>
    <w:rsid w:val="0016420F"/>
    <w:rsid w:val="00165624"/>
    <w:rsid w:val="0016779A"/>
    <w:rsid w:val="001734C8"/>
    <w:rsid w:val="001754CA"/>
    <w:rsid w:val="001829A7"/>
    <w:rsid w:val="00184B27"/>
    <w:rsid w:val="00185F95"/>
    <w:rsid w:val="0018606F"/>
    <w:rsid w:val="00191F45"/>
    <w:rsid w:val="00191FBE"/>
    <w:rsid w:val="001A59C1"/>
    <w:rsid w:val="001B0568"/>
    <w:rsid w:val="001B3F3D"/>
    <w:rsid w:val="001B697D"/>
    <w:rsid w:val="001C32B3"/>
    <w:rsid w:val="001C7C93"/>
    <w:rsid w:val="001D4277"/>
    <w:rsid w:val="001E5AD7"/>
    <w:rsid w:val="001E6160"/>
    <w:rsid w:val="001E7413"/>
    <w:rsid w:val="002025A8"/>
    <w:rsid w:val="002077AF"/>
    <w:rsid w:val="0021101E"/>
    <w:rsid w:val="002148A4"/>
    <w:rsid w:val="002173E3"/>
    <w:rsid w:val="00224DC4"/>
    <w:rsid w:val="00227FFB"/>
    <w:rsid w:val="0023457E"/>
    <w:rsid w:val="0023512B"/>
    <w:rsid w:val="002357E6"/>
    <w:rsid w:val="0024322A"/>
    <w:rsid w:val="00246F3B"/>
    <w:rsid w:val="002508A5"/>
    <w:rsid w:val="002609E5"/>
    <w:rsid w:val="00271604"/>
    <w:rsid w:val="00276553"/>
    <w:rsid w:val="002855EB"/>
    <w:rsid w:val="002902E4"/>
    <w:rsid w:val="002948F4"/>
    <w:rsid w:val="002B0D2A"/>
    <w:rsid w:val="002B221A"/>
    <w:rsid w:val="002B7AA4"/>
    <w:rsid w:val="002C06DC"/>
    <w:rsid w:val="002C657D"/>
    <w:rsid w:val="002D40CD"/>
    <w:rsid w:val="002D63C1"/>
    <w:rsid w:val="002D6A46"/>
    <w:rsid w:val="002E3144"/>
    <w:rsid w:val="002F4A07"/>
    <w:rsid w:val="002F7E81"/>
    <w:rsid w:val="003148EC"/>
    <w:rsid w:val="003159AD"/>
    <w:rsid w:val="00316C2A"/>
    <w:rsid w:val="003221A2"/>
    <w:rsid w:val="00322629"/>
    <w:rsid w:val="00322A7A"/>
    <w:rsid w:val="00324917"/>
    <w:rsid w:val="00327E46"/>
    <w:rsid w:val="00340539"/>
    <w:rsid w:val="00340656"/>
    <w:rsid w:val="00340D8E"/>
    <w:rsid w:val="0034189E"/>
    <w:rsid w:val="00342A27"/>
    <w:rsid w:val="00347129"/>
    <w:rsid w:val="00360015"/>
    <w:rsid w:val="00370A43"/>
    <w:rsid w:val="003840A0"/>
    <w:rsid w:val="0039412A"/>
    <w:rsid w:val="00397317"/>
    <w:rsid w:val="003A2C6E"/>
    <w:rsid w:val="003A2FBC"/>
    <w:rsid w:val="003A3A6A"/>
    <w:rsid w:val="003A7387"/>
    <w:rsid w:val="003B0E9A"/>
    <w:rsid w:val="003B32E1"/>
    <w:rsid w:val="003C0B95"/>
    <w:rsid w:val="003C7819"/>
    <w:rsid w:val="003D478B"/>
    <w:rsid w:val="003E1585"/>
    <w:rsid w:val="003E5D30"/>
    <w:rsid w:val="003E7BA4"/>
    <w:rsid w:val="003F3BE3"/>
    <w:rsid w:val="003F5E8D"/>
    <w:rsid w:val="003F69B8"/>
    <w:rsid w:val="00400142"/>
    <w:rsid w:val="00403309"/>
    <w:rsid w:val="0041089F"/>
    <w:rsid w:val="0041577A"/>
    <w:rsid w:val="00416C71"/>
    <w:rsid w:val="00422C05"/>
    <w:rsid w:val="00422C77"/>
    <w:rsid w:val="00425B59"/>
    <w:rsid w:val="00426FD3"/>
    <w:rsid w:val="00434636"/>
    <w:rsid w:val="00441C49"/>
    <w:rsid w:val="004459DC"/>
    <w:rsid w:val="00447246"/>
    <w:rsid w:val="0046554A"/>
    <w:rsid w:val="00473B73"/>
    <w:rsid w:val="004806CF"/>
    <w:rsid w:val="00484651"/>
    <w:rsid w:val="00485409"/>
    <w:rsid w:val="00485CF8"/>
    <w:rsid w:val="00487328"/>
    <w:rsid w:val="00487A4D"/>
    <w:rsid w:val="00492CE1"/>
    <w:rsid w:val="0049471A"/>
    <w:rsid w:val="004973D5"/>
    <w:rsid w:val="004A242B"/>
    <w:rsid w:val="004A40D6"/>
    <w:rsid w:val="004A5BAC"/>
    <w:rsid w:val="004A70CD"/>
    <w:rsid w:val="004B1495"/>
    <w:rsid w:val="004B1EFF"/>
    <w:rsid w:val="004B6217"/>
    <w:rsid w:val="004C1552"/>
    <w:rsid w:val="004C79B5"/>
    <w:rsid w:val="004C79CA"/>
    <w:rsid w:val="004D1284"/>
    <w:rsid w:val="004D1754"/>
    <w:rsid w:val="004D3C1B"/>
    <w:rsid w:val="004E4F37"/>
    <w:rsid w:val="004F0096"/>
    <w:rsid w:val="004F6998"/>
    <w:rsid w:val="00505AE3"/>
    <w:rsid w:val="00510883"/>
    <w:rsid w:val="005125D9"/>
    <w:rsid w:val="00512B4C"/>
    <w:rsid w:val="00513109"/>
    <w:rsid w:val="00513E2C"/>
    <w:rsid w:val="005140D4"/>
    <w:rsid w:val="00546424"/>
    <w:rsid w:val="00546D6E"/>
    <w:rsid w:val="005506F5"/>
    <w:rsid w:val="005530C8"/>
    <w:rsid w:val="005605FC"/>
    <w:rsid w:val="00560716"/>
    <w:rsid w:val="0056075A"/>
    <w:rsid w:val="00562471"/>
    <w:rsid w:val="00567871"/>
    <w:rsid w:val="005854CF"/>
    <w:rsid w:val="00590FA5"/>
    <w:rsid w:val="005A0176"/>
    <w:rsid w:val="005A080A"/>
    <w:rsid w:val="005A18ED"/>
    <w:rsid w:val="005B3E55"/>
    <w:rsid w:val="005B51CA"/>
    <w:rsid w:val="005C626C"/>
    <w:rsid w:val="005D0EFD"/>
    <w:rsid w:val="005E12D5"/>
    <w:rsid w:val="005E3C2B"/>
    <w:rsid w:val="005E404D"/>
    <w:rsid w:val="005E628E"/>
    <w:rsid w:val="005E7680"/>
    <w:rsid w:val="005F1DED"/>
    <w:rsid w:val="005F63AD"/>
    <w:rsid w:val="00601F9C"/>
    <w:rsid w:val="006031F7"/>
    <w:rsid w:val="0062313A"/>
    <w:rsid w:val="006257E0"/>
    <w:rsid w:val="0062606F"/>
    <w:rsid w:val="00633000"/>
    <w:rsid w:val="00644203"/>
    <w:rsid w:val="00645A81"/>
    <w:rsid w:val="00650183"/>
    <w:rsid w:val="0066585F"/>
    <w:rsid w:val="00667663"/>
    <w:rsid w:val="00680623"/>
    <w:rsid w:val="00681AEA"/>
    <w:rsid w:val="006839D7"/>
    <w:rsid w:val="00683E64"/>
    <w:rsid w:val="006864E7"/>
    <w:rsid w:val="00695AE0"/>
    <w:rsid w:val="006A351C"/>
    <w:rsid w:val="006B1326"/>
    <w:rsid w:val="006B4243"/>
    <w:rsid w:val="006C47A5"/>
    <w:rsid w:val="006C6B13"/>
    <w:rsid w:val="006E6817"/>
    <w:rsid w:val="006F14FA"/>
    <w:rsid w:val="006F20B1"/>
    <w:rsid w:val="006F43E3"/>
    <w:rsid w:val="006F63B2"/>
    <w:rsid w:val="006F75AF"/>
    <w:rsid w:val="00701C77"/>
    <w:rsid w:val="00710606"/>
    <w:rsid w:val="00711538"/>
    <w:rsid w:val="00713692"/>
    <w:rsid w:val="00722983"/>
    <w:rsid w:val="00723271"/>
    <w:rsid w:val="00734C81"/>
    <w:rsid w:val="00746BF8"/>
    <w:rsid w:val="007549E1"/>
    <w:rsid w:val="00767B38"/>
    <w:rsid w:val="00767D2C"/>
    <w:rsid w:val="00775AA0"/>
    <w:rsid w:val="00785D93"/>
    <w:rsid w:val="00786F42"/>
    <w:rsid w:val="00792331"/>
    <w:rsid w:val="0079342A"/>
    <w:rsid w:val="00793C52"/>
    <w:rsid w:val="007967D1"/>
    <w:rsid w:val="007A1C1C"/>
    <w:rsid w:val="007A66B5"/>
    <w:rsid w:val="007B7E2A"/>
    <w:rsid w:val="007C418C"/>
    <w:rsid w:val="007C77E8"/>
    <w:rsid w:val="007D1D18"/>
    <w:rsid w:val="007E262E"/>
    <w:rsid w:val="007F00EE"/>
    <w:rsid w:val="007F4FBC"/>
    <w:rsid w:val="00802906"/>
    <w:rsid w:val="00806061"/>
    <w:rsid w:val="008172F3"/>
    <w:rsid w:val="00835194"/>
    <w:rsid w:val="008441C1"/>
    <w:rsid w:val="00846BE1"/>
    <w:rsid w:val="00850787"/>
    <w:rsid w:val="00850B6B"/>
    <w:rsid w:val="0085787A"/>
    <w:rsid w:val="008700B2"/>
    <w:rsid w:val="00870885"/>
    <w:rsid w:val="00870F11"/>
    <w:rsid w:val="008821AF"/>
    <w:rsid w:val="00887393"/>
    <w:rsid w:val="00895A74"/>
    <w:rsid w:val="00897AEF"/>
    <w:rsid w:val="008A2C1F"/>
    <w:rsid w:val="008A7414"/>
    <w:rsid w:val="008C25BB"/>
    <w:rsid w:val="008D4FE7"/>
    <w:rsid w:val="008E3674"/>
    <w:rsid w:val="00903C50"/>
    <w:rsid w:val="00904C0B"/>
    <w:rsid w:val="00916B92"/>
    <w:rsid w:val="00920D5B"/>
    <w:rsid w:val="00924B70"/>
    <w:rsid w:val="00924C1F"/>
    <w:rsid w:val="00934B08"/>
    <w:rsid w:val="00951C74"/>
    <w:rsid w:val="00963DAB"/>
    <w:rsid w:val="0096439C"/>
    <w:rsid w:val="0097688B"/>
    <w:rsid w:val="00977A26"/>
    <w:rsid w:val="00977FEC"/>
    <w:rsid w:val="00980300"/>
    <w:rsid w:val="009831FF"/>
    <w:rsid w:val="0098644A"/>
    <w:rsid w:val="009A2C41"/>
    <w:rsid w:val="009B1561"/>
    <w:rsid w:val="009B22CA"/>
    <w:rsid w:val="009C3BAD"/>
    <w:rsid w:val="009C3C35"/>
    <w:rsid w:val="009D085B"/>
    <w:rsid w:val="009D2DE7"/>
    <w:rsid w:val="009E5CC0"/>
    <w:rsid w:val="009F0BE2"/>
    <w:rsid w:val="00A005C0"/>
    <w:rsid w:val="00A02671"/>
    <w:rsid w:val="00A0668A"/>
    <w:rsid w:val="00A1088E"/>
    <w:rsid w:val="00A10DC8"/>
    <w:rsid w:val="00A12727"/>
    <w:rsid w:val="00A1553F"/>
    <w:rsid w:val="00A17A32"/>
    <w:rsid w:val="00A210CC"/>
    <w:rsid w:val="00A2191E"/>
    <w:rsid w:val="00A30479"/>
    <w:rsid w:val="00A30D3A"/>
    <w:rsid w:val="00A33C17"/>
    <w:rsid w:val="00A37CB5"/>
    <w:rsid w:val="00A50C8B"/>
    <w:rsid w:val="00A50CE7"/>
    <w:rsid w:val="00A55C2C"/>
    <w:rsid w:val="00AA384A"/>
    <w:rsid w:val="00AA3CE0"/>
    <w:rsid w:val="00AA5E1C"/>
    <w:rsid w:val="00AC4C9E"/>
    <w:rsid w:val="00AC7D60"/>
    <w:rsid w:val="00AD16CF"/>
    <w:rsid w:val="00AD3DE8"/>
    <w:rsid w:val="00AE0A6E"/>
    <w:rsid w:val="00AE6BB9"/>
    <w:rsid w:val="00AF0F88"/>
    <w:rsid w:val="00AF5DCC"/>
    <w:rsid w:val="00AF61D5"/>
    <w:rsid w:val="00B006D2"/>
    <w:rsid w:val="00B03397"/>
    <w:rsid w:val="00B04358"/>
    <w:rsid w:val="00B120E4"/>
    <w:rsid w:val="00B13B5D"/>
    <w:rsid w:val="00B17F0A"/>
    <w:rsid w:val="00B213AE"/>
    <w:rsid w:val="00B222DB"/>
    <w:rsid w:val="00B30030"/>
    <w:rsid w:val="00B3370D"/>
    <w:rsid w:val="00B35468"/>
    <w:rsid w:val="00B4215A"/>
    <w:rsid w:val="00B5276D"/>
    <w:rsid w:val="00B56BD0"/>
    <w:rsid w:val="00B81671"/>
    <w:rsid w:val="00B93D2C"/>
    <w:rsid w:val="00B97E85"/>
    <w:rsid w:val="00BC2BEF"/>
    <w:rsid w:val="00BC5C11"/>
    <w:rsid w:val="00BC6383"/>
    <w:rsid w:val="00BC63CF"/>
    <w:rsid w:val="00BC652F"/>
    <w:rsid w:val="00BD3934"/>
    <w:rsid w:val="00BD6689"/>
    <w:rsid w:val="00C02122"/>
    <w:rsid w:val="00C03FB0"/>
    <w:rsid w:val="00C053B2"/>
    <w:rsid w:val="00C23657"/>
    <w:rsid w:val="00C25DFD"/>
    <w:rsid w:val="00C333F6"/>
    <w:rsid w:val="00C34C3A"/>
    <w:rsid w:val="00C41C4F"/>
    <w:rsid w:val="00C4225A"/>
    <w:rsid w:val="00C6391A"/>
    <w:rsid w:val="00C70903"/>
    <w:rsid w:val="00C71669"/>
    <w:rsid w:val="00C71685"/>
    <w:rsid w:val="00C7312E"/>
    <w:rsid w:val="00C749ED"/>
    <w:rsid w:val="00C90A02"/>
    <w:rsid w:val="00C93E8A"/>
    <w:rsid w:val="00C96037"/>
    <w:rsid w:val="00CA4B5F"/>
    <w:rsid w:val="00CB6938"/>
    <w:rsid w:val="00CC0AAE"/>
    <w:rsid w:val="00CD0C6C"/>
    <w:rsid w:val="00CD6990"/>
    <w:rsid w:val="00CD7727"/>
    <w:rsid w:val="00D00F9B"/>
    <w:rsid w:val="00D114E1"/>
    <w:rsid w:val="00D24C05"/>
    <w:rsid w:val="00D2629B"/>
    <w:rsid w:val="00D40C4A"/>
    <w:rsid w:val="00D41260"/>
    <w:rsid w:val="00D51484"/>
    <w:rsid w:val="00D5482D"/>
    <w:rsid w:val="00D603C1"/>
    <w:rsid w:val="00D75B14"/>
    <w:rsid w:val="00D773D0"/>
    <w:rsid w:val="00D86467"/>
    <w:rsid w:val="00D96C7D"/>
    <w:rsid w:val="00DA05BD"/>
    <w:rsid w:val="00DB28C9"/>
    <w:rsid w:val="00DC4512"/>
    <w:rsid w:val="00DC570D"/>
    <w:rsid w:val="00DC7C9D"/>
    <w:rsid w:val="00DD2747"/>
    <w:rsid w:val="00DD59D6"/>
    <w:rsid w:val="00DD5D86"/>
    <w:rsid w:val="00DE740D"/>
    <w:rsid w:val="00E01CA3"/>
    <w:rsid w:val="00E07C92"/>
    <w:rsid w:val="00E14379"/>
    <w:rsid w:val="00E145F1"/>
    <w:rsid w:val="00E14B01"/>
    <w:rsid w:val="00E21948"/>
    <w:rsid w:val="00E24AB6"/>
    <w:rsid w:val="00E32C1F"/>
    <w:rsid w:val="00E369AA"/>
    <w:rsid w:val="00E44D2E"/>
    <w:rsid w:val="00E618DC"/>
    <w:rsid w:val="00E63036"/>
    <w:rsid w:val="00E64D23"/>
    <w:rsid w:val="00E668E7"/>
    <w:rsid w:val="00E730E6"/>
    <w:rsid w:val="00E73BA7"/>
    <w:rsid w:val="00E80E96"/>
    <w:rsid w:val="00E91A3C"/>
    <w:rsid w:val="00EA0064"/>
    <w:rsid w:val="00EA2D67"/>
    <w:rsid w:val="00EA682D"/>
    <w:rsid w:val="00EB53B9"/>
    <w:rsid w:val="00EC7A4B"/>
    <w:rsid w:val="00ED2A26"/>
    <w:rsid w:val="00ED4F7F"/>
    <w:rsid w:val="00ED6E57"/>
    <w:rsid w:val="00EE47E2"/>
    <w:rsid w:val="00EE66F8"/>
    <w:rsid w:val="00EF384A"/>
    <w:rsid w:val="00F0485B"/>
    <w:rsid w:val="00F048D2"/>
    <w:rsid w:val="00F11439"/>
    <w:rsid w:val="00F13033"/>
    <w:rsid w:val="00F24451"/>
    <w:rsid w:val="00F25B38"/>
    <w:rsid w:val="00F354C7"/>
    <w:rsid w:val="00F363BE"/>
    <w:rsid w:val="00F36847"/>
    <w:rsid w:val="00F46112"/>
    <w:rsid w:val="00F476CA"/>
    <w:rsid w:val="00F618D1"/>
    <w:rsid w:val="00F62D75"/>
    <w:rsid w:val="00F66029"/>
    <w:rsid w:val="00F71F1B"/>
    <w:rsid w:val="00F74CC4"/>
    <w:rsid w:val="00F772B8"/>
    <w:rsid w:val="00F80F85"/>
    <w:rsid w:val="00F87D49"/>
    <w:rsid w:val="00F930E0"/>
    <w:rsid w:val="00F93FFB"/>
    <w:rsid w:val="00FB544A"/>
    <w:rsid w:val="00FC09B8"/>
    <w:rsid w:val="00FC1C37"/>
    <w:rsid w:val="00FC2F31"/>
    <w:rsid w:val="00FD2BBE"/>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9D05-8201-48E0-8D42-E59887F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13</Pages>
  <Words>3389</Words>
  <Characters>25147</Characters>
  <Application>Microsoft Office Word</Application>
  <DocSecurity>0</DocSecurity>
  <Lines>535</Lines>
  <Paragraphs>162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163</cp:revision>
  <cp:lastPrinted>2012-11-30T13:46:00Z</cp:lastPrinted>
  <dcterms:created xsi:type="dcterms:W3CDTF">2012-05-23T12:01:00Z</dcterms:created>
  <dcterms:modified xsi:type="dcterms:W3CDTF">2012-11-30T15:14:00Z</dcterms:modified>
</cp:coreProperties>
</file>