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FC" w:rsidRPr="00A774FC" w:rsidRDefault="00444342" w:rsidP="00A774FC">
      <w:pPr>
        <w:spacing w:after="0" w:line="240" w:lineRule="auto"/>
        <w:jc w:val="right"/>
        <w:rPr>
          <w:rFonts w:ascii="Times New Roman" w:hAnsi="Times New Roman"/>
          <w:sz w:val="28"/>
          <w:szCs w:val="28"/>
        </w:rPr>
      </w:pPr>
      <w:r>
        <w:rPr>
          <w:rFonts w:ascii="Times New Roman" w:hAnsi="Times New Roman"/>
          <w:sz w:val="28"/>
          <w:szCs w:val="28"/>
        </w:rPr>
        <w:t>1</w:t>
      </w:r>
      <w:r w:rsidR="00A774FC" w:rsidRPr="00A774FC">
        <w:rPr>
          <w:rFonts w:ascii="Times New Roman" w:hAnsi="Times New Roman"/>
          <w:sz w:val="28"/>
          <w:szCs w:val="28"/>
        </w:rPr>
        <w:t>. pielikums</w:t>
      </w:r>
    </w:p>
    <w:p w:rsidR="00A774FC" w:rsidRPr="00A774FC" w:rsidRDefault="00A774FC" w:rsidP="00A774FC">
      <w:pPr>
        <w:spacing w:after="0" w:line="240" w:lineRule="auto"/>
        <w:jc w:val="right"/>
        <w:rPr>
          <w:rFonts w:ascii="Times New Roman" w:hAnsi="Times New Roman"/>
          <w:sz w:val="28"/>
          <w:szCs w:val="28"/>
        </w:rPr>
      </w:pPr>
      <w:r w:rsidRPr="00A774FC">
        <w:rPr>
          <w:rFonts w:ascii="Times New Roman" w:hAnsi="Times New Roman"/>
          <w:sz w:val="28"/>
          <w:szCs w:val="28"/>
        </w:rPr>
        <w:t xml:space="preserve">informatīvajam ziņojumam par </w:t>
      </w:r>
    </w:p>
    <w:p w:rsidR="00A774FC" w:rsidRPr="00A774FC" w:rsidRDefault="00A774FC" w:rsidP="00A774FC">
      <w:pPr>
        <w:spacing w:after="0" w:line="240" w:lineRule="auto"/>
        <w:jc w:val="right"/>
        <w:rPr>
          <w:rFonts w:ascii="Times New Roman" w:hAnsi="Times New Roman"/>
          <w:sz w:val="28"/>
          <w:szCs w:val="28"/>
        </w:rPr>
      </w:pPr>
      <w:r w:rsidRPr="00A774FC">
        <w:rPr>
          <w:rFonts w:ascii="Times New Roman" w:hAnsi="Times New Roman"/>
          <w:sz w:val="28"/>
          <w:szCs w:val="28"/>
        </w:rPr>
        <w:t>vadlīnijām būvniecības izmaksu indeksācijai</w:t>
      </w:r>
    </w:p>
    <w:p w:rsidR="00273E2D" w:rsidRPr="00A774FC" w:rsidRDefault="00273E2D" w:rsidP="00C609FD">
      <w:pPr>
        <w:spacing w:after="0" w:line="240" w:lineRule="auto"/>
        <w:jc w:val="right"/>
        <w:rPr>
          <w:rFonts w:ascii="Times New Roman" w:eastAsia="Times New Roman" w:hAnsi="Times New Roman"/>
          <w:color w:val="000000" w:themeColor="text1"/>
          <w:lang w:eastAsia="lv-LV"/>
        </w:rPr>
      </w:pPr>
    </w:p>
    <w:p w:rsidR="00273E2D" w:rsidRPr="00A774FC" w:rsidRDefault="00273E2D" w:rsidP="00206F14">
      <w:pPr>
        <w:spacing w:after="120"/>
        <w:jc w:val="center"/>
        <w:rPr>
          <w:rFonts w:ascii="Times New Roman" w:hAnsi="Times New Roman"/>
          <w:b/>
          <w:sz w:val="28"/>
          <w:szCs w:val="28"/>
        </w:rPr>
      </w:pPr>
      <w:r w:rsidRPr="00A774FC">
        <w:rPr>
          <w:rFonts w:ascii="Times New Roman" w:hAnsi="Times New Roman"/>
          <w:b/>
          <w:sz w:val="28"/>
          <w:szCs w:val="28"/>
        </w:rPr>
        <w:t xml:space="preserve">CSP aprēķinātie </w:t>
      </w:r>
      <w:r w:rsidR="00206F14" w:rsidRPr="00A774FC">
        <w:rPr>
          <w:rFonts w:ascii="Times New Roman" w:hAnsi="Times New Roman"/>
          <w:b/>
          <w:sz w:val="28"/>
          <w:szCs w:val="28"/>
        </w:rPr>
        <w:t xml:space="preserve">izmaksu </w:t>
      </w:r>
      <w:r w:rsidRPr="00A774FC">
        <w:rPr>
          <w:rFonts w:ascii="Times New Roman" w:hAnsi="Times New Roman"/>
          <w:b/>
          <w:sz w:val="28"/>
          <w:szCs w:val="28"/>
        </w:rPr>
        <w:t>indeksi būvniecībā</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2693"/>
        <w:gridCol w:w="2268"/>
        <w:gridCol w:w="1561"/>
        <w:gridCol w:w="2550"/>
      </w:tblGrid>
      <w:tr w:rsidR="00B93665" w:rsidRPr="00A774FC" w:rsidTr="0055068F">
        <w:tc>
          <w:tcPr>
            <w:tcW w:w="2376" w:type="dxa"/>
            <w:shd w:val="clear" w:color="auto" w:fill="auto"/>
          </w:tcPr>
          <w:p w:rsidR="00FB2D9D" w:rsidRPr="00A774FC" w:rsidRDefault="00FB2D9D" w:rsidP="00A662AE">
            <w:pPr>
              <w:spacing w:after="0" w:line="240" w:lineRule="auto"/>
              <w:rPr>
                <w:rFonts w:ascii="Times New Roman" w:hAnsi="Times New Roman"/>
                <w:b/>
              </w:rPr>
            </w:pPr>
            <w:r w:rsidRPr="00A774FC">
              <w:rPr>
                <w:rFonts w:ascii="Times New Roman" w:hAnsi="Times New Roman"/>
                <w:b/>
              </w:rPr>
              <w:t>Nosaukums</w:t>
            </w:r>
          </w:p>
        </w:tc>
        <w:tc>
          <w:tcPr>
            <w:tcW w:w="2694" w:type="dxa"/>
            <w:shd w:val="clear" w:color="auto" w:fill="auto"/>
          </w:tcPr>
          <w:p w:rsidR="00FB2D9D" w:rsidRPr="00A774FC" w:rsidRDefault="00FB2D9D" w:rsidP="00A662AE">
            <w:pPr>
              <w:spacing w:after="0" w:line="240" w:lineRule="auto"/>
              <w:jc w:val="center"/>
              <w:rPr>
                <w:rFonts w:ascii="Times New Roman" w:hAnsi="Times New Roman"/>
                <w:b/>
              </w:rPr>
            </w:pPr>
            <w:r w:rsidRPr="00A774FC">
              <w:rPr>
                <w:rFonts w:ascii="Times New Roman" w:hAnsi="Times New Roman"/>
                <w:b/>
              </w:rPr>
              <w:t>Definīcija</w:t>
            </w:r>
            <w:r w:rsidR="00AF3CAF" w:rsidRPr="00A774FC">
              <w:rPr>
                <w:rFonts w:ascii="Times New Roman" w:hAnsi="Times New Roman"/>
                <w:b/>
              </w:rPr>
              <w:t xml:space="preserve"> un mērķis</w:t>
            </w:r>
          </w:p>
        </w:tc>
        <w:tc>
          <w:tcPr>
            <w:tcW w:w="2693" w:type="dxa"/>
            <w:shd w:val="clear" w:color="auto" w:fill="auto"/>
          </w:tcPr>
          <w:p w:rsidR="00FB2D9D" w:rsidRPr="00A774FC" w:rsidRDefault="00AF3CAF" w:rsidP="00A662AE">
            <w:pPr>
              <w:spacing w:after="0" w:line="240" w:lineRule="auto"/>
              <w:jc w:val="center"/>
              <w:rPr>
                <w:rFonts w:ascii="Times New Roman" w:hAnsi="Times New Roman"/>
                <w:b/>
              </w:rPr>
            </w:pPr>
            <w:r w:rsidRPr="00A774FC">
              <w:rPr>
                <w:rFonts w:ascii="Times New Roman" w:hAnsi="Times New Roman"/>
                <w:b/>
              </w:rPr>
              <w:t>Metodika</w:t>
            </w:r>
          </w:p>
        </w:tc>
        <w:tc>
          <w:tcPr>
            <w:tcW w:w="2268" w:type="dxa"/>
            <w:shd w:val="clear" w:color="auto" w:fill="auto"/>
          </w:tcPr>
          <w:p w:rsidR="00FB2D9D" w:rsidRPr="00A774FC" w:rsidRDefault="00FB2D9D" w:rsidP="00A662AE">
            <w:pPr>
              <w:spacing w:after="0" w:line="240" w:lineRule="auto"/>
              <w:jc w:val="center"/>
              <w:rPr>
                <w:rFonts w:ascii="Times New Roman" w:hAnsi="Times New Roman"/>
                <w:b/>
              </w:rPr>
            </w:pPr>
            <w:r w:rsidRPr="00A774FC">
              <w:rPr>
                <w:rFonts w:ascii="Times New Roman" w:hAnsi="Times New Roman"/>
                <w:b/>
              </w:rPr>
              <w:t>Datu avots</w:t>
            </w:r>
          </w:p>
        </w:tc>
        <w:tc>
          <w:tcPr>
            <w:tcW w:w="1561" w:type="dxa"/>
            <w:shd w:val="clear" w:color="auto" w:fill="auto"/>
          </w:tcPr>
          <w:p w:rsidR="00FB2D9D" w:rsidRPr="00A774FC" w:rsidRDefault="00FB2D9D" w:rsidP="00A662AE">
            <w:pPr>
              <w:spacing w:after="0" w:line="240" w:lineRule="auto"/>
              <w:jc w:val="center"/>
              <w:rPr>
                <w:rFonts w:ascii="Times New Roman" w:hAnsi="Times New Roman"/>
                <w:b/>
              </w:rPr>
            </w:pPr>
            <w:r w:rsidRPr="00A774FC">
              <w:rPr>
                <w:rFonts w:ascii="Times New Roman" w:hAnsi="Times New Roman"/>
                <w:b/>
              </w:rPr>
              <w:t>Periodiskums</w:t>
            </w:r>
          </w:p>
        </w:tc>
        <w:tc>
          <w:tcPr>
            <w:tcW w:w="2550" w:type="dxa"/>
            <w:shd w:val="clear" w:color="auto" w:fill="auto"/>
          </w:tcPr>
          <w:p w:rsidR="00FB2D9D" w:rsidRPr="00A774FC" w:rsidRDefault="00FB2D9D" w:rsidP="00A662AE">
            <w:pPr>
              <w:spacing w:after="0" w:line="240" w:lineRule="auto"/>
              <w:jc w:val="center"/>
              <w:rPr>
                <w:rFonts w:ascii="Times New Roman" w:hAnsi="Times New Roman"/>
                <w:b/>
              </w:rPr>
            </w:pPr>
            <w:r w:rsidRPr="00A774FC">
              <w:rPr>
                <w:rFonts w:ascii="Times New Roman" w:hAnsi="Times New Roman"/>
                <w:b/>
              </w:rPr>
              <w:t>Piezīmes</w:t>
            </w:r>
          </w:p>
        </w:tc>
      </w:tr>
      <w:tr w:rsidR="00B93665" w:rsidRPr="00A774FC" w:rsidTr="0055068F">
        <w:trPr>
          <w:trHeight w:val="2190"/>
        </w:trPr>
        <w:tc>
          <w:tcPr>
            <w:tcW w:w="2376" w:type="dxa"/>
            <w:shd w:val="clear" w:color="auto" w:fill="auto"/>
          </w:tcPr>
          <w:p w:rsidR="00FB2D9D" w:rsidRPr="00A774FC" w:rsidRDefault="00FB2D9D" w:rsidP="00A662AE">
            <w:pPr>
              <w:spacing w:after="0" w:line="240" w:lineRule="auto"/>
              <w:rPr>
                <w:rFonts w:ascii="Times New Roman" w:hAnsi="Times New Roman"/>
              </w:rPr>
            </w:pPr>
            <w:proofErr w:type="spellStart"/>
            <w:r w:rsidRPr="00A774FC">
              <w:rPr>
                <w:rFonts w:ascii="Times New Roman" w:hAnsi="Times New Roman"/>
              </w:rPr>
              <w:t>Būvizmaksu</w:t>
            </w:r>
            <w:proofErr w:type="spellEnd"/>
            <w:r w:rsidRPr="00A774FC">
              <w:rPr>
                <w:rFonts w:ascii="Times New Roman" w:hAnsi="Times New Roman"/>
              </w:rPr>
              <w:t xml:space="preserve"> indekss (BII) </w:t>
            </w:r>
          </w:p>
          <w:p w:rsidR="00FB2D9D" w:rsidRPr="00A774FC" w:rsidRDefault="00FB2D9D" w:rsidP="00A662AE">
            <w:pPr>
              <w:spacing w:after="0" w:line="240" w:lineRule="auto"/>
              <w:rPr>
                <w:rFonts w:ascii="Times New Roman" w:hAnsi="Times New Roman"/>
              </w:rPr>
            </w:pPr>
          </w:p>
        </w:tc>
        <w:tc>
          <w:tcPr>
            <w:tcW w:w="2694" w:type="dxa"/>
            <w:shd w:val="clear" w:color="auto" w:fill="auto"/>
          </w:tcPr>
          <w:p w:rsidR="000A4E50" w:rsidRPr="00A774FC" w:rsidRDefault="00FB2D9D" w:rsidP="00A662AE">
            <w:pPr>
              <w:spacing w:after="0" w:line="240" w:lineRule="auto"/>
              <w:ind w:left="34"/>
              <w:rPr>
                <w:rFonts w:ascii="Times New Roman" w:hAnsi="Times New Roman"/>
              </w:rPr>
            </w:pPr>
            <w:r w:rsidRPr="00A774FC">
              <w:rPr>
                <w:rFonts w:ascii="Times New Roman" w:hAnsi="Times New Roman"/>
              </w:rPr>
              <w:t>Raksturo būvdarbu izmaksu pārmaiņas noteiktā laika periodā</w:t>
            </w:r>
            <w:r w:rsidR="00AF3CAF" w:rsidRPr="00A774FC">
              <w:rPr>
                <w:rFonts w:ascii="Times New Roman" w:hAnsi="Times New Roman"/>
              </w:rPr>
              <w:t xml:space="preserve">.  </w:t>
            </w:r>
          </w:p>
          <w:p w:rsidR="00AF3CAF" w:rsidRPr="00A774FC" w:rsidRDefault="00AF3CAF" w:rsidP="00A662AE">
            <w:pPr>
              <w:spacing w:after="0" w:line="240" w:lineRule="auto"/>
              <w:ind w:left="34"/>
              <w:rPr>
                <w:rFonts w:ascii="Times New Roman" w:hAnsi="Times New Roman"/>
              </w:rPr>
            </w:pPr>
            <w:r w:rsidRPr="00A774FC">
              <w:rPr>
                <w:rFonts w:ascii="Times New Roman" w:hAnsi="Times New Roman"/>
              </w:rPr>
              <w:t xml:space="preserve">Indeksa mērķis- nodrošināt piemērotu </w:t>
            </w:r>
            <w:proofErr w:type="spellStart"/>
            <w:r w:rsidRPr="00A774FC">
              <w:rPr>
                <w:rFonts w:ascii="Times New Roman" w:hAnsi="Times New Roman"/>
              </w:rPr>
              <w:t>deflatoru</w:t>
            </w:r>
            <w:proofErr w:type="spellEnd"/>
            <w:r w:rsidRPr="00A774FC">
              <w:rPr>
                <w:rFonts w:ascii="Times New Roman" w:hAnsi="Times New Roman"/>
              </w:rPr>
              <w:t xml:space="preserve"> būvdarbu vērtības pārrēķiniem salīdzināmās cenās.</w:t>
            </w:r>
          </w:p>
          <w:p w:rsidR="00FB2D9D" w:rsidRPr="00A774FC" w:rsidRDefault="00FB2D9D" w:rsidP="00A662AE">
            <w:pPr>
              <w:spacing w:after="0" w:line="240" w:lineRule="auto"/>
              <w:ind w:left="34"/>
              <w:rPr>
                <w:rFonts w:ascii="Times New Roman" w:hAnsi="Times New Roman"/>
              </w:rPr>
            </w:pPr>
          </w:p>
        </w:tc>
        <w:tc>
          <w:tcPr>
            <w:tcW w:w="2693" w:type="dxa"/>
            <w:shd w:val="clear" w:color="auto" w:fill="auto"/>
          </w:tcPr>
          <w:p w:rsidR="00AF3CAF" w:rsidRPr="00A774FC" w:rsidRDefault="00AF3CAF" w:rsidP="00A662AE">
            <w:p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 xml:space="preserve">Aprēķinos izmanto unificēto </w:t>
            </w:r>
            <w:proofErr w:type="spellStart"/>
            <w:r w:rsidRPr="00A774FC">
              <w:rPr>
                <w:rFonts w:ascii="Times New Roman" w:eastAsia="Times New Roman" w:hAnsi="Times New Roman"/>
                <w:lang w:eastAsia="lv-LV"/>
              </w:rPr>
              <w:t>būvmodeļu</w:t>
            </w:r>
            <w:proofErr w:type="spellEnd"/>
            <w:r w:rsidRPr="00A774FC">
              <w:rPr>
                <w:rFonts w:ascii="Times New Roman" w:eastAsia="Times New Roman" w:hAnsi="Times New Roman"/>
                <w:lang w:eastAsia="lv-LV"/>
              </w:rPr>
              <w:t xml:space="preserve">  metodi, kur katrs modelis satur noteiktus būvmateriālu, darbaspēka un celtniecības tehnikas izlietojuma apjomus. </w:t>
            </w:r>
          </w:p>
          <w:p w:rsidR="00AF3CAF" w:rsidRPr="00A774FC" w:rsidRDefault="00AF3CAF" w:rsidP="00A662AE">
            <w:p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 xml:space="preserve">Nepieciešamo resursu vidējās cenas aprēķina kā vidējos svērtos aritmētiskos lielumus, par svariem izmantojot pašu spēkiem izpildīto būvdarbu apjomu iepriekšējā gadā, t.i., </w:t>
            </w:r>
            <w:r w:rsidR="00AF554C" w:rsidRPr="00A774FC">
              <w:rPr>
                <w:rFonts w:ascii="Times New Roman" w:eastAsia="Times New Roman" w:hAnsi="Times New Roman"/>
                <w:lang w:eastAsia="lv-LV"/>
              </w:rPr>
              <w:t>respondentu</w:t>
            </w:r>
            <w:r w:rsidRPr="00A774FC">
              <w:rPr>
                <w:rFonts w:ascii="Times New Roman" w:eastAsia="Times New Roman" w:hAnsi="Times New Roman"/>
                <w:lang w:eastAsia="lv-LV"/>
              </w:rPr>
              <w:t xml:space="preserve"> sniegtā</w:t>
            </w:r>
            <w:r w:rsidR="00AF554C" w:rsidRPr="00A774FC">
              <w:rPr>
                <w:rFonts w:ascii="Times New Roman" w:eastAsia="Times New Roman" w:hAnsi="Times New Roman"/>
                <w:lang w:eastAsia="lv-LV"/>
              </w:rPr>
              <w:t>s</w:t>
            </w:r>
            <w:r w:rsidRPr="00A774FC">
              <w:rPr>
                <w:rFonts w:ascii="Times New Roman" w:eastAsia="Times New Roman" w:hAnsi="Times New Roman"/>
                <w:lang w:eastAsia="lv-LV"/>
              </w:rPr>
              <w:t xml:space="preserve"> cena</w:t>
            </w:r>
            <w:r w:rsidR="00AF554C" w:rsidRPr="00A774FC">
              <w:rPr>
                <w:rFonts w:ascii="Times New Roman" w:eastAsia="Times New Roman" w:hAnsi="Times New Roman"/>
                <w:lang w:eastAsia="lv-LV"/>
              </w:rPr>
              <w:t>s</w:t>
            </w:r>
            <w:r w:rsidRPr="00A774FC">
              <w:rPr>
                <w:rFonts w:ascii="Times New Roman" w:eastAsia="Times New Roman" w:hAnsi="Times New Roman"/>
                <w:lang w:eastAsia="lv-LV"/>
              </w:rPr>
              <w:t xml:space="preserve"> tiek svērta</w:t>
            </w:r>
            <w:r w:rsidR="00AF554C" w:rsidRPr="00A774FC">
              <w:rPr>
                <w:rFonts w:ascii="Times New Roman" w:eastAsia="Times New Roman" w:hAnsi="Times New Roman"/>
                <w:lang w:eastAsia="lv-LV"/>
              </w:rPr>
              <w:t>s</w:t>
            </w:r>
            <w:r w:rsidRPr="00A774FC">
              <w:rPr>
                <w:rFonts w:ascii="Times New Roman" w:eastAsia="Times New Roman" w:hAnsi="Times New Roman"/>
                <w:lang w:eastAsia="lv-LV"/>
              </w:rPr>
              <w:t xml:space="preserve"> ar </w:t>
            </w:r>
            <w:r w:rsidR="00AF554C" w:rsidRPr="00A774FC">
              <w:rPr>
                <w:rFonts w:ascii="Times New Roman" w:eastAsia="Times New Roman" w:hAnsi="Times New Roman"/>
                <w:lang w:eastAsia="lv-LV"/>
              </w:rPr>
              <w:t>attiecīgā</w:t>
            </w:r>
            <w:r w:rsidRPr="00A774FC">
              <w:rPr>
                <w:rFonts w:ascii="Times New Roman" w:eastAsia="Times New Roman" w:hAnsi="Times New Roman"/>
                <w:lang w:eastAsia="lv-LV"/>
              </w:rPr>
              <w:t xml:space="preserve"> uzņēmuma darbu apjomu.  </w:t>
            </w:r>
          </w:p>
          <w:p w:rsidR="00FB2D9D" w:rsidRPr="00A774FC" w:rsidRDefault="00FB2D9D" w:rsidP="00A662AE">
            <w:pPr>
              <w:spacing w:after="0" w:line="240" w:lineRule="auto"/>
              <w:rPr>
                <w:rFonts w:ascii="Times New Roman" w:hAnsi="Times New Roman"/>
              </w:rPr>
            </w:pPr>
          </w:p>
        </w:tc>
        <w:tc>
          <w:tcPr>
            <w:tcW w:w="2268" w:type="dxa"/>
            <w:shd w:val="clear" w:color="auto" w:fill="auto"/>
          </w:tcPr>
          <w:p w:rsidR="000A4E50" w:rsidRPr="00A774FC" w:rsidRDefault="00AF3CAF" w:rsidP="00A662AE">
            <w:pPr>
              <w:spacing w:after="0" w:line="240" w:lineRule="auto"/>
              <w:rPr>
                <w:rFonts w:ascii="Times New Roman" w:hAnsi="Times New Roman"/>
              </w:rPr>
            </w:pPr>
            <w:r w:rsidRPr="00A774FC">
              <w:rPr>
                <w:rFonts w:ascii="Times New Roman" w:hAnsi="Times New Roman"/>
              </w:rPr>
              <w:t xml:space="preserve">Statistikas pārskati. </w:t>
            </w:r>
          </w:p>
          <w:p w:rsidR="00FB2D9D" w:rsidRPr="00A774FC" w:rsidRDefault="00FB2D9D" w:rsidP="00A662AE">
            <w:pPr>
              <w:spacing w:after="0" w:line="240" w:lineRule="auto"/>
              <w:rPr>
                <w:rFonts w:ascii="Times New Roman" w:eastAsia="Times New Roman" w:hAnsi="Times New Roman"/>
                <w:lang w:eastAsia="lv-LV"/>
              </w:rPr>
            </w:pPr>
            <w:r w:rsidRPr="00A774FC">
              <w:rPr>
                <w:rFonts w:ascii="Times New Roman" w:hAnsi="Times New Roman"/>
              </w:rPr>
              <w:t>Cenu informācijai-pārskats 1-bc</w:t>
            </w:r>
            <w:r w:rsidR="003244D2" w:rsidRPr="00A774FC">
              <w:rPr>
                <w:rFonts w:ascii="Times New Roman" w:hAnsi="Times New Roman"/>
              </w:rPr>
              <w:t>;</w:t>
            </w:r>
            <w:r w:rsidRPr="00A774FC">
              <w:rPr>
                <w:rFonts w:ascii="Times New Roman" w:hAnsi="Times New Roman"/>
              </w:rPr>
              <w:t xml:space="preserve"> </w:t>
            </w:r>
            <w:r w:rsidR="00373A20" w:rsidRPr="00A774FC">
              <w:rPr>
                <w:rFonts w:ascii="Times New Roman" w:hAnsi="Times New Roman"/>
              </w:rPr>
              <w:t>no 2012.gada</w:t>
            </w:r>
            <w:r w:rsidR="004B14F6" w:rsidRPr="00A774FC">
              <w:rPr>
                <w:rFonts w:ascii="Times New Roman" w:hAnsi="Times New Roman"/>
              </w:rPr>
              <w:t>-</w:t>
            </w:r>
            <w:r w:rsidR="00373A20" w:rsidRPr="00A774FC">
              <w:rPr>
                <w:rFonts w:ascii="Times New Roman" w:hAnsi="Times New Roman"/>
              </w:rPr>
              <w:t xml:space="preserve"> arī </w:t>
            </w:r>
            <w:r w:rsidR="0039018A" w:rsidRPr="00A774FC">
              <w:rPr>
                <w:rFonts w:ascii="Times New Roman" w:hAnsi="Times New Roman"/>
              </w:rPr>
              <w:t xml:space="preserve">rūpniecības ražošanas un </w:t>
            </w:r>
            <w:r w:rsidR="00AF3CAF" w:rsidRPr="00A774FC">
              <w:rPr>
                <w:rFonts w:ascii="Times New Roman" w:hAnsi="Times New Roman"/>
              </w:rPr>
              <w:t xml:space="preserve">importētāju sniegtās cenas (pārskati </w:t>
            </w:r>
            <w:r w:rsidR="00373A20" w:rsidRPr="00A774FC">
              <w:rPr>
                <w:rFonts w:ascii="Times New Roman" w:hAnsi="Times New Roman"/>
              </w:rPr>
              <w:t>1-rc un 1-ic</w:t>
            </w:r>
            <w:r w:rsidR="00AF3CAF" w:rsidRPr="00A774FC">
              <w:rPr>
                <w:rFonts w:ascii="Times New Roman" w:hAnsi="Times New Roman"/>
              </w:rPr>
              <w:t>)</w:t>
            </w:r>
            <w:r w:rsidR="00373A20" w:rsidRPr="00A774FC">
              <w:rPr>
                <w:rFonts w:ascii="Times New Roman" w:hAnsi="Times New Roman"/>
              </w:rPr>
              <w:t xml:space="preserve">; </w:t>
            </w:r>
            <w:r w:rsidRPr="00A774FC">
              <w:rPr>
                <w:rFonts w:ascii="Times New Roman" w:hAnsi="Times New Roman"/>
              </w:rPr>
              <w:t xml:space="preserve">svariem- </w:t>
            </w:r>
            <w:r w:rsidR="00AF3CAF" w:rsidRPr="00A774FC">
              <w:rPr>
                <w:rFonts w:ascii="Times New Roman" w:hAnsi="Times New Roman"/>
              </w:rPr>
              <w:t xml:space="preserve">pašu spēkiem veikto būvdarbu apjoms </w:t>
            </w:r>
            <w:r w:rsidR="00AF3CAF" w:rsidRPr="00A774FC">
              <w:rPr>
                <w:rFonts w:ascii="Times New Roman" w:hAnsi="Times New Roman"/>
                <w:i/>
              </w:rPr>
              <w:t>t-1 gadā</w:t>
            </w:r>
            <w:r w:rsidR="00AF3CAF" w:rsidRPr="00A774FC">
              <w:rPr>
                <w:rFonts w:ascii="Times New Roman" w:hAnsi="Times New Roman"/>
              </w:rPr>
              <w:t xml:space="preserve"> (</w:t>
            </w:r>
            <w:r w:rsidRPr="00A774FC">
              <w:rPr>
                <w:rFonts w:ascii="Times New Roman" w:hAnsi="Times New Roman"/>
              </w:rPr>
              <w:t>pārskats 1- būvniecība</w:t>
            </w:r>
            <w:r w:rsidR="00373A20" w:rsidRPr="00A774FC">
              <w:rPr>
                <w:rFonts w:ascii="Times New Roman" w:hAnsi="Times New Roman"/>
                <w:i/>
              </w:rPr>
              <w:t>)</w:t>
            </w:r>
            <w:r w:rsidRPr="00A774FC">
              <w:rPr>
                <w:rFonts w:ascii="Times New Roman" w:hAnsi="Times New Roman"/>
              </w:rPr>
              <w:t>.</w:t>
            </w:r>
            <w:r w:rsidR="00AF3CAF" w:rsidRPr="00A774FC">
              <w:rPr>
                <w:rFonts w:ascii="Times New Roman" w:eastAsia="Times New Roman" w:hAnsi="Times New Roman"/>
                <w:lang w:eastAsia="lv-LV"/>
              </w:rPr>
              <w:t xml:space="preserve"> Pavisam mēneša indeksa aprēķiniem izmanto </w:t>
            </w:r>
            <w:r w:rsidR="004B14F6" w:rsidRPr="00A774FC">
              <w:rPr>
                <w:rFonts w:ascii="Times New Roman" w:eastAsia="Times New Roman" w:hAnsi="Times New Roman"/>
                <w:lang w:eastAsia="lv-LV"/>
              </w:rPr>
              <w:t>vairāk kā</w:t>
            </w:r>
            <w:r w:rsidR="00AF3CAF" w:rsidRPr="00A774FC">
              <w:rPr>
                <w:rFonts w:ascii="Times New Roman" w:eastAsia="Times New Roman" w:hAnsi="Times New Roman"/>
                <w:lang w:eastAsia="lv-LV"/>
              </w:rPr>
              <w:t xml:space="preserve"> </w:t>
            </w:r>
            <w:r w:rsidR="00AF3CAF" w:rsidRPr="00A774FC">
              <w:rPr>
                <w:rFonts w:ascii="Times New Roman" w:eastAsia="Times New Roman" w:hAnsi="Times New Roman"/>
                <w:i/>
                <w:iCs/>
                <w:lang w:eastAsia="lv-LV"/>
              </w:rPr>
              <w:t>3000</w:t>
            </w:r>
            <w:r w:rsidR="00AF3CAF" w:rsidRPr="00A774FC">
              <w:rPr>
                <w:rFonts w:ascii="Times New Roman" w:eastAsia="Times New Roman" w:hAnsi="Times New Roman"/>
                <w:lang w:eastAsia="lv-LV"/>
              </w:rPr>
              <w:t xml:space="preserve"> cenu</w:t>
            </w:r>
            <w:r w:rsidR="003244D2" w:rsidRPr="00A774FC">
              <w:rPr>
                <w:rFonts w:ascii="Times New Roman" w:eastAsia="Times New Roman" w:hAnsi="Times New Roman"/>
                <w:lang w:eastAsia="lv-LV"/>
              </w:rPr>
              <w:t xml:space="preserve">; </w:t>
            </w:r>
          </w:p>
          <w:p w:rsidR="002428D3" w:rsidRPr="00A774FC" w:rsidRDefault="002428D3" w:rsidP="00A662AE">
            <w:p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 xml:space="preserve">2012.gada izlasē iekļauti 234 uzņēmumi  (no tiem 33 tirdzniecības uzņēmumi).  </w:t>
            </w:r>
          </w:p>
        </w:tc>
        <w:tc>
          <w:tcPr>
            <w:tcW w:w="1561" w:type="dxa"/>
            <w:shd w:val="clear" w:color="auto" w:fill="auto"/>
          </w:tcPr>
          <w:p w:rsidR="00FB2D9D" w:rsidRPr="00A774FC" w:rsidRDefault="00FB2D9D" w:rsidP="00A662AE">
            <w:pPr>
              <w:spacing w:after="0" w:line="240" w:lineRule="auto"/>
              <w:rPr>
                <w:rFonts w:ascii="Times New Roman" w:hAnsi="Times New Roman"/>
              </w:rPr>
            </w:pPr>
            <w:r w:rsidRPr="00A774FC">
              <w:rPr>
                <w:rFonts w:ascii="Times New Roman" w:hAnsi="Times New Roman"/>
              </w:rPr>
              <w:t>Mēnesis</w:t>
            </w:r>
            <w:r w:rsidR="002428D3" w:rsidRPr="00A774FC">
              <w:rPr>
                <w:rFonts w:ascii="Times New Roman" w:hAnsi="Times New Roman"/>
              </w:rPr>
              <w:t>; datus publicē 19.darba dienā pēc pārskata mēneša.</w:t>
            </w:r>
          </w:p>
        </w:tc>
        <w:tc>
          <w:tcPr>
            <w:tcW w:w="2550" w:type="dxa"/>
            <w:shd w:val="clear" w:color="auto" w:fill="auto"/>
          </w:tcPr>
          <w:p w:rsidR="00FB2D9D" w:rsidRPr="00A774FC" w:rsidRDefault="00FB2D9D" w:rsidP="00A662AE">
            <w:pPr>
              <w:spacing w:after="0" w:line="240" w:lineRule="auto"/>
              <w:rPr>
                <w:rFonts w:ascii="Times New Roman" w:hAnsi="Times New Roman"/>
              </w:rPr>
            </w:pPr>
            <w:r w:rsidRPr="00A774FC">
              <w:rPr>
                <w:rFonts w:ascii="Times New Roman" w:hAnsi="Times New Roman"/>
              </w:rPr>
              <w:t xml:space="preserve">BII </w:t>
            </w:r>
            <w:r w:rsidR="00791856" w:rsidRPr="00A774FC">
              <w:rPr>
                <w:rFonts w:ascii="Times New Roman" w:hAnsi="Times New Roman"/>
              </w:rPr>
              <w:t xml:space="preserve">ir </w:t>
            </w:r>
            <w:proofErr w:type="spellStart"/>
            <w:r w:rsidR="00791856" w:rsidRPr="00A774FC">
              <w:rPr>
                <w:rFonts w:ascii="Times New Roman" w:hAnsi="Times New Roman"/>
              </w:rPr>
              <w:t>ielaides</w:t>
            </w:r>
            <w:proofErr w:type="spellEnd"/>
            <w:r w:rsidR="00791856" w:rsidRPr="00A774FC">
              <w:rPr>
                <w:rFonts w:ascii="Times New Roman" w:hAnsi="Times New Roman"/>
              </w:rPr>
              <w:t xml:space="preserve"> cenu indekss, kas </w:t>
            </w:r>
            <w:r w:rsidRPr="00A774FC">
              <w:rPr>
                <w:rFonts w:ascii="Times New Roman" w:hAnsi="Times New Roman"/>
              </w:rPr>
              <w:t xml:space="preserve">atspoguļo tikai </w:t>
            </w:r>
            <w:r w:rsidRPr="00A774FC">
              <w:rPr>
                <w:rFonts w:ascii="Times New Roman" w:hAnsi="Times New Roman"/>
                <w:u w:val="single"/>
              </w:rPr>
              <w:t>galveno</w:t>
            </w:r>
            <w:r w:rsidRPr="00A774FC">
              <w:rPr>
                <w:rFonts w:ascii="Times New Roman" w:hAnsi="Times New Roman"/>
              </w:rPr>
              <w:t xml:space="preserve"> ražošanas izmaksu attīstību</w:t>
            </w:r>
            <w:r w:rsidR="003E70F7" w:rsidRPr="00A774FC">
              <w:rPr>
                <w:rFonts w:ascii="Times New Roman" w:hAnsi="Times New Roman"/>
              </w:rPr>
              <w:t>.</w:t>
            </w:r>
          </w:p>
          <w:p w:rsidR="00961E66" w:rsidRPr="00A774FC" w:rsidRDefault="003E70F7" w:rsidP="00961E66">
            <w:pPr>
              <w:spacing w:before="120" w:after="0" w:line="240" w:lineRule="auto"/>
              <w:rPr>
                <w:rFonts w:ascii="Times New Roman" w:hAnsi="Times New Roman"/>
              </w:rPr>
            </w:pPr>
            <w:proofErr w:type="spellStart"/>
            <w:r w:rsidRPr="00A774FC">
              <w:rPr>
                <w:rFonts w:ascii="Times New Roman" w:hAnsi="Times New Roman"/>
              </w:rPr>
              <w:t>Virsizmaksas</w:t>
            </w:r>
            <w:proofErr w:type="spellEnd"/>
            <w:r w:rsidRPr="00A774FC">
              <w:rPr>
                <w:rFonts w:ascii="Times New Roman" w:hAnsi="Times New Roman"/>
              </w:rPr>
              <w:t xml:space="preserve"> (administrācijas uzturēšana, </w:t>
            </w:r>
            <w:r w:rsidR="00AF3CAF" w:rsidRPr="00A774FC">
              <w:rPr>
                <w:rFonts w:ascii="Times New Roman" w:hAnsi="Times New Roman"/>
              </w:rPr>
              <w:t xml:space="preserve">peļņas izmaiņas, </w:t>
            </w:r>
            <w:r w:rsidRPr="00A774FC">
              <w:rPr>
                <w:rFonts w:ascii="Times New Roman" w:hAnsi="Times New Roman"/>
              </w:rPr>
              <w:t>amortizācija</w:t>
            </w:r>
            <w:r w:rsidR="00AF3CAF" w:rsidRPr="00A774FC">
              <w:rPr>
                <w:rFonts w:ascii="Times New Roman" w:hAnsi="Times New Roman"/>
              </w:rPr>
              <w:t xml:space="preserve">), </w:t>
            </w:r>
            <w:r w:rsidRPr="00A774FC">
              <w:rPr>
                <w:rFonts w:ascii="Times New Roman" w:hAnsi="Times New Roman"/>
              </w:rPr>
              <w:t>zemes cena, arhitekta honorārs u.c.</w:t>
            </w:r>
            <w:r w:rsidR="00AF3CAF" w:rsidRPr="00A774FC">
              <w:rPr>
                <w:rFonts w:ascii="Times New Roman" w:hAnsi="Times New Roman"/>
              </w:rPr>
              <w:t>,</w:t>
            </w:r>
            <w:r w:rsidRPr="00A774FC">
              <w:rPr>
                <w:rFonts w:ascii="Times New Roman" w:hAnsi="Times New Roman"/>
              </w:rPr>
              <w:t xml:space="preserve"> nav </w:t>
            </w:r>
            <w:proofErr w:type="spellStart"/>
            <w:r w:rsidRPr="00A774FC">
              <w:rPr>
                <w:rFonts w:ascii="Times New Roman" w:hAnsi="Times New Roman"/>
              </w:rPr>
              <w:t>būvizmaksu</w:t>
            </w:r>
            <w:proofErr w:type="spellEnd"/>
            <w:r w:rsidRPr="00A774FC">
              <w:rPr>
                <w:rFonts w:ascii="Times New Roman" w:hAnsi="Times New Roman"/>
              </w:rPr>
              <w:t xml:space="preserve"> indeksa sastāvdaļa. </w:t>
            </w:r>
          </w:p>
          <w:p w:rsidR="003B1630" w:rsidRPr="00A774FC" w:rsidRDefault="00961E66" w:rsidP="00961E66">
            <w:pPr>
              <w:spacing w:before="120" w:after="0" w:line="240" w:lineRule="auto"/>
              <w:rPr>
                <w:rFonts w:ascii="Times New Roman" w:hAnsi="Times New Roman"/>
              </w:rPr>
            </w:pPr>
            <w:r w:rsidRPr="00A774FC">
              <w:rPr>
                <w:rFonts w:ascii="Times New Roman" w:hAnsi="Times New Roman"/>
              </w:rPr>
              <w:t>Būvuzņēmumus-respondentus izvēlas ar mērķa atlases palīdzību. Pēc iespējas tiek pārstāvēti dažādi Latvijas reģioni, dažādas specializācijas uzņēmumi, kam lielāka jauda – pašu spēkiem veiktais būvdarbu apjoms. Tirdzniecības uzņēmumu atlases kritērijs ir to apgrozījuma lielums un specializācija.</w:t>
            </w:r>
            <w:r w:rsidR="003B1630" w:rsidRPr="00A774FC">
              <w:rPr>
                <w:rFonts w:ascii="Times New Roman" w:hAnsi="Times New Roman"/>
              </w:rPr>
              <w:t xml:space="preserve"> </w:t>
            </w:r>
          </w:p>
          <w:p w:rsidR="003E70F7" w:rsidRPr="00A774FC" w:rsidRDefault="003B1630" w:rsidP="003B1630">
            <w:pPr>
              <w:spacing w:before="120" w:after="0" w:line="240" w:lineRule="auto"/>
              <w:rPr>
                <w:rFonts w:ascii="Times New Roman" w:hAnsi="Times New Roman"/>
              </w:rPr>
            </w:pPr>
            <w:r w:rsidRPr="00A774FC">
              <w:rPr>
                <w:rFonts w:ascii="Times New Roman" w:hAnsi="Times New Roman"/>
              </w:rPr>
              <w:t xml:space="preserve">Mašīnu un mehānismu ekspluatācijas un </w:t>
            </w:r>
            <w:r w:rsidRPr="00A774FC">
              <w:rPr>
                <w:rFonts w:ascii="Times New Roman" w:hAnsi="Times New Roman"/>
              </w:rPr>
              <w:lastRenderedPageBreak/>
              <w:t>uzturēšanas izmaksas tiek prasītas  par vienu mašīnstundu. Uzņēmumi, kas mašīnas un mehānismus nomā, uzrāda vidējo nomas maksu par vienu mašīnstundu.</w:t>
            </w:r>
          </w:p>
        </w:tc>
      </w:tr>
    </w:tbl>
    <w:p w:rsidR="00791856" w:rsidRPr="00A774FC" w:rsidRDefault="00791856" w:rsidP="00A774FC">
      <w:pPr>
        <w:spacing w:before="120" w:after="120" w:line="240" w:lineRule="auto"/>
        <w:jc w:val="center"/>
        <w:rPr>
          <w:rFonts w:ascii="Times New Roman" w:hAnsi="Times New Roman"/>
          <w:b/>
          <w:sz w:val="24"/>
          <w:szCs w:val="24"/>
        </w:rPr>
      </w:pPr>
      <w:r w:rsidRPr="00A774FC">
        <w:rPr>
          <w:rFonts w:ascii="Times New Roman" w:hAnsi="Times New Roman"/>
          <w:b/>
          <w:sz w:val="24"/>
          <w:szCs w:val="24"/>
        </w:rPr>
        <w:lastRenderedPageBreak/>
        <w:t>BII detalizācija</w:t>
      </w:r>
    </w:p>
    <w:p w:rsidR="00791856" w:rsidRPr="00A774FC" w:rsidRDefault="0039018A" w:rsidP="00D11D6D">
      <w:pPr>
        <w:pStyle w:val="ListParagraph"/>
        <w:numPr>
          <w:ilvl w:val="0"/>
          <w:numId w:val="9"/>
        </w:numPr>
        <w:spacing w:before="120" w:after="120" w:line="240" w:lineRule="auto"/>
        <w:jc w:val="center"/>
        <w:rPr>
          <w:rFonts w:ascii="Times New Roman" w:hAnsi="Times New Roman"/>
          <w:b/>
          <w:sz w:val="24"/>
          <w:szCs w:val="24"/>
        </w:rPr>
      </w:pPr>
      <w:r w:rsidRPr="00A774FC">
        <w:rPr>
          <w:rFonts w:ascii="Times New Roman" w:hAnsi="Times New Roman"/>
          <w:sz w:val="24"/>
          <w:szCs w:val="24"/>
          <w:u w:val="single"/>
        </w:rPr>
        <w:t>Galvenie r</w:t>
      </w:r>
      <w:r w:rsidR="00791856" w:rsidRPr="00A774FC">
        <w:rPr>
          <w:rFonts w:ascii="Times New Roman" w:hAnsi="Times New Roman"/>
          <w:sz w:val="24"/>
          <w:szCs w:val="24"/>
          <w:u w:val="single"/>
        </w:rPr>
        <w:t>esurs</w:t>
      </w:r>
      <w:r w:rsidRPr="00A774FC">
        <w:rPr>
          <w:rFonts w:ascii="Times New Roman" w:hAnsi="Times New Roman"/>
          <w:sz w:val="24"/>
          <w:szCs w:val="24"/>
          <w:u w:val="single"/>
        </w:rPr>
        <w:t>i</w:t>
      </w:r>
      <w:r w:rsidR="00791856" w:rsidRPr="00A774FC">
        <w:rPr>
          <w:rFonts w:ascii="Times New Roman" w:hAnsi="Times New Roman"/>
          <w:sz w:val="24"/>
          <w:szCs w:val="24"/>
          <w:u w:val="single"/>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977"/>
        <w:gridCol w:w="2693"/>
        <w:gridCol w:w="1843"/>
        <w:gridCol w:w="1703"/>
        <w:gridCol w:w="2550"/>
      </w:tblGrid>
      <w:tr w:rsidR="00D11D6D" w:rsidRPr="00A774FC" w:rsidTr="00D11D6D">
        <w:trPr>
          <w:trHeight w:val="278"/>
        </w:trPr>
        <w:tc>
          <w:tcPr>
            <w:tcW w:w="2376" w:type="dxa"/>
            <w:tcBorders>
              <w:top w:val="single" w:sz="4" w:space="0" w:color="auto"/>
              <w:left w:val="single" w:sz="4" w:space="0" w:color="auto"/>
              <w:bottom w:val="single" w:sz="4" w:space="0" w:color="auto"/>
              <w:right w:val="single" w:sz="4" w:space="0" w:color="auto"/>
            </w:tcBorders>
            <w:shd w:val="clear" w:color="auto" w:fill="auto"/>
          </w:tcPr>
          <w:p w:rsidR="00D11D6D" w:rsidRPr="00A774FC" w:rsidRDefault="00D11D6D" w:rsidP="00E964C9">
            <w:pPr>
              <w:spacing w:after="0" w:line="240" w:lineRule="auto"/>
              <w:jc w:val="center"/>
              <w:rPr>
                <w:rFonts w:ascii="Times New Roman" w:hAnsi="Times New Roman"/>
                <w:b/>
              </w:rPr>
            </w:pPr>
            <w:r w:rsidRPr="00A774FC">
              <w:rPr>
                <w:rFonts w:ascii="Times New Roman" w:hAnsi="Times New Roman"/>
                <w:b/>
              </w:rPr>
              <w:t>Nosaukums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1D6D" w:rsidRPr="00A774FC" w:rsidRDefault="00D11D6D" w:rsidP="00E964C9">
            <w:pPr>
              <w:spacing w:after="0" w:line="240" w:lineRule="auto"/>
              <w:jc w:val="center"/>
              <w:rPr>
                <w:rFonts w:ascii="Times New Roman" w:hAnsi="Times New Roman"/>
                <w:b/>
              </w:rPr>
            </w:pPr>
            <w:r w:rsidRPr="00A774FC">
              <w:rPr>
                <w:rFonts w:ascii="Times New Roman" w:hAnsi="Times New Roman"/>
                <w:b/>
              </w:rPr>
              <w:t>Definīcija un mērķis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1D6D" w:rsidRPr="00A774FC" w:rsidRDefault="00D11D6D" w:rsidP="00E964C9">
            <w:pPr>
              <w:spacing w:after="0" w:line="240" w:lineRule="auto"/>
              <w:jc w:val="center"/>
              <w:rPr>
                <w:rFonts w:ascii="Times New Roman" w:hAnsi="Times New Roman"/>
                <w:b/>
              </w:rPr>
            </w:pPr>
            <w:r w:rsidRPr="00A774FC">
              <w:rPr>
                <w:rFonts w:ascii="Times New Roman" w:hAnsi="Times New Roman"/>
                <w:b/>
              </w:rPr>
              <w:t>Metodika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1D6D" w:rsidRPr="00A774FC" w:rsidRDefault="00D11D6D" w:rsidP="00E964C9">
            <w:pPr>
              <w:spacing w:after="0" w:line="240" w:lineRule="auto"/>
              <w:jc w:val="center"/>
              <w:rPr>
                <w:rFonts w:ascii="Times New Roman" w:hAnsi="Times New Roman"/>
                <w:b/>
              </w:rPr>
            </w:pPr>
            <w:r w:rsidRPr="00A774FC">
              <w:rPr>
                <w:rFonts w:ascii="Times New Roman" w:hAnsi="Times New Roman"/>
                <w:b/>
              </w:rPr>
              <w:t>Datu avots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D11D6D" w:rsidRPr="00A774FC" w:rsidRDefault="00D11D6D" w:rsidP="00E964C9">
            <w:pPr>
              <w:spacing w:after="0" w:line="240" w:lineRule="auto"/>
              <w:jc w:val="center"/>
              <w:rPr>
                <w:rFonts w:ascii="Times New Roman" w:hAnsi="Times New Roman"/>
                <w:b/>
              </w:rPr>
            </w:pPr>
            <w:r w:rsidRPr="00A774FC">
              <w:rPr>
                <w:rFonts w:ascii="Times New Roman" w:hAnsi="Times New Roman"/>
                <w:b/>
              </w:rPr>
              <w:t>Periodiskums</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11D6D" w:rsidRPr="00A774FC" w:rsidRDefault="00D11D6D" w:rsidP="00E964C9">
            <w:pPr>
              <w:spacing w:after="0" w:line="240" w:lineRule="auto"/>
              <w:jc w:val="center"/>
              <w:rPr>
                <w:rFonts w:ascii="Times New Roman" w:hAnsi="Times New Roman"/>
                <w:b/>
              </w:rPr>
            </w:pPr>
            <w:r w:rsidRPr="00A774FC">
              <w:rPr>
                <w:rFonts w:ascii="Times New Roman" w:hAnsi="Times New Roman"/>
                <w:b/>
              </w:rPr>
              <w:t>Piezīmes</w:t>
            </w:r>
          </w:p>
        </w:tc>
      </w:tr>
      <w:tr w:rsidR="00B93665" w:rsidRPr="00A774FC" w:rsidTr="00D11D6D">
        <w:trPr>
          <w:trHeight w:val="924"/>
        </w:trPr>
        <w:tc>
          <w:tcPr>
            <w:tcW w:w="2376" w:type="dxa"/>
            <w:shd w:val="clear" w:color="auto" w:fill="auto"/>
          </w:tcPr>
          <w:tbl>
            <w:tblPr>
              <w:tblW w:w="5578" w:type="dxa"/>
              <w:tblLayout w:type="fixed"/>
              <w:tblLook w:val="04A0"/>
            </w:tblPr>
            <w:tblGrid>
              <w:gridCol w:w="5578"/>
            </w:tblGrid>
            <w:tr w:rsidR="00791856" w:rsidRPr="00A774FC" w:rsidTr="008713D9">
              <w:trPr>
                <w:trHeight w:val="255"/>
              </w:trPr>
              <w:tc>
                <w:tcPr>
                  <w:tcW w:w="5578" w:type="dxa"/>
                  <w:tcBorders>
                    <w:top w:val="nil"/>
                    <w:left w:val="nil"/>
                    <w:bottom w:val="nil"/>
                    <w:right w:val="nil"/>
                  </w:tcBorders>
                  <w:shd w:val="clear" w:color="auto" w:fill="auto"/>
                  <w:noWrap/>
                  <w:vAlign w:val="bottom"/>
                  <w:hideMark/>
                </w:tcPr>
                <w:p w:rsidR="00791856" w:rsidRPr="00A774FC" w:rsidRDefault="00791856" w:rsidP="008713D9">
                  <w:pPr>
                    <w:pStyle w:val="ListParagraph"/>
                    <w:numPr>
                      <w:ilvl w:val="0"/>
                      <w:numId w:val="4"/>
                    </w:numPr>
                    <w:spacing w:after="0" w:line="240" w:lineRule="auto"/>
                    <w:ind w:left="318" w:hanging="284"/>
                    <w:rPr>
                      <w:rFonts w:ascii="Times New Roman" w:eastAsia="Times New Roman" w:hAnsi="Times New Roman"/>
                      <w:lang w:eastAsia="lv-LV"/>
                    </w:rPr>
                  </w:pPr>
                  <w:r w:rsidRPr="00A774FC">
                    <w:rPr>
                      <w:rFonts w:ascii="Times New Roman" w:eastAsia="Times New Roman" w:hAnsi="Times New Roman"/>
                      <w:lang w:eastAsia="lv-LV"/>
                    </w:rPr>
                    <w:t>Būvmateriāli</w:t>
                  </w:r>
                </w:p>
              </w:tc>
            </w:tr>
          </w:tbl>
          <w:p w:rsidR="00791856" w:rsidRPr="00A774FC" w:rsidRDefault="00791856" w:rsidP="00A662AE">
            <w:pPr>
              <w:spacing w:after="0" w:line="240" w:lineRule="auto"/>
              <w:jc w:val="both"/>
              <w:rPr>
                <w:rFonts w:ascii="Times New Roman" w:hAnsi="Times New Roman"/>
              </w:rPr>
            </w:pPr>
          </w:p>
        </w:tc>
        <w:tc>
          <w:tcPr>
            <w:tcW w:w="2977" w:type="dxa"/>
            <w:shd w:val="clear" w:color="auto" w:fill="auto"/>
          </w:tcPr>
          <w:p w:rsidR="00791856" w:rsidRPr="00A774FC" w:rsidRDefault="00791856" w:rsidP="00A662AE">
            <w:pPr>
              <w:spacing w:after="0" w:line="240" w:lineRule="auto"/>
              <w:jc w:val="center"/>
              <w:rPr>
                <w:rFonts w:ascii="Times New Roman" w:hAnsi="Times New Roman"/>
              </w:rPr>
            </w:pPr>
          </w:p>
        </w:tc>
        <w:tc>
          <w:tcPr>
            <w:tcW w:w="2693" w:type="dxa"/>
            <w:shd w:val="clear" w:color="auto" w:fill="auto"/>
          </w:tcPr>
          <w:p w:rsidR="00791856" w:rsidRPr="00A774FC" w:rsidRDefault="00791856" w:rsidP="00A662AE">
            <w:pPr>
              <w:spacing w:after="0" w:line="240" w:lineRule="auto"/>
              <w:jc w:val="center"/>
              <w:rPr>
                <w:rFonts w:ascii="Times New Roman" w:hAnsi="Times New Roman"/>
              </w:rPr>
            </w:pPr>
          </w:p>
        </w:tc>
        <w:tc>
          <w:tcPr>
            <w:tcW w:w="1843" w:type="dxa"/>
            <w:shd w:val="clear" w:color="auto" w:fill="auto"/>
          </w:tcPr>
          <w:p w:rsidR="00791856" w:rsidRPr="00A774FC" w:rsidRDefault="00373A20" w:rsidP="00A662AE">
            <w:pPr>
              <w:spacing w:after="0" w:line="240" w:lineRule="auto"/>
              <w:rPr>
                <w:rFonts w:ascii="Times New Roman" w:hAnsi="Times New Roman"/>
              </w:rPr>
            </w:pPr>
            <w:r w:rsidRPr="00A774FC">
              <w:rPr>
                <w:rFonts w:ascii="Times New Roman" w:hAnsi="Times New Roman"/>
              </w:rPr>
              <w:t>Cenu informācijai-pārskats 1-bc, no 2012.gada:</w:t>
            </w:r>
            <w:r w:rsidR="00AF3CAF" w:rsidRPr="00A774FC">
              <w:rPr>
                <w:rFonts w:ascii="Times New Roman" w:hAnsi="Times New Roman"/>
              </w:rPr>
              <w:t xml:space="preserve"> arī 1-rc un 1-ic, pavisam 8</w:t>
            </w:r>
            <w:r w:rsidR="003244D2" w:rsidRPr="00A774FC">
              <w:rPr>
                <w:rFonts w:ascii="Times New Roman" w:hAnsi="Times New Roman"/>
              </w:rPr>
              <w:t>3</w:t>
            </w:r>
            <w:r w:rsidR="00AF3CAF" w:rsidRPr="00A774FC">
              <w:rPr>
                <w:rFonts w:ascii="Times New Roman" w:hAnsi="Times New Roman"/>
              </w:rPr>
              <w:t xml:space="preserve"> pozīcijas. </w:t>
            </w:r>
          </w:p>
        </w:tc>
        <w:tc>
          <w:tcPr>
            <w:tcW w:w="1703" w:type="dxa"/>
            <w:shd w:val="clear" w:color="auto" w:fill="auto"/>
          </w:tcPr>
          <w:p w:rsidR="00791856" w:rsidRPr="00A774FC" w:rsidRDefault="00791856" w:rsidP="00A662AE">
            <w:pPr>
              <w:spacing w:after="0" w:line="240" w:lineRule="auto"/>
              <w:jc w:val="center"/>
              <w:rPr>
                <w:rFonts w:ascii="Times New Roman" w:hAnsi="Times New Roman"/>
              </w:rPr>
            </w:pPr>
          </w:p>
        </w:tc>
        <w:tc>
          <w:tcPr>
            <w:tcW w:w="2550" w:type="dxa"/>
            <w:shd w:val="clear" w:color="auto" w:fill="auto"/>
          </w:tcPr>
          <w:p w:rsidR="00791856" w:rsidRPr="00A774FC" w:rsidRDefault="00791856" w:rsidP="00A662AE">
            <w:pPr>
              <w:spacing w:after="0" w:line="240" w:lineRule="auto"/>
              <w:jc w:val="center"/>
              <w:rPr>
                <w:rFonts w:ascii="Times New Roman" w:hAnsi="Times New Roman"/>
              </w:rPr>
            </w:pPr>
          </w:p>
        </w:tc>
      </w:tr>
      <w:tr w:rsidR="00B93665" w:rsidRPr="00A774FC" w:rsidTr="00D11D6D">
        <w:trPr>
          <w:trHeight w:val="1122"/>
        </w:trPr>
        <w:tc>
          <w:tcPr>
            <w:tcW w:w="2376" w:type="dxa"/>
            <w:shd w:val="clear" w:color="auto" w:fill="auto"/>
          </w:tcPr>
          <w:p w:rsidR="00E766D4" w:rsidRPr="00A774FC" w:rsidRDefault="00E766D4" w:rsidP="00A662AE">
            <w:pPr>
              <w:pStyle w:val="ListParagraph"/>
              <w:numPr>
                <w:ilvl w:val="0"/>
                <w:numId w:val="4"/>
              </w:numPr>
              <w:spacing w:after="0" w:line="240" w:lineRule="auto"/>
              <w:ind w:left="318" w:hanging="284"/>
              <w:rPr>
                <w:rFonts w:ascii="Times New Roman" w:eastAsia="Times New Roman" w:hAnsi="Times New Roman"/>
                <w:lang w:eastAsia="lv-LV"/>
              </w:rPr>
            </w:pPr>
            <w:r w:rsidRPr="00A774FC">
              <w:rPr>
                <w:rFonts w:ascii="Times New Roman" w:eastAsia="Times New Roman" w:hAnsi="Times New Roman"/>
                <w:lang w:eastAsia="lv-LV"/>
              </w:rPr>
              <w:t>Strādnieku darba samaksa</w:t>
            </w:r>
          </w:p>
        </w:tc>
        <w:tc>
          <w:tcPr>
            <w:tcW w:w="2977" w:type="dxa"/>
            <w:shd w:val="clear" w:color="auto" w:fill="auto"/>
          </w:tcPr>
          <w:p w:rsidR="00E766D4" w:rsidRPr="00A774FC" w:rsidRDefault="00E766D4" w:rsidP="00A662AE">
            <w:pPr>
              <w:spacing w:after="0" w:line="240" w:lineRule="auto"/>
              <w:jc w:val="center"/>
              <w:rPr>
                <w:rFonts w:ascii="Times New Roman" w:hAnsi="Times New Roman"/>
              </w:rPr>
            </w:pPr>
          </w:p>
        </w:tc>
        <w:tc>
          <w:tcPr>
            <w:tcW w:w="2693" w:type="dxa"/>
            <w:shd w:val="clear" w:color="auto" w:fill="auto"/>
          </w:tcPr>
          <w:p w:rsidR="00E766D4" w:rsidRPr="00A774FC" w:rsidRDefault="00E766D4" w:rsidP="00A662AE">
            <w:pPr>
              <w:spacing w:after="0" w:line="240" w:lineRule="auto"/>
              <w:jc w:val="center"/>
              <w:rPr>
                <w:rFonts w:ascii="Times New Roman" w:hAnsi="Times New Roman"/>
              </w:rPr>
            </w:pPr>
          </w:p>
        </w:tc>
        <w:tc>
          <w:tcPr>
            <w:tcW w:w="1843" w:type="dxa"/>
            <w:shd w:val="clear" w:color="auto" w:fill="auto"/>
          </w:tcPr>
          <w:p w:rsidR="00E766D4" w:rsidRPr="00A774FC" w:rsidRDefault="00B6473A" w:rsidP="00A662AE">
            <w:pPr>
              <w:spacing w:after="0" w:line="240" w:lineRule="auto"/>
              <w:rPr>
                <w:rFonts w:ascii="Times New Roman" w:hAnsi="Times New Roman"/>
              </w:rPr>
            </w:pPr>
            <w:r w:rsidRPr="00A774FC">
              <w:rPr>
                <w:rFonts w:ascii="Times New Roman" w:hAnsi="Times New Roman"/>
              </w:rPr>
              <w:t>Pārskats 1-bc</w:t>
            </w:r>
            <w:r w:rsidR="008713D9" w:rsidRPr="00A774FC">
              <w:rPr>
                <w:rFonts w:ascii="Times New Roman" w:hAnsi="Times New Roman"/>
              </w:rPr>
              <w:t xml:space="preserve"> (</w:t>
            </w:r>
            <w:r w:rsidRPr="00A774FC">
              <w:rPr>
                <w:rFonts w:ascii="Times New Roman" w:hAnsi="Times New Roman"/>
              </w:rPr>
              <w:t>vidējā strādnieku darba samaksa uzņēmumā; no 2012.gada</w:t>
            </w:r>
            <w:r w:rsidR="00C05BC3" w:rsidRPr="00A774FC">
              <w:rPr>
                <w:rFonts w:ascii="Times New Roman" w:hAnsi="Times New Roman"/>
              </w:rPr>
              <w:t xml:space="preserve"> </w:t>
            </w:r>
            <w:r w:rsidR="00AF3CAF" w:rsidRPr="00A774FC">
              <w:rPr>
                <w:rFonts w:ascii="Times New Roman" w:hAnsi="Times New Roman"/>
              </w:rPr>
              <w:t>–</w:t>
            </w:r>
            <w:r w:rsidRPr="00A774FC">
              <w:rPr>
                <w:rFonts w:ascii="Times New Roman" w:hAnsi="Times New Roman"/>
              </w:rPr>
              <w:t xml:space="preserve"> </w:t>
            </w:r>
            <w:r w:rsidR="00AF3CAF" w:rsidRPr="00A774FC">
              <w:rPr>
                <w:rFonts w:ascii="Times New Roman" w:hAnsi="Times New Roman"/>
              </w:rPr>
              <w:t>atsevišķi par 10</w:t>
            </w:r>
            <w:r w:rsidR="00C05BC3" w:rsidRPr="00A774FC">
              <w:rPr>
                <w:rFonts w:ascii="Times New Roman" w:hAnsi="Times New Roman"/>
              </w:rPr>
              <w:t xml:space="preserve"> galvenajām profesijām</w:t>
            </w:r>
            <w:r w:rsidR="008713D9" w:rsidRPr="00A774FC">
              <w:rPr>
                <w:rFonts w:ascii="Times New Roman" w:hAnsi="Times New Roman"/>
              </w:rPr>
              <w:t>)</w:t>
            </w:r>
            <w:r w:rsidR="00C05BC3" w:rsidRPr="00A774FC">
              <w:rPr>
                <w:rFonts w:ascii="Times New Roman" w:hAnsi="Times New Roman"/>
              </w:rPr>
              <w:t>.</w:t>
            </w:r>
          </w:p>
        </w:tc>
        <w:tc>
          <w:tcPr>
            <w:tcW w:w="1703" w:type="dxa"/>
            <w:shd w:val="clear" w:color="auto" w:fill="auto"/>
          </w:tcPr>
          <w:p w:rsidR="00E766D4" w:rsidRPr="00A774FC" w:rsidRDefault="00E766D4" w:rsidP="00A662AE">
            <w:pPr>
              <w:spacing w:after="0" w:line="240" w:lineRule="auto"/>
              <w:jc w:val="center"/>
              <w:rPr>
                <w:rFonts w:ascii="Times New Roman" w:hAnsi="Times New Roman"/>
              </w:rPr>
            </w:pPr>
          </w:p>
        </w:tc>
        <w:tc>
          <w:tcPr>
            <w:tcW w:w="2550" w:type="dxa"/>
            <w:shd w:val="clear" w:color="auto" w:fill="auto"/>
          </w:tcPr>
          <w:p w:rsidR="00E766D4" w:rsidRPr="00A774FC" w:rsidRDefault="00E766D4" w:rsidP="00A662AE">
            <w:pPr>
              <w:spacing w:after="0" w:line="240" w:lineRule="auto"/>
              <w:jc w:val="center"/>
              <w:rPr>
                <w:rFonts w:ascii="Times New Roman" w:hAnsi="Times New Roman"/>
              </w:rPr>
            </w:pPr>
          </w:p>
        </w:tc>
      </w:tr>
      <w:tr w:rsidR="00B93665" w:rsidRPr="00A774FC" w:rsidTr="00D11D6D">
        <w:trPr>
          <w:trHeight w:val="1110"/>
        </w:trPr>
        <w:tc>
          <w:tcPr>
            <w:tcW w:w="2376" w:type="dxa"/>
            <w:shd w:val="clear" w:color="auto" w:fill="auto"/>
          </w:tcPr>
          <w:p w:rsidR="00E766D4" w:rsidRPr="00A774FC" w:rsidRDefault="00373A20" w:rsidP="00A662AE">
            <w:pPr>
              <w:pStyle w:val="ListParagraph"/>
              <w:numPr>
                <w:ilvl w:val="0"/>
                <w:numId w:val="4"/>
              </w:numPr>
              <w:spacing w:after="0" w:line="240" w:lineRule="auto"/>
              <w:ind w:left="318" w:hanging="284"/>
              <w:rPr>
                <w:rFonts w:ascii="Times New Roman" w:eastAsia="Times New Roman" w:hAnsi="Times New Roman"/>
                <w:lang w:eastAsia="lv-LV"/>
              </w:rPr>
            </w:pPr>
            <w:r w:rsidRPr="00A774FC">
              <w:rPr>
                <w:rFonts w:ascii="Times New Roman" w:eastAsia="Times New Roman" w:hAnsi="Times New Roman"/>
                <w:lang w:eastAsia="lv-LV"/>
              </w:rPr>
              <w:t>Izmaksas mašīnu un mehānismu uzturēšanai un ekspluatācijai</w:t>
            </w:r>
          </w:p>
        </w:tc>
        <w:tc>
          <w:tcPr>
            <w:tcW w:w="2977" w:type="dxa"/>
            <w:shd w:val="clear" w:color="auto" w:fill="auto"/>
          </w:tcPr>
          <w:p w:rsidR="00E766D4" w:rsidRPr="00A774FC" w:rsidRDefault="00E766D4" w:rsidP="00A662AE">
            <w:pPr>
              <w:spacing w:after="0" w:line="240" w:lineRule="auto"/>
              <w:jc w:val="center"/>
              <w:rPr>
                <w:rFonts w:ascii="Times New Roman" w:hAnsi="Times New Roman"/>
              </w:rPr>
            </w:pPr>
          </w:p>
        </w:tc>
        <w:tc>
          <w:tcPr>
            <w:tcW w:w="2693" w:type="dxa"/>
            <w:shd w:val="clear" w:color="auto" w:fill="auto"/>
          </w:tcPr>
          <w:p w:rsidR="00E766D4" w:rsidRPr="00A774FC" w:rsidRDefault="00E766D4" w:rsidP="00A662AE">
            <w:pPr>
              <w:spacing w:after="0" w:line="240" w:lineRule="auto"/>
              <w:jc w:val="center"/>
              <w:rPr>
                <w:rFonts w:ascii="Times New Roman" w:hAnsi="Times New Roman"/>
              </w:rPr>
            </w:pPr>
          </w:p>
        </w:tc>
        <w:tc>
          <w:tcPr>
            <w:tcW w:w="1843" w:type="dxa"/>
            <w:shd w:val="clear" w:color="auto" w:fill="auto"/>
          </w:tcPr>
          <w:p w:rsidR="00E766D4" w:rsidRPr="00A774FC" w:rsidRDefault="008713D9" w:rsidP="00A662AE">
            <w:pPr>
              <w:spacing w:after="0" w:line="240" w:lineRule="auto"/>
              <w:rPr>
                <w:rFonts w:ascii="Times New Roman" w:hAnsi="Times New Roman"/>
              </w:rPr>
            </w:pPr>
            <w:r w:rsidRPr="00A774FC">
              <w:rPr>
                <w:rFonts w:ascii="Times New Roman" w:hAnsi="Times New Roman"/>
              </w:rPr>
              <w:t>Pārskats 1-bc</w:t>
            </w:r>
            <w:r w:rsidR="00AF3CAF" w:rsidRPr="00A774FC">
              <w:rPr>
                <w:rFonts w:ascii="Times New Roman" w:hAnsi="Times New Roman"/>
              </w:rPr>
              <w:t>, aptver 13 pozīcijas</w:t>
            </w:r>
          </w:p>
        </w:tc>
        <w:tc>
          <w:tcPr>
            <w:tcW w:w="1703" w:type="dxa"/>
            <w:shd w:val="clear" w:color="auto" w:fill="auto"/>
          </w:tcPr>
          <w:p w:rsidR="00E766D4" w:rsidRPr="00A774FC" w:rsidRDefault="00E766D4" w:rsidP="00A662AE">
            <w:pPr>
              <w:spacing w:after="0" w:line="240" w:lineRule="auto"/>
              <w:jc w:val="center"/>
              <w:rPr>
                <w:rFonts w:ascii="Times New Roman" w:hAnsi="Times New Roman"/>
              </w:rPr>
            </w:pPr>
          </w:p>
        </w:tc>
        <w:tc>
          <w:tcPr>
            <w:tcW w:w="2550" w:type="dxa"/>
            <w:shd w:val="clear" w:color="auto" w:fill="auto"/>
          </w:tcPr>
          <w:p w:rsidR="00E766D4" w:rsidRPr="00A774FC" w:rsidRDefault="00E766D4" w:rsidP="00A662AE">
            <w:pPr>
              <w:spacing w:after="0" w:line="240" w:lineRule="auto"/>
              <w:jc w:val="center"/>
              <w:rPr>
                <w:rFonts w:ascii="Times New Roman" w:hAnsi="Times New Roman"/>
              </w:rPr>
            </w:pPr>
          </w:p>
        </w:tc>
      </w:tr>
    </w:tbl>
    <w:p w:rsidR="00A774FC" w:rsidRPr="00A774FC" w:rsidRDefault="00373A20" w:rsidP="00D11D6D">
      <w:pPr>
        <w:pStyle w:val="ListParagraph"/>
        <w:numPr>
          <w:ilvl w:val="0"/>
          <w:numId w:val="10"/>
        </w:numPr>
        <w:spacing w:before="120" w:after="120" w:line="240" w:lineRule="auto"/>
        <w:jc w:val="center"/>
        <w:rPr>
          <w:rFonts w:ascii="Times New Roman" w:hAnsi="Times New Roman"/>
          <w:b/>
          <w:sz w:val="24"/>
          <w:szCs w:val="24"/>
        </w:rPr>
      </w:pPr>
      <w:proofErr w:type="spellStart"/>
      <w:r w:rsidRPr="00A774FC">
        <w:rPr>
          <w:rFonts w:ascii="Times New Roman" w:hAnsi="Times New Roman"/>
          <w:u w:val="single"/>
        </w:rPr>
        <w:t>Būvmodeļu</w:t>
      </w:r>
      <w:proofErr w:type="spellEnd"/>
      <w:r w:rsidRPr="00A774FC">
        <w:rPr>
          <w:rFonts w:ascii="Times New Roman" w:hAnsi="Times New Roman"/>
          <w:u w:val="single"/>
        </w:rPr>
        <w:t xml:space="preserve"> grup</w:t>
      </w:r>
      <w:r w:rsidR="0039018A" w:rsidRPr="00A774FC">
        <w:rPr>
          <w:rFonts w:ascii="Times New Roman" w:hAnsi="Times New Roman"/>
          <w:u w:val="single"/>
        </w:rPr>
        <w:t>a</w:t>
      </w:r>
      <w:r w:rsidRPr="00A774FC">
        <w:rPr>
          <w:rFonts w:ascii="Times New Roman" w:hAnsi="Times New Roman"/>
          <w:u w:val="single"/>
        </w:rPr>
        <w:t>s:</w:t>
      </w:r>
      <w:r w:rsidR="00A774FC" w:rsidRPr="00A774FC">
        <w:rPr>
          <w:rFonts w:ascii="Times New Roman" w:hAnsi="Times New Roman"/>
          <w:b/>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977"/>
        <w:gridCol w:w="2715"/>
        <w:gridCol w:w="1864"/>
        <w:gridCol w:w="1660"/>
        <w:gridCol w:w="2550"/>
      </w:tblGrid>
      <w:tr w:rsidR="00B93665" w:rsidRPr="00A774FC" w:rsidTr="00B93665">
        <w:trPr>
          <w:trHeight w:val="278"/>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93665" w:rsidRPr="00A774FC" w:rsidRDefault="00B93665" w:rsidP="00B93665">
            <w:pPr>
              <w:spacing w:after="0" w:line="240" w:lineRule="auto"/>
              <w:jc w:val="center"/>
              <w:rPr>
                <w:rFonts w:ascii="Times New Roman" w:hAnsi="Times New Roman"/>
                <w:b/>
              </w:rPr>
            </w:pPr>
            <w:r w:rsidRPr="00A774FC">
              <w:rPr>
                <w:rFonts w:ascii="Times New Roman" w:hAnsi="Times New Roman"/>
                <w:b/>
              </w:rPr>
              <w:t>Nosaukums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93665" w:rsidRPr="00A774FC" w:rsidRDefault="00B93665" w:rsidP="00B93665">
            <w:pPr>
              <w:spacing w:after="0" w:line="240" w:lineRule="auto"/>
              <w:jc w:val="center"/>
              <w:rPr>
                <w:rFonts w:ascii="Times New Roman" w:hAnsi="Times New Roman"/>
                <w:b/>
              </w:rPr>
            </w:pPr>
            <w:r w:rsidRPr="00A774FC">
              <w:rPr>
                <w:rFonts w:ascii="Times New Roman" w:hAnsi="Times New Roman"/>
                <w:b/>
              </w:rPr>
              <w:t>Definīcija un mērķis</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B93665" w:rsidRPr="00A774FC" w:rsidRDefault="00B93665" w:rsidP="00B93665">
            <w:pPr>
              <w:spacing w:after="0" w:line="240" w:lineRule="auto"/>
              <w:jc w:val="center"/>
              <w:rPr>
                <w:rFonts w:ascii="Times New Roman" w:hAnsi="Times New Roman"/>
                <w:b/>
              </w:rPr>
            </w:pPr>
            <w:r w:rsidRPr="00A774FC">
              <w:rPr>
                <w:rFonts w:ascii="Times New Roman" w:hAnsi="Times New Roman"/>
                <w:b/>
              </w:rPr>
              <w:t>Metodika</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93665" w:rsidRPr="00A774FC" w:rsidRDefault="00B93665" w:rsidP="00B93665">
            <w:pPr>
              <w:spacing w:after="0" w:line="240" w:lineRule="auto"/>
              <w:jc w:val="center"/>
              <w:rPr>
                <w:rFonts w:ascii="Times New Roman" w:hAnsi="Times New Roman"/>
                <w:b/>
              </w:rPr>
            </w:pPr>
            <w:r w:rsidRPr="00A774FC">
              <w:rPr>
                <w:rFonts w:ascii="Times New Roman" w:hAnsi="Times New Roman"/>
                <w:b/>
              </w:rPr>
              <w:t>Datu avots</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B93665" w:rsidRPr="00A774FC" w:rsidRDefault="00B93665" w:rsidP="00B93665">
            <w:pPr>
              <w:spacing w:after="0" w:line="240" w:lineRule="auto"/>
              <w:jc w:val="center"/>
              <w:rPr>
                <w:rFonts w:ascii="Times New Roman" w:hAnsi="Times New Roman"/>
                <w:b/>
              </w:rPr>
            </w:pPr>
            <w:r w:rsidRPr="00A774FC">
              <w:rPr>
                <w:rFonts w:ascii="Times New Roman" w:hAnsi="Times New Roman"/>
                <w:b/>
              </w:rPr>
              <w:t>Periodiskums</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93665" w:rsidRPr="00A774FC" w:rsidRDefault="00B93665" w:rsidP="00B93665">
            <w:pPr>
              <w:spacing w:after="0" w:line="240" w:lineRule="auto"/>
              <w:jc w:val="center"/>
              <w:rPr>
                <w:rFonts w:ascii="Times New Roman" w:hAnsi="Times New Roman"/>
                <w:b/>
              </w:rPr>
            </w:pPr>
            <w:r w:rsidRPr="00A774FC">
              <w:rPr>
                <w:rFonts w:ascii="Times New Roman" w:hAnsi="Times New Roman"/>
                <w:b/>
              </w:rPr>
              <w:t>Piezīmes</w:t>
            </w:r>
          </w:p>
        </w:tc>
      </w:tr>
      <w:tr w:rsidR="00B93665" w:rsidRPr="00A774FC" w:rsidTr="00A662AE">
        <w:trPr>
          <w:trHeight w:val="2932"/>
        </w:trPr>
        <w:tc>
          <w:tcPr>
            <w:tcW w:w="2376" w:type="dxa"/>
            <w:shd w:val="clear" w:color="auto" w:fill="auto"/>
          </w:tcPr>
          <w:tbl>
            <w:tblPr>
              <w:tblW w:w="5000" w:type="pct"/>
              <w:tblLayout w:type="fixed"/>
              <w:tblLook w:val="04A0"/>
            </w:tblPr>
            <w:tblGrid>
              <w:gridCol w:w="2160"/>
            </w:tblGrid>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lastRenderedPageBreak/>
                    <w:t>Daudzdzīvokļu dzīvojamās ēkas</w:t>
                  </w:r>
                </w:p>
              </w:tc>
            </w:tr>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Ģimenes mājas</w:t>
                  </w:r>
                </w:p>
              </w:tc>
            </w:tr>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Viesnīcas</w:t>
                  </w:r>
                </w:p>
              </w:tc>
            </w:tr>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Biroji</w:t>
                  </w:r>
                </w:p>
              </w:tc>
            </w:tr>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Rūpniecības, lauksaimniecības un tirdzniecības ēkas</w:t>
                  </w:r>
                </w:p>
              </w:tc>
            </w:tr>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Izglītības, veselības aprūpes un sporta ēkas</w:t>
                  </w:r>
                </w:p>
              </w:tc>
            </w:tr>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Transporta objekti (tilts, ceļš)</w:t>
                  </w:r>
                </w:p>
              </w:tc>
            </w:tr>
            <w:tr w:rsidR="00373A20" w:rsidRPr="00A774FC" w:rsidTr="008713D9">
              <w:trPr>
                <w:trHeight w:val="255"/>
              </w:trPr>
              <w:tc>
                <w:tcPr>
                  <w:tcW w:w="5000" w:type="pct"/>
                  <w:tcBorders>
                    <w:top w:val="nil"/>
                    <w:left w:val="nil"/>
                    <w:bottom w:val="nil"/>
                    <w:right w:val="nil"/>
                  </w:tcBorders>
                  <w:shd w:val="clear" w:color="auto" w:fill="auto"/>
                  <w:noWrap/>
                  <w:vAlign w:val="bottom"/>
                  <w:hideMark/>
                </w:tcPr>
                <w:p w:rsidR="00373A20" w:rsidRPr="00A774FC" w:rsidRDefault="00373A20" w:rsidP="008713D9">
                  <w:pPr>
                    <w:pStyle w:val="ListParagraph"/>
                    <w:numPr>
                      <w:ilvl w:val="0"/>
                      <w:numId w:val="6"/>
                    </w:num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Pazemes maģistrālie cauruļvadi</w:t>
                  </w:r>
                </w:p>
              </w:tc>
            </w:tr>
          </w:tbl>
          <w:p w:rsidR="00373A20" w:rsidRPr="00A774FC" w:rsidRDefault="00373A20" w:rsidP="00A662AE">
            <w:pPr>
              <w:spacing w:after="0" w:line="240" w:lineRule="auto"/>
              <w:ind w:left="34"/>
              <w:rPr>
                <w:rFonts w:ascii="Times New Roman" w:eastAsia="Times New Roman" w:hAnsi="Times New Roman"/>
                <w:lang w:eastAsia="lv-LV"/>
              </w:rPr>
            </w:pPr>
          </w:p>
        </w:tc>
        <w:tc>
          <w:tcPr>
            <w:tcW w:w="2977" w:type="dxa"/>
            <w:shd w:val="clear" w:color="auto" w:fill="auto"/>
          </w:tcPr>
          <w:p w:rsidR="00373A20" w:rsidRPr="00A774FC" w:rsidRDefault="00373A20" w:rsidP="00A662AE">
            <w:pPr>
              <w:spacing w:after="0" w:line="240" w:lineRule="auto"/>
              <w:jc w:val="center"/>
              <w:rPr>
                <w:rFonts w:ascii="Times New Roman" w:hAnsi="Times New Roman"/>
              </w:rPr>
            </w:pPr>
          </w:p>
        </w:tc>
        <w:tc>
          <w:tcPr>
            <w:tcW w:w="2715" w:type="dxa"/>
            <w:shd w:val="clear" w:color="auto" w:fill="auto"/>
          </w:tcPr>
          <w:p w:rsidR="00373A20" w:rsidRPr="00A774FC" w:rsidRDefault="008556CD" w:rsidP="00A662AE">
            <w:pPr>
              <w:spacing w:after="0" w:line="240" w:lineRule="auto"/>
              <w:rPr>
                <w:rFonts w:ascii="Times New Roman" w:hAnsi="Times New Roman"/>
              </w:rPr>
            </w:pPr>
            <w:r w:rsidRPr="00A774FC">
              <w:rPr>
                <w:rFonts w:ascii="Times New Roman" w:hAnsi="Times New Roman"/>
              </w:rPr>
              <w:t xml:space="preserve">Valstī populārākajiem </w:t>
            </w:r>
            <w:proofErr w:type="spellStart"/>
            <w:r w:rsidRPr="00A774FC">
              <w:rPr>
                <w:rFonts w:ascii="Times New Roman" w:hAnsi="Times New Roman"/>
              </w:rPr>
              <w:t>bûvniecības</w:t>
            </w:r>
            <w:proofErr w:type="spellEnd"/>
            <w:r w:rsidRPr="00A774FC">
              <w:rPr>
                <w:rFonts w:ascii="Times New Roman" w:hAnsi="Times New Roman"/>
              </w:rPr>
              <w:t xml:space="preserve"> veidiem ir izveidoti raksturīgi, reprezentatīvi būvobjektu projekti (modeļi), ko sagatavojuši profesionāli tāmētāji. </w:t>
            </w:r>
            <w:r w:rsidR="002F21BE" w:rsidRPr="00A774FC">
              <w:rPr>
                <w:rFonts w:ascii="Times New Roman" w:hAnsi="Times New Roman"/>
              </w:rPr>
              <w:t xml:space="preserve">Pašreiz unificēto modeļu sistēma aptver 16 </w:t>
            </w:r>
            <w:proofErr w:type="spellStart"/>
            <w:r w:rsidR="002F21BE" w:rsidRPr="00A774FC">
              <w:rPr>
                <w:rFonts w:ascii="Times New Roman" w:hAnsi="Times New Roman"/>
              </w:rPr>
              <w:t>būvmodeļus</w:t>
            </w:r>
            <w:proofErr w:type="spellEnd"/>
            <w:r w:rsidR="002F21BE" w:rsidRPr="00A774FC">
              <w:rPr>
                <w:rFonts w:ascii="Times New Roman" w:hAnsi="Times New Roman"/>
              </w:rPr>
              <w:t>, kas sagrupēti astoņās grupās.</w:t>
            </w:r>
            <w:r w:rsidR="00AF554C" w:rsidRPr="00A774FC">
              <w:rPr>
                <w:rFonts w:ascii="Times New Roman" w:hAnsi="Times New Roman"/>
              </w:rPr>
              <w:t xml:space="preserve"> BII un modeļu svari ir publicēti CSP datu bāzēs.</w:t>
            </w:r>
          </w:p>
        </w:tc>
        <w:tc>
          <w:tcPr>
            <w:tcW w:w="1864" w:type="dxa"/>
            <w:shd w:val="clear" w:color="auto" w:fill="auto"/>
          </w:tcPr>
          <w:p w:rsidR="00373A20" w:rsidRPr="00A774FC" w:rsidRDefault="00373A20" w:rsidP="00A662AE">
            <w:pPr>
              <w:spacing w:after="0" w:line="240" w:lineRule="auto"/>
              <w:jc w:val="center"/>
              <w:rPr>
                <w:rFonts w:ascii="Times New Roman" w:hAnsi="Times New Roman"/>
              </w:rPr>
            </w:pPr>
          </w:p>
        </w:tc>
        <w:tc>
          <w:tcPr>
            <w:tcW w:w="1660" w:type="dxa"/>
            <w:shd w:val="clear" w:color="auto" w:fill="auto"/>
          </w:tcPr>
          <w:p w:rsidR="00373A20" w:rsidRPr="00A774FC" w:rsidRDefault="00373A20" w:rsidP="00A662AE">
            <w:pPr>
              <w:spacing w:after="0" w:line="240" w:lineRule="auto"/>
              <w:jc w:val="center"/>
              <w:rPr>
                <w:rFonts w:ascii="Times New Roman" w:hAnsi="Times New Roman"/>
              </w:rPr>
            </w:pPr>
          </w:p>
        </w:tc>
        <w:tc>
          <w:tcPr>
            <w:tcW w:w="2550" w:type="dxa"/>
            <w:shd w:val="clear" w:color="auto" w:fill="auto"/>
          </w:tcPr>
          <w:p w:rsidR="00373A20" w:rsidRPr="00A774FC" w:rsidRDefault="00373A20" w:rsidP="00A662AE">
            <w:pPr>
              <w:spacing w:after="0" w:line="240" w:lineRule="auto"/>
              <w:jc w:val="center"/>
              <w:rPr>
                <w:rFonts w:ascii="Times New Roman" w:hAnsi="Times New Roman"/>
              </w:rPr>
            </w:pPr>
          </w:p>
        </w:tc>
      </w:tr>
      <w:tr w:rsidR="00B93665" w:rsidRPr="00A774FC" w:rsidTr="00A662AE">
        <w:tc>
          <w:tcPr>
            <w:tcW w:w="2376" w:type="dxa"/>
            <w:shd w:val="clear" w:color="auto" w:fill="auto"/>
          </w:tcPr>
          <w:p w:rsidR="00FB2D9D" w:rsidRPr="00A774FC" w:rsidRDefault="00CC1217" w:rsidP="00A774FC">
            <w:pPr>
              <w:spacing w:after="0" w:line="240" w:lineRule="auto"/>
              <w:rPr>
                <w:rFonts w:ascii="Times New Roman" w:hAnsi="Times New Roman"/>
              </w:rPr>
            </w:pPr>
            <w:proofErr w:type="spellStart"/>
            <w:r w:rsidRPr="00A774FC">
              <w:rPr>
                <w:rFonts w:ascii="Times New Roman" w:hAnsi="Times New Roman"/>
              </w:rPr>
              <w:t>Būvizmaksu</w:t>
            </w:r>
            <w:proofErr w:type="spellEnd"/>
            <w:r w:rsidRPr="00A774FC">
              <w:rPr>
                <w:rFonts w:ascii="Times New Roman" w:hAnsi="Times New Roman"/>
              </w:rPr>
              <w:t xml:space="preserve"> indekss par jaunu dzīvojamo māju būvniecību</w:t>
            </w:r>
            <w:r w:rsidR="0039018A" w:rsidRPr="00A774FC">
              <w:rPr>
                <w:rFonts w:ascii="Times New Roman" w:hAnsi="Times New Roman"/>
              </w:rPr>
              <w:t xml:space="preserve"> atbils</w:t>
            </w:r>
            <w:r w:rsidRPr="00A774FC">
              <w:rPr>
                <w:rFonts w:ascii="Times New Roman" w:hAnsi="Times New Roman"/>
              </w:rPr>
              <w:t xml:space="preserve">toši </w:t>
            </w:r>
            <w:r w:rsidR="003E70F7" w:rsidRPr="00A774FC">
              <w:rPr>
                <w:rFonts w:ascii="Times New Roman" w:hAnsi="Times New Roman"/>
              </w:rPr>
              <w:t xml:space="preserve">ES </w:t>
            </w:r>
            <w:r w:rsidRPr="00A774FC">
              <w:rPr>
                <w:rFonts w:ascii="Times New Roman" w:hAnsi="Times New Roman"/>
              </w:rPr>
              <w:t>īstermiņa statistikas regulas  Nr. 1165/98 prasībām</w:t>
            </w:r>
          </w:p>
        </w:tc>
        <w:tc>
          <w:tcPr>
            <w:tcW w:w="2977" w:type="dxa"/>
            <w:shd w:val="clear" w:color="auto" w:fill="auto"/>
          </w:tcPr>
          <w:p w:rsidR="008556CD" w:rsidRPr="00A774FC" w:rsidRDefault="002417A7" w:rsidP="00A774FC">
            <w:pPr>
              <w:spacing w:after="120" w:line="240" w:lineRule="auto"/>
              <w:rPr>
                <w:rFonts w:ascii="Times New Roman" w:hAnsi="Times New Roman"/>
              </w:rPr>
            </w:pPr>
            <w:r w:rsidRPr="00A774FC">
              <w:rPr>
                <w:rFonts w:ascii="Times New Roman" w:hAnsi="Times New Roman"/>
              </w:rPr>
              <w:t xml:space="preserve">Mērķis </w:t>
            </w:r>
            <w:r w:rsidR="00861F68" w:rsidRPr="00A774FC">
              <w:rPr>
                <w:rFonts w:ascii="Times New Roman" w:hAnsi="Times New Roman"/>
              </w:rPr>
              <w:t>-</w:t>
            </w:r>
            <w:r w:rsidRPr="00A774FC">
              <w:rPr>
                <w:rFonts w:ascii="Times New Roman" w:hAnsi="Times New Roman"/>
              </w:rPr>
              <w:t xml:space="preserve"> atspoguļot izmaksu dinamiku, kas rodas uzņēmējam būvniecības procesā. </w:t>
            </w:r>
          </w:p>
          <w:p w:rsidR="00861F68" w:rsidRPr="00A774FC" w:rsidRDefault="008556CD" w:rsidP="00A662AE">
            <w:pPr>
              <w:spacing w:before="120" w:after="120" w:line="240" w:lineRule="auto"/>
              <w:rPr>
                <w:rFonts w:ascii="Times New Roman" w:hAnsi="Times New Roman"/>
              </w:rPr>
            </w:pPr>
            <w:r w:rsidRPr="00A774FC">
              <w:rPr>
                <w:rFonts w:ascii="Times New Roman" w:hAnsi="Times New Roman"/>
              </w:rPr>
              <w:t xml:space="preserve">Uz </w:t>
            </w:r>
            <w:proofErr w:type="spellStart"/>
            <w:r w:rsidRPr="00A774FC">
              <w:rPr>
                <w:rFonts w:ascii="Times New Roman" w:hAnsi="Times New Roman"/>
              </w:rPr>
              <w:t>Eurostat</w:t>
            </w:r>
            <w:proofErr w:type="spellEnd"/>
            <w:r w:rsidRPr="00A774FC">
              <w:rPr>
                <w:rFonts w:ascii="Times New Roman" w:hAnsi="Times New Roman"/>
              </w:rPr>
              <w:t xml:space="preserve"> </w:t>
            </w:r>
            <w:r w:rsidR="002417A7" w:rsidRPr="00A774FC">
              <w:rPr>
                <w:rFonts w:ascii="Times New Roman" w:hAnsi="Times New Roman"/>
              </w:rPr>
              <w:t xml:space="preserve"> s</w:t>
            </w:r>
            <w:r w:rsidRPr="00A774FC">
              <w:rPr>
                <w:rFonts w:ascii="Times New Roman" w:hAnsi="Times New Roman"/>
              </w:rPr>
              <w:t xml:space="preserve">ūta </w:t>
            </w:r>
            <w:r w:rsidR="002417A7" w:rsidRPr="00A774FC">
              <w:rPr>
                <w:rFonts w:ascii="Times New Roman" w:hAnsi="Times New Roman"/>
              </w:rPr>
              <w:t xml:space="preserve">3 </w:t>
            </w:r>
            <w:r w:rsidR="00C603BB" w:rsidRPr="00A774FC">
              <w:rPr>
                <w:rFonts w:ascii="Times New Roman" w:hAnsi="Times New Roman"/>
              </w:rPr>
              <w:t>datu sērijas</w:t>
            </w:r>
            <w:r w:rsidR="002417A7" w:rsidRPr="00A774FC">
              <w:rPr>
                <w:rFonts w:ascii="Times New Roman" w:hAnsi="Times New Roman"/>
              </w:rPr>
              <w:t>:</w:t>
            </w:r>
            <w:r w:rsidR="00C603BB" w:rsidRPr="00A774FC">
              <w:rPr>
                <w:rFonts w:ascii="Times New Roman" w:hAnsi="Times New Roman"/>
              </w:rPr>
              <w:t xml:space="preserve"> </w:t>
            </w:r>
          </w:p>
          <w:p w:rsidR="00FB2D9D" w:rsidRPr="00A774FC" w:rsidRDefault="00C603BB" w:rsidP="00A662AE">
            <w:pPr>
              <w:spacing w:before="120" w:after="120" w:line="240" w:lineRule="auto"/>
              <w:rPr>
                <w:rFonts w:ascii="Times New Roman" w:eastAsia="Times New Roman" w:hAnsi="Times New Roman"/>
                <w:lang w:eastAsia="lv-LV"/>
              </w:rPr>
            </w:pPr>
            <w:r w:rsidRPr="00A774FC">
              <w:rPr>
                <w:rFonts w:ascii="Times New Roman" w:hAnsi="Times New Roman"/>
              </w:rPr>
              <w:t>1.Būvizmaksas; 2.Materiālu izmaksas; 3.</w:t>
            </w:r>
            <w:r w:rsidR="002417A7" w:rsidRPr="00A774FC">
              <w:rPr>
                <w:rFonts w:ascii="Times New Roman" w:eastAsia="Times New Roman" w:hAnsi="Times New Roman"/>
                <w:lang w:eastAsia="lv-LV"/>
              </w:rPr>
              <w:t xml:space="preserve"> </w:t>
            </w:r>
            <w:r w:rsidRPr="00A774FC">
              <w:rPr>
                <w:rFonts w:ascii="Times New Roman" w:hAnsi="Times New Roman"/>
              </w:rPr>
              <w:t>Darbaspēka izmaksas.</w:t>
            </w:r>
          </w:p>
        </w:tc>
        <w:tc>
          <w:tcPr>
            <w:tcW w:w="2715" w:type="dxa"/>
            <w:shd w:val="clear" w:color="auto" w:fill="auto"/>
          </w:tcPr>
          <w:p w:rsidR="00FB2D9D" w:rsidRPr="00A774FC" w:rsidRDefault="003244D2" w:rsidP="00A662AE">
            <w:pPr>
              <w:spacing w:after="0" w:line="240" w:lineRule="auto"/>
              <w:rPr>
                <w:rFonts w:ascii="Times New Roman" w:hAnsi="Times New Roman"/>
              </w:rPr>
            </w:pPr>
            <w:r w:rsidRPr="00A774FC">
              <w:rPr>
                <w:rFonts w:ascii="Times New Roman" w:eastAsia="Times New Roman" w:hAnsi="Times New Roman"/>
                <w:lang w:eastAsia="lv-LV"/>
              </w:rPr>
              <w:t xml:space="preserve">Atšķirībā no BII, kur aprēķinos izmanto būvniecībā nodarbināto </w:t>
            </w:r>
            <w:r w:rsidRPr="00A774FC">
              <w:rPr>
                <w:rFonts w:ascii="Times New Roman" w:eastAsia="Times New Roman" w:hAnsi="Times New Roman"/>
                <w:u w:val="single"/>
                <w:lang w:eastAsia="lv-LV"/>
              </w:rPr>
              <w:t>strādnieku</w:t>
            </w:r>
            <w:r w:rsidRPr="00A774FC">
              <w:rPr>
                <w:rFonts w:ascii="Times New Roman" w:eastAsia="Times New Roman" w:hAnsi="Times New Roman"/>
                <w:lang w:eastAsia="lv-LV"/>
              </w:rPr>
              <w:t xml:space="preserve"> bruto darba samaksu, E</w:t>
            </w:r>
            <w:r w:rsidR="00C603BB" w:rsidRPr="00A774FC">
              <w:rPr>
                <w:rFonts w:ascii="Times New Roman" w:eastAsia="Times New Roman" w:hAnsi="Times New Roman"/>
                <w:lang w:eastAsia="lv-LV"/>
              </w:rPr>
              <w:t>S regula</w:t>
            </w:r>
            <w:r w:rsidRPr="00A774FC">
              <w:rPr>
                <w:rFonts w:ascii="Times New Roman" w:eastAsia="Times New Roman" w:hAnsi="Times New Roman"/>
                <w:lang w:eastAsia="lv-LV"/>
              </w:rPr>
              <w:t xml:space="preserve"> </w:t>
            </w:r>
            <w:r w:rsidR="00C603BB" w:rsidRPr="00A774FC">
              <w:rPr>
                <w:rFonts w:ascii="Times New Roman" w:eastAsia="Times New Roman" w:hAnsi="Times New Roman"/>
                <w:lang w:eastAsia="lv-LV"/>
              </w:rPr>
              <w:t>nosaka</w:t>
            </w:r>
            <w:r w:rsidRPr="00A774FC">
              <w:rPr>
                <w:rFonts w:ascii="Times New Roman" w:eastAsia="Times New Roman" w:hAnsi="Times New Roman"/>
                <w:lang w:eastAsia="lv-LV"/>
              </w:rPr>
              <w:t xml:space="preserve"> izmantot </w:t>
            </w:r>
            <w:r w:rsidRPr="00A774FC">
              <w:rPr>
                <w:rFonts w:ascii="Times New Roman" w:eastAsia="Times New Roman" w:hAnsi="Times New Roman"/>
                <w:u w:val="single"/>
                <w:lang w:eastAsia="lv-LV"/>
              </w:rPr>
              <w:t>visu nodarbināt</w:t>
            </w:r>
            <w:r w:rsidRPr="00A774FC">
              <w:rPr>
                <w:rFonts w:ascii="Times New Roman" w:eastAsia="Times New Roman" w:hAnsi="Times New Roman"/>
                <w:lang w:eastAsia="lv-LV"/>
              </w:rPr>
              <w:t>o darbaspēka izmaksas (BII izlasē iekļautajos būvuzņēmumos).</w:t>
            </w:r>
          </w:p>
        </w:tc>
        <w:tc>
          <w:tcPr>
            <w:tcW w:w="1864" w:type="dxa"/>
            <w:shd w:val="clear" w:color="auto" w:fill="auto"/>
          </w:tcPr>
          <w:p w:rsidR="00FB2D9D" w:rsidRPr="00A774FC" w:rsidRDefault="003D7A37" w:rsidP="00A662AE">
            <w:pPr>
              <w:spacing w:after="0" w:line="240" w:lineRule="auto"/>
              <w:rPr>
                <w:rFonts w:ascii="Times New Roman" w:hAnsi="Times New Roman"/>
              </w:rPr>
            </w:pPr>
            <w:r w:rsidRPr="00A774FC">
              <w:rPr>
                <w:rFonts w:ascii="Times New Roman" w:hAnsi="Times New Roman"/>
              </w:rPr>
              <w:t xml:space="preserve">Svariem izmanto dzīvojamo māju </w:t>
            </w:r>
            <w:proofErr w:type="spellStart"/>
            <w:r w:rsidR="00AF554C" w:rsidRPr="00A774FC">
              <w:rPr>
                <w:rFonts w:ascii="Times New Roman" w:hAnsi="Times New Roman"/>
              </w:rPr>
              <w:t>būvmodeļu</w:t>
            </w:r>
            <w:proofErr w:type="spellEnd"/>
            <w:r w:rsidR="00AF554C" w:rsidRPr="00A774FC">
              <w:rPr>
                <w:rFonts w:ascii="Times New Roman" w:hAnsi="Times New Roman"/>
              </w:rPr>
              <w:t xml:space="preserve"> struktūru</w:t>
            </w:r>
            <w:r w:rsidR="005B6EAB" w:rsidRPr="00A774FC">
              <w:rPr>
                <w:rFonts w:ascii="Times New Roman" w:hAnsi="Times New Roman"/>
              </w:rPr>
              <w:t>.</w:t>
            </w:r>
            <w:r w:rsidR="00AF554C" w:rsidRPr="00A774FC">
              <w:rPr>
                <w:rFonts w:ascii="Times New Roman" w:hAnsi="Times New Roman"/>
              </w:rPr>
              <w:t xml:space="preserve"> </w:t>
            </w:r>
          </w:p>
        </w:tc>
        <w:tc>
          <w:tcPr>
            <w:tcW w:w="1660" w:type="dxa"/>
            <w:shd w:val="clear" w:color="auto" w:fill="auto"/>
          </w:tcPr>
          <w:p w:rsidR="00FB2D9D" w:rsidRPr="00A774FC" w:rsidRDefault="002428D3" w:rsidP="00A662AE">
            <w:pPr>
              <w:spacing w:after="0" w:line="240" w:lineRule="auto"/>
              <w:rPr>
                <w:rFonts w:ascii="Times New Roman" w:hAnsi="Times New Roman"/>
              </w:rPr>
            </w:pPr>
            <w:r w:rsidRPr="00A774FC">
              <w:rPr>
                <w:rFonts w:ascii="Times New Roman" w:hAnsi="Times New Roman"/>
              </w:rPr>
              <w:t>Ceturksnis</w:t>
            </w:r>
            <w:r w:rsidR="005B6EAB" w:rsidRPr="00A774FC">
              <w:rPr>
                <w:rFonts w:ascii="Times New Roman" w:hAnsi="Times New Roman"/>
              </w:rPr>
              <w:t>. Dat</w:t>
            </w:r>
            <w:r w:rsidR="00861F68" w:rsidRPr="00A774FC">
              <w:rPr>
                <w:rFonts w:ascii="Times New Roman" w:hAnsi="Times New Roman"/>
              </w:rPr>
              <w:t>us nosū</w:t>
            </w:r>
            <w:r w:rsidR="005B6EAB" w:rsidRPr="00A774FC">
              <w:rPr>
                <w:rFonts w:ascii="Times New Roman" w:hAnsi="Times New Roman"/>
              </w:rPr>
              <w:t>t</w:t>
            </w:r>
            <w:r w:rsidR="00861F68" w:rsidRPr="00A774FC">
              <w:rPr>
                <w:rFonts w:ascii="Times New Roman" w:hAnsi="Times New Roman"/>
              </w:rPr>
              <w:t xml:space="preserve">a </w:t>
            </w:r>
            <w:r w:rsidR="005B6EAB" w:rsidRPr="00A774FC">
              <w:rPr>
                <w:rFonts w:ascii="Times New Roman" w:hAnsi="Times New Roman"/>
              </w:rPr>
              <w:t xml:space="preserve">uz </w:t>
            </w:r>
            <w:proofErr w:type="spellStart"/>
            <w:r w:rsidR="005B6EAB" w:rsidRPr="00A774FC">
              <w:rPr>
                <w:rFonts w:ascii="Times New Roman" w:hAnsi="Times New Roman"/>
              </w:rPr>
              <w:t>Eurostat</w:t>
            </w:r>
            <w:proofErr w:type="spellEnd"/>
            <w:r w:rsidR="005B6EAB" w:rsidRPr="00A774FC">
              <w:rPr>
                <w:rFonts w:ascii="Times New Roman" w:hAnsi="Times New Roman"/>
              </w:rPr>
              <w:t xml:space="preserve"> 69.dienā pēc pārskata perioda beigām.</w:t>
            </w:r>
          </w:p>
        </w:tc>
        <w:tc>
          <w:tcPr>
            <w:tcW w:w="2550" w:type="dxa"/>
            <w:shd w:val="clear" w:color="auto" w:fill="auto"/>
          </w:tcPr>
          <w:p w:rsidR="00F82D55" w:rsidRPr="00D11D6D" w:rsidRDefault="00F82D55" w:rsidP="00A662AE">
            <w:pPr>
              <w:spacing w:after="0" w:line="240" w:lineRule="auto"/>
              <w:rPr>
                <w:rFonts w:ascii="Times New Roman" w:hAnsi="Times New Roman"/>
              </w:rPr>
            </w:pPr>
            <w:r w:rsidRPr="00D11D6D">
              <w:rPr>
                <w:rFonts w:ascii="Times New Roman" w:hAnsi="Times New Roman"/>
                <w:iCs/>
              </w:rPr>
              <w:t>Aptver tikai jaunu dzīvojamo māju būvniecību (B</w:t>
            </w:r>
            <w:r w:rsidR="00D11D6D" w:rsidRPr="00D11D6D">
              <w:rPr>
                <w:rFonts w:ascii="Times New Roman" w:hAnsi="Times New Roman"/>
                <w:iCs/>
              </w:rPr>
              <w:t>ūvju klasifikācijas</w:t>
            </w:r>
            <w:r w:rsidRPr="00D11D6D">
              <w:rPr>
                <w:rFonts w:ascii="Times New Roman" w:hAnsi="Times New Roman"/>
                <w:iCs/>
              </w:rPr>
              <w:t xml:space="preserve"> 111 un 112 grupa)</w:t>
            </w:r>
          </w:p>
          <w:p w:rsidR="00FB2D9D" w:rsidRPr="00A774FC" w:rsidRDefault="00FB2D9D" w:rsidP="00A662AE">
            <w:pPr>
              <w:spacing w:after="0" w:line="240" w:lineRule="auto"/>
              <w:jc w:val="center"/>
              <w:rPr>
                <w:rFonts w:ascii="Times New Roman" w:hAnsi="Times New Roman"/>
              </w:rPr>
            </w:pPr>
          </w:p>
        </w:tc>
      </w:tr>
    </w:tbl>
    <w:p w:rsidR="00237DD4" w:rsidRPr="00A774FC" w:rsidRDefault="00237DD4">
      <w:pPr>
        <w:rPr>
          <w:rFonts w:ascii="Times New Roman" w:hAnsi="Times New Roman"/>
        </w:rPr>
      </w:pPr>
      <w:r w:rsidRPr="00A774FC">
        <w:rPr>
          <w:rFonts w:ascii="Times New Roman" w:hAnsi="Times New Roman"/>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977"/>
        <w:gridCol w:w="2715"/>
        <w:gridCol w:w="1864"/>
        <w:gridCol w:w="1660"/>
        <w:gridCol w:w="2550"/>
      </w:tblGrid>
      <w:tr w:rsidR="00B93665" w:rsidRPr="00A774FC" w:rsidTr="00A662AE">
        <w:trPr>
          <w:cantSplit/>
        </w:trPr>
        <w:tc>
          <w:tcPr>
            <w:tcW w:w="2376" w:type="dxa"/>
            <w:shd w:val="clear" w:color="auto" w:fill="auto"/>
          </w:tcPr>
          <w:p w:rsidR="00891602" w:rsidRPr="00A774FC" w:rsidRDefault="00891602" w:rsidP="00A662AE">
            <w:pPr>
              <w:spacing w:after="0" w:line="240" w:lineRule="auto"/>
              <w:jc w:val="center"/>
              <w:rPr>
                <w:rFonts w:ascii="Times New Roman" w:hAnsi="Times New Roman"/>
                <w:b/>
              </w:rPr>
            </w:pPr>
            <w:r w:rsidRPr="00A774FC">
              <w:rPr>
                <w:rFonts w:ascii="Times New Roman" w:hAnsi="Times New Roman"/>
                <w:b/>
              </w:rPr>
              <w:t>Nosaukums</w:t>
            </w:r>
          </w:p>
        </w:tc>
        <w:tc>
          <w:tcPr>
            <w:tcW w:w="2977" w:type="dxa"/>
            <w:shd w:val="clear" w:color="auto" w:fill="auto"/>
          </w:tcPr>
          <w:p w:rsidR="00891602" w:rsidRPr="00A774FC" w:rsidRDefault="00891602" w:rsidP="00A662AE">
            <w:pPr>
              <w:spacing w:after="0" w:line="240" w:lineRule="auto"/>
              <w:jc w:val="center"/>
              <w:rPr>
                <w:rFonts w:ascii="Times New Roman" w:hAnsi="Times New Roman"/>
                <w:b/>
              </w:rPr>
            </w:pPr>
            <w:r w:rsidRPr="00A774FC">
              <w:rPr>
                <w:rFonts w:ascii="Times New Roman" w:hAnsi="Times New Roman"/>
                <w:b/>
              </w:rPr>
              <w:t>Definīcija un mērķis</w:t>
            </w:r>
          </w:p>
        </w:tc>
        <w:tc>
          <w:tcPr>
            <w:tcW w:w="2715" w:type="dxa"/>
            <w:shd w:val="clear" w:color="auto" w:fill="auto"/>
          </w:tcPr>
          <w:p w:rsidR="00891602" w:rsidRPr="00A774FC" w:rsidRDefault="00891602" w:rsidP="00A662AE">
            <w:pPr>
              <w:spacing w:after="0" w:line="240" w:lineRule="auto"/>
              <w:jc w:val="center"/>
              <w:rPr>
                <w:rFonts w:ascii="Times New Roman" w:hAnsi="Times New Roman"/>
                <w:b/>
              </w:rPr>
            </w:pPr>
            <w:r w:rsidRPr="00A774FC">
              <w:rPr>
                <w:rFonts w:ascii="Times New Roman" w:hAnsi="Times New Roman"/>
                <w:b/>
              </w:rPr>
              <w:t>Metodika</w:t>
            </w:r>
          </w:p>
        </w:tc>
        <w:tc>
          <w:tcPr>
            <w:tcW w:w="1864" w:type="dxa"/>
            <w:shd w:val="clear" w:color="auto" w:fill="auto"/>
          </w:tcPr>
          <w:p w:rsidR="00891602" w:rsidRPr="00A774FC" w:rsidRDefault="00891602" w:rsidP="00A662AE">
            <w:pPr>
              <w:spacing w:after="0" w:line="240" w:lineRule="auto"/>
              <w:jc w:val="center"/>
              <w:rPr>
                <w:rFonts w:ascii="Times New Roman" w:hAnsi="Times New Roman"/>
                <w:b/>
              </w:rPr>
            </w:pPr>
            <w:r w:rsidRPr="00A774FC">
              <w:rPr>
                <w:rFonts w:ascii="Times New Roman" w:hAnsi="Times New Roman"/>
                <w:b/>
              </w:rPr>
              <w:t>Datu avots</w:t>
            </w:r>
          </w:p>
        </w:tc>
        <w:tc>
          <w:tcPr>
            <w:tcW w:w="1660" w:type="dxa"/>
            <w:shd w:val="clear" w:color="auto" w:fill="auto"/>
          </w:tcPr>
          <w:p w:rsidR="00891602" w:rsidRPr="00A774FC" w:rsidRDefault="00891602" w:rsidP="00A662AE">
            <w:pPr>
              <w:spacing w:after="0" w:line="240" w:lineRule="auto"/>
              <w:jc w:val="center"/>
              <w:rPr>
                <w:rFonts w:ascii="Times New Roman" w:hAnsi="Times New Roman"/>
                <w:b/>
              </w:rPr>
            </w:pPr>
            <w:r w:rsidRPr="00A774FC">
              <w:rPr>
                <w:rFonts w:ascii="Times New Roman" w:hAnsi="Times New Roman"/>
                <w:b/>
              </w:rPr>
              <w:t>Periodiskums</w:t>
            </w:r>
          </w:p>
        </w:tc>
        <w:tc>
          <w:tcPr>
            <w:tcW w:w="2550" w:type="dxa"/>
            <w:shd w:val="clear" w:color="auto" w:fill="auto"/>
          </w:tcPr>
          <w:p w:rsidR="00891602" w:rsidRPr="00A774FC" w:rsidRDefault="00891602" w:rsidP="00A662AE">
            <w:pPr>
              <w:spacing w:after="0" w:line="240" w:lineRule="auto"/>
              <w:jc w:val="center"/>
              <w:rPr>
                <w:rFonts w:ascii="Times New Roman" w:hAnsi="Times New Roman"/>
                <w:b/>
              </w:rPr>
            </w:pPr>
            <w:r w:rsidRPr="00A774FC">
              <w:rPr>
                <w:rFonts w:ascii="Times New Roman" w:hAnsi="Times New Roman"/>
                <w:b/>
              </w:rPr>
              <w:t>Piezīmes</w:t>
            </w:r>
          </w:p>
        </w:tc>
      </w:tr>
      <w:tr w:rsidR="00B93665" w:rsidRPr="00A774FC" w:rsidTr="00A662AE">
        <w:trPr>
          <w:cantSplit/>
          <w:trHeight w:val="5594"/>
        </w:trPr>
        <w:tc>
          <w:tcPr>
            <w:tcW w:w="2376" w:type="dxa"/>
            <w:shd w:val="clear" w:color="auto" w:fill="auto"/>
          </w:tcPr>
          <w:p w:rsidR="00FB2D9D" w:rsidRPr="00A774FC" w:rsidRDefault="00A354D0" w:rsidP="00A662AE">
            <w:pPr>
              <w:spacing w:after="0" w:line="240" w:lineRule="auto"/>
              <w:rPr>
                <w:rFonts w:ascii="Times New Roman" w:hAnsi="Times New Roman"/>
              </w:rPr>
            </w:pPr>
            <w:r w:rsidRPr="00A774FC">
              <w:rPr>
                <w:rFonts w:ascii="Times New Roman" w:hAnsi="Times New Roman"/>
              </w:rPr>
              <w:t>Darbaspēka izmaksu indeksi pa darbības veidiem (</w:t>
            </w:r>
            <w:r w:rsidRPr="00A774FC">
              <w:rPr>
                <w:rFonts w:ascii="Times New Roman" w:hAnsi="Times New Roman"/>
                <w:i/>
              </w:rPr>
              <w:t>Būvniecība – F</w:t>
            </w:r>
            <w:r w:rsidRPr="00A774FC">
              <w:rPr>
                <w:rFonts w:ascii="Times New Roman" w:hAnsi="Times New Roman"/>
              </w:rPr>
              <w:t xml:space="preserve"> </w:t>
            </w:r>
            <w:r w:rsidRPr="00A774FC">
              <w:rPr>
                <w:rFonts w:ascii="Times New Roman" w:hAnsi="Times New Roman"/>
                <w:i/>
              </w:rPr>
              <w:t>nozare</w:t>
            </w:r>
            <w:r w:rsidRPr="00A774FC">
              <w:rPr>
                <w:rFonts w:ascii="Times New Roman" w:hAnsi="Times New Roman"/>
              </w:rPr>
              <w:t>)</w:t>
            </w:r>
          </w:p>
        </w:tc>
        <w:tc>
          <w:tcPr>
            <w:tcW w:w="2977" w:type="dxa"/>
            <w:shd w:val="clear" w:color="auto" w:fill="auto"/>
          </w:tcPr>
          <w:p w:rsidR="00FB2D9D" w:rsidRPr="00A774FC" w:rsidRDefault="00A354D0" w:rsidP="00A662AE">
            <w:pPr>
              <w:spacing w:after="0" w:line="240" w:lineRule="auto"/>
              <w:rPr>
                <w:rFonts w:ascii="Times New Roman" w:hAnsi="Times New Roman"/>
              </w:rPr>
            </w:pPr>
            <w:r w:rsidRPr="00A774FC">
              <w:rPr>
                <w:rFonts w:ascii="Times New Roman" w:hAnsi="Times New Roman"/>
              </w:rPr>
              <w:t>Parāda darba devēja vienas stundas izmaksu izmaiņas, nodarbinot darbaspēku ar darba laika uzskaiti.</w:t>
            </w:r>
          </w:p>
        </w:tc>
        <w:tc>
          <w:tcPr>
            <w:tcW w:w="2715" w:type="dxa"/>
            <w:shd w:val="clear" w:color="auto" w:fill="auto"/>
          </w:tcPr>
          <w:p w:rsidR="002428D3" w:rsidRPr="00A774FC" w:rsidRDefault="0057505F" w:rsidP="00A774FC">
            <w:pPr>
              <w:spacing w:after="0" w:line="240" w:lineRule="auto"/>
              <w:rPr>
                <w:rFonts w:ascii="Times New Roman" w:hAnsi="Times New Roman"/>
              </w:rPr>
            </w:pPr>
            <w:r w:rsidRPr="00A774FC">
              <w:rPr>
                <w:rFonts w:ascii="Times New Roman" w:hAnsi="Times New Roman"/>
              </w:rPr>
              <w:t>Darbaspēka izmaksas satur atlīdzību par padarīto darbu gan naudā (tiešā darba samaksa), gan preču un pakalpojumu veidā (darba samaksa natūrā); darba devēja obligātos un brīvprātīgos sociālās apdrošināšanas maksājumus darbinieku labā; darba devēja tiešos sociālos maksājumus darbiniekiem, kā arī citas izmaksas, kas rodas, nodarbinot darbaspēku. Aprēķinos no darbaspēka izmaksām tiek atņemtas darba samaksas subsīdijas.</w:t>
            </w:r>
            <w:r w:rsidR="002428D3" w:rsidRPr="00A774FC">
              <w:rPr>
                <w:rFonts w:ascii="Times New Roman" w:hAnsi="Times New Roman"/>
              </w:rPr>
              <w:t xml:space="preserve"> </w:t>
            </w:r>
          </w:p>
          <w:p w:rsidR="00FB2D9D" w:rsidRPr="00A774FC" w:rsidRDefault="002428D3" w:rsidP="00A662AE">
            <w:pPr>
              <w:spacing w:before="120" w:after="0" w:line="240" w:lineRule="auto"/>
              <w:rPr>
                <w:rFonts w:ascii="Times New Roman" w:hAnsi="Times New Roman"/>
              </w:rPr>
            </w:pPr>
            <w:r w:rsidRPr="00A774FC">
              <w:rPr>
                <w:rFonts w:ascii="Times New Roman" w:hAnsi="Times New Roman"/>
              </w:rPr>
              <w:t>Lai aprēķinātu vidējās darbaspēka izmaksas stundā, tiek summēti visi darba devēja izdevumi, kas radušies gada laikā, nodarbinot darbiniekus, un dalīti ar visu darbinieku gadā faktiski nostrādāto stundu summu.</w:t>
            </w:r>
          </w:p>
        </w:tc>
        <w:tc>
          <w:tcPr>
            <w:tcW w:w="1864" w:type="dxa"/>
            <w:shd w:val="clear" w:color="auto" w:fill="auto"/>
          </w:tcPr>
          <w:p w:rsidR="0057505F" w:rsidRPr="00A774FC" w:rsidRDefault="0057505F" w:rsidP="00A774FC">
            <w:pPr>
              <w:spacing w:after="120" w:line="240" w:lineRule="auto"/>
              <w:rPr>
                <w:rFonts w:ascii="Times New Roman" w:eastAsia="Times New Roman" w:hAnsi="Times New Roman"/>
                <w:lang w:eastAsia="lv-LV"/>
              </w:rPr>
            </w:pPr>
            <w:r w:rsidRPr="00A774FC">
              <w:rPr>
                <w:rFonts w:ascii="Times New Roman" w:hAnsi="Times New Roman"/>
              </w:rPr>
              <w:t xml:space="preserve">Informācija tiek iegūta no statistikas pārskata 2-darbs (reizi ceturksnī). </w:t>
            </w:r>
            <w:r w:rsidR="002428D3" w:rsidRPr="00A774FC">
              <w:rPr>
                <w:rFonts w:ascii="Times New Roman" w:hAnsi="Times New Roman"/>
              </w:rPr>
              <w:t>Apsekoti tiek v</w:t>
            </w:r>
            <w:r w:rsidR="00A354D0" w:rsidRPr="00A774FC">
              <w:rPr>
                <w:rFonts w:ascii="Times New Roman" w:hAnsi="Times New Roman"/>
              </w:rPr>
              <w:t xml:space="preserve">isi ekonomiski aktīvie komersanti, budžeta iestādes, nodibinājumi, biedrības un fondi. </w:t>
            </w:r>
            <w:r w:rsidR="00A354D0" w:rsidRPr="00A774FC">
              <w:rPr>
                <w:rFonts w:ascii="Times New Roman" w:eastAsia="Times New Roman" w:hAnsi="Times New Roman"/>
                <w:lang w:eastAsia="lv-LV"/>
              </w:rPr>
              <w:t xml:space="preserve">2011.gadā katru ceturksni </w:t>
            </w:r>
            <w:r w:rsidRPr="00A774FC">
              <w:rPr>
                <w:rFonts w:ascii="Times New Roman" w:eastAsia="Times New Roman" w:hAnsi="Times New Roman"/>
                <w:lang w:eastAsia="lv-LV"/>
              </w:rPr>
              <w:t>apsekoja ap 540 būvuzņēmumu</w:t>
            </w:r>
            <w:r w:rsidR="00A354D0" w:rsidRPr="00A774FC">
              <w:rPr>
                <w:rFonts w:ascii="Times New Roman" w:eastAsia="Times New Roman" w:hAnsi="Times New Roman"/>
                <w:lang w:eastAsia="lv-LV"/>
              </w:rPr>
              <w:t xml:space="preserve">. </w:t>
            </w:r>
          </w:p>
          <w:p w:rsidR="00FB2D9D" w:rsidRPr="00A774FC" w:rsidRDefault="00A354D0" w:rsidP="00A774FC">
            <w:pPr>
              <w:spacing w:before="120" w:after="120" w:line="240" w:lineRule="auto"/>
              <w:rPr>
                <w:rFonts w:ascii="Times New Roman" w:eastAsia="Times New Roman" w:hAnsi="Times New Roman"/>
                <w:lang w:eastAsia="lv-LV"/>
              </w:rPr>
            </w:pPr>
            <w:r w:rsidRPr="00A774FC">
              <w:rPr>
                <w:rFonts w:ascii="Times New Roman" w:eastAsia="Times New Roman" w:hAnsi="Times New Roman"/>
                <w:lang w:eastAsia="lv-LV"/>
              </w:rPr>
              <w:t>Dati par privātā sektora komersantiem, nodibinājumiem, biedrībām un fondiem ar nodarbināto skaitu no 1 līdz 6 tiek iegūti tikai no administratīviem datu avotiem, lietojot CSP aprēķinus.</w:t>
            </w:r>
          </w:p>
        </w:tc>
        <w:tc>
          <w:tcPr>
            <w:tcW w:w="1660" w:type="dxa"/>
            <w:shd w:val="clear" w:color="auto" w:fill="auto"/>
          </w:tcPr>
          <w:p w:rsidR="002428D3" w:rsidRPr="00A774FC" w:rsidRDefault="002428D3" w:rsidP="00A774FC">
            <w:pPr>
              <w:spacing w:after="0" w:line="240" w:lineRule="auto"/>
              <w:rPr>
                <w:rFonts w:ascii="Times New Roman" w:eastAsia="Times New Roman" w:hAnsi="Times New Roman"/>
                <w:lang w:eastAsia="lv-LV"/>
              </w:rPr>
            </w:pPr>
            <w:r w:rsidRPr="00A774FC">
              <w:rPr>
                <w:rFonts w:ascii="Times New Roman" w:eastAsia="Times New Roman" w:hAnsi="Times New Roman"/>
                <w:lang w:eastAsia="lv-LV"/>
              </w:rPr>
              <w:t>Ceturksnis.</w:t>
            </w:r>
          </w:p>
          <w:p w:rsidR="002428D3" w:rsidRPr="00A774FC" w:rsidRDefault="002428D3" w:rsidP="00A662AE">
            <w:pPr>
              <w:spacing w:before="120" w:after="0" w:line="240" w:lineRule="auto"/>
              <w:rPr>
                <w:rFonts w:ascii="Times New Roman" w:eastAsia="Times New Roman" w:hAnsi="Times New Roman"/>
                <w:lang w:eastAsia="lv-LV"/>
              </w:rPr>
            </w:pPr>
            <w:r w:rsidRPr="00A774FC">
              <w:rPr>
                <w:rFonts w:ascii="Times New Roman" w:eastAsia="Times New Roman" w:hAnsi="Times New Roman"/>
                <w:lang w:eastAsia="lv-LV"/>
              </w:rPr>
              <w:t xml:space="preserve">Rezultāti ir pieejami 60.dienā pēc pārskata perioda beigām. </w:t>
            </w:r>
          </w:p>
          <w:p w:rsidR="00FB2D9D" w:rsidRPr="00A774FC" w:rsidRDefault="00FB2D9D" w:rsidP="00A662AE">
            <w:pPr>
              <w:spacing w:before="120" w:after="0" w:line="240" w:lineRule="auto"/>
              <w:rPr>
                <w:rFonts w:ascii="Times New Roman" w:hAnsi="Times New Roman"/>
              </w:rPr>
            </w:pPr>
          </w:p>
        </w:tc>
        <w:tc>
          <w:tcPr>
            <w:tcW w:w="2550" w:type="dxa"/>
            <w:shd w:val="clear" w:color="auto" w:fill="auto"/>
          </w:tcPr>
          <w:p w:rsidR="00FB2D9D" w:rsidRPr="00A774FC" w:rsidRDefault="002428D3" w:rsidP="00A662AE">
            <w:pPr>
              <w:spacing w:after="0" w:line="240" w:lineRule="auto"/>
              <w:rPr>
                <w:rFonts w:ascii="Times New Roman" w:hAnsi="Times New Roman"/>
              </w:rPr>
            </w:pPr>
            <w:r w:rsidRPr="00A774FC">
              <w:rPr>
                <w:rFonts w:ascii="Times New Roman" w:eastAsia="Times New Roman" w:hAnsi="Times New Roman"/>
                <w:lang w:eastAsia="lv-LV"/>
              </w:rPr>
              <w:t>Datus par gadu iegūst, summējot gada laikā reizi ceturksnī saņemto informāciju. No izlasē iekļautajiem respondentiem  iegūtā informācija tiek vispārināta, izmantojot katrai izlases vienībai piešķirtos svarus. Informācija tiek apkopota pēc respondenta galvenā darbības veida.</w:t>
            </w:r>
          </w:p>
        </w:tc>
      </w:tr>
    </w:tbl>
    <w:p w:rsidR="00A774FC" w:rsidRDefault="00A774FC" w:rsidP="00A842F4">
      <w:pPr>
        <w:spacing w:before="120" w:after="0"/>
        <w:jc w:val="center"/>
        <w:rPr>
          <w:rFonts w:ascii="Times New Roman" w:hAnsi="Times New Roman"/>
          <w:b/>
        </w:rPr>
      </w:pPr>
    </w:p>
    <w:p w:rsidR="00A774FC" w:rsidRDefault="00A774FC" w:rsidP="00A842F4">
      <w:pPr>
        <w:spacing w:before="120" w:after="0"/>
        <w:jc w:val="center"/>
        <w:rPr>
          <w:rFonts w:ascii="Times New Roman" w:hAnsi="Times New Roman"/>
          <w:b/>
        </w:rPr>
      </w:pPr>
    </w:p>
    <w:p w:rsidR="00D11D6D" w:rsidRDefault="00D11D6D" w:rsidP="00A842F4">
      <w:pPr>
        <w:spacing w:before="120" w:after="0"/>
        <w:jc w:val="center"/>
        <w:rPr>
          <w:rFonts w:ascii="Times New Roman" w:hAnsi="Times New Roman"/>
          <w:b/>
        </w:rPr>
      </w:pPr>
    </w:p>
    <w:p w:rsidR="006D5A72" w:rsidRPr="00D11D6D" w:rsidRDefault="006D5A72" w:rsidP="00D11D6D">
      <w:pPr>
        <w:spacing w:before="120" w:after="0" w:line="240" w:lineRule="auto"/>
        <w:jc w:val="center"/>
        <w:rPr>
          <w:rFonts w:ascii="Times New Roman" w:hAnsi="Times New Roman"/>
          <w:b/>
          <w:sz w:val="28"/>
          <w:szCs w:val="28"/>
        </w:rPr>
      </w:pPr>
      <w:r w:rsidRPr="00D11D6D">
        <w:rPr>
          <w:rFonts w:ascii="Times New Roman" w:hAnsi="Times New Roman"/>
          <w:b/>
          <w:sz w:val="28"/>
          <w:szCs w:val="28"/>
        </w:rPr>
        <w:lastRenderedPageBreak/>
        <w:t>Tiesiskais ietvars</w:t>
      </w:r>
    </w:p>
    <w:p w:rsidR="006D5A72" w:rsidRPr="00D11D6D" w:rsidRDefault="006D5A72" w:rsidP="00D11D6D">
      <w:pPr>
        <w:spacing w:before="120" w:after="0" w:line="240" w:lineRule="auto"/>
        <w:rPr>
          <w:rFonts w:ascii="Times New Roman" w:hAnsi="Times New Roman"/>
          <w:sz w:val="28"/>
          <w:szCs w:val="28"/>
          <w:u w:val="single"/>
        </w:rPr>
      </w:pPr>
      <w:r w:rsidRPr="00D11D6D">
        <w:rPr>
          <w:rFonts w:ascii="Times New Roman" w:hAnsi="Times New Roman"/>
          <w:sz w:val="28"/>
          <w:szCs w:val="28"/>
          <w:u w:val="single"/>
        </w:rPr>
        <w:t>Nacionālā l</w:t>
      </w:r>
      <w:r w:rsidR="00A774FC" w:rsidRPr="00D11D6D">
        <w:rPr>
          <w:rFonts w:ascii="Times New Roman" w:hAnsi="Times New Roman"/>
          <w:sz w:val="28"/>
          <w:szCs w:val="28"/>
          <w:u w:val="single"/>
        </w:rPr>
        <w:t>īmenī</w:t>
      </w:r>
      <w:r w:rsidR="00D11D6D" w:rsidRPr="00D11D6D">
        <w:rPr>
          <w:rFonts w:ascii="Times New Roman" w:hAnsi="Times New Roman"/>
          <w:sz w:val="28"/>
          <w:szCs w:val="28"/>
          <w:u w:val="single"/>
        </w:rPr>
        <w:t>:</w:t>
      </w:r>
    </w:p>
    <w:p w:rsidR="006D5A72" w:rsidRPr="00D11D6D" w:rsidRDefault="006D5A72" w:rsidP="00D11D6D">
      <w:pPr>
        <w:numPr>
          <w:ilvl w:val="0"/>
          <w:numId w:val="11"/>
        </w:numPr>
        <w:spacing w:after="0" w:line="240" w:lineRule="auto"/>
        <w:ind w:left="357" w:hanging="357"/>
        <w:rPr>
          <w:rFonts w:ascii="Times New Roman" w:hAnsi="Times New Roman"/>
          <w:sz w:val="28"/>
          <w:szCs w:val="28"/>
        </w:rPr>
      </w:pPr>
      <w:r w:rsidRPr="00D11D6D">
        <w:rPr>
          <w:rFonts w:ascii="Times New Roman" w:hAnsi="Times New Roman"/>
          <w:sz w:val="28"/>
          <w:szCs w:val="28"/>
        </w:rPr>
        <w:t>Valsts statistikas likums</w:t>
      </w:r>
      <w:r w:rsidR="00A842F4" w:rsidRPr="00D11D6D">
        <w:rPr>
          <w:rFonts w:ascii="Times New Roman" w:hAnsi="Times New Roman"/>
          <w:sz w:val="28"/>
          <w:szCs w:val="28"/>
        </w:rPr>
        <w:t>.</w:t>
      </w:r>
      <w:r w:rsidRPr="00D11D6D">
        <w:rPr>
          <w:rFonts w:ascii="Times New Roman" w:hAnsi="Times New Roman"/>
          <w:sz w:val="28"/>
          <w:szCs w:val="28"/>
        </w:rPr>
        <w:t xml:space="preserve"> </w:t>
      </w:r>
    </w:p>
    <w:p w:rsidR="006D5A72" w:rsidRPr="00D11D6D" w:rsidRDefault="006D5A72" w:rsidP="00D11D6D">
      <w:pPr>
        <w:numPr>
          <w:ilvl w:val="0"/>
          <w:numId w:val="11"/>
        </w:numPr>
        <w:spacing w:after="0" w:line="240" w:lineRule="auto"/>
        <w:ind w:left="357" w:hanging="357"/>
        <w:rPr>
          <w:rFonts w:ascii="Times New Roman" w:hAnsi="Times New Roman"/>
          <w:sz w:val="28"/>
          <w:szCs w:val="28"/>
        </w:rPr>
      </w:pPr>
      <w:r w:rsidRPr="00D11D6D">
        <w:rPr>
          <w:rFonts w:ascii="Times New Roman" w:hAnsi="Times New Roman"/>
          <w:sz w:val="28"/>
          <w:szCs w:val="28"/>
        </w:rPr>
        <w:t xml:space="preserve">Ministru kabineta sēdes 2007. gada 14. augusta protokols Nr. 45, 21.§ “Par Eiropas Savienības finanšu resursu (struktūrfondu un Kohēzijas fonda) apguvi”. Šis dokuments BII aprēķiniem noteica </w:t>
      </w:r>
      <w:r w:rsidRPr="00D11D6D">
        <w:rPr>
          <w:rFonts w:ascii="Times New Roman" w:hAnsi="Times New Roman"/>
          <w:sz w:val="28"/>
          <w:szCs w:val="28"/>
          <w:u w:val="dotted"/>
        </w:rPr>
        <w:t>mēneša</w:t>
      </w:r>
      <w:r w:rsidRPr="00D11D6D">
        <w:rPr>
          <w:rFonts w:ascii="Times New Roman" w:hAnsi="Times New Roman"/>
          <w:sz w:val="28"/>
          <w:szCs w:val="28"/>
        </w:rPr>
        <w:t xml:space="preserve"> regularitāti</w:t>
      </w:r>
      <w:r w:rsidR="00A842F4" w:rsidRPr="00D11D6D">
        <w:rPr>
          <w:rFonts w:ascii="Times New Roman" w:hAnsi="Times New Roman"/>
          <w:sz w:val="28"/>
          <w:szCs w:val="28"/>
        </w:rPr>
        <w:t>.</w:t>
      </w:r>
      <w:r w:rsidRPr="00D11D6D">
        <w:rPr>
          <w:rFonts w:ascii="Times New Roman" w:hAnsi="Times New Roman"/>
          <w:sz w:val="28"/>
          <w:szCs w:val="28"/>
        </w:rPr>
        <w:t xml:space="preserve"> </w:t>
      </w:r>
    </w:p>
    <w:p w:rsidR="00BC55D6" w:rsidRPr="00D11D6D" w:rsidRDefault="006D5A72" w:rsidP="00D11D6D">
      <w:pPr>
        <w:numPr>
          <w:ilvl w:val="0"/>
          <w:numId w:val="11"/>
        </w:numPr>
        <w:spacing w:after="0" w:line="240" w:lineRule="auto"/>
        <w:ind w:left="357" w:hanging="357"/>
        <w:rPr>
          <w:rFonts w:ascii="Times New Roman" w:hAnsi="Times New Roman"/>
          <w:sz w:val="28"/>
          <w:szCs w:val="28"/>
        </w:rPr>
      </w:pPr>
      <w:r w:rsidRPr="00D11D6D">
        <w:rPr>
          <w:rFonts w:ascii="Times New Roman" w:hAnsi="Times New Roman"/>
          <w:sz w:val="28"/>
          <w:szCs w:val="28"/>
        </w:rPr>
        <w:t>Valsts statistiskās informācijas programma 2011. gadam</w:t>
      </w:r>
      <w:r w:rsidR="00A842F4" w:rsidRPr="00D11D6D">
        <w:rPr>
          <w:rFonts w:ascii="Times New Roman" w:hAnsi="Times New Roman"/>
          <w:sz w:val="28"/>
          <w:szCs w:val="28"/>
        </w:rPr>
        <w:t>.</w:t>
      </w:r>
    </w:p>
    <w:p w:rsidR="00A842F4" w:rsidRPr="00D11D6D" w:rsidRDefault="00A774FC" w:rsidP="00D11D6D">
      <w:pPr>
        <w:spacing w:before="120" w:after="0" w:line="240" w:lineRule="auto"/>
        <w:rPr>
          <w:rFonts w:ascii="Times New Roman" w:hAnsi="Times New Roman"/>
          <w:sz w:val="28"/>
          <w:szCs w:val="28"/>
          <w:u w:val="single"/>
        </w:rPr>
      </w:pPr>
      <w:r w:rsidRPr="00D11D6D">
        <w:rPr>
          <w:rFonts w:ascii="Times New Roman" w:hAnsi="Times New Roman"/>
          <w:sz w:val="28"/>
          <w:szCs w:val="28"/>
          <w:u w:val="single"/>
        </w:rPr>
        <w:t>ES līmenī</w:t>
      </w:r>
      <w:r w:rsidR="00A842F4" w:rsidRPr="00D11D6D">
        <w:rPr>
          <w:rFonts w:ascii="Times New Roman" w:hAnsi="Times New Roman"/>
          <w:sz w:val="28"/>
          <w:szCs w:val="28"/>
          <w:u w:val="single"/>
        </w:rPr>
        <w:t>:</w:t>
      </w:r>
    </w:p>
    <w:p w:rsidR="00A842F4" w:rsidRPr="00D11D6D" w:rsidRDefault="00A842F4" w:rsidP="00D11D6D">
      <w:pPr>
        <w:numPr>
          <w:ilvl w:val="0"/>
          <w:numId w:val="12"/>
        </w:numPr>
        <w:spacing w:after="0" w:line="240" w:lineRule="auto"/>
        <w:ind w:left="357" w:hanging="357"/>
        <w:rPr>
          <w:rFonts w:ascii="Times New Roman" w:hAnsi="Times New Roman"/>
          <w:sz w:val="28"/>
          <w:szCs w:val="28"/>
        </w:rPr>
      </w:pPr>
      <w:r w:rsidRPr="00D11D6D">
        <w:rPr>
          <w:rFonts w:ascii="Times New Roman" w:hAnsi="Times New Roman"/>
          <w:sz w:val="28"/>
          <w:szCs w:val="28"/>
        </w:rPr>
        <w:t xml:space="preserve">Eiropas Parlamenta un Padomes 2009. gada 11. marta Regula (EK) Nr. 223/2009 par Eiropas statistiku. </w:t>
      </w:r>
    </w:p>
    <w:p w:rsidR="00A842F4" w:rsidRPr="00D11D6D" w:rsidRDefault="00A842F4" w:rsidP="00D11D6D">
      <w:pPr>
        <w:numPr>
          <w:ilvl w:val="0"/>
          <w:numId w:val="12"/>
        </w:numPr>
        <w:spacing w:after="0" w:line="240" w:lineRule="auto"/>
        <w:ind w:left="357" w:hanging="357"/>
        <w:rPr>
          <w:rFonts w:ascii="Times New Roman" w:hAnsi="Times New Roman"/>
          <w:sz w:val="28"/>
          <w:szCs w:val="28"/>
        </w:rPr>
      </w:pPr>
      <w:r w:rsidRPr="00D11D6D">
        <w:rPr>
          <w:rFonts w:ascii="Times New Roman" w:hAnsi="Times New Roman"/>
          <w:sz w:val="28"/>
          <w:szCs w:val="28"/>
        </w:rPr>
        <w:t xml:space="preserve">Padomes 1996. gada 25. jūnija Regula (EK) Nr. 2223/96 par Eiropas nacionālo un reģionālo kontu sistēmu Kopienā. </w:t>
      </w:r>
    </w:p>
    <w:p w:rsidR="00A842F4" w:rsidRPr="00D11D6D" w:rsidRDefault="00A842F4" w:rsidP="00D11D6D">
      <w:pPr>
        <w:numPr>
          <w:ilvl w:val="0"/>
          <w:numId w:val="12"/>
        </w:numPr>
        <w:spacing w:after="0" w:line="240" w:lineRule="auto"/>
        <w:ind w:left="357" w:hanging="357"/>
        <w:rPr>
          <w:rFonts w:ascii="Times New Roman" w:hAnsi="Times New Roman"/>
          <w:sz w:val="28"/>
          <w:szCs w:val="28"/>
        </w:rPr>
      </w:pPr>
      <w:r w:rsidRPr="00D11D6D">
        <w:rPr>
          <w:rFonts w:ascii="Times New Roman" w:hAnsi="Times New Roman"/>
          <w:sz w:val="28"/>
          <w:szCs w:val="28"/>
        </w:rPr>
        <w:t>Padomes 1998.gada 19.maija Regula (EK) Nr. 1165/98 par īstermiņa statistiku.</w:t>
      </w:r>
    </w:p>
    <w:p w:rsidR="00A842F4" w:rsidRPr="00D11D6D" w:rsidRDefault="00A842F4" w:rsidP="00D11D6D">
      <w:pPr>
        <w:numPr>
          <w:ilvl w:val="0"/>
          <w:numId w:val="12"/>
        </w:numPr>
        <w:spacing w:after="0" w:line="240" w:lineRule="auto"/>
        <w:ind w:left="357" w:hanging="357"/>
        <w:rPr>
          <w:rFonts w:ascii="Times New Roman" w:hAnsi="Times New Roman"/>
          <w:sz w:val="28"/>
          <w:szCs w:val="28"/>
        </w:rPr>
      </w:pPr>
      <w:r w:rsidRPr="00D11D6D">
        <w:rPr>
          <w:rFonts w:ascii="Times New Roman" w:hAnsi="Times New Roman"/>
          <w:sz w:val="28"/>
          <w:szCs w:val="28"/>
        </w:rPr>
        <w:t xml:space="preserve">Komisijas 2006. gada 28. septembra Regula (EK) Nr. 1503/2006 ar ko īsteno un groza Padomes Regulu (EK) Nr. 1165/98 par īstermiņa statistiku attiecībā uz mainīgo lielumu definīcijām, mainīgo lielumu sarakstu un datu apkopošanas biežumu. </w:t>
      </w:r>
    </w:p>
    <w:p w:rsidR="00273E2D" w:rsidRPr="00D11D6D" w:rsidRDefault="00273E2D" w:rsidP="00D11D6D">
      <w:pPr>
        <w:spacing w:after="0" w:line="240" w:lineRule="auto"/>
        <w:rPr>
          <w:rFonts w:ascii="Times New Roman" w:hAnsi="Times New Roman"/>
          <w:sz w:val="28"/>
          <w:szCs w:val="28"/>
        </w:rPr>
      </w:pPr>
    </w:p>
    <w:p w:rsidR="00A774FC" w:rsidRDefault="00A774FC" w:rsidP="00D11D6D">
      <w:pPr>
        <w:spacing w:after="0" w:line="240" w:lineRule="auto"/>
        <w:rPr>
          <w:rFonts w:ascii="Times New Roman" w:hAnsi="Times New Roman"/>
          <w:sz w:val="28"/>
          <w:szCs w:val="28"/>
        </w:rPr>
      </w:pPr>
    </w:p>
    <w:p w:rsidR="00D11D6D" w:rsidRPr="00D11D6D" w:rsidRDefault="00D11D6D" w:rsidP="00D11D6D">
      <w:pPr>
        <w:spacing w:after="0" w:line="240" w:lineRule="auto"/>
        <w:rPr>
          <w:rFonts w:ascii="Times New Roman" w:hAnsi="Times New Roman"/>
          <w:sz w:val="28"/>
          <w:szCs w:val="28"/>
        </w:rPr>
      </w:pPr>
    </w:p>
    <w:p w:rsidR="00A774FC" w:rsidRPr="00A774FC" w:rsidRDefault="00A774FC" w:rsidP="00D11D6D">
      <w:pPr>
        <w:tabs>
          <w:tab w:val="left" w:pos="6804"/>
        </w:tabs>
        <w:spacing w:line="240" w:lineRule="auto"/>
        <w:ind w:right="-143"/>
        <w:jc w:val="both"/>
        <w:rPr>
          <w:rFonts w:ascii="Times New Roman" w:hAnsi="Times New Roman"/>
          <w:sz w:val="28"/>
        </w:rPr>
      </w:pPr>
      <w:r w:rsidRPr="00A774FC">
        <w:rPr>
          <w:rFonts w:ascii="Times New Roman" w:hAnsi="Times New Roman"/>
          <w:bCs/>
          <w:color w:val="000000"/>
          <w:sz w:val="28"/>
          <w:szCs w:val="28"/>
        </w:rPr>
        <w:t>Ekonomikas ministrs</w:t>
      </w:r>
      <w:r w:rsidRPr="00A774FC">
        <w:rPr>
          <w:rFonts w:ascii="Times New Roman" w:hAnsi="Times New Roman"/>
          <w:sz w:val="28"/>
        </w:rPr>
        <w:tab/>
      </w:r>
      <w:r w:rsidRPr="00A774FC">
        <w:rPr>
          <w:rFonts w:ascii="Times New Roman" w:hAnsi="Times New Roman"/>
          <w:bCs/>
          <w:color w:val="000000"/>
          <w:sz w:val="28"/>
          <w:szCs w:val="28"/>
        </w:rPr>
        <w:t>D.Pavļuts</w:t>
      </w:r>
    </w:p>
    <w:p w:rsidR="00A774FC" w:rsidRPr="00A774FC" w:rsidRDefault="00A774FC" w:rsidP="00D11D6D">
      <w:pPr>
        <w:spacing w:line="240" w:lineRule="auto"/>
        <w:jc w:val="both"/>
        <w:rPr>
          <w:rFonts w:ascii="Times New Roman" w:hAnsi="Times New Roman"/>
          <w:sz w:val="28"/>
          <w:szCs w:val="28"/>
        </w:rPr>
      </w:pPr>
    </w:p>
    <w:p w:rsidR="00A774FC" w:rsidRPr="00A774FC" w:rsidRDefault="00A774FC" w:rsidP="00D11D6D">
      <w:pPr>
        <w:tabs>
          <w:tab w:val="left" w:pos="6804"/>
        </w:tabs>
        <w:spacing w:line="240" w:lineRule="auto"/>
        <w:ind w:right="-143"/>
        <w:jc w:val="both"/>
        <w:rPr>
          <w:rFonts w:ascii="Times New Roman" w:hAnsi="Times New Roman"/>
          <w:sz w:val="28"/>
        </w:rPr>
      </w:pPr>
      <w:r w:rsidRPr="00A774FC">
        <w:rPr>
          <w:rFonts w:ascii="Times New Roman" w:hAnsi="Times New Roman"/>
          <w:sz w:val="28"/>
          <w:szCs w:val="28"/>
        </w:rPr>
        <w:t>Vīza: Valsts sekretārs</w:t>
      </w:r>
      <w:r w:rsidRPr="00A774FC">
        <w:rPr>
          <w:rFonts w:ascii="Times New Roman" w:hAnsi="Times New Roman"/>
          <w:sz w:val="28"/>
        </w:rPr>
        <w:t xml:space="preserve"> </w:t>
      </w:r>
      <w:r w:rsidRPr="00A774FC">
        <w:rPr>
          <w:rFonts w:ascii="Times New Roman" w:hAnsi="Times New Roman"/>
          <w:sz w:val="28"/>
        </w:rPr>
        <w:tab/>
      </w:r>
      <w:r w:rsidRPr="00A774FC">
        <w:rPr>
          <w:rFonts w:ascii="Times New Roman" w:hAnsi="Times New Roman"/>
          <w:sz w:val="28"/>
          <w:szCs w:val="28"/>
        </w:rPr>
        <w:t>J.Pūce</w:t>
      </w:r>
    </w:p>
    <w:p w:rsidR="00A774FC" w:rsidRPr="00A774FC" w:rsidRDefault="00E11A50" w:rsidP="00A774FC">
      <w:pPr>
        <w:pStyle w:val="Subtitle"/>
        <w:widowControl/>
        <w:rPr>
          <w:b w:val="0"/>
          <w:bCs/>
          <w:sz w:val="20"/>
          <w:lang w:val="en-AU"/>
        </w:rPr>
      </w:pPr>
      <w:r>
        <w:rPr>
          <w:b w:val="0"/>
          <w:bCs/>
          <w:sz w:val="20"/>
        </w:rPr>
        <w:t>02.02.2012</w:t>
      </w:r>
      <w:r w:rsidR="00A774FC" w:rsidRPr="00A774FC">
        <w:rPr>
          <w:b w:val="0"/>
          <w:bCs/>
          <w:sz w:val="20"/>
        </w:rPr>
        <w:br/>
      </w:r>
      <w:fldSimple w:instr=" NUMWORDS   \* MERGEFORMAT ">
        <w:r w:rsidR="00BA2994" w:rsidRPr="00BA2994">
          <w:rPr>
            <w:b w:val="0"/>
            <w:bCs/>
            <w:noProof/>
            <w:sz w:val="20"/>
          </w:rPr>
          <w:t>807</w:t>
        </w:r>
      </w:fldSimple>
      <w:r w:rsidR="00A774FC" w:rsidRPr="00A774FC">
        <w:rPr>
          <w:b w:val="0"/>
          <w:bCs/>
          <w:sz w:val="20"/>
        </w:rPr>
        <w:br/>
        <w:t>Ušpelis</w:t>
      </w:r>
      <w:r w:rsidR="00A774FC" w:rsidRPr="00A774FC">
        <w:rPr>
          <w:b w:val="0"/>
          <w:bCs/>
          <w:sz w:val="20"/>
        </w:rPr>
        <w:br/>
        <w:t xml:space="preserve">67013164, </w:t>
      </w:r>
      <w:hyperlink r:id="rId7" w:history="1">
        <w:r w:rsidR="00A774FC" w:rsidRPr="00A774FC">
          <w:rPr>
            <w:rStyle w:val="Hyperlink"/>
            <w:b w:val="0"/>
            <w:bCs/>
            <w:sz w:val="20"/>
          </w:rPr>
          <w:t>Janis.Uspelis@em.gov.lv</w:t>
        </w:r>
      </w:hyperlink>
    </w:p>
    <w:sectPr w:rsidR="00A774FC" w:rsidRPr="00A774FC" w:rsidSect="00A774FC">
      <w:headerReference w:type="default" r:id="rId8"/>
      <w:footerReference w:type="default" r:id="rId9"/>
      <w:footerReference w:type="first" r:id="rId10"/>
      <w:pgSz w:w="16838" w:h="11906" w:orient="landscape" w:code="9"/>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83" w:rsidRDefault="00060783" w:rsidP="00C96C01">
      <w:pPr>
        <w:spacing w:after="0" w:line="240" w:lineRule="auto"/>
      </w:pPr>
      <w:r>
        <w:separator/>
      </w:r>
    </w:p>
  </w:endnote>
  <w:endnote w:type="continuationSeparator" w:id="0">
    <w:p w:rsidR="00060783" w:rsidRDefault="00060783" w:rsidP="00C96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FC" w:rsidRPr="00A774FC" w:rsidRDefault="00F31ED1" w:rsidP="00A774FC">
    <w:pPr>
      <w:rPr>
        <w:rFonts w:ascii="Times New Roman" w:hAnsi="Times New Roman"/>
        <w:sz w:val="20"/>
        <w:szCs w:val="20"/>
      </w:rPr>
    </w:pPr>
    <w:r w:rsidRPr="00A774FC">
      <w:rPr>
        <w:rFonts w:ascii="Times New Roman" w:hAnsi="Times New Roman"/>
        <w:sz w:val="20"/>
        <w:szCs w:val="20"/>
      </w:rPr>
      <w:fldChar w:fldCharType="begin"/>
    </w:r>
    <w:r w:rsidR="00A774FC" w:rsidRPr="00A774FC">
      <w:rPr>
        <w:rFonts w:ascii="Times New Roman" w:hAnsi="Times New Roman"/>
        <w:sz w:val="20"/>
        <w:szCs w:val="20"/>
      </w:rPr>
      <w:instrText xml:space="preserve"> FILENAME  </w:instrText>
    </w:r>
    <w:r w:rsidRPr="00A774FC">
      <w:rPr>
        <w:rFonts w:ascii="Times New Roman" w:hAnsi="Times New Roman"/>
        <w:sz w:val="20"/>
        <w:szCs w:val="20"/>
      </w:rPr>
      <w:fldChar w:fldCharType="separate"/>
    </w:r>
    <w:r w:rsidR="00906E47">
      <w:rPr>
        <w:rFonts w:ascii="Times New Roman" w:hAnsi="Times New Roman"/>
        <w:noProof/>
        <w:sz w:val="20"/>
        <w:szCs w:val="20"/>
      </w:rPr>
      <w:t>EMZinop1_020212_BII</w:t>
    </w:r>
    <w:r w:rsidRPr="00A774FC">
      <w:rPr>
        <w:rFonts w:ascii="Times New Roman" w:hAnsi="Times New Roman"/>
        <w:sz w:val="20"/>
        <w:szCs w:val="20"/>
      </w:rPr>
      <w:fldChar w:fldCharType="end"/>
    </w:r>
    <w:r w:rsidR="00A774FC" w:rsidRPr="00A774FC">
      <w:rPr>
        <w:rFonts w:ascii="Times New Roman" w:hAnsi="Times New Roman"/>
        <w:sz w:val="20"/>
        <w:szCs w:val="20"/>
      </w:rPr>
      <w:t>; Informatīvais ziņojums par vadlīnijām būvniecības izmaksu indeksācijai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FC" w:rsidRPr="00A774FC" w:rsidRDefault="00F31ED1" w:rsidP="00A774FC">
    <w:pPr>
      <w:rPr>
        <w:rFonts w:ascii="Times New Roman" w:hAnsi="Times New Roman"/>
        <w:sz w:val="20"/>
        <w:szCs w:val="20"/>
      </w:rPr>
    </w:pPr>
    <w:r w:rsidRPr="00A774FC">
      <w:rPr>
        <w:rFonts w:ascii="Times New Roman" w:hAnsi="Times New Roman"/>
        <w:sz w:val="20"/>
        <w:szCs w:val="20"/>
      </w:rPr>
      <w:fldChar w:fldCharType="begin"/>
    </w:r>
    <w:r w:rsidR="00A774FC" w:rsidRPr="00A774FC">
      <w:rPr>
        <w:rFonts w:ascii="Times New Roman" w:hAnsi="Times New Roman"/>
        <w:sz w:val="20"/>
        <w:szCs w:val="20"/>
      </w:rPr>
      <w:instrText xml:space="preserve"> FILENAME  </w:instrText>
    </w:r>
    <w:r w:rsidRPr="00A774FC">
      <w:rPr>
        <w:rFonts w:ascii="Times New Roman" w:hAnsi="Times New Roman"/>
        <w:sz w:val="20"/>
        <w:szCs w:val="20"/>
      </w:rPr>
      <w:fldChar w:fldCharType="separate"/>
    </w:r>
    <w:r w:rsidR="00906E47">
      <w:rPr>
        <w:rFonts w:ascii="Times New Roman" w:hAnsi="Times New Roman"/>
        <w:noProof/>
        <w:sz w:val="20"/>
        <w:szCs w:val="20"/>
      </w:rPr>
      <w:t>EMZinop1_020212_BII</w:t>
    </w:r>
    <w:r w:rsidRPr="00A774FC">
      <w:rPr>
        <w:rFonts w:ascii="Times New Roman" w:hAnsi="Times New Roman"/>
        <w:sz w:val="20"/>
        <w:szCs w:val="20"/>
      </w:rPr>
      <w:fldChar w:fldCharType="end"/>
    </w:r>
    <w:r w:rsidR="00A774FC" w:rsidRPr="00A774FC">
      <w:rPr>
        <w:rFonts w:ascii="Times New Roman" w:hAnsi="Times New Roman"/>
        <w:sz w:val="20"/>
        <w:szCs w:val="20"/>
      </w:rPr>
      <w:t>; Informatīvais ziņojums par vadlīnijām būvniecības izmaksu indeksācijai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83" w:rsidRDefault="00060783" w:rsidP="00C96C01">
      <w:pPr>
        <w:spacing w:after="0" w:line="240" w:lineRule="auto"/>
      </w:pPr>
      <w:r>
        <w:separator/>
      </w:r>
    </w:p>
  </w:footnote>
  <w:footnote w:type="continuationSeparator" w:id="0">
    <w:p w:rsidR="00060783" w:rsidRDefault="00060783" w:rsidP="00C96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FC" w:rsidRPr="00A774FC" w:rsidRDefault="00F31ED1">
    <w:pPr>
      <w:pStyle w:val="Header"/>
      <w:jc w:val="center"/>
      <w:rPr>
        <w:rFonts w:ascii="Times New Roman" w:hAnsi="Times New Roman"/>
      </w:rPr>
    </w:pPr>
    <w:r w:rsidRPr="00A774FC">
      <w:rPr>
        <w:rFonts w:ascii="Times New Roman" w:hAnsi="Times New Roman"/>
      </w:rPr>
      <w:fldChar w:fldCharType="begin"/>
    </w:r>
    <w:r w:rsidR="00A774FC" w:rsidRPr="00A774FC">
      <w:rPr>
        <w:rFonts w:ascii="Times New Roman" w:hAnsi="Times New Roman"/>
      </w:rPr>
      <w:instrText xml:space="preserve"> PAGE   \* MERGEFORMAT </w:instrText>
    </w:r>
    <w:r w:rsidRPr="00A774FC">
      <w:rPr>
        <w:rFonts w:ascii="Times New Roman" w:hAnsi="Times New Roman"/>
      </w:rPr>
      <w:fldChar w:fldCharType="separate"/>
    </w:r>
    <w:r w:rsidR="00BA2994">
      <w:rPr>
        <w:rFonts w:ascii="Times New Roman" w:hAnsi="Times New Roman"/>
        <w:noProof/>
      </w:rPr>
      <w:t>5</w:t>
    </w:r>
    <w:r w:rsidRPr="00A774F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284"/>
    <w:multiLevelType w:val="hybridMultilevel"/>
    <w:tmpl w:val="41B4EF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B">
      <w:start w:val="1"/>
      <w:numFmt w:val="bullet"/>
      <w:lvlText w:val=""/>
      <w:lvlJc w:val="left"/>
      <w:pPr>
        <w:ind w:left="2880" w:hanging="360"/>
      </w:pPr>
      <w:rPr>
        <w:rFonts w:ascii="Wingdings" w:hAnsi="Wingding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C42281"/>
    <w:multiLevelType w:val="hybridMultilevel"/>
    <w:tmpl w:val="DAE2BBB4"/>
    <w:lvl w:ilvl="0" w:tplc="18A266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6AF75D4"/>
    <w:multiLevelType w:val="hybridMultilevel"/>
    <w:tmpl w:val="16369C64"/>
    <w:lvl w:ilvl="0" w:tplc="18A2664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nsid w:val="21A03386"/>
    <w:multiLevelType w:val="hybridMultilevel"/>
    <w:tmpl w:val="A162C26C"/>
    <w:lvl w:ilvl="0" w:tplc="3ED27CE6">
      <w:start w:val="1"/>
      <w:numFmt w:val="bullet"/>
      <w:lvlText w:val="•"/>
      <w:lvlJc w:val="left"/>
      <w:pPr>
        <w:tabs>
          <w:tab w:val="num" w:pos="720"/>
        </w:tabs>
        <w:ind w:left="720" w:hanging="360"/>
      </w:pPr>
      <w:rPr>
        <w:rFonts w:ascii="Times New Roman" w:hAnsi="Times New Roman" w:hint="default"/>
      </w:rPr>
    </w:lvl>
    <w:lvl w:ilvl="1" w:tplc="2286C4B6">
      <w:start w:val="1"/>
      <w:numFmt w:val="bullet"/>
      <w:lvlText w:val="•"/>
      <w:lvlJc w:val="left"/>
      <w:pPr>
        <w:tabs>
          <w:tab w:val="num" w:pos="1440"/>
        </w:tabs>
        <w:ind w:left="1440" w:hanging="360"/>
      </w:pPr>
      <w:rPr>
        <w:rFonts w:ascii="Times New Roman" w:hAnsi="Times New Roman" w:hint="default"/>
      </w:rPr>
    </w:lvl>
    <w:lvl w:ilvl="2" w:tplc="0554BEA2" w:tentative="1">
      <w:start w:val="1"/>
      <w:numFmt w:val="bullet"/>
      <w:lvlText w:val="•"/>
      <w:lvlJc w:val="left"/>
      <w:pPr>
        <w:tabs>
          <w:tab w:val="num" w:pos="2160"/>
        </w:tabs>
        <w:ind w:left="2160" w:hanging="360"/>
      </w:pPr>
      <w:rPr>
        <w:rFonts w:ascii="Times New Roman" w:hAnsi="Times New Roman" w:hint="default"/>
      </w:rPr>
    </w:lvl>
    <w:lvl w:ilvl="3" w:tplc="C63CA1DC" w:tentative="1">
      <w:start w:val="1"/>
      <w:numFmt w:val="bullet"/>
      <w:lvlText w:val="•"/>
      <w:lvlJc w:val="left"/>
      <w:pPr>
        <w:tabs>
          <w:tab w:val="num" w:pos="2880"/>
        </w:tabs>
        <w:ind w:left="2880" w:hanging="360"/>
      </w:pPr>
      <w:rPr>
        <w:rFonts w:ascii="Times New Roman" w:hAnsi="Times New Roman" w:hint="default"/>
      </w:rPr>
    </w:lvl>
    <w:lvl w:ilvl="4" w:tplc="0EF2A616" w:tentative="1">
      <w:start w:val="1"/>
      <w:numFmt w:val="bullet"/>
      <w:lvlText w:val="•"/>
      <w:lvlJc w:val="left"/>
      <w:pPr>
        <w:tabs>
          <w:tab w:val="num" w:pos="3600"/>
        </w:tabs>
        <w:ind w:left="3600" w:hanging="360"/>
      </w:pPr>
      <w:rPr>
        <w:rFonts w:ascii="Times New Roman" w:hAnsi="Times New Roman" w:hint="default"/>
      </w:rPr>
    </w:lvl>
    <w:lvl w:ilvl="5" w:tplc="30DA646E" w:tentative="1">
      <w:start w:val="1"/>
      <w:numFmt w:val="bullet"/>
      <w:lvlText w:val="•"/>
      <w:lvlJc w:val="left"/>
      <w:pPr>
        <w:tabs>
          <w:tab w:val="num" w:pos="4320"/>
        </w:tabs>
        <w:ind w:left="4320" w:hanging="360"/>
      </w:pPr>
      <w:rPr>
        <w:rFonts w:ascii="Times New Roman" w:hAnsi="Times New Roman" w:hint="default"/>
      </w:rPr>
    </w:lvl>
    <w:lvl w:ilvl="6" w:tplc="5ADC3F5C" w:tentative="1">
      <w:start w:val="1"/>
      <w:numFmt w:val="bullet"/>
      <w:lvlText w:val="•"/>
      <w:lvlJc w:val="left"/>
      <w:pPr>
        <w:tabs>
          <w:tab w:val="num" w:pos="5040"/>
        </w:tabs>
        <w:ind w:left="5040" w:hanging="360"/>
      </w:pPr>
      <w:rPr>
        <w:rFonts w:ascii="Times New Roman" w:hAnsi="Times New Roman" w:hint="default"/>
      </w:rPr>
    </w:lvl>
    <w:lvl w:ilvl="7" w:tplc="13A038C8" w:tentative="1">
      <w:start w:val="1"/>
      <w:numFmt w:val="bullet"/>
      <w:lvlText w:val="•"/>
      <w:lvlJc w:val="left"/>
      <w:pPr>
        <w:tabs>
          <w:tab w:val="num" w:pos="5760"/>
        </w:tabs>
        <w:ind w:left="5760" w:hanging="360"/>
      </w:pPr>
      <w:rPr>
        <w:rFonts w:ascii="Times New Roman" w:hAnsi="Times New Roman" w:hint="default"/>
      </w:rPr>
    </w:lvl>
    <w:lvl w:ilvl="8" w:tplc="C826DC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7B298F"/>
    <w:multiLevelType w:val="hybridMultilevel"/>
    <w:tmpl w:val="0A9430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8F30110"/>
    <w:multiLevelType w:val="hybridMultilevel"/>
    <w:tmpl w:val="F73EA4A2"/>
    <w:lvl w:ilvl="0" w:tplc="49FA59FE">
      <w:start w:val="1"/>
      <w:numFmt w:val="decimal"/>
      <w:lvlText w:val="%1."/>
      <w:lvlJc w:val="left"/>
      <w:pPr>
        <w:tabs>
          <w:tab w:val="num" w:pos="720"/>
        </w:tabs>
        <w:ind w:left="720" w:hanging="360"/>
      </w:pPr>
    </w:lvl>
    <w:lvl w:ilvl="1" w:tplc="F54021AC" w:tentative="1">
      <w:start w:val="1"/>
      <w:numFmt w:val="decimal"/>
      <w:lvlText w:val="%2."/>
      <w:lvlJc w:val="left"/>
      <w:pPr>
        <w:tabs>
          <w:tab w:val="num" w:pos="1440"/>
        </w:tabs>
        <w:ind w:left="1440" w:hanging="360"/>
      </w:pPr>
    </w:lvl>
    <w:lvl w:ilvl="2" w:tplc="04349C08" w:tentative="1">
      <w:start w:val="1"/>
      <w:numFmt w:val="decimal"/>
      <w:lvlText w:val="%3."/>
      <w:lvlJc w:val="left"/>
      <w:pPr>
        <w:tabs>
          <w:tab w:val="num" w:pos="2160"/>
        </w:tabs>
        <w:ind w:left="2160" w:hanging="360"/>
      </w:pPr>
    </w:lvl>
    <w:lvl w:ilvl="3" w:tplc="69EE2E22" w:tentative="1">
      <w:start w:val="1"/>
      <w:numFmt w:val="decimal"/>
      <w:lvlText w:val="%4."/>
      <w:lvlJc w:val="left"/>
      <w:pPr>
        <w:tabs>
          <w:tab w:val="num" w:pos="2880"/>
        </w:tabs>
        <w:ind w:left="2880" w:hanging="360"/>
      </w:pPr>
    </w:lvl>
    <w:lvl w:ilvl="4" w:tplc="4EF0C400" w:tentative="1">
      <w:start w:val="1"/>
      <w:numFmt w:val="decimal"/>
      <w:lvlText w:val="%5."/>
      <w:lvlJc w:val="left"/>
      <w:pPr>
        <w:tabs>
          <w:tab w:val="num" w:pos="3600"/>
        </w:tabs>
        <w:ind w:left="3600" w:hanging="360"/>
      </w:pPr>
    </w:lvl>
    <w:lvl w:ilvl="5" w:tplc="C1C4FCD4" w:tentative="1">
      <w:start w:val="1"/>
      <w:numFmt w:val="decimal"/>
      <w:lvlText w:val="%6."/>
      <w:lvlJc w:val="left"/>
      <w:pPr>
        <w:tabs>
          <w:tab w:val="num" w:pos="4320"/>
        </w:tabs>
        <w:ind w:left="4320" w:hanging="360"/>
      </w:pPr>
    </w:lvl>
    <w:lvl w:ilvl="6" w:tplc="1A40684A" w:tentative="1">
      <w:start w:val="1"/>
      <w:numFmt w:val="decimal"/>
      <w:lvlText w:val="%7."/>
      <w:lvlJc w:val="left"/>
      <w:pPr>
        <w:tabs>
          <w:tab w:val="num" w:pos="5040"/>
        </w:tabs>
        <w:ind w:left="5040" w:hanging="360"/>
      </w:pPr>
    </w:lvl>
    <w:lvl w:ilvl="7" w:tplc="6D0621FA" w:tentative="1">
      <w:start w:val="1"/>
      <w:numFmt w:val="decimal"/>
      <w:lvlText w:val="%8."/>
      <w:lvlJc w:val="left"/>
      <w:pPr>
        <w:tabs>
          <w:tab w:val="num" w:pos="5760"/>
        </w:tabs>
        <w:ind w:left="5760" w:hanging="360"/>
      </w:pPr>
    </w:lvl>
    <w:lvl w:ilvl="8" w:tplc="D4381C24" w:tentative="1">
      <w:start w:val="1"/>
      <w:numFmt w:val="decimal"/>
      <w:lvlText w:val="%9."/>
      <w:lvlJc w:val="left"/>
      <w:pPr>
        <w:tabs>
          <w:tab w:val="num" w:pos="6480"/>
        </w:tabs>
        <w:ind w:left="6480" w:hanging="360"/>
      </w:pPr>
    </w:lvl>
  </w:abstractNum>
  <w:abstractNum w:abstractNumId="6">
    <w:nsid w:val="3EC24D70"/>
    <w:multiLevelType w:val="hybridMultilevel"/>
    <w:tmpl w:val="1528EA9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613D37F6"/>
    <w:multiLevelType w:val="hybridMultilevel"/>
    <w:tmpl w:val="1FD807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B">
      <w:start w:val="1"/>
      <w:numFmt w:val="bullet"/>
      <w:lvlText w:val=""/>
      <w:lvlJc w:val="left"/>
      <w:pPr>
        <w:ind w:left="2880" w:hanging="360"/>
      </w:pPr>
      <w:rPr>
        <w:rFonts w:ascii="Wingdings" w:hAnsi="Wingding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34471AE"/>
    <w:multiLevelType w:val="hybridMultilevel"/>
    <w:tmpl w:val="C4187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793EC4"/>
    <w:multiLevelType w:val="hybridMultilevel"/>
    <w:tmpl w:val="CB90D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0B153A"/>
    <w:multiLevelType w:val="hybridMultilevel"/>
    <w:tmpl w:val="71EA8A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79050566"/>
    <w:multiLevelType w:val="hybridMultilevel"/>
    <w:tmpl w:val="C9CE703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B">
      <w:start w:val="1"/>
      <w:numFmt w:val="bullet"/>
      <w:lvlText w:val=""/>
      <w:lvlJc w:val="left"/>
      <w:pPr>
        <w:ind w:left="2880" w:hanging="360"/>
      </w:pPr>
      <w:rPr>
        <w:rFonts w:ascii="Wingdings" w:hAnsi="Wingding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9"/>
  </w:num>
  <w:num w:numId="5">
    <w:abstractNumId w:val="8"/>
  </w:num>
  <w:num w:numId="6">
    <w:abstractNumId w:val="1"/>
  </w:num>
  <w:num w:numId="7">
    <w:abstractNumId w:val="11"/>
  </w:num>
  <w:num w:numId="8">
    <w:abstractNumId w:val="2"/>
  </w:num>
  <w:num w:numId="9">
    <w:abstractNumId w:val="7"/>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3E2D"/>
    <w:rsid w:val="00060783"/>
    <w:rsid w:val="000A4E50"/>
    <w:rsid w:val="000C36A6"/>
    <w:rsid w:val="001056CF"/>
    <w:rsid w:val="00206F14"/>
    <w:rsid w:val="00237DD4"/>
    <w:rsid w:val="002417A7"/>
    <w:rsid w:val="002428D3"/>
    <w:rsid w:val="00273E2D"/>
    <w:rsid w:val="002F21BE"/>
    <w:rsid w:val="002F3B77"/>
    <w:rsid w:val="002F7CAB"/>
    <w:rsid w:val="003244D2"/>
    <w:rsid w:val="00373A20"/>
    <w:rsid w:val="0039018A"/>
    <w:rsid w:val="003B1630"/>
    <w:rsid w:val="003D7A37"/>
    <w:rsid w:val="003E70F7"/>
    <w:rsid w:val="00427D38"/>
    <w:rsid w:val="00444342"/>
    <w:rsid w:val="004B10D8"/>
    <w:rsid w:val="004B122C"/>
    <w:rsid w:val="004B14F6"/>
    <w:rsid w:val="00530DB7"/>
    <w:rsid w:val="0055068F"/>
    <w:rsid w:val="00567A4C"/>
    <w:rsid w:val="0057505F"/>
    <w:rsid w:val="005A5055"/>
    <w:rsid w:val="005B6EAB"/>
    <w:rsid w:val="00615438"/>
    <w:rsid w:val="006D5A72"/>
    <w:rsid w:val="00702E1E"/>
    <w:rsid w:val="00773497"/>
    <w:rsid w:val="00791856"/>
    <w:rsid w:val="007A65CC"/>
    <w:rsid w:val="007D224C"/>
    <w:rsid w:val="00824421"/>
    <w:rsid w:val="00825410"/>
    <w:rsid w:val="008556CD"/>
    <w:rsid w:val="00856891"/>
    <w:rsid w:val="00861F68"/>
    <w:rsid w:val="008713D9"/>
    <w:rsid w:val="008905B5"/>
    <w:rsid w:val="00891602"/>
    <w:rsid w:val="00906E47"/>
    <w:rsid w:val="00961E66"/>
    <w:rsid w:val="009F73A6"/>
    <w:rsid w:val="00A354D0"/>
    <w:rsid w:val="00A662AE"/>
    <w:rsid w:val="00A774FC"/>
    <w:rsid w:val="00A842F4"/>
    <w:rsid w:val="00AD2D55"/>
    <w:rsid w:val="00AF3CAF"/>
    <w:rsid w:val="00AF554C"/>
    <w:rsid w:val="00B14E0B"/>
    <w:rsid w:val="00B45ABB"/>
    <w:rsid w:val="00B6473A"/>
    <w:rsid w:val="00B93665"/>
    <w:rsid w:val="00BA2994"/>
    <w:rsid w:val="00BC55D6"/>
    <w:rsid w:val="00C05BC3"/>
    <w:rsid w:val="00C603BB"/>
    <w:rsid w:val="00C609FD"/>
    <w:rsid w:val="00C96C01"/>
    <w:rsid w:val="00CC1217"/>
    <w:rsid w:val="00CE66C7"/>
    <w:rsid w:val="00D11D6D"/>
    <w:rsid w:val="00D90970"/>
    <w:rsid w:val="00E02AE2"/>
    <w:rsid w:val="00E11A50"/>
    <w:rsid w:val="00E766D4"/>
    <w:rsid w:val="00E9374E"/>
    <w:rsid w:val="00F31ED1"/>
    <w:rsid w:val="00F82D55"/>
    <w:rsid w:val="00F94D7B"/>
    <w:rsid w:val="00FB2D9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D9D"/>
    <w:pPr>
      <w:ind w:left="720"/>
      <w:contextualSpacing/>
    </w:pPr>
  </w:style>
  <w:style w:type="paragraph" w:customStyle="1" w:styleId="DecimalAligned">
    <w:name w:val="Decimal Aligned"/>
    <w:basedOn w:val="Normal"/>
    <w:uiPriority w:val="40"/>
    <w:qFormat/>
    <w:rsid w:val="00791856"/>
    <w:pPr>
      <w:tabs>
        <w:tab w:val="decimal" w:pos="360"/>
      </w:tabs>
    </w:pPr>
    <w:rPr>
      <w:lang w:val="en-US" w:eastAsia="ja-JP"/>
    </w:rPr>
  </w:style>
  <w:style w:type="paragraph" w:styleId="FootnoteText">
    <w:name w:val="footnote text"/>
    <w:basedOn w:val="Normal"/>
    <w:link w:val="FootnoteTextChar"/>
    <w:uiPriority w:val="99"/>
    <w:unhideWhenUsed/>
    <w:rsid w:val="00791856"/>
    <w:pPr>
      <w:spacing w:after="0" w:line="240" w:lineRule="auto"/>
    </w:pPr>
    <w:rPr>
      <w:rFonts w:eastAsia="Times New Roman"/>
      <w:sz w:val="20"/>
      <w:szCs w:val="20"/>
      <w:lang w:val="en-US" w:eastAsia="ja-JP"/>
    </w:rPr>
  </w:style>
  <w:style w:type="character" w:customStyle="1" w:styleId="FootnoteTextChar">
    <w:name w:val="Footnote Text Char"/>
    <w:link w:val="FootnoteText"/>
    <w:uiPriority w:val="99"/>
    <w:rsid w:val="00791856"/>
    <w:rPr>
      <w:rFonts w:eastAsia="Times New Roman"/>
      <w:sz w:val="20"/>
      <w:szCs w:val="20"/>
      <w:lang w:val="en-US" w:eastAsia="ja-JP"/>
    </w:rPr>
  </w:style>
  <w:style w:type="character" w:styleId="SubtleEmphasis">
    <w:name w:val="Subtle Emphasis"/>
    <w:uiPriority w:val="19"/>
    <w:qFormat/>
    <w:rsid w:val="00791856"/>
    <w:rPr>
      <w:i/>
      <w:iCs/>
      <w:color w:val="7F7F7F"/>
    </w:rPr>
  </w:style>
  <w:style w:type="table" w:styleId="MediumShading2-Accent5">
    <w:name w:val="Medium Shading 2 Accent 5"/>
    <w:basedOn w:val="TableNormal"/>
    <w:uiPriority w:val="64"/>
    <w:rsid w:val="00791856"/>
    <w:rPr>
      <w:rFonts w:eastAsia="Times New Roman"/>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89160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C96C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C01"/>
  </w:style>
  <w:style w:type="paragraph" w:styleId="Footer">
    <w:name w:val="footer"/>
    <w:basedOn w:val="Normal"/>
    <w:link w:val="FooterChar"/>
    <w:uiPriority w:val="99"/>
    <w:unhideWhenUsed/>
    <w:rsid w:val="00C96C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C01"/>
  </w:style>
  <w:style w:type="character" w:styleId="Hyperlink">
    <w:name w:val="Hyperlink"/>
    <w:basedOn w:val="DefaultParagraphFont"/>
    <w:uiPriority w:val="99"/>
    <w:unhideWhenUsed/>
    <w:rsid w:val="00A774FC"/>
    <w:rPr>
      <w:color w:val="0000FF"/>
      <w:u w:val="single"/>
    </w:rPr>
  </w:style>
  <w:style w:type="paragraph" w:styleId="Subtitle">
    <w:name w:val="Subtitle"/>
    <w:basedOn w:val="Normal"/>
    <w:next w:val="Normal"/>
    <w:link w:val="SubtitleChar"/>
    <w:qFormat/>
    <w:rsid w:val="00A774FC"/>
    <w:pPr>
      <w:keepNext/>
      <w:keepLines/>
      <w:widowControl w:val="0"/>
      <w:suppressAutoHyphens/>
      <w:spacing w:before="600" w:after="600" w:line="240" w:lineRule="auto"/>
      <w:ind w:right="4820"/>
    </w:pPr>
    <w:rPr>
      <w:rFonts w:ascii="Times New Roman" w:eastAsia="Times New Roman" w:hAnsi="Times New Roman"/>
      <w:b/>
      <w:sz w:val="24"/>
      <w:szCs w:val="24"/>
    </w:rPr>
  </w:style>
  <w:style w:type="character" w:customStyle="1" w:styleId="SubtitleChar">
    <w:name w:val="Subtitle Char"/>
    <w:basedOn w:val="DefaultParagraphFont"/>
    <w:link w:val="Subtitle"/>
    <w:rsid w:val="00A774FC"/>
    <w:rPr>
      <w:rFonts w:ascii="Times New Roman" w:eastAsia="Times New Roman" w:hAnsi="Times New Roman"/>
      <w:b/>
      <w:sz w:val="24"/>
      <w:szCs w:val="24"/>
      <w:lang w:eastAsia="en-US"/>
    </w:rPr>
  </w:style>
</w:styles>
</file>

<file path=word/webSettings.xml><?xml version="1.0" encoding="utf-8"?>
<w:webSettings xmlns:r="http://schemas.openxmlformats.org/officeDocument/2006/relationships" xmlns:w="http://schemas.openxmlformats.org/wordprocessingml/2006/main">
  <w:divs>
    <w:div w:id="52895480">
      <w:bodyDiv w:val="1"/>
      <w:marLeft w:val="0"/>
      <w:marRight w:val="0"/>
      <w:marTop w:val="0"/>
      <w:marBottom w:val="0"/>
      <w:divBdr>
        <w:top w:val="none" w:sz="0" w:space="0" w:color="auto"/>
        <w:left w:val="none" w:sz="0" w:space="0" w:color="auto"/>
        <w:bottom w:val="none" w:sz="0" w:space="0" w:color="auto"/>
        <w:right w:val="none" w:sz="0" w:space="0" w:color="auto"/>
      </w:divBdr>
    </w:div>
    <w:div w:id="68307374">
      <w:bodyDiv w:val="1"/>
      <w:marLeft w:val="0"/>
      <w:marRight w:val="0"/>
      <w:marTop w:val="0"/>
      <w:marBottom w:val="0"/>
      <w:divBdr>
        <w:top w:val="none" w:sz="0" w:space="0" w:color="auto"/>
        <w:left w:val="none" w:sz="0" w:space="0" w:color="auto"/>
        <w:bottom w:val="none" w:sz="0" w:space="0" w:color="auto"/>
        <w:right w:val="none" w:sz="0" w:space="0" w:color="auto"/>
      </w:divBdr>
    </w:div>
    <w:div w:id="128136344">
      <w:bodyDiv w:val="1"/>
      <w:marLeft w:val="0"/>
      <w:marRight w:val="0"/>
      <w:marTop w:val="0"/>
      <w:marBottom w:val="0"/>
      <w:divBdr>
        <w:top w:val="none" w:sz="0" w:space="0" w:color="auto"/>
        <w:left w:val="none" w:sz="0" w:space="0" w:color="auto"/>
        <w:bottom w:val="none" w:sz="0" w:space="0" w:color="auto"/>
        <w:right w:val="none" w:sz="0" w:space="0" w:color="auto"/>
      </w:divBdr>
    </w:div>
    <w:div w:id="613369495">
      <w:bodyDiv w:val="1"/>
      <w:marLeft w:val="0"/>
      <w:marRight w:val="0"/>
      <w:marTop w:val="0"/>
      <w:marBottom w:val="0"/>
      <w:divBdr>
        <w:top w:val="none" w:sz="0" w:space="0" w:color="auto"/>
        <w:left w:val="none" w:sz="0" w:space="0" w:color="auto"/>
        <w:bottom w:val="none" w:sz="0" w:space="0" w:color="auto"/>
        <w:right w:val="none" w:sz="0" w:space="0" w:color="auto"/>
      </w:divBdr>
    </w:div>
    <w:div w:id="1015885705">
      <w:bodyDiv w:val="1"/>
      <w:marLeft w:val="0"/>
      <w:marRight w:val="0"/>
      <w:marTop w:val="0"/>
      <w:marBottom w:val="0"/>
      <w:divBdr>
        <w:top w:val="none" w:sz="0" w:space="0" w:color="auto"/>
        <w:left w:val="none" w:sz="0" w:space="0" w:color="auto"/>
        <w:bottom w:val="none" w:sz="0" w:space="0" w:color="auto"/>
        <w:right w:val="none" w:sz="0" w:space="0" w:color="auto"/>
      </w:divBdr>
    </w:div>
    <w:div w:id="1101612085">
      <w:bodyDiv w:val="1"/>
      <w:marLeft w:val="0"/>
      <w:marRight w:val="0"/>
      <w:marTop w:val="0"/>
      <w:marBottom w:val="0"/>
      <w:divBdr>
        <w:top w:val="none" w:sz="0" w:space="0" w:color="auto"/>
        <w:left w:val="none" w:sz="0" w:space="0" w:color="auto"/>
        <w:bottom w:val="none" w:sz="0" w:space="0" w:color="auto"/>
        <w:right w:val="none" w:sz="0" w:space="0" w:color="auto"/>
      </w:divBdr>
    </w:div>
    <w:div w:id="1427652913">
      <w:bodyDiv w:val="1"/>
      <w:marLeft w:val="0"/>
      <w:marRight w:val="0"/>
      <w:marTop w:val="0"/>
      <w:marBottom w:val="0"/>
      <w:divBdr>
        <w:top w:val="none" w:sz="0" w:space="0" w:color="auto"/>
        <w:left w:val="none" w:sz="0" w:space="0" w:color="auto"/>
        <w:bottom w:val="none" w:sz="0" w:space="0" w:color="auto"/>
        <w:right w:val="none" w:sz="0" w:space="0" w:color="auto"/>
      </w:divBdr>
      <w:divsChild>
        <w:div w:id="321281126">
          <w:marLeft w:val="504"/>
          <w:marRight w:val="0"/>
          <w:marTop w:val="67"/>
          <w:marBottom w:val="202"/>
          <w:divBdr>
            <w:top w:val="none" w:sz="0" w:space="0" w:color="auto"/>
            <w:left w:val="none" w:sz="0" w:space="0" w:color="auto"/>
            <w:bottom w:val="none" w:sz="0" w:space="0" w:color="auto"/>
            <w:right w:val="none" w:sz="0" w:space="0" w:color="auto"/>
          </w:divBdr>
        </w:div>
      </w:divsChild>
    </w:div>
    <w:div w:id="1482304895">
      <w:bodyDiv w:val="1"/>
      <w:marLeft w:val="0"/>
      <w:marRight w:val="0"/>
      <w:marTop w:val="0"/>
      <w:marBottom w:val="0"/>
      <w:divBdr>
        <w:top w:val="none" w:sz="0" w:space="0" w:color="auto"/>
        <w:left w:val="none" w:sz="0" w:space="0" w:color="auto"/>
        <w:bottom w:val="none" w:sz="0" w:space="0" w:color="auto"/>
        <w:right w:val="none" w:sz="0" w:space="0" w:color="auto"/>
      </w:divBdr>
      <w:divsChild>
        <w:div w:id="1819154119">
          <w:marLeft w:val="763"/>
          <w:marRight w:val="0"/>
          <w:marTop w:val="33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Uspeli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821</Words>
  <Characters>5627</Characters>
  <Application>Microsoft Office Word</Application>
  <DocSecurity>0</DocSecurity>
  <Lines>375</Lines>
  <Paragraphs>102</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vadlīnijām būvniecības izmaksu indeksācijai</dc:title>
  <dc:subject>1.pielikums</dc:subject>
  <dc:creator>Jānis Ušpelis</dc:creator>
  <cp:keywords/>
  <dc:description/>
  <cp:lastModifiedBy>Jānis Ušpelis</cp:lastModifiedBy>
  <cp:revision>7</cp:revision>
  <dcterms:created xsi:type="dcterms:W3CDTF">2012-02-01T09:14:00Z</dcterms:created>
  <dcterms:modified xsi:type="dcterms:W3CDTF">2012-02-03T08:55:00Z</dcterms:modified>
</cp:coreProperties>
</file>