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49" w:rsidRPr="0061389E" w:rsidRDefault="00D332C7" w:rsidP="007062AD">
      <w:pPr>
        <w:pStyle w:val="naislab"/>
        <w:jc w:val="center"/>
        <w:outlineLvl w:val="0"/>
        <w:rPr>
          <w:b/>
        </w:rPr>
      </w:pPr>
      <w:r w:rsidRPr="0061389E">
        <w:rPr>
          <w:b/>
          <w:bCs/>
        </w:rPr>
        <w:t xml:space="preserve">Ministru kabineta noteikumu projekta </w:t>
      </w:r>
      <w:r w:rsidR="00B91E5A" w:rsidRPr="0061389E">
        <w:rPr>
          <w:b/>
          <w:bCs/>
        </w:rPr>
        <w:br/>
      </w:r>
      <w:r w:rsidRPr="0061389E">
        <w:rPr>
          <w:b/>
          <w:bCs/>
        </w:rPr>
        <w:t>„</w:t>
      </w:r>
      <w:r w:rsidR="007062AD" w:rsidRPr="007062AD">
        <w:rPr>
          <w:b/>
        </w:rPr>
        <w:t>Grozījumi Ministru kabineta 1997.</w:t>
      </w:r>
      <w:r w:rsidR="006D0B40">
        <w:rPr>
          <w:b/>
        </w:rPr>
        <w:t> </w:t>
      </w:r>
      <w:r w:rsidR="007062AD" w:rsidRPr="007062AD">
        <w:rPr>
          <w:b/>
        </w:rPr>
        <w:t>gada 23.</w:t>
      </w:r>
      <w:r w:rsidR="006D0B40">
        <w:rPr>
          <w:b/>
        </w:rPr>
        <w:t> </w:t>
      </w:r>
      <w:r w:rsidR="007062AD" w:rsidRPr="007062AD">
        <w:rPr>
          <w:b/>
        </w:rPr>
        <w:t>decembra noteikumos Nr.</w:t>
      </w:r>
      <w:r w:rsidR="006D0B40">
        <w:rPr>
          <w:b/>
        </w:rPr>
        <w:t> </w:t>
      </w:r>
      <w:r w:rsidR="007062AD" w:rsidRPr="007062AD">
        <w:rPr>
          <w:b/>
        </w:rPr>
        <w:t>451 "Noteikumi par Latvijas būvnormatīvu LBN 203-97 "Betona un dzelzsbetona konstrukciju projektēšanas normas""</w:t>
      </w:r>
      <w:r w:rsidRPr="0061389E">
        <w:rPr>
          <w:b/>
          <w:bCs/>
        </w:rPr>
        <w:t>”</w:t>
      </w:r>
      <w:r w:rsidR="00B91E5A" w:rsidRPr="0061389E">
        <w:rPr>
          <w:b/>
          <w:bCs/>
        </w:rPr>
        <w:t xml:space="preserve"> </w:t>
      </w:r>
      <w:r w:rsidR="00852042" w:rsidRPr="0061389E">
        <w:rPr>
          <w:b/>
        </w:rPr>
        <w:t>sākotnējā</w:t>
      </w:r>
      <w:r w:rsidR="002D3306" w:rsidRPr="0061389E">
        <w:rPr>
          <w:b/>
        </w:rPr>
        <w:t>s</w:t>
      </w:r>
      <w:r w:rsidR="00852042" w:rsidRPr="0061389E">
        <w:rPr>
          <w:b/>
        </w:rPr>
        <w:t xml:space="preserve"> ietekmes novērtējuma ziņojums (anotācija)</w:t>
      </w:r>
    </w:p>
    <w:p w:rsidR="00D332C7" w:rsidRPr="0061389E" w:rsidRDefault="00D332C7" w:rsidP="0061389E">
      <w:pPr>
        <w:pStyle w:val="naislab"/>
        <w:jc w:val="center"/>
        <w:outlineLvl w:val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1"/>
        <w:gridCol w:w="2785"/>
        <w:gridCol w:w="5060"/>
      </w:tblGrid>
      <w:tr w:rsidR="004A203F" w:rsidRPr="0061389E" w:rsidTr="004A203F">
        <w:trPr>
          <w:tblCellSpacing w:w="0" w:type="dxa"/>
        </w:trPr>
        <w:tc>
          <w:tcPr>
            <w:tcW w:w="8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nod"/>
              <w:ind w:left="-142" w:firstLine="142"/>
            </w:pPr>
            <w:r w:rsidRPr="0061389E">
              <w:t> I Tiesību akta projekta izstrādes nepieciešamība</w:t>
            </w:r>
          </w:p>
        </w:tc>
      </w:tr>
      <w:tr w:rsidR="004A203F" w:rsidRPr="0061389E" w:rsidTr="0062644A">
        <w:trPr>
          <w:trHeight w:val="630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-142" w:firstLine="142"/>
              <w:jc w:val="center"/>
            </w:pPr>
            <w:r w:rsidRPr="0061389E">
              <w:t>1.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180" w:right="127" w:hanging="10"/>
              <w:jc w:val="both"/>
            </w:pPr>
            <w:r w:rsidRPr="0061389E">
              <w:t>Pamatojums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A45" w:rsidRPr="0061389E" w:rsidRDefault="00A76FC8" w:rsidP="00A76FC8">
            <w:pPr>
              <w:pStyle w:val="naiskr"/>
              <w:ind w:left="129" w:right="127" w:firstLine="142"/>
              <w:jc w:val="both"/>
            </w:pPr>
            <w:r>
              <w:t>Ministru kabineta noteikumu projekts „Grozījumi Ministru kabineta 1997.</w:t>
            </w:r>
            <w:r w:rsidR="006D0B40">
              <w:t> </w:t>
            </w:r>
            <w:r>
              <w:t>gada 23.</w:t>
            </w:r>
            <w:r w:rsidR="006D0B40">
              <w:t> </w:t>
            </w:r>
            <w:r>
              <w:t>decembra noteikumos Nr.</w:t>
            </w:r>
            <w:r w:rsidR="006D0B40">
              <w:t> </w:t>
            </w:r>
            <w:r>
              <w:t xml:space="preserve">451 "Noteikumi par Latvijas būvnormatīvu LBN 203-97 "Betona un dzelzsbetona konstrukciju projektēšanas normas""” </w:t>
            </w:r>
            <w:r w:rsidR="00DF63AB">
              <w:t xml:space="preserve">(turpmāk – noteikumu projekts) </w:t>
            </w:r>
            <w:r>
              <w:t>ir izstrādāts atbilstoši Būvniecības likuma 22.</w:t>
            </w:r>
            <w:r w:rsidR="006D0B40">
              <w:t> </w:t>
            </w:r>
            <w:r>
              <w:t xml:space="preserve">pantam, kas nosaka Ministru kabinetam deleģējumu apstiprināt Latvijas būvnormatīvus, </w:t>
            </w:r>
            <w:r w:rsidRPr="00A76FC8">
              <w:t>kas nosaka pieļaujamos tehniskos parametrus, kritērijus un ierobežojumus</w:t>
            </w:r>
            <w:r>
              <w:t>.</w:t>
            </w:r>
          </w:p>
        </w:tc>
      </w:tr>
      <w:tr w:rsidR="004A203F" w:rsidRPr="0061389E" w:rsidTr="0062644A">
        <w:trPr>
          <w:trHeight w:val="472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-142" w:firstLine="142"/>
              <w:jc w:val="center"/>
            </w:pPr>
            <w:r w:rsidRPr="0061389E">
              <w:t>2.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tabs>
                <w:tab w:val="left" w:pos="170"/>
              </w:tabs>
              <w:ind w:left="170" w:right="127"/>
              <w:jc w:val="both"/>
            </w:pPr>
            <w:r w:rsidRPr="0061389E">
              <w:t>Pašreizējā situācija un problēmas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A24" w:rsidRDefault="00DF63AB" w:rsidP="00DF63AB">
            <w:pPr>
              <w:pStyle w:val="naiskr"/>
              <w:ind w:left="129" w:right="127" w:firstLine="129"/>
              <w:jc w:val="both"/>
              <w:rPr>
                <w:iCs/>
              </w:rPr>
            </w:pPr>
            <w:r w:rsidRPr="00DF63AB">
              <w:rPr>
                <w:iCs/>
              </w:rPr>
              <w:t>Ministru kabineta 1997.</w:t>
            </w:r>
            <w:r w:rsidR="006D0B40">
              <w:rPr>
                <w:iCs/>
              </w:rPr>
              <w:t> </w:t>
            </w:r>
            <w:r w:rsidRPr="00DF63AB">
              <w:rPr>
                <w:iCs/>
              </w:rPr>
              <w:t>gada 23.</w:t>
            </w:r>
            <w:r w:rsidR="006D0B40">
              <w:rPr>
                <w:iCs/>
              </w:rPr>
              <w:t> </w:t>
            </w:r>
            <w:r w:rsidRPr="00DF63AB">
              <w:rPr>
                <w:iCs/>
              </w:rPr>
              <w:t>decembra noteikum</w:t>
            </w:r>
            <w:r>
              <w:rPr>
                <w:iCs/>
              </w:rPr>
              <w:t>u</w:t>
            </w:r>
            <w:r w:rsidRPr="00DF63AB">
              <w:rPr>
                <w:iCs/>
              </w:rPr>
              <w:t xml:space="preserve"> Nr.</w:t>
            </w:r>
            <w:r w:rsidR="006D0B40">
              <w:rPr>
                <w:iCs/>
              </w:rPr>
              <w:t> </w:t>
            </w:r>
            <w:r w:rsidRPr="00DF63AB">
              <w:rPr>
                <w:iCs/>
              </w:rPr>
              <w:t>451 "Noteikumi par Latvijas būvnormatīvu LBN 203-97 "Betona un dzelzsbetona konstrukciju projektēšanas normas""</w:t>
            </w:r>
            <w:r>
              <w:rPr>
                <w:iCs/>
              </w:rPr>
              <w:t xml:space="preserve"> (turpmāk – noteikumi) </w:t>
            </w:r>
            <w:r w:rsidR="007B4A24">
              <w:rPr>
                <w:iCs/>
              </w:rPr>
              <w:t>345. un 355. punktā ir ietverta kļūdaina atsauce uz neesošu 1.18. apakšpunktu, kas saglabājusies no Latvijas Republikas Arhitektūras un celtniecības ministrijas 1992.</w:t>
            </w:r>
            <w:r w:rsidR="006D0B40">
              <w:rPr>
                <w:iCs/>
              </w:rPr>
              <w:t> </w:t>
            </w:r>
            <w:r w:rsidR="007B4A24">
              <w:rPr>
                <w:iCs/>
              </w:rPr>
              <w:t>gadā izdotā Latvijas būvnormatīva „Betona un dzelzsbetona konstrukcijas”.</w:t>
            </w:r>
          </w:p>
          <w:p w:rsidR="00DF63AB" w:rsidRDefault="007B4A24" w:rsidP="007B4A24">
            <w:pPr>
              <w:pStyle w:val="naiskr"/>
              <w:ind w:left="129" w:right="127" w:firstLine="129"/>
              <w:jc w:val="both"/>
              <w:rPr>
                <w:iCs/>
              </w:rPr>
            </w:pPr>
            <w:r>
              <w:rPr>
                <w:iCs/>
              </w:rPr>
              <w:t xml:space="preserve">Pašreizējā noteikumu redakcijā </w:t>
            </w:r>
            <w:r w:rsidR="00DF63AB">
              <w:rPr>
                <w:iCs/>
              </w:rPr>
              <w:t xml:space="preserve">norādītā iestāde sabiedrība ar ierobežotu atbildību „Latvijas </w:t>
            </w:r>
            <w:r w:rsidR="00236293">
              <w:rPr>
                <w:iCs/>
              </w:rPr>
              <w:t>S</w:t>
            </w:r>
            <w:r w:rsidR="00DF63AB">
              <w:rPr>
                <w:iCs/>
              </w:rPr>
              <w:t>tandarts” ir mainījusi juridisko statusu uz sabiedrība ar ierobežotu atbildību „</w:t>
            </w:r>
            <w:r w:rsidR="00DF63AB" w:rsidRPr="00DF63AB">
              <w:rPr>
                <w:iCs/>
              </w:rPr>
              <w:t>Standartizācijas, akreditācijas un metroloģijas centrs</w:t>
            </w:r>
            <w:r w:rsidR="00835622">
              <w:rPr>
                <w:iCs/>
              </w:rPr>
              <w:t>”</w:t>
            </w:r>
            <w:r w:rsidR="003748DB">
              <w:rPr>
                <w:iCs/>
              </w:rPr>
              <w:t xml:space="preserve"> (turpmāk – LVS)</w:t>
            </w:r>
            <w:r w:rsidR="00835622">
              <w:rPr>
                <w:iCs/>
              </w:rPr>
              <w:t>.</w:t>
            </w:r>
          </w:p>
          <w:p w:rsidR="00B00D9F" w:rsidRDefault="00AF1F56" w:rsidP="007B4A24">
            <w:pPr>
              <w:pStyle w:val="naiskr"/>
              <w:ind w:left="129" w:right="127" w:firstLine="129"/>
              <w:jc w:val="both"/>
              <w:rPr>
                <w:iCs/>
                <w:u w:val="single"/>
              </w:rPr>
            </w:pPr>
            <w:r w:rsidRPr="003748DB">
              <w:rPr>
                <w:iCs/>
                <w:u w:val="single"/>
              </w:rPr>
              <w:t>Nozares pārstāvji ir norādījuši uz pašreizējā piemērojamo standartu saraksta publicēšanas neefektivitāti</w:t>
            </w:r>
            <w:r w:rsidR="003748DB" w:rsidRPr="003748DB">
              <w:rPr>
                <w:iCs/>
                <w:u w:val="single"/>
              </w:rPr>
              <w:t xml:space="preserve"> </w:t>
            </w:r>
            <w:r w:rsidR="003748DB">
              <w:rPr>
                <w:iCs/>
                <w:u w:val="single"/>
              </w:rPr>
              <w:t xml:space="preserve">(publicējot to laikrakstā „Latvijas Vēstnesis, lai arī to piemērošana nav obligāta prasība) </w:t>
            </w:r>
            <w:r w:rsidR="003748DB" w:rsidRPr="003748DB">
              <w:rPr>
                <w:iCs/>
                <w:u w:val="single"/>
              </w:rPr>
              <w:t xml:space="preserve">un to, ka praksē izmanto LVS </w:t>
            </w:r>
            <w:proofErr w:type="spellStart"/>
            <w:r w:rsidR="003748DB" w:rsidRPr="003748DB">
              <w:rPr>
                <w:iCs/>
                <w:u w:val="single"/>
              </w:rPr>
              <w:t>mājaslapā</w:t>
            </w:r>
            <w:proofErr w:type="spellEnd"/>
            <w:r w:rsidR="003748DB" w:rsidRPr="003748DB">
              <w:rPr>
                <w:iCs/>
                <w:u w:val="single"/>
              </w:rPr>
              <w:t xml:space="preserve"> publicētos normatīvo aktu izpildei piemērojamo standartu </w:t>
            </w:r>
            <w:r w:rsidR="003748DB">
              <w:rPr>
                <w:iCs/>
                <w:u w:val="single"/>
              </w:rPr>
              <w:t xml:space="preserve">sarakstus. </w:t>
            </w:r>
          </w:p>
          <w:p w:rsidR="00AF1F56" w:rsidRPr="003748DB" w:rsidRDefault="003748DB" w:rsidP="007B4A24">
            <w:pPr>
              <w:pStyle w:val="naiskr"/>
              <w:ind w:left="129" w:right="127" w:firstLine="129"/>
              <w:jc w:val="both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Jāpiemin, ka pašlaik grozāmajos noteikumos nav norādes par piemērojamo standartu publicēšanu LVS </w:t>
            </w:r>
            <w:proofErr w:type="spellStart"/>
            <w:r>
              <w:rPr>
                <w:iCs/>
                <w:u w:val="single"/>
              </w:rPr>
              <w:t>mājaslapā</w:t>
            </w:r>
            <w:proofErr w:type="spellEnd"/>
            <w:r>
              <w:rPr>
                <w:iCs/>
                <w:u w:val="single"/>
              </w:rPr>
              <w:t>.</w:t>
            </w:r>
          </w:p>
          <w:p w:rsidR="00835622" w:rsidRPr="003748DB" w:rsidRDefault="00835622" w:rsidP="00835622">
            <w:pPr>
              <w:pStyle w:val="naiskr"/>
              <w:ind w:left="129" w:right="127" w:firstLine="129"/>
              <w:jc w:val="both"/>
              <w:rPr>
                <w:iCs/>
              </w:rPr>
            </w:pPr>
            <w:r w:rsidRPr="003748DB">
              <w:rPr>
                <w:iCs/>
              </w:rPr>
              <w:t>Piemērojamo standartu publicēšanas kārtība, kā arī pieļaujamība tos izmantot būvnormatīva izpildei ir norādīta noteikumu 5.</w:t>
            </w:r>
            <w:r w:rsidRPr="003748DB">
              <w:rPr>
                <w:iCs/>
                <w:vertAlign w:val="superscript"/>
              </w:rPr>
              <w:t>2</w:t>
            </w:r>
            <w:r w:rsidRPr="003748DB">
              <w:rPr>
                <w:iCs/>
              </w:rPr>
              <w:t xml:space="preserve"> 2. apakšpunktā, </w:t>
            </w:r>
            <w:r w:rsidRPr="003748DB">
              <w:rPr>
                <w:iCs/>
              </w:rPr>
              <w:lastRenderedPageBreak/>
              <w:t>savukārt būvnormatīva 12.</w:t>
            </w:r>
            <w:r w:rsidRPr="003748DB">
              <w:rPr>
                <w:iCs/>
                <w:vertAlign w:val="superscript"/>
              </w:rPr>
              <w:t>1</w:t>
            </w:r>
            <w:r w:rsidRPr="003748DB">
              <w:rPr>
                <w:iCs/>
              </w:rPr>
              <w:t> punktā tiek pieļauts izmantot piemērojamos standartus, tādējādi daļēji dublējot noteikumu 5.</w:t>
            </w:r>
            <w:r w:rsidRPr="003748DB">
              <w:rPr>
                <w:iCs/>
                <w:vertAlign w:val="superscript"/>
              </w:rPr>
              <w:t>2</w:t>
            </w:r>
            <w:r w:rsidRPr="003748DB">
              <w:rPr>
                <w:iCs/>
              </w:rPr>
              <w:t xml:space="preserve"> 2. apakšpunktā noteikto.  </w:t>
            </w:r>
          </w:p>
        </w:tc>
      </w:tr>
      <w:tr w:rsidR="004A203F" w:rsidRPr="0061389E" w:rsidTr="0062644A">
        <w:trPr>
          <w:trHeight w:val="733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-142" w:firstLine="142"/>
              <w:jc w:val="center"/>
            </w:pPr>
            <w:r w:rsidRPr="0061389E">
              <w:lastRenderedPageBreak/>
              <w:t>3.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170" w:right="127"/>
              <w:jc w:val="both"/>
            </w:pPr>
            <w:r w:rsidRPr="0061389E">
              <w:t>Saistītie politikas ietekmes novērtējumi un pētījumi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CD67ED" w:rsidP="0061389E">
            <w:pPr>
              <w:pStyle w:val="FootnoteText"/>
              <w:ind w:left="129" w:right="127" w:firstLine="142"/>
              <w:jc w:val="both"/>
              <w:rPr>
                <w:sz w:val="24"/>
                <w:szCs w:val="24"/>
              </w:rPr>
            </w:pPr>
            <w:r w:rsidRPr="00CD67ED">
              <w:rPr>
                <w:sz w:val="24"/>
                <w:szCs w:val="24"/>
              </w:rPr>
              <w:t>Projekts šo jomu neskar.</w:t>
            </w:r>
          </w:p>
        </w:tc>
      </w:tr>
      <w:tr w:rsidR="004A203F" w:rsidRPr="00D52A2E" w:rsidTr="005B44DB">
        <w:trPr>
          <w:cantSplit/>
          <w:trHeight w:val="411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-142" w:firstLine="142"/>
              <w:jc w:val="center"/>
            </w:pPr>
            <w:r w:rsidRPr="0061389E">
              <w:t>4.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170" w:right="127"/>
              <w:jc w:val="both"/>
            </w:pPr>
            <w:r w:rsidRPr="0061389E">
              <w:t>Tiesiskā regulējuma mērķis un būtība</w:t>
            </w:r>
          </w:p>
          <w:p w:rsidR="004A203F" w:rsidRPr="0061389E" w:rsidRDefault="004A203F" w:rsidP="0061389E">
            <w:pPr>
              <w:pStyle w:val="naiskr"/>
              <w:ind w:left="170" w:right="127"/>
              <w:jc w:val="both"/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A24" w:rsidRPr="00D52A2E" w:rsidRDefault="00236293" w:rsidP="007B4A24">
            <w:pPr>
              <w:pStyle w:val="naiskr"/>
              <w:ind w:left="129" w:right="127" w:firstLine="142"/>
              <w:jc w:val="both"/>
            </w:pPr>
            <w:r w:rsidRPr="00D52A2E">
              <w:t>Redakcionāli precizēt</w:t>
            </w:r>
            <w:r w:rsidR="007B4A24" w:rsidRPr="00D52A2E">
              <w:t>:</w:t>
            </w:r>
            <w:r w:rsidRPr="00D52A2E">
              <w:t xml:space="preserve"> </w:t>
            </w:r>
          </w:p>
          <w:p w:rsidR="007B4A24" w:rsidRPr="00D52A2E" w:rsidRDefault="007B4A24" w:rsidP="007B4A24">
            <w:pPr>
              <w:pStyle w:val="naiskr"/>
              <w:numPr>
                <w:ilvl w:val="0"/>
                <w:numId w:val="17"/>
              </w:numPr>
              <w:ind w:left="410" w:right="127" w:hanging="283"/>
              <w:jc w:val="both"/>
            </w:pPr>
            <w:r w:rsidRPr="00D52A2E">
              <w:t>atsauces uz Latvijas būvnormatīva 34. punktu, nov</w:t>
            </w:r>
            <w:r w:rsidR="006D0B40" w:rsidRPr="00D52A2E">
              <w:t>ēršot kļūdainu atsauci uz 1.18. </w:t>
            </w:r>
            <w:r w:rsidRPr="00D52A2E">
              <w:t xml:space="preserve">apakšpunktu, </w:t>
            </w:r>
          </w:p>
          <w:p w:rsidR="00A70D5E" w:rsidRDefault="00236293" w:rsidP="00636E83">
            <w:pPr>
              <w:pStyle w:val="naiskr"/>
              <w:numPr>
                <w:ilvl w:val="0"/>
                <w:numId w:val="17"/>
              </w:numPr>
              <w:ind w:left="410" w:right="127" w:hanging="283"/>
              <w:jc w:val="both"/>
            </w:pPr>
            <w:r w:rsidRPr="00D52A2E">
              <w:t>SIA „Latvijas Standarts” mainīto juridisko nosaukumu uz SIA „Standartizācijas, akreditācijas un metroloģijas centrs”</w:t>
            </w:r>
            <w:r w:rsidR="00636E83" w:rsidRPr="00D52A2E">
              <w:t>,</w:t>
            </w:r>
          </w:p>
          <w:p w:rsidR="003748DB" w:rsidRPr="00B00D9F" w:rsidRDefault="003748DB" w:rsidP="00636E83">
            <w:pPr>
              <w:pStyle w:val="naiskr"/>
              <w:numPr>
                <w:ilvl w:val="0"/>
                <w:numId w:val="17"/>
              </w:numPr>
              <w:ind w:left="410" w:right="127" w:hanging="283"/>
              <w:jc w:val="both"/>
              <w:rPr>
                <w:u w:val="single"/>
              </w:rPr>
            </w:pPr>
            <w:r w:rsidRPr="00B00D9F">
              <w:rPr>
                <w:u w:val="single"/>
              </w:rPr>
              <w:t xml:space="preserve">norādi publicēt piemērojamo standartu sarakstu LVS </w:t>
            </w:r>
            <w:proofErr w:type="spellStart"/>
            <w:r w:rsidRPr="00B00D9F">
              <w:rPr>
                <w:u w:val="single"/>
              </w:rPr>
              <w:t>mājaslapā</w:t>
            </w:r>
            <w:proofErr w:type="spellEnd"/>
            <w:r w:rsidRPr="00B00D9F">
              <w:rPr>
                <w:u w:val="single"/>
              </w:rPr>
              <w:t>,</w:t>
            </w:r>
          </w:p>
          <w:p w:rsidR="00636E83" w:rsidRPr="003748DB" w:rsidRDefault="00636E83" w:rsidP="00835622">
            <w:pPr>
              <w:pStyle w:val="naiskr"/>
              <w:numPr>
                <w:ilvl w:val="0"/>
                <w:numId w:val="17"/>
              </w:numPr>
              <w:ind w:left="410" w:right="127" w:hanging="283"/>
              <w:jc w:val="both"/>
            </w:pPr>
            <w:r w:rsidRPr="003748DB">
              <w:t>dzēst būvnormatīva 12.</w:t>
            </w:r>
            <w:r w:rsidRPr="003748DB">
              <w:rPr>
                <w:vertAlign w:val="superscript"/>
              </w:rPr>
              <w:t>1</w:t>
            </w:r>
            <w:r w:rsidR="00835622" w:rsidRPr="003748DB">
              <w:t xml:space="preserve"> punktu, kurā tiek dublēts nosacījums </w:t>
            </w:r>
            <w:r w:rsidRPr="003748DB">
              <w:t>par piemērojamo standartu izmantošan</w:t>
            </w:r>
            <w:r w:rsidR="00D52A2E" w:rsidRPr="003748DB">
              <w:t>as pieļaujamību (norādīts, ka atļauts izmantot piemērojamos standartus, savukārt noteikumu 5.</w:t>
            </w:r>
            <w:r w:rsidR="00D52A2E" w:rsidRPr="003748DB">
              <w:rPr>
                <w:vertAlign w:val="superscript"/>
              </w:rPr>
              <w:t>2</w:t>
            </w:r>
            <w:r w:rsidR="00D52A2E" w:rsidRPr="003748DB">
              <w:t> 2.apakšpunktā jau tiek norādīts, ka un kā tiek publicēti to nacionālo standartu saraksti, kurus var piemērot būvnormatīva izpildei)</w:t>
            </w:r>
            <w:r w:rsidRPr="003748DB">
              <w:t>.</w:t>
            </w:r>
          </w:p>
        </w:tc>
      </w:tr>
      <w:tr w:rsidR="004A203F" w:rsidRPr="0061389E" w:rsidTr="0062644A">
        <w:trPr>
          <w:trHeight w:val="476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-142" w:firstLine="142"/>
              <w:jc w:val="center"/>
            </w:pPr>
            <w:r w:rsidRPr="0061389E">
              <w:t>5.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170" w:right="127"/>
              <w:jc w:val="both"/>
            </w:pPr>
            <w:r w:rsidRPr="0061389E">
              <w:t>Projekta izstrādē iesaistītās institūcijas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CD67ED" w:rsidP="0061389E">
            <w:pPr>
              <w:pStyle w:val="naiskr"/>
              <w:ind w:left="129" w:right="127" w:firstLine="142"/>
              <w:jc w:val="both"/>
            </w:pPr>
            <w:r w:rsidRPr="00CD67ED">
              <w:t>Projekts šo jomu neskar.</w:t>
            </w:r>
          </w:p>
        </w:tc>
      </w:tr>
      <w:tr w:rsidR="004A203F" w:rsidRPr="0061389E" w:rsidTr="0062644A">
        <w:trPr>
          <w:trHeight w:val="72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-142" w:firstLine="142"/>
              <w:jc w:val="center"/>
            </w:pPr>
            <w:r w:rsidRPr="0061389E">
              <w:t>6.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170" w:right="127"/>
              <w:jc w:val="both"/>
            </w:pPr>
            <w:r w:rsidRPr="0061389E">
              <w:t>Iemesli, kādēļ netika nodrošināta sabiedrības līdzdalība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833BD6" w:rsidP="00833BD6">
            <w:pPr>
              <w:pStyle w:val="naiskr"/>
              <w:ind w:left="129" w:right="127" w:firstLine="142"/>
              <w:jc w:val="both"/>
            </w:pPr>
            <w:r>
              <w:t>Noteikumu grozījumu projekts paredz tehniska rakstura precizējumus noteikumu lietojamības uzlabošanai, nemainot</w:t>
            </w:r>
            <w:r w:rsidR="00AC5A5C">
              <w:t xml:space="preserve"> tajos noteikto</w:t>
            </w:r>
            <w:r>
              <w:t xml:space="preserve"> </w:t>
            </w:r>
            <w:r w:rsidR="00AC5A5C">
              <w:t>prasību būtību.</w:t>
            </w:r>
            <w:r>
              <w:t xml:space="preserve">    </w:t>
            </w:r>
          </w:p>
        </w:tc>
      </w:tr>
      <w:tr w:rsidR="004A203F" w:rsidRPr="0061389E" w:rsidTr="0062644A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-142" w:firstLine="142"/>
              <w:jc w:val="center"/>
            </w:pPr>
            <w:r w:rsidRPr="0061389E">
              <w:t>7.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170" w:right="127"/>
              <w:jc w:val="both"/>
            </w:pPr>
            <w:r w:rsidRPr="0061389E">
              <w:t>Cita informācija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3F" w:rsidRPr="0061389E" w:rsidRDefault="004A203F" w:rsidP="0061389E">
            <w:pPr>
              <w:pStyle w:val="naiskr"/>
              <w:ind w:left="129" w:right="127" w:firstLine="142"/>
              <w:jc w:val="both"/>
            </w:pPr>
            <w:r w:rsidRPr="0061389E">
              <w:t>Nav</w:t>
            </w:r>
          </w:p>
        </w:tc>
      </w:tr>
    </w:tbl>
    <w:p w:rsidR="008C5649" w:rsidRPr="0061389E" w:rsidRDefault="008C5649" w:rsidP="0061389E">
      <w:pPr>
        <w:pStyle w:val="naisf"/>
        <w:ind w:firstLine="0"/>
      </w:pPr>
    </w:p>
    <w:p w:rsidR="00E82A21" w:rsidRPr="0061389E" w:rsidRDefault="0062644A" w:rsidP="0061389E">
      <w:pPr>
        <w:jc w:val="both"/>
        <w:rPr>
          <w:i/>
        </w:rPr>
      </w:pPr>
      <w:r w:rsidRPr="0061389E">
        <w:rPr>
          <w:i/>
        </w:rPr>
        <w:t xml:space="preserve">Anotācijas </w:t>
      </w:r>
      <w:r w:rsidR="00964A31">
        <w:rPr>
          <w:i/>
        </w:rPr>
        <w:t xml:space="preserve">II, </w:t>
      </w:r>
      <w:r w:rsidRPr="0061389E">
        <w:rPr>
          <w:i/>
        </w:rPr>
        <w:t>II</w:t>
      </w:r>
      <w:r w:rsidR="00964A31">
        <w:rPr>
          <w:i/>
        </w:rPr>
        <w:t xml:space="preserve">I, </w:t>
      </w:r>
      <w:r w:rsidR="00D566F1" w:rsidRPr="00964A31">
        <w:rPr>
          <w:i/>
        </w:rPr>
        <w:t>IV</w:t>
      </w:r>
      <w:r w:rsidR="00964A31">
        <w:rPr>
          <w:i/>
        </w:rPr>
        <w:t>, V, VI un VII</w:t>
      </w:r>
      <w:r w:rsidRPr="00964A31">
        <w:rPr>
          <w:i/>
        </w:rPr>
        <w:t xml:space="preserve"> </w:t>
      </w:r>
      <w:r w:rsidRPr="0061389E">
        <w:rPr>
          <w:i/>
        </w:rPr>
        <w:t xml:space="preserve">sadaļa – </w:t>
      </w:r>
      <w:r w:rsidR="00D96098" w:rsidRPr="0061389E">
        <w:rPr>
          <w:i/>
        </w:rPr>
        <w:t>projekts šīs jomas neskar</w:t>
      </w:r>
      <w:r w:rsidRPr="0061389E">
        <w:rPr>
          <w:i/>
        </w:rPr>
        <w:t>.</w:t>
      </w:r>
    </w:p>
    <w:p w:rsidR="00A779B6" w:rsidRPr="0061389E" w:rsidRDefault="00A779B6" w:rsidP="0061389E">
      <w:pPr>
        <w:jc w:val="both"/>
      </w:pPr>
    </w:p>
    <w:p w:rsidR="00C3120C" w:rsidRPr="0061389E" w:rsidRDefault="00C3120C" w:rsidP="0061389E">
      <w:pPr>
        <w:jc w:val="both"/>
      </w:pPr>
    </w:p>
    <w:p w:rsidR="005D71D7" w:rsidRPr="0061389E" w:rsidRDefault="005D71D7" w:rsidP="0061389E">
      <w:pPr>
        <w:tabs>
          <w:tab w:val="right" w:pos="8306"/>
        </w:tabs>
        <w:rPr>
          <w:bCs/>
          <w:sz w:val="28"/>
        </w:rPr>
      </w:pPr>
      <w:r w:rsidRPr="0061389E">
        <w:rPr>
          <w:bCs/>
          <w:sz w:val="28"/>
        </w:rPr>
        <w:t>Ekonomikas ministrs</w:t>
      </w:r>
      <w:r w:rsidRPr="0061389E">
        <w:rPr>
          <w:bCs/>
          <w:sz w:val="28"/>
        </w:rPr>
        <w:tab/>
      </w:r>
      <w:proofErr w:type="spellStart"/>
      <w:r w:rsidR="003748DB">
        <w:rPr>
          <w:bCs/>
          <w:sz w:val="28"/>
        </w:rPr>
        <w:t>D.Pavļuts</w:t>
      </w:r>
      <w:proofErr w:type="spellEnd"/>
    </w:p>
    <w:p w:rsidR="005D71D7" w:rsidRPr="0061389E" w:rsidRDefault="005D71D7" w:rsidP="0061389E">
      <w:pPr>
        <w:rPr>
          <w:bCs/>
          <w:sz w:val="28"/>
        </w:rPr>
      </w:pPr>
    </w:p>
    <w:p w:rsidR="00B00D9F" w:rsidRDefault="00B00D9F" w:rsidP="0061389E">
      <w:pPr>
        <w:tabs>
          <w:tab w:val="right" w:pos="8306"/>
        </w:tabs>
        <w:rPr>
          <w:bCs/>
          <w:sz w:val="28"/>
        </w:rPr>
      </w:pPr>
    </w:p>
    <w:p w:rsidR="0062644A" w:rsidRPr="0061389E" w:rsidRDefault="005D71D7" w:rsidP="0061389E">
      <w:pPr>
        <w:tabs>
          <w:tab w:val="right" w:pos="8306"/>
        </w:tabs>
        <w:rPr>
          <w:bCs/>
          <w:sz w:val="28"/>
        </w:rPr>
      </w:pPr>
      <w:r w:rsidRPr="0061389E">
        <w:rPr>
          <w:bCs/>
          <w:sz w:val="28"/>
        </w:rPr>
        <w:t xml:space="preserve">Vīza: </w:t>
      </w:r>
    </w:p>
    <w:p w:rsidR="005D71D7" w:rsidRPr="0061389E" w:rsidRDefault="005D71D7" w:rsidP="0061389E">
      <w:pPr>
        <w:tabs>
          <w:tab w:val="right" w:pos="8306"/>
        </w:tabs>
        <w:rPr>
          <w:bCs/>
          <w:sz w:val="28"/>
        </w:rPr>
      </w:pPr>
      <w:r w:rsidRPr="0061389E">
        <w:rPr>
          <w:bCs/>
          <w:sz w:val="28"/>
        </w:rPr>
        <w:t>Valsts sekretārs</w:t>
      </w:r>
      <w:r w:rsidRPr="0061389E">
        <w:rPr>
          <w:bCs/>
          <w:sz w:val="28"/>
        </w:rPr>
        <w:tab/>
        <w:t>J.Pūce</w:t>
      </w:r>
    </w:p>
    <w:p w:rsidR="005D71D7" w:rsidRPr="0061389E" w:rsidRDefault="005D71D7" w:rsidP="0061389E">
      <w:pPr>
        <w:jc w:val="both"/>
      </w:pPr>
    </w:p>
    <w:p w:rsidR="006D0B40" w:rsidRDefault="00236293" w:rsidP="0061389E">
      <w:pPr>
        <w:jc w:val="both"/>
        <w:rPr>
          <w:sz w:val="20"/>
        </w:rPr>
      </w:pPr>
      <w:r>
        <w:br/>
      </w:r>
      <w:r>
        <w:br/>
      </w:r>
      <w:r w:rsidR="00B25FE8">
        <w:rPr>
          <w:sz w:val="20"/>
        </w:rPr>
        <w:t>06.12</w:t>
      </w:r>
      <w:r w:rsidR="006D0B40" w:rsidRPr="006D0B40">
        <w:rPr>
          <w:sz w:val="20"/>
        </w:rPr>
        <w:t xml:space="preserve">.2011 </w:t>
      </w:r>
      <w:r w:rsidR="00A20E73">
        <w:rPr>
          <w:sz w:val="20"/>
        </w:rPr>
        <w:t>09</w:t>
      </w:r>
      <w:r w:rsidR="00265FB2">
        <w:rPr>
          <w:sz w:val="20"/>
        </w:rPr>
        <w:t>.</w:t>
      </w:r>
      <w:r w:rsidR="00A20E73">
        <w:rPr>
          <w:sz w:val="20"/>
        </w:rPr>
        <w:t>00</w:t>
      </w:r>
    </w:p>
    <w:p w:rsidR="007004FC" w:rsidRPr="0061389E" w:rsidRDefault="008668A8" w:rsidP="00A20E73">
      <w:pPr>
        <w:tabs>
          <w:tab w:val="left" w:pos="2319"/>
        </w:tabs>
        <w:jc w:val="both"/>
        <w:rPr>
          <w:sz w:val="20"/>
        </w:rPr>
      </w:pPr>
      <w:fldSimple w:instr=" NUMWORDS   \* MERGEFORMAT ">
        <w:r w:rsidR="00D40B13" w:rsidRPr="00D40B13">
          <w:rPr>
            <w:noProof/>
            <w:sz w:val="20"/>
          </w:rPr>
          <w:t>416</w:t>
        </w:r>
      </w:fldSimple>
      <w:r w:rsidR="00A20E73">
        <w:tab/>
      </w:r>
    </w:p>
    <w:p w:rsidR="007004FC" w:rsidRPr="0061389E" w:rsidRDefault="00E6516A" w:rsidP="0061389E">
      <w:pPr>
        <w:widowControl w:val="0"/>
        <w:outlineLvl w:val="0"/>
        <w:rPr>
          <w:sz w:val="20"/>
        </w:rPr>
      </w:pPr>
      <w:r w:rsidRPr="0061389E">
        <w:rPr>
          <w:sz w:val="20"/>
        </w:rPr>
        <w:t>M.Zakutajevs</w:t>
      </w:r>
      <w:r w:rsidR="007004FC" w:rsidRPr="0061389E">
        <w:rPr>
          <w:sz w:val="20"/>
        </w:rPr>
        <w:t>, 670</w:t>
      </w:r>
      <w:r w:rsidRPr="0061389E">
        <w:rPr>
          <w:sz w:val="20"/>
        </w:rPr>
        <w:t>13035</w:t>
      </w:r>
    </w:p>
    <w:p w:rsidR="00E6516A" w:rsidRPr="0062644A" w:rsidRDefault="00447242" w:rsidP="0061389E">
      <w:pPr>
        <w:widowControl w:val="0"/>
        <w:outlineLvl w:val="0"/>
        <w:rPr>
          <w:sz w:val="20"/>
        </w:rPr>
      </w:pPr>
      <w:r w:rsidRPr="0061389E">
        <w:rPr>
          <w:sz w:val="20"/>
        </w:rPr>
        <w:t>Mareks.Zakutajevs@em.gov.lv</w:t>
      </w:r>
    </w:p>
    <w:sectPr w:rsidR="00E6516A" w:rsidRPr="0062644A" w:rsidSect="00C3120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DB" w:rsidRDefault="003748DB">
      <w:r>
        <w:separator/>
      </w:r>
    </w:p>
  </w:endnote>
  <w:endnote w:type="continuationSeparator" w:id="0">
    <w:p w:rsidR="003748DB" w:rsidRDefault="0037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DB" w:rsidRPr="00825D2A" w:rsidRDefault="008668A8" w:rsidP="003B507E">
    <w:pPr>
      <w:pStyle w:val="Footer"/>
      <w:jc w:val="both"/>
      <w:rPr>
        <w:b/>
        <w:sz w:val="20"/>
        <w:szCs w:val="20"/>
      </w:rPr>
    </w:pPr>
    <w:fldSimple w:instr=" FILENAME   \* MERGEFORMAT ">
      <w:r w:rsidR="00D40B13" w:rsidRPr="00D40B13">
        <w:rPr>
          <w:noProof/>
          <w:sz w:val="20"/>
          <w:szCs w:val="20"/>
        </w:rPr>
        <w:t>EManot_061211_LBN203</w:t>
      </w:r>
    </w:fldSimple>
    <w:r w:rsidR="003748DB" w:rsidRPr="0074478C">
      <w:rPr>
        <w:sz w:val="20"/>
        <w:szCs w:val="20"/>
      </w:rPr>
      <w:t>;</w:t>
    </w:r>
    <w:r w:rsidR="003748DB">
      <w:rPr>
        <w:sz w:val="20"/>
        <w:szCs w:val="20"/>
      </w:rPr>
      <w:t xml:space="preserve"> </w:t>
    </w:r>
    <w:r w:rsidR="003748DB" w:rsidRPr="003B507E">
      <w:rPr>
        <w:bCs/>
        <w:sz w:val="20"/>
        <w:szCs w:val="20"/>
      </w:rPr>
      <w:t>Ministru kabineta noteikumu projekta „Grozījumi Ministru kabineta 1997.gada 23.decembra noteikumos Nr.451 "Noteikumi par Latvijas būvnormatīvu LBN 203-97 "Betona un dzelzsbetona konstrukciju projektēšanas normas""”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DB" w:rsidRPr="003B507E" w:rsidRDefault="008668A8" w:rsidP="003B507E">
    <w:pPr>
      <w:tabs>
        <w:tab w:val="center" w:pos="4153"/>
        <w:tab w:val="right" w:pos="8306"/>
      </w:tabs>
      <w:rPr>
        <w:sz w:val="20"/>
        <w:szCs w:val="20"/>
        <w:lang w:eastAsia="en-US"/>
      </w:rPr>
    </w:pPr>
    <w:fldSimple w:instr=" FILENAME  \* MERGEFORMAT ">
      <w:r w:rsidR="00D40B13" w:rsidRPr="00D40B13">
        <w:rPr>
          <w:noProof/>
          <w:sz w:val="20"/>
          <w:szCs w:val="20"/>
          <w:lang w:eastAsia="en-US"/>
        </w:rPr>
        <w:t>EManot_061211_LBN203</w:t>
      </w:r>
    </w:fldSimple>
    <w:r w:rsidR="003748DB" w:rsidRPr="003B507E">
      <w:rPr>
        <w:sz w:val="26"/>
        <w:szCs w:val="20"/>
        <w:lang w:eastAsia="en-US"/>
      </w:rPr>
      <w:t xml:space="preserve">; </w:t>
    </w:r>
    <w:r w:rsidR="003748DB" w:rsidRPr="003B507E">
      <w:rPr>
        <w:sz w:val="20"/>
        <w:szCs w:val="20"/>
        <w:lang w:eastAsia="en-US"/>
      </w:rPr>
      <w:t>Ministru kabineta noteikumu projekta „Grozījumi Ministru kabineta 1997.gada 23.decembra noteikumos Nr.451 "Noteikumi par Latvijas būvnormatīvu LBN 203-97 "Betona un dzelzsbetona konstrukciju projektēšanas normas""”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DB" w:rsidRDefault="003748DB">
      <w:r>
        <w:separator/>
      </w:r>
    </w:p>
  </w:footnote>
  <w:footnote w:type="continuationSeparator" w:id="0">
    <w:p w:rsidR="003748DB" w:rsidRDefault="0037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DB" w:rsidRDefault="008668A8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48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8DB">
      <w:rPr>
        <w:rStyle w:val="PageNumber"/>
        <w:noProof/>
      </w:rPr>
      <w:t>1</w:t>
    </w:r>
    <w:r>
      <w:rPr>
        <w:rStyle w:val="PageNumber"/>
      </w:rPr>
      <w:fldChar w:fldCharType="end"/>
    </w:r>
  </w:p>
  <w:p w:rsidR="003748DB" w:rsidRDefault="003748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DB" w:rsidRPr="00DB073B" w:rsidRDefault="008668A8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3748DB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D40B13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:rsidR="003748DB" w:rsidRDefault="00374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826A8D"/>
    <w:multiLevelType w:val="hybridMultilevel"/>
    <w:tmpl w:val="E772C666"/>
    <w:lvl w:ilvl="0" w:tplc="08D089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41084C"/>
    <w:multiLevelType w:val="hybridMultilevel"/>
    <w:tmpl w:val="192AE9BE"/>
    <w:lvl w:ilvl="0" w:tplc="CB1A42DC">
      <w:start w:val="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57E3257"/>
    <w:multiLevelType w:val="hybridMultilevel"/>
    <w:tmpl w:val="F77E40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F1134"/>
    <w:multiLevelType w:val="hybridMultilevel"/>
    <w:tmpl w:val="6FD6CB6C"/>
    <w:lvl w:ilvl="0" w:tplc="04260005">
      <w:start w:val="1"/>
      <w:numFmt w:val="bullet"/>
      <w:lvlText w:val=""/>
      <w:lvlJc w:val="left"/>
      <w:pPr>
        <w:ind w:left="99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5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11D24"/>
    <w:rsid w:val="0001274C"/>
    <w:rsid w:val="00013FF4"/>
    <w:rsid w:val="00016A37"/>
    <w:rsid w:val="00020FE1"/>
    <w:rsid w:val="00022E13"/>
    <w:rsid w:val="000264EB"/>
    <w:rsid w:val="00032388"/>
    <w:rsid w:val="00032C12"/>
    <w:rsid w:val="00035CE2"/>
    <w:rsid w:val="0005553B"/>
    <w:rsid w:val="00057E40"/>
    <w:rsid w:val="000604D2"/>
    <w:rsid w:val="00065E08"/>
    <w:rsid w:val="0007252F"/>
    <w:rsid w:val="0009005E"/>
    <w:rsid w:val="000959A7"/>
    <w:rsid w:val="000A6451"/>
    <w:rsid w:val="000B064E"/>
    <w:rsid w:val="000B5096"/>
    <w:rsid w:val="000B69CF"/>
    <w:rsid w:val="000C40AE"/>
    <w:rsid w:val="000C790C"/>
    <w:rsid w:val="000F061D"/>
    <w:rsid w:val="00124F12"/>
    <w:rsid w:val="001262B1"/>
    <w:rsid w:val="00143C36"/>
    <w:rsid w:val="00144E3A"/>
    <w:rsid w:val="0014541D"/>
    <w:rsid w:val="00146B02"/>
    <w:rsid w:val="0015060C"/>
    <w:rsid w:val="0016018A"/>
    <w:rsid w:val="00161EA2"/>
    <w:rsid w:val="00161F0E"/>
    <w:rsid w:val="00163B21"/>
    <w:rsid w:val="00170E2A"/>
    <w:rsid w:val="00183CC2"/>
    <w:rsid w:val="001900E4"/>
    <w:rsid w:val="00190F88"/>
    <w:rsid w:val="001920E2"/>
    <w:rsid w:val="00193649"/>
    <w:rsid w:val="001A4066"/>
    <w:rsid w:val="001A6AE4"/>
    <w:rsid w:val="001B01FD"/>
    <w:rsid w:val="001B4A71"/>
    <w:rsid w:val="001B6B07"/>
    <w:rsid w:val="001D5B54"/>
    <w:rsid w:val="001E1DBF"/>
    <w:rsid w:val="001E4639"/>
    <w:rsid w:val="001E4A7D"/>
    <w:rsid w:val="001F43A8"/>
    <w:rsid w:val="001F5CD6"/>
    <w:rsid w:val="0021263D"/>
    <w:rsid w:val="00213F0C"/>
    <w:rsid w:val="0021592D"/>
    <w:rsid w:val="00222D76"/>
    <w:rsid w:val="00223EB1"/>
    <w:rsid w:val="00231344"/>
    <w:rsid w:val="0023436E"/>
    <w:rsid w:val="0023456B"/>
    <w:rsid w:val="002347C0"/>
    <w:rsid w:val="00236293"/>
    <w:rsid w:val="0023711E"/>
    <w:rsid w:val="00241A6C"/>
    <w:rsid w:val="00242D2B"/>
    <w:rsid w:val="00246584"/>
    <w:rsid w:val="00262E2B"/>
    <w:rsid w:val="00265FB2"/>
    <w:rsid w:val="00270429"/>
    <w:rsid w:val="002723E9"/>
    <w:rsid w:val="002751C0"/>
    <w:rsid w:val="00275BED"/>
    <w:rsid w:val="00277929"/>
    <w:rsid w:val="0028167F"/>
    <w:rsid w:val="00283B82"/>
    <w:rsid w:val="002846E9"/>
    <w:rsid w:val="00284C34"/>
    <w:rsid w:val="0029066C"/>
    <w:rsid w:val="00296944"/>
    <w:rsid w:val="002B50DB"/>
    <w:rsid w:val="002C12AB"/>
    <w:rsid w:val="002C4C4A"/>
    <w:rsid w:val="002C7CAC"/>
    <w:rsid w:val="002D3306"/>
    <w:rsid w:val="002D48AA"/>
    <w:rsid w:val="002D7BAA"/>
    <w:rsid w:val="002D7F54"/>
    <w:rsid w:val="002E3FF4"/>
    <w:rsid w:val="002F578E"/>
    <w:rsid w:val="002F78C8"/>
    <w:rsid w:val="00301CF3"/>
    <w:rsid w:val="003201D2"/>
    <w:rsid w:val="0032715C"/>
    <w:rsid w:val="00337CA5"/>
    <w:rsid w:val="00342C0B"/>
    <w:rsid w:val="003527B4"/>
    <w:rsid w:val="00357936"/>
    <w:rsid w:val="00362478"/>
    <w:rsid w:val="0037138A"/>
    <w:rsid w:val="003748DB"/>
    <w:rsid w:val="00375B25"/>
    <w:rsid w:val="0038324D"/>
    <w:rsid w:val="00386B2E"/>
    <w:rsid w:val="00396542"/>
    <w:rsid w:val="0039685B"/>
    <w:rsid w:val="003A65F6"/>
    <w:rsid w:val="003A7F0C"/>
    <w:rsid w:val="003A7F79"/>
    <w:rsid w:val="003B507E"/>
    <w:rsid w:val="003B6404"/>
    <w:rsid w:val="003D10AD"/>
    <w:rsid w:val="003D21FF"/>
    <w:rsid w:val="003D41C9"/>
    <w:rsid w:val="003F0112"/>
    <w:rsid w:val="003F071A"/>
    <w:rsid w:val="003F160B"/>
    <w:rsid w:val="00400032"/>
    <w:rsid w:val="00400B5B"/>
    <w:rsid w:val="0040308B"/>
    <w:rsid w:val="00405A00"/>
    <w:rsid w:val="00420870"/>
    <w:rsid w:val="00441483"/>
    <w:rsid w:val="00441BCB"/>
    <w:rsid w:val="00443AE4"/>
    <w:rsid w:val="00447242"/>
    <w:rsid w:val="0045176A"/>
    <w:rsid w:val="00452C79"/>
    <w:rsid w:val="00456332"/>
    <w:rsid w:val="004800F9"/>
    <w:rsid w:val="0049134A"/>
    <w:rsid w:val="004A203F"/>
    <w:rsid w:val="004A58CB"/>
    <w:rsid w:val="004B1795"/>
    <w:rsid w:val="004B56DD"/>
    <w:rsid w:val="004B74FA"/>
    <w:rsid w:val="004C1AFD"/>
    <w:rsid w:val="004C558B"/>
    <w:rsid w:val="004D32A1"/>
    <w:rsid w:val="004D7AFB"/>
    <w:rsid w:val="004F1F88"/>
    <w:rsid w:val="004F5F1B"/>
    <w:rsid w:val="004F7875"/>
    <w:rsid w:val="005014B7"/>
    <w:rsid w:val="00502374"/>
    <w:rsid w:val="005073B9"/>
    <w:rsid w:val="00516072"/>
    <w:rsid w:val="005332EC"/>
    <w:rsid w:val="00534418"/>
    <w:rsid w:val="005353AB"/>
    <w:rsid w:val="00543385"/>
    <w:rsid w:val="00547184"/>
    <w:rsid w:val="005560BC"/>
    <w:rsid w:val="005569A7"/>
    <w:rsid w:val="005573BE"/>
    <w:rsid w:val="00560020"/>
    <w:rsid w:val="00572700"/>
    <w:rsid w:val="00580468"/>
    <w:rsid w:val="0058208B"/>
    <w:rsid w:val="0058603B"/>
    <w:rsid w:val="00592492"/>
    <w:rsid w:val="0059431B"/>
    <w:rsid w:val="00597393"/>
    <w:rsid w:val="005A39CC"/>
    <w:rsid w:val="005A4E9D"/>
    <w:rsid w:val="005B44DB"/>
    <w:rsid w:val="005B4730"/>
    <w:rsid w:val="005D09C6"/>
    <w:rsid w:val="005D0AD0"/>
    <w:rsid w:val="005D35AB"/>
    <w:rsid w:val="005D71D7"/>
    <w:rsid w:val="005E05D7"/>
    <w:rsid w:val="005E41E7"/>
    <w:rsid w:val="005E450F"/>
    <w:rsid w:val="005F1AB0"/>
    <w:rsid w:val="005F6B11"/>
    <w:rsid w:val="006101EE"/>
    <w:rsid w:val="0061389E"/>
    <w:rsid w:val="0061410F"/>
    <w:rsid w:val="00616B76"/>
    <w:rsid w:val="0062298A"/>
    <w:rsid w:val="0062644A"/>
    <w:rsid w:val="00626514"/>
    <w:rsid w:val="00626589"/>
    <w:rsid w:val="006339A0"/>
    <w:rsid w:val="00636E83"/>
    <w:rsid w:val="006413A8"/>
    <w:rsid w:val="00642729"/>
    <w:rsid w:val="00642E56"/>
    <w:rsid w:val="00651E00"/>
    <w:rsid w:val="006627DE"/>
    <w:rsid w:val="00674572"/>
    <w:rsid w:val="00687763"/>
    <w:rsid w:val="00692B0D"/>
    <w:rsid w:val="00693D6C"/>
    <w:rsid w:val="00693E0E"/>
    <w:rsid w:val="006A1AE3"/>
    <w:rsid w:val="006C30E1"/>
    <w:rsid w:val="006C49FA"/>
    <w:rsid w:val="006D0B40"/>
    <w:rsid w:val="006D48F1"/>
    <w:rsid w:val="006F45BE"/>
    <w:rsid w:val="006F4AD0"/>
    <w:rsid w:val="006F5DAE"/>
    <w:rsid w:val="007004FC"/>
    <w:rsid w:val="00703650"/>
    <w:rsid w:val="007062AD"/>
    <w:rsid w:val="00706670"/>
    <w:rsid w:val="0072417C"/>
    <w:rsid w:val="00734450"/>
    <w:rsid w:val="00745F67"/>
    <w:rsid w:val="00752D9D"/>
    <w:rsid w:val="00754784"/>
    <w:rsid w:val="00757C6E"/>
    <w:rsid w:val="00761E4C"/>
    <w:rsid w:val="00762BDA"/>
    <w:rsid w:val="007630F5"/>
    <w:rsid w:val="007665C1"/>
    <w:rsid w:val="007805FD"/>
    <w:rsid w:val="00784422"/>
    <w:rsid w:val="007B24CF"/>
    <w:rsid w:val="007B30D0"/>
    <w:rsid w:val="007B3B54"/>
    <w:rsid w:val="007B3FA0"/>
    <w:rsid w:val="007B4A24"/>
    <w:rsid w:val="007C2BCC"/>
    <w:rsid w:val="007C4EF0"/>
    <w:rsid w:val="007C57C5"/>
    <w:rsid w:val="007E2664"/>
    <w:rsid w:val="007E3ABF"/>
    <w:rsid w:val="007E5BFA"/>
    <w:rsid w:val="007E6689"/>
    <w:rsid w:val="007E731C"/>
    <w:rsid w:val="007F0A03"/>
    <w:rsid w:val="00803661"/>
    <w:rsid w:val="00810040"/>
    <w:rsid w:val="00810E58"/>
    <w:rsid w:val="0082023A"/>
    <w:rsid w:val="00821A7A"/>
    <w:rsid w:val="008253F8"/>
    <w:rsid w:val="00825D2A"/>
    <w:rsid w:val="00832A2B"/>
    <w:rsid w:val="00833BD6"/>
    <w:rsid w:val="00835622"/>
    <w:rsid w:val="00846994"/>
    <w:rsid w:val="00850451"/>
    <w:rsid w:val="00852042"/>
    <w:rsid w:val="008534C9"/>
    <w:rsid w:val="0085599D"/>
    <w:rsid w:val="0086067F"/>
    <w:rsid w:val="008663DE"/>
    <w:rsid w:val="008668A8"/>
    <w:rsid w:val="00873CDE"/>
    <w:rsid w:val="0087510C"/>
    <w:rsid w:val="008865B3"/>
    <w:rsid w:val="00895411"/>
    <w:rsid w:val="008968F5"/>
    <w:rsid w:val="0089738E"/>
    <w:rsid w:val="008B279C"/>
    <w:rsid w:val="008B5FDB"/>
    <w:rsid w:val="008C5649"/>
    <w:rsid w:val="008D4E4F"/>
    <w:rsid w:val="008E44A2"/>
    <w:rsid w:val="008E697D"/>
    <w:rsid w:val="008E6B30"/>
    <w:rsid w:val="00903263"/>
    <w:rsid w:val="00906A21"/>
    <w:rsid w:val="009079C3"/>
    <w:rsid w:val="00910462"/>
    <w:rsid w:val="00914AB2"/>
    <w:rsid w:val="00915AB1"/>
    <w:rsid w:val="00917532"/>
    <w:rsid w:val="00921954"/>
    <w:rsid w:val="009235BA"/>
    <w:rsid w:val="009244A9"/>
    <w:rsid w:val="009244E9"/>
    <w:rsid w:val="00924CE2"/>
    <w:rsid w:val="00925B9F"/>
    <w:rsid w:val="00931AED"/>
    <w:rsid w:val="00943515"/>
    <w:rsid w:val="009476A3"/>
    <w:rsid w:val="0095334F"/>
    <w:rsid w:val="00964A31"/>
    <w:rsid w:val="00965781"/>
    <w:rsid w:val="00965897"/>
    <w:rsid w:val="0096765C"/>
    <w:rsid w:val="009727E4"/>
    <w:rsid w:val="00972D3A"/>
    <w:rsid w:val="009934C5"/>
    <w:rsid w:val="00994C0F"/>
    <w:rsid w:val="009B22D7"/>
    <w:rsid w:val="009B72ED"/>
    <w:rsid w:val="009C2086"/>
    <w:rsid w:val="009C6DEB"/>
    <w:rsid w:val="009D6504"/>
    <w:rsid w:val="009E661A"/>
    <w:rsid w:val="009F18EB"/>
    <w:rsid w:val="00A06781"/>
    <w:rsid w:val="00A1509C"/>
    <w:rsid w:val="00A20E73"/>
    <w:rsid w:val="00A2686E"/>
    <w:rsid w:val="00A34260"/>
    <w:rsid w:val="00A40754"/>
    <w:rsid w:val="00A70CFD"/>
    <w:rsid w:val="00A70D5E"/>
    <w:rsid w:val="00A72A0B"/>
    <w:rsid w:val="00A76704"/>
    <w:rsid w:val="00A76FC8"/>
    <w:rsid w:val="00A779B6"/>
    <w:rsid w:val="00A81E42"/>
    <w:rsid w:val="00A864FE"/>
    <w:rsid w:val="00A86F41"/>
    <w:rsid w:val="00A87D04"/>
    <w:rsid w:val="00A87DC7"/>
    <w:rsid w:val="00A950C5"/>
    <w:rsid w:val="00AA1D25"/>
    <w:rsid w:val="00AB2B1A"/>
    <w:rsid w:val="00AB397F"/>
    <w:rsid w:val="00AB42C9"/>
    <w:rsid w:val="00AB5832"/>
    <w:rsid w:val="00AC51F2"/>
    <w:rsid w:val="00AC5A5C"/>
    <w:rsid w:val="00AE5066"/>
    <w:rsid w:val="00AE5611"/>
    <w:rsid w:val="00AE5E24"/>
    <w:rsid w:val="00AE61B7"/>
    <w:rsid w:val="00AE6CBA"/>
    <w:rsid w:val="00AE79AD"/>
    <w:rsid w:val="00AF1F56"/>
    <w:rsid w:val="00AF35E4"/>
    <w:rsid w:val="00AF5CDE"/>
    <w:rsid w:val="00B00477"/>
    <w:rsid w:val="00B00828"/>
    <w:rsid w:val="00B00D9F"/>
    <w:rsid w:val="00B11A57"/>
    <w:rsid w:val="00B25597"/>
    <w:rsid w:val="00B25FE8"/>
    <w:rsid w:val="00B267B9"/>
    <w:rsid w:val="00B32520"/>
    <w:rsid w:val="00B33E09"/>
    <w:rsid w:val="00B35CB8"/>
    <w:rsid w:val="00B43A45"/>
    <w:rsid w:val="00B44774"/>
    <w:rsid w:val="00B50708"/>
    <w:rsid w:val="00B50C68"/>
    <w:rsid w:val="00B51293"/>
    <w:rsid w:val="00B52B1E"/>
    <w:rsid w:val="00B55481"/>
    <w:rsid w:val="00B56C32"/>
    <w:rsid w:val="00B56EDD"/>
    <w:rsid w:val="00B57ACF"/>
    <w:rsid w:val="00B64BB1"/>
    <w:rsid w:val="00B73166"/>
    <w:rsid w:val="00B753A7"/>
    <w:rsid w:val="00B77DA2"/>
    <w:rsid w:val="00B8426C"/>
    <w:rsid w:val="00B91B8D"/>
    <w:rsid w:val="00B91E5A"/>
    <w:rsid w:val="00B94E90"/>
    <w:rsid w:val="00BB0A82"/>
    <w:rsid w:val="00BB7C94"/>
    <w:rsid w:val="00BC0A9D"/>
    <w:rsid w:val="00BC15BC"/>
    <w:rsid w:val="00BE04E1"/>
    <w:rsid w:val="00BF4337"/>
    <w:rsid w:val="00BF5BC2"/>
    <w:rsid w:val="00C10305"/>
    <w:rsid w:val="00C1133D"/>
    <w:rsid w:val="00C27A08"/>
    <w:rsid w:val="00C27F45"/>
    <w:rsid w:val="00C306E0"/>
    <w:rsid w:val="00C3120C"/>
    <w:rsid w:val="00C31312"/>
    <w:rsid w:val="00C326C6"/>
    <w:rsid w:val="00C35295"/>
    <w:rsid w:val="00C36ADD"/>
    <w:rsid w:val="00C36E74"/>
    <w:rsid w:val="00C40595"/>
    <w:rsid w:val="00C41621"/>
    <w:rsid w:val="00C449FA"/>
    <w:rsid w:val="00C47406"/>
    <w:rsid w:val="00C5384F"/>
    <w:rsid w:val="00C56964"/>
    <w:rsid w:val="00C656D5"/>
    <w:rsid w:val="00C67103"/>
    <w:rsid w:val="00C71BB9"/>
    <w:rsid w:val="00C94C28"/>
    <w:rsid w:val="00C94F1E"/>
    <w:rsid w:val="00CB0247"/>
    <w:rsid w:val="00CB3440"/>
    <w:rsid w:val="00CC1692"/>
    <w:rsid w:val="00CD138B"/>
    <w:rsid w:val="00CD3E31"/>
    <w:rsid w:val="00CD67ED"/>
    <w:rsid w:val="00CD74A3"/>
    <w:rsid w:val="00CE0160"/>
    <w:rsid w:val="00CE0527"/>
    <w:rsid w:val="00CE5B23"/>
    <w:rsid w:val="00CF4591"/>
    <w:rsid w:val="00CF6BC4"/>
    <w:rsid w:val="00CF70AD"/>
    <w:rsid w:val="00CF7729"/>
    <w:rsid w:val="00CF7BD1"/>
    <w:rsid w:val="00D107FA"/>
    <w:rsid w:val="00D12275"/>
    <w:rsid w:val="00D12766"/>
    <w:rsid w:val="00D20FF4"/>
    <w:rsid w:val="00D24D2C"/>
    <w:rsid w:val="00D332C7"/>
    <w:rsid w:val="00D35881"/>
    <w:rsid w:val="00D40B13"/>
    <w:rsid w:val="00D437E1"/>
    <w:rsid w:val="00D47C4E"/>
    <w:rsid w:val="00D52A2E"/>
    <w:rsid w:val="00D566F1"/>
    <w:rsid w:val="00D7027C"/>
    <w:rsid w:val="00D96098"/>
    <w:rsid w:val="00DA3275"/>
    <w:rsid w:val="00DA39E0"/>
    <w:rsid w:val="00DA7DA5"/>
    <w:rsid w:val="00DB073B"/>
    <w:rsid w:val="00DB78F0"/>
    <w:rsid w:val="00DC2E43"/>
    <w:rsid w:val="00DC3592"/>
    <w:rsid w:val="00DC7613"/>
    <w:rsid w:val="00DD095C"/>
    <w:rsid w:val="00DD1330"/>
    <w:rsid w:val="00DD6E05"/>
    <w:rsid w:val="00DE0B83"/>
    <w:rsid w:val="00DE1A81"/>
    <w:rsid w:val="00DE1EE9"/>
    <w:rsid w:val="00DE48EB"/>
    <w:rsid w:val="00DE4E10"/>
    <w:rsid w:val="00DF63AB"/>
    <w:rsid w:val="00E02ABF"/>
    <w:rsid w:val="00E14995"/>
    <w:rsid w:val="00E179CD"/>
    <w:rsid w:val="00E23E8D"/>
    <w:rsid w:val="00E37F98"/>
    <w:rsid w:val="00E46559"/>
    <w:rsid w:val="00E501D9"/>
    <w:rsid w:val="00E57899"/>
    <w:rsid w:val="00E6516A"/>
    <w:rsid w:val="00E6670C"/>
    <w:rsid w:val="00E776E8"/>
    <w:rsid w:val="00E82A21"/>
    <w:rsid w:val="00E92C1F"/>
    <w:rsid w:val="00E95CE3"/>
    <w:rsid w:val="00E95D4B"/>
    <w:rsid w:val="00EB199F"/>
    <w:rsid w:val="00EC23F7"/>
    <w:rsid w:val="00EC4BD8"/>
    <w:rsid w:val="00EC63EB"/>
    <w:rsid w:val="00ED412F"/>
    <w:rsid w:val="00EF36B2"/>
    <w:rsid w:val="00F00880"/>
    <w:rsid w:val="00F04484"/>
    <w:rsid w:val="00F0474D"/>
    <w:rsid w:val="00F11B2B"/>
    <w:rsid w:val="00F201EC"/>
    <w:rsid w:val="00F208A9"/>
    <w:rsid w:val="00F246A0"/>
    <w:rsid w:val="00F7454F"/>
    <w:rsid w:val="00F77988"/>
    <w:rsid w:val="00F77F48"/>
    <w:rsid w:val="00F81B0E"/>
    <w:rsid w:val="00F82CF1"/>
    <w:rsid w:val="00F84043"/>
    <w:rsid w:val="00FA0C4A"/>
    <w:rsid w:val="00FA1C4E"/>
    <w:rsid w:val="00FA2CFF"/>
    <w:rsid w:val="00FB30F1"/>
    <w:rsid w:val="00FB53E7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332C7"/>
    <w:rPr>
      <w:rFonts w:ascii="Courier New" w:hAnsi="Courier New"/>
      <w:sz w:val="28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32C7"/>
    <w:rPr>
      <w:rFonts w:ascii="Courier New" w:hAnsi="Courier New"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4A203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A203F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71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565">
      <w:bodyDiv w:val="1"/>
      <w:marLeft w:val="19"/>
      <w:marRight w:val="19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2566">
      <w:bodyDiv w:val="1"/>
      <w:marLeft w:val="19"/>
      <w:marRight w:val="19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2477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9298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7541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50092">
      <w:bodyDiv w:val="1"/>
      <w:marLeft w:val="19"/>
      <w:marRight w:val="19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664">
      <w:bodyDiv w:val="1"/>
      <w:marLeft w:val="19"/>
      <w:marRight w:val="19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829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4583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CBE2-9907-474B-BECC-E0E67D82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3088</Characters>
  <Application>Microsoft Office Word</Application>
  <DocSecurity>0</DocSecurity>
  <Lines>114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grozījumu projekts</vt:lpstr>
    </vt:vector>
  </TitlesOfParts>
  <Company>Valsts kanceleja, Politikas koordinācijas departaments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grozījumu projekts</dc:title>
  <dc:subject>anotācija</dc:subject>
  <dc:creator>Mareks Zakutajevs</dc:creator>
  <cp:keywords/>
  <dc:description>67013035; Mareks.Zakutajevs@em.gov.lv</dc:description>
  <cp:lastModifiedBy>Mareks Zakutajevs</cp:lastModifiedBy>
  <cp:revision>10</cp:revision>
  <cp:lastPrinted>2011-12-05T15:09:00Z</cp:lastPrinted>
  <dcterms:created xsi:type="dcterms:W3CDTF">2011-11-14T12:07:00Z</dcterms:created>
  <dcterms:modified xsi:type="dcterms:W3CDTF">2011-12-05T15:09:00Z</dcterms:modified>
</cp:coreProperties>
</file>