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1D" w:rsidRPr="005F1D16" w:rsidRDefault="0032071D" w:rsidP="0032071D">
      <w:pPr>
        <w:jc w:val="center"/>
        <w:rPr>
          <w:b/>
          <w:sz w:val="26"/>
          <w:szCs w:val="26"/>
        </w:rPr>
      </w:pPr>
      <w:bookmarkStart w:id="0" w:name="OLE_LINK3"/>
      <w:bookmarkStart w:id="1" w:name="OLE_LINK4"/>
      <w:bookmarkStart w:id="2" w:name="OLE_LINK5"/>
      <w:bookmarkStart w:id="3" w:name="OLE_LINK1"/>
      <w:bookmarkStart w:id="4" w:name="OLE_LINK2"/>
      <w:r w:rsidRPr="005F1D16">
        <w:rPr>
          <w:b/>
          <w:sz w:val="26"/>
          <w:szCs w:val="26"/>
        </w:rPr>
        <w:t xml:space="preserve">Ministru kabineta noteikumu projekta „Grozījumi Ministru kabineta </w:t>
      </w:r>
    </w:p>
    <w:p w:rsidR="0032071D" w:rsidRPr="005F1D16" w:rsidRDefault="0032071D" w:rsidP="0032071D">
      <w:pPr>
        <w:jc w:val="center"/>
        <w:rPr>
          <w:b/>
          <w:sz w:val="26"/>
          <w:szCs w:val="26"/>
        </w:rPr>
      </w:pPr>
      <w:r w:rsidRPr="005F1D16">
        <w:rPr>
          <w:b/>
          <w:sz w:val="26"/>
          <w:szCs w:val="26"/>
        </w:rPr>
        <w:t xml:space="preserve">1997.gada 1.aprīļa noteikumos Nr.112 „Vispārīgie būvnoteikumi”” </w:t>
      </w:r>
    </w:p>
    <w:p w:rsidR="0032071D" w:rsidRPr="005F1D16" w:rsidRDefault="0032071D" w:rsidP="0032071D">
      <w:pPr>
        <w:ind w:firstLine="720"/>
        <w:jc w:val="center"/>
        <w:rPr>
          <w:b/>
          <w:bCs/>
          <w:sz w:val="26"/>
          <w:szCs w:val="26"/>
        </w:rPr>
      </w:pPr>
      <w:r w:rsidRPr="005F1D16">
        <w:rPr>
          <w:b/>
          <w:sz w:val="26"/>
          <w:szCs w:val="26"/>
        </w:rPr>
        <w:t xml:space="preserve">sākotnējās ietekmes novērtējuma </w:t>
      </w:r>
      <w:smartTag w:uri="schemas-tilde-lv/tildestengine" w:element="veidnes">
        <w:smartTagPr>
          <w:attr w:name="id" w:val="-1"/>
          <w:attr w:name="baseform" w:val="ziņojums"/>
          <w:attr w:name="text" w:val="ziņojums"/>
        </w:smartTagPr>
        <w:r w:rsidRPr="005F1D16">
          <w:rPr>
            <w:b/>
            <w:sz w:val="26"/>
            <w:szCs w:val="26"/>
          </w:rPr>
          <w:t>ziņojums</w:t>
        </w:r>
      </w:smartTag>
      <w:r w:rsidRPr="005F1D16">
        <w:rPr>
          <w:b/>
          <w:sz w:val="26"/>
          <w:szCs w:val="26"/>
        </w:rPr>
        <w:t xml:space="preserve"> (</w:t>
      </w:r>
      <w:r w:rsidRPr="005F1D16">
        <w:rPr>
          <w:b/>
          <w:bCs/>
          <w:sz w:val="26"/>
          <w:szCs w:val="26"/>
        </w:rPr>
        <w:t>anotācija)</w:t>
      </w:r>
      <w:bookmarkEnd w:id="0"/>
      <w:bookmarkEnd w:id="1"/>
      <w:bookmarkEnd w:id="2"/>
      <w:bookmarkEnd w:id="3"/>
      <w:bookmarkEnd w:id="4"/>
    </w:p>
    <w:p w:rsidR="0032071D" w:rsidRPr="005F1D16" w:rsidRDefault="0032071D" w:rsidP="0032071D">
      <w:pPr>
        <w:tabs>
          <w:tab w:val="left" w:pos="7230"/>
        </w:tabs>
        <w:rPr>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85"/>
        <w:gridCol w:w="5953"/>
      </w:tblGrid>
      <w:tr w:rsidR="0032071D" w:rsidRPr="005F1D16" w:rsidTr="00D72FFB">
        <w:tc>
          <w:tcPr>
            <w:tcW w:w="9062" w:type="dxa"/>
            <w:gridSpan w:val="3"/>
            <w:vAlign w:val="center"/>
          </w:tcPr>
          <w:p w:rsidR="0032071D" w:rsidRPr="005F1D16" w:rsidRDefault="0032071D" w:rsidP="00D72FFB">
            <w:pPr>
              <w:jc w:val="center"/>
            </w:pPr>
            <w:r w:rsidRPr="005F1D16">
              <w:rPr>
                <w:b/>
              </w:rPr>
              <w:t>I. Tiesību akta projekta izstrādes nepieciešamība</w:t>
            </w:r>
          </w:p>
        </w:tc>
      </w:tr>
      <w:tr w:rsidR="0032071D" w:rsidRPr="005F1D16" w:rsidTr="00D72FFB">
        <w:trPr>
          <w:trHeight w:val="439"/>
        </w:trPr>
        <w:tc>
          <w:tcPr>
            <w:tcW w:w="524" w:type="dxa"/>
          </w:tcPr>
          <w:p w:rsidR="0032071D" w:rsidRPr="005F1D16" w:rsidRDefault="0032071D" w:rsidP="00D72FFB">
            <w:pPr>
              <w:ind w:left="57" w:right="57"/>
            </w:pPr>
            <w:r w:rsidRPr="005F1D16">
              <w:t> 1.</w:t>
            </w:r>
          </w:p>
        </w:tc>
        <w:tc>
          <w:tcPr>
            <w:tcW w:w="2585" w:type="dxa"/>
          </w:tcPr>
          <w:p w:rsidR="0032071D" w:rsidRPr="005F1D16" w:rsidRDefault="0032071D" w:rsidP="00D72FFB">
            <w:pPr>
              <w:ind w:left="57" w:right="57"/>
            </w:pPr>
            <w:r w:rsidRPr="005F1D16">
              <w:t>Pamatojums</w:t>
            </w:r>
          </w:p>
        </w:tc>
        <w:tc>
          <w:tcPr>
            <w:tcW w:w="5953" w:type="dxa"/>
          </w:tcPr>
          <w:p w:rsidR="0032071D" w:rsidRPr="005F1D16" w:rsidRDefault="0032071D" w:rsidP="00D72FFB">
            <w:pPr>
              <w:pStyle w:val="naiskr"/>
              <w:spacing w:before="0" w:after="0"/>
              <w:ind w:left="57" w:right="57"/>
              <w:jc w:val="both"/>
            </w:pPr>
            <w:r w:rsidRPr="005F1D16">
              <w:t xml:space="preserve">        Būvniecības likuma 2.panta ceturtā daļa</w:t>
            </w:r>
          </w:p>
          <w:p w:rsidR="0032071D" w:rsidRPr="005F1D16" w:rsidRDefault="0032071D" w:rsidP="00D72FFB">
            <w:pPr>
              <w:pStyle w:val="naiskr"/>
              <w:spacing w:before="0" w:after="0"/>
              <w:ind w:left="57" w:right="57"/>
              <w:jc w:val="both"/>
              <w:rPr>
                <w:b/>
                <w:bCs/>
              </w:rPr>
            </w:pPr>
            <w:r w:rsidRPr="005F1D16">
              <w:t xml:space="preserve">        Ministru kabineta 19.06.2012. sēdes </w:t>
            </w:r>
            <w:proofErr w:type="spellStart"/>
            <w:r w:rsidRPr="005F1D16">
              <w:t>protokollēmuma</w:t>
            </w:r>
            <w:proofErr w:type="spellEnd"/>
            <w:r w:rsidRPr="005F1D16">
              <w:t xml:space="preserve"> (prot.Nr.34, 36.§, TA-3050) „</w:t>
            </w:r>
            <w:r w:rsidRPr="005F1D16">
              <w:rPr>
                <w:bCs/>
                <w:i/>
              </w:rPr>
              <w:t>Informatīvais ziņojums "Par spēkā esošo normatīvo regulējumu un kārtību saistībā ar izsniegto būvatļauju pagarināšanu un procesa optimizēšanu"”</w:t>
            </w:r>
            <w:r w:rsidRPr="005F1D16">
              <w:rPr>
                <w:b/>
                <w:bCs/>
              </w:rPr>
              <w:t xml:space="preserve"> </w:t>
            </w:r>
            <w:r w:rsidRPr="005F1D16">
              <w:rPr>
                <w:bCs/>
              </w:rPr>
              <w:t>2.punkts</w:t>
            </w:r>
            <w:r>
              <w:rPr>
                <w:bCs/>
              </w:rPr>
              <w:t>, kurš nosaka:</w:t>
            </w:r>
            <w:r w:rsidRPr="005F1D16">
              <w:rPr>
                <w:b/>
                <w:bCs/>
              </w:rPr>
              <w:t xml:space="preserve"> </w:t>
            </w:r>
          </w:p>
          <w:p w:rsidR="0032071D" w:rsidRPr="005F1D16" w:rsidRDefault="0032071D" w:rsidP="00D72FFB">
            <w:pPr>
              <w:ind w:left="57" w:right="57" w:firstLine="720"/>
              <w:jc w:val="both"/>
            </w:pPr>
            <w:r w:rsidRPr="005F1D16">
              <w:t>2. Ekonomikas ministrijai izstrādāt un ekonomikas ministram līdz 2012.gada 1.oktobrim iesniegt noteiktā kārtībā izskatīšanai Ministru kabinetā grozījumus Ministru kabineta 1997.gada 1.aprīļa noteikumos Nr.112 „Vispārīgie būvnoteikumi”:</w:t>
            </w:r>
            <w:r w:rsidRPr="005F1D16">
              <w:br/>
              <w:t xml:space="preserve">             2.1. par dokumentu un būvdarbu termiņu ierobežošanu projektiem, par kuriem sabiedrība ir izteikusi viedokli paredzētās darbības ietekmes uz vidi novērtējuma ietvaros vai paredzētās būves publiskajā apspriešanā, paredzot, ka turpmāk netiks pagarināts plānošanas un arhitektūras uzdevuma, kā arī būvprojekta derīguma termiņš, un vienlaikus nosakot maksimālo būvdarbu veikšanas ilgumu - 5 gadi;</w:t>
            </w:r>
            <w:r w:rsidRPr="005F1D16">
              <w:br/>
              <w:t xml:space="preserve">             2.2. par būvdarbu termiņa ierobežošanu pārējām būvēm, nosakot maksimālo būvdarbu veikšanas ilgumu – 8 gadi. </w:t>
            </w:r>
            <w:r w:rsidRPr="005F1D16">
              <w:br/>
            </w:r>
          </w:p>
        </w:tc>
      </w:tr>
      <w:tr w:rsidR="0032071D" w:rsidRPr="005F1D16" w:rsidTr="00D72FFB">
        <w:trPr>
          <w:trHeight w:val="1544"/>
        </w:trPr>
        <w:tc>
          <w:tcPr>
            <w:tcW w:w="524" w:type="dxa"/>
          </w:tcPr>
          <w:p w:rsidR="0032071D" w:rsidRPr="005F1D16" w:rsidRDefault="0032071D" w:rsidP="00D72FFB">
            <w:pPr>
              <w:ind w:left="57" w:right="57"/>
            </w:pPr>
            <w:r w:rsidRPr="005F1D16">
              <w:t> 2.</w:t>
            </w:r>
          </w:p>
        </w:tc>
        <w:tc>
          <w:tcPr>
            <w:tcW w:w="2585" w:type="dxa"/>
          </w:tcPr>
          <w:p w:rsidR="0032071D" w:rsidRPr="005F1D16" w:rsidRDefault="0032071D" w:rsidP="00D72FFB">
            <w:pPr>
              <w:ind w:left="57" w:right="57"/>
            </w:pPr>
            <w:r w:rsidRPr="005F1D16">
              <w:t>Pašreizējā situācija un problēmas</w:t>
            </w:r>
          </w:p>
        </w:tc>
        <w:tc>
          <w:tcPr>
            <w:tcW w:w="5953" w:type="dxa"/>
          </w:tcPr>
          <w:p w:rsidR="0032071D" w:rsidRPr="005F1D16" w:rsidRDefault="0032071D" w:rsidP="00D72FFB">
            <w:pPr>
              <w:ind w:left="57" w:right="57" w:firstLine="567"/>
              <w:jc w:val="both"/>
            </w:pPr>
            <w:r w:rsidRPr="005F1D16">
              <w:t>Lai persona varētu uzsākt būvniecību, tai jāsaņem būvatļauja Vispārīgajos būvnoteikumos paredzētajā kārtībā.</w:t>
            </w:r>
          </w:p>
          <w:p w:rsidR="0032071D" w:rsidRPr="005F1D16" w:rsidRDefault="0032071D" w:rsidP="00D72FFB">
            <w:pPr>
              <w:ind w:left="57" w:right="57" w:firstLine="567"/>
              <w:jc w:val="both"/>
            </w:pPr>
            <w:r w:rsidRPr="005F1D16">
              <w:t xml:space="preserve">Būvatļaujai ir jābūt derīgai visu būvdarbu veikšanas laiku, līdz būves pieņemšanai ekspluatācijā. Būvatļauja ir uzskatāma par nederīgu, ja tai ir beidzies derīguma termiņš, tā ir anulēta/atcelta vai tās darbība ir apturēta. Būvdarbu uzsākšana bez būvatļaujas kvalificējama kā patvaļīga būvniecība. </w:t>
            </w:r>
          </w:p>
          <w:p w:rsidR="0032071D" w:rsidRPr="005F1D16" w:rsidRDefault="0032071D" w:rsidP="00D72FFB">
            <w:pPr>
              <w:pStyle w:val="ListParagraph"/>
              <w:widowControl/>
              <w:suppressAutoHyphens w:val="0"/>
              <w:spacing w:after="120"/>
              <w:ind w:left="57" w:right="57" w:firstLine="567"/>
              <w:jc w:val="both"/>
              <w:rPr>
                <w:rFonts w:eastAsia="Times New Roman"/>
              </w:rPr>
            </w:pPr>
            <w:r w:rsidRPr="005F1D16">
              <w:rPr>
                <w:rFonts w:eastAsia="Times New Roman"/>
                <w:kern w:val="0"/>
                <w:lang w:eastAsia="lv-LV"/>
              </w:rPr>
              <w:t xml:space="preserve">Praksē pašvaldības būvatļaujas derīguma termiņu nosaka atbilstoši pasūtītāja iesniegumā par būvatļaujas izsniegšanu norādītajam, kā arī vērtē būves sarežģītību un plānotos būvniecības apjomus. </w:t>
            </w:r>
          </w:p>
          <w:p w:rsidR="0032071D" w:rsidRPr="005F1D16" w:rsidRDefault="0032071D" w:rsidP="00D72FFB">
            <w:pPr>
              <w:ind w:left="57" w:right="57" w:firstLine="567"/>
              <w:jc w:val="both"/>
            </w:pPr>
            <w:r w:rsidRPr="005F1D16">
              <w:t xml:space="preserve">Būvatļauja ir administratīvais akts. To </w:t>
            </w:r>
            <w:r w:rsidRPr="005F1D16">
              <w:rPr>
                <w:bCs/>
              </w:rPr>
              <w:t>saskaņā ar Administratīvā procesa likuma 47.pantu</w:t>
            </w:r>
            <w:r w:rsidRPr="005F1D16">
              <w:t xml:space="preserve"> ir iespējams </w:t>
            </w:r>
            <w:r w:rsidRPr="005F1D16">
              <w:rPr>
                <w:bCs/>
              </w:rPr>
              <w:t xml:space="preserve">pagarināt, ja ir saņemts attiecīgs pasūtītāja vai būvētāja iesniegums. </w:t>
            </w:r>
            <w:r w:rsidRPr="005F1D16">
              <w:t xml:space="preserve">Iesniegums par būvatļaujas derīguma termiņa pagarināšanu pasūtītājam vai būvētājam būvvaldē ir jāiesniedz pirms būvatļaujas derīguma termiņa beigām. Iesniegumā iesniedzējs norāda arī vēlamo termiņu, līdz kuram jāpagarina būvatļauja. Parasti būvvaldes arī respektē šo norādīto termiņu. </w:t>
            </w:r>
            <w:r w:rsidRPr="005F1D16">
              <w:tab/>
            </w:r>
          </w:p>
          <w:p w:rsidR="0032071D" w:rsidRPr="00C5778B" w:rsidRDefault="0032071D" w:rsidP="00D72FFB">
            <w:pPr>
              <w:ind w:left="57" w:right="57"/>
              <w:jc w:val="both"/>
            </w:pPr>
            <w:r w:rsidRPr="005F1D16">
              <w:t xml:space="preserve">     </w:t>
            </w:r>
            <w:r w:rsidRPr="00C5778B">
              <w:t xml:space="preserve">Teritorijas attīstības un plānošanas likums paredz izstrādāt skiču projektu detālplānojuma ietvaros, </w:t>
            </w:r>
            <w:r w:rsidRPr="00C5778B">
              <w:lastRenderedPageBreak/>
              <w:t>bet Ministru kabineta 1997.gada 1.aprīļa noteikumos Nr.112 „Vispārīgie būvnoteikumi” neparedz iespēju izstrādāt projektu bez plānošanas un arhitektūras uzdevuma. Šī pretruna jānovērš dodot tiesības iekļaut plānošanas un arhitektūras nosacījumu</w:t>
            </w:r>
            <w:r>
              <w:t>s</w:t>
            </w:r>
            <w:r w:rsidRPr="00C5778B">
              <w:t xml:space="preserve"> detālplānojuma darba uzdevumā. Teritorijas attīstības un plānošanas likums un Noteikumi par pašvaldības teritorijas attīstības plānošanas dokumentiem paredz detālplānojuma ietvaros iekļaut teritorijas apbūves un izmantošanas noteikumus, kas izstrādāti konkrētā zemes gabala (vienības) apbūvei. Šajā gadījumā būtu jāizdod plānošanas un arhitektūras uzdevums, kas saturētu tieši tās pašas normas, ko jau </w:t>
            </w:r>
            <w:r>
              <w:t>nosaka</w:t>
            </w:r>
            <w:r w:rsidRPr="00C5778B">
              <w:t xml:space="preserve"> teritorijas apbūves un izmantošanas noteikumi. Lai novērstu nevajadzīgu</w:t>
            </w:r>
            <w:r>
              <w:t xml:space="preserve"> normu</w:t>
            </w:r>
            <w:r w:rsidRPr="00C5778B">
              <w:t xml:space="preserve"> dublēšanu, jāparedz, ka izstrādātā detālplānojuma apbūves un izmantošanas noteikumi vienlaicīgi kalpo arī kā plānošanas un arhitektūras uzdevums.</w:t>
            </w:r>
          </w:p>
          <w:p w:rsidR="0032071D" w:rsidRPr="00C5778B" w:rsidRDefault="0032071D" w:rsidP="00D72FFB">
            <w:pPr>
              <w:ind w:left="57" w:right="57"/>
              <w:jc w:val="both"/>
            </w:pPr>
            <w:r w:rsidRPr="00C5778B">
              <w:t xml:space="preserve">     Šobrīd normatīvais regulējums paredz, ka veicot lodžiju aizstiklošanu, ir jāizstrādā būvprojekts, taču izvērtējot šādu būvdarbu sarežģītību, secināms, ka tie atbilst jau šobrīd esošajai vienkāršotajai kārtībai – ēkas fasādes vienkāršotās renovācijas darbiem.</w:t>
            </w:r>
          </w:p>
          <w:p w:rsidR="0032071D" w:rsidRPr="00C5778B" w:rsidRDefault="0032071D" w:rsidP="00D72FFB">
            <w:pPr>
              <w:ind w:left="57" w:right="57"/>
              <w:jc w:val="both"/>
            </w:pPr>
            <w:r w:rsidRPr="00C5778B">
              <w:t xml:space="preserve">       Būvniecības iesniegums – uzskaites kartē šobrīd būvniecības ierosinātājs nenorāda būvniecības veidu (jauna būvniecība, rekonstrukcija, renovācija, restaurācija, nojaukšana), līdz ar to būvvaldēm saņemt šo iesniegumu ir grūti saprast, ko vēlas būvniecības ierosinātājs, kā arī šajā iesniegumā netiek norādīta cita svarīga informācija, lai būvvalde varētu lemt par plānošanas un arhitektūras uzdevuma izsniegšanu, piemēram, netiek norādīts zemes vienības vai būves kadastra apzīmējums. Šobrīd šāda informācija netiek norādīta arī būvatļaujā.</w:t>
            </w:r>
          </w:p>
          <w:p w:rsidR="0032071D" w:rsidRPr="00C5778B" w:rsidRDefault="0032071D" w:rsidP="00D72FFB">
            <w:pPr>
              <w:pStyle w:val="naiskr"/>
              <w:spacing w:before="0" w:after="0"/>
              <w:ind w:left="57" w:right="57"/>
              <w:jc w:val="both"/>
            </w:pPr>
            <w:r w:rsidRPr="00C5778B">
              <w:t xml:space="preserve">       Ministru kabineta 01.04.1997. noteikumu Nr.112 „Vispārīgie būvnoteikumi” 116.punktā ir noteikts, kāda informācija pasūtītājam ir jāiesniedz būvvaldē, lai saņemtu būvatļauju, taču, lai saņemtu būvatļauju ir jāsniedz vēl citas ziņas, piemēram, būvniecības kopējās izmaksas, ziņas par būvniecības dalībniekiem, līdz ar to ir nepieciešams noteikt vienotu būvatļaujas pieprasījuma formu.</w:t>
            </w:r>
          </w:p>
          <w:p w:rsidR="0032071D" w:rsidRPr="005F1D16" w:rsidRDefault="0032071D" w:rsidP="00D72FFB">
            <w:pPr>
              <w:pStyle w:val="naiskr"/>
              <w:spacing w:before="0" w:after="0"/>
              <w:ind w:left="57" w:right="57"/>
              <w:jc w:val="both"/>
            </w:pPr>
            <w:r w:rsidRPr="005F1D16">
              <w:t xml:space="preserve">   </w:t>
            </w:r>
          </w:p>
        </w:tc>
      </w:tr>
      <w:tr w:rsidR="0032071D" w:rsidRPr="005F1D16" w:rsidTr="00D72FFB">
        <w:trPr>
          <w:trHeight w:val="410"/>
        </w:trPr>
        <w:tc>
          <w:tcPr>
            <w:tcW w:w="524" w:type="dxa"/>
          </w:tcPr>
          <w:p w:rsidR="0032071D" w:rsidRPr="005F1D16" w:rsidRDefault="0032071D" w:rsidP="00D72FFB">
            <w:pPr>
              <w:ind w:left="57" w:right="57"/>
            </w:pPr>
            <w:r w:rsidRPr="005F1D16">
              <w:lastRenderedPageBreak/>
              <w:t> 3.</w:t>
            </w:r>
          </w:p>
        </w:tc>
        <w:tc>
          <w:tcPr>
            <w:tcW w:w="2585" w:type="dxa"/>
          </w:tcPr>
          <w:p w:rsidR="0032071D" w:rsidRPr="005F1D16" w:rsidRDefault="0032071D" w:rsidP="00D72FFB">
            <w:pPr>
              <w:ind w:left="57" w:right="57"/>
            </w:pPr>
            <w:r w:rsidRPr="005F1D16">
              <w:t>Saistītie politikas ietekmes novērtējumi un pētījumi</w:t>
            </w:r>
          </w:p>
        </w:tc>
        <w:tc>
          <w:tcPr>
            <w:tcW w:w="5953" w:type="dxa"/>
          </w:tcPr>
          <w:p w:rsidR="0032071D" w:rsidRPr="005F1D16" w:rsidRDefault="0032071D" w:rsidP="00D72FFB">
            <w:pPr>
              <w:ind w:left="57" w:right="57"/>
              <w:jc w:val="both"/>
            </w:pPr>
            <w:r w:rsidRPr="005F1D16">
              <w:t xml:space="preserve">       Politikas ietekmes novērtējumi vai pētījumi nav veikti.</w:t>
            </w:r>
          </w:p>
          <w:p w:rsidR="0032071D" w:rsidRPr="005F1D16" w:rsidRDefault="0032071D" w:rsidP="00D72FFB">
            <w:pPr>
              <w:ind w:left="57" w:right="57"/>
              <w:jc w:val="both"/>
            </w:pPr>
          </w:p>
        </w:tc>
      </w:tr>
      <w:tr w:rsidR="0032071D" w:rsidRPr="005F1D16" w:rsidTr="00D72FFB">
        <w:trPr>
          <w:trHeight w:val="384"/>
        </w:trPr>
        <w:tc>
          <w:tcPr>
            <w:tcW w:w="524" w:type="dxa"/>
          </w:tcPr>
          <w:p w:rsidR="0032071D" w:rsidRPr="005F1D16" w:rsidRDefault="0032071D" w:rsidP="00D72FFB">
            <w:pPr>
              <w:ind w:left="57" w:right="57"/>
            </w:pPr>
            <w:r w:rsidRPr="005F1D16">
              <w:t> 4.</w:t>
            </w:r>
          </w:p>
        </w:tc>
        <w:tc>
          <w:tcPr>
            <w:tcW w:w="2585" w:type="dxa"/>
          </w:tcPr>
          <w:p w:rsidR="0032071D" w:rsidRPr="005F1D16" w:rsidRDefault="0032071D" w:rsidP="00D72FFB">
            <w:pPr>
              <w:ind w:left="57" w:right="57"/>
            </w:pPr>
            <w:r w:rsidRPr="005F1D16">
              <w:t>Tiesiskā regulējuma mērķis un būtība</w:t>
            </w:r>
          </w:p>
        </w:tc>
        <w:tc>
          <w:tcPr>
            <w:tcW w:w="5953" w:type="dxa"/>
          </w:tcPr>
          <w:p w:rsidR="0032071D" w:rsidRPr="005F1D16" w:rsidRDefault="0032071D" w:rsidP="00D72FFB">
            <w:pPr>
              <w:ind w:left="57" w:right="57" w:firstLine="567"/>
              <w:jc w:val="both"/>
            </w:pPr>
            <w:r w:rsidRPr="00BC572F">
              <w:t>1. Ir noteikts, ka Plānošanas un arhitektūras uzdevuma derīguma termiņu un, ja būvdarbi nav uzsākti, akceptētā izvērstā skiču projekta vai akceptētā tehniskā projekta derīguma termiņu nepagarina būvniecības procesiem, kuri ierosināti pēc 2013.gada 1.aprīlim.  Tas nozīmē, ka plānošanas un arhitektūras uzdevums būs derīgs divus</w:t>
            </w:r>
            <w:r>
              <w:t xml:space="preserve"> vai četrus</w:t>
            </w:r>
            <w:r w:rsidRPr="005F1D16">
              <w:t xml:space="preserve"> gadus</w:t>
            </w:r>
            <w:r>
              <w:t>, atkarībā no būvvaldes noteiktajām būvniecības stadijām.</w:t>
            </w:r>
            <w:r w:rsidRPr="005F1D16">
              <w:t xml:space="preserve"> Šajā laikā pasūtītājam jāizstrādā būvprojekts vai attiecīgi jāizņem būvatļauja, lai uzsāktu būvdarbus – </w:t>
            </w:r>
            <w:r>
              <w:lastRenderedPageBreak/>
              <w:t>noteikumu projekta 1.,</w:t>
            </w:r>
            <w:r w:rsidR="00523893">
              <w:t>11</w:t>
            </w:r>
            <w:r w:rsidRPr="005F1D16">
              <w:t>.punkts;</w:t>
            </w:r>
          </w:p>
          <w:p w:rsidR="0032071D" w:rsidRDefault="0032071D" w:rsidP="00D72FFB">
            <w:pPr>
              <w:pStyle w:val="NormalWeb"/>
              <w:ind w:left="57" w:right="57"/>
              <w:jc w:val="both"/>
            </w:pPr>
            <w:r>
              <w:t xml:space="preserve">         </w:t>
            </w:r>
          </w:p>
          <w:p w:rsidR="0032071D" w:rsidRPr="00C658CF" w:rsidRDefault="0032071D" w:rsidP="00D72FFB">
            <w:pPr>
              <w:pStyle w:val="NormalWeb"/>
              <w:ind w:left="57" w:right="57"/>
              <w:jc w:val="both"/>
              <w:rPr>
                <w:rFonts w:ascii="Arial" w:hAnsi="Arial" w:cs="Arial"/>
              </w:rPr>
            </w:pPr>
            <w:r>
              <w:t xml:space="preserve">         2. Ņemot vērā, ka Teritorijas attīstības plānošanas likums paredz, ka detālplānojumu var izstrādāt kopā ar skiču projektu, tad graizījumu projektā ir precizēts, ka j</w:t>
            </w:r>
            <w:r w:rsidRPr="007D3633">
              <w:t>a saskaņā ar teritorijas attīstības plānošanas jomas normatīvajiem aktiem detālplānojumu  izstrādā vienlaicīgi ar skiču projektu,  tā plānošanas un arhitektūras uzdevuma nosacījumus ietver detālplānojuma izstrādes darba uzdevumā.</w:t>
            </w:r>
            <w:r>
              <w:t xml:space="preserve">, kā arī ir noteikts, ka </w:t>
            </w:r>
            <w:r w:rsidRPr="00C658CF">
              <w:t xml:space="preserve">ja apbūves teritorijai saskaņā ar Teritorijas attīstības plānošanas likumu ir izstrādāts detālplānojums, un par tā īstenošanas kārtību ir noslēgts administratīvais </w:t>
            </w:r>
            <w:smartTag w:uri="schemas-tilde-lv/tildestengine" w:element="veidnes">
              <w:smartTagPr>
                <w:attr w:name="text" w:val="līgums"/>
                <w:attr w:name="id" w:val="-1"/>
                <w:attr w:name="baseform" w:val="līgum|s"/>
              </w:smartTagPr>
              <w:r w:rsidRPr="00C658CF">
                <w:t>līgums</w:t>
              </w:r>
            </w:smartTag>
            <w:r w:rsidRPr="00C658CF">
              <w:t xml:space="preserve"> starp pašvaldību un detālplānojuma izstrādes īstenotāju, plānošanas un arhitektūras uzdevumu </w:t>
            </w:r>
            <w:r>
              <w:t>neizsniedz</w:t>
            </w:r>
            <w:r w:rsidRPr="00C658CF">
              <w:t xml:space="preserve"> un būvprojektu izstrādā saskaņā ar detālplānojumā noteiktajiem teritorijas izmantošanas un apbūves nosacījumiem.</w:t>
            </w:r>
            <w:r>
              <w:t xml:space="preserve"> Šis regulējums nav piemērojams, ja saskaņā ar normatīvajiem aktiem paredzētai būvei ir jāsaņem reģionālās vides pārvaldes tehniskie noteikumi  - noteikumu projekta 2.punkts (VBN </w:t>
            </w:r>
            <w:r w:rsidRPr="005F1D16">
              <w:t>35.</w:t>
            </w:r>
            <w:r>
              <w:rPr>
                <w:vertAlign w:val="superscript"/>
              </w:rPr>
              <w:t>3</w:t>
            </w:r>
            <w:r w:rsidRPr="005F1D16">
              <w:t>,</w:t>
            </w:r>
            <w:r>
              <w:t xml:space="preserve"> </w:t>
            </w:r>
            <w:r w:rsidRPr="005F1D16">
              <w:t>35.</w:t>
            </w:r>
            <w:r>
              <w:rPr>
                <w:vertAlign w:val="superscript"/>
              </w:rPr>
              <w:t>4</w:t>
            </w:r>
            <w:r>
              <w:t xml:space="preserve"> punkts).</w:t>
            </w:r>
          </w:p>
          <w:p w:rsidR="0032071D" w:rsidRDefault="0032071D" w:rsidP="00D72FFB">
            <w:pPr>
              <w:ind w:left="57" w:right="57" w:firstLine="709"/>
              <w:jc w:val="both"/>
            </w:pPr>
          </w:p>
          <w:p w:rsidR="0032071D" w:rsidRDefault="0032071D" w:rsidP="00D72FFB">
            <w:pPr>
              <w:ind w:left="57" w:right="57" w:firstLine="709"/>
              <w:jc w:val="both"/>
            </w:pPr>
            <w:r>
              <w:t>3. </w:t>
            </w:r>
            <w:r w:rsidRPr="00C658CF">
              <w:t>Noteikumu projektā ir noteikts, ka lodžiju aizstiklošanu varēs veikt vienkāršotā kārtībā – aizpildot un būvvaldē iesniedzot ēkas fasādes vienkāršotās renovācijas apliecinājuma karti, kā arī ir noteikts, kā var veikt lodžijas aizstiklošanu daudzstāvu daudzdzīvokļu dzīvojamā mājā, ja neveic nekādus c</w:t>
            </w:r>
            <w:r>
              <w:t>itus fasādes renovācijas darbus - noteikumu projekta 3., 4. un 5.punkts.</w:t>
            </w:r>
          </w:p>
          <w:p w:rsidR="0032071D" w:rsidRDefault="0032071D" w:rsidP="00D72FFB">
            <w:pPr>
              <w:ind w:left="57" w:right="57" w:firstLine="709"/>
              <w:jc w:val="both"/>
            </w:pPr>
          </w:p>
          <w:p w:rsidR="0032071D" w:rsidRDefault="0032071D" w:rsidP="00D72FFB">
            <w:pPr>
              <w:ind w:left="57" w:right="57" w:firstLine="709"/>
              <w:jc w:val="both"/>
            </w:pPr>
            <w:r>
              <w:t xml:space="preserve">4. Papildināts noteikumu 62.punkts ar regulējumu, ka bez būvprojekta un būvatļaujas var nojaukt </w:t>
            </w:r>
            <w:proofErr w:type="spellStart"/>
            <w:r w:rsidRPr="00401324">
              <w:t>mazēkas</w:t>
            </w:r>
            <w:proofErr w:type="spellEnd"/>
            <w:r w:rsidRPr="00401324">
              <w:t>, atsevišķu labiekārtojuma elementu (apgaismes ķermeņu, žogu, norobežojumu, soliņu, atkritumu urnu, bērnu rotaļu ierīču, velosipēdu statīvu un tamlīdzīgu mazo arhitektūras formu, gājēju celiņu), reklāmas stendu un objektu, norāžu stabu nojaukšanai,  ja šīs darbības saskaņotas buvvalde</w:t>
            </w:r>
            <w:r>
              <w:t xml:space="preserve">, kā arī ir noteikts, ka būvprojekts un būvatļauja nav nepieciešama </w:t>
            </w:r>
            <w:r w:rsidRPr="00401324">
              <w:t xml:space="preserve">reklāmas stendiem un objektiem bez </w:t>
            </w:r>
            <w:proofErr w:type="spellStart"/>
            <w:r w:rsidRPr="00401324">
              <w:t>elektropieslēguma</w:t>
            </w:r>
            <w:proofErr w:type="spellEnd"/>
            <w:r w:rsidRPr="00401324">
              <w:t xml:space="preserve">, ja to augstums nepārsniedz 2,5 metrus un tūrisma objektu un ielu norāžu stabiem bez </w:t>
            </w:r>
            <w:proofErr w:type="spellStart"/>
            <w:r w:rsidRPr="00401324">
              <w:t>elektropieslēguma</w:t>
            </w:r>
            <w:proofErr w:type="spellEnd"/>
            <w:r w:rsidRPr="00401324">
              <w:t>, ja to augstums nepārsniedz 4 metrus, un to novietojums zemes gabalā un vizuālais risinājums saskaņots būvvaldē</w:t>
            </w:r>
            <w:r w:rsidR="00523893">
              <w:t xml:space="preserve">  - (noteikumu projekta 9</w:t>
            </w:r>
            <w:r>
              <w:t xml:space="preserve">. un </w:t>
            </w:r>
            <w:r w:rsidR="00523893">
              <w:t>10</w:t>
            </w:r>
            <w:r>
              <w:t>.punkts).</w:t>
            </w:r>
          </w:p>
          <w:p w:rsidR="0032071D" w:rsidRDefault="0032071D" w:rsidP="00D72FFB">
            <w:pPr>
              <w:ind w:left="57" w:right="57" w:firstLine="709"/>
              <w:jc w:val="both"/>
            </w:pPr>
          </w:p>
          <w:p w:rsidR="0032071D" w:rsidRDefault="0032071D" w:rsidP="00D72FFB">
            <w:pPr>
              <w:ind w:left="57" w:right="57" w:firstLine="709"/>
              <w:jc w:val="both"/>
            </w:pPr>
            <w:r>
              <w:t xml:space="preserve">5. Precizēts noteikumu 118.punkts, jo tiek noteikts maksimālais būvdarbu veikšanas ilgums – 5 vai 8 gadi, līdz ar to būvniecības ierosinātājs pats var noteikt, kādā termiņā viņš plāno pabeigt būvi, kā arī ir noteikts, ka maksimālajā termiņā būvvaldei nav jāvērtē tiesiskie un faktiskie apstākļi, uz kura pamata tika izdota būvatļauja – noteikumu projekta </w:t>
            </w:r>
            <w:r>
              <w:lastRenderedPageBreak/>
              <w:t>1</w:t>
            </w:r>
            <w:r w:rsidR="00CE09DB">
              <w:t>4</w:t>
            </w:r>
            <w:r>
              <w:t>.punkts.</w:t>
            </w:r>
          </w:p>
          <w:p w:rsidR="0032071D" w:rsidRDefault="0032071D" w:rsidP="00D72FFB">
            <w:pPr>
              <w:ind w:left="57" w:right="57" w:firstLine="510"/>
              <w:jc w:val="both"/>
            </w:pPr>
          </w:p>
          <w:p w:rsidR="0032071D" w:rsidRPr="00E72AF9" w:rsidRDefault="0032071D" w:rsidP="00D72FFB">
            <w:pPr>
              <w:ind w:left="57" w:right="57" w:firstLine="510"/>
              <w:jc w:val="both"/>
            </w:pPr>
            <w:r>
              <w:t>6. </w:t>
            </w:r>
            <w:r w:rsidRPr="005F1D16">
              <w:t xml:space="preserve">Projektiem, par kuriem sabiedrība ir izteikusi viedokli paredzētās darbības ietekmes uz vidi vai paredzētās būves publiskajā apspriešanā, noteikts maksimālais būvniecības laiks (no būvatļaujas saņemšanas) 5 gadi. Ņemot vērā, ka akceptētā būvprojekta derīguma termiņš ir 2 gadi, tad kopējais būvniecības ilgums, no būvprojekta akcepta brīža, var sasniegt 7 gadus. Ja būvdarbi tiek turpināti pēc būvdarbu veikšanai  noteiktā termiņa - 5 gadiem, tad šāda darbība ir kvalificējama kā patvaļīga </w:t>
            </w:r>
            <w:r w:rsidRPr="00E72AF9">
              <w:t xml:space="preserve">būvniecība.  Pašvaldības rīcība patvaļīgas būvniecības gadījumā jau šobrīd ir noteikta ārējā normatīvā aktā. </w:t>
            </w:r>
          </w:p>
          <w:p w:rsidR="0032071D" w:rsidRPr="00604CD7" w:rsidRDefault="0032071D" w:rsidP="00D72FFB">
            <w:pPr>
              <w:ind w:firstLine="720"/>
              <w:jc w:val="both"/>
              <w:rPr>
                <w:color w:val="00B050"/>
                <w:sz w:val="28"/>
                <w:szCs w:val="28"/>
                <w:u w:val="single"/>
              </w:rPr>
            </w:pPr>
            <w:r w:rsidRPr="00E72AF9">
              <w:t>Gadījumos, kad ir pārsniegts noteiktais  maksimālais būvniecības laiks (5 gadi) pasūtītājam ir jāveic atbilstoši likuma „Par ietekmes uz vidi novērtējumu” noteiktajai kārtībai sākotnējais ietekmes uz vidi izvērtējums</w:t>
            </w:r>
            <w:r>
              <w:t xml:space="preserve"> un ja būs mainījušies tiesiskie apstākļi, pasūtītājam var uzdot veikt pilno ietekmes uz vidi novērtējumu</w:t>
            </w:r>
            <w:r w:rsidRPr="00E72AF9">
              <w:t xml:space="preserve"> vai būvvaldei ir jāpieņem lēmumu par atkārtotu paredzētās būves publiskās apspriešanas rīkošanu, ja ir mainīju</w:t>
            </w:r>
            <w:r>
              <w:t xml:space="preserve">šies </w:t>
            </w:r>
            <w:r w:rsidRPr="00E72AF9">
              <w:t>faktiskie vai tiesiskie apstākļi, uz kuru pamata tika uzsākta būvniecība</w:t>
            </w:r>
            <w:r>
              <w:t xml:space="preserve">. </w:t>
            </w:r>
            <w:r w:rsidRPr="00E72AF9">
              <w:t>Gadījumos, kad  ir mainījušies faktiskie vai tiesiskie apstākļi,  pašvaldība var pieņemt lēmumu par būvniecības radīto seku novēršanu atbilstoši šo noteikumu 171.</w:t>
            </w:r>
            <w:r w:rsidRPr="00E72AF9">
              <w:rPr>
                <w:vertAlign w:val="superscript"/>
              </w:rPr>
              <w:t>1</w:t>
            </w:r>
            <w:r w:rsidRPr="00E72AF9">
              <w:t xml:space="preserve"> punktam </w:t>
            </w:r>
            <w:r>
              <w:t>un</w:t>
            </w:r>
            <w:r w:rsidRPr="00C5778B">
              <w:t xml:space="preserve"> </w:t>
            </w:r>
            <w:r w:rsidRPr="007912AD">
              <w:t>būvatļauja tiek pagarināta uz būvvaldes noteikto laiku, bet ne ilgāk kā uz vienu gadu un būvvaldē ir uzrādīta aktuāla kadastrālās uzmērīšanas lieta (inventarizācijas lieta) un ģeodēziskais uzmērījums par būves novietnes pārbaudi.</w:t>
            </w:r>
            <w:r>
              <w:t xml:space="preserve"> </w:t>
            </w:r>
            <w:r w:rsidRPr="007912AD">
              <w:t xml:space="preserve">Ja būve netiek nodota ekspluatācijā šajā termiņā, pašvaldība var pieņemt lēmumu par būvniecības radīto seku novēršanu atbilstoši </w:t>
            </w:r>
            <w:r>
              <w:t>Vispārīgo būvnoteikumu</w:t>
            </w:r>
            <w:r w:rsidRPr="007912AD">
              <w:t xml:space="preserve"> 171.</w:t>
            </w:r>
            <w:r w:rsidRPr="007912AD">
              <w:rPr>
                <w:vertAlign w:val="superscript"/>
              </w:rPr>
              <w:t>1</w:t>
            </w:r>
            <w:r w:rsidRPr="007912AD">
              <w:t xml:space="preserve"> punktam</w:t>
            </w:r>
            <w:r>
              <w:rPr>
                <w:sz w:val="28"/>
                <w:szCs w:val="28"/>
              </w:rPr>
              <w:t>.</w:t>
            </w:r>
            <w:r w:rsidRPr="00604CD7">
              <w:rPr>
                <w:color w:val="00B050"/>
                <w:sz w:val="28"/>
                <w:szCs w:val="28"/>
                <w:u w:val="single"/>
              </w:rPr>
              <w:t xml:space="preserve"> </w:t>
            </w:r>
          </w:p>
          <w:p w:rsidR="0032071D" w:rsidRDefault="0032071D" w:rsidP="00D72FFB">
            <w:pPr>
              <w:ind w:firstLine="720"/>
              <w:jc w:val="both"/>
            </w:pPr>
            <w:r w:rsidRPr="00A43CDE">
              <w:t>Savukārt pārējām būvēm noteikts maksimālais būvniecības laiks 8 gadi un gadījumos, kad būve 8 gadu laikā no būvdarbu uzsākšanas netiek nodota ekspluatācijā, būvatļauju pagarina uz pasūtītāja pieprasīto laiku, ja būvvaldē ir uzrādīta aktuāla kadastrālās uzmērīšanas lieta (inventarizācijas lieta) un ģeodēziskais uzmērījums par ēkas novietnes pārbaudi</w:t>
            </w:r>
            <w:r>
              <w:t xml:space="preserve">. Saskaņā ar </w:t>
            </w:r>
            <w:r w:rsidRPr="00C5778B">
              <w:t xml:space="preserve">Ministru kabineta 19.06.2012. sēdes </w:t>
            </w:r>
            <w:proofErr w:type="spellStart"/>
            <w:r w:rsidRPr="00C5778B">
              <w:t>protokollēmuma</w:t>
            </w:r>
            <w:proofErr w:type="spellEnd"/>
            <w:r w:rsidRPr="00C5778B">
              <w:t xml:space="preserve"> (prot.Nr.34, 36.§) 4.punktu  Finanšu ministrijai ir uzdots izstrādāt grozījumus likumā „Par nekustamā īpašuma nodokli”. Nekustamā īpašuma paaugstināts nodoklis </w:t>
            </w:r>
            <w:r>
              <w:t>(</w:t>
            </w:r>
            <w:r w:rsidRPr="005F1D16">
              <w:t>paaugstināt</w:t>
            </w:r>
            <w:r>
              <w:t>a likme</w:t>
            </w:r>
            <w:r w:rsidRPr="005F1D16">
              <w:t xml:space="preserve"> 3% apmērā no būvei piekritīgās zemes kadastrālās vērtības</w:t>
            </w:r>
            <w:r>
              <w:t>)</w:t>
            </w:r>
            <w:r w:rsidRPr="00C5778B">
              <w:t xml:space="preserve"> tiks piemērots tikai gadījumos, kad pašvaldība savos saistošajos noteikumos to būs noteikusi. Pašvaldībai ir tiesības paredzēt kādas iedzīvotāju grupas nemaksās šādu nodokli.</w:t>
            </w:r>
            <w:r>
              <w:t xml:space="preserve"> Likumprojekts „Grozījumi likumā „Par nekustamā īpašuma nodokli”” tika izsludināts 2012.gada 22.novemra Valsts sekretāru sanāksmē (</w:t>
            </w:r>
            <w:proofErr w:type="spellStart"/>
            <w:r>
              <w:t>prot</w:t>
            </w:r>
            <w:proofErr w:type="spellEnd"/>
            <w:r>
              <w:t>. Nr.27, 6.§, VSS-1179)).</w:t>
            </w:r>
          </w:p>
          <w:p w:rsidR="0032071D" w:rsidRPr="00240B3C" w:rsidRDefault="0032071D" w:rsidP="00D72FFB">
            <w:pPr>
              <w:ind w:left="57" w:right="57" w:firstLine="709"/>
              <w:jc w:val="both"/>
            </w:pPr>
            <w:r w:rsidRPr="00240B3C">
              <w:t xml:space="preserve">Informatīvā ziņojuma </w:t>
            </w:r>
            <w:r w:rsidRPr="00240B3C">
              <w:rPr>
                <w:bCs/>
                <w:i/>
              </w:rPr>
              <w:t xml:space="preserve">"Par spēkā esošo normatīvo </w:t>
            </w:r>
            <w:r w:rsidRPr="00240B3C">
              <w:rPr>
                <w:bCs/>
                <w:i/>
              </w:rPr>
              <w:lastRenderedPageBreak/>
              <w:t>regulējumu un kārtību saistībā ar izsniegto būvatļauju pagarināšanu un procesa optimizēšanu"</w:t>
            </w:r>
            <w:r w:rsidRPr="00240B3C">
              <w:rPr>
                <w:b/>
                <w:bCs/>
              </w:rPr>
              <w:t xml:space="preserve"> </w:t>
            </w:r>
            <w:r w:rsidRPr="00240B3C">
              <w:t xml:space="preserve">saskaņošanas laikā Finanšu ministrija lūdza izvērtēt alternatīvus priekšlikumus, kas veicinātu to, ka persona pabeidz būves būvniecību un nodod šo būvi ekspluatācijā normatīvos aktos noteiktajos termiņos. Kā viens no alternatīviem priekšlikumiem tika minēts Administratīvo pārkāpumu kodeksā noteikto sodu piemērošana visos gadījumos, kad persona nav normatīvajā aktā noteiktā termiņā (plānotais termiņš - 8 gadu laikā) uzbūvējusi un nodevusi būvi ekspluatācijā. Ekonomikas ministrijas ieskatā, fakts, ka persona būvniecības procesā nav iekļāvusies noteiktā termiņā (8 gadi), pats par sevi neatbilst administratīvā pārkāpuma jēdzienam, kas iekļauts Latvijas Administratīvo pārkāpumu kodeksa 9.pantā. Saskaņā ar minēto pantu, </w:t>
            </w:r>
            <w:r w:rsidRPr="00240B3C">
              <w:rPr>
                <w:i/>
              </w:rPr>
              <w:t>par administratīvo pārkāpumu atzīstama prettiesiska, vainojama (ar nodomu vai aiz neuzmanības izdarīta) darbība vai bezdarbība, kura apdraud valsts vai sabiedrisko kārtību, īpašumu, pilsoņu tiesības un brīvības vai noteikto pārvaldes kārtību un par kuru likumā paredzēta administratīvā atbildība.</w:t>
            </w:r>
            <w:r w:rsidRPr="00240B3C">
              <w:t xml:space="preserve"> Iepriekš aprakstītās situācijas gadījumā, piemērojot administratīvo sodu, nebūtu sasniegts arī administratīvā soda mērķis. Arī Tieslietu ministrija (Tieslietu ministrijas 23.03.2012. vēstule Nr.1-13.3/1138) atbalstīja Ekonomikas ministrijas viedokli un norādīja, ka, ja būves nodošana ekspluatācijā normatīvajos aktos un būvatļaujā paredzētajā termiņā nav iespējama, personas administratīva sodīšana nebūtu pieļaujama. </w:t>
            </w:r>
          </w:p>
          <w:p w:rsidR="0032071D" w:rsidRDefault="0032071D" w:rsidP="00D72FFB">
            <w:pPr>
              <w:pStyle w:val="NormalWeb"/>
              <w:ind w:left="57" w:right="57"/>
              <w:jc w:val="both"/>
              <w:rPr>
                <w:sz w:val="28"/>
                <w:szCs w:val="28"/>
              </w:rPr>
            </w:pPr>
            <w:r>
              <w:rPr>
                <w:sz w:val="28"/>
                <w:szCs w:val="28"/>
              </w:rPr>
              <w:t xml:space="preserve"> </w:t>
            </w:r>
          </w:p>
          <w:p w:rsidR="0032071D" w:rsidRPr="00531C4A" w:rsidRDefault="0032071D" w:rsidP="00D72FFB">
            <w:pPr>
              <w:pStyle w:val="NormalWeb"/>
              <w:ind w:left="57" w:right="57"/>
              <w:jc w:val="both"/>
            </w:pPr>
            <w:r w:rsidRPr="00531C4A">
              <w:t>7. Vispārīgie būvnoteikumi ir precizēti attiecībā uz atmežošanu, ja būvniecība paredzēta meža zemēs</w:t>
            </w:r>
            <w:r>
              <w:t>. Saskaņā ar izmaiņām Meža likumā, kas vairs neparedz zemes transformācijas atļaujas saņemšanu, būvatļaujas pieprasījumā tiek svītrota šī prasība. Bez tam tiek noteikts, kādu informāciju ierosinātājam ir jānorāda un kādus dokumentus ierosinātājam ir jāpievieno, ja būvniecība ir plānota mežā – noteikumu projekta 1</w:t>
            </w:r>
            <w:r w:rsidR="00CE09DB">
              <w:t>3</w:t>
            </w:r>
            <w:r>
              <w:t>., 1</w:t>
            </w:r>
            <w:r w:rsidR="00CE09DB">
              <w:t>9., 20</w:t>
            </w:r>
            <w:r>
              <w:t>. un 2</w:t>
            </w:r>
            <w:r w:rsidR="00CE09DB">
              <w:t>4</w:t>
            </w:r>
            <w:r>
              <w:t>.punkts (VBN 116.3</w:t>
            </w:r>
            <w:r w:rsidRPr="00531C4A">
              <w:rPr>
                <w:vertAlign w:val="superscript"/>
              </w:rPr>
              <w:t>1</w:t>
            </w:r>
            <w:r>
              <w:t>punkts, 1., 2. un 4.</w:t>
            </w:r>
            <w:r w:rsidRPr="00531C4A">
              <w:rPr>
                <w:vertAlign w:val="superscript"/>
              </w:rPr>
              <w:t>1</w:t>
            </w:r>
            <w:r>
              <w:t xml:space="preserve"> pielikums).</w:t>
            </w:r>
            <w:r w:rsidRPr="00531C4A">
              <w:t xml:space="preserve">  </w:t>
            </w:r>
          </w:p>
          <w:p w:rsidR="0032071D" w:rsidRDefault="0032071D" w:rsidP="00D72FFB">
            <w:pPr>
              <w:ind w:left="57" w:right="57" w:firstLine="85"/>
              <w:jc w:val="both"/>
              <w:rPr>
                <w:rFonts w:eastAsiaTheme="minorHAnsi"/>
                <w:sz w:val="28"/>
                <w:szCs w:val="28"/>
              </w:rPr>
            </w:pPr>
          </w:p>
          <w:p w:rsidR="0032071D" w:rsidRPr="005F1D16" w:rsidRDefault="0032071D" w:rsidP="00D72FFB">
            <w:pPr>
              <w:ind w:left="57" w:right="57" w:firstLine="85"/>
              <w:jc w:val="both"/>
            </w:pPr>
            <w:r>
              <w:t>8. </w:t>
            </w:r>
            <w:r w:rsidRPr="005F1D16">
              <w:t xml:space="preserve"> Izteikts jaunā redakcijā: </w:t>
            </w:r>
          </w:p>
          <w:p w:rsidR="0032071D" w:rsidRPr="005F1D16" w:rsidRDefault="0032071D" w:rsidP="00D72FFB">
            <w:pPr>
              <w:pStyle w:val="ListParagraph"/>
              <w:numPr>
                <w:ilvl w:val="0"/>
                <w:numId w:val="1"/>
              </w:numPr>
              <w:ind w:right="57"/>
              <w:jc w:val="both"/>
            </w:pPr>
            <w:r w:rsidRPr="005F1D16">
              <w:t>noteikumu 1.pielikums „Būvniecības/būves nojaukšanas iesniegums-uzskaites karte”, paredzot papildus informāciju par plānoto būvniecības veidu, ziņas par pasūtītāju</w:t>
            </w:r>
          </w:p>
          <w:p w:rsidR="0032071D" w:rsidRPr="005F1D16" w:rsidRDefault="0032071D" w:rsidP="00D72FFB">
            <w:pPr>
              <w:pStyle w:val="ListParagraph"/>
              <w:numPr>
                <w:ilvl w:val="0"/>
                <w:numId w:val="1"/>
              </w:numPr>
              <w:ind w:right="57"/>
              <w:jc w:val="both"/>
            </w:pPr>
            <w:r w:rsidRPr="005F1D16">
              <w:t>noteikumu 5.pielikums „Būvatļauja” – ziņas par plānoto būvniecību, būvniecības veids un informācija pasūtītājam par būvdarbu veikšanas ilgumu – 5 vai 8 gadi</w:t>
            </w:r>
          </w:p>
          <w:p w:rsidR="0032071D" w:rsidRDefault="0032071D" w:rsidP="00D72FFB">
            <w:pPr>
              <w:ind w:left="57" w:right="57" w:firstLine="567"/>
              <w:jc w:val="both"/>
            </w:pPr>
            <w:r w:rsidRPr="005F1D16">
              <w:t>Papildināti noteikumu ar jaunu pielikumu „Būvatļaujas pieprasījums” (4.</w:t>
            </w:r>
            <w:r w:rsidRPr="005F1D16">
              <w:rPr>
                <w:vertAlign w:val="superscript"/>
              </w:rPr>
              <w:t>1</w:t>
            </w:r>
            <w:r w:rsidRPr="005F1D16">
              <w:t xml:space="preserve">pielikums), kurā tiek </w:t>
            </w:r>
            <w:r w:rsidRPr="005F1D16">
              <w:lastRenderedPageBreak/>
              <w:t>norādītas visas nepieciešamās ziņas, lai būvvalde varētu izsniegt būvatļauju.</w:t>
            </w:r>
          </w:p>
          <w:p w:rsidR="0032071D" w:rsidRDefault="0032071D" w:rsidP="00D72FFB">
            <w:pPr>
              <w:pStyle w:val="NormalWeb"/>
              <w:ind w:left="57" w:right="57"/>
              <w:jc w:val="both"/>
            </w:pPr>
          </w:p>
          <w:p w:rsidR="0032071D" w:rsidRPr="00193E74" w:rsidRDefault="0032071D" w:rsidP="00D72FFB">
            <w:pPr>
              <w:pStyle w:val="NormalWeb"/>
              <w:ind w:left="57" w:right="57"/>
              <w:jc w:val="both"/>
            </w:pPr>
            <w:r>
              <w:t>9.</w:t>
            </w:r>
            <w:r w:rsidRPr="005F1D16">
              <w:t xml:space="preserve">Paredzēts, ka grozījumi stāsies spēkā </w:t>
            </w:r>
            <w:r w:rsidRPr="00193E74">
              <w:t>ar 2013.gada 1.</w:t>
            </w:r>
            <w:r>
              <w:t>jūniju</w:t>
            </w:r>
            <w:r w:rsidRPr="00193E74">
              <w:t>.</w:t>
            </w:r>
          </w:p>
          <w:p w:rsidR="0032071D" w:rsidRPr="005F1D16" w:rsidRDefault="0032071D" w:rsidP="00D72FFB">
            <w:pPr>
              <w:ind w:left="57" w:right="57" w:firstLine="85"/>
              <w:jc w:val="both"/>
            </w:pPr>
            <w:r w:rsidRPr="005F1D16">
              <w:t xml:space="preserve"> </w:t>
            </w:r>
            <w:r>
              <w:t xml:space="preserve">    </w:t>
            </w:r>
          </w:p>
        </w:tc>
      </w:tr>
      <w:tr w:rsidR="0032071D" w:rsidRPr="005F1D16" w:rsidTr="00D72FFB">
        <w:trPr>
          <w:trHeight w:val="476"/>
        </w:trPr>
        <w:tc>
          <w:tcPr>
            <w:tcW w:w="524" w:type="dxa"/>
          </w:tcPr>
          <w:p w:rsidR="0032071D" w:rsidRPr="005F1D16" w:rsidRDefault="0032071D" w:rsidP="00D72FFB">
            <w:pPr>
              <w:ind w:left="57" w:right="57"/>
            </w:pPr>
            <w:r w:rsidRPr="005F1D16">
              <w:lastRenderedPageBreak/>
              <w:t> 5.</w:t>
            </w:r>
          </w:p>
        </w:tc>
        <w:tc>
          <w:tcPr>
            <w:tcW w:w="2585" w:type="dxa"/>
          </w:tcPr>
          <w:p w:rsidR="0032071D" w:rsidRPr="005F1D16" w:rsidRDefault="0032071D" w:rsidP="00D72FFB">
            <w:pPr>
              <w:ind w:left="57" w:right="57"/>
            </w:pPr>
            <w:r w:rsidRPr="005F1D16">
              <w:t> Projekta izstrādē iesaistītās institūcijas</w:t>
            </w:r>
          </w:p>
        </w:tc>
        <w:tc>
          <w:tcPr>
            <w:tcW w:w="5953" w:type="dxa"/>
          </w:tcPr>
          <w:p w:rsidR="0032071D" w:rsidRPr="005F1D16" w:rsidRDefault="0032071D" w:rsidP="00D72FFB">
            <w:pPr>
              <w:pStyle w:val="naiskr"/>
              <w:spacing w:before="0" w:after="0"/>
              <w:ind w:left="57" w:right="57"/>
              <w:jc w:val="both"/>
            </w:pPr>
            <w:r w:rsidRPr="005F1D16">
              <w:t>Nav attiecināms</w:t>
            </w:r>
          </w:p>
        </w:tc>
      </w:tr>
      <w:tr w:rsidR="0032071D" w:rsidRPr="005F1D16" w:rsidTr="00D72FFB">
        <w:trPr>
          <w:trHeight w:val="1037"/>
        </w:trPr>
        <w:tc>
          <w:tcPr>
            <w:tcW w:w="524" w:type="dxa"/>
          </w:tcPr>
          <w:p w:rsidR="0032071D" w:rsidRPr="005F1D16" w:rsidRDefault="0032071D" w:rsidP="00D72FFB">
            <w:pPr>
              <w:ind w:left="57" w:right="57"/>
            </w:pPr>
            <w:r w:rsidRPr="005F1D16">
              <w:t> 6.</w:t>
            </w:r>
          </w:p>
        </w:tc>
        <w:tc>
          <w:tcPr>
            <w:tcW w:w="2585" w:type="dxa"/>
          </w:tcPr>
          <w:p w:rsidR="0032071D" w:rsidRPr="005F1D16" w:rsidRDefault="0032071D" w:rsidP="00D72FFB">
            <w:pPr>
              <w:ind w:left="57" w:right="57"/>
            </w:pPr>
            <w:r w:rsidRPr="005F1D16">
              <w:t> Iemesli, kādēļ netika nodrošināta sabiedrības līdzdalība</w:t>
            </w:r>
          </w:p>
        </w:tc>
        <w:tc>
          <w:tcPr>
            <w:tcW w:w="5953" w:type="dxa"/>
          </w:tcPr>
          <w:p w:rsidR="0032071D" w:rsidRPr="005F1D16" w:rsidRDefault="0032071D" w:rsidP="00D72FFB">
            <w:pPr>
              <w:ind w:left="57" w:right="57"/>
              <w:jc w:val="both"/>
            </w:pPr>
            <w:r w:rsidRPr="005F1D16">
              <w:t xml:space="preserve"> Nav attiecināms </w:t>
            </w:r>
          </w:p>
        </w:tc>
      </w:tr>
      <w:tr w:rsidR="0032071D" w:rsidRPr="005F1D16" w:rsidTr="00D72FFB">
        <w:tc>
          <w:tcPr>
            <w:tcW w:w="524" w:type="dxa"/>
          </w:tcPr>
          <w:p w:rsidR="0032071D" w:rsidRPr="005F1D16" w:rsidRDefault="0032071D" w:rsidP="00D72FFB">
            <w:pPr>
              <w:ind w:left="57" w:right="57"/>
            </w:pPr>
            <w:r w:rsidRPr="005F1D16">
              <w:t> 7.</w:t>
            </w:r>
          </w:p>
        </w:tc>
        <w:tc>
          <w:tcPr>
            <w:tcW w:w="2585" w:type="dxa"/>
          </w:tcPr>
          <w:p w:rsidR="0032071D" w:rsidRPr="005F1D16" w:rsidRDefault="0032071D" w:rsidP="00D72FFB">
            <w:pPr>
              <w:ind w:left="57" w:right="57"/>
            </w:pPr>
            <w:r w:rsidRPr="005F1D16">
              <w:t> Cita informācija</w:t>
            </w:r>
          </w:p>
        </w:tc>
        <w:tc>
          <w:tcPr>
            <w:tcW w:w="5953" w:type="dxa"/>
          </w:tcPr>
          <w:p w:rsidR="0032071D" w:rsidRPr="005F1D16" w:rsidRDefault="0032071D" w:rsidP="00D72FFB">
            <w:pPr>
              <w:ind w:left="57" w:right="57"/>
            </w:pPr>
            <w:r w:rsidRPr="005F1D16">
              <w:t>Nav</w:t>
            </w:r>
          </w:p>
        </w:tc>
      </w:tr>
    </w:tbl>
    <w:p w:rsidR="0032071D" w:rsidRPr="005F1D16" w:rsidRDefault="0032071D" w:rsidP="0032071D">
      <w:pPr>
        <w:ind w:left="57" w:right="57"/>
        <w:rPr>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32071D" w:rsidRPr="005F1D16" w:rsidTr="00D72FFB">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32071D" w:rsidRPr="005F1D16" w:rsidRDefault="0032071D" w:rsidP="00D72FFB">
            <w:pPr>
              <w:ind w:left="57" w:right="57"/>
              <w:jc w:val="center"/>
              <w:rPr>
                <w:b/>
              </w:rPr>
            </w:pPr>
            <w:r w:rsidRPr="005F1D16">
              <w:rPr>
                <w:b/>
              </w:rPr>
              <w:t>II. Tiesību akta projekta ietekme uz sabiedrību</w:t>
            </w:r>
          </w:p>
        </w:tc>
      </w:tr>
      <w:tr w:rsidR="0032071D" w:rsidRPr="005F1D16" w:rsidTr="00D72FFB">
        <w:trPr>
          <w:trHeight w:val="467"/>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1.</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xml:space="preserve"> Sabiedrības </w:t>
            </w:r>
            <w:proofErr w:type="spellStart"/>
            <w:r w:rsidRPr="005F1D16">
              <w:t>mērķgrupa</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jc w:val="both"/>
              <w:rPr>
                <w:iCs/>
              </w:rPr>
            </w:pPr>
            <w:r w:rsidRPr="005F1D16">
              <w:rPr>
                <w:iCs/>
              </w:rPr>
              <w:t xml:space="preserve">Jebkura juridiska vai fiziska persona, kura ierosinās būvniecību (pasūtītājs)  </w:t>
            </w:r>
          </w:p>
          <w:p w:rsidR="0032071D" w:rsidRPr="005F1D16" w:rsidRDefault="0032071D" w:rsidP="00D72FFB">
            <w:pPr>
              <w:ind w:left="57" w:right="57"/>
              <w:jc w:val="both"/>
            </w:pPr>
          </w:p>
        </w:tc>
      </w:tr>
      <w:tr w:rsidR="0032071D" w:rsidRPr="005F1D16" w:rsidTr="00D72FFB">
        <w:trPr>
          <w:trHeight w:val="523"/>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2.</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xml:space="preserve"> Citas sabiedrības grupas (bez </w:t>
            </w:r>
            <w:proofErr w:type="spellStart"/>
            <w:r w:rsidRPr="005F1D16">
              <w:t>mērķgrupas</w:t>
            </w:r>
            <w:proofErr w:type="spellEnd"/>
            <w:r w:rsidRPr="005F1D16">
              <w:t>), kuras tiesiskais regulējums arī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jc w:val="both"/>
            </w:pPr>
            <w:r w:rsidRPr="005F1D16">
              <w:rPr>
                <w:iCs/>
              </w:rPr>
              <w:t>Valsts un pašvaldību iestādes, kuras tieši vai netieši ir iesaistītas būvniecības procesā</w:t>
            </w:r>
            <w:r w:rsidRPr="005F1D16">
              <w:t xml:space="preserve"> </w:t>
            </w:r>
          </w:p>
        </w:tc>
      </w:tr>
      <w:tr w:rsidR="0032071D" w:rsidRPr="005F1D16" w:rsidTr="00D72FFB">
        <w:trPr>
          <w:trHeight w:val="517"/>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3.</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Tiesiskā regulējuma finansiālā ietekme</w:t>
            </w:r>
          </w:p>
        </w:tc>
        <w:tc>
          <w:tcPr>
            <w:tcW w:w="5386" w:type="dxa"/>
            <w:tcBorders>
              <w:top w:val="single" w:sz="4" w:space="0" w:color="auto"/>
              <w:left w:val="single" w:sz="4" w:space="0" w:color="auto"/>
              <w:bottom w:val="single" w:sz="4" w:space="0" w:color="auto"/>
              <w:right w:val="single" w:sz="4" w:space="0" w:color="auto"/>
            </w:tcBorders>
          </w:tcPr>
          <w:p w:rsidR="0032071D" w:rsidRPr="005F1D16" w:rsidRDefault="0032071D" w:rsidP="00D72FFB">
            <w:pPr>
              <w:ind w:left="57" w:right="57"/>
              <w:jc w:val="both"/>
            </w:pPr>
            <w:r w:rsidRPr="005F1D16">
              <w:t>Būvniecības ierosinātājam var būt papildus izmaksas, ja netiek ievērots maksimāli pieļaujamais būvniecības ilgums, tad:</w:t>
            </w:r>
          </w:p>
          <w:p w:rsidR="0032071D" w:rsidRPr="005F1D16" w:rsidRDefault="0032071D" w:rsidP="00D72FFB">
            <w:pPr>
              <w:pStyle w:val="ListParagraph"/>
              <w:numPr>
                <w:ilvl w:val="0"/>
                <w:numId w:val="2"/>
              </w:numPr>
              <w:ind w:right="57"/>
              <w:jc w:val="both"/>
            </w:pPr>
            <w:r w:rsidRPr="005F1D16">
              <w:t xml:space="preserve">gadījumos, kad par būves īstenošanu tika iesaistīta sabiedrība ietekmes uz vidi novērtējuma vai būves publiskās apspriešanas procesā – pasūtītājam var nākties rīkot atkārtotu sabiedrības viedokļa noskaidrošanu (ietekmes uz vidi novērtējuma procesā vai būvniecības publiskajā apspriešanā) </w:t>
            </w:r>
            <w:r>
              <w:t>un noraidīšanas gadījumā pašvaldība var lemt par būves nojaukšanu</w:t>
            </w:r>
            <w:r w:rsidRPr="005F1D16">
              <w:t>;</w:t>
            </w:r>
          </w:p>
          <w:p w:rsidR="0032071D" w:rsidRPr="005F1D16" w:rsidRDefault="0032071D" w:rsidP="00D72FFB">
            <w:pPr>
              <w:pStyle w:val="ListParagraph"/>
              <w:numPr>
                <w:ilvl w:val="0"/>
                <w:numId w:val="2"/>
              </w:numPr>
              <w:ind w:right="57"/>
              <w:jc w:val="both"/>
            </w:pPr>
            <w:r w:rsidRPr="005F1D16">
              <w:t>gadījumos, kad sabiedrība netika iesaistīta lēmuma pieņemšanā</w:t>
            </w:r>
            <w:r>
              <w:t>, ierosinātājam būvvaldē ir jāuzrāda aktuāla kadastrālās uzmērīšanas lieta un jāveic ģeodēziskais uzmērījums par ēkas novietnes pārbaudi, kā arī</w:t>
            </w:r>
            <w:r w:rsidRPr="005F1D16">
              <w:t xml:space="preserve"> pašvaldībai ir tiesības piemērot pasūtītājam nekustamā īpašuma nodokļa paaugstinātu likmi 3% apmērā no būvei piekritīgās zemes kadastrālās vērtības, ja pašvaldība to ir noteikusi savos saistošajos noteikumos</w:t>
            </w:r>
          </w:p>
          <w:p w:rsidR="0032071D" w:rsidRPr="005F1D16" w:rsidRDefault="0032071D" w:rsidP="00D72FFB">
            <w:pPr>
              <w:pStyle w:val="ListParagraph"/>
              <w:ind w:left="417" w:right="57"/>
              <w:jc w:val="both"/>
            </w:pPr>
          </w:p>
        </w:tc>
      </w:tr>
      <w:tr w:rsidR="0032071D" w:rsidRPr="005F1D16" w:rsidTr="00D72FFB">
        <w:trPr>
          <w:trHeight w:val="517"/>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4.</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Tiesiskā regulējuma nefinansiālā ietekme</w:t>
            </w:r>
          </w:p>
        </w:tc>
        <w:tc>
          <w:tcPr>
            <w:tcW w:w="5386" w:type="dxa"/>
            <w:tcBorders>
              <w:top w:val="single" w:sz="4" w:space="0" w:color="auto"/>
              <w:left w:val="single" w:sz="4" w:space="0" w:color="auto"/>
              <w:bottom w:val="single" w:sz="4" w:space="0" w:color="auto"/>
              <w:right w:val="single" w:sz="4" w:space="0" w:color="auto"/>
            </w:tcBorders>
          </w:tcPr>
          <w:p w:rsidR="0032071D" w:rsidRPr="005F1D16" w:rsidRDefault="0032071D" w:rsidP="00D72FFB">
            <w:pPr>
              <w:ind w:left="57" w:right="57"/>
              <w:jc w:val="both"/>
            </w:pPr>
            <w:r w:rsidRPr="005F1D16">
              <w:t xml:space="preserve">Projektā ir noteikts, ka maksimālais būvdarbu veikšanas ilgums ir 5 vai 8 gadi no būvatļaujas saņemšanas brīža. Tādējādi, procesa optimizācijas mērķis ir pasargāt sabiedrību un vidi no ilgstoša būvniecības procesa, un dzīves kvalitātes pasliktināšanās, gadījumos, kad sabiedrība bija iesaistīta paredzētās darbības ietekmes uz vidi vai paredzētās būves publiskajā apspriešanā. Būtiski ir arī </w:t>
            </w:r>
            <w:r w:rsidRPr="005F1D16">
              <w:lastRenderedPageBreak/>
              <w:t>ierobežot būvniecības procesa ilgumu gadījumos, kad sabiedrība netika iesaistīta lēmuma pieņemšanā, nosakot būvniecības ierosinātāja atbildību par laikā nenodotu būvi ekspluatācijā.</w:t>
            </w:r>
          </w:p>
          <w:p w:rsidR="0032071D" w:rsidRPr="005F1D16" w:rsidRDefault="0032071D" w:rsidP="00D72FFB">
            <w:pPr>
              <w:pStyle w:val="naiskr"/>
              <w:spacing w:before="0" w:after="0"/>
              <w:ind w:left="57" w:right="57"/>
            </w:pPr>
          </w:p>
        </w:tc>
      </w:tr>
      <w:tr w:rsidR="0032071D" w:rsidRPr="005F1D16" w:rsidTr="00D72FFB">
        <w:trPr>
          <w:trHeight w:val="531"/>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lastRenderedPageBreak/>
              <w:t> 5.</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Administratīvās procedūras raksturojums</w:t>
            </w:r>
          </w:p>
        </w:tc>
        <w:tc>
          <w:tcPr>
            <w:tcW w:w="5386" w:type="dxa"/>
            <w:tcBorders>
              <w:top w:val="single" w:sz="4" w:space="0" w:color="auto"/>
              <w:left w:val="single" w:sz="4" w:space="0" w:color="auto"/>
              <w:bottom w:val="single" w:sz="4" w:space="0" w:color="auto"/>
              <w:right w:val="single" w:sz="4" w:space="0" w:color="auto"/>
            </w:tcBorders>
          </w:tcPr>
          <w:p w:rsidR="0032071D" w:rsidRDefault="0032071D" w:rsidP="00D72FFB">
            <w:pPr>
              <w:ind w:left="57" w:right="57"/>
              <w:jc w:val="both"/>
            </w:pPr>
            <w:r w:rsidRPr="005F1D16">
              <w:t>Projektā ir noteikts, kā pašvaldību būvvaldes pagarina būvatļaujas termiņu, nepārsniedzot maksimāli pieļaujamo būvniecības ilgumu</w:t>
            </w:r>
          </w:p>
          <w:p w:rsidR="0032071D" w:rsidRPr="005F1D16" w:rsidRDefault="0032071D" w:rsidP="00D72FFB">
            <w:pPr>
              <w:ind w:left="57" w:right="57"/>
              <w:jc w:val="both"/>
            </w:pPr>
          </w:p>
        </w:tc>
      </w:tr>
      <w:tr w:rsidR="0032071D" w:rsidRPr="005F1D16" w:rsidTr="00D72FFB">
        <w:trPr>
          <w:trHeight w:val="357"/>
        </w:trPr>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6.</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tcPr>
          <w:p w:rsidR="0032071D" w:rsidRPr="005F1D16" w:rsidRDefault="0032071D" w:rsidP="00D72FFB">
            <w:pPr>
              <w:ind w:left="57" w:right="57"/>
            </w:pPr>
            <w:r w:rsidRPr="005F1D16">
              <w:t>Projekts šo jomu neskar.</w:t>
            </w:r>
          </w:p>
        </w:tc>
      </w:tr>
      <w:tr w:rsidR="0032071D" w:rsidRPr="005F1D16" w:rsidTr="00D72FFB">
        <w:tc>
          <w:tcPr>
            <w:tcW w:w="52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7.</w:t>
            </w:r>
          </w:p>
        </w:tc>
        <w:tc>
          <w:tcPr>
            <w:tcW w:w="3153"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pPr>
            <w:r w:rsidRPr="005F1D16">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32071D" w:rsidRPr="005F1D16" w:rsidRDefault="0032071D" w:rsidP="00D72FFB">
            <w:pPr>
              <w:ind w:left="57" w:right="57"/>
              <w:jc w:val="both"/>
            </w:pPr>
            <w:r w:rsidRPr="005F1D16">
              <w:t xml:space="preserve">Nav </w:t>
            </w:r>
          </w:p>
        </w:tc>
      </w:tr>
    </w:tbl>
    <w:p w:rsidR="0032071D" w:rsidRPr="005F1D16" w:rsidRDefault="0032071D" w:rsidP="0032071D">
      <w:pPr>
        <w:ind w:left="57" w:right="57"/>
      </w:pPr>
    </w:p>
    <w:p w:rsidR="0032071D" w:rsidRPr="005F1D16" w:rsidRDefault="0032071D" w:rsidP="0032071D">
      <w:pPr>
        <w:ind w:left="57" w:right="57"/>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32071D" w:rsidRPr="005F1D16" w:rsidTr="00D72FFB">
        <w:trPr>
          <w:trHeight w:val="65"/>
        </w:trPr>
        <w:tc>
          <w:tcPr>
            <w:tcW w:w="9065" w:type="dxa"/>
            <w:gridSpan w:val="3"/>
          </w:tcPr>
          <w:p w:rsidR="0032071D" w:rsidRPr="005F1D16" w:rsidRDefault="0032071D" w:rsidP="00D72FFB">
            <w:pPr>
              <w:ind w:left="57" w:right="57"/>
              <w:jc w:val="center"/>
            </w:pPr>
            <w:r w:rsidRPr="005F1D16">
              <w:rPr>
                <w:b/>
              </w:rPr>
              <w:t>VII. Tiesību akta projekta izpildes nodrošināšana un tās ietekme uz institūcijām</w:t>
            </w:r>
          </w:p>
        </w:tc>
      </w:tr>
      <w:tr w:rsidR="0032071D" w:rsidRPr="005F1D16" w:rsidTr="00D72FFB">
        <w:trPr>
          <w:trHeight w:val="427"/>
        </w:trPr>
        <w:tc>
          <w:tcPr>
            <w:tcW w:w="507" w:type="dxa"/>
          </w:tcPr>
          <w:p w:rsidR="0032071D" w:rsidRPr="005F1D16" w:rsidRDefault="0032071D" w:rsidP="00D72FFB">
            <w:pPr>
              <w:ind w:left="57" w:right="57"/>
            </w:pPr>
            <w:r w:rsidRPr="005F1D16">
              <w:t> 1.</w:t>
            </w:r>
          </w:p>
        </w:tc>
        <w:tc>
          <w:tcPr>
            <w:tcW w:w="3172" w:type="dxa"/>
          </w:tcPr>
          <w:p w:rsidR="0032071D" w:rsidRPr="005F1D16" w:rsidRDefault="0032071D" w:rsidP="00D72FFB">
            <w:pPr>
              <w:ind w:left="57" w:right="57"/>
            </w:pPr>
            <w:r w:rsidRPr="005F1D16">
              <w:t> Projekta izpildē iesaistītās institūcijas</w:t>
            </w:r>
          </w:p>
        </w:tc>
        <w:tc>
          <w:tcPr>
            <w:tcW w:w="5386" w:type="dxa"/>
          </w:tcPr>
          <w:p w:rsidR="0032071D" w:rsidRPr="005F1D16" w:rsidRDefault="0032071D" w:rsidP="00D72FFB">
            <w:pPr>
              <w:pStyle w:val="naisnod"/>
              <w:spacing w:before="0" w:after="0"/>
              <w:ind w:left="57" w:right="57"/>
              <w:jc w:val="left"/>
              <w:rPr>
                <w:b w:val="0"/>
                <w:iCs/>
              </w:rPr>
            </w:pPr>
            <w:r w:rsidRPr="005F1D16">
              <w:rPr>
                <w:b w:val="0"/>
                <w:iCs/>
              </w:rPr>
              <w:t>Būvniecības eksperti</w:t>
            </w:r>
          </w:p>
          <w:p w:rsidR="0032071D" w:rsidRDefault="0032071D" w:rsidP="00D72FFB">
            <w:pPr>
              <w:pStyle w:val="naisnod"/>
              <w:spacing w:before="0" w:after="0"/>
              <w:ind w:left="57" w:right="57"/>
              <w:jc w:val="left"/>
              <w:rPr>
                <w:b w:val="0"/>
                <w:iCs/>
              </w:rPr>
            </w:pPr>
            <w:r w:rsidRPr="005F1D16">
              <w:rPr>
                <w:b w:val="0"/>
                <w:iCs/>
              </w:rPr>
              <w:t>Pašvaldību būvvaldes un valsts un pašvaldību institūcijas, kuras kontrolē būvniecības procesu</w:t>
            </w:r>
          </w:p>
          <w:p w:rsidR="0032071D" w:rsidRPr="005F1D16" w:rsidRDefault="0032071D" w:rsidP="00D72FFB">
            <w:pPr>
              <w:pStyle w:val="naisnod"/>
              <w:spacing w:before="0" w:after="0"/>
              <w:ind w:left="57" w:right="57"/>
              <w:jc w:val="left"/>
            </w:pPr>
          </w:p>
        </w:tc>
      </w:tr>
      <w:tr w:rsidR="0032071D" w:rsidRPr="005F1D16" w:rsidTr="00D72FFB">
        <w:trPr>
          <w:trHeight w:val="463"/>
        </w:trPr>
        <w:tc>
          <w:tcPr>
            <w:tcW w:w="507" w:type="dxa"/>
          </w:tcPr>
          <w:p w:rsidR="0032071D" w:rsidRPr="005F1D16" w:rsidRDefault="0032071D" w:rsidP="00D72FFB">
            <w:pPr>
              <w:ind w:left="57" w:right="57"/>
            </w:pPr>
            <w:r w:rsidRPr="005F1D16">
              <w:t> 2.</w:t>
            </w:r>
          </w:p>
        </w:tc>
        <w:tc>
          <w:tcPr>
            <w:tcW w:w="3172" w:type="dxa"/>
          </w:tcPr>
          <w:p w:rsidR="0032071D" w:rsidRPr="005F1D16" w:rsidRDefault="0032071D" w:rsidP="00D72FFB">
            <w:pPr>
              <w:ind w:left="57" w:right="57"/>
            </w:pPr>
            <w:r w:rsidRPr="005F1D16">
              <w:t> Projekta izpildes ietekme uz pārvaldes funkcijām</w:t>
            </w:r>
          </w:p>
        </w:tc>
        <w:tc>
          <w:tcPr>
            <w:tcW w:w="5386" w:type="dxa"/>
          </w:tcPr>
          <w:p w:rsidR="0032071D" w:rsidRPr="005F1D16" w:rsidRDefault="0032071D" w:rsidP="00D72FFB">
            <w:pPr>
              <w:pStyle w:val="naisnod"/>
              <w:spacing w:before="0" w:after="0"/>
              <w:ind w:left="57" w:right="57"/>
              <w:jc w:val="left"/>
              <w:rPr>
                <w:b w:val="0"/>
                <w:iCs/>
              </w:rPr>
            </w:pPr>
            <w:r w:rsidRPr="005F1D16">
              <w:rPr>
                <w:b w:val="0"/>
                <w:iCs/>
              </w:rPr>
              <w:t xml:space="preserve">Pašvaldību būvvaldēm un institūcijām, kuras veic būvvaldes funkcijas būs jākontrolē maksimāli pieļaujamā būvdarbu veikšanas ilgums, bet lēmumu par būvatļaujas derīguma termiņa pagarināšanu vai atjaunošanu, ja netiek pārsniegts maksimāli pieļaujamais būvdarbu ilgums, būs pieņemt ātrāk. </w:t>
            </w:r>
          </w:p>
          <w:p w:rsidR="0032071D" w:rsidRPr="005F1D16" w:rsidRDefault="0032071D" w:rsidP="00D72FFB">
            <w:pPr>
              <w:pStyle w:val="naisnod"/>
              <w:spacing w:before="0" w:after="0"/>
              <w:ind w:left="57" w:right="57"/>
              <w:jc w:val="left"/>
            </w:pPr>
          </w:p>
        </w:tc>
      </w:tr>
      <w:tr w:rsidR="0032071D" w:rsidRPr="005F1D16" w:rsidTr="00D72FFB">
        <w:trPr>
          <w:trHeight w:val="725"/>
        </w:trPr>
        <w:tc>
          <w:tcPr>
            <w:tcW w:w="507" w:type="dxa"/>
          </w:tcPr>
          <w:p w:rsidR="0032071D" w:rsidRPr="005F1D16" w:rsidRDefault="0032071D" w:rsidP="00D72FFB">
            <w:pPr>
              <w:ind w:left="57" w:right="57"/>
            </w:pPr>
            <w:r w:rsidRPr="005F1D16">
              <w:t> 3.</w:t>
            </w:r>
          </w:p>
        </w:tc>
        <w:tc>
          <w:tcPr>
            <w:tcW w:w="3172" w:type="dxa"/>
          </w:tcPr>
          <w:p w:rsidR="0032071D" w:rsidRPr="005F1D16" w:rsidRDefault="0032071D" w:rsidP="00D72FFB">
            <w:pPr>
              <w:ind w:left="57" w:right="57"/>
            </w:pPr>
            <w:r w:rsidRPr="005F1D16">
              <w:t> Projekta izpildes ietekme uz pārvaldes institucionālo struktūru.</w:t>
            </w:r>
          </w:p>
          <w:p w:rsidR="0032071D" w:rsidRPr="005F1D16" w:rsidRDefault="0032071D" w:rsidP="00D72FFB">
            <w:pPr>
              <w:ind w:left="57" w:right="57"/>
            </w:pPr>
            <w:r w:rsidRPr="005F1D16">
              <w:t>Jaunu institūciju izveide</w:t>
            </w:r>
          </w:p>
        </w:tc>
        <w:tc>
          <w:tcPr>
            <w:tcW w:w="5386" w:type="dxa"/>
          </w:tcPr>
          <w:p w:rsidR="0032071D" w:rsidRPr="005F1D16" w:rsidRDefault="0032071D" w:rsidP="00D72FFB">
            <w:pPr>
              <w:ind w:left="57" w:right="57"/>
              <w:jc w:val="both"/>
            </w:pPr>
            <w:r w:rsidRPr="005F1D16">
              <w:t>Nav nepieciešams veidot jaunas institūcijas.</w:t>
            </w:r>
          </w:p>
        </w:tc>
      </w:tr>
      <w:tr w:rsidR="0032071D" w:rsidRPr="005F1D16" w:rsidTr="00D72FFB">
        <w:trPr>
          <w:trHeight w:val="780"/>
        </w:trPr>
        <w:tc>
          <w:tcPr>
            <w:tcW w:w="507" w:type="dxa"/>
          </w:tcPr>
          <w:p w:rsidR="0032071D" w:rsidRPr="005F1D16" w:rsidRDefault="0032071D" w:rsidP="00D72FFB">
            <w:pPr>
              <w:ind w:left="57" w:right="57"/>
            </w:pPr>
            <w:r w:rsidRPr="005F1D16">
              <w:t> 4.</w:t>
            </w:r>
          </w:p>
        </w:tc>
        <w:tc>
          <w:tcPr>
            <w:tcW w:w="3172" w:type="dxa"/>
          </w:tcPr>
          <w:p w:rsidR="0032071D" w:rsidRPr="005F1D16" w:rsidRDefault="0032071D" w:rsidP="00D72FFB">
            <w:pPr>
              <w:ind w:left="57" w:right="57"/>
            </w:pPr>
            <w:r w:rsidRPr="005F1D16">
              <w:t> Projekta izpildes ietekme uz pārvaldes institucionālo struktūru.</w:t>
            </w:r>
          </w:p>
          <w:p w:rsidR="0032071D" w:rsidRPr="005F1D16" w:rsidRDefault="0032071D" w:rsidP="00D72FFB">
            <w:pPr>
              <w:ind w:left="57" w:right="57"/>
            </w:pPr>
            <w:r w:rsidRPr="005F1D16">
              <w:t>Esošu institūciju likvidācija</w:t>
            </w:r>
          </w:p>
        </w:tc>
        <w:tc>
          <w:tcPr>
            <w:tcW w:w="5386" w:type="dxa"/>
          </w:tcPr>
          <w:p w:rsidR="0032071D" w:rsidRPr="005F1D16" w:rsidRDefault="0032071D" w:rsidP="00D72FFB">
            <w:pPr>
              <w:tabs>
                <w:tab w:val="left" w:pos="567"/>
              </w:tabs>
              <w:ind w:left="57" w:right="57"/>
              <w:jc w:val="both"/>
            </w:pPr>
            <w:r w:rsidRPr="005F1D16">
              <w:t>Projekta izpildei nav nepieciešams likvidēt esošās institūcijas.</w:t>
            </w:r>
          </w:p>
        </w:tc>
      </w:tr>
      <w:tr w:rsidR="0032071D" w:rsidRPr="005F1D16" w:rsidTr="00D72FFB">
        <w:trPr>
          <w:trHeight w:val="703"/>
        </w:trPr>
        <w:tc>
          <w:tcPr>
            <w:tcW w:w="507" w:type="dxa"/>
          </w:tcPr>
          <w:p w:rsidR="0032071D" w:rsidRPr="005F1D16" w:rsidRDefault="0032071D" w:rsidP="00D72FFB">
            <w:pPr>
              <w:ind w:left="57" w:right="57"/>
            </w:pPr>
            <w:r w:rsidRPr="005F1D16">
              <w:t> 5.</w:t>
            </w:r>
          </w:p>
        </w:tc>
        <w:tc>
          <w:tcPr>
            <w:tcW w:w="3172" w:type="dxa"/>
          </w:tcPr>
          <w:p w:rsidR="0032071D" w:rsidRPr="005F1D16" w:rsidRDefault="0032071D" w:rsidP="00D72FFB">
            <w:pPr>
              <w:ind w:left="57" w:right="57"/>
            </w:pPr>
            <w:r w:rsidRPr="005F1D16">
              <w:t> Projekta izpildes ietekme uz pārvaldes institucionālo struktūru.</w:t>
            </w:r>
          </w:p>
          <w:p w:rsidR="0032071D" w:rsidRPr="005F1D16" w:rsidRDefault="0032071D" w:rsidP="00D72FFB">
            <w:pPr>
              <w:ind w:left="57" w:right="57"/>
            </w:pPr>
            <w:r w:rsidRPr="005F1D16">
              <w:t>Esošu institūciju reorganizācija</w:t>
            </w:r>
          </w:p>
        </w:tc>
        <w:tc>
          <w:tcPr>
            <w:tcW w:w="5386" w:type="dxa"/>
          </w:tcPr>
          <w:p w:rsidR="0032071D" w:rsidRPr="005F1D16" w:rsidRDefault="0032071D" w:rsidP="00D72FFB">
            <w:pPr>
              <w:tabs>
                <w:tab w:val="left" w:pos="709"/>
              </w:tabs>
              <w:ind w:left="57" w:right="57"/>
              <w:jc w:val="both"/>
            </w:pPr>
            <w:r w:rsidRPr="005F1D16">
              <w:t>Projekta izpildes rezultātā nav plānots reorganizēt vai apvienot jau esošās institūcijas.</w:t>
            </w:r>
          </w:p>
        </w:tc>
      </w:tr>
      <w:tr w:rsidR="0032071D" w:rsidRPr="005F1D16" w:rsidTr="00D72FFB">
        <w:trPr>
          <w:trHeight w:val="476"/>
        </w:trPr>
        <w:tc>
          <w:tcPr>
            <w:tcW w:w="507" w:type="dxa"/>
          </w:tcPr>
          <w:p w:rsidR="0032071D" w:rsidRPr="005F1D16" w:rsidRDefault="0032071D" w:rsidP="00D72FFB">
            <w:pPr>
              <w:ind w:left="57" w:right="57"/>
            </w:pPr>
            <w:r w:rsidRPr="005F1D16">
              <w:t> 6.</w:t>
            </w:r>
          </w:p>
        </w:tc>
        <w:tc>
          <w:tcPr>
            <w:tcW w:w="3172" w:type="dxa"/>
          </w:tcPr>
          <w:p w:rsidR="0032071D" w:rsidRPr="005F1D16" w:rsidRDefault="0032071D" w:rsidP="00D72FFB">
            <w:pPr>
              <w:ind w:left="57" w:right="57"/>
            </w:pPr>
            <w:r w:rsidRPr="005F1D16">
              <w:t> Cita informācija</w:t>
            </w:r>
          </w:p>
        </w:tc>
        <w:tc>
          <w:tcPr>
            <w:tcW w:w="5386" w:type="dxa"/>
          </w:tcPr>
          <w:p w:rsidR="0032071D" w:rsidRPr="005F1D16" w:rsidRDefault="0032071D" w:rsidP="00D72FFB">
            <w:pPr>
              <w:ind w:left="57" w:right="57"/>
              <w:jc w:val="both"/>
            </w:pPr>
            <w:r w:rsidRPr="005F1D16">
              <w:t>Nav.</w:t>
            </w:r>
          </w:p>
        </w:tc>
      </w:tr>
    </w:tbl>
    <w:p w:rsidR="0032071D" w:rsidRPr="005F1D16" w:rsidRDefault="0032071D" w:rsidP="0032071D">
      <w:pPr>
        <w:pStyle w:val="naisf"/>
        <w:tabs>
          <w:tab w:val="left" w:pos="6710"/>
        </w:tabs>
        <w:spacing w:before="0" w:after="240"/>
      </w:pPr>
      <w:r w:rsidRPr="005F1D16">
        <w:t xml:space="preserve">Anotācijas III, IV , V  un VI sadaļa - projekts šīs jomas neskar. </w:t>
      </w:r>
    </w:p>
    <w:p w:rsidR="0032071D" w:rsidRPr="00A02A18" w:rsidRDefault="0032071D" w:rsidP="0032071D">
      <w:pPr>
        <w:pStyle w:val="naisf"/>
        <w:tabs>
          <w:tab w:val="left" w:pos="6710"/>
        </w:tabs>
        <w:spacing w:before="0" w:after="0"/>
        <w:ind w:right="-1" w:firstLine="0"/>
      </w:pPr>
      <w:r w:rsidRPr="00A02A18">
        <w:t>Ekonomikas ministrs</w:t>
      </w:r>
      <w:r w:rsidRPr="00A02A18">
        <w:tab/>
      </w:r>
      <w:r w:rsidRPr="00A02A18">
        <w:tab/>
        <w:t xml:space="preserve">           </w:t>
      </w:r>
      <w:proofErr w:type="spellStart"/>
      <w:r w:rsidRPr="00A02A18">
        <w:t>D.Pavļuts</w:t>
      </w:r>
      <w:proofErr w:type="spellEnd"/>
    </w:p>
    <w:p w:rsidR="0032071D" w:rsidRPr="00A02A18" w:rsidRDefault="0032071D" w:rsidP="0032071D">
      <w:pPr>
        <w:pStyle w:val="naisf"/>
        <w:tabs>
          <w:tab w:val="left" w:pos="6710"/>
        </w:tabs>
        <w:spacing w:before="0" w:after="0"/>
        <w:ind w:right="-1" w:firstLine="0"/>
      </w:pPr>
    </w:p>
    <w:p w:rsidR="0032071D" w:rsidRPr="00A02A18" w:rsidRDefault="0032071D" w:rsidP="0032071D">
      <w:pPr>
        <w:pStyle w:val="Heading1"/>
        <w:spacing w:before="0"/>
        <w:ind w:right="-1"/>
        <w:rPr>
          <w:rFonts w:ascii="Times New Roman" w:hAnsi="Times New Roman" w:cs="Times New Roman"/>
          <w:b w:val="0"/>
          <w:color w:val="auto"/>
          <w:sz w:val="24"/>
          <w:szCs w:val="24"/>
        </w:rPr>
      </w:pPr>
      <w:r w:rsidRPr="00A02A18">
        <w:rPr>
          <w:rFonts w:ascii="Times New Roman" w:hAnsi="Times New Roman" w:cs="Times New Roman"/>
          <w:b w:val="0"/>
          <w:color w:val="auto"/>
          <w:sz w:val="24"/>
          <w:szCs w:val="24"/>
        </w:rPr>
        <w:t>Vīza: Valsts sekretārs</w:t>
      </w:r>
      <w:r w:rsidRPr="00A02A18">
        <w:rPr>
          <w:rFonts w:ascii="Times New Roman" w:hAnsi="Times New Roman" w:cs="Times New Roman"/>
          <w:b w:val="0"/>
          <w:color w:val="auto"/>
          <w:sz w:val="24"/>
          <w:szCs w:val="24"/>
        </w:rPr>
        <w:tab/>
      </w:r>
      <w:r w:rsidRPr="00A02A18">
        <w:rPr>
          <w:rFonts w:ascii="Times New Roman" w:hAnsi="Times New Roman" w:cs="Times New Roman"/>
          <w:b w:val="0"/>
          <w:color w:val="auto"/>
          <w:sz w:val="24"/>
          <w:szCs w:val="24"/>
        </w:rPr>
        <w:tab/>
      </w:r>
      <w:r w:rsidRPr="00A02A18">
        <w:rPr>
          <w:rFonts w:ascii="Times New Roman" w:hAnsi="Times New Roman" w:cs="Times New Roman"/>
          <w:b w:val="0"/>
          <w:color w:val="auto"/>
          <w:sz w:val="24"/>
          <w:szCs w:val="24"/>
        </w:rPr>
        <w:tab/>
      </w:r>
      <w:r w:rsidRPr="00A02A18">
        <w:rPr>
          <w:rFonts w:ascii="Times New Roman" w:hAnsi="Times New Roman" w:cs="Times New Roman"/>
          <w:b w:val="0"/>
          <w:color w:val="auto"/>
          <w:sz w:val="24"/>
          <w:szCs w:val="24"/>
        </w:rPr>
        <w:tab/>
      </w:r>
      <w:r w:rsidRPr="00A02A18">
        <w:rPr>
          <w:rFonts w:ascii="Times New Roman" w:hAnsi="Times New Roman" w:cs="Times New Roman"/>
          <w:b w:val="0"/>
          <w:color w:val="auto"/>
          <w:sz w:val="24"/>
          <w:szCs w:val="24"/>
        </w:rPr>
        <w:tab/>
      </w:r>
      <w:r w:rsidRPr="00A02A18">
        <w:rPr>
          <w:rFonts w:ascii="Times New Roman" w:hAnsi="Times New Roman" w:cs="Times New Roman"/>
          <w:b w:val="0"/>
          <w:color w:val="auto"/>
          <w:sz w:val="24"/>
          <w:szCs w:val="24"/>
        </w:rPr>
        <w:tab/>
        <w:t xml:space="preserve">                  </w:t>
      </w:r>
      <w:r w:rsidRPr="00A02A18">
        <w:rPr>
          <w:rFonts w:ascii="Times New Roman" w:hAnsi="Times New Roman" w:cs="Times New Roman"/>
          <w:b w:val="0"/>
          <w:color w:val="auto"/>
          <w:sz w:val="24"/>
          <w:szCs w:val="24"/>
        </w:rPr>
        <w:tab/>
        <w:t xml:space="preserve">      </w:t>
      </w:r>
      <w:r>
        <w:rPr>
          <w:rFonts w:ascii="Times New Roman" w:hAnsi="Times New Roman" w:cs="Times New Roman"/>
          <w:b w:val="0"/>
          <w:color w:val="auto"/>
          <w:sz w:val="24"/>
          <w:szCs w:val="24"/>
        </w:rPr>
        <w:t xml:space="preserve">     </w:t>
      </w:r>
      <w:r w:rsidRPr="00A02A18">
        <w:rPr>
          <w:rFonts w:ascii="Times New Roman" w:hAnsi="Times New Roman" w:cs="Times New Roman"/>
          <w:b w:val="0"/>
          <w:color w:val="auto"/>
          <w:sz w:val="24"/>
          <w:szCs w:val="24"/>
        </w:rPr>
        <w:t xml:space="preserve">J.Pūce    </w:t>
      </w:r>
    </w:p>
    <w:p w:rsidR="0032071D" w:rsidRDefault="0032071D" w:rsidP="0032071D">
      <w:pPr>
        <w:rPr>
          <w:sz w:val="20"/>
        </w:rPr>
      </w:pPr>
    </w:p>
    <w:p w:rsidR="005F53FC" w:rsidRPr="005F1D16" w:rsidRDefault="005F53FC" w:rsidP="0032071D">
      <w:pPr>
        <w:rPr>
          <w:sz w:val="20"/>
        </w:rPr>
      </w:pPr>
      <w:bookmarkStart w:id="5" w:name="_GoBack"/>
      <w:bookmarkEnd w:id="5"/>
    </w:p>
    <w:p w:rsidR="0032071D" w:rsidRPr="005F1D16" w:rsidRDefault="0032071D" w:rsidP="0032071D">
      <w:pPr>
        <w:rPr>
          <w:sz w:val="20"/>
        </w:rPr>
      </w:pPr>
      <w:r w:rsidRPr="005F1D16">
        <w:rPr>
          <w:sz w:val="20"/>
        </w:rPr>
        <w:fldChar w:fldCharType="begin"/>
      </w:r>
      <w:r w:rsidRPr="005F1D16">
        <w:rPr>
          <w:sz w:val="20"/>
        </w:rPr>
        <w:instrText xml:space="preserve"> DATE  \@ "dd.MM.yyyy. H:mm"  \* MERGEFORMAT </w:instrText>
      </w:r>
      <w:r w:rsidRPr="005F1D16">
        <w:rPr>
          <w:sz w:val="20"/>
        </w:rPr>
        <w:fldChar w:fldCharType="separate"/>
      </w:r>
      <w:r w:rsidR="005F53FC">
        <w:rPr>
          <w:noProof/>
          <w:sz w:val="20"/>
        </w:rPr>
        <w:t>11.04.2013. 14:38</w:t>
      </w:r>
      <w:r w:rsidRPr="005F1D16">
        <w:rPr>
          <w:sz w:val="20"/>
        </w:rPr>
        <w:fldChar w:fldCharType="end"/>
      </w:r>
    </w:p>
    <w:p w:rsidR="0032071D" w:rsidRPr="005F1D16" w:rsidRDefault="0032071D" w:rsidP="0032071D">
      <w:pPr>
        <w:rPr>
          <w:sz w:val="20"/>
        </w:rPr>
      </w:pPr>
      <w:fldSimple w:instr=" NUMWORDS   \* MERGEFORMAT ">
        <w:r w:rsidR="004D0791" w:rsidRPr="004D0791">
          <w:rPr>
            <w:noProof/>
            <w:sz w:val="20"/>
          </w:rPr>
          <w:t>2060</w:t>
        </w:r>
      </w:fldSimple>
    </w:p>
    <w:p w:rsidR="0032071D" w:rsidRPr="005F1D16" w:rsidRDefault="0032071D" w:rsidP="0032071D">
      <w:pPr>
        <w:rPr>
          <w:sz w:val="20"/>
        </w:rPr>
      </w:pPr>
      <w:r w:rsidRPr="005F1D16">
        <w:rPr>
          <w:sz w:val="20"/>
        </w:rPr>
        <w:t>E.Bučinska,</w:t>
      </w:r>
    </w:p>
    <w:p w:rsidR="0032071D" w:rsidRDefault="0032071D" w:rsidP="0032071D">
      <w:r w:rsidRPr="005F1D16">
        <w:rPr>
          <w:sz w:val="20"/>
        </w:rPr>
        <w:t xml:space="preserve">67013032, </w:t>
      </w:r>
      <w:hyperlink r:id="rId8" w:history="1">
        <w:r w:rsidRPr="005F1D16">
          <w:rPr>
            <w:rStyle w:val="Hyperlink"/>
            <w:rFonts w:eastAsiaTheme="majorEastAsia"/>
            <w:sz w:val="20"/>
          </w:rPr>
          <w:t>Elga.Bucinska@em.gov.lv</w:t>
        </w:r>
      </w:hyperlink>
      <w:r w:rsidRPr="005F1D16">
        <w:rPr>
          <w:sz w:val="20"/>
        </w:rPr>
        <w:t xml:space="preserve"> </w:t>
      </w:r>
    </w:p>
    <w:p w:rsidR="00F91179" w:rsidRDefault="008C0F59"/>
    <w:sectPr w:rsidR="00F91179" w:rsidSect="00490437">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59" w:rsidRDefault="008C0F59" w:rsidP="007158E6">
      <w:r>
        <w:separator/>
      </w:r>
    </w:p>
  </w:endnote>
  <w:endnote w:type="continuationSeparator" w:id="0">
    <w:p w:rsidR="008C0F59" w:rsidRDefault="008C0F59" w:rsidP="0071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E9" w:rsidRPr="00A032EA" w:rsidRDefault="00981BA6" w:rsidP="009464E9">
    <w:pPr>
      <w:jc w:val="both"/>
      <w:rPr>
        <w:sz w:val="18"/>
        <w:szCs w:val="18"/>
      </w:rPr>
    </w:pPr>
    <w:r w:rsidRPr="00A032EA">
      <w:rPr>
        <w:sz w:val="18"/>
        <w:szCs w:val="18"/>
      </w:rPr>
      <w:fldChar w:fldCharType="begin"/>
    </w:r>
    <w:r w:rsidRPr="00A032EA">
      <w:rPr>
        <w:sz w:val="18"/>
        <w:szCs w:val="18"/>
      </w:rPr>
      <w:instrText xml:space="preserve"> FILENAME   \* MERGEFORMAT </w:instrText>
    </w:r>
    <w:r w:rsidRPr="00A032EA">
      <w:rPr>
        <w:sz w:val="18"/>
        <w:szCs w:val="18"/>
      </w:rPr>
      <w:fldChar w:fldCharType="separate"/>
    </w:r>
    <w:r w:rsidR="00523893">
      <w:rPr>
        <w:noProof/>
        <w:sz w:val="18"/>
        <w:szCs w:val="18"/>
      </w:rPr>
      <w:t>EManot_110413_grozVBN</w:t>
    </w:r>
    <w:r w:rsidRPr="00A032EA">
      <w:rPr>
        <w:noProof/>
        <w:sz w:val="18"/>
        <w:szCs w:val="18"/>
      </w:rPr>
      <w:fldChar w:fldCharType="end"/>
    </w:r>
    <w:r w:rsidRPr="00A032EA">
      <w:rPr>
        <w:noProof/>
        <w:sz w:val="18"/>
        <w:szCs w:val="18"/>
      </w:rPr>
      <w:t xml:space="preserve">; Ministru kabineta noteikumu projekta „Grozījumi </w:t>
    </w:r>
    <w:r w:rsidRPr="00A032EA">
      <w:rPr>
        <w:sz w:val="18"/>
        <w:szCs w:val="18"/>
      </w:rPr>
      <w:t xml:space="preserve">Ministru kabineta 1997.gada 1.aprīļa noteikumu Nr.112. „Vispārīgie būvnoteikumi”” sākotnējās ietekmes novērtējuma </w:t>
    </w:r>
    <w:smartTag w:uri="schemas-tilde-lv/tildestengine" w:element="veidnes">
      <w:smartTagPr>
        <w:attr w:name="id" w:val="-1"/>
        <w:attr w:name="baseform" w:val="ziņojums"/>
        <w:attr w:name="text" w:val="ziņojums"/>
      </w:smartTagPr>
      <w:r w:rsidRPr="00A032EA">
        <w:rPr>
          <w:sz w:val="18"/>
          <w:szCs w:val="18"/>
        </w:rPr>
        <w:t>ziņojums</w:t>
      </w:r>
    </w:smartTag>
    <w:r w:rsidRPr="00A032EA">
      <w:rPr>
        <w:sz w:val="18"/>
        <w:szCs w:val="18"/>
      </w:rPr>
      <w:t xml:space="preserve"> (anotācija)</w:t>
    </w:r>
  </w:p>
  <w:p w:rsidR="00490437" w:rsidRDefault="008C0F59" w:rsidP="00490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EA" w:rsidRPr="00A032EA" w:rsidRDefault="00981BA6" w:rsidP="00A032EA">
    <w:pPr>
      <w:jc w:val="both"/>
      <w:rPr>
        <w:sz w:val="18"/>
        <w:szCs w:val="18"/>
      </w:rPr>
    </w:pPr>
    <w:r w:rsidRPr="00A032EA">
      <w:rPr>
        <w:sz w:val="18"/>
        <w:szCs w:val="18"/>
      </w:rPr>
      <w:fldChar w:fldCharType="begin"/>
    </w:r>
    <w:r w:rsidRPr="00A032EA">
      <w:rPr>
        <w:sz w:val="18"/>
        <w:szCs w:val="18"/>
      </w:rPr>
      <w:instrText xml:space="preserve"> FILENAME   \* MERGEFORMAT </w:instrText>
    </w:r>
    <w:r w:rsidRPr="00A032EA">
      <w:rPr>
        <w:sz w:val="18"/>
        <w:szCs w:val="18"/>
      </w:rPr>
      <w:fldChar w:fldCharType="separate"/>
    </w:r>
    <w:r w:rsidR="00523893">
      <w:rPr>
        <w:noProof/>
        <w:sz w:val="18"/>
        <w:szCs w:val="18"/>
      </w:rPr>
      <w:t>EManot_110413_grozVBN</w:t>
    </w:r>
    <w:r w:rsidRPr="00A032EA">
      <w:rPr>
        <w:noProof/>
        <w:sz w:val="18"/>
        <w:szCs w:val="18"/>
      </w:rPr>
      <w:fldChar w:fldCharType="end"/>
    </w:r>
    <w:r w:rsidRPr="00A032EA">
      <w:rPr>
        <w:noProof/>
        <w:sz w:val="18"/>
        <w:szCs w:val="18"/>
      </w:rPr>
      <w:t xml:space="preserve">; Ministru kabineta noteikumu projekta „Grozījumi </w:t>
    </w:r>
    <w:r w:rsidRPr="00A032EA">
      <w:rPr>
        <w:sz w:val="18"/>
        <w:szCs w:val="18"/>
      </w:rPr>
      <w:t xml:space="preserve">Ministru kabineta 1997.gada 1.aprīļa noteikumu Nr.112. „Vispārīgie būvnoteikumi”” sākotnējās ietekmes novērtējuma </w:t>
    </w:r>
    <w:smartTag w:uri="schemas-tilde-lv/tildestengine" w:element="veidnes">
      <w:smartTagPr>
        <w:attr w:name="id" w:val="-1"/>
        <w:attr w:name="baseform" w:val="ziņojums"/>
        <w:attr w:name="text" w:val="ziņojums"/>
      </w:smartTagPr>
      <w:r w:rsidRPr="00A032EA">
        <w:rPr>
          <w:sz w:val="18"/>
          <w:szCs w:val="18"/>
        </w:rPr>
        <w:t>ziņojums</w:t>
      </w:r>
    </w:smartTag>
    <w:r w:rsidRPr="00A032EA">
      <w:rPr>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59" w:rsidRDefault="008C0F59" w:rsidP="007158E6">
      <w:r>
        <w:separator/>
      </w:r>
    </w:p>
  </w:footnote>
  <w:footnote w:type="continuationSeparator" w:id="0">
    <w:p w:rsidR="008C0F59" w:rsidRDefault="008C0F59" w:rsidP="0071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88472"/>
      <w:docPartObj>
        <w:docPartGallery w:val="Page Numbers (Top of Page)"/>
        <w:docPartUnique/>
      </w:docPartObj>
    </w:sdtPr>
    <w:sdtEndPr>
      <w:rPr>
        <w:noProof/>
      </w:rPr>
    </w:sdtEndPr>
    <w:sdtContent>
      <w:p w:rsidR="00490437" w:rsidRDefault="00981BA6">
        <w:pPr>
          <w:pStyle w:val="Header"/>
          <w:jc w:val="center"/>
        </w:pPr>
        <w:r>
          <w:fldChar w:fldCharType="begin"/>
        </w:r>
        <w:r>
          <w:instrText xml:space="preserve"> PAGE   \* MERGEFORMAT </w:instrText>
        </w:r>
        <w:r>
          <w:fldChar w:fldCharType="separate"/>
        </w:r>
        <w:r w:rsidR="005F53FC">
          <w:rPr>
            <w:noProof/>
          </w:rPr>
          <w:t>7</w:t>
        </w:r>
        <w:r>
          <w:rPr>
            <w:noProof/>
          </w:rPr>
          <w:fldChar w:fldCharType="end"/>
        </w:r>
      </w:p>
    </w:sdtContent>
  </w:sdt>
  <w:p w:rsidR="00490437" w:rsidRDefault="008C0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3793"/>
    <w:multiLevelType w:val="hybridMultilevel"/>
    <w:tmpl w:val="1868A698"/>
    <w:lvl w:ilvl="0" w:tplc="5052D31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545213F4"/>
    <w:multiLevelType w:val="hybridMultilevel"/>
    <w:tmpl w:val="114CCCBE"/>
    <w:lvl w:ilvl="0" w:tplc="4238EAD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D"/>
    <w:rsid w:val="000D50BB"/>
    <w:rsid w:val="0032071D"/>
    <w:rsid w:val="004D0791"/>
    <w:rsid w:val="00523893"/>
    <w:rsid w:val="005F53FC"/>
    <w:rsid w:val="00672715"/>
    <w:rsid w:val="007158E6"/>
    <w:rsid w:val="008C0F59"/>
    <w:rsid w:val="00914A66"/>
    <w:rsid w:val="00915A05"/>
    <w:rsid w:val="00981BA6"/>
    <w:rsid w:val="00BB5BB5"/>
    <w:rsid w:val="00CE0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1D"/>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32071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71D"/>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32071D"/>
    <w:pPr>
      <w:spacing w:before="75" w:after="75"/>
      <w:ind w:firstLine="375"/>
      <w:jc w:val="both"/>
    </w:pPr>
  </w:style>
  <w:style w:type="paragraph" w:customStyle="1" w:styleId="naisnod">
    <w:name w:val="naisnod"/>
    <w:basedOn w:val="Normal"/>
    <w:rsid w:val="0032071D"/>
    <w:pPr>
      <w:spacing w:before="150" w:after="150"/>
      <w:jc w:val="center"/>
    </w:pPr>
    <w:rPr>
      <w:b/>
      <w:bCs/>
    </w:rPr>
  </w:style>
  <w:style w:type="paragraph" w:customStyle="1" w:styleId="naiskr">
    <w:name w:val="naiskr"/>
    <w:basedOn w:val="Normal"/>
    <w:rsid w:val="0032071D"/>
    <w:pPr>
      <w:spacing w:before="75" w:after="75"/>
    </w:pPr>
  </w:style>
  <w:style w:type="paragraph" w:styleId="ListParagraph">
    <w:name w:val="List Paragraph"/>
    <w:basedOn w:val="Normal"/>
    <w:uiPriority w:val="34"/>
    <w:qFormat/>
    <w:rsid w:val="0032071D"/>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32071D"/>
    <w:pPr>
      <w:tabs>
        <w:tab w:val="center" w:pos="4153"/>
        <w:tab w:val="right" w:pos="8306"/>
      </w:tabs>
    </w:pPr>
  </w:style>
  <w:style w:type="character" w:customStyle="1" w:styleId="HeaderChar">
    <w:name w:val="Header Char"/>
    <w:basedOn w:val="DefaultParagraphFont"/>
    <w:link w:val="Header"/>
    <w:uiPriority w:val="99"/>
    <w:rsid w:val="0032071D"/>
    <w:rPr>
      <w:rFonts w:eastAsia="Times New Roman" w:cs="Times New Roman"/>
      <w:sz w:val="24"/>
      <w:szCs w:val="24"/>
      <w:lang w:eastAsia="lv-LV"/>
    </w:rPr>
  </w:style>
  <w:style w:type="paragraph" w:styleId="Footer">
    <w:name w:val="footer"/>
    <w:basedOn w:val="Normal"/>
    <w:link w:val="FooterChar"/>
    <w:uiPriority w:val="99"/>
    <w:unhideWhenUsed/>
    <w:rsid w:val="0032071D"/>
    <w:pPr>
      <w:tabs>
        <w:tab w:val="center" w:pos="4153"/>
        <w:tab w:val="right" w:pos="8306"/>
      </w:tabs>
    </w:pPr>
  </w:style>
  <w:style w:type="character" w:customStyle="1" w:styleId="FooterChar">
    <w:name w:val="Footer Char"/>
    <w:basedOn w:val="DefaultParagraphFont"/>
    <w:link w:val="Footer"/>
    <w:uiPriority w:val="99"/>
    <w:rsid w:val="0032071D"/>
    <w:rPr>
      <w:rFonts w:eastAsia="Times New Roman" w:cs="Times New Roman"/>
      <w:sz w:val="24"/>
      <w:szCs w:val="24"/>
      <w:lang w:eastAsia="lv-LV"/>
    </w:rPr>
  </w:style>
  <w:style w:type="character" w:styleId="Hyperlink">
    <w:name w:val="Hyperlink"/>
    <w:basedOn w:val="DefaultParagraphFont"/>
    <w:rsid w:val="0032071D"/>
    <w:rPr>
      <w:color w:val="0000FF"/>
      <w:u w:val="single"/>
    </w:rPr>
  </w:style>
  <w:style w:type="paragraph" w:styleId="NormalWeb">
    <w:name w:val="Normal (Web)"/>
    <w:basedOn w:val="Normal"/>
    <w:uiPriority w:val="99"/>
    <w:unhideWhenUsed/>
    <w:rsid w:val="0032071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1D"/>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32071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71D"/>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32071D"/>
    <w:pPr>
      <w:spacing w:before="75" w:after="75"/>
      <w:ind w:firstLine="375"/>
      <w:jc w:val="both"/>
    </w:pPr>
  </w:style>
  <w:style w:type="paragraph" w:customStyle="1" w:styleId="naisnod">
    <w:name w:val="naisnod"/>
    <w:basedOn w:val="Normal"/>
    <w:rsid w:val="0032071D"/>
    <w:pPr>
      <w:spacing w:before="150" w:after="150"/>
      <w:jc w:val="center"/>
    </w:pPr>
    <w:rPr>
      <w:b/>
      <w:bCs/>
    </w:rPr>
  </w:style>
  <w:style w:type="paragraph" w:customStyle="1" w:styleId="naiskr">
    <w:name w:val="naiskr"/>
    <w:basedOn w:val="Normal"/>
    <w:rsid w:val="0032071D"/>
    <w:pPr>
      <w:spacing w:before="75" w:after="75"/>
    </w:pPr>
  </w:style>
  <w:style w:type="paragraph" w:styleId="ListParagraph">
    <w:name w:val="List Paragraph"/>
    <w:basedOn w:val="Normal"/>
    <w:uiPriority w:val="34"/>
    <w:qFormat/>
    <w:rsid w:val="0032071D"/>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32071D"/>
    <w:pPr>
      <w:tabs>
        <w:tab w:val="center" w:pos="4153"/>
        <w:tab w:val="right" w:pos="8306"/>
      </w:tabs>
    </w:pPr>
  </w:style>
  <w:style w:type="character" w:customStyle="1" w:styleId="HeaderChar">
    <w:name w:val="Header Char"/>
    <w:basedOn w:val="DefaultParagraphFont"/>
    <w:link w:val="Header"/>
    <w:uiPriority w:val="99"/>
    <w:rsid w:val="0032071D"/>
    <w:rPr>
      <w:rFonts w:eastAsia="Times New Roman" w:cs="Times New Roman"/>
      <w:sz w:val="24"/>
      <w:szCs w:val="24"/>
      <w:lang w:eastAsia="lv-LV"/>
    </w:rPr>
  </w:style>
  <w:style w:type="paragraph" w:styleId="Footer">
    <w:name w:val="footer"/>
    <w:basedOn w:val="Normal"/>
    <w:link w:val="FooterChar"/>
    <w:uiPriority w:val="99"/>
    <w:unhideWhenUsed/>
    <w:rsid w:val="0032071D"/>
    <w:pPr>
      <w:tabs>
        <w:tab w:val="center" w:pos="4153"/>
        <w:tab w:val="right" w:pos="8306"/>
      </w:tabs>
    </w:pPr>
  </w:style>
  <w:style w:type="character" w:customStyle="1" w:styleId="FooterChar">
    <w:name w:val="Footer Char"/>
    <w:basedOn w:val="DefaultParagraphFont"/>
    <w:link w:val="Footer"/>
    <w:uiPriority w:val="99"/>
    <w:rsid w:val="0032071D"/>
    <w:rPr>
      <w:rFonts w:eastAsia="Times New Roman" w:cs="Times New Roman"/>
      <w:sz w:val="24"/>
      <w:szCs w:val="24"/>
      <w:lang w:eastAsia="lv-LV"/>
    </w:rPr>
  </w:style>
  <w:style w:type="character" w:styleId="Hyperlink">
    <w:name w:val="Hyperlink"/>
    <w:basedOn w:val="DefaultParagraphFont"/>
    <w:rsid w:val="0032071D"/>
    <w:rPr>
      <w:color w:val="0000FF"/>
      <w:u w:val="single"/>
    </w:rPr>
  </w:style>
  <w:style w:type="paragraph" w:styleId="NormalWeb">
    <w:name w:val="Normal (Web)"/>
    <w:basedOn w:val="Normal"/>
    <w:uiPriority w:val="99"/>
    <w:unhideWhenUsed/>
    <w:rsid w:val="0032071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1857</Words>
  <Characters>15199</Characters>
  <Application>Microsoft Office Word</Application>
  <DocSecurity>0</DocSecurity>
  <Lines>633</Lines>
  <Paragraphs>289</Paragraphs>
  <ScaleCrop>false</ScaleCrop>
  <Company>LR Ekonomikas ministrija</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6</cp:revision>
  <dcterms:created xsi:type="dcterms:W3CDTF">2013-04-09T12:41:00Z</dcterms:created>
  <dcterms:modified xsi:type="dcterms:W3CDTF">2013-04-11T11:38:00Z</dcterms:modified>
</cp:coreProperties>
</file>