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96" w:rsidRDefault="00434696" w:rsidP="00C7236C">
      <w:pPr>
        <w:pStyle w:val="naislab"/>
        <w:spacing w:before="0" w:after="120"/>
        <w:jc w:val="center"/>
        <w:outlineLvl w:val="0"/>
        <w:rPr>
          <w:b/>
          <w:sz w:val="28"/>
          <w:szCs w:val="28"/>
        </w:rPr>
      </w:pPr>
      <w:r w:rsidRPr="00A1153A">
        <w:rPr>
          <w:b/>
          <w:bCs/>
          <w:sz w:val="28"/>
          <w:szCs w:val="28"/>
        </w:rPr>
        <w:t xml:space="preserve">Ministru kabineta </w:t>
      </w:r>
      <w:r w:rsidR="00E63AD3" w:rsidRPr="00E63AD3">
        <w:rPr>
          <w:b/>
          <w:bCs/>
          <w:sz w:val="28"/>
          <w:szCs w:val="28"/>
        </w:rPr>
        <w:t>rīkojuma projekt</w:t>
      </w:r>
      <w:r w:rsidR="00E63AD3">
        <w:rPr>
          <w:b/>
          <w:bCs/>
          <w:sz w:val="28"/>
          <w:szCs w:val="28"/>
        </w:rPr>
        <w:t>a</w:t>
      </w:r>
      <w:r w:rsidR="00E63AD3" w:rsidRPr="00E63AD3">
        <w:rPr>
          <w:b/>
          <w:bCs/>
          <w:sz w:val="28"/>
          <w:szCs w:val="28"/>
        </w:rPr>
        <w:t xml:space="preserve"> "Par Eirokodeksa standartu nacionālo ieviešanas plānu </w:t>
      </w:r>
      <w:r w:rsidR="00E63AD3" w:rsidRPr="00576952">
        <w:rPr>
          <w:b/>
          <w:bCs/>
          <w:sz w:val="28"/>
          <w:szCs w:val="28"/>
          <w:u w:val="single"/>
        </w:rPr>
        <w:t>201</w:t>
      </w:r>
      <w:r w:rsidR="00576952" w:rsidRPr="00576952">
        <w:rPr>
          <w:b/>
          <w:bCs/>
          <w:sz w:val="28"/>
          <w:szCs w:val="28"/>
          <w:u w:val="single"/>
        </w:rPr>
        <w:t>3</w:t>
      </w:r>
      <w:r w:rsidR="00E63AD3" w:rsidRPr="00576952">
        <w:rPr>
          <w:b/>
          <w:bCs/>
          <w:sz w:val="28"/>
          <w:szCs w:val="28"/>
          <w:u w:val="single"/>
        </w:rPr>
        <w:t>.–201</w:t>
      </w:r>
      <w:r w:rsidR="001E72E4" w:rsidRPr="00576952">
        <w:rPr>
          <w:b/>
          <w:bCs/>
          <w:sz w:val="28"/>
          <w:szCs w:val="28"/>
          <w:u w:val="single"/>
        </w:rPr>
        <w:t>4</w:t>
      </w:r>
      <w:r w:rsidR="00E63AD3" w:rsidRPr="00576952">
        <w:rPr>
          <w:b/>
          <w:bCs/>
          <w:sz w:val="28"/>
          <w:szCs w:val="28"/>
          <w:u w:val="single"/>
        </w:rPr>
        <w:t>.gadam</w:t>
      </w:r>
      <w:r w:rsidR="00E63AD3" w:rsidRPr="00E63AD3">
        <w:rPr>
          <w:b/>
          <w:bCs/>
          <w:sz w:val="28"/>
          <w:szCs w:val="28"/>
        </w:rPr>
        <w:t>"</w:t>
      </w:r>
      <w:r w:rsidRPr="007C0F2C">
        <w:rPr>
          <w:b/>
          <w:sz w:val="28"/>
          <w:szCs w:val="28"/>
        </w:rPr>
        <w:t xml:space="preserve"> </w:t>
      </w:r>
      <w:r>
        <w:rPr>
          <w:b/>
          <w:sz w:val="28"/>
          <w:szCs w:val="28"/>
        </w:rPr>
        <w:br/>
      </w:r>
      <w:r w:rsidRPr="007C0F2C">
        <w:rPr>
          <w:b/>
          <w:sz w:val="28"/>
          <w:szCs w:val="28"/>
        </w:rPr>
        <w:t xml:space="preserve">sākotnējās ietekmes novērtējuma </w:t>
      </w:r>
      <w:smartTag w:uri="schemas-tilde-lv/tildestengine" w:element="veidnes">
        <w:smartTagPr>
          <w:attr w:name="text" w:val="ziņojums"/>
          <w:attr w:name="baseform" w:val="ziņojums"/>
          <w:attr w:name="id" w:val="-1"/>
        </w:smartTagPr>
        <w:r w:rsidRPr="007C0F2C">
          <w:rPr>
            <w:b/>
            <w:sz w:val="28"/>
            <w:szCs w:val="28"/>
          </w:rPr>
          <w:t>ziņojums</w:t>
        </w:r>
      </w:smartTag>
      <w:r w:rsidRPr="007C0F2C">
        <w:rPr>
          <w:b/>
          <w:sz w:val="28"/>
          <w:szCs w:val="28"/>
        </w:rPr>
        <w:t xml:space="preserve"> (anotācija)</w:t>
      </w:r>
    </w:p>
    <w:p w:rsidR="004601ED" w:rsidRDefault="004601ED" w:rsidP="00C7236C">
      <w:pPr>
        <w:pStyle w:val="naislab"/>
        <w:spacing w:before="0" w:after="120"/>
        <w:jc w:val="center"/>
        <w:outlineLvl w:val="0"/>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6"/>
        <w:gridCol w:w="3041"/>
        <w:gridCol w:w="5524"/>
      </w:tblGrid>
      <w:tr w:rsidR="004A203F" w:rsidRPr="0061389E" w:rsidTr="00C7236C">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nod"/>
              <w:ind w:left="-142" w:firstLine="142"/>
            </w:pPr>
            <w:r w:rsidRPr="0061389E">
              <w:t> I Tiesību akta projekta izstrādes nepieciešamība</w:t>
            </w:r>
          </w:p>
        </w:tc>
      </w:tr>
      <w:tr w:rsidR="004A203F" w:rsidRPr="0061389E" w:rsidTr="00C7236C">
        <w:trPr>
          <w:trHeight w:val="630"/>
          <w:tblCellSpacing w:w="0" w:type="dxa"/>
        </w:trPr>
        <w:tc>
          <w:tcPr>
            <w:tcW w:w="536"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42" w:firstLine="142"/>
              <w:jc w:val="center"/>
            </w:pPr>
            <w:r w:rsidRPr="0061389E">
              <w:t>1.</w:t>
            </w:r>
          </w:p>
        </w:tc>
        <w:tc>
          <w:tcPr>
            <w:tcW w:w="3041"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80" w:right="127" w:hanging="10"/>
              <w:jc w:val="both"/>
            </w:pPr>
            <w:r w:rsidRPr="0061389E">
              <w:t>Pamatojums</w:t>
            </w:r>
          </w:p>
        </w:tc>
        <w:tc>
          <w:tcPr>
            <w:tcW w:w="5524" w:type="dxa"/>
            <w:tcBorders>
              <w:top w:val="outset" w:sz="6" w:space="0" w:color="auto"/>
              <w:left w:val="outset" w:sz="6" w:space="0" w:color="auto"/>
              <w:bottom w:val="outset" w:sz="6" w:space="0" w:color="auto"/>
              <w:right w:val="outset" w:sz="6" w:space="0" w:color="auto"/>
            </w:tcBorders>
            <w:vAlign w:val="center"/>
          </w:tcPr>
          <w:p w:rsidR="00765BE4" w:rsidRDefault="007D2772" w:rsidP="002B7601">
            <w:pPr>
              <w:pStyle w:val="FootnoteText"/>
              <w:ind w:left="129" w:right="127" w:firstLine="142"/>
              <w:jc w:val="both"/>
              <w:rPr>
                <w:sz w:val="24"/>
                <w:szCs w:val="24"/>
              </w:rPr>
            </w:pPr>
            <w:r w:rsidRPr="007D2772">
              <w:rPr>
                <w:sz w:val="24"/>
                <w:szCs w:val="24"/>
              </w:rPr>
              <w:t>Ministru kabineta rīkojuma projekt</w:t>
            </w:r>
            <w:r>
              <w:rPr>
                <w:sz w:val="24"/>
                <w:szCs w:val="24"/>
              </w:rPr>
              <w:t>s</w:t>
            </w:r>
            <w:r w:rsidRPr="007D2772">
              <w:rPr>
                <w:sz w:val="24"/>
                <w:szCs w:val="24"/>
              </w:rPr>
              <w:t xml:space="preserve"> "Par Eirokodeksa standartu nacionālo ieviešanas plānu </w:t>
            </w:r>
            <w:r w:rsidRPr="00576952">
              <w:rPr>
                <w:sz w:val="24"/>
                <w:szCs w:val="24"/>
                <w:u w:val="single"/>
              </w:rPr>
              <w:t>201</w:t>
            </w:r>
            <w:r w:rsidR="00576952" w:rsidRPr="00576952">
              <w:rPr>
                <w:sz w:val="24"/>
                <w:szCs w:val="24"/>
                <w:u w:val="single"/>
              </w:rPr>
              <w:t>3</w:t>
            </w:r>
            <w:r w:rsidRPr="00576952">
              <w:rPr>
                <w:sz w:val="24"/>
                <w:szCs w:val="24"/>
                <w:u w:val="single"/>
              </w:rPr>
              <w:t>.–201</w:t>
            </w:r>
            <w:r w:rsidR="005D5C10" w:rsidRPr="00576952">
              <w:rPr>
                <w:sz w:val="24"/>
                <w:szCs w:val="24"/>
                <w:u w:val="single"/>
              </w:rPr>
              <w:t>4</w:t>
            </w:r>
            <w:r w:rsidRPr="00576952">
              <w:rPr>
                <w:sz w:val="24"/>
                <w:szCs w:val="24"/>
                <w:u w:val="single"/>
              </w:rPr>
              <w:t>.gadam</w:t>
            </w:r>
            <w:r w:rsidRPr="007D2772">
              <w:rPr>
                <w:sz w:val="24"/>
                <w:szCs w:val="24"/>
              </w:rPr>
              <w:t>"</w:t>
            </w:r>
            <w:r w:rsidR="00765BE4">
              <w:rPr>
                <w:sz w:val="24"/>
                <w:szCs w:val="24"/>
              </w:rPr>
              <w:t xml:space="preserve"> </w:t>
            </w:r>
            <w:r>
              <w:rPr>
                <w:sz w:val="24"/>
                <w:szCs w:val="24"/>
              </w:rPr>
              <w:t xml:space="preserve">un </w:t>
            </w:r>
            <w:r w:rsidRPr="007D2772">
              <w:rPr>
                <w:sz w:val="24"/>
                <w:szCs w:val="24"/>
              </w:rPr>
              <w:t xml:space="preserve">Eirokodeksa standartu nacionālais ieviešanas plāns </w:t>
            </w:r>
            <w:r w:rsidRPr="00576952">
              <w:rPr>
                <w:sz w:val="24"/>
                <w:szCs w:val="24"/>
                <w:u w:val="single"/>
              </w:rPr>
              <w:t>201</w:t>
            </w:r>
            <w:r w:rsidR="00576952" w:rsidRPr="00576952">
              <w:rPr>
                <w:sz w:val="24"/>
                <w:szCs w:val="24"/>
                <w:u w:val="single"/>
              </w:rPr>
              <w:t>3</w:t>
            </w:r>
            <w:r w:rsidRPr="00576952">
              <w:rPr>
                <w:sz w:val="24"/>
                <w:szCs w:val="24"/>
                <w:u w:val="single"/>
              </w:rPr>
              <w:t>. – 201</w:t>
            </w:r>
            <w:r w:rsidR="005D5C10" w:rsidRPr="00576952">
              <w:rPr>
                <w:sz w:val="24"/>
                <w:szCs w:val="24"/>
                <w:u w:val="single"/>
              </w:rPr>
              <w:t>4</w:t>
            </w:r>
            <w:r w:rsidRPr="00576952">
              <w:rPr>
                <w:sz w:val="24"/>
                <w:szCs w:val="24"/>
                <w:u w:val="single"/>
              </w:rPr>
              <w:t>. gadam</w:t>
            </w:r>
            <w:r w:rsidR="00765BE4">
              <w:rPr>
                <w:sz w:val="24"/>
                <w:szCs w:val="24"/>
              </w:rPr>
              <w:t xml:space="preserve"> (turpmāk – Plāns)</w:t>
            </w:r>
            <w:r>
              <w:rPr>
                <w:sz w:val="24"/>
                <w:szCs w:val="24"/>
              </w:rPr>
              <w:t>, kas</w:t>
            </w:r>
            <w:r w:rsidRPr="007D2772">
              <w:rPr>
                <w:sz w:val="24"/>
                <w:szCs w:val="24"/>
              </w:rPr>
              <w:t xml:space="preserve"> ir īstermiņa politikas plānošanas dokuments</w:t>
            </w:r>
            <w:r>
              <w:rPr>
                <w:sz w:val="24"/>
                <w:szCs w:val="24"/>
              </w:rPr>
              <w:t>,</w:t>
            </w:r>
            <w:r w:rsidRPr="007D2772">
              <w:rPr>
                <w:sz w:val="24"/>
                <w:szCs w:val="24"/>
              </w:rPr>
              <w:t xml:space="preserve"> </w:t>
            </w:r>
            <w:r>
              <w:rPr>
                <w:sz w:val="24"/>
                <w:szCs w:val="24"/>
              </w:rPr>
              <w:t>ir</w:t>
            </w:r>
            <w:r w:rsidRPr="007D2772">
              <w:rPr>
                <w:sz w:val="24"/>
                <w:szCs w:val="24"/>
              </w:rPr>
              <w:t xml:space="preserve"> izstrādāt</w:t>
            </w:r>
            <w:r>
              <w:rPr>
                <w:sz w:val="24"/>
                <w:szCs w:val="24"/>
              </w:rPr>
              <w:t>i</w:t>
            </w:r>
            <w:r w:rsidRPr="007D2772">
              <w:rPr>
                <w:sz w:val="24"/>
                <w:szCs w:val="24"/>
              </w:rPr>
              <w:t xml:space="preserve"> atbilstoši Ministru kabineta 2009. gada 22. septembra sēdē (prot. Nr. 61, 2§)</w:t>
            </w:r>
            <w:r w:rsidR="00A57C5F">
              <w:rPr>
                <w:sz w:val="24"/>
                <w:szCs w:val="24"/>
              </w:rPr>
              <w:t xml:space="preserve"> (turpmāk – </w:t>
            </w:r>
            <w:proofErr w:type="spellStart"/>
            <w:r w:rsidR="00A57C5F">
              <w:rPr>
                <w:sz w:val="24"/>
                <w:szCs w:val="24"/>
              </w:rPr>
              <w:t>Protoklollēmums</w:t>
            </w:r>
            <w:proofErr w:type="spellEnd"/>
            <w:r w:rsidR="00A57C5F">
              <w:rPr>
                <w:sz w:val="24"/>
                <w:szCs w:val="24"/>
              </w:rPr>
              <w:t>)</w:t>
            </w:r>
            <w:r w:rsidRPr="007D2772">
              <w:rPr>
                <w:sz w:val="24"/>
                <w:szCs w:val="24"/>
              </w:rPr>
              <w:t xml:space="preserve"> norādītajam uzdevumam Ekonomikas ministrijai izstrādāt Eirokodeksa standartu nacionālo ieviešanas plānu 2012. – 2015. gadam, kas paredz plānā iekļaut pasākumus, kuri nav īstenoti atbilstoši Eirokodeksa standartu nacionālajam ieviešanas plānam 2008.  – 2011. gadam</w:t>
            </w:r>
            <w:r w:rsidR="00470187">
              <w:rPr>
                <w:sz w:val="24"/>
                <w:szCs w:val="24"/>
              </w:rPr>
              <w:t>.</w:t>
            </w:r>
          </w:p>
          <w:p w:rsidR="00470187" w:rsidRDefault="00470187" w:rsidP="002B7601">
            <w:pPr>
              <w:pStyle w:val="FootnoteText"/>
              <w:ind w:left="129" w:right="127" w:firstLine="142"/>
              <w:jc w:val="both"/>
              <w:rPr>
                <w:sz w:val="24"/>
                <w:szCs w:val="24"/>
              </w:rPr>
            </w:pPr>
            <w:r>
              <w:rPr>
                <w:sz w:val="24"/>
                <w:szCs w:val="24"/>
              </w:rPr>
              <w:t>Apkopojot Eirokodeks</w:t>
            </w:r>
            <w:r w:rsidR="00576952">
              <w:rPr>
                <w:sz w:val="24"/>
                <w:szCs w:val="24"/>
              </w:rPr>
              <w:t xml:space="preserve">a ieviešanai veicamos pasākumus </w:t>
            </w:r>
            <w:r w:rsidR="00576952" w:rsidRPr="00576952">
              <w:rPr>
                <w:sz w:val="24"/>
                <w:szCs w:val="24"/>
                <w:u w:val="single"/>
              </w:rPr>
              <w:t xml:space="preserve">un ņemot vērā, ka </w:t>
            </w:r>
            <w:proofErr w:type="spellStart"/>
            <w:r w:rsidR="00576952" w:rsidRPr="00576952">
              <w:rPr>
                <w:sz w:val="24"/>
                <w:szCs w:val="24"/>
                <w:u w:val="single"/>
              </w:rPr>
              <w:t>Eirokodeksu</w:t>
            </w:r>
            <w:proofErr w:type="spellEnd"/>
            <w:r w:rsidR="00576952" w:rsidRPr="00576952">
              <w:rPr>
                <w:sz w:val="24"/>
                <w:szCs w:val="24"/>
                <w:u w:val="single"/>
              </w:rPr>
              <w:t xml:space="preserve"> standartu ieviešanai 2012. gadā nav pieejami valsts budžeta līdzekļi</w:t>
            </w:r>
            <w:r w:rsidR="00576952">
              <w:rPr>
                <w:sz w:val="24"/>
                <w:szCs w:val="24"/>
              </w:rPr>
              <w:t>,</w:t>
            </w:r>
            <w:r>
              <w:rPr>
                <w:sz w:val="24"/>
                <w:szCs w:val="24"/>
              </w:rPr>
              <w:t xml:space="preserve"> tika konstatēts, ka iespējams pilnvērtīgi ieviest Eirokodeksa standartiem atbilstošu projektēšanu līdz </w:t>
            </w:r>
            <w:r w:rsidRPr="001E72E4">
              <w:rPr>
                <w:sz w:val="24"/>
                <w:szCs w:val="24"/>
                <w:u w:val="single"/>
              </w:rPr>
              <w:t>201</w:t>
            </w:r>
            <w:r w:rsidR="001E72E4" w:rsidRPr="001E72E4">
              <w:rPr>
                <w:sz w:val="24"/>
                <w:szCs w:val="24"/>
                <w:u w:val="single"/>
              </w:rPr>
              <w:t>4</w:t>
            </w:r>
            <w:r>
              <w:rPr>
                <w:sz w:val="24"/>
                <w:szCs w:val="24"/>
              </w:rPr>
              <w:t>. gada beigām, līdz ar to izstrādātā plān</w:t>
            </w:r>
            <w:r w:rsidR="00576952">
              <w:rPr>
                <w:sz w:val="24"/>
                <w:szCs w:val="24"/>
              </w:rPr>
              <w:t xml:space="preserve">a </w:t>
            </w:r>
            <w:r w:rsidR="00576952" w:rsidRPr="00576952">
              <w:rPr>
                <w:sz w:val="24"/>
                <w:szCs w:val="24"/>
                <w:u w:val="single"/>
              </w:rPr>
              <w:t xml:space="preserve">darbības </w:t>
            </w:r>
            <w:r w:rsidRPr="00576952">
              <w:rPr>
                <w:sz w:val="24"/>
                <w:szCs w:val="24"/>
                <w:u w:val="single"/>
              </w:rPr>
              <w:t xml:space="preserve">termiņš </w:t>
            </w:r>
            <w:r w:rsidR="00576952" w:rsidRPr="00576952">
              <w:rPr>
                <w:sz w:val="24"/>
                <w:szCs w:val="24"/>
                <w:u w:val="single"/>
              </w:rPr>
              <w:t xml:space="preserve">noteikts no 2013. līdz </w:t>
            </w:r>
            <w:r w:rsidRPr="00576952">
              <w:rPr>
                <w:sz w:val="24"/>
                <w:szCs w:val="24"/>
                <w:u w:val="single"/>
              </w:rPr>
              <w:t xml:space="preserve"> 201</w:t>
            </w:r>
            <w:r w:rsidR="001E72E4" w:rsidRPr="00576952">
              <w:rPr>
                <w:sz w:val="24"/>
                <w:szCs w:val="24"/>
                <w:u w:val="single"/>
              </w:rPr>
              <w:t>4</w:t>
            </w:r>
            <w:r w:rsidRPr="00576952">
              <w:rPr>
                <w:sz w:val="24"/>
                <w:szCs w:val="24"/>
                <w:u w:val="single"/>
              </w:rPr>
              <w:t>. gad</w:t>
            </w:r>
            <w:r w:rsidR="00576952" w:rsidRPr="00576952">
              <w:rPr>
                <w:sz w:val="24"/>
                <w:szCs w:val="24"/>
                <w:u w:val="single"/>
              </w:rPr>
              <w:t>am</w:t>
            </w:r>
            <w:r>
              <w:rPr>
                <w:sz w:val="24"/>
                <w:szCs w:val="24"/>
              </w:rPr>
              <w:t xml:space="preserve">, nevis </w:t>
            </w:r>
            <w:r w:rsidR="00576952">
              <w:rPr>
                <w:sz w:val="24"/>
                <w:szCs w:val="24"/>
              </w:rPr>
              <w:t>no 2012. līdz 2015. gadam</w:t>
            </w:r>
            <w:r>
              <w:rPr>
                <w:sz w:val="24"/>
                <w:szCs w:val="24"/>
              </w:rPr>
              <w:t xml:space="preserve">, kā tas tika noteikts Protokollēmumā. </w:t>
            </w:r>
          </w:p>
          <w:p w:rsidR="00765BE4" w:rsidRPr="007D2772" w:rsidRDefault="00765BE4" w:rsidP="002B7601">
            <w:pPr>
              <w:pStyle w:val="FootnoteText"/>
              <w:ind w:left="129" w:right="127" w:firstLine="142"/>
              <w:jc w:val="both"/>
              <w:rPr>
                <w:sz w:val="24"/>
                <w:szCs w:val="24"/>
              </w:rPr>
            </w:pPr>
            <w:r>
              <w:rPr>
                <w:sz w:val="24"/>
                <w:szCs w:val="24"/>
              </w:rPr>
              <w:t xml:space="preserve">Ņemot vērā augstāk minēto, Ministru kabineta 2008. gada 29. jūlija rīkojuma Nr. 455 (prot.53, 49.§) 7. punktā Ekonomikas ministrijai dotais uzdevums 2012. gadā sagatavot informatīvo ziņojumu par plāna izpildi, ir iekļauts Plāna situācijas aprakstā un Plāna 2. sadaļā tiek </w:t>
            </w:r>
            <w:r w:rsidR="008E5609">
              <w:rPr>
                <w:sz w:val="24"/>
                <w:szCs w:val="24"/>
              </w:rPr>
              <w:t>sniegta informācija par Eirokodeksa standartu ieviešanu 2008.</w:t>
            </w:r>
            <w:r w:rsidR="008E5609">
              <w:rPr>
                <w:sz w:val="24"/>
                <w:szCs w:val="24"/>
              </w:rPr>
              <w:noBreakHyphen/>
              <w:t>2011. gadā.</w:t>
            </w:r>
            <w:r>
              <w:rPr>
                <w:sz w:val="24"/>
                <w:szCs w:val="24"/>
              </w:rPr>
              <w:t xml:space="preserve"> </w:t>
            </w:r>
          </w:p>
        </w:tc>
      </w:tr>
      <w:tr w:rsidR="004A203F" w:rsidRPr="0061389E" w:rsidTr="00C7236C">
        <w:trPr>
          <w:trHeight w:val="472"/>
          <w:tblCellSpacing w:w="0" w:type="dxa"/>
        </w:trPr>
        <w:tc>
          <w:tcPr>
            <w:tcW w:w="536"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42" w:firstLine="142"/>
              <w:jc w:val="center"/>
            </w:pPr>
            <w:r w:rsidRPr="0061389E">
              <w:t>2.</w:t>
            </w:r>
          </w:p>
        </w:tc>
        <w:tc>
          <w:tcPr>
            <w:tcW w:w="3041"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tabs>
                <w:tab w:val="left" w:pos="170"/>
              </w:tabs>
              <w:ind w:left="170" w:right="127"/>
              <w:jc w:val="both"/>
            </w:pPr>
            <w:r w:rsidRPr="0061389E">
              <w:t>Pašreizējā situācija un problēmas</w:t>
            </w:r>
          </w:p>
        </w:tc>
        <w:tc>
          <w:tcPr>
            <w:tcW w:w="5524" w:type="dxa"/>
            <w:tcBorders>
              <w:top w:val="outset" w:sz="6" w:space="0" w:color="auto"/>
              <w:left w:val="outset" w:sz="6" w:space="0" w:color="auto"/>
              <w:bottom w:val="outset" w:sz="6" w:space="0" w:color="auto"/>
              <w:right w:val="outset" w:sz="6" w:space="0" w:color="auto"/>
            </w:tcBorders>
            <w:vAlign w:val="center"/>
          </w:tcPr>
          <w:p w:rsidR="008A6169" w:rsidRPr="008A6169" w:rsidRDefault="008A6169" w:rsidP="002B7601">
            <w:pPr>
              <w:pStyle w:val="naiskr"/>
              <w:ind w:left="129" w:right="127" w:firstLine="129"/>
              <w:jc w:val="both"/>
              <w:rPr>
                <w:iCs/>
              </w:rPr>
            </w:pPr>
            <w:proofErr w:type="spellStart"/>
            <w:r w:rsidRPr="008A6169">
              <w:rPr>
                <w:iCs/>
              </w:rPr>
              <w:t>Eirokodeksu</w:t>
            </w:r>
            <w:proofErr w:type="spellEnd"/>
            <w:r w:rsidRPr="008A6169">
              <w:rPr>
                <w:iCs/>
              </w:rPr>
              <w:t xml:space="preserve"> ieviešana laika posmā no 2008. gada līdz 2011. gadam notika saskaņā ar Plānu 2008. – 2011. gadam. </w:t>
            </w:r>
          </w:p>
          <w:p w:rsidR="008A6169" w:rsidRPr="008A6169" w:rsidRDefault="008A6169" w:rsidP="002B7601">
            <w:pPr>
              <w:pStyle w:val="naiskr"/>
              <w:ind w:left="129" w:right="127" w:firstLine="129"/>
              <w:jc w:val="both"/>
              <w:rPr>
                <w:iCs/>
              </w:rPr>
            </w:pPr>
            <w:r w:rsidRPr="008A6169">
              <w:rPr>
                <w:iCs/>
              </w:rPr>
              <w:t>Eirokodeksa standartu ieviešana tika apgrūtināta un kavēta, ievērojot to, ka 2009. gadā Eirokodeksa tērauda konstrukciju projektēšanas standartu ieviešanai plānotā uzdevuma izpildei izsludinātajā publiskajā iepirkumā pretendents norādījis ievērojami augstāku cenu nekā tika paredzēts valsts budžeta ietvaros, kā arī to, ka no valsts budžeta plānotajā termiņā netika piešķirti līdzekļi Eirokodeksa standartu tulkošanai un nacionālo pielikumu izstrādei.</w:t>
            </w:r>
          </w:p>
          <w:p w:rsidR="008A6169" w:rsidRPr="008A6169" w:rsidRDefault="008A6169" w:rsidP="002B7601">
            <w:pPr>
              <w:pStyle w:val="naiskr"/>
              <w:ind w:left="129" w:right="127" w:firstLine="129"/>
              <w:jc w:val="both"/>
              <w:rPr>
                <w:iCs/>
              </w:rPr>
            </w:pPr>
            <w:r w:rsidRPr="008A6169">
              <w:rPr>
                <w:iCs/>
              </w:rPr>
              <w:t xml:space="preserve">Lemjot par 2011. gada budžetu, tajā netika paredzēti </w:t>
            </w:r>
            <w:r w:rsidRPr="008A6169">
              <w:rPr>
                <w:iCs/>
              </w:rPr>
              <w:lastRenderedPageBreak/>
              <w:t xml:space="preserve">līdzekļi Plāna 2008. – 2011. gadam, savukārt pēc Ekonomikas ministrijas ierosinājuma līdz ar 2011. gada budžeta grozījumiem Eirokodeksa standartu ieviešanai tika piešķirts finansējums no Ekonomikas ministrijas maksas pakalpojumu atlikuma uz 2011. gada 1. janvāri. Tādējādi 2011. gadā Ekonomikas ministrija veica publisko iepirkumu Eirokodeksa standartu adaptācijai tērauda konstrukciju, koka konstrukciju un </w:t>
            </w:r>
            <w:proofErr w:type="spellStart"/>
            <w:r w:rsidRPr="008A6169">
              <w:rPr>
                <w:iCs/>
              </w:rPr>
              <w:t>ģeotehniskās</w:t>
            </w:r>
            <w:proofErr w:type="spellEnd"/>
            <w:r w:rsidRPr="008A6169">
              <w:rPr>
                <w:iCs/>
              </w:rPr>
              <w:t xml:space="preserve"> projektēšanas jomā.</w:t>
            </w:r>
          </w:p>
          <w:p w:rsidR="007D2772" w:rsidRDefault="007D2772" w:rsidP="002B7601">
            <w:pPr>
              <w:pStyle w:val="naiskr"/>
              <w:ind w:left="129" w:right="127" w:firstLine="129"/>
              <w:jc w:val="both"/>
              <w:rPr>
                <w:iCs/>
              </w:rPr>
            </w:pPr>
            <w:r w:rsidRPr="007D2772">
              <w:rPr>
                <w:iCs/>
              </w:rPr>
              <w:t>Pašlaik iztulkoti un reģistrēti LVS sistēmā ir 28 no 58 Eirokodeksa standartiem. Iepirkumu līgumu ietvaros 2011. gadā iztulkoti, bet nereģistrēti ir 12 standarti, kā arī viens LVS nereģistrēts iztulkotais standarts tiek precizēts LVS/STK 30 „Būvniecība” Eirokodeksa apakškomitejas ietvaros. Par trīs standartu tulkojumiem ir noslēgts līgums par tulkošanu 2012. gadā.</w:t>
            </w:r>
          </w:p>
          <w:p w:rsidR="00165B69" w:rsidRPr="0061389E" w:rsidRDefault="00165B69" w:rsidP="002B7601">
            <w:pPr>
              <w:pStyle w:val="naiskr"/>
              <w:ind w:left="129" w:right="127" w:firstLine="129"/>
              <w:jc w:val="both"/>
              <w:rPr>
                <w:iCs/>
              </w:rPr>
            </w:pPr>
            <w:r w:rsidRPr="00165B69">
              <w:rPr>
                <w:iCs/>
              </w:rPr>
              <w:t>Papildus standartu pamatdokumentiem, iepriekšējos gados ir izdoti un Latvijas standarta statusā adaptēti šo standartu 47 labojumi un septiņi papildinājumi. No tiem iztulkoti un LVS reģistrēti ir četri labojumi un viens papildinājums, savukārt iepirkumu ietvaros iztulkoti, bet vēl nereģistrēti LVS statusā ir 12 labojumi un viens papildinājums.</w:t>
            </w:r>
          </w:p>
        </w:tc>
      </w:tr>
      <w:tr w:rsidR="004A203F" w:rsidRPr="0061389E" w:rsidTr="00C7236C">
        <w:trPr>
          <w:trHeight w:val="733"/>
          <w:tblCellSpacing w:w="0" w:type="dxa"/>
        </w:trPr>
        <w:tc>
          <w:tcPr>
            <w:tcW w:w="536"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42" w:firstLine="142"/>
              <w:jc w:val="center"/>
            </w:pPr>
            <w:r w:rsidRPr="0061389E">
              <w:lastRenderedPageBreak/>
              <w:t>3.</w:t>
            </w:r>
          </w:p>
        </w:tc>
        <w:tc>
          <w:tcPr>
            <w:tcW w:w="3041"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70" w:right="127"/>
              <w:jc w:val="both"/>
            </w:pPr>
            <w:r w:rsidRPr="0061389E">
              <w:t>Saistītie politikas ietekmes novērtējumi un pētījumi</w:t>
            </w:r>
          </w:p>
        </w:tc>
        <w:tc>
          <w:tcPr>
            <w:tcW w:w="5524" w:type="dxa"/>
            <w:tcBorders>
              <w:top w:val="outset" w:sz="6" w:space="0" w:color="auto"/>
              <w:left w:val="outset" w:sz="6" w:space="0" w:color="auto"/>
              <w:bottom w:val="outset" w:sz="6" w:space="0" w:color="auto"/>
              <w:right w:val="outset" w:sz="6" w:space="0" w:color="auto"/>
            </w:tcBorders>
            <w:vAlign w:val="center"/>
          </w:tcPr>
          <w:p w:rsidR="004A203F" w:rsidRPr="0061389E" w:rsidRDefault="00D96098" w:rsidP="002B7601">
            <w:pPr>
              <w:pStyle w:val="FootnoteText"/>
              <w:ind w:left="129" w:right="127" w:firstLine="142"/>
              <w:jc w:val="both"/>
              <w:rPr>
                <w:sz w:val="24"/>
                <w:szCs w:val="24"/>
              </w:rPr>
            </w:pPr>
            <w:r w:rsidRPr="0061389E">
              <w:rPr>
                <w:sz w:val="24"/>
                <w:szCs w:val="24"/>
              </w:rPr>
              <w:t>Projekts šo jomu neskar.</w:t>
            </w:r>
          </w:p>
        </w:tc>
      </w:tr>
      <w:tr w:rsidR="004A203F" w:rsidRPr="0061389E" w:rsidTr="00C83A8E">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42" w:firstLine="142"/>
              <w:jc w:val="center"/>
            </w:pPr>
            <w:r w:rsidRPr="0061389E">
              <w:t>4.</w:t>
            </w:r>
          </w:p>
        </w:tc>
        <w:tc>
          <w:tcPr>
            <w:tcW w:w="3041"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F21263">
            <w:pPr>
              <w:pStyle w:val="naiskr"/>
              <w:ind w:left="170" w:right="127"/>
              <w:jc w:val="both"/>
            </w:pPr>
            <w:r w:rsidRPr="0061389E">
              <w:t>Tiesiskā regulējuma mērķis un būtība</w:t>
            </w:r>
          </w:p>
        </w:tc>
        <w:tc>
          <w:tcPr>
            <w:tcW w:w="5524" w:type="dxa"/>
            <w:tcBorders>
              <w:top w:val="outset" w:sz="6" w:space="0" w:color="auto"/>
              <w:left w:val="outset" w:sz="6" w:space="0" w:color="auto"/>
              <w:bottom w:val="outset" w:sz="6" w:space="0" w:color="auto"/>
              <w:right w:val="outset" w:sz="6" w:space="0" w:color="auto"/>
            </w:tcBorders>
            <w:vAlign w:val="center"/>
          </w:tcPr>
          <w:p w:rsidR="008E5609" w:rsidRDefault="008E5609" w:rsidP="002B7601">
            <w:pPr>
              <w:pStyle w:val="naiskr"/>
              <w:ind w:left="129" w:right="127" w:firstLine="142"/>
              <w:jc w:val="both"/>
            </w:pPr>
            <w:r w:rsidRPr="00A57C5F">
              <w:t xml:space="preserve">MK rīkojuma projekts paredz līdz </w:t>
            </w:r>
            <w:r w:rsidRPr="005D5C10">
              <w:rPr>
                <w:u w:val="single"/>
              </w:rPr>
              <w:t>201</w:t>
            </w:r>
            <w:r w:rsidR="005D5C10" w:rsidRPr="005D5C10">
              <w:rPr>
                <w:u w:val="single"/>
              </w:rPr>
              <w:t>4</w:t>
            </w:r>
            <w:r w:rsidRPr="00A57C5F">
              <w:t xml:space="preserve">.gada beigām </w:t>
            </w:r>
            <w:r w:rsidR="00A57C5F" w:rsidRPr="00A57C5F">
              <w:t>nodrošināt Eirokodeksa standartu pilnīgu adaptāciju būvniecību regulējošo normatīvo aktu sistēmā</w:t>
            </w:r>
            <w:r w:rsidR="00A57C5F">
              <w:t xml:space="preserve">, kas netika veikta </w:t>
            </w:r>
            <w:r w:rsidR="00A57C5F" w:rsidRPr="007D2772">
              <w:rPr>
                <w:iCs/>
              </w:rPr>
              <w:t>Eirokodeksa standart</w:t>
            </w:r>
            <w:r w:rsidR="00A57C5F">
              <w:rPr>
                <w:iCs/>
              </w:rPr>
              <w:t>u nacionālā ieviešanas plāna</w:t>
            </w:r>
            <w:r w:rsidR="00A57C5F" w:rsidRPr="007D2772">
              <w:rPr>
                <w:iCs/>
              </w:rPr>
              <w:t xml:space="preserve"> 2008.  – 2011. gadam</w:t>
            </w:r>
            <w:r w:rsidR="00A57C5F">
              <w:rPr>
                <w:iCs/>
              </w:rPr>
              <w:t xml:space="preserve"> ietvaros.</w:t>
            </w:r>
            <w:r w:rsidR="00A57C5F" w:rsidRPr="00A57C5F">
              <w:t xml:space="preserve"> Tādējādi plānots minētajā termiņā </w:t>
            </w:r>
            <w:r w:rsidRPr="00A57C5F">
              <w:t xml:space="preserve">iztulkot un reģistrēt LVS sistēmā 17 standartus, 31 standartu labojumus un 5 standartu papildinājumus, </w:t>
            </w:r>
            <w:r w:rsidR="00A57C5F" w:rsidRPr="00A57C5F">
              <w:t>un</w:t>
            </w:r>
            <w:r w:rsidRPr="00A57C5F">
              <w:t xml:space="preserve"> izstrādāt 26 standartu nacionālos pielikumus, kā arī izstrādāt grozījumus tiesību aktos, paredzot projektēšanu atbilstoši </w:t>
            </w:r>
            <w:proofErr w:type="spellStart"/>
            <w:r w:rsidRPr="00A57C5F">
              <w:t>Eirokodeksu</w:t>
            </w:r>
            <w:proofErr w:type="spellEnd"/>
            <w:r w:rsidRPr="00A57C5F">
              <w:t xml:space="preserve"> standartiem, un informēt būvkonstrukciju projektēšanas profesionāļus par  </w:t>
            </w:r>
            <w:proofErr w:type="spellStart"/>
            <w:r w:rsidRPr="00A57C5F">
              <w:t>Eirokodeksu</w:t>
            </w:r>
            <w:proofErr w:type="spellEnd"/>
            <w:r w:rsidRPr="00A57C5F">
              <w:t xml:space="preserve"> standartiem atbi</w:t>
            </w:r>
            <w:r w:rsidR="002C154E">
              <w:t>lstošas projektēšanas īpatnībām, tādējādi izpildot Protokollēmuma 2.1., 2.2. un 2.3. apakšpunktā norādīto (Plāna 3.1. un 3.2. sadaļa).</w:t>
            </w:r>
          </w:p>
          <w:p w:rsidR="002C154E" w:rsidRDefault="00584AE1" w:rsidP="002B7601">
            <w:pPr>
              <w:pStyle w:val="naiskr"/>
              <w:ind w:left="129" w:right="127" w:firstLine="142"/>
              <w:jc w:val="both"/>
            </w:pPr>
            <w:r>
              <w:t>Ņemot vērā normatīvo aktu izmaiņas iepriekšējos gados, kā arī plānotās būvniecību reglamentējošo normatīvo aktu izmaiņas, Protokollēmuma 2.3. apakšpunktā noteikt</w:t>
            </w:r>
            <w:r w:rsidR="002C154E">
              <w:t>ā prasība izdot būvnormatīvus</w:t>
            </w:r>
            <w:r>
              <w:t xml:space="preserve"> tiek paplašināt</w:t>
            </w:r>
            <w:r w:rsidR="002C154E">
              <w:t>a</w:t>
            </w:r>
            <w:r>
              <w:t>, Plāna 3.2. sadaļā nosakot nepieciešamību izdot gro</w:t>
            </w:r>
            <w:r w:rsidR="002C154E">
              <w:t>z</w:t>
            </w:r>
            <w:r>
              <w:t>ījumus tiesību aktos,</w:t>
            </w:r>
            <w:r w:rsidR="002C154E">
              <w:t xml:space="preserve"> kas</w:t>
            </w:r>
            <w:r>
              <w:t xml:space="preserve"> paredz </w:t>
            </w:r>
            <w:proofErr w:type="spellStart"/>
            <w:r>
              <w:t>Eirokodeksu</w:t>
            </w:r>
            <w:proofErr w:type="spellEnd"/>
            <w:r>
              <w:t xml:space="preserve"> standartiem atbilstošu </w:t>
            </w:r>
            <w:r>
              <w:lastRenderedPageBreak/>
              <w:t>projektēšanu</w:t>
            </w:r>
            <w:r w:rsidR="002C154E">
              <w:t>.</w:t>
            </w:r>
            <w:r w:rsidR="0071319D">
              <w:t xml:space="preserve"> </w:t>
            </w:r>
          </w:p>
          <w:p w:rsidR="002C154E" w:rsidRDefault="002C154E" w:rsidP="002B7601">
            <w:pPr>
              <w:pStyle w:val="naiskr"/>
              <w:ind w:left="129" w:right="127" w:firstLine="142"/>
              <w:jc w:val="both"/>
            </w:pPr>
            <w:r>
              <w:t>Proto</w:t>
            </w:r>
            <w:r w:rsidR="004601ED">
              <w:t>k</w:t>
            </w:r>
            <w:r>
              <w:t>ollēmuma 2.4. apakšpunktā ir norādīta nepieciešamība izstrādāt mācību grāmatu manuskriptus un sagatavot metodiskos materiālus.</w:t>
            </w:r>
          </w:p>
          <w:p w:rsidR="009F0AF4" w:rsidRPr="0061389E" w:rsidRDefault="002C154E" w:rsidP="002B7601">
            <w:pPr>
              <w:pStyle w:val="naiskr"/>
              <w:ind w:left="129" w:right="127" w:firstLine="142"/>
              <w:jc w:val="both"/>
            </w:pPr>
            <w:r>
              <w:t>Ņemot vērā sagatavotos metodiskos materiālus un nozares paustos viedokļus, l</w:t>
            </w:r>
            <w:r w:rsidR="00891E25">
              <w:t xml:space="preserve">īdz ar 2009. gada 30. septembra MK rīkojumu Nr.672 (prot.Nr.61, 2.§) no </w:t>
            </w:r>
            <w:r w:rsidR="00891E25" w:rsidRPr="007D2772">
              <w:rPr>
                <w:iCs/>
              </w:rPr>
              <w:t>Eirokodeksa standart</w:t>
            </w:r>
            <w:r w:rsidR="00891E25">
              <w:rPr>
                <w:iCs/>
              </w:rPr>
              <w:t>u nacionālajā ieviešanas plānā</w:t>
            </w:r>
            <w:r w:rsidR="00891E25" w:rsidRPr="007D2772">
              <w:rPr>
                <w:iCs/>
              </w:rPr>
              <w:t xml:space="preserve"> 2008.  – 2011. gadam</w:t>
            </w:r>
            <w:r w:rsidR="00891E25">
              <w:rPr>
                <w:iCs/>
              </w:rPr>
              <w:t xml:space="preserve"> ietvertajiem uzdevumiem tika </w:t>
            </w:r>
            <w:r>
              <w:rPr>
                <w:iCs/>
              </w:rPr>
              <w:t>svītrota</w:t>
            </w:r>
            <w:r w:rsidR="00891E25">
              <w:rPr>
                <w:iCs/>
              </w:rPr>
              <w:t xml:space="preserve"> </w:t>
            </w:r>
            <w:r>
              <w:rPr>
                <w:iCs/>
              </w:rPr>
              <w:t>paredzētā darbība</w:t>
            </w:r>
            <w:r w:rsidR="00891E25">
              <w:rPr>
                <w:iCs/>
              </w:rPr>
              <w:t xml:space="preserve"> izstrādāt mācību grāmatas</w:t>
            </w:r>
            <w:r>
              <w:rPr>
                <w:iCs/>
              </w:rPr>
              <w:t>.</w:t>
            </w:r>
            <w:r w:rsidR="00891E25">
              <w:rPr>
                <w:iCs/>
              </w:rPr>
              <w:t xml:space="preserve"> </w:t>
            </w:r>
            <w:r>
              <w:rPr>
                <w:iCs/>
              </w:rPr>
              <w:t xml:space="preserve">Tāpat minētajā rīkojumā </w:t>
            </w:r>
            <w:r w:rsidR="00891E25">
              <w:rPr>
                <w:iCs/>
              </w:rPr>
              <w:t>ietvert</w:t>
            </w:r>
            <w:r>
              <w:rPr>
                <w:iCs/>
              </w:rPr>
              <w:t>a atzīme par to</w:t>
            </w:r>
            <w:r w:rsidR="00891E25">
              <w:rPr>
                <w:iCs/>
              </w:rPr>
              <w:t>, ka uzdevums sagatavot metodiskos materiālus ir izpildīts (norādīts Plāna 2. sadaļā)</w:t>
            </w:r>
            <w:r>
              <w:rPr>
                <w:iCs/>
              </w:rPr>
              <w:t>.</w:t>
            </w:r>
          </w:p>
        </w:tc>
      </w:tr>
      <w:tr w:rsidR="004A203F" w:rsidRPr="0061389E" w:rsidTr="00C7236C">
        <w:trPr>
          <w:trHeight w:val="476"/>
          <w:tblCellSpacing w:w="0" w:type="dxa"/>
        </w:trPr>
        <w:tc>
          <w:tcPr>
            <w:tcW w:w="536"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42" w:firstLine="142"/>
              <w:jc w:val="center"/>
            </w:pPr>
            <w:r w:rsidRPr="0061389E">
              <w:lastRenderedPageBreak/>
              <w:t>5.</w:t>
            </w:r>
          </w:p>
        </w:tc>
        <w:tc>
          <w:tcPr>
            <w:tcW w:w="3041"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70" w:right="127"/>
              <w:jc w:val="both"/>
            </w:pPr>
            <w:r w:rsidRPr="0061389E">
              <w:t>Projekta izstrādē iesaistītās institūcijas</w:t>
            </w:r>
          </w:p>
        </w:tc>
        <w:tc>
          <w:tcPr>
            <w:tcW w:w="5524" w:type="dxa"/>
            <w:tcBorders>
              <w:top w:val="outset" w:sz="6" w:space="0" w:color="auto"/>
              <w:left w:val="outset" w:sz="6" w:space="0" w:color="auto"/>
              <w:bottom w:val="outset" w:sz="6" w:space="0" w:color="auto"/>
              <w:right w:val="outset" w:sz="6" w:space="0" w:color="auto"/>
            </w:tcBorders>
            <w:vAlign w:val="center"/>
          </w:tcPr>
          <w:p w:rsidR="00F9704A" w:rsidRPr="0061389E" w:rsidRDefault="004F7E7B" w:rsidP="002B7601">
            <w:pPr>
              <w:pStyle w:val="naiskr"/>
              <w:ind w:left="129" w:right="127" w:firstLine="142"/>
              <w:jc w:val="both"/>
            </w:pPr>
            <w:r>
              <w:t>Standartizācijas tehniskā komiteja LVS/STK </w:t>
            </w:r>
            <w:r w:rsidR="009F0AF4">
              <w:t>30</w:t>
            </w:r>
            <w:r>
              <w:t xml:space="preserve"> „Būvniecība” (turpmāk – LVS/STK 30)</w:t>
            </w:r>
          </w:p>
        </w:tc>
      </w:tr>
      <w:tr w:rsidR="004A203F" w:rsidRPr="0061389E" w:rsidTr="00C7236C">
        <w:trPr>
          <w:trHeight w:val="725"/>
          <w:tblCellSpacing w:w="0" w:type="dxa"/>
        </w:trPr>
        <w:tc>
          <w:tcPr>
            <w:tcW w:w="536"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42" w:firstLine="142"/>
              <w:jc w:val="center"/>
            </w:pPr>
            <w:r w:rsidRPr="0061389E">
              <w:t>6.</w:t>
            </w:r>
          </w:p>
        </w:tc>
        <w:tc>
          <w:tcPr>
            <w:tcW w:w="3041"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70" w:right="127"/>
              <w:jc w:val="both"/>
            </w:pPr>
            <w:r w:rsidRPr="0061389E">
              <w:t>Iemesli, kādēļ netika nodrošināta sabiedrības līdzdalība</w:t>
            </w:r>
          </w:p>
        </w:tc>
        <w:tc>
          <w:tcPr>
            <w:tcW w:w="5524" w:type="dxa"/>
            <w:tcBorders>
              <w:top w:val="outset" w:sz="6" w:space="0" w:color="auto"/>
              <w:left w:val="outset" w:sz="6" w:space="0" w:color="auto"/>
              <w:bottom w:val="outset" w:sz="6" w:space="0" w:color="auto"/>
              <w:right w:val="outset" w:sz="6" w:space="0" w:color="auto"/>
            </w:tcBorders>
            <w:vAlign w:val="center"/>
          </w:tcPr>
          <w:p w:rsidR="004A203F" w:rsidRPr="0061389E" w:rsidRDefault="00D96098" w:rsidP="002B7601">
            <w:pPr>
              <w:pStyle w:val="naiskr"/>
              <w:ind w:left="129" w:right="127" w:firstLine="142"/>
              <w:jc w:val="both"/>
            </w:pPr>
            <w:r w:rsidRPr="0061389E">
              <w:t>Projekts šo jomu neskar.</w:t>
            </w:r>
          </w:p>
        </w:tc>
      </w:tr>
      <w:tr w:rsidR="004A203F" w:rsidRPr="0061389E" w:rsidTr="00C7236C">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42" w:firstLine="142"/>
              <w:jc w:val="center"/>
            </w:pPr>
            <w:r w:rsidRPr="0061389E">
              <w:t>7.</w:t>
            </w:r>
          </w:p>
        </w:tc>
        <w:tc>
          <w:tcPr>
            <w:tcW w:w="3041"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70" w:right="127"/>
              <w:jc w:val="both"/>
            </w:pPr>
            <w:r w:rsidRPr="0061389E">
              <w:t>Cita informācija</w:t>
            </w:r>
          </w:p>
        </w:tc>
        <w:tc>
          <w:tcPr>
            <w:tcW w:w="5524"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2B7601">
            <w:pPr>
              <w:pStyle w:val="naiskr"/>
              <w:ind w:left="129" w:right="127" w:firstLine="142"/>
              <w:jc w:val="both"/>
            </w:pPr>
            <w:r w:rsidRPr="0061389E">
              <w:t>Nav</w:t>
            </w:r>
          </w:p>
        </w:tc>
      </w:tr>
    </w:tbl>
    <w:p w:rsidR="005D5C10" w:rsidRDefault="005D5C10" w:rsidP="0061389E">
      <w:pPr>
        <w:pStyle w:val="naislab"/>
        <w:jc w:val="center"/>
        <w:outlineLvl w:val="0"/>
        <w:rPr>
          <w:b/>
        </w:rPr>
      </w:pPr>
    </w:p>
    <w:p w:rsidR="004601ED" w:rsidRDefault="004601ED" w:rsidP="0061389E">
      <w:pPr>
        <w:pStyle w:val="naislab"/>
        <w:jc w:val="center"/>
        <w:outlineLvl w:val="0"/>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2"/>
        <w:gridCol w:w="3035"/>
        <w:gridCol w:w="5524"/>
      </w:tblGrid>
      <w:tr w:rsidR="004A203F" w:rsidRPr="0061389E" w:rsidTr="002B7601">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4A203F" w:rsidRPr="0061389E" w:rsidRDefault="00D20FF4" w:rsidP="0061389E">
            <w:pPr>
              <w:pStyle w:val="naisnod"/>
              <w:keepNext/>
              <w:keepLines/>
            </w:pPr>
            <w:r w:rsidRPr="0061389E">
              <w:br w:type="page"/>
            </w:r>
            <w:r w:rsidR="004A203F" w:rsidRPr="0061389E">
              <w:t> II. Tiesību akta projekta ietekme uz sabiedrību</w:t>
            </w:r>
          </w:p>
        </w:tc>
      </w:tr>
      <w:tr w:rsidR="004A203F" w:rsidRPr="0061389E" w:rsidTr="002B7601">
        <w:trPr>
          <w:trHeight w:val="467"/>
          <w:tblCellSpacing w:w="0" w:type="dxa"/>
        </w:trPr>
        <w:tc>
          <w:tcPr>
            <w:tcW w:w="542"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keepNext/>
              <w:keepLines/>
              <w:jc w:val="center"/>
            </w:pPr>
            <w:r w:rsidRPr="0061389E">
              <w:t>1.</w:t>
            </w:r>
          </w:p>
        </w:tc>
        <w:tc>
          <w:tcPr>
            <w:tcW w:w="3035"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keepNext/>
              <w:keepLines/>
              <w:spacing w:before="0" w:after="0"/>
              <w:ind w:left="170"/>
              <w:jc w:val="both"/>
            </w:pPr>
            <w:r w:rsidRPr="0061389E">
              <w:t xml:space="preserve">Sabiedrības </w:t>
            </w:r>
            <w:proofErr w:type="spellStart"/>
            <w:r w:rsidRPr="0061389E">
              <w:t>mērķgrupa</w:t>
            </w:r>
            <w:proofErr w:type="spellEnd"/>
          </w:p>
        </w:tc>
        <w:tc>
          <w:tcPr>
            <w:tcW w:w="5524" w:type="dxa"/>
            <w:tcBorders>
              <w:top w:val="outset" w:sz="6" w:space="0" w:color="auto"/>
              <w:left w:val="outset" w:sz="6" w:space="0" w:color="auto"/>
              <w:bottom w:val="outset" w:sz="6" w:space="0" w:color="auto"/>
              <w:right w:val="outset" w:sz="6" w:space="0" w:color="auto"/>
            </w:tcBorders>
            <w:vAlign w:val="center"/>
          </w:tcPr>
          <w:p w:rsidR="004A203F" w:rsidRPr="0061389E" w:rsidRDefault="007D2772" w:rsidP="00881089">
            <w:pPr>
              <w:pStyle w:val="naiskr"/>
              <w:keepNext/>
              <w:keepLines/>
              <w:spacing w:before="0" w:after="0"/>
              <w:ind w:left="129" w:right="84" w:firstLine="140"/>
              <w:jc w:val="both"/>
            </w:pPr>
            <w:r>
              <w:t>Ministru kabineta rīkojuma</w:t>
            </w:r>
            <w:r w:rsidR="00825D2A" w:rsidRPr="0061389E">
              <w:t xml:space="preserve"> projekta tiesiskais regulējums attiecas uz būvniecības procesā iesaistītām fiziskām un juridiskām personām būvprojektēšanas stadijā.</w:t>
            </w:r>
          </w:p>
        </w:tc>
      </w:tr>
      <w:tr w:rsidR="004A203F" w:rsidRPr="0061389E" w:rsidTr="002B7601">
        <w:trPr>
          <w:trHeight w:val="523"/>
          <w:tblCellSpacing w:w="0" w:type="dxa"/>
        </w:trPr>
        <w:tc>
          <w:tcPr>
            <w:tcW w:w="542"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jc w:val="center"/>
            </w:pPr>
            <w:r w:rsidRPr="0061389E">
              <w:t>2.</w:t>
            </w:r>
          </w:p>
        </w:tc>
        <w:tc>
          <w:tcPr>
            <w:tcW w:w="3035"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70" w:right="127"/>
              <w:jc w:val="both"/>
            </w:pPr>
            <w:r w:rsidRPr="0061389E">
              <w:t xml:space="preserve">Citas sabiedrības grupas (bez </w:t>
            </w:r>
            <w:proofErr w:type="spellStart"/>
            <w:r w:rsidRPr="0061389E">
              <w:t>mērķgrupas</w:t>
            </w:r>
            <w:proofErr w:type="spellEnd"/>
            <w:r w:rsidRPr="0061389E">
              <w:t>), kuras tiesiskais regulējums arī ietekmē vai varētu ietekmēt</w:t>
            </w:r>
          </w:p>
        </w:tc>
        <w:tc>
          <w:tcPr>
            <w:tcW w:w="5524" w:type="dxa"/>
            <w:tcBorders>
              <w:top w:val="outset" w:sz="6" w:space="0" w:color="auto"/>
              <w:left w:val="outset" w:sz="6" w:space="0" w:color="auto"/>
              <w:bottom w:val="outset" w:sz="6" w:space="0" w:color="auto"/>
              <w:right w:val="outset" w:sz="6" w:space="0" w:color="auto"/>
            </w:tcBorders>
            <w:vAlign w:val="center"/>
          </w:tcPr>
          <w:p w:rsidR="004A203F" w:rsidRPr="0061389E" w:rsidRDefault="00592F0A" w:rsidP="0061389E">
            <w:pPr>
              <w:pStyle w:val="naiskr"/>
              <w:ind w:left="129" w:right="84" w:firstLine="140"/>
              <w:jc w:val="both"/>
            </w:pPr>
            <w:r w:rsidRPr="0061389E">
              <w:t>Projekts šo jomu neskar.</w:t>
            </w:r>
          </w:p>
        </w:tc>
      </w:tr>
      <w:tr w:rsidR="004A203F" w:rsidRPr="0061389E" w:rsidTr="002B7601">
        <w:trPr>
          <w:trHeight w:val="517"/>
          <w:tblCellSpacing w:w="0" w:type="dxa"/>
        </w:trPr>
        <w:tc>
          <w:tcPr>
            <w:tcW w:w="542"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jc w:val="center"/>
            </w:pPr>
            <w:r w:rsidRPr="0061389E">
              <w:t>3.</w:t>
            </w:r>
          </w:p>
        </w:tc>
        <w:tc>
          <w:tcPr>
            <w:tcW w:w="3035"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70" w:right="127"/>
              <w:jc w:val="both"/>
            </w:pPr>
            <w:r w:rsidRPr="0061389E">
              <w:t>Tiesiskā regulējuma finansiālā ietekme</w:t>
            </w:r>
          </w:p>
        </w:tc>
        <w:tc>
          <w:tcPr>
            <w:tcW w:w="5524" w:type="dxa"/>
            <w:tcBorders>
              <w:top w:val="outset" w:sz="6" w:space="0" w:color="auto"/>
              <w:left w:val="outset" w:sz="6" w:space="0" w:color="auto"/>
              <w:bottom w:val="outset" w:sz="6" w:space="0" w:color="auto"/>
              <w:right w:val="outset" w:sz="6" w:space="0" w:color="auto"/>
            </w:tcBorders>
            <w:vAlign w:val="center"/>
          </w:tcPr>
          <w:p w:rsidR="004A203F" w:rsidRPr="00576952" w:rsidRDefault="00576952" w:rsidP="00432A2A">
            <w:pPr>
              <w:pStyle w:val="naiskr"/>
              <w:ind w:left="129" w:right="84" w:firstLine="140"/>
              <w:jc w:val="both"/>
              <w:rPr>
                <w:u w:val="single"/>
              </w:rPr>
            </w:pPr>
            <w:r w:rsidRPr="00056688">
              <w:t xml:space="preserve">Kopējais </w:t>
            </w:r>
            <w:r w:rsidRPr="00056688">
              <w:rPr>
                <w:u w:val="single"/>
              </w:rPr>
              <w:t>plāna izpildei plānotais finansējuma apjoms</w:t>
            </w:r>
            <w:r w:rsidRPr="00056688">
              <w:t xml:space="preserve"> ir </w:t>
            </w:r>
            <w:r>
              <w:rPr>
                <w:b/>
                <w:u w:val="single"/>
              </w:rPr>
              <w:t>81646</w:t>
            </w:r>
            <w:r w:rsidRPr="00056688">
              <w:rPr>
                <w:b/>
              </w:rPr>
              <w:t xml:space="preserve"> LVL</w:t>
            </w:r>
            <w:r w:rsidRPr="00056688">
              <w:t xml:space="preserve">, tai skaitā </w:t>
            </w:r>
            <w:r w:rsidRPr="00397E5F">
              <w:rPr>
                <w:u w:val="single"/>
              </w:rPr>
              <w:t>5400 LVL</w:t>
            </w:r>
            <w:r w:rsidRPr="00056688">
              <w:t>, kuri paredzēti Satiksmes ministrijas kompetencē esošu projektēšanas standartu adaptācijai</w:t>
            </w:r>
            <w:r>
              <w:t xml:space="preserve">. </w:t>
            </w:r>
            <w:r w:rsidRPr="00A74E05">
              <w:rPr>
                <w:u w:val="single"/>
              </w:rPr>
              <w:t xml:space="preserve">Plāna izpildei </w:t>
            </w:r>
            <w:r w:rsidRPr="00A74E05">
              <w:rPr>
                <w:b/>
                <w:i/>
                <w:u w:val="single"/>
              </w:rPr>
              <w:t>2013. gadā</w:t>
            </w:r>
            <w:r w:rsidRPr="00A74E05">
              <w:rPr>
                <w:u w:val="single"/>
              </w:rPr>
              <w:t xml:space="preserve"> nepieciešami līdzekļi </w:t>
            </w:r>
            <w:r w:rsidRPr="00A74E05">
              <w:rPr>
                <w:b/>
                <w:i/>
                <w:u w:val="single"/>
              </w:rPr>
              <w:t>34123 LVL</w:t>
            </w:r>
            <w:r w:rsidRPr="00D807F4">
              <w:rPr>
                <w:u w:val="single"/>
              </w:rPr>
              <w:t xml:space="preserve"> </w:t>
            </w:r>
            <w:r>
              <w:t xml:space="preserve">apmērā. Savukārt </w:t>
            </w:r>
            <w:r w:rsidRPr="0070677C">
              <w:rPr>
                <w:u w:val="single"/>
              </w:rPr>
              <w:t>2014. gadā</w:t>
            </w:r>
            <w:r>
              <w:t xml:space="preserve"> plāna izpildei no valsts budžeta nepieciešams finansējums </w:t>
            </w:r>
            <w:r w:rsidRPr="00A74E05">
              <w:rPr>
                <w:b/>
                <w:i/>
                <w:u w:val="single"/>
              </w:rPr>
              <w:t>47523 LVL</w:t>
            </w:r>
            <w:r>
              <w:t xml:space="preserve"> apmērā. Plāns paredz </w:t>
            </w:r>
            <w:r w:rsidRPr="0070677C">
              <w:rPr>
                <w:u w:val="single"/>
              </w:rPr>
              <w:t>SAMC štata vienības izveidi</w:t>
            </w:r>
            <w:r>
              <w:rPr>
                <w:u w:val="single"/>
              </w:rPr>
              <w:t>, kuras finansēšanai</w:t>
            </w:r>
            <w:r w:rsidRPr="0070677C">
              <w:rPr>
                <w:u w:val="single"/>
              </w:rPr>
              <w:t xml:space="preserve"> </w:t>
            </w:r>
            <w:r w:rsidR="00432A2A">
              <w:rPr>
                <w:u w:val="single"/>
              </w:rPr>
              <w:t>ik gadu</w:t>
            </w:r>
            <w:r w:rsidRPr="0070677C">
              <w:rPr>
                <w:u w:val="single"/>
              </w:rPr>
              <w:t xml:space="preserve"> nepieciešami līdzekļi 14233 LVL apmērā.</w:t>
            </w:r>
          </w:p>
        </w:tc>
      </w:tr>
      <w:tr w:rsidR="004A203F" w:rsidRPr="0061389E" w:rsidTr="002B7601">
        <w:trPr>
          <w:trHeight w:val="517"/>
          <w:tblCellSpacing w:w="0" w:type="dxa"/>
        </w:trPr>
        <w:tc>
          <w:tcPr>
            <w:tcW w:w="542"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jc w:val="center"/>
            </w:pPr>
            <w:r w:rsidRPr="0061389E">
              <w:t>4.</w:t>
            </w:r>
          </w:p>
        </w:tc>
        <w:tc>
          <w:tcPr>
            <w:tcW w:w="3035"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70" w:right="127"/>
              <w:jc w:val="both"/>
            </w:pPr>
            <w:r w:rsidRPr="0061389E">
              <w:t>Tiesiskā regulējuma nefinansiālā ietekme</w:t>
            </w:r>
          </w:p>
        </w:tc>
        <w:tc>
          <w:tcPr>
            <w:tcW w:w="5524" w:type="dxa"/>
            <w:tcBorders>
              <w:top w:val="outset" w:sz="6" w:space="0" w:color="auto"/>
              <w:left w:val="outset" w:sz="6" w:space="0" w:color="auto"/>
              <w:bottom w:val="outset" w:sz="6" w:space="0" w:color="auto"/>
              <w:right w:val="outset" w:sz="6" w:space="0" w:color="auto"/>
            </w:tcBorders>
            <w:vAlign w:val="center"/>
          </w:tcPr>
          <w:p w:rsidR="00A70D5E" w:rsidRPr="0061389E" w:rsidRDefault="004F7E7B" w:rsidP="00576952">
            <w:pPr>
              <w:pStyle w:val="naiskr"/>
              <w:ind w:left="129" w:right="84" w:firstLine="140"/>
              <w:jc w:val="both"/>
            </w:pPr>
            <w:r>
              <w:t xml:space="preserve">Tiek </w:t>
            </w:r>
            <w:r w:rsidRPr="004F7E7B">
              <w:t>nodrošināt</w:t>
            </w:r>
            <w:r>
              <w:t>a</w:t>
            </w:r>
            <w:r w:rsidRPr="004F7E7B">
              <w:t xml:space="preserve"> Eirokodeksa standartu pilnīg</w:t>
            </w:r>
            <w:r w:rsidR="00576952">
              <w:t>a</w:t>
            </w:r>
            <w:r w:rsidRPr="004F7E7B">
              <w:t xml:space="preserve"> adaptācij</w:t>
            </w:r>
            <w:r>
              <w:t>a</w:t>
            </w:r>
            <w:r w:rsidRPr="004F7E7B">
              <w:t xml:space="preserve"> būvniecību regulējošo normatīvo aktu sistēmā un pilnveidot</w:t>
            </w:r>
            <w:r w:rsidR="00576952">
              <w:t>a</w:t>
            </w:r>
            <w:r w:rsidRPr="004F7E7B">
              <w:t xml:space="preserve"> būvniecības nacionālo standartizācijas sistēm</w:t>
            </w:r>
            <w:r w:rsidR="00576952">
              <w:t>a</w:t>
            </w:r>
            <w:r w:rsidRPr="004F7E7B">
              <w:t xml:space="preserve"> Latvijā.</w:t>
            </w:r>
          </w:p>
        </w:tc>
      </w:tr>
      <w:tr w:rsidR="004A203F" w:rsidRPr="0061389E" w:rsidTr="002B7601">
        <w:trPr>
          <w:trHeight w:val="531"/>
          <w:tblCellSpacing w:w="0" w:type="dxa"/>
        </w:trPr>
        <w:tc>
          <w:tcPr>
            <w:tcW w:w="542"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jc w:val="center"/>
            </w:pPr>
            <w:r w:rsidRPr="0061389E">
              <w:lastRenderedPageBreak/>
              <w:t>5.</w:t>
            </w:r>
          </w:p>
        </w:tc>
        <w:tc>
          <w:tcPr>
            <w:tcW w:w="3035"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70" w:right="127"/>
              <w:jc w:val="both"/>
            </w:pPr>
            <w:r w:rsidRPr="0061389E">
              <w:t>Administratīvās procedūras raksturojums</w:t>
            </w:r>
          </w:p>
        </w:tc>
        <w:tc>
          <w:tcPr>
            <w:tcW w:w="5524" w:type="dxa"/>
            <w:tcBorders>
              <w:top w:val="outset" w:sz="6" w:space="0" w:color="auto"/>
              <w:left w:val="outset" w:sz="6" w:space="0" w:color="auto"/>
              <w:bottom w:val="outset" w:sz="6" w:space="0" w:color="auto"/>
              <w:right w:val="outset" w:sz="6" w:space="0" w:color="auto"/>
            </w:tcBorders>
            <w:vAlign w:val="center"/>
          </w:tcPr>
          <w:p w:rsidR="004A203F" w:rsidRPr="0061389E" w:rsidRDefault="00D96098" w:rsidP="0061389E">
            <w:pPr>
              <w:pStyle w:val="naiskr"/>
              <w:ind w:left="129" w:firstLine="140"/>
              <w:jc w:val="both"/>
            </w:pPr>
            <w:r w:rsidRPr="0061389E">
              <w:t>Projekts šo jomu neskar.</w:t>
            </w:r>
          </w:p>
        </w:tc>
      </w:tr>
      <w:tr w:rsidR="004A203F" w:rsidRPr="0061389E" w:rsidTr="002B7601">
        <w:trPr>
          <w:cantSplit/>
          <w:trHeight w:val="357"/>
          <w:tblCellSpacing w:w="0" w:type="dxa"/>
        </w:trPr>
        <w:tc>
          <w:tcPr>
            <w:tcW w:w="542"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jc w:val="center"/>
            </w:pPr>
            <w:r w:rsidRPr="0061389E">
              <w:t>6.</w:t>
            </w:r>
          </w:p>
        </w:tc>
        <w:tc>
          <w:tcPr>
            <w:tcW w:w="3035"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70" w:right="127"/>
              <w:jc w:val="both"/>
            </w:pPr>
            <w:r w:rsidRPr="0061389E">
              <w:t>Administratīvo izmaksu monetārs novērtējums</w:t>
            </w:r>
          </w:p>
        </w:tc>
        <w:tc>
          <w:tcPr>
            <w:tcW w:w="5524" w:type="dxa"/>
            <w:tcBorders>
              <w:top w:val="outset" w:sz="6" w:space="0" w:color="auto"/>
              <w:left w:val="outset" w:sz="6" w:space="0" w:color="auto"/>
              <w:bottom w:val="outset" w:sz="6" w:space="0" w:color="auto"/>
              <w:right w:val="outset" w:sz="6" w:space="0" w:color="auto"/>
            </w:tcBorders>
            <w:vAlign w:val="center"/>
          </w:tcPr>
          <w:p w:rsidR="004A203F" w:rsidRPr="0061389E" w:rsidRDefault="00D96098" w:rsidP="0061389E">
            <w:pPr>
              <w:pStyle w:val="naiskr"/>
              <w:ind w:left="129" w:firstLine="140"/>
              <w:jc w:val="both"/>
            </w:pPr>
            <w:r w:rsidRPr="0061389E">
              <w:t>Projekts šo jomu neskar.</w:t>
            </w:r>
          </w:p>
        </w:tc>
      </w:tr>
      <w:tr w:rsidR="004A203F" w:rsidRPr="0061389E" w:rsidTr="002B7601">
        <w:trPr>
          <w:tblCellSpacing w:w="0" w:type="dxa"/>
        </w:trPr>
        <w:tc>
          <w:tcPr>
            <w:tcW w:w="542"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jc w:val="center"/>
            </w:pPr>
            <w:r w:rsidRPr="0061389E">
              <w:t>7.</w:t>
            </w:r>
          </w:p>
        </w:tc>
        <w:tc>
          <w:tcPr>
            <w:tcW w:w="3035"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70" w:right="127"/>
              <w:jc w:val="both"/>
            </w:pPr>
            <w:r w:rsidRPr="0061389E">
              <w:t>Cita informācija.</w:t>
            </w:r>
          </w:p>
        </w:tc>
        <w:tc>
          <w:tcPr>
            <w:tcW w:w="5524" w:type="dxa"/>
            <w:tcBorders>
              <w:top w:val="outset" w:sz="6" w:space="0" w:color="auto"/>
              <w:left w:val="outset" w:sz="6" w:space="0" w:color="auto"/>
              <w:bottom w:val="outset" w:sz="6" w:space="0" w:color="auto"/>
              <w:right w:val="outset" w:sz="6" w:space="0" w:color="auto"/>
            </w:tcBorders>
            <w:vAlign w:val="center"/>
          </w:tcPr>
          <w:p w:rsidR="004A203F" w:rsidRPr="0061389E" w:rsidRDefault="004A203F" w:rsidP="0061389E">
            <w:pPr>
              <w:pStyle w:val="naiskr"/>
              <w:ind w:left="129" w:firstLine="140"/>
              <w:jc w:val="both"/>
            </w:pPr>
            <w:r w:rsidRPr="0061389E">
              <w:t>Nav</w:t>
            </w:r>
          </w:p>
        </w:tc>
      </w:tr>
    </w:tbl>
    <w:p w:rsidR="008C5649" w:rsidRDefault="008C5649" w:rsidP="0061389E">
      <w:pPr>
        <w:pStyle w:val="naisf"/>
        <w:ind w:firstLine="0"/>
      </w:pPr>
    </w:p>
    <w:p w:rsidR="004601ED" w:rsidRDefault="004601ED" w:rsidP="0061389E">
      <w:pPr>
        <w:pStyle w:val="naisf"/>
        <w:ind w:firstLine="0"/>
      </w:pPr>
    </w:p>
    <w:tbl>
      <w:tblPr>
        <w:tblW w:w="500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84"/>
        <w:gridCol w:w="1336"/>
        <w:gridCol w:w="1338"/>
        <w:gridCol w:w="1386"/>
        <w:gridCol w:w="1386"/>
        <w:gridCol w:w="1386"/>
      </w:tblGrid>
      <w:tr w:rsidR="00D36BE0" w:rsidRPr="0061389E" w:rsidTr="001A72E7">
        <w:trPr>
          <w:cantSplit/>
          <w:trHeight w:val="357"/>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tcPr>
          <w:p w:rsidR="00D36BE0" w:rsidRPr="005D1C03" w:rsidRDefault="00D36BE0" w:rsidP="005D1C03">
            <w:pPr>
              <w:pStyle w:val="naisc"/>
              <w:rPr>
                <w:b/>
                <w:bCs/>
              </w:rPr>
            </w:pPr>
            <w:r w:rsidRPr="005D1C03">
              <w:rPr>
                <w:b/>
                <w:bCs/>
              </w:rPr>
              <w:t>III. Tiesību akta projekta ietekme uz valsts budžetu un pašvaldību budžetiem</w:t>
            </w:r>
          </w:p>
        </w:tc>
      </w:tr>
      <w:tr w:rsidR="00D36BE0" w:rsidRPr="0061389E" w:rsidTr="001A72E7">
        <w:trPr>
          <w:tblCellSpacing w:w="0" w:type="dxa"/>
        </w:trPr>
        <w:tc>
          <w:tcPr>
            <w:tcW w:w="1253" w:type="pct"/>
            <w:vMerge w:val="restart"/>
            <w:tcBorders>
              <w:top w:val="outset" w:sz="6" w:space="0" w:color="auto"/>
              <w:left w:val="outset" w:sz="6" w:space="0" w:color="auto"/>
              <w:right w:val="outset" w:sz="6" w:space="0" w:color="auto"/>
            </w:tcBorders>
            <w:vAlign w:val="center"/>
          </w:tcPr>
          <w:p w:rsidR="00D36BE0" w:rsidRPr="00D36BE0" w:rsidRDefault="00D36BE0" w:rsidP="005D1C03">
            <w:pPr>
              <w:pStyle w:val="naiskr"/>
              <w:jc w:val="center"/>
              <w:rPr>
                <w:b/>
              </w:rPr>
            </w:pPr>
            <w:r w:rsidRPr="00D36BE0">
              <w:rPr>
                <w:b/>
              </w:rPr>
              <w:t>Rādītāji</w:t>
            </w:r>
          </w:p>
        </w:tc>
        <w:tc>
          <w:tcPr>
            <w:tcW w:w="1467" w:type="pct"/>
            <w:gridSpan w:val="2"/>
            <w:vMerge w:val="restart"/>
            <w:tcBorders>
              <w:top w:val="outset" w:sz="6" w:space="0" w:color="auto"/>
              <w:left w:val="outset" w:sz="6" w:space="0" w:color="auto"/>
              <w:right w:val="outset" w:sz="6" w:space="0" w:color="auto"/>
            </w:tcBorders>
            <w:vAlign w:val="center"/>
          </w:tcPr>
          <w:p w:rsidR="00D36BE0" w:rsidRPr="00D36BE0" w:rsidRDefault="00D36BE0" w:rsidP="005D1C03">
            <w:pPr>
              <w:pStyle w:val="naiskr"/>
              <w:ind w:left="170" w:right="127"/>
              <w:jc w:val="center"/>
              <w:rPr>
                <w:b/>
              </w:rPr>
            </w:pPr>
            <w:r w:rsidRPr="00D36BE0">
              <w:rPr>
                <w:b/>
              </w:rPr>
              <w:t>2012. gads</w:t>
            </w:r>
          </w:p>
        </w:tc>
        <w:tc>
          <w:tcPr>
            <w:tcW w:w="2281" w:type="pct"/>
            <w:gridSpan w:val="3"/>
            <w:tcBorders>
              <w:top w:val="outset" w:sz="6" w:space="0" w:color="auto"/>
              <w:left w:val="outset" w:sz="6" w:space="0" w:color="auto"/>
              <w:bottom w:val="outset" w:sz="6" w:space="0" w:color="auto"/>
              <w:right w:val="outset" w:sz="6" w:space="0" w:color="auto"/>
            </w:tcBorders>
            <w:vAlign w:val="center"/>
          </w:tcPr>
          <w:p w:rsidR="00D36BE0" w:rsidRDefault="00D36BE0" w:rsidP="005D1C03">
            <w:pPr>
              <w:pStyle w:val="naiskr"/>
              <w:ind w:left="129" w:firstLine="140"/>
              <w:jc w:val="center"/>
            </w:pPr>
            <w:r>
              <w:t>Turpmākie trīs gadi (tūkst. latu)</w:t>
            </w:r>
          </w:p>
        </w:tc>
      </w:tr>
      <w:tr w:rsidR="00D36BE0" w:rsidRPr="0061389E" w:rsidTr="001A72E7">
        <w:trPr>
          <w:tblCellSpacing w:w="0" w:type="dxa"/>
        </w:trPr>
        <w:tc>
          <w:tcPr>
            <w:tcW w:w="1253" w:type="pct"/>
            <w:vMerge/>
            <w:tcBorders>
              <w:left w:val="outset" w:sz="6" w:space="0" w:color="auto"/>
              <w:right w:val="outset" w:sz="6" w:space="0" w:color="auto"/>
            </w:tcBorders>
            <w:vAlign w:val="center"/>
          </w:tcPr>
          <w:p w:rsidR="00D36BE0" w:rsidRPr="0061389E" w:rsidRDefault="00D36BE0" w:rsidP="005D1C03">
            <w:pPr>
              <w:pStyle w:val="naiskr"/>
              <w:jc w:val="center"/>
            </w:pPr>
          </w:p>
        </w:tc>
        <w:tc>
          <w:tcPr>
            <w:tcW w:w="1467" w:type="pct"/>
            <w:gridSpan w:val="2"/>
            <w:vMerge/>
            <w:tcBorders>
              <w:left w:val="outset" w:sz="6" w:space="0" w:color="auto"/>
              <w:bottom w:val="outset" w:sz="6" w:space="0" w:color="auto"/>
              <w:right w:val="outset" w:sz="6" w:space="0" w:color="auto"/>
            </w:tcBorders>
            <w:vAlign w:val="center"/>
          </w:tcPr>
          <w:p w:rsidR="00D36BE0" w:rsidRPr="0061389E" w:rsidRDefault="00D36BE0" w:rsidP="005D1C03">
            <w:pPr>
              <w:pStyle w:val="naiskr"/>
              <w:ind w:left="170" w:right="127"/>
              <w:jc w:val="center"/>
            </w:pP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rPr>
                <w:b/>
              </w:rPr>
            </w:pPr>
            <w:r w:rsidRPr="00D36BE0">
              <w:rPr>
                <w:b/>
              </w:rPr>
              <w:t>2013.</w:t>
            </w:r>
          </w:p>
        </w:tc>
        <w:tc>
          <w:tcPr>
            <w:tcW w:w="760" w:type="pct"/>
            <w:tcBorders>
              <w:top w:val="outset" w:sz="6" w:space="0" w:color="auto"/>
              <w:left w:val="outset" w:sz="6" w:space="0" w:color="auto"/>
              <w:bottom w:val="outset" w:sz="6" w:space="0" w:color="auto"/>
              <w:right w:val="outset" w:sz="6" w:space="0" w:color="auto"/>
            </w:tcBorders>
          </w:tcPr>
          <w:p w:rsidR="00D36BE0" w:rsidRPr="00D36BE0" w:rsidRDefault="00D36BE0" w:rsidP="005D1C03">
            <w:pPr>
              <w:pStyle w:val="naiskr"/>
              <w:ind w:left="129" w:firstLine="140"/>
              <w:jc w:val="center"/>
              <w:rPr>
                <w:b/>
              </w:rPr>
            </w:pPr>
            <w:r w:rsidRPr="00D36BE0">
              <w:rPr>
                <w:b/>
              </w:rPr>
              <w:t>2014.</w:t>
            </w:r>
          </w:p>
        </w:tc>
        <w:tc>
          <w:tcPr>
            <w:tcW w:w="760" w:type="pct"/>
            <w:tcBorders>
              <w:top w:val="outset" w:sz="6" w:space="0" w:color="auto"/>
              <w:left w:val="outset" w:sz="6" w:space="0" w:color="auto"/>
              <w:bottom w:val="outset" w:sz="6" w:space="0" w:color="auto"/>
              <w:right w:val="outset" w:sz="6" w:space="0" w:color="auto"/>
            </w:tcBorders>
          </w:tcPr>
          <w:p w:rsidR="00D36BE0" w:rsidRPr="00D36BE0" w:rsidRDefault="00D36BE0" w:rsidP="005D1C03">
            <w:pPr>
              <w:pStyle w:val="naiskr"/>
              <w:ind w:left="129" w:firstLine="140"/>
              <w:jc w:val="center"/>
              <w:rPr>
                <w:b/>
              </w:rPr>
            </w:pPr>
            <w:r w:rsidRPr="00D36BE0">
              <w:rPr>
                <w:b/>
              </w:rPr>
              <w:t>2015.</w:t>
            </w:r>
          </w:p>
        </w:tc>
      </w:tr>
      <w:tr w:rsidR="00D36BE0" w:rsidRPr="0061389E" w:rsidTr="00784126">
        <w:trPr>
          <w:tblCellSpacing w:w="0" w:type="dxa"/>
        </w:trPr>
        <w:tc>
          <w:tcPr>
            <w:tcW w:w="1253" w:type="pct"/>
            <w:vMerge/>
            <w:tcBorders>
              <w:left w:val="outset" w:sz="6" w:space="0" w:color="auto"/>
              <w:bottom w:val="outset" w:sz="6" w:space="0" w:color="auto"/>
              <w:right w:val="outset" w:sz="6" w:space="0" w:color="auto"/>
            </w:tcBorders>
            <w:vAlign w:val="center"/>
          </w:tcPr>
          <w:p w:rsidR="00D36BE0" w:rsidRDefault="00D36BE0" w:rsidP="00D36BE0">
            <w:pPr>
              <w:pStyle w:val="naiskr"/>
              <w:jc w:val="center"/>
            </w:pPr>
          </w:p>
        </w:tc>
        <w:tc>
          <w:tcPr>
            <w:tcW w:w="733" w:type="pct"/>
            <w:tcBorders>
              <w:top w:val="outset" w:sz="6" w:space="0" w:color="auto"/>
              <w:left w:val="outset" w:sz="6" w:space="0" w:color="auto"/>
              <w:bottom w:val="outset" w:sz="6" w:space="0" w:color="auto"/>
              <w:right w:val="outset" w:sz="6" w:space="0" w:color="auto"/>
            </w:tcBorders>
            <w:vAlign w:val="center"/>
          </w:tcPr>
          <w:p w:rsidR="00D36BE0" w:rsidRDefault="00D36BE0" w:rsidP="00D36BE0">
            <w:pPr>
              <w:pStyle w:val="naiskr"/>
              <w:ind w:left="170" w:right="127"/>
              <w:jc w:val="center"/>
            </w:pPr>
            <w:r>
              <w:t>Saskaņā ar valsts budžetu kārtējam gadam</w:t>
            </w:r>
          </w:p>
        </w:tc>
        <w:tc>
          <w:tcPr>
            <w:tcW w:w="734" w:type="pct"/>
            <w:tcBorders>
              <w:top w:val="outset" w:sz="6" w:space="0" w:color="auto"/>
              <w:left w:val="outset" w:sz="6" w:space="0" w:color="auto"/>
              <w:bottom w:val="outset" w:sz="6" w:space="0" w:color="auto"/>
              <w:right w:val="outset" w:sz="6" w:space="0" w:color="auto"/>
            </w:tcBorders>
            <w:vAlign w:val="center"/>
          </w:tcPr>
          <w:p w:rsidR="00D36BE0" w:rsidRDefault="00D36BE0" w:rsidP="00D36BE0">
            <w:pPr>
              <w:pStyle w:val="naiskr"/>
              <w:ind w:left="170" w:right="127"/>
              <w:jc w:val="center"/>
            </w:pPr>
            <w:r>
              <w:t>Izmaiņas kārtējā gadā, salīdzinot ar budžetu kārtējam gadam</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Default="00D36BE0" w:rsidP="00D36BE0">
            <w:pPr>
              <w:pStyle w:val="naiskr"/>
              <w:ind w:left="129" w:firstLine="140"/>
              <w:jc w:val="center"/>
            </w:pPr>
            <w:r>
              <w:t>Izmaiņas, salīdzinot ar kārtējo (2012.) gadu</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Default="00D36BE0" w:rsidP="00D36BE0">
            <w:pPr>
              <w:pStyle w:val="naiskr"/>
              <w:ind w:left="129" w:firstLine="140"/>
              <w:jc w:val="center"/>
            </w:pPr>
            <w:r>
              <w:t>Izmaiņas, salīdzinot ar kārtējo (2012.) gadu</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Default="00D36BE0" w:rsidP="00D36BE0">
            <w:pPr>
              <w:pStyle w:val="naiskr"/>
              <w:ind w:left="129" w:firstLine="140"/>
              <w:jc w:val="center"/>
            </w:pPr>
            <w:r>
              <w:t>Izmaiņas, salīdzinot ar kārtējo (2012.) gadu</w:t>
            </w:r>
          </w:p>
        </w:tc>
      </w:tr>
      <w:tr w:rsidR="00D36BE0" w:rsidRPr="0061389E"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5D1C03">
            <w:pPr>
              <w:pStyle w:val="naiskr"/>
              <w:jc w:val="center"/>
              <w:rPr>
                <w:i/>
              </w:rPr>
            </w:pPr>
            <w:r w:rsidRPr="00D36BE0">
              <w:rPr>
                <w:i/>
              </w:rPr>
              <w:t>1</w:t>
            </w:r>
          </w:p>
        </w:tc>
        <w:tc>
          <w:tcPr>
            <w:tcW w:w="73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5D1C03">
            <w:pPr>
              <w:pStyle w:val="naiskr"/>
              <w:ind w:left="170" w:right="127"/>
              <w:jc w:val="center"/>
              <w:rPr>
                <w:i/>
              </w:rPr>
            </w:pPr>
            <w:r w:rsidRPr="00D36BE0">
              <w:rPr>
                <w:i/>
              </w:rPr>
              <w:t>2</w:t>
            </w:r>
          </w:p>
        </w:tc>
        <w:tc>
          <w:tcPr>
            <w:tcW w:w="734"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5D1C03">
            <w:pPr>
              <w:pStyle w:val="naiskr"/>
              <w:ind w:left="170" w:right="127"/>
              <w:jc w:val="center"/>
              <w:rPr>
                <w:i/>
              </w:rPr>
            </w:pPr>
            <w:r w:rsidRPr="00D36BE0">
              <w:rPr>
                <w:i/>
              </w:rPr>
              <w:t>3</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5D1C03">
            <w:pPr>
              <w:pStyle w:val="naiskr"/>
              <w:ind w:left="129" w:firstLine="140"/>
              <w:jc w:val="center"/>
              <w:rPr>
                <w:i/>
              </w:rPr>
            </w:pPr>
            <w:r w:rsidRPr="00D36BE0">
              <w:rPr>
                <w:i/>
              </w:rPr>
              <w:t>4</w:t>
            </w:r>
          </w:p>
        </w:tc>
        <w:tc>
          <w:tcPr>
            <w:tcW w:w="760" w:type="pct"/>
            <w:tcBorders>
              <w:top w:val="outset" w:sz="6" w:space="0" w:color="auto"/>
              <w:left w:val="outset" w:sz="6" w:space="0" w:color="auto"/>
              <w:bottom w:val="outset" w:sz="6" w:space="0" w:color="auto"/>
              <w:right w:val="outset" w:sz="6" w:space="0" w:color="auto"/>
            </w:tcBorders>
          </w:tcPr>
          <w:p w:rsidR="00D36BE0" w:rsidRPr="00D36BE0" w:rsidRDefault="00D36BE0" w:rsidP="005D1C03">
            <w:pPr>
              <w:pStyle w:val="naiskr"/>
              <w:ind w:left="129" w:firstLine="140"/>
              <w:jc w:val="center"/>
              <w:rPr>
                <w:i/>
              </w:rPr>
            </w:pPr>
            <w:r w:rsidRPr="00D36BE0">
              <w:rPr>
                <w:i/>
              </w:rPr>
              <w:t>5</w:t>
            </w:r>
          </w:p>
        </w:tc>
        <w:tc>
          <w:tcPr>
            <w:tcW w:w="760" w:type="pct"/>
            <w:tcBorders>
              <w:top w:val="outset" w:sz="6" w:space="0" w:color="auto"/>
              <w:left w:val="outset" w:sz="6" w:space="0" w:color="auto"/>
              <w:bottom w:val="outset" w:sz="6" w:space="0" w:color="auto"/>
              <w:right w:val="outset" w:sz="6" w:space="0" w:color="auto"/>
            </w:tcBorders>
          </w:tcPr>
          <w:p w:rsidR="00D36BE0" w:rsidRPr="00D36BE0" w:rsidRDefault="00D36BE0" w:rsidP="005D1C03">
            <w:pPr>
              <w:pStyle w:val="naiskr"/>
              <w:ind w:left="129" w:firstLine="140"/>
              <w:jc w:val="center"/>
              <w:rPr>
                <w:i/>
              </w:rPr>
            </w:pPr>
            <w:r w:rsidRPr="00D36BE0">
              <w:rPr>
                <w:i/>
              </w:rPr>
              <w:t>6</w:t>
            </w:r>
          </w:p>
        </w:tc>
      </w:tr>
      <w:tr w:rsidR="00D36BE0"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pPr>
            <w:r w:rsidRPr="00D36BE0">
              <w:t>1. Budžeta ieņēmumi:</w:t>
            </w:r>
          </w:p>
        </w:tc>
        <w:tc>
          <w:tcPr>
            <w:tcW w:w="73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r>
      <w:tr w:rsidR="00D36BE0"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pPr>
            <w:r w:rsidRPr="00D36BE0">
              <w:t>1.1. valsts pamatbudžets, tai sk</w:t>
            </w:r>
            <w:r>
              <w:t>aitā ieņēmumi no maksas pakalpoj</w:t>
            </w:r>
            <w:r w:rsidRPr="00D36BE0">
              <w:t>umiem un citi pašu ieņēmumi</w:t>
            </w:r>
          </w:p>
        </w:tc>
        <w:tc>
          <w:tcPr>
            <w:tcW w:w="73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r>
      <w:tr w:rsidR="00D36BE0"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pPr>
            <w:r w:rsidRPr="00D36BE0">
              <w:t>1.2. valsts speciālais budžets</w:t>
            </w:r>
          </w:p>
        </w:tc>
        <w:tc>
          <w:tcPr>
            <w:tcW w:w="73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r>
      <w:tr w:rsidR="00D36BE0"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pPr>
            <w:r w:rsidRPr="00D36BE0">
              <w:t>1.3. pašvaldību budžets</w:t>
            </w:r>
          </w:p>
        </w:tc>
        <w:tc>
          <w:tcPr>
            <w:tcW w:w="73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r>
      <w:tr w:rsidR="00D36BE0"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pPr>
            <w:r w:rsidRPr="00D36BE0">
              <w:t>2. Budžeta izdevumi:</w:t>
            </w:r>
          </w:p>
        </w:tc>
        <w:tc>
          <w:tcPr>
            <w:tcW w:w="733"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D36BE0" w:rsidRPr="00D36BE0" w:rsidRDefault="00D36BE0" w:rsidP="00D36BE0">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2.1. valsts pamatbudžets</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784126">
            <w:pPr>
              <w:pStyle w:val="naiskr"/>
              <w:jc w:val="center"/>
              <w:rPr>
                <w:sz w:val="22"/>
                <w:szCs w:val="22"/>
              </w:rPr>
            </w:pPr>
            <w:r>
              <w:rPr>
                <w:sz w:val="22"/>
                <w:szCs w:val="22"/>
              </w:rPr>
              <w:t>0</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784126">
            <w:pPr>
              <w:pStyle w:val="naiskr"/>
              <w:jc w:val="center"/>
              <w:rPr>
                <w:sz w:val="22"/>
                <w:szCs w:val="22"/>
              </w:rPr>
            </w:pPr>
            <w:r w:rsidRPr="008400CF">
              <w:rPr>
                <w:sz w:val="22"/>
                <w:szCs w:val="22"/>
              </w:rP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784126">
            <w:pPr>
              <w:pStyle w:val="naiskr"/>
              <w:jc w:val="center"/>
              <w:rPr>
                <w:sz w:val="22"/>
                <w:szCs w:val="22"/>
              </w:rPr>
            </w:pPr>
            <w:r>
              <w:rPr>
                <w:sz w:val="22"/>
                <w:szCs w:val="22"/>
              </w:rPr>
              <w:t>-34.1</w:t>
            </w:r>
          </w:p>
          <w:p w:rsidR="00432A2A" w:rsidRDefault="00432A2A" w:rsidP="00784126">
            <w:pPr>
              <w:pStyle w:val="naiskr"/>
              <w:jc w:val="center"/>
              <w:rPr>
                <w:sz w:val="22"/>
                <w:szCs w:val="22"/>
              </w:rPr>
            </w:pPr>
            <w:r>
              <w:rPr>
                <w:sz w:val="22"/>
                <w:szCs w:val="22"/>
              </w:rPr>
              <w:t>EM: -33.6</w:t>
            </w:r>
          </w:p>
          <w:p w:rsidR="00432A2A" w:rsidRPr="008400CF" w:rsidRDefault="00432A2A" w:rsidP="00784126">
            <w:pPr>
              <w:pStyle w:val="naiskr"/>
              <w:jc w:val="center"/>
              <w:rPr>
                <w:sz w:val="22"/>
                <w:szCs w:val="22"/>
              </w:rPr>
            </w:pPr>
            <w:r w:rsidRPr="008400CF">
              <w:rPr>
                <w:sz w:val="22"/>
                <w:szCs w:val="22"/>
              </w:rPr>
              <w:t xml:space="preserve">SAM: </w:t>
            </w:r>
            <w:r>
              <w:rPr>
                <w:sz w:val="22"/>
                <w:szCs w:val="22"/>
              </w:rPr>
              <w:t>-</w:t>
            </w:r>
            <w:r w:rsidRPr="008400CF">
              <w:rPr>
                <w:sz w:val="22"/>
                <w:szCs w:val="22"/>
              </w:rPr>
              <w:t>0.5</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Default="00432A2A" w:rsidP="00784126">
            <w:pPr>
              <w:pStyle w:val="naiskr"/>
              <w:jc w:val="center"/>
              <w:rPr>
                <w:sz w:val="22"/>
                <w:szCs w:val="22"/>
              </w:rPr>
            </w:pPr>
            <w:r>
              <w:rPr>
                <w:sz w:val="22"/>
                <w:szCs w:val="22"/>
              </w:rPr>
              <w:t>-47.6</w:t>
            </w:r>
          </w:p>
          <w:p w:rsidR="00432A2A" w:rsidRDefault="00432A2A" w:rsidP="00784126">
            <w:pPr>
              <w:pStyle w:val="naiskr"/>
              <w:jc w:val="center"/>
              <w:rPr>
                <w:sz w:val="22"/>
                <w:szCs w:val="22"/>
              </w:rPr>
            </w:pPr>
            <w:r>
              <w:rPr>
                <w:sz w:val="22"/>
                <w:szCs w:val="22"/>
              </w:rPr>
              <w:t>EM: -42.7</w:t>
            </w:r>
          </w:p>
          <w:p w:rsidR="00432A2A" w:rsidRPr="008400CF" w:rsidRDefault="00432A2A" w:rsidP="00686F26">
            <w:pPr>
              <w:pStyle w:val="naiskr"/>
              <w:jc w:val="center"/>
              <w:rPr>
                <w:sz w:val="22"/>
                <w:szCs w:val="22"/>
              </w:rPr>
            </w:pPr>
            <w:r>
              <w:rPr>
                <w:sz w:val="22"/>
                <w:szCs w:val="22"/>
              </w:rPr>
              <w:t>SAM: -4.9</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803A84">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2.2. valsts speciālais budžets</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803A84">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2.3. pašvaldību budžets</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3. Finansiālā ietekme:</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3.1. valsts pamatbudžets</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866A48">
            <w:pPr>
              <w:pStyle w:val="naiskr"/>
              <w:jc w:val="center"/>
              <w:rPr>
                <w:sz w:val="22"/>
                <w:szCs w:val="22"/>
              </w:rPr>
            </w:pPr>
            <w:r>
              <w:rPr>
                <w:sz w:val="22"/>
                <w:szCs w:val="22"/>
              </w:rPr>
              <w:t>0</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866A48">
            <w:pPr>
              <w:pStyle w:val="naiskr"/>
              <w:jc w:val="center"/>
              <w:rPr>
                <w:sz w:val="22"/>
                <w:szCs w:val="22"/>
              </w:rPr>
            </w:pPr>
            <w:r w:rsidRPr="008400CF">
              <w:rPr>
                <w:sz w:val="22"/>
                <w:szCs w:val="22"/>
              </w:rP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686F26">
            <w:pPr>
              <w:pStyle w:val="naiskr"/>
              <w:jc w:val="center"/>
              <w:rPr>
                <w:sz w:val="22"/>
                <w:szCs w:val="22"/>
              </w:rPr>
            </w:pPr>
            <w:r>
              <w:rPr>
                <w:sz w:val="22"/>
                <w:szCs w:val="22"/>
              </w:rPr>
              <w:t>-34.1</w:t>
            </w:r>
          </w:p>
          <w:p w:rsidR="00432A2A" w:rsidRDefault="00432A2A" w:rsidP="00686F26">
            <w:pPr>
              <w:pStyle w:val="naiskr"/>
              <w:jc w:val="center"/>
              <w:rPr>
                <w:sz w:val="22"/>
                <w:szCs w:val="22"/>
              </w:rPr>
            </w:pPr>
            <w:r>
              <w:rPr>
                <w:sz w:val="22"/>
                <w:szCs w:val="22"/>
              </w:rPr>
              <w:t>EM: -33.6</w:t>
            </w:r>
          </w:p>
          <w:p w:rsidR="00432A2A" w:rsidRPr="008400CF" w:rsidRDefault="00432A2A" w:rsidP="00686F26">
            <w:pPr>
              <w:pStyle w:val="naiskr"/>
              <w:jc w:val="center"/>
              <w:rPr>
                <w:sz w:val="22"/>
                <w:szCs w:val="22"/>
              </w:rPr>
            </w:pPr>
            <w:r w:rsidRPr="008400CF">
              <w:rPr>
                <w:sz w:val="22"/>
                <w:szCs w:val="22"/>
              </w:rPr>
              <w:t xml:space="preserve">SAM: </w:t>
            </w:r>
            <w:r>
              <w:rPr>
                <w:sz w:val="22"/>
                <w:szCs w:val="22"/>
              </w:rPr>
              <w:t>-</w:t>
            </w:r>
            <w:r w:rsidRPr="008400CF">
              <w:rPr>
                <w:sz w:val="22"/>
                <w:szCs w:val="22"/>
              </w:rPr>
              <w:t>0.5</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Default="00432A2A" w:rsidP="00686F26">
            <w:pPr>
              <w:pStyle w:val="naiskr"/>
              <w:jc w:val="center"/>
              <w:rPr>
                <w:sz w:val="22"/>
                <w:szCs w:val="22"/>
              </w:rPr>
            </w:pPr>
            <w:r>
              <w:rPr>
                <w:sz w:val="22"/>
                <w:szCs w:val="22"/>
              </w:rPr>
              <w:t>-47.6</w:t>
            </w:r>
          </w:p>
          <w:p w:rsidR="00432A2A" w:rsidRDefault="00432A2A" w:rsidP="00686F26">
            <w:pPr>
              <w:pStyle w:val="naiskr"/>
              <w:jc w:val="center"/>
              <w:rPr>
                <w:sz w:val="22"/>
                <w:szCs w:val="22"/>
              </w:rPr>
            </w:pPr>
            <w:r>
              <w:rPr>
                <w:sz w:val="22"/>
                <w:szCs w:val="22"/>
              </w:rPr>
              <w:t>EM: -42.7</w:t>
            </w:r>
          </w:p>
          <w:p w:rsidR="00432A2A" w:rsidRPr="008400CF" w:rsidRDefault="00432A2A" w:rsidP="00686F26">
            <w:pPr>
              <w:pStyle w:val="naiskr"/>
              <w:jc w:val="center"/>
              <w:rPr>
                <w:sz w:val="22"/>
                <w:szCs w:val="22"/>
              </w:rPr>
            </w:pPr>
            <w:r>
              <w:rPr>
                <w:sz w:val="22"/>
                <w:szCs w:val="22"/>
              </w:rPr>
              <w:t>SAM: -4.9</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99423A">
            <w:pPr>
              <w:pStyle w:val="naiskr"/>
              <w:jc w:val="center"/>
              <w:rPr>
                <w:sz w:val="22"/>
                <w:szCs w:val="22"/>
              </w:rPr>
            </w:pPr>
            <w:r>
              <w:rPr>
                <w:sz w:val="22"/>
                <w:szCs w:val="22"/>
              </w:rP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lastRenderedPageBreak/>
              <w:t>3.2. speciālais budžets</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3.3. pašvaldību budžets</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4. Finanšu līdzekļi papildu izde</w:t>
            </w:r>
            <w:r w:rsidRPr="00D36BE0">
              <w:softHyphen/>
              <w:t>vumu finansēšanai (kompensējošu izdevumu samazinājumu norāda ar "+" zīmi)</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rsidRPr="00D36BE0">
              <w:t>X</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5. Precizēta finansiālā ietekme:</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rsidRPr="00D36BE0">
              <w:t>X</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5.1. valsts pamatbudžets</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1A1942">
            <w:pPr>
              <w:pStyle w:val="naiskr"/>
              <w:jc w:val="center"/>
              <w:rPr>
                <w:sz w:val="22"/>
                <w:szCs w:val="22"/>
              </w:rPr>
            </w:pPr>
            <w:r>
              <w:rPr>
                <w:sz w:val="22"/>
                <w:szCs w:val="22"/>
              </w:rPr>
              <w:t>0</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1A1942">
            <w:pPr>
              <w:pStyle w:val="naiskr"/>
              <w:jc w:val="center"/>
              <w:rPr>
                <w:sz w:val="22"/>
                <w:szCs w:val="22"/>
              </w:rPr>
            </w:pPr>
            <w:r w:rsidRPr="008400CF">
              <w:rPr>
                <w:sz w:val="22"/>
                <w:szCs w:val="22"/>
              </w:rP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1A1942">
            <w:pPr>
              <w:pStyle w:val="naiskr"/>
              <w:jc w:val="center"/>
              <w:rPr>
                <w:sz w:val="22"/>
                <w:szCs w:val="22"/>
              </w:rPr>
            </w:pPr>
            <w:r>
              <w:rPr>
                <w:sz w:val="22"/>
                <w:szCs w:val="22"/>
              </w:rP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8400CF" w:rsidRDefault="00432A2A" w:rsidP="001A1942">
            <w:pPr>
              <w:pStyle w:val="naiskr"/>
              <w:jc w:val="center"/>
              <w:rPr>
                <w:sz w:val="22"/>
                <w:szCs w:val="22"/>
              </w:rPr>
            </w:pPr>
            <w:r>
              <w:rPr>
                <w:sz w:val="22"/>
                <w:szCs w:val="22"/>
              </w:rP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5.2. speciālais budžets</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r>
      <w:tr w:rsidR="00432A2A" w:rsidRPr="00D36BE0" w:rsidTr="00784126">
        <w:trPr>
          <w:tblCellSpacing w:w="0" w:type="dxa"/>
        </w:trPr>
        <w:tc>
          <w:tcPr>
            <w:tcW w:w="125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pPr>
            <w:r w:rsidRPr="00D36BE0">
              <w:t>5.3. pašvaldību budžets</w:t>
            </w:r>
          </w:p>
        </w:tc>
        <w:tc>
          <w:tcPr>
            <w:tcW w:w="733"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34"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70" w:right="127"/>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c>
          <w:tcPr>
            <w:tcW w:w="760" w:type="pct"/>
            <w:tcBorders>
              <w:top w:val="outset" w:sz="6" w:space="0" w:color="auto"/>
              <w:left w:val="outset" w:sz="6" w:space="0" w:color="auto"/>
              <w:bottom w:val="outset" w:sz="6" w:space="0" w:color="auto"/>
              <w:right w:val="outset" w:sz="6" w:space="0" w:color="auto"/>
            </w:tcBorders>
            <w:vAlign w:val="center"/>
          </w:tcPr>
          <w:p w:rsidR="00432A2A" w:rsidRPr="00D36BE0" w:rsidRDefault="00432A2A" w:rsidP="00D36BE0">
            <w:pPr>
              <w:pStyle w:val="naiskr"/>
              <w:ind w:left="129" w:firstLine="140"/>
              <w:jc w:val="center"/>
            </w:pPr>
            <w:r>
              <w:t>0</w:t>
            </w:r>
          </w:p>
        </w:tc>
      </w:tr>
      <w:tr w:rsidR="00432A2A" w:rsidRPr="0061389E" w:rsidTr="001A72E7">
        <w:trPr>
          <w:tblCellSpacing w:w="0" w:type="dxa"/>
        </w:trPr>
        <w:tc>
          <w:tcPr>
            <w:tcW w:w="1253" w:type="pct"/>
            <w:tcBorders>
              <w:top w:val="outset" w:sz="6" w:space="0" w:color="auto"/>
              <w:left w:val="outset" w:sz="6" w:space="0" w:color="auto"/>
              <w:bottom w:val="outset" w:sz="6" w:space="0" w:color="auto"/>
              <w:right w:val="outset" w:sz="6" w:space="0" w:color="auto"/>
            </w:tcBorders>
          </w:tcPr>
          <w:p w:rsidR="00432A2A" w:rsidRPr="00D36BE0" w:rsidRDefault="00432A2A" w:rsidP="00D36BE0">
            <w:pPr>
              <w:spacing w:before="100" w:beforeAutospacing="1" w:after="100" w:afterAutospacing="1"/>
            </w:pPr>
            <w:r w:rsidRPr="00D36BE0">
              <w:t>6. Detalizēts ieņēmumu un izdevu</w:t>
            </w:r>
            <w:r w:rsidRPr="00D36BE0">
              <w:softHyphen/>
              <w:t>mu aprēķins (ja nepieciešams, detalizētu ieņēmumu un izdevumu aprēķinu var pievienot anotācijas pielikumā):</w:t>
            </w:r>
          </w:p>
        </w:tc>
        <w:tc>
          <w:tcPr>
            <w:tcW w:w="3747" w:type="pct"/>
            <w:gridSpan w:val="5"/>
            <w:vMerge w:val="restart"/>
            <w:tcBorders>
              <w:top w:val="outset" w:sz="6" w:space="0" w:color="auto"/>
              <w:left w:val="outset" w:sz="6" w:space="0" w:color="auto"/>
              <w:right w:val="outset" w:sz="6" w:space="0" w:color="auto"/>
            </w:tcBorders>
            <w:vAlign w:val="center"/>
          </w:tcPr>
          <w:p w:rsidR="00432A2A" w:rsidRPr="00514AA2" w:rsidRDefault="00432A2A" w:rsidP="0015346F">
            <w:pPr>
              <w:pStyle w:val="naiskr"/>
              <w:ind w:left="129" w:firstLine="140"/>
              <w:jc w:val="both"/>
            </w:pPr>
            <w:r w:rsidRPr="00514AA2">
              <w:t xml:space="preserve">Kopējais plāna izpildei plānotais finansējuma apjoms ir </w:t>
            </w:r>
            <w:r w:rsidRPr="00514AA2">
              <w:rPr>
                <w:b/>
                <w:u w:val="single"/>
              </w:rPr>
              <w:t>81646 LVL</w:t>
            </w:r>
            <w:r w:rsidRPr="00514AA2">
              <w:t xml:space="preserve">, </w:t>
            </w:r>
            <w:r w:rsidRPr="00514AA2">
              <w:rPr>
                <w:u w:val="single"/>
              </w:rPr>
              <w:t xml:space="preserve">2013. gadā ir nepieciešami līdzekļi </w:t>
            </w:r>
            <w:r w:rsidRPr="00514AA2">
              <w:rPr>
                <w:i/>
                <w:u w:val="single"/>
              </w:rPr>
              <w:t xml:space="preserve">34123 LVL </w:t>
            </w:r>
            <w:r w:rsidRPr="00514AA2">
              <w:rPr>
                <w:u w:val="single"/>
              </w:rPr>
              <w:t>apjomā</w:t>
            </w:r>
            <w:r w:rsidRPr="00514AA2">
              <w:t xml:space="preserve"> un </w:t>
            </w:r>
            <w:r w:rsidRPr="00514AA2">
              <w:rPr>
                <w:u w:val="single"/>
              </w:rPr>
              <w:t xml:space="preserve">2014. gadā ir nepieciešami līdzekļi </w:t>
            </w:r>
            <w:r w:rsidRPr="00514AA2">
              <w:rPr>
                <w:i/>
                <w:u w:val="single"/>
              </w:rPr>
              <w:t xml:space="preserve">47523 LVL </w:t>
            </w:r>
            <w:r w:rsidRPr="00514AA2">
              <w:rPr>
                <w:u w:val="single"/>
              </w:rPr>
              <w:t>apjomā</w:t>
            </w:r>
            <w:r w:rsidRPr="00514AA2">
              <w:t>.</w:t>
            </w:r>
          </w:p>
          <w:p w:rsidR="00432A2A" w:rsidRPr="00514AA2" w:rsidRDefault="00432A2A" w:rsidP="00A05A43">
            <w:pPr>
              <w:pStyle w:val="naiskr"/>
              <w:ind w:left="129" w:firstLine="140"/>
              <w:jc w:val="both"/>
            </w:pPr>
            <w:r w:rsidRPr="00514AA2">
              <w:rPr>
                <w:b/>
                <w:i/>
                <w:u w:val="single"/>
              </w:rPr>
              <w:t>Ekonomikas ministrijas</w:t>
            </w:r>
            <w:r w:rsidRPr="00514AA2">
              <w:rPr>
                <w:u w:val="single"/>
              </w:rPr>
              <w:t xml:space="preserve"> </w:t>
            </w:r>
            <w:r w:rsidRPr="00895BF6">
              <w:rPr>
                <w:u w:val="single"/>
              </w:rPr>
              <w:t xml:space="preserve">kompetencē esošo darbu izpildei </w:t>
            </w:r>
            <w:r w:rsidRPr="00895BF6">
              <w:rPr>
                <w:b/>
                <w:u w:val="single"/>
              </w:rPr>
              <w:t>2013. gadā</w:t>
            </w:r>
            <w:r w:rsidRPr="00895BF6">
              <w:rPr>
                <w:u w:val="single"/>
              </w:rPr>
              <w:t xml:space="preserve"> nepiecieša</w:t>
            </w:r>
            <w:r w:rsidRPr="00514AA2">
              <w:rPr>
                <w:u w:val="single"/>
              </w:rPr>
              <w:t xml:space="preserve">mi līdzekļi </w:t>
            </w:r>
            <w:r w:rsidRPr="00514AA2">
              <w:rPr>
                <w:b/>
                <w:u w:val="single"/>
              </w:rPr>
              <w:t>33</w:t>
            </w:r>
            <w:r>
              <w:rPr>
                <w:b/>
                <w:u w:val="single"/>
              </w:rPr>
              <w:t>58</w:t>
            </w:r>
            <w:r w:rsidRPr="00514AA2">
              <w:rPr>
                <w:b/>
                <w:u w:val="single"/>
              </w:rPr>
              <w:t>3 LVL</w:t>
            </w:r>
            <w:r w:rsidRPr="00514AA2">
              <w:rPr>
                <w:u w:val="single"/>
              </w:rPr>
              <w:t xml:space="preserve"> apmērā, no tiem</w:t>
            </w:r>
            <w:r w:rsidRPr="00514AA2">
              <w:t xml:space="preserve"> standartu adaptācijai (tulkošanai un nacionālo pielikumu izstrādei) nepieciešami līdzekļi </w:t>
            </w:r>
            <w:r w:rsidRPr="00514AA2">
              <w:rPr>
                <w:u w:val="single"/>
              </w:rPr>
              <w:t>14550 LVL</w:t>
            </w:r>
            <w:r w:rsidRPr="00514AA2">
              <w:t xml:space="preserve"> apmērā (1. </w:t>
            </w:r>
            <w:proofErr w:type="spellStart"/>
            <w:r w:rsidRPr="00514AA2">
              <w:t>Eirokodekss</w:t>
            </w:r>
            <w:proofErr w:type="spellEnd"/>
            <w:r w:rsidRPr="00514AA2">
              <w:t xml:space="preserve"> – </w:t>
            </w:r>
            <w:r w:rsidRPr="00514AA2">
              <w:rPr>
                <w:u w:val="single"/>
              </w:rPr>
              <w:t>1230 LVL</w:t>
            </w:r>
            <w:r w:rsidRPr="00514AA2">
              <w:t>, 2. </w:t>
            </w:r>
            <w:proofErr w:type="spellStart"/>
            <w:r w:rsidRPr="00514AA2">
              <w:t>Eirokodekss</w:t>
            </w:r>
            <w:proofErr w:type="spellEnd"/>
            <w:r w:rsidRPr="00514AA2">
              <w:t xml:space="preserve"> – </w:t>
            </w:r>
            <w:r w:rsidRPr="00514AA2">
              <w:rPr>
                <w:u w:val="single"/>
              </w:rPr>
              <w:t>1020 LVL</w:t>
            </w:r>
            <w:r w:rsidRPr="00514AA2">
              <w:t>, 3. </w:t>
            </w:r>
            <w:proofErr w:type="spellStart"/>
            <w:r w:rsidRPr="00514AA2">
              <w:t>Eirokodekss</w:t>
            </w:r>
            <w:proofErr w:type="spellEnd"/>
            <w:r w:rsidRPr="00514AA2">
              <w:t xml:space="preserve"> - </w:t>
            </w:r>
            <w:r w:rsidRPr="00514AA2">
              <w:rPr>
                <w:u w:val="single"/>
              </w:rPr>
              <w:t>6990 LVL</w:t>
            </w:r>
            <w:r w:rsidRPr="00514AA2">
              <w:t>, 4. </w:t>
            </w:r>
            <w:proofErr w:type="spellStart"/>
            <w:r w:rsidRPr="00514AA2">
              <w:t>Eirokodekss</w:t>
            </w:r>
            <w:proofErr w:type="spellEnd"/>
            <w:r w:rsidRPr="00514AA2">
              <w:t xml:space="preserve"> – </w:t>
            </w:r>
            <w:r w:rsidRPr="00514AA2">
              <w:rPr>
                <w:u w:val="single"/>
              </w:rPr>
              <w:t>270 LVL</w:t>
            </w:r>
            <w:r w:rsidRPr="00514AA2">
              <w:t>, 6. </w:t>
            </w:r>
            <w:proofErr w:type="spellStart"/>
            <w:r w:rsidRPr="00514AA2">
              <w:t>Eirokodekss</w:t>
            </w:r>
            <w:proofErr w:type="spellEnd"/>
            <w:r w:rsidRPr="00514AA2">
              <w:t xml:space="preserve"> – 4050 LVL, 7. </w:t>
            </w:r>
            <w:proofErr w:type="spellStart"/>
            <w:r w:rsidRPr="00514AA2">
              <w:t>Eirokodekss</w:t>
            </w:r>
            <w:proofErr w:type="spellEnd"/>
            <w:r w:rsidRPr="00514AA2">
              <w:t xml:space="preserve"> – 990 LVL)</w:t>
            </w:r>
            <w:r w:rsidRPr="00514AA2">
              <w:rPr>
                <w:u w:val="single"/>
              </w:rPr>
              <w:t>,</w:t>
            </w:r>
            <w:r w:rsidRPr="00514AA2">
              <w:t xml:space="preserve"> būvkonstrukciju projektēšanas praktiķu informēšanas semināru organizēšanai – 2800 LVL (2 semināri 100 cilvēku auditorijai, katrs no tiem 1400 LVL), nozares profesionāļu informēšanai ar informatīvo materiālu palīdzību – 2000 LVL, </w:t>
            </w:r>
            <w:r w:rsidRPr="00514AA2">
              <w:rPr>
                <w:u w:val="single"/>
              </w:rPr>
              <w:t xml:space="preserve">SIA „SAMC” štata vienības nodrošināšanai –  14233 LVL apmērā. </w:t>
            </w:r>
          </w:p>
          <w:p w:rsidR="00432A2A" w:rsidRPr="00514AA2" w:rsidRDefault="00432A2A" w:rsidP="00A05A43">
            <w:pPr>
              <w:pStyle w:val="naiskr"/>
              <w:ind w:left="129" w:firstLine="140"/>
              <w:jc w:val="both"/>
              <w:rPr>
                <w:u w:val="single"/>
              </w:rPr>
            </w:pPr>
            <w:r w:rsidRPr="00514AA2">
              <w:rPr>
                <w:b/>
                <w:i/>
                <w:u w:val="single"/>
              </w:rPr>
              <w:t>Satiksmes ministrijas</w:t>
            </w:r>
            <w:r w:rsidRPr="00514AA2">
              <w:rPr>
                <w:u w:val="single"/>
              </w:rPr>
              <w:t xml:space="preserve"> kompetencē esošo standartu adaptācijai </w:t>
            </w:r>
            <w:r w:rsidRPr="00514AA2">
              <w:t xml:space="preserve"> </w:t>
            </w:r>
            <w:r w:rsidRPr="00514AA2">
              <w:rPr>
                <w:b/>
                <w:u w:val="single"/>
              </w:rPr>
              <w:t>2013.</w:t>
            </w:r>
            <w:r>
              <w:rPr>
                <w:b/>
                <w:u w:val="single"/>
              </w:rPr>
              <w:t xml:space="preserve"> </w:t>
            </w:r>
            <w:r w:rsidRPr="00514AA2">
              <w:rPr>
                <w:b/>
                <w:u w:val="single"/>
              </w:rPr>
              <w:t>gadā</w:t>
            </w:r>
            <w:r w:rsidRPr="00514AA2">
              <w:rPr>
                <w:u w:val="single"/>
              </w:rPr>
              <w:t xml:space="preserve"> nepieciešami līdzekļi </w:t>
            </w:r>
            <w:r w:rsidRPr="00514AA2">
              <w:rPr>
                <w:b/>
                <w:u w:val="single"/>
              </w:rPr>
              <w:t>540 LVL</w:t>
            </w:r>
            <w:r w:rsidRPr="00514AA2">
              <w:rPr>
                <w:u w:val="single"/>
              </w:rPr>
              <w:t xml:space="preserve"> apmērā</w:t>
            </w:r>
            <w:r w:rsidRPr="00514AA2">
              <w:t>(1. </w:t>
            </w:r>
            <w:proofErr w:type="spellStart"/>
            <w:r w:rsidRPr="00514AA2">
              <w:t>Eirokodekss</w:t>
            </w:r>
            <w:proofErr w:type="spellEnd"/>
            <w:r w:rsidRPr="00514AA2">
              <w:t xml:space="preserve"> – </w:t>
            </w:r>
            <w:r w:rsidRPr="00514AA2">
              <w:rPr>
                <w:u w:val="single"/>
              </w:rPr>
              <w:t>150 LVL</w:t>
            </w:r>
            <w:r w:rsidRPr="00514AA2">
              <w:t>, 2. </w:t>
            </w:r>
            <w:proofErr w:type="spellStart"/>
            <w:r w:rsidRPr="00514AA2">
              <w:t>Eirokodekss</w:t>
            </w:r>
            <w:proofErr w:type="spellEnd"/>
            <w:r w:rsidRPr="00514AA2">
              <w:t xml:space="preserve"> – </w:t>
            </w:r>
            <w:r w:rsidRPr="00514AA2">
              <w:rPr>
                <w:u w:val="single"/>
              </w:rPr>
              <w:t>150 LVL</w:t>
            </w:r>
            <w:r w:rsidRPr="00514AA2">
              <w:t>, 3. </w:t>
            </w:r>
            <w:proofErr w:type="spellStart"/>
            <w:r w:rsidRPr="00514AA2">
              <w:t>Eirokodekss</w:t>
            </w:r>
            <w:proofErr w:type="spellEnd"/>
            <w:r w:rsidRPr="00514AA2">
              <w:t xml:space="preserve"> - </w:t>
            </w:r>
            <w:r w:rsidRPr="00514AA2">
              <w:rPr>
                <w:u w:val="single"/>
              </w:rPr>
              <w:t>120 LVL</w:t>
            </w:r>
            <w:r w:rsidRPr="00514AA2">
              <w:t>, 4. </w:t>
            </w:r>
            <w:proofErr w:type="spellStart"/>
            <w:r w:rsidRPr="00514AA2">
              <w:t>Eirokodekss</w:t>
            </w:r>
            <w:proofErr w:type="spellEnd"/>
            <w:r w:rsidRPr="00514AA2">
              <w:t xml:space="preserve"> – </w:t>
            </w:r>
            <w:r w:rsidRPr="00514AA2">
              <w:rPr>
                <w:u w:val="single"/>
              </w:rPr>
              <w:t>120 LVL</w:t>
            </w:r>
            <w:r w:rsidRPr="00514AA2">
              <w:t>)</w:t>
            </w:r>
            <w:r w:rsidRPr="00514AA2">
              <w:rPr>
                <w:u w:val="single"/>
              </w:rPr>
              <w:t>.</w:t>
            </w:r>
          </w:p>
          <w:p w:rsidR="00432A2A" w:rsidRPr="00514AA2" w:rsidRDefault="00432A2A" w:rsidP="008E73F2">
            <w:pPr>
              <w:pStyle w:val="naiskr"/>
              <w:ind w:left="129" w:firstLine="140"/>
              <w:jc w:val="both"/>
              <w:rPr>
                <w:u w:val="single"/>
              </w:rPr>
            </w:pPr>
            <w:r w:rsidRPr="00514AA2">
              <w:rPr>
                <w:b/>
                <w:i/>
                <w:u w:val="single"/>
              </w:rPr>
              <w:t>Ekonomikas ministrijas</w:t>
            </w:r>
            <w:r w:rsidRPr="00514AA2">
              <w:rPr>
                <w:u w:val="single"/>
              </w:rPr>
              <w:t xml:space="preserve"> kompetencē esošo </w:t>
            </w:r>
            <w:r w:rsidRPr="00895BF6">
              <w:rPr>
                <w:u w:val="single"/>
              </w:rPr>
              <w:t xml:space="preserve">darbu izpildei </w:t>
            </w:r>
            <w:r w:rsidRPr="00895BF6">
              <w:rPr>
                <w:b/>
                <w:u w:val="single"/>
              </w:rPr>
              <w:t>2014. gadā</w:t>
            </w:r>
            <w:r w:rsidRPr="00895BF6">
              <w:rPr>
                <w:u w:val="single"/>
              </w:rPr>
              <w:t xml:space="preserve"> nepieciešami</w:t>
            </w:r>
            <w:r w:rsidRPr="00514AA2">
              <w:rPr>
                <w:u w:val="single"/>
              </w:rPr>
              <w:t xml:space="preserve"> līdzekļi </w:t>
            </w:r>
            <w:r w:rsidRPr="00514AA2">
              <w:rPr>
                <w:b/>
                <w:u w:val="single"/>
              </w:rPr>
              <w:t>42663 LVL</w:t>
            </w:r>
            <w:r w:rsidRPr="00514AA2">
              <w:rPr>
                <w:u w:val="single"/>
              </w:rPr>
              <w:t xml:space="preserve"> apmērā, no tiem</w:t>
            </w:r>
            <w:r w:rsidRPr="00514AA2">
              <w:t xml:space="preserve"> standartu adaptācijai nepieciešami līdzekļi </w:t>
            </w:r>
            <w:r w:rsidRPr="00101FB5">
              <w:rPr>
                <w:u w:val="single"/>
              </w:rPr>
              <w:t>22830 LVL</w:t>
            </w:r>
            <w:r w:rsidRPr="00514AA2">
              <w:t xml:space="preserve"> apmērā (8. </w:t>
            </w:r>
            <w:proofErr w:type="spellStart"/>
            <w:r w:rsidRPr="00514AA2">
              <w:t>Eirokodekss</w:t>
            </w:r>
            <w:proofErr w:type="spellEnd"/>
            <w:r w:rsidRPr="00514AA2">
              <w:t xml:space="preserve"> – </w:t>
            </w:r>
            <w:r w:rsidRPr="00101FB5">
              <w:rPr>
                <w:u w:val="single"/>
              </w:rPr>
              <w:t>8250 LVL</w:t>
            </w:r>
            <w:r w:rsidRPr="00514AA2">
              <w:t>, 9. </w:t>
            </w:r>
            <w:proofErr w:type="spellStart"/>
            <w:r w:rsidRPr="00514AA2">
              <w:t>Eirokodekss</w:t>
            </w:r>
            <w:proofErr w:type="spellEnd"/>
            <w:r w:rsidRPr="00514AA2">
              <w:t xml:space="preserve"> – 14580 LVL), būvkonstrukciju projektēšanas praktiķu informēšanas semināru organizēšanai – 5600 LVL (4 semināri 100 cilvēku auditorijai, katrs no tiem 1400 LVL), </w:t>
            </w:r>
            <w:r w:rsidRPr="00514AA2">
              <w:rPr>
                <w:u w:val="single"/>
              </w:rPr>
              <w:t>SIA „SAMC” štata vienības nodrošināšanai – 14233 LVL apmērā.</w:t>
            </w:r>
          </w:p>
          <w:p w:rsidR="00432A2A" w:rsidRPr="00514AA2" w:rsidRDefault="00432A2A" w:rsidP="008128C6">
            <w:pPr>
              <w:pStyle w:val="naiskr"/>
              <w:ind w:left="129" w:firstLine="140"/>
              <w:jc w:val="both"/>
              <w:rPr>
                <w:u w:val="single"/>
              </w:rPr>
            </w:pPr>
            <w:r w:rsidRPr="00514AA2">
              <w:rPr>
                <w:b/>
                <w:i/>
                <w:u w:val="single"/>
              </w:rPr>
              <w:t>Satiksmes ministrijas</w:t>
            </w:r>
            <w:r w:rsidRPr="00514AA2">
              <w:rPr>
                <w:u w:val="single"/>
              </w:rPr>
              <w:t xml:space="preserve"> kompetencē esošo 8. Eirokodeksa standartu adaptācijai </w:t>
            </w:r>
            <w:r w:rsidRPr="00514AA2">
              <w:rPr>
                <w:b/>
                <w:u w:val="single"/>
              </w:rPr>
              <w:t>2014.gadā</w:t>
            </w:r>
            <w:r w:rsidRPr="00514AA2">
              <w:rPr>
                <w:u w:val="single"/>
              </w:rPr>
              <w:t xml:space="preserve"> nepieciešami līdzekļi </w:t>
            </w:r>
            <w:r w:rsidRPr="00514AA2">
              <w:rPr>
                <w:b/>
                <w:u w:val="single"/>
              </w:rPr>
              <w:t>4860 LVL</w:t>
            </w:r>
            <w:r w:rsidRPr="00514AA2">
              <w:rPr>
                <w:u w:val="single"/>
              </w:rPr>
              <w:t xml:space="preserve"> apmērā.</w:t>
            </w:r>
          </w:p>
          <w:p w:rsidR="00432A2A" w:rsidRPr="00D53978" w:rsidRDefault="00432A2A" w:rsidP="008E73F2">
            <w:pPr>
              <w:pStyle w:val="naiskr"/>
              <w:ind w:left="129" w:firstLine="140"/>
              <w:jc w:val="both"/>
              <w:rPr>
                <w:u w:val="single"/>
              </w:rPr>
            </w:pPr>
          </w:p>
          <w:p w:rsidR="00432A2A" w:rsidRPr="00D53978" w:rsidRDefault="00432A2A" w:rsidP="008E73F2">
            <w:pPr>
              <w:pStyle w:val="naiskr"/>
              <w:ind w:left="129" w:firstLine="140"/>
              <w:jc w:val="both"/>
              <w:rPr>
                <w:u w:val="single"/>
              </w:rPr>
            </w:pPr>
            <w:r w:rsidRPr="00D53978">
              <w:rPr>
                <w:u w:val="single"/>
              </w:rPr>
              <w:t xml:space="preserve">Finansējuma pamatojums SIA „SAMC” štata vienības izveidei un </w:t>
            </w:r>
            <w:r w:rsidRPr="00D53978">
              <w:rPr>
                <w:u w:val="single"/>
              </w:rPr>
              <w:lastRenderedPageBreak/>
              <w:t>ikgadējai uzturēšanai: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3600"/>
              <w:gridCol w:w="1860"/>
            </w:tblGrid>
            <w:tr w:rsidR="00432A2A" w:rsidRPr="00A12528" w:rsidTr="00A12528">
              <w:trPr>
                <w:jc w:val="center"/>
              </w:trPr>
              <w:tc>
                <w:tcPr>
                  <w:tcW w:w="948" w:type="dxa"/>
                </w:tcPr>
                <w:p w:rsidR="00432A2A" w:rsidRPr="00A12528" w:rsidRDefault="00432A2A" w:rsidP="005D5C10">
                  <w:pPr>
                    <w:jc w:val="center"/>
                  </w:pPr>
                  <w:r w:rsidRPr="00A12528">
                    <w:t>1.</w:t>
                  </w:r>
                </w:p>
              </w:tc>
              <w:tc>
                <w:tcPr>
                  <w:tcW w:w="3600" w:type="dxa"/>
                </w:tcPr>
                <w:p w:rsidR="00432A2A" w:rsidRPr="00A12528" w:rsidRDefault="00432A2A" w:rsidP="005D5C10">
                  <w:pPr>
                    <w:jc w:val="both"/>
                  </w:pPr>
                  <w:r w:rsidRPr="00A12528">
                    <w:t>Darba alga   (700x 12)</w:t>
                  </w:r>
                </w:p>
              </w:tc>
              <w:tc>
                <w:tcPr>
                  <w:tcW w:w="1860" w:type="dxa"/>
                </w:tcPr>
                <w:p w:rsidR="00432A2A" w:rsidRPr="00A12528" w:rsidRDefault="00432A2A" w:rsidP="005D5C10">
                  <w:pPr>
                    <w:jc w:val="right"/>
                  </w:pPr>
                  <w:r w:rsidRPr="00A12528">
                    <w:t>8400.00</w:t>
                  </w:r>
                </w:p>
              </w:tc>
            </w:tr>
            <w:tr w:rsidR="00432A2A" w:rsidRPr="00A12528" w:rsidTr="00A12528">
              <w:trPr>
                <w:jc w:val="center"/>
              </w:trPr>
              <w:tc>
                <w:tcPr>
                  <w:tcW w:w="948" w:type="dxa"/>
                </w:tcPr>
                <w:p w:rsidR="00432A2A" w:rsidRPr="00A12528" w:rsidRDefault="00432A2A" w:rsidP="005D5C10">
                  <w:pPr>
                    <w:jc w:val="center"/>
                  </w:pPr>
                  <w:r w:rsidRPr="00A12528">
                    <w:t>2.</w:t>
                  </w:r>
                </w:p>
              </w:tc>
              <w:tc>
                <w:tcPr>
                  <w:tcW w:w="3600" w:type="dxa"/>
                </w:tcPr>
                <w:p w:rsidR="00432A2A" w:rsidRPr="00A12528" w:rsidRDefault="00432A2A" w:rsidP="005D5C10">
                  <w:pPr>
                    <w:jc w:val="both"/>
                  </w:pPr>
                  <w:r w:rsidRPr="00A12528">
                    <w:t>VSAOI  24.09%</w:t>
                  </w:r>
                </w:p>
              </w:tc>
              <w:tc>
                <w:tcPr>
                  <w:tcW w:w="1860" w:type="dxa"/>
                </w:tcPr>
                <w:p w:rsidR="00432A2A" w:rsidRPr="00A12528" w:rsidRDefault="00432A2A" w:rsidP="005D5C10">
                  <w:pPr>
                    <w:jc w:val="right"/>
                  </w:pPr>
                  <w:r w:rsidRPr="00A12528">
                    <w:t>2024.00</w:t>
                  </w:r>
                </w:p>
              </w:tc>
            </w:tr>
            <w:tr w:rsidR="00432A2A" w:rsidRPr="00A12528" w:rsidTr="00A12528">
              <w:trPr>
                <w:jc w:val="center"/>
              </w:trPr>
              <w:tc>
                <w:tcPr>
                  <w:tcW w:w="948" w:type="dxa"/>
                </w:tcPr>
                <w:p w:rsidR="00432A2A" w:rsidRPr="00A12528" w:rsidRDefault="00432A2A" w:rsidP="005D5C10">
                  <w:pPr>
                    <w:jc w:val="center"/>
                  </w:pPr>
                  <w:r w:rsidRPr="00A12528">
                    <w:t>3.</w:t>
                  </w:r>
                </w:p>
              </w:tc>
              <w:tc>
                <w:tcPr>
                  <w:tcW w:w="3600" w:type="dxa"/>
                </w:tcPr>
                <w:p w:rsidR="00432A2A" w:rsidRPr="00A12528" w:rsidRDefault="00432A2A" w:rsidP="005D5C10">
                  <w:pPr>
                    <w:jc w:val="both"/>
                  </w:pPr>
                  <w:r w:rsidRPr="00A12528">
                    <w:t xml:space="preserve">Veselības </w:t>
                  </w:r>
                  <w:proofErr w:type="spellStart"/>
                  <w:r w:rsidRPr="00A12528">
                    <w:t>apdr.polise</w:t>
                  </w:r>
                  <w:proofErr w:type="spellEnd"/>
                </w:p>
              </w:tc>
              <w:tc>
                <w:tcPr>
                  <w:tcW w:w="1860" w:type="dxa"/>
                </w:tcPr>
                <w:p w:rsidR="00432A2A" w:rsidRPr="00A12528" w:rsidRDefault="00432A2A" w:rsidP="005D5C10">
                  <w:pPr>
                    <w:jc w:val="right"/>
                  </w:pPr>
                  <w:r w:rsidRPr="00A12528">
                    <w:t>149.00</w:t>
                  </w:r>
                </w:p>
              </w:tc>
            </w:tr>
            <w:tr w:rsidR="00432A2A" w:rsidRPr="00A12528" w:rsidTr="00A12528">
              <w:trPr>
                <w:jc w:val="center"/>
              </w:trPr>
              <w:tc>
                <w:tcPr>
                  <w:tcW w:w="948" w:type="dxa"/>
                </w:tcPr>
                <w:p w:rsidR="00432A2A" w:rsidRPr="00A12528" w:rsidRDefault="00432A2A" w:rsidP="005D5C10">
                  <w:pPr>
                    <w:jc w:val="center"/>
                  </w:pPr>
                  <w:r w:rsidRPr="00A12528">
                    <w:t>4.</w:t>
                  </w:r>
                </w:p>
              </w:tc>
              <w:tc>
                <w:tcPr>
                  <w:tcW w:w="3600" w:type="dxa"/>
                </w:tcPr>
                <w:p w:rsidR="00432A2A" w:rsidRPr="00A12528" w:rsidRDefault="00432A2A" w:rsidP="005D5C10">
                  <w:pPr>
                    <w:jc w:val="both"/>
                  </w:pPr>
                  <w:r w:rsidRPr="00A12528">
                    <w:t>Datortehnika</w:t>
                  </w:r>
                </w:p>
              </w:tc>
              <w:tc>
                <w:tcPr>
                  <w:tcW w:w="1860" w:type="dxa"/>
                </w:tcPr>
                <w:p w:rsidR="00432A2A" w:rsidRPr="00A12528" w:rsidRDefault="00432A2A" w:rsidP="005D5C10">
                  <w:pPr>
                    <w:jc w:val="right"/>
                  </w:pPr>
                  <w:r w:rsidRPr="00A12528">
                    <w:t>350.00</w:t>
                  </w:r>
                </w:p>
              </w:tc>
            </w:tr>
            <w:tr w:rsidR="00432A2A" w:rsidRPr="00A12528" w:rsidTr="00A12528">
              <w:trPr>
                <w:jc w:val="center"/>
              </w:trPr>
              <w:tc>
                <w:tcPr>
                  <w:tcW w:w="948" w:type="dxa"/>
                </w:tcPr>
                <w:p w:rsidR="00432A2A" w:rsidRPr="00A12528" w:rsidRDefault="00432A2A" w:rsidP="005D5C10">
                  <w:pPr>
                    <w:jc w:val="center"/>
                  </w:pPr>
                  <w:r w:rsidRPr="00A12528">
                    <w:t>5.</w:t>
                  </w:r>
                </w:p>
              </w:tc>
              <w:tc>
                <w:tcPr>
                  <w:tcW w:w="3600" w:type="dxa"/>
                </w:tcPr>
                <w:p w:rsidR="00432A2A" w:rsidRPr="00A12528" w:rsidRDefault="00432A2A" w:rsidP="005D5C10">
                  <w:pPr>
                    <w:jc w:val="both"/>
                  </w:pPr>
                  <w:r w:rsidRPr="00A12528">
                    <w:t>Kancelejas preces</w:t>
                  </w:r>
                </w:p>
              </w:tc>
              <w:tc>
                <w:tcPr>
                  <w:tcW w:w="1860" w:type="dxa"/>
                </w:tcPr>
                <w:p w:rsidR="00432A2A" w:rsidRPr="00A12528" w:rsidRDefault="00432A2A" w:rsidP="005D5C10">
                  <w:pPr>
                    <w:jc w:val="right"/>
                  </w:pPr>
                  <w:r w:rsidRPr="00A12528">
                    <w:t>50.00</w:t>
                  </w:r>
                </w:p>
              </w:tc>
            </w:tr>
            <w:tr w:rsidR="00432A2A" w:rsidRPr="00A12528" w:rsidTr="00A12528">
              <w:trPr>
                <w:jc w:val="center"/>
              </w:trPr>
              <w:tc>
                <w:tcPr>
                  <w:tcW w:w="948" w:type="dxa"/>
                </w:tcPr>
                <w:p w:rsidR="00432A2A" w:rsidRPr="00A12528" w:rsidRDefault="00432A2A" w:rsidP="005D5C10">
                  <w:pPr>
                    <w:jc w:val="center"/>
                  </w:pPr>
                  <w:r w:rsidRPr="00A12528">
                    <w:t>6.</w:t>
                  </w:r>
                </w:p>
              </w:tc>
              <w:tc>
                <w:tcPr>
                  <w:tcW w:w="3600" w:type="dxa"/>
                </w:tcPr>
                <w:p w:rsidR="00432A2A" w:rsidRPr="00A12528" w:rsidRDefault="00432A2A" w:rsidP="005D5C10">
                  <w:pPr>
                    <w:jc w:val="both"/>
                  </w:pPr>
                  <w:r w:rsidRPr="00A12528">
                    <w:t>Vizītkartes, spiedogi</w:t>
                  </w:r>
                </w:p>
              </w:tc>
              <w:tc>
                <w:tcPr>
                  <w:tcW w:w="1860" w:type="dxa"/>
                </w:tcPr>
                <w:p w:rsidR="00432A2A" w:rsidRPr="00A12528" w:rsidRDefault="00432A2A" w:rsidP="005D5C10">
                  <w:pPr>
                    <w:jc w:val="right"/>
                  </w:pPr>
                  <w:r w:rsidRPr="00A12528">
                    <w:t>60.00</w:t>
                  </w:r>
                </w:p>
              </w:tc>
            </w:tr>
            <w:tr w:rsidR="00432A2A" w:rsidRPr="00A12528" w:rsidTr="00A12528">
              <w:trPr>
                <w:jc w:val="center"/>
              </w:trPr>
              <w:tc>
                <w:tcPr>
                  <w:tcW w:w="948" w:type="dxa"/>
                </w:tcPr>
                <w:p w:rsidR="00432A2A" w:rsidRPr="00A12528" w:rsidRDefault="00432A2A" w:rsidP="005D5C10">
                  <w:pPr>
                    <w:jc w:val="center"/>
                  </w:pPr>
                  <w:r w:rsidRPr="00A12528">
                    <w:t>7.</w:t>
                  </w:r>
                </w:p>
              </w:tc>
              <w:tc>
                <w:tcPr>
                  <w:tcW w:w="3600" w:type="dxa"/>
                </w:tcPr>
                <w:p w:rsidR="00432A2A" w:rsidRPr="00A12528" w:rsidRDefault="00432A2A" w:rsidP="005D5C10">
                  <w:pPr>
                    <w:jc w:val="both"/>
                  </w:pPr>
                  <w:r w:rsidRPr="00A12528">
                    <w:t>Komandējumi (4x 800)</w:t>
                  </w:r>
                </w:p>
              </w:tc>
              <w:tc>
                <w:tcPr>
                  <w:tcW w:w="1860" w:type="dxa"/>
                </w:tcPr>
                <w:p w:rsidR="00432A2A" w:rsidRPr="00A12528" w:rsidRDefault="00432A2A" w:rsidP="005D5C10">
                  <w:pPr>
                    <w:jc w:val="right"/>
                  </w:pPr>
                  <w:r w:rsidRPr="00A12528">
                    <w:t>3200.00</w:t>
                  </w:r>
                </w:p>
              </w:tc>
            </w:tr>
            <w:tr w:rsidR="00432A2A" w:rsidRPr="00A12528" w:rsidTr="00A12528">
              <w:trPr>
                <w:jc w:val="center"/>
              </w:trPr>
              <w:tc>
                <w:tcPr>
                  <w:tcW w:w="948" w:type="dxa"/>
                </w:tcPr>
                <w:p w:rsidR="00432A2A" w:rsidRPr="00A12528" w:rsidRDefault="00432A2A" w:rsidP="005D5C10">
                  <w:pPr>
                    <w:jc w:val="center"/>
                  </w:pPr>
                </w:p>
              </w:tc>
              <w:tc>
                <w:tcPr>
                  <w:tcW w:w="3600" w:type="dxa"/>
                </w:tcPr>
                <w:p w:rsidR="00432A2A" w:rsidRPr="00A12528" w:rsidRDefault="00432A2A" w:rsidP="005D5C10">
                  <w:pPr>
                    <w:jc w:val="both"/>
                    <w:rPr>
                      <w:b/>
                    </w:rPr>
                  </w:pPr>
                  <w:r w:rsidRPr="00A12528">
                    <w:rPr>
                      <w:b/>
                    </w:rPr>
                    <w:t>Kopā</w:t>
                  </w:r>
                </w:p>
              </w:tc>
              <w:tc>
                <w:tcPr>
                  <w:tcW w:w="1860" w:type="dxa"/>
                </w:tcPr>
                <w:p w:rsidR="00432A2A" w:rsidRPr="00A12528" w:rsidRDefault="00432A2A" w:rsidP="00A12528">
                  <w:pPr>
                    <w:jc w:val="right"/>
                    <w:rPr>
                      <w:b/>
                    </w:rPr>
                  </w:pPr>
                  <w:r w:rsidRPr="00A12528">
                    <w:rPr>
                      <w:b/>
                    </w:rPr>
                    <w:t>14233.00 L</w:t>
                  </w:r>
                  <w:r>
                    <w:rPr>
                      <w:b/>
                    </w:rPr>
                    <w:t>VL</w:t>
                  </w:r>
                </w:p>
              </w:tc>
            </w:tr>
          </w:tbl>
          <w:p w:rsidR="00432A2A" w:rsidRPr="0015346F" w:rsidRDefault="00432A2A" w:rsidP="008E73F2">
            <w:pPr>
              <w:pStyle w:val="naiskr"/>
              <w:ind w:left="129" w:firstLine="140"/>
              <w:jc w:val="both"/>
            </w:pPr>
          </w:p>
        </w:tc>
      </w:tr>
      <w:tr w:rsidR="00432A2A" w:rsidRPr="0061389E" w:rsidTr="001A72E7">
        <w:trPr>
          <w:tblCellSpacing w:w="0" w:type="dxa"/>
        </w:trPr>
        <w:tc>
          <w:tcPr>
            <w:tcW w:w="1253" w:type="pct"/>
            <w:tcBorders>
              <w:top w:val="outset" w:sz="6" w:space="0" w:color="auto"/>
              <w:left w:val="outset" w:sz="6" w:space="0" w:color="auto"/>
              <w:bottom w:val="outset" w:sz="6" w:space="0" w:color="auto"/>
              <w:right w:val="outset" w:sz="6" w:space="0" w:color="auto"/>
            </w:tcBorders>
          </w:tcPr>
          <w:p w:rsidR="00432A2A" w:rsidRPr="00D36BE0" w:rsidRDefault="00432A2A" w:rsidP="00D36BE0">
            <w:pPr>
              <w:spacing w:before="100" w:beforeAutospacing="1" w:after="100" w:afterAutospacing="1"/>
            </w:pPr>
            <w:r w:rsidRPr="00D36BE0">
              <w:t>6.1. detalizēts ieņēmumu aprēķins</w:t>
            </w:r>
          </w:p>
        </w:tc>
        <w:tc>
          <w:tcPr>
            <w:tcW w:w="3747" w:type="pct"/>
            <w:gridSpan w:val="5"/>
            <w:vMerge/>
            <w:tcBorders>
              <w:left w:val="outset" w:sz="6" w:space="0" w:color="auto"/>
              <w:right w:val="outset" w:sz="6" w:space="0" w:color="auto"/>
            </w:tcBorders>
            <w:vAlign w:val="center"/>
          </w:tcPr>
          <w:p w:rsidR="00432A2A" w:rsidRDefault="00432A2A" w:rsidP="005D1C03">
            <w:pPr>
              <w:pStyle w:val="naiskr"/>
              <w:ind w:left="129" w:firstLine="140"/>
              <w:jc w:val="center"/>
            </w:pPr>
          </w:p>
        </w:tc>
      </w:tr>
      <w:tr w:rsidR="00432A2A" w:rsidRPr="0061389E" w:rsidTr="001A72E7">
        <w:trPr>
          <w:tblCellSpacing w:w="0" w:type="dxa"/>
        </w:trPr>
        <w:tc>
          <w:tcPr>
            <w:tcW w:w="1253" w:type="pct"/>
            <w:tcBorders>
              <w:top w:val="outset" w:sz="6" w:space="0" w:color="auto"/>
              <w:left w:val="outset" w:sz="6" w:space="0" w:color="auto"/>
              <w:bottom w:val="outset" w:sz="6" w:space="0" w:color="auto"/>
              <w:right w:val="outset" w:sz="6" w:space="0" w:color="auto"/>
            </w:tcBorders>
          </w:tcPr>
          <w:p w:rsidR="00432A2A" w:rsidRPr="00D36BE0" w:rsidRDefault="00432A2A" w:rsidP="00D36BE0">
            <w:pPr>
              <w:spacing w:before="100" w:beforeAutospacing="1" w:after="100" w:afterAutospacing="1"/>
            </w:pPr>
            <w:r w:rsidRPr="00D36BE0">
              <w:t>6.2. detalizēts izdevumu aprēķins</w:t>
            </w:r>
          </w:p>
        </w:tc>
        <w:tc>
          <w:tcPr>
            <w:tcW w:w="3747" w:type="pct"/>
            <w:gridSpan w:val="5"/>
            <w:vMerge/>
            <w:tcBorders>
              <w:left w:val="outset" w:sz="6" w:space="0" w:color="auto"/>
              <w:bottom w:val="outset" w:sz="6" w:space="0" w:color="auto"/>
              <w:right w:val="outset" w:sz="6" w:space="0" w:color="auto"/>
            </w:tcBorders>
            <w:vAlign w:val="center"/>
          </w:tcPr>
          <w:p w:rsidR="00432A2A" w:rsidRDefault="00432A2A" w:rsidP="005D1C03">
            <w:pPr>
              <w:pStyle w:val="naiskr"/>
              <w:ind w:left="129" w:firstLine="140"/>
              <w:jc w:val="center"/>
            </w:pPr>
          </w:p>
        </w:tc>
      </w:tr>
      <w:tr w:rsidR="00432A2A" w:rsidRPr="0061389E" w:rsidTr="001A72E7">
        <w:trPr>
          <w:tblCellSpacing w:w="0" w:type="dxa"/>
        </w:trPr>
        <w:tc>
          <w:tcPr>
            <w:tcW w:w="1253" w:type="pct"/>
            <w:tcBorders>
              <w:top w:val="outset" w:sz="6" w:space="0" w:color="auto"/>
              <w:left w:val="outset" w:sz="6" w:space="0" w:color="auto"/>
              <w:bottom w:val="outset" w:sz="6" w:space="0" w:color="auto"/>
              <w:right w:val="outset" w:sz="6" w:space="0" w:color="auto"/>
            </w:tcBorders>
          </w:tcPr>
          <w:p w:rsidR="00432A2A" w:rsidRPr="00D36BE0" w:rsidRDefault="00432A2A" w:rsidP="00D36BE0">
            <w:pPr>
              <w:spacing w:before="100" w:beforeAutospacing="1" w:after="100" w:afterAutospacing="1"/>
            </w:pPr>
            <w:r w:rsidRPr="00D36BE0">
              <w:lastRenderedPageBreak/>
              <w:t>7. Cita informācija</w:t>
            </w:r>
          </w:p>
        </w:tc>
        <w:tc>
          <w:tcPr>
            <w:tcW w:w="3747" w:type="pct"/>
            <w:gridSpan w:val="5"/>
            <w:tcBorders>
              <w:top w:val="outset" w:sz="6" w:space="0" w:color="auto"/>
              <w:left w:val="outset" w:sz="6" w:space="0" w:color="auto"/>
              <w:bottom w:val="outset" w:sz="6" w:space="0" w:color="auto"/>
              <w:right w:val="outset" w:sz="6" w:space="0" w:color="auto"/>
            </w:tcBorders>
            <w:vAlign w:val="center"/>
          </w:tcPr>
          <w:p w:rsidR="00432A2A" w:rsidRDefault="00432A2A" w:rsidP="008128C6">
            <w:pPr>
              <w:pStyle w:val="naiskr"/>
              <w:ind w:left="129" w:firstLine="140"/>
            </w:pPr>
            <w:r>
              <w:t>Nav</w:t>
            </w:r>
          </w:p>
        </w:tc>
      </w:tr>
    </w:tbl>
    <w:p w:rsidR="00D52DDB" w:rsidRDefault="00D52DDB" w:rsidP="0061389E">
      <w:pPr>
        <w:pStyle w:val="naisf"/>
        <w:ind w:firstLine="0"/>
      </w:pPr>
    </w:p>
    <w:p w:rsidR="004601ED" w:rsidRDefault="004601ED" w:rsidP="0061389E">
      <w:pPr>
        <w:pStyle w:val="naisf"/>
        <w:ind w:firstLine="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1"/>
        <w:gridCol w:w="1249"/>
        <w:gridCol w:w="1524"/>
        <w:gridCol w:w="375"/>
        <w:gridCol w:w="2710"/>
        <w:gridCol w:w="2712"/>
      </w:tblGrid>
      <w:tr w:rsidR="004601ED" w:rsidRPr="0061389E" w:rsidTr="004601ED">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4601ED" w:rsidRPr="0061389E" w:rsidRDefault="004601ED" w:rsidP="004601ED">
            <w:pPr>
              <w:pStyle w:val="naisc"/>
              <w:keepNext/>
            </w:pPr>
            <w:r w:rsidRPr="0061389E">
              <w:br w:type="page"/>
            </w:r>
            <w:r w:rsidRPr="0061389E">
              <w:rPr>
                <w:b/>
                <w:bCs/>
              </w:rPr>
              <w:t xml:space="preserve"> V. </w:t>
            </w:r>
            <w:r w:rsidRPr="004601ED">
              <w:rPr>
                <w:b/>
                <w:bCs/>
              </w:rPr>
              <w:t>Tiesību akta projekta atbilstība Latvijas Republikas starptautiskajām saistībām</w:t>
            </w:r>
          </w:p>
        </w:tc>
      </w:tr>
      <w:tr w:rsidR="004601ED" w:rsidRPr="0061389E" w:rsidTr="004601ED">
        <w:trPr>
          <w:trHeight w:val="553"/>
          <w:tblCellSpacing w:w="0" w:type="dxa"/>
        </w:trPr>
        <w:tc>
          <w:tcPr>
            <w:tcW w:w="292" w:type="pct"/>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jc w:val="center"/>
            </w:pPr>
            <w:r w:rsidRPr="0061389E">
              <w:t>1.</w:t>
            </w:r>
          </w:p>
        </w:tc>
        <w:tc>
          <w:tcPr>
            <w:tcW w:w="152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4601ED">
            <w:pPr>
              <w:pStyle w:val="naiskr"/>
              <w:tabs>
                <w:tab w:val="left" w:pos="170"/>
              </w:tabs>
              <w:ind w:left="170" w:right="129"/>
              <w:jc w:val="both"/>
            </w:pPr>
            <w:r w:rsidRPr="004601ED">
              <w:t>Saistības pret Eiropas Savienību</w:t>
            </w:r>
          </w:p>
        </w:tc>
        <w:tc>
          <w:tcPr>
            <w:tcW w:w="3185" w:type="pct"/>
            <w:gridSpan w:val="3"/>
            <w:tcBorders>
              <w:top w:val="outset" w:sz="6" w:space="0" w:color="auto"/>
              <w:left w:val="outset" w:sz="6" w:space="0" w:color="auto"/>
              <w:bottom w:val="outset" w:sz="6" w:space="0" w:color="auto"/>
              <w:right w:val="outset" w:sz="6" w:space="0" w:color="auto"/>
            </w:tcBorders>
            <w:vAlign w:val="center"/>
          </w:tcPr>
          <w:p w:rsidR="004601ED" w:rsidRPr="00921BCE" w:rsidRDefault="004601ED" w:rsidP="00A05A43">
            <w:pPr>
              <w:pStyle w:val="naiskr"/>
              <w:ind w:left="130" w:right="127" w:firstLine="142"/>
              <w:jc w:val="both"/>
              <w:rPr>
                <w:iCs/>
              </w:rPr>
            </w:pPr>
            <w:r w:rsidRPr="004601ED">
              <w:rPr>
                <w:iCs/>
              </w:rPr>
              <w:t>Eiropas Komisijas 2003.gada 11.decembra rekomendācija 2003/887/EK par Eirokodeksa ieviešanu un izmantošanu būvēs un nesošajās konstrukcijās</w:t>
            </w:r>
            <w:r>
              <w:rPr>
                <w:iCs/>
              </w:rPr>
              <w:t>.</w:t>
            </w:r>
          </w:p>
        </w:tc>
      </w:tr>
      <w:tr w:rsidR="004601ED" w:rsidRPr="0061389E" w:rsidTr="004601ED">
        <w:trPr>
          <w:trHeight w:val="339"/>
          <w:tblCellSpacing w:w="0" w:type="dxa"/>
        </w:trPr>
        <w:tc>
          <w:tcPr>
            <w:tcW w:w="292" w:type="pct"/>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jc w:val="center"/>
            </w:pPr>
            <w:r w:rsidRPr="0061389E">
              <w:t>2.</w:t>
            </w:r>
          </w:p>
        </w:tc>
        <w:tc>
          <w:tcPr>
            <w:tcW w:w="152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4601ED">
            <w:pPr>
              <w:pStyle w:val="naiskr"/>
              <w:ind w:left="170" w:right="129"/>
              <w:jc w:val="both"/>
            </w:pPr>
            <w:r w:rsidRPr="004601ED">
              <w:t>Citas starptautiskās saistības</w:t>
            </w:r>
          </w:p>
        </w:tc>
        <w:tc>
          <w:tcPr>
            <w:tcW w:w="3185" w:type="pct"/>
            <w:gridSpan w:val="3"/>
            <w:tcBorders>
              <w:top w:val="outset" w:sz="6" w:space="0" w:color="auto"/>
              <w:left w:val="outset" w:sz="6" w:space="0" w:color="auto"/>
              <w:bottom w:val="outset" w:sz="6" w:space="0" w:color="auto"/>
              <w:right w:val="outset" w:sz="6" w:space="0" w:color="auto"/>
            </w:tcBorders>
            <w:vAlign w:val="center"/>
          </w:tcPr>
          <w:p w:rsidR="004601ED" w:rsidRPr="002C2A54" w:rsidRDefault="004601ED" w:rsidP="00A05A43">
            <w:pPr>
              <w:pStyle w:val="naiskr"/>
              <w:ind w:left="130" w:right="127" w:firstLine="142"/>
              <w:jc w:val="both"/>
              <w:rPr>
                <w:highlight w:val="yellow"/>
              </w:rPr>
            </w:pPr>
            <w:r w:rsidRPr="004601ED">
              <w:t>Projekts šo jomu neskar</w:t>
            </w:r>
            <w:r>
              <w:t>.</w:t>
            </w:r>
          </w:p>
        </w:tc>
      </w:tr>
      <w:tr w:rsidR="004601ED" w:rsidRPr="0061389E" w:rsidTr="004601ED">
        <w:trPr>
          <w:trHeight w:val="339"/>
          <w:tblCellSpacing w:w="0" w:type="dxa"/>
        </w:trPr>
        <w:tc>
          <w:tcPr>
            <w:tcW w:w="292" w:type="pct"/>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jc w:val="center"/>
            </w:pPr>
            <w:r>
              <w:t>3.</w:t>
            </w:r>
          </w:p>
        </w:tc>
        <w:tc>
          <w:tcPr>
            <w:tcW w:w="152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4601ED">
            <w:pPr>
              <w:pStyle w:val="naiskr"/>
              <w:ind w:left="170" w:right="129"/>
              <w:jc w:val="both"/>
            </w:pPr>
            <w:r w:rsidRPr="004601ED">
              <w:t>Cita informācija</w:t>
            </w:r>
          </w:p>
        </w:tc>
        <w:tc>
          <w:tcPr>
            <w:tcW w:w="3185" w:type="pct"/>
            <w:gridSpan w:val="3"/>
            <w:tcBorders>
              <w:top w:val="outset" w:sz="6" w:space="0" w:color="auto"/>
              <w:left w:val="outset" w:sz="6" w:space="0" w:color="auto"/>
              <w:bottom w:val="outset" w:sz="6" w:space="0" w:color="auto"/>
              <w:right w:val="outset" w:sz="6" w:space="0" w:color="auto"/>
            </w:tcBorders>
            <w:vAlign w:val="center"/>
          </w:tcPr>
          <w:p w:rsidR="004601ED" w:rsidRPr="0082759F" w:rsidRDefault="004601ED" w:rsidP="00A05A43">
            <w:pPr>
              <w:pStyle w:val="naiskr"/>
              <w:ind w:left="130" w:right="127" w:firstLine="142"/>
              <w:jc w:val="both"/>
              <w:rPr>
                <w:iCs/>
              </w:rPr>
            </w:pPr>
            <w:r>
              <w:rPr>
                <w:iCs/>
              </w:rPr>
              <w:t>Nav</w:t>
            </w:r>
          </w:p>
        </w:tc>
      </w:tr>
      <w:tr w:rsidR="004601ED" w:rsidRPr="0061389E" w:rsidTr="004601ED">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4601ED" w:rsidRPr="0061389E" w:rsidRDefault="004601ED" w:rsidP="004601ED">
            <w:pPr>
              <w:pStyle w:val="tvhtml"/>
              <w:jc w:val="center"/>
            </w:pPr>
            <w:r w:rsidRPr="0061389E">
              <w:br w:type="page"/>
            </w:r>
            <w:r>
              <w:rPr>
                <w:b/>
                <w:bCs/>
              </w:rPr>
              <w:t>1.tabula</w:t>
            </w:r>
            <w:r>
              <w:rPr>
                <w:b/>
                <w:bCs/>
              </w:rPr>
              <w:br/>
              <w:t>Tiesību akta projekta atbilstība ES tiesību aktiem</w:t>
            </w:r>
          </w:p>
        </w:tc>
      </w:tr>
      <w:tr w:rsidR="004601ED" w:rsidRPr="0061389E" w:rsidTr="004601ED">
        <w:trPr>
          <w:trHeight w:val="553"/>
          <w:tblCellSpacing w:w="0" w:type="dxa"/>
        </w:trPr>
        <w:tc>
          <w:tcPr>
            <w:tcW w:w="978"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4601ED">
            <w:pPr>
              <w:pStyle w:val="naiskr"/>
              <w:jc w:val="center"/>
            </w:pPr>
            <w:r>
              <w:t>A</w:t>
            </w:r>
          </w:p>
        </w:tc>
        <w:tc>
          <w:tcPr>
            <w:tcW w:w="104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4601ED">
            <w:pPr>
              <w:pStyle w:val="naiskr"/>
              <w:tabs>
                <w:tab w:val="left" w:pos="170"/>
              </w:tabs>
              <w:ind w:left="170" w:right="129"/>
              <w:jc w:val="center"/>
            </w:pPr>
            <w:r>
              <w:t>B</w:t>
            </w:r>
          </w:p>
        </w:tc>
        <w:tc>
          <w:tcPr>
            <w:tcW w:w="1489" w:type="pct"/>
            <w:tcBorders>
              <w:top w:val="outset" w:sz="6" w:space="0" w:color="auto"/>
              <w:left w:val="outset" w:sz="6" w:space="0" w:color="auto"/>
              <w:bottom w:val="outset" w:sz="6" w:space="0" w:color="auto"/>
              <w:right w:val="outset" w:sz="6" w:space="0" w:color="auto"/>
            </w:tcBorders>
            <w:vAlign w:val="center"/>
          </w:tcPr>
          <w:p w:rsidR="004601ED" w:rsidRPr="004601ED" w:rsidRDefault="004601ED" w:rsidP="004601ED">
            <w:pPr>
              <w:pStyle w:val="naiskr"/>
              <w:ind w:left="130" w:right="127" w:firstLine="142"/>
              <w:jc w:val="center"/>
            </w:pPr>
            <w:r w:rsidRPr="004601ED">
              <w:t>C</w:t>
            </w:r>
          </w:p>
        </w:tc>
        <w:tc>
          <w:tcPr>
            <w:tcW w:w="1490" w:type="pct"/>
            <w:tcBorders>
              <w:top w:val="outset" w:sz="6" w:space="0" w:color="auto"/>
              <w:left w:val="outset" w:sz="6" w:space="0" w:color="auto"/>
              <w:bottom w:val="outset" w:sz="6" w:space="0" w:color="auto"/>
              <w:right w:val="outset" w:sz="6" w:space="0" w:color="auto"/>
            </w:tcBorders>
          </w:tcPr>
          <w:p w:rsidR="004601ED" w:rsidRPr="004601ED" w:rsidRDefault="004601ED" w:rsidP="004601ED">
            <w:pPr>
              <w:pStyle w:val="naiskr"/>
              <w:ind w:left="130" w:right="127" w:firstLine="142"/>
              <w:jc w:val="center"/>
            </w:pPr>
            <w:r w:rsidRPr="004601ED">
              <w:t>D</w:t>
            </w:r>
          </w:p>
        </w:tc>
      </w:tr>
      <w:tr w:rsidR="004601ED" w:rsidRPr="004601ED" w:rsidTr="004601ED">
        <w:trPr>
          <w:trHeight w:val="339"/>
          <w:tblCellSpacing w:w="0" w:type="dxa"/>
        </w:trPr>
        <w:tc>
          <w:tcPr>
            <w:tcW w:w="978" w:type="pct"/>
            <w:gridSpan w:val="2"/>
            <w:tcBorders>
              <w:top w:val="outset" w:sz="6" w:space="0" w:color="auto"/>
              <w:left w:val="outset" w:sz="6" w:space="0" w:color="auto"/>
              <w:bottom w:val="outset" w:sz="6" w:space="0" w:color="auto"/>
              <w:right w:val="outset" w:sz="6" w:space="0" w:color="auto"/>
            </w:tcBorders>
          </w:tcPr>
          <w:p w:rsidR="004601ED" w:rsidRPr="004601ED" w:rsidRDefault="004601ED" w:rsidP="004601ED">
            <w:pPr>
              <w:pStyle w:val="naiskr"/>
              <w:jc w:val="both"/>
            </w:pPr>
            <w:r w:rsidRPr="004601ED">
              <w:t>Attiecīgā ES tiesību akta panta numurs (uzskaitot katru tiesību akta vienību – pantu, daļu, punktu, apakšpunktu)</w:t>
            </w:r>
          </w:p>
        </w:tc>
        <w:tc>
          <w:tcPr>
            <w:tcW w:w="1043" w:type="pct"/>
            <w:gridSpan w:val="2"/>
            <w:tcBorders>
              <w:top w:val="outset" w:sz="6" w:space="0" w:color="auto"/>
              <w:left w:val="outset" w:sz="6" w:space="0" w:color="auto"/>
              <w:bottom w:val="outset" w:sz="6" w:space="0" w:color="auto"/>
              <w:right w:val="outset" w:sz="6" w:space="0" w:color="auto"/>
            </w:tcBorders>
          </w:tcPr>
          <w:p w:rsidR="004601ED" w:rsidRPr="004601ED" w:rsidRDefault="004601ED" w:rsidP="004601ED">
            <w:pPr>
              <w:pStyle w:val="naiskr"/>
              <w:ind w:left="170" w:right="129"/>
              <w:jc w:val="both"/>
            </w:pPr>
            <w:r w:rsidRPr="004601ED">
              <w:t>Projekta vienība, kas pārņem vai ievieš katru šīs tabulas A ailē minēto ES tiesību akta vienību, vai tiesību akts, kur attiecīgā ES tiesību akta vienība pārņemta vai ieviesta</w:t>
            </w:r>
          </w:p>
        </w:tc>
        <w:tc>
          <w:tcPr>
            <w:tcW w:w="1489" w:type="pct"/>
            <w:tcBorders>
              <w:top w:val="outset" w:sz="6" w:space="0" w:color="auto"/>
              <w:left w:val="outset" w:sz="6" w:space="0" w:color="auto"/>
              <w:bottom w:val="outset" w:sz="6" w:space="0" w:color="auto"/>
              <w:right w:val="outset" w:sz="6" w:space="0" w:color="auto"/>
            </w:tcBorders>
          </w:tcPr>
          <w:p w:rsidR="004601ED" w:rsidRPr="004601ED" w:rsidRDefault="004601ED" w:rsidP="004601ED">
            <w:pPr>
              <w:pStyle w:val="naiskr"/>
              <w:ind w:left="130" w:right="127" w:firstLine="142"/>
              <w:jc w:val="both"/>
            </w:pPr>
            <w:r w:rsidRPr="004601ED">
              <w:t xml:space="preserve">Informācija par to, vai šīs tabulas A ailē minētās ES tiesību akta vienības tiek pārņemtas vai ieviestas pilnībā vai daļēji. </w:t>
            </w:r>
          </w:p>
          <w:p w:rsidR="004601ED" w:rsidRPr="004601ED" w:rsidRDefault="004601ED" w:rsidP="004601ED">
            <w:pPr>
              <w:pStyle w:val="naiskr"/>
              <w:ind w:left="130" w:right="127" w:firstLine="142"/>
              <w:jc w:val="both"/>
            </w:pPr>
            <w:r w:rsidRPr="004601ED">
              <w:t>Ja attiecīgā ES tiesību akta vienība tiek pārņemta vai ieviesta daļēji, sniedz attiecīgu skaidrojumu, kā arī precīzi norāda, kad un kādā veidā ES tiesību akta vienība tiks pārņemta vai ieviesta pilnībā.</w:t>
            </w:r>
          </w:p>
          <w:p w:rsidR="004601ED" w:rsidRPr="004601ED" w:rsidRDefault="004601ED" w:rsidP="004601ED">
            <w:pPr>
              <w:pStyle w:val="naiskr"/>
              <w:ind w:left="130" w:right="127" w:firstLine="142"/>
              <w:jc w:val="both"/>
            </w:pPr>
            <w:r w:rsidRPr="004601ED">
              <w:t>Norāda institūciju, kas ir atbildīga par šo saistību izpildi pilnībā</w:t>
            </w:r>
          </w:p>
        </w:tc>
        <w:tc>
          <w:tcPr>
            <w:tcW w:w="1490" w:type="pct"/>
            <w:tcBorders>
              <w:top w:val="outset" w:sz="6" w:space="0" w:color="auto"/>
              <w:left w:val="outset" w:sz="6" w:space="0" w:color="auto"/>
              <w:bottom w:val="outset" w:sz="6" w:space="0" w:color="auto"/>
              <w:right w:val="outset" w:sz="6" w:space="0" w:color="auto"/>
            </w:tcBorders>
          </w:tcPr>
          <w:p w:rsidR="004601ED" w:rsidRPr="004601ED" w:rsidRDefault="004601ED" w:rsidP="004601ED">
            <w:pPr>
              <w:pStyle w:val="naiskr"/>
              <w:ind w:left="130" w:right="127" w:firstLine="142"/>
              <w:jc w:val="both"/>
            </w:pPr>
            <w:r w:rsidRPr="004601ED">
              <w:t xml:space="preserve">Informācija par to, vai šīs tabulas B ailē minētās projekta vienības paredz stingrākas prasības nekā šīs tabulas A ailē minētās ES tiesību akta vienības. </w:t>
            </w:r>
          </w:p>
          <w:p w:rsidR="004601ED" w:rsidRPr="004601ED" w:rsidRDefault="004601ED" w:rsidP="004601ED">
            <w:pPr>
              <w:pStyle w:val="naiskr"/>
              <w:ind w:left="130" w:right="127" w:firstLine="142"/>
              <w:jc w:val="both"/>
            </w:pPr>
            <w:r w:rsidRPr="004601ED">
              <w:t>Ja projekts satur stingrākas prasības nekā attiecīgais ES tiesību akts, norāda pamatojumu un samērīgumu.</w:t>
            </w:r>
          </w:p>
          <w:p w:rsidR="004601ED" w:rsidRPr="004601ED" w:rsidRDefault="004601ED" w:rsidP="004601ED">
            <w:pPr>
              <w:pStyle w:val="naiskr"/>
              <w:ind w:left="130" w:right="127" w:firstLine="142"/>
              <w:jc w:val="both"/>
            </w:pPr>
            <w:r w:rsidRPr="004601ED">
              <w:t xml:space="preserve">Norāda iespējamās alternatīvas (t.sk. alternatīvas, kas neparedz tiesiskā regulējuma izstrādi) – kādos gadījumos būtu iespējams izvairīties no stingrāku prasību noteikšanas, nekā paredzēts attiecīgajos ES </w:t>
            </w:r>
            <w:r w:rsidRPr="004601ED">
              <w:lastRenderedPageBreak/>
              <w:t>tiesību aktos</w:t>
            </w:r>
          </w:p>
        </w:tc>
      </w:tr>
      <w:tr w:rsidR="004601ED" w:rsidRPr="0061389E" w:rsidTr="004601ED">
        <w:trPr>
          <w:trHeight w:val="339"/>
          <w:tblCellSpacing w:w="0" w:type="dxa"/>
        </w:trPr>
        <w:tc>
          <w:tcPr>
            <w:tcW w:w="978"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4601ED">
            <w:pPr>
              <w:pStyle w:val="naiskr"/>
              <w:jc w:val="center"/>
            </w:pPr>
            <w:r>
              <w:lastRenderedPageBreak/>
              <w:t>1.punkts</w:t>
            </w:r>
          </w:p>
        </w:tc>
        <w:tc>
          <w:tcPr>
            <w:tcW w:w="104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ind w:left="170" w:right="129"/>
              <w:jc w:val="both"/>
            </w:pPr>
            <w:r>
              <w:t>Plāna projekta 3.1. </w:t>
            </w:r>
            <w:proofErr w:type="spellStart"/>
            <w:r>
              <w:t>apakšsadaļa</w:t>
            </w:r>
            <w:proofErr w:type="spellEnd"/>
          </w:p>
        </w:tc>
        <w:tc>
          <w:tcPr>
            <w:tcW w:w="1489" w:type="pct"/>
            <w:tcBorders>
              <w:top w:val="outset" w:sz="6" w:space="0" w:color="auto"/>
              <w:left w:val="outset" w:sz="6" w:space="0" w:color="auto"/>
              <w:bottom w:val="outset" w:sz="6" w:space="0" w:color="auto"/>
              <w:right w:val="outset" w:sz="6" w:space="0" w:color="auto"/>
            </w:tcBorders>
            <w:vAlign w:val="center"/>
          </w:tcPr>
          <w:p w:rsidR="004601ED" w:rsidRPr="004601ED" w:rsidRDefault="004601ED" w:rsidP="004601ED">
            <w:pPr>
              <w:pStyle w:val="naiskr"/>
              <w:ind w:left="130" w:right="127" w:firstLine="142"/>
              <w:jc w:val="both"/>
            </w:pPr>
            <w:r>
              <w:t>1.punkts tiek ieviests pilnībā</w:t>
            </w:r>
          </w:p>
        </w:tc>
        <w:tc>
          <w:tcPr>
            <w:tcW w:w="1490" w:type="pct"/>
            <w:tcBorders>
              <w:top w:val="outset" w:sz="6" w:space="0" w:color="auto"/>
              <w:left w:val="outset" w:sz="6" w:space="0" w:color="auto"/>
              <w:bottom w:val="outset" w:sz="6" w:space="0" w:color="auto"/>
              <w:right w:val="outset" w:sz="6" w:space="0" w:color="auto"/>
            </w:tcBorders>
          </w:tcPr>
          <w:p w:rsidR="004601ED" w:rsidRPr="004601ED" w:rsidRDefault="004601ED" w:rsidP="00A05A43">
            <w:pPr>
              <w:pStyle w:val="naiskr"/>
              <w:ind w:left="130" w:right="127" w:firstLine="142"/>
              <w:jc w:val="both"/>
            </w:pPr>
            <w:r>
              <w:t>Projekts neparedz stingrākas prasības</w:t>
            </w:r>
          </w:p>
        </w:tc>
      </w:tr>
      <w:tr w:rsidR="004601ED" w:rsidRPr="0061389E" w:rsidTr="004601ED">
        <w:trPr>
          <w:trHeight w:val="339"/>
          <w:tblCellSpacing w:w="0" w:type="dxa"/>
        </w:trPr>
        <w:tc>
          <w:tcPr>
            <w:tcW w:w="978"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jc w:val="center"/>
            </w:pPr>
            <w:r>
              <w:t>2.punkts</w:t>
            </w:r>
          </w:p>
        </w:tc>
        <w:tc>
          <w:tcPr>
            <w:tcW w:w="104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ind w:left="170" w:right="129"/>
              <w:jc w:val="both"/>
            </w:pPr>
            <w:r>
              <w:t>Plāna projekta 3.1. </w:t>
            </w:r>
            <w:proofErr w:type="spellStart"/>
            <w:r>
              <w:t>apakšsadaļa</w:t>
            </w:r>
            <w:proofErr w:type="spellEnd"/>
          </w:p>
        </w:tc>
        <w:tc>
          <w:tcPr>
            <w:tcW w:w="1489" w:type="pct"/>
            <w:tcBorders>
              <w:top w:val="outset" w:sz="6" w:space="0" w:color="auto"/>
              <w:left w:val="outset" w:sz="6" w:space="0" w:color="auto"/>
              <w:bottom w:val="outset" w:sz="6" w:space="0" w:color="auto"/>
              <w:right w:val="outset" w:sz="6" w:space="0" w:color="auto"/>
            </w:tcBorders>
            <w:vAlign w:val="center"/>
          </w:tcPr>
          <w:p w:rsidR="004601ED" w:rsidRPr="004601ED" w:rsidRDefault="004601ED" w:rsidP="00A05A43">
            <w:pPr>
              <w:pStyle w:val="naiskr"/>
              <w:ind w:left="130" w:right="127" w:firstLine="142"/>
              <w:jc w:val="both"/>
            </w:pPr>
            <w:r>
              <w:t>2.punkts tiek ieviests pilnībā</w:t>
            </w:r>
          </w:p>
        </w:tc>
        <w:tc>
          <w:tcPr>
            <w:tcW w:w="1490" w:type="pct"/>
            <w:tcBorders>
              <w:top w:val="outset" w:sz="6" w:space="0" w:color="auto"/>
              <w:left w:val="outset" w:sz="6" w:space="0" w:color="auto"/>
              <w:bottom w:val="outset" w:sz="6" w:space="0" w:color="auto"/>
              <w:right w:val="outset" w:sz="6" w:space="0" w:color="auto"/>
            </w:tcBorders>
          </w:tcPr>
          <w:p w:rsidR="004601ED" w:rsidRPr="004601ED" w:rsidRDefault="004601ED" w:rsidP="00A05A43">
            <w:pPr>
              <w:pStyle w:val="naiskr"/>
              <w:ind w:left="130" w:right="127" w:firstLine="142"/>
              <w:jc w:val="both"/>
            </w:pPr>
            <w:r>
              <w:t>Projekts neparedz stingrākas prasības</w:t>
            </w:r>
          </w:p>
        </w:tc>
      </w:tr>
      <w:tr w:rsidR="004601ED" w:rsidRPr="0061389E" w:rsidTr="004601ED">
        <w:trPr>
          <w:trHeight w:val="339"/>
          <w:tblCellSpacing w:w="0" w:type="dxa"/>
        </w:trPr>
        <w:tc>
          <w:tcPr>
            <w:tcW w:w="978"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jc w:val="center"/>
            </w:pPr>
            <w:r>
              <w:t>3.punkts</w:t>
            </w:r>
          </w:p>
        </w:tc>
        <w:tc>
          <w:tcPr>
            <w:tcW w:w="104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ind w:left="170" w:right="129"/>
              <w:jc w:val="both"/>
            </w:pPr>
            <w:r>
              <w:t>Plāna projekta 3.1. </w:t>
            </w:r>
            <w:proofErr w:type="spellStart"/>
            <w:r>
              <w:t>apakšsadaļa</w:t>
            </w:r>
            <w:proofErr w:type="spellEnd"/>
          </w:p>
        </w:tc>
        <w:tc>
          <w:tcPr>
            <w:tcW w:w="1489" w:type="pct"/>
            <w:tcBorders>
              <w:top w:val="outset" w:sz="6" w:space="0" w:color="auto"/>
              <w:left w:val="outset" w:sz="6" w:space="0" w:color="auto"/>
              <w:bottom w:val="outset" w:sz="6" w:space="0" w:color="auto"/>
              <w:right w:val="outset" w:sz="6" w:space="0" w:color="auto"/>
            </w:tcBorders>
            <w:vAlign w:val="center"/>
          </w:tcPr>
          <w:p w:rsidR="004601ED" w:rsidRPr="004601ED" w:rsidRDefault="004601ED" w:rsidP="00A05A43">
            <w:pPr>
              <w:pStyle w:val="naiskr"/>
              <w:ind w:left="130" w:right="127" w:firstLine="142"/>
              <w:jc w:val="both"/>
            </w:pPr>
            <w:r>
              <w:t>3.punkts tiek ieviests pilnībā</w:t>
            </w:r>
          </w:p>
        </w:tc>
        <w:tc>
          <w:tcPr>
            <w:tcW w:w="1490" w:type="pct"/>
            <w:tcBorders>
              <w:top w:val="outset" w:sz="6" w:space="0" w:color="auto"/>
              <w:left w:val="outset" w:sz="6" w:space="0" w:color="auto"/>
              <w:bottom w:val="outset" w:sz="6" w:space="0" w:color="auto"/>
              <w:right w:val="outset" w:sz="6" w:space="0" w:color="auto"/>
            </w:tcBorders>
          </w:tcPr>
          <w:p w:rsidR="004601ED" w:rsidRPr="004601ED" w:rsidRDefault="004601ED" w:rsidP="00A05A43">
            <w:pPr>
              <w:pStyle w:val="naiskr"/>
              <w:ind w:left="130" w:right="127" w:firstLine="142"/>
              <w:jc w:val="both"/>
            </w:pPr>
            <w:r>
              <w:t>Projekts neparedz stingrākas prasības</w:t>
            </w:r>
          </w:p>
        </w:tc>
      </w:tr>
      <w:tr w:rsidR="004601ED" w:rsidRPr="0061389E" w:rsidTr="004601ED">
        <w:trPr>
          <w:trHeight w:val="339"/>
          <w:tblCellSpacing w:w="0" w:type="dxa"/>
        </w:trPr>
        <w:tc>
          <w:tcPr>
            <w:tcW w:w="978"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jc w:val="center"/>
            </w:pPr>
            <w:r>
              <w:t>4.punkts</w:t>
            </w:r>
          </w:p>
        </w:tc>
        <w:tc>
          <w:tcPr>
            <w:tcW w:w="104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ind w:left="170" w:right="129"/>
              <w:jc w:val="both"/>
            </w:pPr>
            <w:r>
              <w:t>Plāna projekta 3.1. </w:t>
            </w:r>
            <w:proofErr w:type="spellStart"/>
            <w:r>
              <w:t>apakšsadaļa</w:t>
            </w:r>
            <w:proofErr w:type="spellEnd"/>
          </w:p>
        </w:tc>
        <w:tc>
          <w:tcPr>
            <w:tcW w:w="1489" w:type="pct"/>
            <w:tcBorders>
              <w:top w:val="outset" w:sz="6" w:space="0" w:color="auto"/>
              <w:left w:val="outset" w:sz="6" w:space="0" w:color="auto"/>
              <w:bottom w:val="outset" w:sz="6" w:space="0" w:color="auto"/>
              <w:right w:val="outset" w:sz="6" w:space="0" w:color="auto"/>
            </w:tcBorders>
            <w:vAlign w:val="center"/>
          </w:tcPr>
          <w:p w:rsidR="004601ED" w:rsidRPr="004601ED" w:rsidRDefault="004601ED" w:rsidP="00A05A43">
            <w:pPr>
              <w:pStyle w:val="naiskr"/>
              <w:ind w:left="130" w:right="127" w:firstLine="142"/>
              <w:jc w:val="both"/>
            </w:pPr>
            <w:r>
              <w:t>4.punkts tiek ieviests pilnībā</w:t>
            </w:r>
          </w:p>
        </w:tc>
        <w:tc>
          <w:tcPr>
            <w:tcW w:w="1490" w:type="pct"/>
            <w:tcBorders>
              <w:top w:val="outset" w:sz="6" w:space="0" w:color="auto"/>
              <w:left w:val="outset" w:sz="6" w:space="0" w:color="auto"/>
              <w:bottom w:val="outset" w:sz="6" w:space="0" w:color="auto"/>
              <w:right w:val="outset" w:sz="6" w:space="0" w:color="auto"/>
            </w:tcBorders>
          </w:tcPr>
          <w:p w:rsidR="004601ED" w:rsidRPr="004601ED" w:rsidRDefault="004601ED" w:rsidP="00A05A43">
            <w:pPr>
              <w:pStyle w:val="naiskr"/>
              <w:ind w:left="130" w:right="127" w:firstLine="142"/>
              <w:jc w:val="both"/>
            </w:pPr>
            <w:r>
              <w:t>Projekts neparedz stingrākas prasības</w:t>
            </w:r>
          </w:p>
        </w:tc>
      </w:tr>
      <w:tr w:rsidR="004601ED" w:rsidRPr="0061389E" w:rsidTr="004601ED">
        <w:trPr>
          <w:trHeight w:val="339"/>
          <w:tblCellSpacing w:w="0" w:type="dxa"/>
        </w:trPr>
        <w:tc>
          <w:tcPr>
            <w:tcW w:w="978"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jc w:val="center"/>
            </w:pPr>
            <w:r>
              <w:t>5.punkts</w:t>
            </w:r>
          </w:p>
        </w:tc>
        <w:tc>
          <w:tcPr>
            <w:tcW w:w="104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4601ED">
            <w:pPr>
              <w:pStyle w:val="naiskr"/>
              <w:ind w:left="170" w:right="129"/>
              <w:jc w:val="both"/>
            </w:pPr>
            <w:r>
              <w:t>Plāna projekta 3.2. </w:t>
            </w:r>
            <w:proofErr w:type="spellStart"/>
            <w:r>
              <w:t>apakšsadaļa</w:t>
            </w:r>
            <w:proofErr w:type="spellEnd"/>
          </w:p>
        </w:tc>
        <w:tc>
          <w:tcPr>
            <w:tcW w:w="1489" w:type="pct"/>
            <w:tcBorders>
              <w:top w:val="outset" w:sz="6" w:space="0" w:color="auto"/>
              <w:left w:val="outset" w:sz="6" w:space="0" w:color="auto"/>
              <w:bottom w:val="outset" w:sz="6" w:space="0" w:color="auto"/>
              <w:right w:val="outset" w:sz="6" w:space="0" w:color="auto"/>
            </w:tcBorders>
            <w:vAlign w:val="center"/>
          </w:tcPr>
          <w:p w:rsidR="004601ED" w:rsidRPr="004601ED" w:rsidRDefault="004601ED" w:rsidP="00A05A43">
            <w:pPr>
              <w:pStyle w:val="naiskr"/>
              <w:ind w:left="130" w:right="127" w:firstLine="142"/>
              <w:jc w:val="both"/>
            </w:pPr>
            <w:r>
              <w:t>5.punkts tiek ieviests pilnībā</w:t>
            </w:r>
          </w:p>
        </w:tc>
        <w:tc>
          <w:tcPr>
            <w:tcW w:w="1490" w:type="pct"/>
            <w:tcBorders>
              <w:top w:val="outset" w:sz="6" w:space="0" w:color="auto"/>
              <w:left w:val="outset" w:sz="6" w:space="0" w:color="auto"/>
              <w:bottom w:val="outset" w:sz="6" w:space="0" w:color="auto"/>
              <w:right w:val="outset" w:sz="6" w:space="0" w:color="auto"/>
            </w:tcBorders>
          </w:tcPr>
          <w:p w:rsidR="004601ED" w:rsidRPr="004601ED" w:rsidRDefault="004601ED" w:rsidP="00A05A43">
            <w:pPr>
              <w:pStyle w:val="naiskr"/>
              <w:ind w:left="130" w:right="127" w:firstLine="142"/>
              <w:jc w:val="both"/>
            </w:pPr>
            <w:r>
              <w:t>Projekts neparedz stingrākas prasības</w:t>
            </w:r>
          </w:p>
        </w:tc>
      </w:tr>
      <w:tr w:rsidR="004601ED" w:rsidRPr="0061389E" w:rsidTr="004601ED">
        <w:trPr>
          <w:trHeight w:val="339"/>
          <w:tblCellSpacing w:w="0" w:type="dxa"/>
        </w:trPr>
        <w:tc>
          <w:tcPr>
            <w:tcW w:w="978"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jc w:val="center"/>
            </w:pPr>
            <w:r>
              <w:t>6.punkts</w:t>
            </w:r>
          </w:p>
        </w:tc>
        <w:tc>
          <w:tcPr>
            <w:tcW w:w="104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ind w:left="170" w:right="129"/>
              <w:jc w:val="both"/>
            </w:pPr>
            <w:r>
              <w:t>Plāna projekta 3.1. </w:t>
            </w:r>
            <w:proofErr w:type="spellStart"/>
            <w:r>
              <w:t>apakšsadaļa</w:t>
            </w:r>
            <w:proofErr w:type="spellEnd"/>
          </w:p>
        </w:tc>
        <w:tc>
          <w:tcPr>
            <w:tcW w:w="1489" w:type="pct"/>
            <w:tcBorders>
              <w:top w:val="outset" w:sz="6" w:space="0" w:color="auto"/>
              <w:left w:val="outset" w:sz="6" w:space="0" w:color="auto"/>
              <w:bottom w:val="outset" w:sz="6" w:space="0" w:color="auto"/>
              <w:right w:val="outset" w:sz="6" w:space="0" w:color="auto"/>
            </w:tcBorders>
            <w:vAlign w:val="center"/>
          </w:tcPr>
          <w:p w:rsidR="004601ED" w:rsidRPr="004601ED" w:rsidRDefault="004601ED" w:rsidP="00A05A43">
            <w:pPr>
              <w:pStyle w:val="naiskr"/>
              <w:ind w:left="130" w:right="127" w:firstLine="142"/>
              <w:jc w:val="both"/>
            </w:pPr>
            <w:r>
              <w:t>6.punkts tiek ieviests pilnībā</w:t>
            </w:r>
          </w:p>
        </w:tc>
        <w:tc>
          <w:tcPr>
            <w:tcW w:w="1490" w:type="pct"/>
            <w:tcBorders>
              <w:top w:val="outset" w:sz="6" w:space="0" w:color="auto"/>
              <w:left w:val="outset" w:sz="6" w:space="0" w:color="auto"/>
              <w:bottom w:val="outset" w:sz="6" w:space="0" w:color="auto"/>
              <w:right w:val="outset" w:sz="6" w:space="0" w:color="auto"/>
            </w:tcBorders>
          </w:tcPr>
          <w:p w:rsidR="004601ED" w:rsidRPr="004601ED" w:rsidRDefault="004601ED" w:rsidP="00A05A43">
            <w:pPr>
              <w:pStyle w:val="naiskr"/>
              <w:ind w:left="130" w:right="127" w:firstLine="142"/>
              <w:jc w:val="both"/>
            </w:pPr>
            <w:r>
              <w:t>Projekts neparedz stingrākas prasības</w:t>
            </w:r>
          </w:p>
        </w:tc>
      </w:tr>
      <w:tr w:rsidR="004601ED" w:rsidRPr="0061389E" w:rsidTr="004601ED">
        <w:trPr>
          <w:trHeight w:val="339"/>
          <w:tblCellSpacing w:w="0" w:type="dxa"/>
        </w:trPr>
        <w:tc>
          <w:tcPr>
            <w:tcW w:w="978"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A05A43">
            <w:pPr>
              <w:pStyle w:val="naiskr"/>
              <w:jc w:val="center"/>
            </w:pPr>
            <w:r>
              <w:t>7.punkts</w:t>
            </w:r>
          </w:p>
        </w:tc>
        <w:tc>
          <w:tcPr>
            <w:tcW w:w="1043" w:type="pct"/>
            <w:gridSpan w:val="2"/>
            <w:tcBorders>
              <w:top w:val="outset" w:sz="6" w:space="0" w:color="auto"/>
              <w:left w:val="outset" w:sz="6" w:space="0" w:color="auto"/>
              <w:bottom w:val="outset" w:sz="6" w:space="0" w:color="auto"/>
              <w:right w:val="outset" w:sz="6" w:space="0" w:color="auto"/>
            </w:tcBorders>
            <w:vAlign w:val="center"/>
          </w:tcPr>
          <w:p w:rsidR="004601ED" w:rsidRPr="0061389E" w:rsidRDefault="004601ED" w:rsidP="004601ED">
            <w:pPr>
              <w:pStyle w:val="naiskr"/>
              <w:ind w:left="170" w:right="129"/>
              <w:jc w:val="both"/>
            </w:pPr>
            <w:r>
              <w:t>Plāna projekta 3.3. </w:t>
            </w:r>
            <w:proofErr w:type="spellStart"/>
            <w:r>
              <w:t>apakšsadaļa</w:t>
            </w:r>
            <w:proofErr w:type="spellEnd"/>
          </w:p>
        </w:tc>
        <w:tc>
          <w:tcPr>
            <w:tcW w:w="1489" w:type="pct"/>
            <w:tcBorders>
              <w:top w:val="outset" w:sz="6" w:space="0" w:color="auto"/>
              <w:left w:val="outset" w:sz="6" w:space="0" w:color="auto"/>
              <w:bottom w:val="outset" w:sz="6" w:space="0" w:color="auto"/>
              <w:right w:val="outset" w:sz="6" w:space="0" w:color="auto"/>
            </w:tcBorders>
            <w:vAlign w:val="center"/>
          </w:tcPr>
          <w:p w:rsidR="004601ED" w:rsidRPr="004601ED" w:rsidRDefault="004601ED" w:rsidP="00A05A43">
            <w:pPr>
              <w:pStyle w:val="naiskr"/>
              <w:ind w:left="130" w:right="127" w:firstLine="142"/>
              <w:jc w:val="both"/>
            </w:pPr>
            <w:r>
              <w:t>7.punkts tiek ieviests pilnībā</w:t>
            </w:r>
          </w:p>
        </w:tc>
        <w:tc>
          <w:tcPr>
            <w:tcW w:w="1490" w:type="pct"/>
            <w:tcBorders>
              <w:top w:val="outset" w:sz="6" w:space="0" w:color="auto"/>
              <w:left w:val="outset" w:sz="6" w:space="0" w:color="auto"/>
              <w:bottom w:val="outset" w:sz="6" w:space="0" w:color="auto"/>
              <w:right w:val="outset" w:sz="6" w:space="0" w:color="auto"/>
            </w:tcBorders>
          </w:tcPr>
          <w:p w:rsidR="004601ED" w:rsidRPr="004601ED" w:rsidRDefault="004601ED" w:rsidP="00A05A43">
            <w:pPr>
              <w:pStyle w:val="naiskr"/>
              <w:ind w:left="130" w:right="127" w:firstLine="142"/>
              <w:jc w:val="both"/>
            </w:pPr>
            <w:r>
              <w:t>Projekts neparedz stingrākas prasības</w:t>
            </w:r>
          </w:p>
        </w:tc>
      </w:tr>
      <w:tr w:rsidR="004601ED" w:rsidRPr="0061389E" w:rsidTr="004601ED">
        <w:trPr>
          <w:trHeight w:val="339"/>
          <w:tblCellSpacing w:w="0" w:type="dxa"/>
        </w:trPr>
        <w:tc>
          <w:tcPr>
            <w:tcW w:w="2021" w:type="pct"/>
            <w:gridSpan w:val="4"/>
            <w:tcBorders>
              <w:top w:val="outset" w:sz="6" w:space="0" w:color="auto"/>
              <w:left w:val="outset" w:sz="6" w:space="0" w:color="auto"/>
              <w:bottom w:val="outset" w:sz="6" w:space="0" w:color="auto"/>
              <w:right w:val="outset" w:sz="6" w:space="0" w:color="auto"/>
            </w:tcBorders>
            <w:vAlign w:val="center"/>
          </w:tcPr>
          <w:p w:rsidR="004601ED" w:rsidRDefault="004601ED" w:rsidP="004601ED">
            <w:pPr>
              <w:pStyle w:val="naiskr"/>
              <w:jc w:val="both"/>
            </w:pPr>
            <w:r>
              <w:t xml:space="preserve">Kā ir izmantota ES tiesību aktā paredzētā rīcības brīvība dalībvalstij pārņemt vai ieviest noteiktas ES tiesību akta normas? </w:t>
            </w:r>
          </w:p>
          <w:p w:rsidR="004601ED" w:rsidRPr="0061389E" w:rsidRDefault="004601ED" w:rsidP="004601ED">
            <w:pPr>
              <w:pStyle w:val="naiskr"/>
              <w:jc w:val="both"/>
            </w:pPr>
            <w:r>
              <w:t>Kādēļ?</w:t>
            </w:r>
          </w:p>
        </w:tc>
        <w:tc>
          <w:tcPr>
            <w:tcW w:w="2979" w:type="pct"/>
            <w:gridSpan w:val="2"/>
            <w:tcBorders>
              <w:top w:val="outset" w:sz="6" w:space="0" w:color="auto"/>
              <w:left w:val="outset" w:sz="6" w:space="0" w:color="auto"/>
              <w:bottom w:val="outset" w:sz="6" w:space="0" w:color="auto"/>
              <w:right w:val="outset" w:sz="6" w:space="0" w:color="auto"/>
            </w:tcBorders>
            <w:vAlign w:val="center"/>
          </w:tcPr>
          <w:p w:rsidR="004601ED" w:rsidRPr="004601ED" w:rsidRDefault="004601ED" w:rsidP="004601ED">
            <w:pPr>
              <w:pStyle w:val="naiskr"/>
              <w:ind w:left="130" w:right="127" w:firstLine="142"/>
              <w:jc w:val="both"/>
            </w:pPr>
            <w:r>
              <w:t>Nolūkā novērst būvniecības darbu izmaksu nepamatotu sadārdzināšanos tiek izmantotas, nosakot nacionāli nosakāmos parametrus – tiek izvērtētas rekomendētās vērtības, to atbilstība nacionāliem ģeogrāfiskiem, ģeoloģiskiem un klimatiskiem apstākļiem.</w:t>
            </w:r>
          </w:p>
        </w:tc>
      </w:tr>
      <w:tr w:rsidR="004601ED" w:rsidRPr="0061389E" w:rsidTr="004601ED">
        <w:trPr>
          <w:trHeight w:val="339"/>
          <w:tblCellSpacing w:w="0" w:type="dxa"/>
        </w:trPr>
        <w:tc>
          <w:tcPr>
            <w:tcW w:w="2021" w:type="pct"/>
            <w:gridSpan w:val="4"/>
            <w:tcBorders>
              <w:top w:val="outset" w:sz="6" w:space="0" w:color="auto"/>
              <w:left w:val="outset" w:sz="6" w:space="0" w:color="auto"/>
              <w:bottom w:val="outset" w:sz="6" w:space="0" w:color="auto"/>
              <w:right w:val="outset" w:sz="6" w:space="0" w:color="auto"/>
            </w:tcBorders>
            <w:vAlign w:val="center"/>
          </w:tcPr>
          <w:p w:rsidR="004601ED" w:rsidRPr="0061389E" w:rsidRDefault="004601ED" w:rsidP="004601ED">
            <w:pPr>
              <w:pStyle w:val="naiskr"/>
              <w:jc w:val="both"/>
            </w:pPr>
            <w:r w:rsidRPr="004601E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79" w:type="pct"/>
            <w:gridSpan w:val="2"/>
            <w:tcBorders>
              <w:top w:val="outset" w:sz="6" w:space="0" w:color="auto"/>
              <w:left w:val="outset" w:sz="6" w:space="0" w:color="auto"/>
              <w:bottom w:val="outset" w:sz="6" w:space="0" w:color="auto"/>
              <w:right w:val="outset" w:sz="6" w:space="0" w:color="auto"/>
            </w:tcBorders>
            <w:vAlign w:val="center"/>
          </w:tcPr>
          <w:p w:rsidR="004601ED" w:rsidRPr="004601ED" w:rsidRDefault="004601ED" w:rsidP="004601ED">
            <w:pPr>
              <w:pStyle w:val="naiskr"/>
              <w:ind w:left="130" w:right="127" w:firstLine="142"/>
              <w:jc w:val="both"/>
            </w:pPr>
            <w:r>
              <w:t xml:space="preserve">Saskaņā ar </w:t>
            </w:r>
            <w:r w:rsidRPr="004601ED">
              <w:rPr>
                <w:iCs/>
              </w:rPr>
              <w:t>Eiropas Komisijas 2003.gada 11.decembra rekomendācij</w:t>
            </w:r>
            <w:r>
              <w:rPr>
                <w:iCs/>
              </w:rPr>
              <w:t>as</w:t>
            </w:r>
            <w:r w:rsidRPr="004601ED">
              <w:rPr>
                <w:iCs/>
              </w:rPr>
              <w:t xml:space="preserve"> 2003/887/EK</w:t>
            </w:r>
            <w:r>
              <w:rPr>
                <w:iCs/>
              </w:rPr>
              <w:t xml:space="preserve"> 3.punktu dalībvalstīm ir pienākums divu gadu laikā </w:t>
            </w:r>
            <w:r w:rsidRPr="004601ED">
              <w:rPr>
                <w:b/>
                <w:iCs/>
              </w:rPr>
              <w:t>pēc</w:t>
            </w:r>
            <w:r>
              <w:rPr>
                <w:iCs/>
              </w:rPr>
              <w:t xml:space="preserve"> to </w:t>
            </w:r>
            <w:proofErr w:type="spellStart"/>
            <w:r w:rsidRPr="004601ED">
              <w:rPr>
                <w:iCs/>
                <w:u w:val="single"/>
              </w:rPr>
              <w:t>Eirokodeksu</w:t>
            </w:r>
            <w:proofErr w:type="spellEnd"/>
            <w:r w:rsidRPr="004601ED">
              <w:rPr>
                <w:iCs/>
                <w:u w:val="single"/>
              </w:rPr>
              <w:t xml:space="preserve"> standartu nacionāli nosakāmo vērtību stāšanās spēkā</w:t>
            </w:r>
            <w:r>
              <w:rPr>
                <w:iCs/>
              </w:rPr>
              <w:t xml:space="preserve"> paziņot par to Komisijai.</w:t>
            </w:r>
          </w:p>
        </w:tc>
      </w:tr>
      <w:tr w:rsidR="004601ED" w:rsidRPr="0061389E" w:rsidTr="004601ED">
        <w:trPr>
          <w:trHeight w:val="339"/>
          <w:tblCellSpacing w:w="0" w:type="dxa"/>
        </w:trPr>
        <w:tc>
          <w:tcPr>
            <w:tcW w:w="2021" w:type="pct"/>
            <w:gridSpan w:val="4"/>
            <w:tcBorders>
              <w:top w:val="outset" w:sz="6" w:space="0" w:color="auto"/>
              <w:left w:val="outset" w:sz="6" w:space="0" w:color="auto"/>
              <w:bottom w:val="outset" w:sz="6" w:space="0" w:color="auto"/>
              <w:right w:val="outset" w:sz="6" w:space="0" w:color="auto"/>
            </w:tcBorders>
            <w:vAlign w:val="center"/>
          </w:tcPr>
          <w:p w:rsidR="004601ED" w:rsidRPr="004601ED" w:rsidRDefault="004601ED" w:rsidP="00A05A43">
            <w:pPr>
              <w:pStyle w:val="naiskr"/>
              <w:jc w:val="center"/>
            </w:pPr>
            <w:r>
              <w:t>Cita informācija</w:t>
            </w:r>
          </w:p>
        </w:tc>
        <w:tc>
          <w:tcPr>
            <w:tcW w:w="2979" w:type="pct"/>
            <w:gridSpan w:val="2"/>
            <w:tcBorders>
              <w:top w:val="outset" w:sz="6" w:space="0" w:color="auto"/>
              <w:left w:val="outset" w:sz="6" w:space="0" w:color="auto"/>
              <w:bottom w:val="outset" w:sz="6" w:space="0" w:color="auto"/>
              <w:right w:val="outset" w:sz="6" w:space="0" w:color="auto"/>
            </w:tcBorders>
            <w:vAlign w:val="center"/>
          </w:tcPr>
          <w:p w:rsidR="004601ED" w:rsidRPr="004601ED" w:rsidRDefault="004601ED" w:rsidP="00A05A43">
            <w:pPr>
              <w:pStyle w:val="naiskr"/>
              <w:ind w:left="130" w:right="127" w:firstLine="142"/>
              <w:jc w:val="both"/>
            </w:pPr>
            <w:r>
              <w:t>Nav</w:t>
            </w:r>
          </w:p>
        </w:tc>
      </w:tr>
      <w:tr w:rsidR="004601ED" w:rsidRPr="0061389E" w:rsidTr="004601ED">
        <w:trPr>
          <w:trHeight w:val="339"/>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tcPr>
          <w:p w:rsidR="004601ED" w:rsidRPr="004601ED" w:rsidRDefault="004601ED" w:rsidP="004601ED">
            <w:pPr>
              <w:pStyle w:val="naiskr"/>
              <w:ind w:left="130" w:right="127" w:firstLine="142"/>
              <w:jc w:val="center"/>
              <w:rPr>
                <w:b/>
              </w:rPr>
            </w:pPr>
            <w:r w:rsidRPr="004601ED">
              <w:rPr>
                <w:b/>
              </w:rPr>
              <w:t>2.tabula</w:t>
            </w:r>
          </w:p>
          <w:p w:rsidR="004601ED" w:rsidRPr="004601ED" w:rsidRDefault="004601ED" w:rsidP="004601ED">
            <w:pPr>
              <w:pStyle w:val="naiskr"/>
              <w:ind w:left="130" w:right="127" w:firstLine="142"/>
              <w:jc w:val="center"/>
              <w:rPr>
                <w:b/>
              </w:rPr>
            </w:pPr>
            <w:r w:rsidRPr="004601ED">
              <w:rPr>
                <w:b/>
              </w:rPr>
              <w:t>Ar tiesību akta projektu izpildītās vai uzņemtās saistības, kas izriet no starptautiskajiem tiesību aktiem vai starptautiskas institūcijas vai organizācijas dokumentiem.</w:t>
            </w:r>
          </w:p>
          <w:p w:rsidR="004601ED" w:rsidRDefault="004601ED" w:rsidP="004601ED">
            <w:pPr>
              <w:pStyle w:val="naiskr"/>
              <w:ind w:left="130" w:right="127" w:firstLine="142"/>
              <w:jc w:val="center"/>
            </w:pPr>
            <w:r w:rsidRPr="004601ED">
              <w:rPr>
                <w:b/>
              </w:rPr>
              <w:t>Pasākumi šo saistību izpildei</w:t>
            </w:r>
          </w:p>
        </w:tc>
      </w:tr>
      <w:tr w:rsidR="004601ED" w:rsidRPr="0061389E" w:rsidTr="004601ED">
        <w:trPr>
          <w:trHeight w:val="339"/>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tcPr>
          <w:p w:rsidR="004601ED" w:rsidRDefault="004601ED" w:rsidP="00A05A43">
            <w:pPr>
              <w:pStyle w:val="naiskr"/>
              <w:ind w:left="130" w:right="127" w:firstLine="142"/>
              <w:jc w:val="both"/>
            </w:pPr>
            <w:r w:rsidRPr="004601ED">
              <w:t>Projekts šo jomu neskar</w:t>
            </w:r>
            <w:r>
              <w:t>.</w:t>
            </w:r>
          </w:p>
        </w:tc>
      </w:tr>
    </w:tbl>
    <w:p w:rsidR="00D52DDB" w:rsidRDefault="00D52DDB" w:rsidP="0061389E">
      <w:pPr>
        <w:pStyle w:val="naisf"/>
        <w:ind w:firstLine="0"/>
        <w:rPr>
          <w:b/>
        </w:rPr>
      </w:pPr>
    </w:p>
    <w:p w:rsidR="004601ED" w:rsidRDefault="004601ED" w:rsidP="0061389E">
      <w:pPr>
        <w:pStyle w:val="naisf"/>
        <w:ind w:firstLine="0"/>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7"/>
        <w:gridCol w:w="3627"/>
        <w:gridCol w:w="4927"/>
      </w:tblGrid>
      <w:tr w:rsidR="00E82A21" w:rsidRPr="0061389E" w:rsidTr="00C7236C">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4601ED" w:rsidRDefault="004601ED" w:rsidP="005D5C10">
            <w:pPr>
              <w:pStyle w:val="naisc"/>
              <w:keepNext/>
            </w:pPr>
          </w:p>
          <w:p w:rsidR="00E82A21" w:rsidRPr="0061389E" w:rsidRDefault="004A203F" w:rsidP="005D5C10">
            <w:pPr>
              <w:pStyle w:val="naisc"/>
              <w:keepNext/>
            </w:pPr>
            <w:r w:rsidRPr="0061389E">
              <w:br w:type="page"/>
            </w:r>
            <w:r w:rsidR="00E82A21" w:rsidRPr="0061389E">
              <w:rPr>
                <w:b/>
                <w:bCs/>
              </w:rPr>
              <w:t> VI. Sabiedrības līdzdalība un šīs līdzdalības rezultāti</w:t>
            </w:r>
          </w:p>
        </w:tc>
      </w:tr>
      <w:tr w:rsidR="00E82A21" w:rsidRPr="0061389E" w:rsidTr="00C7236C">
        <w:trPr>
          <w:trHeight w:val="553"/>
          <w:tblCellSpacing w:w="0" w:type="dxa"/>
        </w:trPr>
        <w:tc>
          <w:tcPr>
            <w:tcW w:w="547"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61389E">
            <w:pPr>
              <w:pStyle w:val="naiskr"/>
              <w:jc w:val="center"/>
            </w:pPr>
            <w:r w:rsidRPr="0061389E">
              <w:t>1.</w:t>
            </w:r>
          </w:p>
        </w:tc>
        <w:tc>
          <w:tcPr>
            <w:tcW w:w="3627"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4601ED">
            <w:pPr>
              <w:pStyle w:val="naiskr"/>
              <w:tabs>
                <w:tab w:val="left" w:pos="170"/>
              </w:tabs>
              <w:ind w:left="170" w:right="175"/>
              <w:jc w:val="both"/>
            </w:pPr>
            <w:r w:rsidRPr="0061389E">
              <w:t>Sabiedrības informēšana par projekta izstrādes uzsākšanu</w:t>
            </w:r>
          </w:p>
        </w:tc>
        <w:tc>
          <w:tcPr>
            <w:tcW w:w="4927" w:type="dxa"/>
            <w:tcBorders>
              <w:top w:val="outset" w:sz="6" w:space="0" w:color="auto"/>
              <w:left w:val="outset" w:sz="6" w:space="0" w:color="auto"/>
              <w:bottom w:val="outset" w:sz="6" w:space="0" w:color="auto"/>
              <w:right w:val="outset" w:sz="6" w:space="0" w:color="auto"/>
            </w:tcBorders>
            <w:vAlign w:val="center"/>
          </w:tcPr>
          <w:p w:rsidR="00F11B2B" w:rsidRPr="00921BCE" w:rsidRDefault="00D83AF5" w:rsidP="001649B1">
            <w:pPr>
              <w:pStyle w:val="naiskr"/>
              <w:ind w:left="130" w:right="127" w:firstLine="142"/>
              <w:jc w:val="both"/>
              <w:rPr>
                <w:iCs/>
              </w:rPr>
            </w:pPr>
            <w:r>
              <w:rPr>
                <w:iCs/>
              </w:rPr>
              <w:t>Nozares profesionāļ</w:t>
            </w:r>
            <w:r w:rsidR="009F0AF4">
              <w:rPr>
                <w:iCs/>
              </w:rPr>
              <w:t>i</w:t>
            </w:r>
            <w:r>
              <w:rPr>
                <w:iCs/>
              </w:rPr>
              <w:t xml:space="preserve"> par </w:t>
            </w:r>
            <w:r w:rsidR="009F0AF4">
              <w:rPr>
                <w:iCs/>
              </w:rPr>
              <w:t>MK rīkojuma</w:t>
            </w:r>
            <w:r>
              <w:rPr>
                <w:iCs/>
              </w:rPr>
              <w:t xml:space="preserve"> projektu</w:t>
            </w:r>
            <w:r w:rsidR="009F0AF4">
              <w:rPr>
                <w:iCs/>
              </w:rPr>
              <w:t xml:space="preserve"> tika informēti </w:t>
            </w:r>
            <w:r w:rsidR="001649B1">
              <w:rPr>
                <w:iCs/>
              </w:rPr>
              <w:t>2012. gada 25. janvāra tehniskās standartizācijas komitejas LVS STK 30 „Būvniecība” sēdē, kurā tika pārstāvēta Rīgas Tehniskā universitāte, Latvijas Būvkonstrukciju projektētāju asociācija, Latvijas Lauksaimniecības universitāte, SIA „</w:t>
            </w:r>
            <w:proofErr w:type="spellStart"/>
            <w:r w:rsidR="001649B1">
              <w:rPr>
                <w:iCs/>
              </w:rPr>
              <w:t>Agroprojekts</w:t>
            </w:r>
            <w:proofErr w:type="spellEnd"/>
            <w:r w:rsidR="001649B1">
              <w:rPr>
                <w:iCs/>
              </w:rPr>
              <w:t>”, SIA „IG Kurbads”, SIA „</w:t>
            </w:r>
            <w:proofErr w:type="spellStart"/>
            <w:r w:rsidR="001649B1">
              <w:rPr>
                <w:iCs/>
              </w:rPr>
              <w:t>Peikko</w:t>
            </w:r>
            <w:proofErr w:type="spellEnd"/>
            <w:r w:rsidR="001649B1">
              <w:rPr>
                <w:iCs/>
              </w:rPr>
              <w:t xml:space="preserve"> Latvija”</w:t>
            </w:r>
            <w:r w:rsidR="008F421A">
              <w:rPr>
                <w:iCs/>
              </w:rPr>
              <w:t xml:space="preserve"> un</w:t>
            </w:r>
            <w:r w:rsidR="001649B1">
              <w:rPr>
                <w:iCs/>
              </w:rPr>
              <w:t xml:space="preserve"> </w:t>
            </w:r>
            <w:r w:rsidR="001649B1" w:rsidRPr="001649B1">
              <w:rPr>
                <w:iCs/>
              </w:rPr>
              <w:t>SIA “Standartizācijas, akreditācijas un metroloģijas centrs”</w:t>
            </w:r>
            <w:r w:rsidR="008F421A">
              <w:rPr>
                <w:iCs/>
              </w:rPr>
              <w:t>.</w:t>
            </w:r>
          </w:p>
        </w:tc>
      </w:tr>
      <w:tr w:rsidR="00E82A21" w:rsidRPr="0061389E" w:rsidTr="00C7236C">
        <w:trPr>
          <w:trHeight w:val="339"/>
          <w:tblCellSpacing w:w="0" w:type="dxa"/>
        </w:trPr>
        <w:tc>
          <w:tcPr>
            <w:tcW w:w="547"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61389E">
            <w:pPr>
              <w:pStyle w:val="naiskr"/>
              <w:jc w:val="center"/>
            </w:pPr>
            <w:r w:rsidRPr="0061389E">
              <w:t>2.</w:t>
            </w:r>
          </w:p>
        </w:tc>
        <w:tc>
          <w:tcPr>
            <w:tcW w:w="3627"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4601ED">
            <w:pPr>
              <w:pStyle w:val="naiskr"/>
              <w:ind w:left="170" w:right="175"/>
              <w:jc w:val="both"/>
            </w:pPr>
            <w:r w:rsidRPr="0061389E">
              <w:t>Sabiedrības līdzdalība projekta izstrādē</w:t>
            </w:r>
          </w:p>
        </w:tc>
        <w:tc>
          <w:tcPr>
            <w:tcW w:w="4927" w:type="dxa"/>
            <w:tcBorders>
              <w:top w:val="outset" w:sz="6" w:space="0" w:color="auto"/>
              <w:left w:val="outset" w:sz="6" w:space="0" w:color="auto"/>
              <w:bottom w:val="outset" w:sz="6" w:space="0" w:color="auto"/>
              <w:right w:val="outset" w:sz="6" w:space="0" w:color="auto"/>
            </w:tcBorders>
            <w:vAlign w:val="center"/>
          </w:tcPr>
          <w:p w:rsidR="00921BCE" w:rsidRPr="0082759F" w:rsidRDefault="00921BCE" w:rsidP="0061389E">
            <w:pPr>
              <w:pStyle w:val="naiskr"/>
              <w:ind w:left="130" w:right="127" w:firstLine="142"/>
              <w:jc w:val="both"/>
              <w:rPr>
                <w:iCs/>
              </w:rPr>
            </w:pPr>
            <w:r w:rsidRPr="0082759F">
              <w:rPr>
                <w:iCs/>
              </w:rPr>
              <w:t xml:space="preserve">Noteikumu projekta izstrādes procesā konsultācijas notikušas ar sabiedrības pārstāvjiem, kas minēti anotācijas </w:t>
            </w:r>
            <w:r w:rsidR="008F421A">
              <w:rPr>
                <w:iCs/>
              </w:rPr>
              <w:t>V</w:t>
            </w:r>
            <w:r w:rsidRPr="0082759F">
              <w:rPr>
                <w:iCs/>
              </w:rPr>
              <w:t xml:space="preserve">I sadaļas </w:t>
            </w:r>
            <w:r w:rsidR="008F421A">
              <w:rPr>
                <w:iCs/>
              </w:rPr>
              <w:t>1</w:t>
            </w:r>
            <w:r w:rsidRPr="0082759F">
              <w:rPr>
                <w:iCs/>
              </w:rPr>
              <w:t>.punktā.</w:t>
            </w:r>
          </w:p>
          <w:p w:rsidR="00A70D5E" w:rsidRPr="002C2A54" w:rsidRDefault="00F11B2B" w:rsidP="00A06E93">
            <w:pPr>
              <w:pStyle w:val="naiskr"/>
              <w:ind w:left="130" w:right="127" w:firstLine="142"/>
              <w:jc w:val="both"/>
              <w:rPr>
                <w:highlight w:val="yellow"/>
              </w:rPr>
            </w:pPr>
            <w:r w:rsidRPr="0082759F">
              <w:rPr>
                <w:iCs/>
              </w:rPr>
              <w:t xml:space="preserve">Noteikumu projekts </w:t>
            </w:r>
            <w:r w:rsidR="00A06E93">
              <w:rPr>
                <w:iCs/>
              </w:rPr>
              <w:t>ir</w:t>
            </w:r>
            <w:r w:rsidRPr="0082759F">
              <w:rPr>
                <w:iCs/>
              </w:rPr>
              <w:t xml:space="preserve"> ievietots Ekonomikas ministrijas tīmekļa vietnes sadaļā „Normatīvo aktu projekti”.  </w:t>
            </w:r>
          </w:p>
        </w:tc>
      </w:tr>
      <w:tr w:rsidR="00E82A21" w:rsidRPr="0061389E" w:rsidTr="00C7236C">
        <w:trPr>
          <w:trHeight w:val="375"/>
          <w:tblCellSpacing w:w="0" w:type="dxa"/>
        </w:trPr>
        <w:tc>
          <w:tcPr>
            <w:tcW w:w="547"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61389E">
            <w:pPr>
              <w:pStyle w:val="naiskr"/>
              <w:jc w:val="center"/>
            </w:pPr>
            <w:r w:rsidRPr="0061389E">
              <w:t>3.</w:t>
            </w:r>
          </w:p>
        </w:tc>
        <w:tc>
          <w:tcPr>
            <w:tcW w:w="3627"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4601ED">
            <w:pPr>
              <w:pStyle w:val="naiskr"/>
              <w:ind w:left="170" w:right="175"/>
              <w:jc w:val="both"/>
            </w:pPr>
            <w:r w:rsidRPr="0061389E">
              <w:t>Sabiedrības līdzdalības rezultāti</w:t>
            </w:r>
          </w:p>
        </w:tc>
        <w:tc>
          <w:tcPr>
            <w:tcW w:w="4927" w:type="dxa"/>
            <w:tcBorders>
              <w:top w:val="outset" w:sz="6" w:space="0" w:color="auto"/>
              <w:left w:val="outset" w:sz="6" w:space="0" w:color="auto"/>
              <w:bottom w:val="outset" w:sz="6" w:space="0" w:color="auto"/>
              <w:right w:val="outset" w:sz="6" w:space="0" w:color="auto"/>
            </w:tcBorders>
            <w:vAlign w:val="center"/>
          </w:tcPr>
          <w:p w:rsidR="00A70D5E" w:rsidRPr="002C2A54" w:rsidRDefault="00A06E93" w:rsidP="00D53978">
            <w:pPr>
              <w:pStyle w:val="naiskr"/>
              <w:ind w:left="130" w:right="127" w:firstLine="142"/>
              <w:jc w:val="both"/>
              <w:rPr>
                <w:highlight w:val="yellow"/>
              </w:rPr>
            </w:pPr>
            <w:r>
              <w:rPr>
                <w:iCs/>
              </w:rPr>
              <w:t xml:space="preserve">Sēdē tika atbalstīta </w:t>
            </w:r>
            <w:r w:rsidR="00D53978">
              <w:rPr>
                <w:iCs/>
              </w:rPr>
              <w:t>Plāna</w:t>
            </w:r>
            <w:r>
              <w:rPr>
                <w:iCs/>
              </w:rPr>
              <w:t xml:space="preserve"> turpmākā virzība, izsakot priekšlikumus tā precizēšanai. </w:t>
            </w:r>
            <w:r w:rsidR="00921BCE">
              <w:t xml:space="preserve">Paustie priekšlikumi </w:t>
            </w:r>
            <w:r>
              <w:t>tiek</w:t>
            </w:r>
            <w:r w:rsidR="00921BCE">
              <w:t xml:space="preserve"> ņemti vērā, precizējot noteikumu projektu.</w:t>
            </w:r>
          </w:p>
        </w:tc>
      </w:tr>
      <w:tr w:rsidR="00E82A21" w:rsidRPr="0061389E" w:rsidTr="00C7236C">
        <w:trPr>
          <w:trHeight w:val="397"/>
          <w:tblCellSpacing w:w="0" w:type="dxa"/>
        </w:trPr>
        <w:tc>
          <w:tcPr>
            <w:tcW w:w="547"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61389E">
            <w:pPr>
              <w:pStyle w:val="naiskr"/>
              <w:jc w:val="center"/>
            </w:pPr>
            <w:r w:rsidRPr="0061389E">
              <w:t>4.</w:t>
            </w:r>
          </w:p>
        </w:tc>
        <w:tc>
          <w:tcPr>
            <w:tcW w:w="3627"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4601ED">
            <w:pPr>
              <w:pStyle w:val="naiskr"/>
              <w:ind w:left="170" w:right="175"/>
              <w:jc w:val="both"/>
            </w:pPr>
            <w:r w:rsidRPr="0061389E">
              <w:t>Saeimas un ekspertu līdzdalība</w:t>
            </w:r>
          </w:p>
        </w:tc>
        <w:tc>
          <w:tcPr>
            <w:tcW w:w="4927" w:type="dxa"/>
            <w:tcBorders>
              <w:top w:val="outset" w:sz="6" w:space="0" w:color="auto"/>
              <w:left w:val="outset" w:sz="6" w:space="0" w:color="auto"/>
              <w:bottom w:val="outset" w:sz="6" w:space="0" w:color="auto"/>
              <w:right w:val="outset" w:sz="6" w:space="0" w:color="auto"/>
            </w:tcBorders>
            <w:vAlign w:val="center"/>
          </w:tcPr>
          <w:p w:rsidR="00E82A21" w:rsidRPr="0061389E" w:rsidRDefault="00D96098" w:rsidP="0061389E">
            <w:pPr>
              <w:pStyle w:val="naiskr"/>
              <w:ind w:left="130" w:firstLine="142"/>
              <w:jc w:val="both"/>
            </w:pPr>
            <w:r w:rsidRPr="0061389E">
              <w:t>Projekts šo jomu neskar.</w:t>
            </w:r>
          </w:p>
        </w:tc>
      </w:tr>
      <w:tr w:rsidR="00E82A21" w:rsidRPr="0061389E" w:rsidTr="00C7236C">
        <w:trPr>
          <w:trHeight w:val="359"/>
          <w:tblCellSpacing w:w="0" w:type="dxa"/>
        </w:trPr>
        <w:tc>
          <w:tcPr>
            <w:tcW w:w="547"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61389E">
            <w:pPr>
              <w:pStyle w:val="naiskr"/>
              <w:jc w:val="center"/>
            </w:pPr>
            <w:r w:rsidRPr="0061389E">
              <w:t>5.</w:t>
            </w:r>
          </w:p>
        </w:tc>
        <w:tc>
          <w:tcPr>
            <w:tcW w:w="3627"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4601ED">
            <w:pPr>
              <w:pStyle w:val="naiskr"/>
              <w:ind w:left="170" w:right="175"/>
              <w:jc w:val="both"/>
            </w:pPr>
            <w:r w:rsidRPr="0061389E">
              <w:t>Cita informācija.</w:t>
            </w:r>
          </w:p>
        </w:tc>
        <w:tc>
          <w:tcPr>
            <w:tcW w:w="4927" w:type="dxa"/>
            <w:tcBorders>
              <w:top w:val="outset" w:sz="6" w:space="0" w:color="auto"/>
              <w:left w:val="outset" w:sz="6" w:space="0" w:color="auto"/>
              <w:bottom w:val="outset" w:sz="6" w:space="0" w:color="auto"/>
              <w:right w:val="outset" w:sz="6" w:space="0" w:color="auto"/>
            </w:tcBorders>
            <w:vAlign w:val="center"/>
          </w:tcPr>
          <w:p w:rsidR="00E82A21" w:rsidRPr="0061389E" w:rsidRDefault="00825D2A" w:rsidP="0061389E">
            <w:pPr>
              <w:pStyle w:val="naiskr"/>
              <w:ind w:left="130" w:firstLine="142"/>
              <w:jc w:val="both"/>
            </w:pPr>
            <w:r w:rsidRPr="0061389E">
              <w:rPr>
                <w:iCs/>
              </w:rPr>
              <w:t>Nav</w:t>
            </w:r>
          </w:p>
        </w:tc>
      </w:tr>
    </w:tbl>
    <w:p w:rsidR="00A70D5E" w:rsidRDefault="00A70D5E" w:rsidP="0061389E"/>
    <w:p w:rsidR="004601ED" w:rsidRDefault="004601ED" w:rsidP="0061389E"/>
    <w:p w:rsidR="004601ED" w:rsidRDefault="004601ED" w:rsidP="0061389E"/>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3679"/>
        <w:gridCol w:w="4905"/>
      </w:tblGrid>
      <w:tr w:rsidR="00E82A21" w:rsidRPr="0061389E" w:rsidTr="00C83A8E">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82A21" w:rsidRPr="0061389E" w:rsidRDefault="00DA39E0" w:rsidP="0061389E">
            <w:pPr>
              <w:pStyle w:val="naisc"/>
            </w:pPr>
            <w:r w:rsidRPr="0061389E">
              <w:br w:type="page"/>
            </w:r>
            <w:r w:rsidR="00E82A21" w:rsidRPr="0061389E">
              <w:rPr>
                <w:b/>
                <w:bCs/>
              </w:rPr>
              <w:t> VII. Tiesību akta projekta izpildes nodrošināšana un tās ietekme uz institūcijām</w:t>
            </w:r>
          </w:p>
        </w:tc>
      </w:tr>
      <w:tr w:rsidR="00E82A21" w:rsidRPr="0061389E" w:rsidTr="00C83A8E">
        <w:trPr>
          <w:trHeight w:val="427"/>
          <w:tblCellSpacing w:w="0" w:type="dxa"/>
        </w:trPr>
        <w:tc>
          <w:tcPr>
            <w:tcW w:w="517" w:type="dxa"/>
            <w:tcBorders>
              <w:top w:val="outset" w:sz="6" w:space="0" w:color="auto"/>
              <w:left w:val="outset" w:sz="6" w:space="0" w:color="auto"/>
              <w:bottom w:val="outset" w:sz="6" w:space="0" w:color="auto"/>
              <w:right w:val="outset" w:sz="6" w:space="0" w:color="auto"/>
            </w:tcBorders>
          </w:tcPr>
          <w:p w:rsidR="00E82A21" w:rsidRPr="0061389E" w:rsidRDefault="00E82A21" w:rsidP="0061389E">
            <w:pPr>
              <w:pStyle w:val="naiskr"/>
            </w:pPr>
            <w:r w:rsidRPr="0061389E">
              <w:t> 1.</w:t>
            </w:r>
          </w:p>
        </w:tc>
        <w:tc>
          <w:tcPr>
            <w:tcW w:w="3679"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61389E">
            <w:pPr>
              <w:pStyle w:val="naisf"/>
              <w:ind w:left="170" w:right="127" w:firstLine="66"/>
            </w:pPr>
            <w:r w:rsidRPr="0061389E">
              <w:t xml:space="preserve">Projekta izpildē iesaistītās institūcijas </w:t>
            </w:r>
          </w:p>
        </w:tc>
        <w:tc>
          <w:tcPr>
            <w:tcW w:w="4905" w:type="dxa"/>
            <w:tcBorders>
              <w:top w:val="outset" w:sz="6" w:space="0" w:color="auto"/>
              <w:left w:val="outset" w:sz="6" w:space="0" w:color="auto"/>
              <w:bottom w:val="outset" w:sz="6" w:space="0" w:color="auto"/>
              <w:right w:val="outset" w:sz="6" w:space="0" w:color="auto"/>
            </w:tcBorders>
            <w:vAlign w:val="center"/>
          </w:tcPr>
          <w:p w:rsidR="00E82A21" w:rsidRPr="0061389E" w:rsidRDefault="007D2772" w:rsidP="001649B1">
            <w:pPr>
              <w:pStyle w:val="naisnod"/>
              <w:ind w:left="170" w:right="127" w:firstLine="66"/>
              <w:jc w:val="both"/>
              <w:rPr>
                <w:b w:val="0"/>
              </w:rPr>
            </w:pPr>
            <w:r>
              <w:rPr>
                <w:b w:val="0"/>
                <w:iCs/>
              </w:rPr>
              <w:t xml:space="preserve">Satiksmes ministrija, </w:t>
            </w:r>
            <w:r w:rsidR="00165B69">
              <w:rPr>
                <w:b w:val="0"/>
                <w:iCs/>
              </w:rPr>
              <w:t>LVS/STK</w:t>
            </w:r>
            <w:r w:rsidR="001649B1">
              <w:rPr>
                <w:b w:val="0"/>
                <w:iCs/>
              </w:rPr>
              <w:t> </w:t>
            </w:r>
            <w:r w:rsidR="00165B69">
              <w:rPr>
                <w:b w:val="0"/>
                <w:iCs/>
              </w:rPr>
              <w:t>15, LVS/STK</w:t>
            </w:r>
            <w:r w:rsidR="001649B1">
              <w:rPr>
                <w:b w:val="0"/>
                <w:iCs/>
              </w:rPr>
              <w:t> </w:t>
            </w:r>
            <w:r w:rsidR="00165B69">
              <w:rPr>
                <w:b w:val="0"/>
                <w:iCs/>
              </w:rPr>
              <w:t>30, SIA „SAMC”</w:t>
            </w:r>
          </w:p>
        </w:tc>
      </w:tr>
      <w:tr w:rsidR="00E82A21" w:rsidRPr="0061389E" w:rsidTr="00C83A8E">
        <w:trPr>
          <w:trHeight w:val="463"/>
          <w:tblCellSpacing w:w="0" w:type="dxa"/>
        </w:trPr>
        <w:tc>
          <w:tcPr>
            <w:tcW w:w="517" w:type="dxa"/>
            <w:tcBorders>
              <w:top w:val="outset" w:sz="6" w:space="0" w:color="auto"/>
              <w:left w:val="outset" w:sz="6" w:space="0" w:color="auto"/>
              <w:bottom w:val="outset" w:sz="6" w:space="0" w:color="auto"/>
              <w:right w:val="outset" w:sz="6" w:space="0" w:color="auto"/>
            </w:tcBorders>
          </w:tcPr>
          <w:p w:rsidR="00E82A21" w:rsidRPr="0061389E" w:rsidRDefault="00E82A21" w:rsidP="0061389E">
            <w:pPr>
              <w:pStyle w:val="naiskr"/>
            </w:pPr>
            <w:r w:rsidRPr="0061389E">
              <w:t> 2.</w:t>
            </w:r>
          </w:p>
        </w:tc>
        <w:tc>
          <w:tcPr>
            <w:tcW w:w="3679" w:type="dxa"/>
            <w:tcBorders>
              <w:top w:val="outset" w:sz="6" w:space="0" w:color="auto"/>
              <w:left w:val="outset" w:sz="6" w:space="0" w:color="auto"/>
              <w:bottom w:val="outset" w:sz="6" w:space="0" w:color="auto"/>
              <w:right w:val="outset" w:sz="6" w:space="0" w:color="auto"/>
            </w:tcBorders>
            <w:vAlign w:val="center"/>
          </w:tcPr>
          <w:p w:rsidR="00E82A21" w:rsidRPr="0061389E" w:rsidRDefault="00E82A21" w:rsidP="0061389E">
            <w:pPr>
              <w:pStyle w:val="naisf"/>
              <w:ind w:left="170" w:right="127" w:firstLine="66"/>
            </w:pPr>
            <w:r w:rsidRPr="0061389E">
              <w:t xml:space="preserve">Projekta izpildes ietekme uz pārvaldes funkcijām </w:t>
            </w:r>
          </w:p>
        </w:tc>
        <w:tc>
          <w:tcPr>
            <w:tcW w:w="4905" w:type="dxa"/>
            <w:tcBorders>
              <w:top w:val="outset" w:sz="6" w:space="0" w:color="auto"/>
              <w:left w:val="outset" w:sz="6" w:space="0" w:color="auto"/>
              <w:bottom w:val="outset" w:sz="6" w:space="0" w:color="auto"/>
              <w:right w:val="outset" w:sz="6" w:space="0" w:color="auto"/>
            </w:tcBorders>
            <w:vAlign w:val="center"/>
          </w:tcPr>
          <w:p w:rsidR="00E82A21" w:rsidRPr="0061389E" w:rsidRDefault="004F7E7B" w:rsidP="0061389E">
            <w:pPr>
              <w:pStyle w:val="naisnod"/>
              <w:ind w:left="170" w:right="127" w:firstLine="66"/>
              <w:jc w:val="both"/>
              <w:rPr>
                <w:b w:val="0"/>
              </w:rPr>
            </w:pPr>
            <w:r w:rsidRPr="004F7E7B">
              <w:rPr>
                <w:b w:val="0"/>
              </w:rPr>
              <w:t>Projekts šo jomu neskar.</w:t>
            </w:r>
          </w:p>
        </w:tc>
      </w:tr>
      <w:tr w:rsidR="00D47C4E" w:rsidRPr="0061389E" w:rsidTr="00C83A8E">
        <w:trPr>
          <w:trHeight w:val="725"/>
          <w:tblCellSpacing w:w="0" w:type="dxa"/>
        </w:trPr>
        <w:tc>
          <w:tcPr>
            <w:tcW w:w="517" w:type="dxa"/>
            <w:tcBorders>
              <w:top w:val="outset" w:sz="6" w:space="0" w:color="auto"/>
              <w:left w:val="outset" w:sz="6" w:space="0" w:color="auto"/>
              <w:bottom w:val="outset" w:sz="6" w:space="0" w:color="auto"/>
              <w:right w:val="outset" w:sz="6" w:space="0" w:color="auto"/>
            </w:tcBorders>
          </w:tcPr>
          <w:p w:rsidR="00D47C4E" w:rsidRPr="0061389E" w:rsidRDefault="00D47C4E" w:rsidP="0061389E">
            <w:pPr>
              <w:pStyle w:val="naiskr"/>
            </w:pPr>
            <w:r w:rsidRPr="0061389E">
              <w:t> 3.</w:t>
            </w:r>
          </w:p>
        </w:tc>
        <w:tc>
          <w:tcPr>
            <w:tcW w:w="3679" w:type="dxa"/>
            <w:tcBorders>
              <w:top w:val="outset" w:sz="6" w:space="0" w:color="auto"/>
              <w:left w:val="outset" w:sz="6" w:space="0" w:color="auto"/>
              <w:bottom w:val="outset" w:sz="6" w:space="0" w:color="auto"/>
              <w:right w:val="outset" w:sz="6" w:space="0" w:color="auto"/>
            </w:tcBorders>
            <w:vAlign w:val="center"/>
          </w:tcPr>
          <w:p w:rsidR="00D47C4E" w:rsidRPr="0061389E" w:rsidRDefault="00D47C4E" w:rsidP="0061389E">
            <w:pPr>
              <w:pStyle w:val="naisf"/>
              <w:ind w:left="170" w:right="127" w:firstLine="66"/>
            </w:pPr>
            <w:r w:rsidRPr="0061389E">
              <w:t>Projekta izpildes ietekme uz pārvaldes institucionālo struktūru.</w:t>
            </w:r>
          </w:p>
          <w:p w:rsidR="00D47C4E" w:rsidRPr="0061389E" w:rsidRDefault="00D47C4E" w:rsidP="0061389E">
            <w:pPr>
              <w:pStyle w:val="naisf"/>
              <w:ind w:left="170" w:right="127" w:firstLine="66"/>
            </w:pPr>
            <w:r w:rsidRPr="0061389E">
              <w:t>Jaunu institūciju izveide.</w:t>
            </w:r>
          </w:p>
        </w:tc>
        <w:tc>
          <w:tcPr>
            <w:tcW w:w="4905" w:type="dxa"/>
            <w:tcBorders>
              <w:top w:val="outset" w:sz="6" w:space="0" w:color="auto"/>
              <w:left w:val="outset" w:sz="6" w:space="0" w:color="auto"/>
              <w:bottom w:val="outset" w:sz="6" w:space="0" w:color="auto"/>
              <w:right w:val="outset" w:sz="6" w:space="0" w:color="auto"/>
            </w:tcBorders>
          </w:tcPr>
          <w:p w:rsidR="00D47C4E" w:rsidRPr="0061389E" w:rsidRDefault="00D47C4E" w:rsidP="0061389E">
            <w:pPr>
              <w:pStyle w:val="naiskr"/>
              <w:ind w:left="170" w:right="127" w:firstLine="66"/>
              <w:jc w:val="both"/>
            </w:pPr>
            <w:r w:rsidRPr="0061389E">
              <w:t> Valsts un pašvaldību pārvaldes institucionālo struktūru neietekmēs. Jaunu institūciju izveide nav nepieciešama.</w:t>
            </w:r>
          </w:p>
        </w:tc>
      </w:tr>
      <w:tr w:rsidR="00D47C4E" w:rsidRPr="0061389E" w:rsidTr="00C83A8E">
        <w:trPr>
          <w:trHeight w:val="780"/>
          <w:tblCellSpacing w:w="0" w:type="dxa"/>
        </w:trPr>
        <w:tc>
          <w:tcPr>
            <w:tcW w:w="517" w:type="dxa"/>
            <w:tcBorders>
              <w:top w:val="outset" w:sz="6" w:space="0" w:color="auto"/>
              <w:left w:val="outset" w:sz="6" w:space="0" w:color="auto"/>
              <w:bottom w:val="outset" w:sz="6" w:space="0" w:color="auto"/>
              <w:right w:val="outset" w:sz="6" w:space="0" w:color="auto"/>
            </w:tcBorders>
          </w:tcPr>
          <w:p w:rsidR="00D47C4E" w:rsidRPr="0061389E" w:rsidRDefault="00D47C4E" w:rsidP="0061389E">
            <w:pPr>
              <w:pStyle w:val="naiskr"/>
            </w:pPr>
            <w:r w:rsidRPr="0061389E">
              <w:t> 4.</w:t>
            </w:r>
          </w:p>
        </w:tc>
        <w:tc>
          <w:tcPr>
            <w:tcW w:w="3679" w:type="dxa"/>
            <w:tcBorders>
              <w:top w:val="outset" w:sz="6" w:space="0" w:color="auto"/>
              <w:left w:val="outset" w:sz="6" w:space="0" w:color="auto"/>
              <w:bottom w:val="outset" w:sz="6" w:space="0" w:color="auto"/>
              <w:right w:val="outset" w:sz="6" w:space="0" w:color="auto"/>
            </w:tcBorders>
            <w:vAlign w:val="center"/>
          </w:tcPr>
          <w:p w:rsidR="00D47C4E" w:rsidRPr="0061389E" w:rsidRDefault="00D47C4E" w:rsidP="0061389E">
            <w:pPr>
              <w:pStyle w:val="naisf"/>
              <w:ind w:left="170" w:right="127" w:firstLine="66"/>
            </w:pPr>
            <w:r w:rsidRPr="0061389E">
              <w:t>Projekta izpildes ietekme uz pārvaldes institucionālo struktūru.</w:t>
            </w:r>
          </w:p>
          <w:p w:rsidR="00D47C4E" w:rsidRPr="0061389E" w:rsidRDefault="00D47C4E" w:rsidP="0061389E">
            <w:pPr>
              <w:pStyle w:val="naisf"/>
              <w:ind w:left="170" w:right="127" w:firstLine="66"/>
            </w:pPr>
            <w:r w:rsidRPr="0061389E">
              <w:t>Esošu institūciju likvidācija.</w:t>
            </w:r>
          </w:p>
        </w:tc>
        <w:tc>
          <w:tcPr>
            <w:tcW w:w="4905" w:type="dxa"/>
            <w:tcBorders>
              <w:top w:val="outset" w:sz="6" w:space="0" w:color="auto"/>
              <w:left w:val="outset" w:sz="6" w:space="0" w:color="auto"/>
              <w:bottom w:val="outset" w:sz="6" w:space="0" w:color="auto"/>
              <w:right w:val="outset" w:sz="6" w:space="0" w:color="auto"/>
            </w:tcBorders>
          </w:tcPr>
          <w:p w:rsidR="00D47C4E" w:rsidRPr="0061389E" w:rsidRDefault="00D47C4E" w:rsidP="0061389E">
            <w:pPr>
              <w:pStyle w:val="naiskr"/>
              <w:ind w:left="170" w:right="127" w:firstLine="66"/>
              <w:jc w:val="both"/>
            </w:pPr>
            <w:r w:rsidRPr="0061389E">
              <w:t> Valsts un pašvaldību pārvaldes institucionālo struktūru neietekmēs. Neviena no esošām institūcijām nav jālikvidē.</w:t>
            </w:r>
          </w:p>
        </w:tc>
      </w:tr>
      <w:tr w:rsidR="00D47C4E" w:rsidRPr="0061389E" w:rsidTr="00C83A8E">
        <w:trPr>
          <w:trHeight w:val="703"/>
          <w:tblCellSpacing w:w="0" w:type="dxa"/>
        </w:trPr>
        <w:tc>
          <w:tcPr>
            <w:tcW w:w="517" w:type="dxa"/>
            <w:tcBorders>
              <w:top w:val="outset" w:sz="6" w:space="0" w:color="auto"/>
              <w:left w:val="outset" w:sz="6" w:space="0" w:color="auto"/>
              <w:bottom w:val="outset" w:sz="6" w:space="0" w:color="auto"/>
              <w:right w:val="outset" w:sz="6" w:space="0" w:color="auto"/>
            </w:tcBorders>
          </w:tcPr>
          <w:p w:rsidR="00D47C4E" w:rsidRPr="0061389E" w:rsidRDefault="00D47C4E" w:rsidP="0061389E">
            <w:pPr>
              <w:pStyle w:val="naiskr"/>
            </w:pPr>
            <w:r w:rsidRPr="0061389E">
              <w:t> 5.</w:t>
            </w:r>
          </w:p>
        </w:tc>
        <w:tc>
          <w:tcPr>
            <w:tcW w:w="3679" w:type="dxa"/>
            <w:tcBorders>
              <w:top w:val="outset" w:sz="6" w:space="0" w:color="auto"/>
              <w:left w:val="outset" w:sz="6" w:space="0" w:color="auto"/>
              <w:bottom w:val="outset" w:sz="6" w:space="0" w:color="auto"/>
              <w:right w:val="outset" w:sz="6" w:space="0" w:color="auto"/>
            </w:tcBorders>
            <w:vAlign w:val="center"/>
          </w:tcPr>
          <w:p w:rsidR="00D47C4E" w:rsidRPr="0061389E" w:rsidRDefault="00D47C4E" w:rsidP="0061389E">
            <w:pPr>
              <w:pStyle w:val="naisf"/>
              <w:ind w:left="170" w:right="127" w:firstLine="66"/>
            </w:pPr>
            <w:r w:rsidRPr="0061389E">
              <w:t>Projekta izpildes ietekme uz pārvaldes institucionālo struktūru.</w:t>
            </w:r>
          </w:p>
          <w:p w:rsidR="00D47C4E" w:rsidRPr="0061389E" w:rsidRDefault="00D47C4E" w:rsidP="0061389E">
            <w:pPr>
              <w:pStyle w:val="naisf"/>
              <w:ind w:left="170" w:right="127" w:firstLine="66"/>
            </w:pPr>
            <w:r w:rsidRPr="0061389E">
              <w:t>Esošu institūciju reorganizācija.</w:t>
            </w:r>
          </w:p>
        </w:tc>
        <w:tc>
          <w:tcPr>
            <w:tcW w:w="4905" w:type="dxa"/>
            <w:tcBorders>
              <w:top w:val="outset" w:sz="6" w:space="0" w:color="auto"/>
              <w:left w:val="outset" w:sz="6" w:space="0" w:color="auto"/>
              <w:bottom w:val="outset" w:sz="6" w:space="0" w:color="auto"/>
              <w:right w:val="outset" w:sz="6" w:space="0" w:color="auto"/>
            </w:tcBorders>
          </w:tcPr>
          <w:p w:rsidR="00D47C4E" w:rsidRPr="0061389E" w:rsidRDefault="00D47C4E" w:rsidP="0061389E">
            <w:pPr>
              <w:pStyle w:val="naiskr"/>
              <w:ind w:left="170" w:right="127" w:firstLine="66"/>
              <w:jc w:val="both"/>
            </w:pPr>
            <w:r w:rsidRPr="0061389E">
              <w:t>Valsts un pašvaldību pārvaldes institucionālo struktūru neietekmēs. Neviena no esošām institūcijām nav jāreorganizē.</w:t>
            </w:r>
          </w:p>
        </w:tc>
      </w:tr>
      <w:tr w:rsidR="00D47C4E" w:rsidRPr="0061389E" w:rsidTr="00C83A8E">
        <w:trPr>
          <w:trHeight w:val="476"/>
          <w:tblCellSpacing w:w="0" w:type="dxa"/>
        </w:trPr>
        <w:tc>
          <w:tcPr>
            <w:tcW w:w="517" w:type="dxa"/>
            <w:tcBorders>
              <w:top w:val="outset" w:sz="6" w:space="0" w:color="auto"/>
              <w:left w:val="outset" w:sz="6" w:space="0" w:color="auto"/>
              <w:bottom w:val="outset" w:sz="6" w:space="0" w:color="auto"/>
              <w:right w:val="outset" w:sz="6" w:space="0" w:color="auto"/>
            </w:tcBorders>
          </w:tcPr>
          <w:p w:rsidR="00D47C4E" w:rsidRPr="0061389E" w:rsidRDefault="00D47C4E" w:rsidP="0061389E">
            <w:pPr>
              <w:pStyle w:val="naiskr"/>
            </w:pPr>
            <w:r w:rsidRPr="0061389E">
              <w:lastRenderedPageBreak/>
              <w:t> 6.</w:t>
            </w:r>
          </w:p>
        </w:tc>
        <w:tc>
          <w:tcPr>
            <w:tcW w:w="3679" w:type="dxa"/>
            <w:tcBorders>
              <w:top w:val="outset" w:sz="6" w:space="0" w:color="auto"/>
              <w:left w:val="outset" w:sz="6" w:space="0" w:color="auto"/>
              <w:bottom w:val="outset" w:sz="6" w:space="0" w:color="auto"/>
              <w:right w:val="outset" w:sz="6" w:space="0" w:color="auto"/>
            </w:tcBorders>
            <w:vAlign w:val="center"/>
          </w:tcPr>
          <w:p w:rsidR="00D47C4E" w:rsidRPr="0061389E" w:rsidRDefault="00D47C4E" w:rsidP="0061389E">
            <w:pPr>
              <w:pStyle w:val="naiskr"/>
              <w:ind w:left="170" w:right="127" w:firstLine="66"/>
              <w:jc w:val="both"/>
            </w:pPr>
            <w:r w:rsidRPr="0061389E">
              <w:t>Cita informācija.</w:t>
            </w:r>
          </w:p>
        </w:tc>
        <w:tc>
          <w:tcPr>
            <w:tcW w:w="4905" w:type="dxa"/>
            <w:tcBorders>
              <w:top w:val="outset" w:sz="6" w:space="0" w:color="auto"/>
              <w:left w:val="outset" w:sz="6" w:space="0" w:color="auto"/>
              <w:bottom w:val="outset" w:sz="6" w:space="0" w:color="auto"/>
              <w:right w:val="outset" w:sz="6" w:space="0" w:color="auto"/>
            </w:tcBorders>
          </w:tcPr>
          <w:p w:rsidR="00D47C4E" w:rsidRPr="0061389E" w:rsidRDefault="00D47C4E" w:rsidP="0061389E">
            <w:pPr>
              <w:pStyle w:val="naiskr"/>
              <w:ind w:left="170" w:right="127" w:firstLine="66"/>
              <w:jc w:val="both"/>
            </w:pPr>
            <w:r w:rsidRPr="0061389E">
              <w:t> Nav</w:t>
            </w:r>
          </w:p>
        </w:tc>
      </w:tr>
    </w:tbl>
    <w:p w:rsidR="00C3120C" w:rsidRPr="00F21263" w:rsidRDefault="0062644A" w:rsidP="0061389E">
      <w:pPr>
        <w:jc w:val="both"/>
        <w:rPr>
          <w:i/>
        </w:rPr>
      </w:pPr>
      <w:r w:rsidRPr="00F21263">
        <w:rPr>
          <w:i/>
        </w:rPr>
        <w:t xml:space="preserve">Anotācijas </w:t>
      </w:r>
      <w:r w:rsidR="00D52DDB">
        <w:rPr>
          <w:i/>
        </w:rPr>
        <w:t>I</w:t>
      </w:r>
      <w:r w:rsidR="00F21263" w:rsidRPr="00F21263">
        <w:rPr>
          <w:i/>
        </w:rPr>
        <w:t>V</w:t>
      </w:r>
      <w:r w:rsidRPr="0061389E">
        <w:rPr>
          <w:i/>
        </w:rPr>
        <w:t xml:space="preserve"> sadaļa – </w:t>
      </w:r>
      <w:r w:rsidR="00D96098" w:rsidRPr="0061389E">
        <w:rPr>
          <w:i/>
        </w:rPr>
        <w:t>projekts šīs jomas neskar</w:t>
      </w:r>
      <w:r w:rsidRPr="0061389E">
        <w:rPr>
          <w:i/>
        </w:rPr>
        <w:t>.</w:t>
      </w:r>
    </w:p>
    <w:p w:rsidR="00C3120C" w:rsidRDefault="00C3120C" w:rsidP="0061389E">
      <w:pPr>
        <w:jc w:val="both"/>
      </w:pPr>
    </w:p>
    <w:p w:rsidR="00C5136A" w:rsidRDefault="00C5136A" w:rsidP="0061389E">
      <w:pPr>
        <w:jc w:val="both"/>
      </w:pPr>
    </w:p>
    <w:p w:rsidR="00D53978" w:rsidRDefault="00D53978" w:rsidP="0061389E">
      <w:pPr>
        <w:jc w:val="both"/>
      </w:pPr>
    </w:p>
    <w:p w:rsidR="005D71D7" w:rsidRPr="0061389E" w:rsidRDefault="005D71D7" w:rsidP="00750F58">
      <w:pPr>
        <w:tabs>
          <w:tab w:val="right" w:pos="9072"/>
        </w:tabs>
        <w:rPr>
          <w:bCs/>
          <w:sz w:val="28"/>
        </w:rPr>
      </w:pPr>
      <w:r w:rsidRPr="0061389E">
        <w:rPr>
          <w:bCs/>
          <w:sz w:val="28"/>
        </w:rPr>
        <w:t>Ekonomikas ministrs</w:t>
      </w:r>
      <w:r w:rsidRPr="0061389E">
        <w:rPr>
          <w:bCs/>
          <w:sz w:val="28"/>
        </w:rPr>
        <w:tab/>
      </w:r>
      <w:r w:rsidR="009C19E6">
        <w:rPr>
          <w:bCs/>
          <w:sz w:val="28"/>
        </w:rPr>
        <w:t>D. </w:t>
      </w:r>
      <w:proofErr w:type="spellStart"/>
      <w:r w:rsidR="009C19E6">
        <w:rPr>
          <w:bCs/>
          <w:sz w:val="28"/>
        </w:rPr>
        <w:t>Pavļuts</w:t>
      </w:r>
      <w:proofErr w:type="spellEnd"/>
    </w:p>
    <w:p w:rsidR="005D71D7" w:rsidRDefault="005D71D7" w:rsidP="00750F58">
      <w:pPr>
        <w:tabs>
          <w:tab w:val="right" w:pos="9072"/>
        </w:tabs>
        <w:rPr>
          <w:bCs/>
          <w:sz w:val="28"/>
        </w:rPr>
      </w:pPr>
    </w:p>
    <w:p w:rsidR="00C5136A" w:rsidRDefault="00C5136A" w:rsidP="00750F58">
      <w:pPr>
        <w:tabs>
          <w:tab w:val="right" w:pos="9072"/>
        </w:tabs>
        <w:rPr>
          <w:bCs/>
          <w:sz w:val="28"/>
        </w:rPr>
      </w:pPr>
    </w:p>
    <w:p w:rsidR="00C5136A" w:rsidRDefault="00C5136A" w:rsidP="00750F58">
      <w:pPr>
        <w:tabs>
          <w:tab w:val="right" w:pos="9072"/>
        </w:tabs>
        <w:rPr>
          <w:bCs/>
          <w:sz w:val="28"/>
        </w:rPr>
      </w:pPr>
    </w:p>
    <w:p w:rsidR="0062644A" w:rsidRPr="0061389E" w:rsidRDefault="005D71D7" w:rsidP="00750F58">
      <w:pPr>
        <w:tabs>
          <w:tab w:val="right" w:pos="9072"/>
        </w:tabs>
        <w:rPr>
          <w:bCs/>
          <w:sz w:val="28"/>
        </w:rPr>
      </w:pPr>
      <w:r w:rsidRPr="0061389E">
        <w:rPr>
          <w:bCs/>
          <w:sz w:val="28"/>
        </w:rPr>
        <w:t xml:space="preserve">Vīza: </w:t>
      </w:r>
    </w:p>
    <w:p w:rsidR="005D71D7" w:rsidRPr="0061389E" w:rsidRDefault="005D71D7" w:rsidP="00750F58">
      <w:pPr>
        <w:tabs>
          <w:tab w:val="right" w:pos="9072"/>
        </w:tabs>
        <w:rPr>
          <w:bCs/>
          <w:sz w:val="28"/>
        </w:rPr>
      </w:pPr>
      <w:r w:rsidRPr="0061389E">
        <w:rPr>
          <w:bCs/>
          <w:sz w:val="28"/>
        </w:rPr>
        <w:t>Valsts sekretārs</w:t>
      </w:r>
      <w:r w:rsidRPr="0061389E">
        <w:rPr>
          <w:bCs/>
          <w:sz w:val="28"/>
        </w:rPr>
        <w:tab/>
        <w:t>J.Pūce</w:t>
      </w:r>
    </w:p>
    <w:p w:rsidR="00C3120C" w:rsidRDefault="00C3120C" w:rsidP="0061389E">
      <w:pPr>
        <w:jc w:val="both"/>
      </w:pPr>
    </w:p>
    <w:p w:rsidR="00C5136A" w:rsidRDefault="004601ED" w:rsidP="0061389E">
      <w:pPr>
        <w:jc w:val="both"/>
      </w:pPr>
      <w:r>
        <w:br/>
      </w:r>
      <w:r>
        <w:br/>
      </w:r>
      <w:r>
        <w:br/>
      </w:r>
      <w:r>
        <w:br/>
      </w:r>
      <w:r>
        <w:br/>
      </w:r>
      <w:r>
        <w:br/>
      </w:r>
    </w:p>
    <w:p w:rsidR="007004FC" w:rsidRPr="00996FA7" w:rsidRDefault="00401F22" w:rsidP="009C19E6">
      <w:pPr>
        <w:rPr>
          <w:sz w:val="20"/>
          <w:szCs w:val="20"/>
        </w:rPr>
      </w:pPr>
      <w:fldSimple w:instr=" DOCPROPERTY  LastSavedTime  \* MERGEFORMAT ">
        <w:r w:rsidR="00442E29" w:rsidRPr="00996FA7">
          <w:rPr>
            <w:sz w:val="20"/>
            <w:szCs w:val="20"/>
          </w:rPr>
          <w:t>16.03.2012 14:39</w:t>
        </w:r>
      </w:fldSimple>
      <w:r w:rsidR="005D5C10" w:rsidRPr="00996FA7">
        <w:rPr>
          <w:sz w:val="20"/>
          <w:szCs w:val="20"/>
        </w:rPr>
        <w:br/>
      </w:r>
      <w:fldSimple w:instr=" NUMWORDS   \* MERGEFORMAT ">
        <w:r w:rsidR="00996FA7">
          <w:rPr>
            <w:noProof/>
            <w:sz w:val="20"/>
            <w:szCs w:val="20"/>
          </w:rPr>
          <w:t>2058</w:t>
        </w:r>
      </w:fldSimple>
    </w:p>
    <w:p w:rsidR="005F1BE6" w:rsidRPr="00996FA7" w:rsidRDefault="00E6516A" w:rsidP="0061389E">
      <w:pPr>
        <w:widowControl w:val="0"/>
        <w:outlineLvl w:val="0"/>
        <w:rPr>
          <w:sz w:val="20"/>
          <w:szCs w:val="20"/>
        </w:rPr>
      </w:pPr>
      <w:r w:rsidRPr="00996FA7">
        <w:rPr>
          <w:sz w:val="20"/>
          <w:szCs w:val="20"/>
        </w:rPr>
        <w:t>Zakutajevs</w:t>
      </w:r>
      <w:r w:rsidR="00FD38A0" w:rsidRPr="00996FA7">
        <w:rPr>
          <w:sz w:val="20"/>
          <w:szCs w:val="20"/>
        </w:rPr>
        <w:t>,</w:t>
      </w:r>
    </w:p>
    <w:p w:rsidR="00E6516A" w:rsidRPr="00996FA7" w:rsidRDefault="007004FC" w:rsidP="0061389E">
      <w:pPr>
        <w:widowControl w:val="0"/>
        <w:outlineLvl w:val="0"/>
        <w:rPr>
          <w:sz w:val="20"/>
          <w:szCs w:val="20"/>
        </w:rPr>
      </w:pPr>
      <w:r w:rsidRPr="00996FA7">
        <w:rPr>
          <w:sz w:val="20"/>
          <w:szCs w:val="20"/>
        </w:rPr>
        <w:t>670</w:t>
      </w:r>
      <w:r w:rsidR="00E6516A" w:rsidRPr="00996FA7">
        <w:rPr>
          <w:sz w:val="20"/>
          <w:szCs w:val="20"/>
        </w:rPr>
        <w:t>13035</w:t>
      </w:r>
      <w:r w:rsidR="005F1BE6" w:rsidRPr="00996FA7">
        <w:rPr>
          <w:sz w:val="20"/>
          <w:szCs w:val="20"/>
        </w:rPr>
        <w:t xml:space="preserve">, </w:t>
      </w:r>
      <w:hyperlink r:id="rId8" w:history="1">
        <w:r w:rsidR="00996FA7" w:rsidRPr="00996FA7">
          <w:rPr>
            <w:rStyle w:val="Hyperlink"/>
            <w:sz w:val="20"/>
            <w:szCs w:val="20"/>
          </w:rPr>
          <w:t>Mareks.Zakutajevs@em.gov.lv</w:t>
        </w:r>
      </w:hyperlink>
    </w:p>
    <w:p w:rsidR="00996FA7" w:rsidRPr="00996FA7" w:rsidRDefault="00996FA7" w:rsidP="0061389E">
      <w:pPr>
        <w:widowControl w:val="0"/>
        <w:outlineLvl w:val="0"/>
        <w:rPr>
          <w:sz w:val="20"/>
          <w:szCs w:val="20"/>
        </w:rPr>
      </w:pPr>
    </w:p>
    <w:p w:rsidR="00996FA7" w:rsidRPr="00996FA7" w:rsidRDefault="00996FA7" w:rsidP="0061389E">
      <w:pPr>
        <w:widowControl w:val="0"/>
        <w:outlineLvl w:val="0"/>
        <w:rPr>
          <w:sz w:val="20"/>
          <w:szCs w:val="20"/>
        </w:rPr>
      </w:pPr>
    </w:p>
    <w:p w:rsidR="00996FA7" w:rsidRPr="00996FA7" w:rsidRDefault="00996FA7" w:rsidP="0061389E">
      <w:pPr>
        <w:widowControl w:val="0"/>
        <w:outlineLvl w:val="0"/>
        <w:rPr>
          <w:sz w:val="20"/>
          <w:szCs w:val="20"/>
        </w:rPr>
      </w:pPr>
      <w:r w:rsidRPr="00996FA7">
        <w:rPr>
          <w:sz w:val="20"/>
          <w:szCs w:val="20"/>
        </w:rPr>
        <w:t>Voroņenko,</w:t>
      </w:r>
    </w:p>
    <w:p w:rsidR="00996FA7" w:rsidRPr="00996FA7" w:rsidRDefault="00996FA7" w:rsidP="0061389E">
      <w:pPr>
        <w:widowControl w:val="0"/>
        <w:outlineLvl w:val="0"/>
        <w:rPr>
          <w:sz w:val="20"/>
          <w:szCs w:val="20"/>
        </w:rPr>
      </w:pPr>
      <w:r w:rsidRPr="00996FA7">
        <w:rPr>
          <w:sz w:val="20"/>
          <w:szCs w:val="20"/>
        </w:rPr>
        <w:t xml:space="preserve">67013039, </w:t>
      </w:r>
      <w:hyperlink r:id="rId9" w:history="1">
        <w:r w:rsidRPr="00996FA7">
          <w:rPr>
            <w:rStyle w:val="Hyperlink"/>
            <w:sz w:val="20"/>
            <w:szCs w:val="20"/>
          </w:rPr>
          <w:t>Filips.Voronenko@em.gov.lv</w:t>
        </w:r>
      </w:hyperlink>
      <w:r w:rsidRPr="00996FA7">
        <w:rPr>
          <w:sz w:val="20"/>
          <w:szCs w:val="20"/>
        </w:rPr>
        <w:t xml:space="preserve"> </w:t>
      </w:r>
    </w:p>
    <w:sectPr w:rsidR="00996FA7" w:rsidRPr="00996FA7" w:rsidSect="00C3120C">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A2" w:rsidRDefault="00514AA2">
      <w:r>
        <w:separator/>
      </w:r>
    </w:p>
  </w:endnote>
  <w:endnote w:type="continuationSeparator" w:id="0">
    <w:p w:rsidR="00514AA2" w:rsidRDefault="00514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A2" w:rsidRPr="00825D2A" w:rsidRDefault="00401F22" w:rsidP="009C19E6">
    <w:pPr>
      <w:pStyle w:val="Footer"/>
      <w:jc w:val="both"/>
      <w:rPr>
        <w:b/>
        <w:sz w:val="20"/>
        <w:szCs w:val="20"/>
      </w:rPr>
    </w:pPr>
    <w:fldSimple w:instr=" FILENAME   \* MERGEFORMAT ">
      <w:r w:rsidR="00996FA7" w:rsidRPr="00996FA7">
        <w:rPr>
          <w:bCs/>
          <w:noProof/>
          <w:sz w:val="20"/>
          <w:szCs w:val="20"/>
        </w:rPr>
        <w:t>EManot_160312_EC</w:t>
      </w:r>
    </w:fldSimple>
    <w:r w:rsidR="00514AA2" w:rsidRPr="005376C4">
      <w:rPr>
        <w:bCs/>
        <w:sz w:val="20"/>
        <w:szCs w:val="20"/>
      </w:rPr>
      <w:t xml:space="preserve">; </w:t>
    </w:r>
    <w:r w:rsidR="00514AA2" w:rsidRPr="009C19E6">
      <w:rPr>
        <w:bCs/>
        <w:sz w:val="20"/>
        <w:szCs w:val="20"/>
      </w:rPr>
      <w:t>Ministru kabineta rīkojuma projekta "Par Eirokodeksa standartu nacionālo ieviešanas plānu 201</w:t>
    </w:r>
    <w:r w:rsidR="008F36ED">
      <w:rPr>
        <w:bCs/>
        <w:sz w:val="20"/>
        <w:szCs w:val="20"/>
      </w:rPr>
      <w:t>3</w:t>
    </w:r>
    <w:r w:rsidR="00514AA2" w:rsidRPr="009C19E6">
      <w:rPr>
        <w:bCs/>
        <w:sz w:val="20"/>
        <w:szCs w:val="20"/>
      </w:rPr>
      <w:t>.–201</w:t>
    </w:r>
    <w:r w:rsidR="00514AA2">
      <w:rPr>
        <w:bCs/>
        <w:sz w:val="20"/>
        <w:szCs w:val="20"/>
      </w:rPr>
      <w:t>4</w:t>
    </w:r>
    <w:r w:rsidR="00514AA2" w:rsidRPr="009C19E6">
      <w:rPr>
        <w:bCs/>
        <w:sz w:val="20"/>
        <w:szCs w:val="20"/>
      </w:rPr>
      <w:t>.gadam"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A2" w:rsidRPr="005D71D7" w:rsidRDefault="00401F22" w:rsidP="009C19E6">
    <w:pPr>
      <w:pStyle w:val="Footer"/>
      <w:jc w:val="both"/>
      <w:rPr>
        <w:b/>
        <w:sz w:val="20"/>
        <w:szCs w:val="20"/>
      </w:rPr>
    </w:pPr>
    <w:fldSimple w:instr=" FILENAME   \* MERGEFORMAT ">
      <w:r w:rsidR="00996FA7" w:rsidRPr="00996FA7">
        <w:rPr>
          <w:noProof/>
          <w:sz w:val="20"/>
          <w:szCs w:val="20"/>
        </w:rPr>
        <w:t>EManot_160312_EC</w:t>
      </w:r>
    </w:fldSimple>
    <w:r w:rsidR="00514AA2" w:rsidRPr="0074478C">
      <w:rPr>
        <w:sz w:val="20"/>
        <w:szCs w:val="20"/>
      </w:rPr>
      <w:t>;</w:t>
    </w:r>
    <w:r w:rsidR="00514AA2">
      <w:rPr>
        <w:sz w:val="20"/>
        <w:szCs w:val="20"/>
      </w:rPr>
      <w:t xml:space="preserve"> </w:t>
    </w:r>
    <w:r w:rsidR="00514AA2" w:rsidRPr="009C19E6">
      <w:rPr>
        <w:bCs/>
        <w:sz w:val="20"/>
        <w:szCs w:val="20"/>
      </w:rPr>
      <w:t>Ministru kabineta rīkojuma projekta "Par Eirokodeksa standartu nacionālo ieviešanas plānu 201</w:t>
    </w:r>
    <w:r w:rsidR="008F36ED">
      <w:rPr>
        <w:bCs/>
        <w:sz w:val="20"/>
        <w:szCs w:val="20"/>
      </w:rPr>
      <w:t>3</w:t>
    </w:r>
    <w:r w:rsidR="00514AA2" w:rsidRPr="009C19E6">
      <w:rPr>
        <w:bCs/>
        <w:sz w:val="20"/>
        <w:szCs w:val="20"/>
      </w:rPr>
      <w:t>.–201</w:t>
    </w:r>
    <w:r w:rsidR="00514AA2">
      <w:rPr>
        <w:bCs/>
        <w:sz w:val="20"/>
        <w:szCs w:val="20"/>
      </w:rPr>
      <w:t>4</w:t>
    </w:r>
    <w:r w:rsidR="00514AA2" w:rsidRPr="009C19E6">
      <w:rPr>
        <w:bCs/>
        <w:sz w:val="20"/>
        <w:szCs w:val="20"/>
      </w:rPr>
      <w:t>.gadam"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A2" w:rsidRDefault="00514AA2">
      <w:r>
        <w:separator/>
      </w:r>
    </w:p>
  </w:footnote>
  <w:footnote w:type="continuationSeparator" w:id="0">
    <w:p w:rsidR="00514AA2" w:rsidRDefault="00514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A2" w:rsidRDefault="00401F22" w:rsidP="00190F88">
    <w:pPr>
      <w:pStyle w:val="Header"/>
      <w:framePr w:wrap="around" w:vAnchor="text" w:hAnchor="margin" w:xAlign="center" w:y="1"/>
      <w:rPr>
        <w:rStyle w:val="PageNumber"/>
      </w:rPr>
    </w:pPr>
    <w:r>
      <w:rPr>
        <w:rStyle w:val="PageNumber"/>
      </w:rPr>
      <w:fldChar w:fldCharType="begin"/>
    </w:r>
    <w:r w:rsidR="00514AA2">
      <w:rPr>
        <w:rStyle w:val="PageNumber"/>
      </w:rPr>
      <w:instrText xml:space="preserve">PAGE  </w:instrText>
    </w:r>
    <w:r>
      <w:rPr>
        <w:rStyle w:val="PageNumber"/>
      </w:rPr>
      <w:fldChar w:fldCharType="separate"/>
    </w:r>
    <w:r w:rsidR="00514AA2">
      <w:rPr>
        <w:rStyle w:val="PageNumber"/>
        <w:noProof/>
      </w:rPr>
      <w:t>1</w:t>
    </w:r>
    <w:r>
      <w:rPr>
        <w:rStyle w:val="PageNumber"/>
      </w:rPr>
      <w:fldChar w:fldCharType="end"/>
    </w:r>
  </w:p>
  <w:p w:rsidR="00514AA2" w:rsidRDefault="00514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A2" w:rsidRPr="00DB073B" w:rsidRDefault="00401F22"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514AA2" w:rsidRPr="00DB073B">
      <w:rPr>
        <w:rStyle w:val="PageNumber"/>
        <w:sz w:val="20"/>
        <w:szCs w:val="20"/>
      </w:rPr>
      <w:instrText xml:space="preserve">PAGE  </w:instrText>
    </w:r>
    <w:r w:rsidRPr="00DB073B">
      <w:rPr>
        <w:rStyle w:val="PageNumber"/>
        <w:sz w:val="20"/>
        <w:szCs w:val="20"/>
      </w:rPr>
      <w:fldChar w:fldCharType="separate"/>
    </w:r>
    <w:r w:rsidR="00996FA7">
      <w:rPr>
        <w:rStyle w:val="PageNumber"/>
        <w:noProof/>
        <w:sz w:val="20"/>
        <w:szCs w:val="20"/>
      </w:rPr>
      <w:t>9</w:t>
    </w:r>
    <w:r w:rsidRPr="00DB073B">
      <w:rPr>
        <w:rStyle w:val="PageNumber"/>
        <w:sz w:val="20"/>
        <w:szCs w:val="20"/>
      </w:rPr>
      <w:fldChar w:fldCharType="end"/>
    </w:r>
  </w:p>
  <w:p w:rsidR="00514AA2" w:rsidRDefault="00514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826A8D"/>
    <w:multiLevelType w:val="hybridMultilevel"/>
    <w:tmpl w:val="E772C666"/>
    <w:lvl w:ilvl="0" w:tplc="08D0891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641084C"/>
    <w:multiLevelType w:val="hybridMultilevel"/>
    <w:tmpl w:val="192AE9BE"/>
    <w:lvl w:ilvl="0" w:tplc="CB1A42DC">
      <w:start w:val="2"/>
      <w:numFmt w:val="bullet"/>
      <w:lvlText w:val="–"/>
      <w:lvlJc w:val="left"/>
      <w:pPr>
        <w:ind w:left="928" w:hanging="360"/>
      </w:pPr>
      <w:rPr>
        <w:rFonts w:ascii="Times New Roman" w:eastAsia="Times New Roman" w:hAnsi="Times New Roman" w:cs="Times New Roman" w:hint="default"/>
        <w:i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757E3257"/>
    <w:multiLevelType w:val="hybridMultilevel"/>
    <w:tmpl w:val="F77E40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15"/>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274C"/>
    <w:rsid w:val="00013FF4"/>
    <w:rsid w:val="00016A37"/>
    <w:rsid w:val="00020FE1"/>
    <w:rsid w:val="00022E13"/>
    <w:rsid w:val="000264EB"/>
    <w:rsid w:val="00032388"/>
    <w:rsid w:val="00032C12"/>
    <w:rsid w:val="00032C49"/>
    <w:rsid w:val="00035CE2"/>
    <w:rsid w:val="000374EA"/>
    <w:rsid w:val="0005553B"/>
    <w:rsid w:val="00057E40"/>
    <w:rsid w:val="000604D2"/>
    <w:rsid w:val="00065E08"/>
    <w:rsid w:val="0007252F"/>
    <w:rsid w:val="00082472"/>
    <w:rsid w:val="0009005E"/>
    <w:rsid w:val="000959A7"/>
    <w:rsid w:val="000A6451"/>
    <w:rsid w:val="000B064E"/>
    <w:rsid w:val="000B5096"/>
    <w:rsid w:val="000B69CF"/>
    <w:rsid w:val="000C40AE"/>
    <w:rsid w:val="000C790C"/>
    <w:rsid w:val="000E2AAF"/>
    <w:rsid w:val="000E2D56"/>
    <w:rsid w:val="000F061D"/>
    <w:rsid w:val="00101FB5"/>
    <w:rsid w:val="001150B8"/>
    <w:rsid w:val="00124F12"/>
    <w:rsid w:val="001262B1"/>
    <w:rsid w:val="001268B0"/>
    <w:rsid w:val="00134854"/>
    <w:rsid w:val="00143C36"/>
    <w:rsid w:val="00144E3A"/>
    <w:rsid w:val="0014541D"/>
    <w:rsid w:val="00146B02"/>
    <w:rsid w:val="0015060C"/>
    <w:rsid w:val="00150CD9"/>
    <w:rsid w:val="0015346F"/>
    <w:rsid w:val="0016018A"/>
    <w:rsid w:val="00161EA2"/>
    <w:rsid w:val="00161F0E"/>
    <w:rsid w:val="001649B1"/>
    <w:rsid w:val="00165B69"/>
    <w:rsid w:val="00170E2A"/>
    <w:rsid w:val="0017280E"/>
    <w:rsid w:val="00180E11"/>
    <w:rsid w:val="00183CC2"/>
    <w:rsid w:val="00187B98"/>
    <w:rsid w:val="001900E4"/>
    <w:rsid w:val="00190E39"/>
    <w:rsid w:val="00190F88"/>
    <w:rsid w:val="001920E2"/>
    <w:rsid w:val="00193649"/>
    <w:rsid w:val="0019693E"/>
    <w:rsid w:val="001A1942"/>
    <w:rsid w:val="001A4066"/>
    <w:rsid w:val="001A6AE4"/>
    <w:rsid w:val="001A72E7"/>
    <w:rsid w:val="001B01FD"/>
    <w:rsid w:val="001B236E"/>
    <w:rsid w:val="001B4A71"/>
    <w:rsid w:val="001B5008"/>
    <w:rsid w:val="001B6B07"/>
    <w:rsid w:val="001C6647"/>
    <w:rsid w:val="001D5B54"/>
    <w:rsid w:val="001E1DBF"/>
    <w:rsid w:val="001E4639"/>
    <w:rsid w:val="001E4A7D"/>
    <w:rsid w:val="001E72E4"/>
    <w:rsid w:val="001F43A8"/>
    <w:rsid w:val="001F5CD6"/>
    <w:rsid w:val="00203D6F"/>
    <w:rsid w:val="002125FC"/>
    <w:rsid w:val="0021263D"/>
    <w:rsid w:val="00213F0C"/>
    <w:rsid w:val="0021592D"/>
    <w:rsid w:val="00222D76"/>
    <w:rsid w:val="002239F7"/>
    <w:rsid w:val="00223EB1"/>
    <w:rsid w:val="00225AF7"/>
    <w:rsid w:val="00231344"/>
    <w:rsid w:val="0023436E"/>
    <w:rsid w:val="0023456B"/>
    <w:rsid w:val="002347C0"/>
    <w:rsid w:val="0023711E"/>
    <w:rsid w:val="00241A6C"/>
    <w:rsid w:val="00242D2B"/>
    <w:rsid w:val="00246584"/>
    <w:rsid w:val="0026061A"/>
    <w:rsid w:val="00262E2B"/>
    <w:rsid w:val="00267C4A"/>
    <w:rsid w:val="00270429"/>
    <w:rsid w:val="002723E9"/>
    <w:rsid w:val="00275BED"/>
    <w:rsid w:val="0027622F"/>
    <w:rsid w:val="00277929"/>
    <w:rsid w:val="0028167F"/>
    <w:rsid w:val="00283780"/>
    <w:rsid w:val="00283B82"/>
    <w:rsid w:val="002846E9"/>
    <w:rsid w:val="00284C34"/>
    <w:rsid w:val="0029066C"/>
    <w:rsid w:val="002B3DDF"/>
    <w:rsid w:val="002B50DB"/>
    <w:rsid w:val="002B7601"/>
    <w:rsid w:val="002C12AB"/>
    <w:rsid w:val="002C154E"/>
    <w:rsid w:val="002C2A54"/>
    <w:rsid w:val="002C7CAC"/>
    <w:rsid w:val="002D3306"/>
    <w:rsid w:val="002D48AA"/>
    <w:rsid w:val="002D7BAA"/>
    <w:rsid w:val="002D7F54"/>
    <w:rsid w:val="002E3FF4"/>
    <w:rsid w:val="002F78C8"/>
    <w:rsid w:val="00301CF3"/>
    <w:rsid w:val="003146D3"/>
    <w:rsid w:val="003201D2"/>
    <w:rsid w:val="0032715C"/>
    <w:rsid w:val="00337CA5"/>
    <w:rsid w:val="00357936"/>
    <w:rsid w:val="00362478"/>
    <w:rsid w:val="0037138A"/>
    <w:rsid w:val="00371527"/>
    <w:rsid w:val="00375B25"/>
    <w:rsid w:val="0038324D"/>
    <w:rsid w:val="00396542"/>
    <w:rsid w:val="0039685B"/>
    <w:rsid w:val="003A3E59"/>
    <w:rsid w:val="003A7F0C"/>
    <w:rsid w:val="003A7F79"/>
    <w:rsid w:val="003B6404"/>
    <w:rsid w:val="003C7570"/>
    <w:rsid w:val="003D21FF"/>
    <w:rsid w:val="003E619C"/>
    <w:rsid w:val="003E71A1"/>
    <w:rsid w:val="003F0112"/>
    <w:rsid w:val="003F071A"/>
    <w:rsid w:val="003F160B"/>
    <w:rsid w:val="00400032"/>
    <w:rsid w:val="00400B5B"/>
    <w:rsid w:val="00401F22"/>
    <w:rsid w:val="0040308B"/>
    <w:rsid w:val="00405A00"/>
    <w:rsid w:val="004079B9"/>
    <w:rsid w:val="00420870"/>
    <w:rsid w:val="00426CB0"/>
    <w:rsid w:val="00432A2A"/>
    <w:rsid w:val="00434696"/>
    <w:rsid w:val="00441483"/>
    <w:rsid w:val="00441BCB"/>
    <w:rsid w:val="00442E29"/>
    <w:rsid w:val="00447242"/>
    <w:rsid w:val="0045176A"/>
    <w:rsid w:val="00452C79"/>
    <w:rsid w:val="00456332"/>
    <w:rsid w:val="004601ED"/>
    <w:rsid w:val="00470187"/>
    <w:rsid w:val="00476E4E"/>
    <w:rsid w:val="004800F9"/>
    <w:rsid w:val="00480110"/>
    <w:rsid w:val="0049134A"/>
    <w:rsid w:val="004A203F"/>
    <w:rsid w:val="004A58CB"/>
    <w:rsid w:val="004B1795"/>
    <w:rsid w:val="004B56DD"/>
    <w:rsid w:val="004C1AFD"/>
    <w:rsid w:val="004C558B"/>
    <w:rsid w:val="004D32A1"/>
    <w:rsid w:val="004D6AE1"/>
    <w:rsid w:val="004D7AFB"/>
    <w:rsid w:val="004F1F88"/>
    <w:rsid w:val="004F5F1B"/>
    <w:rsid w:val="004F7E7B"/>
    <w:rsid w:val="005014B7"/>
    <w:rsid w:val="00502374"/>
    <w:rsid w:val="00514AA2"/>
    <w:rsid w:val="00516072"/>
    <w:rsid w:val="005332EC"/>
    <w:rsid w:val="00534418"/>
    <w:rsid w:val="005353AB"/>
    <w:rsid w:val="00535C20"/>
    <w:rsid w:val="00536127"/>
    <w:rsid w:val="005376C4"/>
    <w:rsid w:val="00547184"/>
    <w:rsid w:val="005560BC"/>
    <w:rsid w:val="005569A7"/>
    <w:rsid w:val="005573BE"/>
    <w:rsid w:val="00557911"/>
    <w:rsid w:val="00560020"/>
    <w:rsid w:val="005707A9"/>
    <w:rsid w:val="00572700"/>
    <w:rsid w:val="00576952"/>
    <w:rsid w:val="00580468"/>
    <w:rsid w:val="00584AE1"/>
    <w:rsid w:val="0058603B"/>
    <w:rsid w:val="0058686D"/>
    <w:rsid w:val="00592492"/>
    <w:rsid w:val="00592F0A"/>
    <w:rsid w:val="0059431B"/>
    <w:rsid w:val="0059660D"/>
    <w:rsid w:val="00597393"/>
    <w:rsid w:val="005A39CC"/>
    <w:rsid w:val="005A4E9D"/>
    <w:rsid w:val="005B44DB"/>
    <w:rsid w:val="005B4730"/>
    <w:rsid w:val="005B678A"/>
    <w:rsid w:val="005D09C6"/>
    <w:rsid w:val="005D0AD0"/>
    <w:rsid w:val="005D1C03"/>
    <w:rsid w:val="005D35AB"/>
    <w:rsid w:val="005D5C10"/>
    <w:rsid w:val="005D71D7"/>
    <w:rsid w:val="005E05D7"/>
    <w:rsid w:val="005E41E7"/>
    <w:rsid w:val="005E450F"/>
    <w:rsid w:val="005E6310"/>
    <w:rsid w:val="005F1BE6"/>
    <w:rsid w:val="005F6B11"/>
    <w:rsid w:val="006101EE"/>
    <w:rsid w:val="0061389E"/>
    <w:rsid w:val="0061410F"/>
    <w:rsid w:val="00616B76"/>
    <w:rsid w:val="0062298A"/>
    <w:rsid w:val="0062644A"/>
    <w:rsid w:val="00626514"/>
    <w:rsid w:val="00626589"/>
    <w:rsid w:val="006339A0"/>
    <w:rsid w:val="006413A8"/>
    <w:rsid w:val="00642729"/>
    <w:rsid w:val="00642E56"/>
    <w:rsid w:val="00651E00"/>
    <w:rsid w:val="006627DE"/>
    <w:rsid w:val="00674572"/>
    <w:rsid w:val="0067673E"/>
    <w:rsid w:val="00686F26"/>
    <w:rsid w:val="00687763"/>
    <w:rsid w:val="00692B0D"/>
    <w:rsid w:val="00693E0E"/>
    <w:rsid w:val="006A1AE3"/>
    <w:rsid w:val="006C30E1"/>
    <w:rsid w:val="006C49FA"/>
    <w:rsid w:val="006D48F1"/>
    <w:rsid w:val="006F45BE"/>
    <w:rsid w:val="006F4AD0"/>
    <w:rsid w:val="006F5DAE"/>
    <w:rsid w:val="006F6DBC"/>
    <w:rsid w:val="007004FC"/>
    <w:rsid w:val="00703650"/>
    <w:rsid w:val="00706670"/>
    <w:rsid w:val="0071319D"/>
    <w:rsid w:val="0072417C"/>
    <w:rsid w:val="00727590"/>
    <w:rsid w:val="00734450"/>
    <w:rsid w:val="00743067"/>
    <w:rsid w:val="00745F67"/>
    <w:rsid w:val="00750F58"/>
    <w:rsid w:val="00752D9D"/>
    <w:rsid w:val="00754784"/>
    <w:rsid w:val="00757C6E"/>
    <w:rsid w:val="00761E4C"/>
    <w:rsid w:val="00762BDA"/>
    <w:rsid w:val="007630F5"/>
    <w:rsid w:val="00765BE4"/>
    <w:rsid w:val="007665C1"/>
    <w:rsid w:val="007805FD"/>
    <w:rsid w:val="00781A17"/>
    <w:rsid w:val="00784126"/>
    <w:rsid w:val="00784422"/>
    <w:rsid w:val="007B24CF"/>
    <w:rsid w:val="007B30D0"/>
    <w:rsid w:val="007B3B54"/>
    <w:rsid w:val="007B3FA0"/>
    <w:rsid w:val="007C1350"/>
    <w:rsid w:val="007C2BCC"/>
    <w:rsid w:val="007C2C06"/>
    <w:rsid w:val="007C4EF0"/>
    <w:rsid w:val="007C57C5"/>
    <w:rsid w:val="007C7EB2"/>
    <w:rsid w:val="007D2772"/>
    <w:rsid w:val="007E2664"/>
    <w:rsid w:val="007E3ABF"/>
    <w:rsid w:val="007E5524"/>
    <w:rsid w:val="007E5BFA"/>
    <w:rsid w:val="007E6689"/>
    <w:rsid w:val="007E731C"/>
    <w:rsid w:val="007F0A03"/>
    <w:rsid w:val="00803661"/>
    <w:rsid w:val="00810040"/>
    <w:rsid w:val="00810E58"/>
    <w:rsid w:val="00812622"/>
    <w:rsid w:val="008128C6"/>
    <w:rsid w:val="00815625"/>
    <w:rsid w:val="0082023A"/>
    <w:rsid w:val="00821A7A"/>
    <w:rsid w:val="008253F8"/>
    <w:rsid w:val="00825D2A"/>
    <w:rsid w:val="0082759F"/>
    <w:rsid w:val="00832A2B"/>
    <w:rsid w:val="008400CF"/>
    <w:rsid w:val="00846994"/>
    <w:rsid w:val="00850451"/>
    <w:rsid w:val="00852042"/>
    <w:rsid w:val="008534C9"/>
    <w:rsid w:val="0085599D"/>
    <w:rsid w:val="0086067F"/>
    <w:rsid w:val="00866A48"/>
    <w:rsid w:val="00873CDE"/>
    <w:rsid w:val="0087510C"/>
    <w:rsid w:val="00881089"/>
    <w:rsid w:val="0088576D"/>
    <w:rsid w:val="008865B3"/>
    <w:rsid w:val="00891E25"/>
    <w:rsid w:val="00895BF6"/>
    <w:rsid w:val="008968F5"/>
    <w:rsid w:val="0089738E"/>
    <w:rsid w:val="008A6169"/>
    <w:rsid w:val="008B279C"/>
    <w:rsid w:val="008B5FDB"/>
    <w:rsid w:val="008C5649"/>
    <w:rsid w:val="008C68E5"/>
    <w:rsid w:val="008D4E4F"/>
    <w:rsid w:val="008E44A2"/>
    <w:rsid w:val="008E4664"/>
    <w:rsid w:val="008E5609"/>
    <w:rsid w:val="008E697D"/>
    <w:rsid w:val="008E6B30"/>
    <w:rsid w:val="008E73F2"/>
    <w:rsid w:val="008F36ED"/>
    <w:rsid w:val="008F421A"/>
    <w:rsid w:val="00903263"/>
    <w:rsid w:val="00906A21"/>
    <w:rsid w:val="009079C3"/>
    <w:rsid w:val="00910462"/>
    <w:rsid w:val="00914AB2"/>
    <w:rsid w:val="00915AB1"/>
    <w:rsid w:val="00917532"/>
    <w:rsid w:val="00921954"/>
    <w:rsid w:val="00921BCE"/>
    <w:rsid w:val="009235BA"/>
    <w:rsid w:val="009244A9"/>
    <w:rsid w:val="00924CE2"/>
    <w:rsid w:val="00925B9F"/>
    <w:rsid w:val="00931AED"/>
    <w:rsid w:val="00937532"/>
    <w:rsid w:val="00943515"/>
    <w:rsid w:val="009476A3"/>
    <w:rsid w:val="0095334F"/>
    <w:rsid w:val="00965897"/>
    <w:rsid w:val="0096765C"/>
    <w:rsid w:val="009727E4"/>
    <w:rsid w:val="00990453"/>
    <w:rsid w:val="009934C5"/>
    <w:rsid w:val="0099423A"/>
    <w:rsid w:val="00994C0F"/>
    <w:rsid w:val="00996FA7"/>
    <w:rsid w:val="009B22D7"/>
    <w:rsid w:val="009B72ED"/>
    <w:rsid w:val="009C19E6"/>
    <w:rsid w:val="009C6DEB"/>
    <w:rsid w:val="009D6504"/>
    <w:rsid w:val="009E0C62"/>
    <w:rsid w:val="009E6407"/>
    <w:rsid w:val="009E661A"/>
    <w:rsid w:val="009F0AF4"/>
    <w:rsid w:val="009F18EB"/>
    <w:rsid w:val="009F692B"/>
    <w:rsid w:val="00A05A43"/>
    <w:rsid w:val="00A060E3"/>
    <w:rsid w:val="00A06781"/>
    <w:rsid w:val="00A06E93"/>
    <w:rsid w:val="00A12528"/>
    <w:rsid w:val="00A1509C"/>
    <w:rsid w:val="00A2686E"/>
    <w:rsid w:val="00A34260"/>
    <w:rsid w:val="00A40754"/>
    <w:rsid w:val="00A57C5F"/>
    <w:rsid w:val="00A70CFD"/>
    <w:rsid w:val="00A70D5E"/>
    <w:rsid w:val="00A72A0B"/>
    <w:rsid w:val="00A779B6"/>
    <w:rsid w:val="00A81E42"/>
    <w:rsid w:val="00A864FE"/>
    <w:rsid w:val="00A86F41"/>
    <w:rsid w:val="00A87D04"/>
    <w:rsid w:val="00A87DC7"/>
    <w:rsid w:val="00A950C5"/>
    <w:rsid w:val="00AA1D25"/>
    <w:rsid w:val="00AB2B1A"/>
    <w:rsid w:val="00AB397F"/>
    <w:rsid w:val="00AB42C9"/>
    <w:rsid w:val="00AB5832"/>
    <w:rsid w:val="00AC51F2"/>
    <w:rsid w:val="00AE43D1"/>
    <w:rsid w:val="00AE5066"/>
    <w:rsid w:val="00AE5611"/>
    <w:rsid w:val="00AE5E24"/>
    <w:rsid w:val="00AE61B7"/>
    <w:rsid w:val="00AE6CBA"/>
    <w:rsid w:val="00AE79AD"/>
    <w:rsid w:val="00AF35E4"/>
    <w:rsid w:val="00AF3904"/>
    <w:rsid w:val="00AF5CDE"/>
    <w:rsid w:val="00B00477"/>
    <w:rsid w:val="00B00828"/>
    <w:rsid w:val="00B11A57"/>
    <w:rsid w:val="00B11C2E"/>
    <w:rsid w:val="00B16DE2"/>
    <w:rsid w:val="00B25597"/>
    <w:rsid w:val="00B267B9"/>
    <w:rsid w:val="00B32520"/>
    <w:rsid w:val="00B33E09"/>
    <w:rsid w:val="00B35CB8"/>
    <w:rsid w:val="00B43A45"/>
    <w:rsid w:val="00B44774"/>
    <w:rsid w:val="00B50708"/>
    <w:rsid w:val="00B50C68"/>
    <w:rsid w:val="00B51293"/>
    <w:rsid w:val="00B52B1E"/>
    <w:rsid w:val="00B55481"/>
    <w:rsid w:val="00B56C32"/>
    <w:rsid w:val="00B56EDD"/>
    <w:rsid w:val="00B57ACF"/>
    <w:rsid w:val="00B615AD"/>
    <w:rsid w:val="00B638EB"/>
    <w:rsid w:val="00B64BB1"/>
    <w:rsid w:val="00B73166"/>
    <w:rsid w:val="00B77DA2"/>
    <w:rsid w:val="00B8426C"/>
    <w:rsid w:val="00B91B8D"/>
    <w:rsid w:val="00B91E5A"/>
    <w:rsid w:val="00B94E90"/>
    <w:rsid w:val="00B979F3"/>
    <w:rsid w:val="00B97A36"/>
    <w:rsid w:val="00BB0A82"/>
    <w:rsid w:val="00BB7C94"/>
    <w:rsid w:val="00BC0A9D"/>
    <w:rsid w:val="00BC15BC"/>
    <w:rsid w:val="00BE04E1"/>
    <w:rsid w:val="00BF4337"/>
    <w:rsid w:val="00BF5BC2"/>
    <w:rsid w:val="00C10305"/>
    <w:rsid w:val="00C1133D"/>
    <w:rsid w:val="00C27A08"/>
    <w:rsid w:val="00C27F45"/>
    <w:rsid w:val="00C306E0"/>
    <w:rsid w:val="00C3120C"/>
    <w:rsid w:val="00C31312"/>
    <w:rsid w:val="00C326C6"/>
    <w:rsid w:val="00C35295"/>
    <w:rsid w:val="00C36ADD"/>
    <w:rsid w:val="00C36E74"/>
    <w:rsid w:val="00C40595"/>
    <w:rsid w:val="00C41621"/>
    <w:rsid w:val="00C44479"/>
    <w:rsid w:val="00C449FA"/>
    <w:rsid w:val="00C47406"/>
    <w:rsid w:val="00C5136A"/>
    <w:rsid w:val="00C5384F"/>
    <w:rsid w:val="00C56964"/>
    <w:rsid w:val="00C656D5"/>
    <w:rsid w:val="00C65936"/>
    <w:rsid w:val="00C67103"/>
    <w:rsid w:val="00C7126D"/>
    <w:rsid w:val="00C71BB9"/>
    <w:rsid w:val="00C7236C"/>
    <w:rsid w:val="00C8206C"/>
    <w:rsid w:val="00C83A8E"/>
    <w:rsid w:val="00C870D5"/>
    <w:rsid w:val="00C94C28"/>
    <w:rsid w:val="00C94F1E"/>
    <w:rsid w:val="00CA289B"/>
    <w:rsid w:val="00CB0247"/>
    <w:rsid w:val="00CB3440"/>
    <w:rsid w:val="00CB69AA"/>
    <w:rsid w:val="00CC1692"/>
    <w:rsid w:val="00CD138B"/>
    <w:rsid w:val="00CD3E31"/>
    <w:rsid w:val="00CD74A3"/>
    <w:rsid w:val="00CE0160"/>
    <w:rsid w:val="00CE0527"/>
    <w:rsid w:val="00CE5B23"/>
    <w:rsid w:val="00CF6BC4"/>
    <w:rsid w:val="00CF70AD"/>
    <w:rsid w:val="00CF7729"/>
    <w:rsid w:val="00CF7BD1"/>
    <w:rsid w:val="00D107FA"/>
    <w:rsid w:val="00D12275"/>
    <w:rsid w:val="00D12766"/>
    <w:rsid w:val="00D12DF7"/>
    <w:rsid w:val="00D20FF4"/>
    <w:rsid w:val="00D21A8C"/>
    <w:rsid w:val="00D23222"/>
    <w:rsid w:val="00D24D2C"/>
    <w:rsid w:val="00D26283"/>
    <w:rsid w:val="00D332C7"/>
    <w:rsid w:val="00D35881"/>
    <w:rsid w:val="00D36BE0"/>
    <w:rsid w:val="00D437E1"/>
    <w:rsid w:val="00D47C4E"/>
    <w:rsid w:val="00D52DDB"/>
    <w:rsid w:val="00D53978"/>
    <w:rsid w:val="00D566F1"/>
    <w:rsid w:val="00D7027C"/>
    <w:rsid w:val="00D821C8"/>
    <w:rsid w:val="00D83AF5"/>
    <w:rsid w:val="00D85F5E"/>
    <w:rsid w:val="00D96098"/>
    <w:rsid w:val="00DA1AB5"/>
    <w:rsid w:val="00DA3275"/>
    <w:rsid w:val="00DA39E0"/>
    <w:rsid w:val="00DA7DA5"/>
    <w:rsid w:val="00DB073B"/>
    <w:rsid w:val="00DB31B3"/>
    <w:rsid w:val="00DB78F0"/>
    <w:rsid w:val="00DC2616"/>
    <w:rsid w:val="00DC2A91"/>
    <w:rsid w:val="00DC2E43"/>
    <w:rsid w:val="00DC3592"/>
    <w:rsid w:val="00DC7613"/>
    <w:rsid w:val="00DD095C"/>
    <w:rsid w:val="00DD1330"/>
    <w:rsid w:val="00DD6E05"/>
    <w:rsid w:val="00DE09FF"/>
    <w:rsid w:val="00DE0B83"/>
    <w:rsid w:val="00DE1A81"/>
    <w:rsid w:val="00DE1EE9"/>
    <w:rsid w:val="00DE48EB"/>
    <w:rsid w:val="00DE4E10"/>
    <w:rsid w:val="00DF4CBF"/>
    <w:rsid w:val="00E02ABF"/>
    <w:rsid w:val="00E04707"/>
    <w:rsid w:val="00E14995"/>
    <w:rsid w:val="00E179CD"/>
    <w:rsid w:val="00E23E8D"/>
    <w:rsid w:val="00E35436"/>
    <w:rsid w:val="00E37F98"/>
    <w:rsid w:val="00E43C32"/>
    <w:rsid w:val="00E46559"/>
    <w:rsid w:val="00E57899"/>
    <w:rsid w:val="00E63AD3"/>
    <w:rsid w:val="00E6516A"/>
    <w:rsid w:val="00E6670C"/>
    <w:rsid w:val="00E66BA0"/>
    <w:rsid w:val="00E66E11"/>
    <w:rsid w:val="00E776E8"/>
    <w:rsid w:val="00E82A21"/>
    <w:rsid w:val="00E92C1F"/>
    <w:rsid w:val="00E95CE3"/>
    <w:rsid w:val="00E95D4B"/>
    <w:rsid w:val="00EB199F"/>
    <w:rsid w:val="00EC23F7"/>
    <w:rsid w:val="00EC4BD8"/>
    <w:rsid w:val="00EC63EB"/>
    <w:rsid w:val="00ED2323"/>
    <w:rsid w:val="00ED29C0"/>
    <w:rsid w:val="00ED412F"/>
    <w:rsid w:val="00EE2930"/>
    <w:rsid w:val="00EF36B2"/>
    <w:rsid w:val="00F04484"/>
    <w:rsid w:val="00F0474D"/>
    <w:rsid w:val="00F11B2B"/>
    <w:rsid w:val="00F201EC"/>
    <w:rsid w:val="00F208A9"/>
    <w:rsid w:val="00F21263"/>
    <w:rsid w:val="00F31460"/>
    <w:rsid w:val="00F42278"/>
    <w:rsid w:val="00F53CF2"/>
    <w:rsid w:val="00F72CAC"/>
    <w:rsid w:val="00F7454F"/>
    <w:rsid w:val="00F77988"/>
    <w:rsid w:val="00F77F48"/>
    <w:rsid w:val="00F81B0E"/>
    <w:rsid w:val="00F82CF1"/>
    <w:rsid w:val="00F9704A"/>
    <w:rsid w:val="00FA0C4A"/>
    <w:rsid w:val="00FA2CFF"/>
    <w:rsid w:val="00FA2F65"/>
    <w:rsid w:val="00FB05E1"/>
    <w:rsid w:val="00FB30F1"/>
    <w:rsid w:val="00FB53E7"/>
    <w:rsid w:val="00FC43D7"/>
    <w:rsid w:val="00FD38A0"/>
    <w:rsid w:val="00FF538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link w:val="PlainTextChar"/>
    <w:uiPriority w:val="99"/>
    <w:rsid w:val="00D332C7"/>
    <w:rPr>
      <w:rFonts w:ascii="Courier New" w:hAnsi="Courier New"/>
      <w:sz w:val="28"/>
      <w:szCs w:val="20"/>
      <w:lang w:val="en-GB" w:eastAsia="en-US"/>
    </w:rPr>
  </w:style>
  <w:style w:type="character" w:customStyle="1" w:styleId="PlainTextChar">
    <w:name w:val="Plain Text Char"/>
    <w:basedOn w:val="DefaultParagraphFont"/>
    <w:link w:val="PlainText"/>
    <w:uiPriority w:val="99"/>
    <w:rsid w:val="00D332C7"/>
    <w:rPr>
      <w:rFonts w:ascii="Courier New" w:hAnsi="Courier New"/>
      <w:sz w:val="28"/>
      <w:lang w:val="en-GB" w:eastAsia="en-US"/>
    </w:rPr>
  </w:style>
  <w:style w:type="paragraph" w:styleId="BodyTextIndent">
    <w:name w:val="Body Text Indent"/>
    <w:basedOn w:val="Normal"/>
    <w:link w:val="BodyTextIndentChar"/>
    <w:rsid w:val="004A203F"/>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4A203F"/>
    <w:rPr>
      <w:rFonts w:ascii="Calibri" w:eastAsia="Calibri" w:hAnsi="Calibri"/>
      <w:sz w:val="22"/>
      <w:szCs w:val="22"/>
      <w:lang w:eastAsia="en-US"/>
    </w:rPr>
  </w:style>
  <w:style w:type="character" w:customStyle="1" w:styleId="HeaderChar">
    <w:name w:val="Header Char"/>
    <w:basedOn w:val="DefaultParagraphFont"/>
    <w:link w:val="Header"/>
    <w:uiPriority w:val="99"/>
    <w:rsid w:val="005D71D7"/>
    <w:rPr>
      <w:sz w:val="24"/>
      <w:szCs w:val="24"/>
    </w:rPr>
  </w:style>
  <w:style w:type="paragraph" w:customStyle="1" w:styleId="tvhtml">
    <w:name w:val="tv_html"/>
    <w:basedOn w:val="Normal"/>
    <w:rsid w:val="00D36BE0"/>
    <w:pPr>
      <w:spacing w:before="100" w:beforeAutospacing="1" w:after="100" w:afterAutospacing="1"/>
    </w:pPr>
    <w:rPr>
      <w:rFonts w:ascii="Verdana" w:hAnsi="Verdana"/>
      <w:sz w:val="18"/>
      <w:szCs w:val="18"/>
    </w:rPr>
  </w:style>
  <w:style w:type="paragraph" w:styleId="TOC1">
    <w:name w:val="toc 1"/>
    <w:basedOn w:val="Normal"/>
    <w:next w:val="Normal"/>
    <w:autoRedefine/>
    <w:rsid w:val="008A6169"/>
    <w:pPr>
      <w:spacing w:after="100"/>
    </w:pPr>
  </w:style>
  <w:style w:type="paragraph" w:customStyle="1" w:styleId="Teksts">
    <w:name w:val="Teksts"/>
    <w:basedOn w:val="Normal"/>
    <w:rsid w:val="00A12528"/>
    <w:pPr>
      <w:spacing w:line="360" w:lineRule="auto"/>
      <w:ind w:firstLine="720"/>
      <w:jc w:val="both"/>
    </w:pPr>
    <w:rPr>
      <w:lang w:eastAsia="en-US"/>
    </w:rPr>
  </w:style>
</w:styles>
</file>

<file path=word/webSettings.xml><?xml version="1.0" encoding="utf-8"?>
<w:webSettings xmlns:r="http://schemas.openxmlformats.org/officeDocument/2006/relationships" xmlns:w="http://schemas.openxmlformats.org/wordprocessingml/2006/main">
  <w:divs>
    <w:div w:id="216818565">
      <w:bodyDiv w:val="1"/>
      <w:marLeft w:val="19"/>
      <w:marRight w:val="19"/>
      <w:marTop w:val="38"/>
      <w:marBottom w:val="38"/>
      <w:divBdr>
        <w:top w:val="none" w:sz="0" w:space="0" w:color="auto"/>
        <w:left w:val="none" w:sz="0" w:space="0" w:color="auto"/>
        <w:bottom w:val="none" w:sz="0" w:space="0" w:color="auto"/>
        <w:right w:val="none" w:sz="0" w:space="0" w:color="auto"/>
      </w:divBdr>
      <w:divsChild>
        <w:div w:id="1043284677">
          <w:marLeft w:val="0"/>
          <w:marRight w:val="0"/>
          <w:marTop w:val="240"/>
          <w:marBottom w:val="0"/>
          <w:divBdr>
            <w:top w:val="none" w:sz="0" w:space="0" w:color="auto"/>
            <w:left w:val="none" w:sz="0" w:space="0" w:color="auto"/>
            <w:bottom w:val="none" w:sz="0" w:space="0" w:color="auto"/>
            <w:right w:val="none" w:sz="0" w:space="0" w:color="auto"/>
          </w:divBdr>
        </w:div>
      </w:divsChild>
    </w:div>
    <w:div w:id="499122566">
      <w:bodyDiv w:val="1"/>
      <w:marLeft w:val="19"/>
      <w:marRight w:val="19"/>
      <w:marTop w:val="38"/>
      <w:marBottom w:val="38"/>
      <w:divBdr>
        <w:top w:val="none" w:sz="0" w:space="0" w:color="auto"/>
        <w:left w:val="none" w:sz="0" w:space="0" w:color="auto"/>
        <w:bottom w:val="none" w:sz="0" w:space="0" w:color="auto"/>
        <w:right w:val="none" w:sz="0" w:space="0" w:color="auto"/>
      </w:divBdr>
      <w:divsChild>
        <w:div w:id="1468015826">
          <w:marLeft w:val="0"/>
          <w:marRight w:val="0"/>
          <w:marTop w:val="240"/>
          <w:marBottom w:val="0"/>
          <w:divBdr>
            <w:top w:val="none" w:sz="0" w:space="0" w:color="auto"/>
            <w:left w:val="none" w:sz="0" w:space="0" w:color="auto"/>
            <w:bottom w:val="none" w:sz="0" w:space="0" w:color="auto"/>
            <w:right w:val="none" w:sz="0" w:space="0" w:color="auto"/>
          </w:divBdr>
        </w:div>
      </w:divsChild>
    </w:div>
    <w:div w:id="567620369">
      <w:bodyDiv w:val="1"/>
      <w:marLeft w:val="45"/>
      <w:marRight w:val="45"/>
      <w:marTop w:val="90"/>
      <w:marBottom w:val="90"/>
      <w:divBdr>
        <w:top w:val="none" w:sz="0" w:space="0" w:color="auto"/>
        <w:left w:val="none" w:sz="0" w:space="0" w:color="auto"/>
        <w:bottom w:val="none" w:sz="0" w:space="0" w:color="auto"/>
        <w:right w:val="none" w:sz="0" w:space="0" w:color="auto"/>
      </w:divBdr>
      <w:divsChild>
        <w:div w:id="281693931">
          <w:marLeft w:val="0"/>
          <w:marRight w:val="0"/>
          <w:marTop w:val="240"/>
          <w:marBottom w:val="0"/>
          <w:divBdr>
            <w:top w:val="none" w:sz="0" w:space="0" w:color="auto"/>
            <w:left w:val="none" w:sz="0" w:space="0" w:color="auto"/>
            <w:bottom w:val="none" w:sz="0" w:space="0" w:color="auto"/>
            <w:right w:val="none" w:sz="0" w:space="0" w:color="auto"/>
          </w:divBdr>
        </w:div>
      </w:divsChild>
    </w:div>
    <w:div w:id="618872477">
      <w:bodyDiv w:val="1"/>
      <w:marLeft w:val="30"/>
      <w:marRight w:val="30"/>
      <w:marTop w:val="60"/>
      <w:marBottom w:val="60"/>
      <w:divBdr>
        <w:top w:val="none" w:sz="0" w:space="0" w:color="auto"/>
        <w:left w:val="none" w:sz="0" w:space="0" w:color="auto"/>
        <w:bottom w:val="none" w:sz="0" w:space="0" w:color="auto"/>
        <w:right w:val="none" w:sz="0" w:space="0" w:color="auto"/>
      </w:divBdr>
      <w:divsChild>
        <w:div w:id="1628925690">
          <w:marLeft w:val="0"/>
          <w:marRight w:val="0"/>
          <w:marTop w:val="240"/>
          <w:marBottom w:val="0"/>
          <w:divBdr>
            <w:top w:val="none" w:sz="0" w:space="0" w:color="auto"/>
            <w:left w:val="none" w:sz="0" w:space="0" w:color="auto"/>
            <w:bottom w:val="none" w:sz="0" w:space="0" w:color="auto"/>
            <w:right w:val="none" w:sz="0" w:space="0" w:color="auto"/>
          </w:divBdr>
        </w:div>
      </w:divsChild>
    </w:div>
    <w:div w:id="768309298">
      <w:bodyDiv w:val="1"/>
      <w:marLeft w:val="30"/>
      <w:marRight w:val="30"/>
      <w:marTop w:val="60"/>
      <w:marBottom w:val="60"/>
      <w:divBdr>
        <w:top w:val="none" w:sz="0" w:space="0" w:color="auto"/>
        <w:left w:val="none" w:sz="0" w:space="0" w:color="auto"/>
        <w:bottom w:val="none" w:sz="0" w:space="0" w:color="auto"/>
        <w:right w:val="none" w:sz="0" w:space="0" w:color="auto"/>
      </w:divBdr>
      <w:divsChild>
        <w:div w:id="2060396421">
          <w:marLeft w:val="0"/>
          <w:marRight w:val="0"/>
          <w:marTop w:val="240"/>
          <w:marBottom w:val="0"/>
          <w:divBdr>
            <w:top w:val="none" w:sz="0" w:space="0" w:color="auto"/>
            <w:left w:val="none" w:sz="0" w:space="0" w:color="auto"/>
            <w:bottom w:val="none" w:sz="0" w:space="0" w:color="auto"/>
            <w:right w:val="none" w:sz="0" w:space="0" w:color="auto"/>
          </w:divBdr>
        </w:div>
      </w:divsChild>
    </w:div>
    <w:div w:id="782577541">
      <w:bodyDiv w:val="1"/>
      <w:marLeft w:val="30"/>
      <w:marRight w:val="30"/>
      <w:marTop w:val="60"/>
      <w:marBottom w:val="60"/>
      <w:divBdr>
        <w:top w:val="none" w:sz="0" w:space="0" w:color="auto"/>
        <w:left w:val="none" w:sz="0" w:space="0" w:color="auto"/>
        <w:bottom w:val="none" w:sz="0" w:space="0" w:color="auto"/>
        <w:right w:val="none" w:sz="0" w:space="0" w:color="auto"/>
      </w:divBdr>
      <w:divsChild>
        <w:div w:id="1868565953">
          <w:marLeft w:val="0"/>
          <w:marRight w:val="0"/>
          <w:marTop w:val="240"/>
          <w:marBottom w:val="0"/>
          <w:divBdr>
            <w:top w:val="none" w:sz="0" w:space="0" w:color="auto"/>
            <w:left w:val="none" w:sz="0" w:space="0" w:color="auto"/>
            <w:bottom w:val="none" w:sz="0" w:space="0" w:color="auto"/>
            <w:right w:val="none" w:sz="0" w:space="0" w:color="auto"/>
          </w:divBdr>
        </w:div>
      </w:divsChild>
    </w:div>
    <w:div w:id="1590385011">
      <w:bodyDiv w:val="1"/>
      <w:marLeft w:val="45"/>
      <w:marRight w:val="45"/>
      <w:marTop w:val="90"/>
      <w:marBottom w:val="90"/>
      <w:divBdr>
        <w:top w:val="none" w:sz="0" w:space="0" w:color="auto"/>
        <w:left w:val="none" w:sz="0" w:space="0" w:color="auto"/>
        <w:bottom w:val="none" w:sz="0" w:space="0" w:color="auto"/>
        <w:right w:val="none" w:sz="0" w:space="0" w:color="auto"/>
      </w:divBdr>
      <w:divsChild>
        <w:div w:id="1763182618">
          <w:marLeft w:val="0"/>
          <w:marRight w:val="0"/>
          <w:marTop w:val="240"/>
          <w:marBottom w:val="0"/>
          <w:divBdr>
            <w:top w:val="none" w:sz="0" w:space="0" w:color="auto"/>
            <w:left w:val="none" w:sz="0" w:space="0" w:color="auto"/>
            <w:bottom w:val="none" w:sz="0" w:space="0" w:color="auto"/>
            <w:right w:val="none" w:sz="0" w:space="0" w:color="auto"/>
          </w:divBdr>
        </w:div>
      </w:divsChild>
    </w:div>
    <w:div w:id="1599950092">
      <w:bodyDiv w:val="1"/>
      <w:marLeft w:val="19"/>
      <w:marRight w:val="19"/>
      <w:marTop w:val="38"/>
      <w:marBottom w:val="38"/>
      <w:divBdr>
        <w:top w:val="none" w:sz="0" w:space="0" w:color="auto"/>
        <w:left w:val="none" w:sz="0" w:space="0" w:color="auto"/>
        <w:bottom w:val="none" w:sz="0" w:space="0" w:color="auto"/>
        <w:right w:val="none" w:sz="0" w:space="0" w:color="auto"/>
      </w:divBdr>
      <w:divsChild>
        <w:div w:id="1268738645">
          <w:marLeft w:val="0"/>
          <w:marRight w:val="0"/>
          <w:marTop w:val="240"/>
          <w:marBottom w:val="0"/>
          <w:divBdr>
            <w:top w:val="none" w:sz="0" w:space="0" w:color="auto"/>
            <w:left w:val="none" w:sz="0" w:space="0" w:color="auto"/>
            <w:bottom w:val="none" w:sz="0" w:space="0" w:color="auto"/>
            <w:right w:val="none" w:sz="0" w:space="0" w:color="auto"/>
          </w:divBdr>
        </w:div>
      </w:divsChild>
    </w:div>
    <w:div w:id="1672222664">
      <w:bodyDiv w:val="1"/>
      <w:marLeft w:val="19"/>
      <w:marRight w:val="19"/>
      <w:marTop w:val="38"/>
      <w:marBottom w:val="38"/>
      <w:divBdr>
        <w:top w:val="none" w:sz="0" w:space="0" w:color="auto"/>
        <w:left w:val="none" w:sz="0" w:space="0" w:color="auto"/>
        <w:bottom w:val="none" w:sz="0" w:space="0" w:color="auto"/>
        <w:right w:val="none" w:sz="0" w:space="0" w:color="auto"/>
      </w:divBdr>
      <w:divsChild>
        <w:div w:id="1882788674">
          <w:marLeft w:val="0"/>
          <w:marRight w:val="0"/>
          <w:marTop w:val="240"/>
          <w:marBottom w:val="0"/>
          <w:divBdr>
            <w:top w:val="none" w:sz="0" w:space="0" w:color="auto"/>
            <w:left w:val="none" w:sz="0" w:space="0" w:color="auto"/>
            <w:bottom w:val="none" w:sz="0" w:space="0" w:color="auto"/>
            <w:right w:val="none" w:sz="0" w:space="0" w:color="auto"/>
          </w:divBdr>
        </w:div>
      </w:divsChild>
    </w:div>
    <w:div w:id="1685277336">
      <w:bodyDiv w:val="1"/>
      <w:marLeft w:val="45"/>
      <w:marRight w:val="45"/>
      <w:marTop w:val="90"/>
      <w:marBottom w:val="90"/>
      <w:divBdr>
        <w:top w:val="none" w:sz="0" w:space="0" w:color="auto"/>
        <w:left w:val="none" w:sz="0" w:space="0" w:color="auto"/>
        <w:bottom w:val="none" w:sz="0" w:space="0" w:color="auto"/>
        <w:right w:val="none" w:sz="0" w:space="0" w:color="auto"/>
      </w:divBdr>
      <w:divsChild>
        <w:div w:id="1358001169">
          <w:marLeft w:val="0"/>
          <w:marRight w:val="0"/>
          <w:marTop w:val="240"/>
          <w:marBottom w:val="0"/>
          <w:divBdr>
            <w:top w:val="none" w:sz="0" w:space="0" w:color="auto"/>
            <w:left w:val="none" w:sz="0" w:space="0" w:color="auto"/>
            <w:bottom w:val="none" w:sz="0" w:space="0" w:color="auto"/>
            <w:right w:val="none" w:sz="0" w:space="0" w:color="auto"/>
          </w:divBdr>
        </w:div>
      </w:divsChild>
    </w:div>
    <w:div w:id="1689018829">
      <w:bodyDiv w:val="1"/>
      <w:marLeft w:val="56"/>
      <w:marRight w:val="56"/>
      <w:marTop w:val="112"/>
      <w:marBottom w:val="112"/>
      <w:divBdr>
        <w:top w:val="none" w:sz="0" w:space="0" w:color="auto"/>
        <w:left w:val="none" w:sz="0" w:space="0" w:color="auto"/>
        <w:bottom w:val="none" w:sz="0" w:space="0" w:color="auto"/>
        <w:right w:val="none" w:sz="0" w:space="0" w:color="auto"/>
      </w:divBdr>
      <w:divsChild>
        <w:div w:id="129447315">
          <w:marLeft w:val="0"/>
          <w:marRight w:val="0"/>
          <w:marTop w:val="240"/>
          <w:marBottom w:val="0"/>
          <w:divBdr>
            <w:top w:val="none" w:sz="0" w:space="0" w:color="auto"/>
            <w:left w:val="none" w:sz="0" w:space="0" w:color="auto"/>
            <w:bottom w:val="none" w:sz="0" w:space="0" w:color="auto"/>
            <w:right w:val="none" w:sz="0" w:space="0" w:color="auto"/>
          </w:divBdr>
        </w:div>
      </w:divsChild>
    </w:div>
    <w:div w:id="187203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161894586">
          <w:marLeft w:val="0"/>
          <w:marRight w:val="0"/>
          <w:marTop w:val="240"/>
          <w:marBottom w:val="0"/>
          <w:divBdr>
            <w:top w:val="none" w:sz="0" w:space="0" w:color="auto"/>
            <w:left w:val="none" w:sz="0" w:space="0" w:color="auto"/>
            <w:bottom w:val="none" w:sz="0" w:space="0" w:color="auto"/>
            <w:right w:val="none" w:sz="0" w:space="0" w:color="auto"/>
          </w:divBdr>
        </w:div>
      </w:divsChild>
    </w:div>
    <w:div w:id="1919904583">
      <w:bodyDiv w:val="1"/>
      <w:marLeft w:val="30"/>
      <w:marRight w:val="30"/>
      <w:marTop w:val="60"/>
      <w:marBottom w:val="60"/>
      <w:divBdr>
        <w:top w:val="none" w:sz="0" w:space="0" w:color="auto"/>
        <w:left w:val="none" w:sz="0" w:space="0" w:color="auto"/>
        <w:bottom w:val="none" w:sz="0" w:space="0" w:color="auto"/>
        <w:right w:val="none" w:sz="0" w:space="0" w:color="auto"/>
      </w:divBdr>
      <w:divsChild>
        <w:div w:id="14339326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eks.Zakutajev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lips.Voronenko@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BBD1-8A15-4120-BCDE-A97D84F5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9</Pages>
  <Words>2058</Words>
  <Characters>14079</Characters>
  <Application>Microsoft Office Word</Application>
  <DocSecurity>0</DocSecurity>
  <Lines>741</Lines>
  <Paragraphs>375</Paragraphs>
  <ScaleCrop>false</ScaleCrop>
  <HeadingPairs>
    <vt:vector size="2" baseType="variant">
      <vt:variant>
        <vt:lpstr>Title</vt:lpstr>
      </vt:variant>
      <vt:variant>
        <vt:i4>1</vt:i4>
      </vt:variant>
    </vt:vector>
  </HeadingPairs>
  <TitlesOfParts>
    <vt:vector size="1" baseType="lpstr">
      <vt:lpstr>MK rīkojuma projekts</vt:lpstr>
    </vt:vector>
  </TitlesOfParts>
  <Company>Valsts kanceleja, Politikas koordinācijas departaments</Company>
  <LinksUpToDate>false</LinksUpToDate>
  <CharactersWithSpaces>15762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anotācija</dc:subject>
  <dc:creator>Mareks Zakutajevs</dc:creator>
  <cp:keywords/>
  <dc:description/>
  <cp:lastModifiedBy>Filips Voroņenko</cp:lastModifiedBy>
  <cp:revision>36</cp:revision>
  <cp:lastPrinted>2012-03-28T12:24:00Z</cp:lastPrinted>
  <dcterms:created xsi:type="dcterms:W3CDTF">2011-10-18T13:15:00Z</dcterms:created>
  <dcterms:modified xsi:type="dcterms:W3CDTF">2012-03-28T12:24:00Z</dcterms:modified>
</cp:coreProperties>
</file>