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A8" w:rsidRPr="00527E2A" w:rsidRDefault="007267A8" w:rsidP="007267A8">
      <w:pPr>
        <w:jc w:val="center"/>
        <w:rPr>
          <w:b/>
          <w:sz w:val="26"/>
          <w:szCs w:val="26"/>
          <w:lang w:val="lv-LV"/>
        </w:rPr>
      </w:pPr>
      <w:bookmarkStart w:id="0" w:name="OLE_LINK3"/>
      <w:bookmarkStart w:id="1" w:name="OLE_LINK4"/>
      <w:bookmarkStart w:id="2" w:name="OLE_LINK5"/>
      <w:bookmarkStart w:id="3" w:name="OLE_LINK1"/>
      <w:bookmarkStart w:id="4" w:name="OLE_LINK2"/>
      <w:r w:rsidRPr="00527E2A">
        <w:rPr>
          <w:b/>
          <w:sz w:val="26"/>
          <w:szCs w:val="26"/>
          <w:lang w:val="lv-LV"/>
        </w:rPr>
        <w:t xml:space="preserve">Ministru kabineta noteikumu projekta „Grozījumi Ministru kabineta </w:t>
      </w:r>
    </w:p>
    <w:p w:rsidR="007267A8" w:rsidRPr="00527E2A" w:rsidRDefault="007267A8" w:rsidP="007267A8">
      <w:pPr>
        <w:jc w:val="center"/>
        <w:rPr>
          <w:b/>
          <w:sz w:val="26"/>
          <w:szCs w:val="26"/>
          <w:lang w:val="lv-LV"/>
        </w:rPr>
      </w:pPr>
      <w:r w:rsidRPr="00527E2A">
        <w:rPr>
          <w:b/>
          <w:sz w:val="26"/>
          <w:szCs w:val="26"/>
          <w:lang w:val="lv-LV"/>
        </w:rPr>
        <w:t xml:space="preserve">2008. gada 21.jūlija noteikumos Nr.567 „Noteikumi par Latvijas </w:t>
      </w:r>
    </w:p>
    <w:p w:rsidR="007267A8" w:rsidRPr="00527E2A" w:rsidRDefault="007267A8" w:rsidP="007267A8">
      <w:pPr>
        <w:jc w:val="center"/>
        <w:rPr>
          <w:b/>
          <w:sz w:val="26"/>
          <w:szCs w:val="26"/>
          <w:lang w:val="lv-LV"/>
        </w:rPr>
      </w:pPr>
      <w:r w:rsidRPr="00527E2A">
        <w:rPr>
          <w:b/>
          <w:sz w:val="26"/>
          <w:szCs w:val="26"/>
          <w:lang w:val="lv-LV"/>
        </w:rPr>
        <w:t xml:space="preserve">būvnormatīvu LBN 208-08 „Publiskas ēkas un būves””” </w:t>
      </w:r>
    </w:p>
    <w:p w:rsidR="007267A8" w:rsidRPr="00527E2A" w:rsidRDefault="007267A8" w:rsidP="007267A8">
      <w:pPr>
        <w:ind w:firstLine="720"/>
        <w:jc w:val="center"/>
        <w:rPr>
          <w:b/>
          <w:bCs/>
          <w:sz w:val="26"/>
          <w:szCs w:val="26"/>
          <w:lang w:val="lv-LV"/>
        </w:rPr>
      </w:pPr>
      <w:r w:rsidRPr="00527E2A">
        <w:rPr>
          <w:b/>
          <w:sz w:val="26"/>
          <w:szCs w:val="26"/>
          <w:lang w:val="lv-LV"/>
        </w:rPr>
        <w:t xml:space="preserve">sākotnējās ietekmes novērtējuma </w:t>
      </w:r>
      <w:smartTag w:uri="schemas-tilde-lv/tildestengine" w:element="veidnes">
        <w:smartTagPr>
          <w:attr w:name="id" w:val="-1"/>
          <w:attr w:name="baseform" w:val="ziņojums"/>
          <w:attr w:name="text" w:val="ziņojums"/>
        </w:smartTagPr>
        <w:r w:rsidRPr="00527E2A">
          <w:rPr>
            <w:b/>
            <w:sz w:val="26"/>
            <w:szCs w:val="26"/>
            <w:lang w:val="lv-LV"/>
          </w:rPr>
          <w:t>ziņojums</w:t>
        </w:r>
      </w:smartTag>
      <w:r w:rsidRPr="00527E2A">
        <w:rPr>
          <w:b/>
          <w:sz w:val="26"/>
          <w:szCs w:val="26"/>
          <w:lang w:val="lv-LV"/>
        </w:rPr>
        <w:t xml:space="preserve"> (</w:t>
      </w:r>
      <w:r w:rsidRPr="00527E2A">
        <w:rPr>
          <w:b/>
          <w:bCs/>
          <w:sz w:val="26"/>
          <w:szCs w:val="26"/>
          <w:lang w:val="lv-LV"/>
        </w:rPr>
        <w:t>anotācija)</w:t>
      </w:r>
      <w:bookmarkEnd w:id="0"/>
      <w:bookmarkEnd w:id="1"/>
      <w:bookmarkEnd w:id="2"/>
      <w:bookmarkEnd w:id="3"/>
      <w:bookmarkEnd w:id="4"/>
    </w:p>
    <w:p w:rsidR="007267A8" w:rsidRPr="00527E2A" w:rsidRDefault="007267A8" w:rsidP="007267A8">
      <w:pPr>
        <w:tabs>
          <w:tab w:val="left" w:pos="7230"/>
        </w:tabs>
        <w:rPr>
          <w:sz w:val="26"/>
          <w:szCs w:val="26"/>
          <w:lang w:val="lv-LV"/>
        </w:rPr>
      </w:pPr>
      <w:r w:rsidRPr="00527E2A">
        <w:rPr>
          <w:rStyle w:val="Strong"/>
          <w:rFonts w:eastAsiaTheme="majorEastAsia"/>
          <w:sz w:val="26"/>
          <w:szCs w:val="26"/>
          <w:lang w:val="lv-LV"/>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361"/>
      </w:tblGrid>
      <w:tr w:rsidR="00527E2A" w:rsidRPr="00527E2A" w:rsidTr="00E913DD">
        <w:tc>
          <w:tcPr>
            <w:tcW w:w="9062" w:type="dxa"/>
            <w:gridSpan w:val="3"/>
            <w:vAlign w:val="center"/>
          </w:tcPr>
          <w:p w:rsidR="007267A8" w:rsidRPr="00527E2A" w:rsidRDefault="007267A8" w:rsidP="00E913DD">
            <w:pPr>
              <w:jc w:val="center"/>
              <w:rPr>
                <w:sz w:val="26"/>
                <w:szCs w:val="26"/>
                <w:lang w:val="lv-LV"/>
              </w:rPr>
            </w:pPr>
            <w:r w:rsidRPr="00527E2A">
              <w:rPr>
                <w:b/>
                <w:sz w:val="26"/>
                <w:szCs w:val="26"/>
                <w:lang w:val="lv-LV"/>
              </w:rPr>
              <w:t>I. Tiesību akta projekta izstrādes nepieciešamība</w:t>
            </w:r>
          </w:p>
        </w:tc>
      </w:tr>
      <w:tr w:rsidR="00527E2A" w:rsidRPr="00527E2A" w:rsidTr="00E913DD">
        <w:trPr>
          <w:trHeight w:val="439"/>
        </w:trPr>
        <w:tc>
          <w:tcPr>
            <w:tcW w:w="524" w:type="dxa"/>
          </w:tcPr>
          <w:p w:rsidR="007267A8" w:rsidRPr="00527E2A" w:rsidRDefault="007267A8" w:rsidP="00E913DD">
            <w:pPr>
              <w:ind w:left="57" w:right="57"/>
              <w:rPr>
                <w:sz w:val="26"/>
                <w:szCs w:val="26"/>
                <w:lang w:val="lv-LV"/>
              </w:rPr>
            </w:pPr>
            <w:r w:rsidRPr="00527E2A">
              <w:rPr>
                <w:sz w:val="26"/>
                <w:szCs w:val="26"/>
                <w:lang w:val="lv-LV"/>
              </w:rPr>
              <w:t> 1.</w:t>
            </w:r>
          </w:p>
        </w:tc>
        <w:tc>
          <w:tcPr>
            <w:tcW w:w="3177" w:type="dxa"/>
          </w:tcPr>
          <w:p w:rsidR="007267A8" w:rsidRPr="00527E2A" w:rsidRDefault="007267A8" w:rsidP="00E913DD">
            <w:pPr>
              <w:ind w:left="57" w:right="57"/>
              <w:rPr>
                <w:sz w:val="26"/>
                <w:szCs w:val="26"/>
                <w:lang w:val="lv-LV"/>
              </w:rPr>
            </w:pPr>
            <w:r w:rsidRPr="00527E2A">
              <w:rPr>
                <w:sz w:val="26"/>
                <w:szCs w:val="26"/>
                <w:lang w:val="lv-LV"/>
              </w:rPr>
              <w:t>Pamatojums</w:t>
            </w:r>
          </w:p>
        </w:tc>
        <w:tc>
          <w:tcPr>
            <w:tcW w:w="5361" w:type="dxa"/>
          </w:tcPr>
          <w:p w:rsidR="007267A8" w:rsidRPr="00527E2A" w:rsidRDefault="007267A8" w:rsidP="00E913DD">
            <w:pPr>
              <w:pStyle w:val="naiskr"/>
              <w:spacing w:before="0" w:after="0"/>
              <w:ind w:left="57" w:right="57"/>
              <w:jc w:val="both"/>
              <w:rPr>
                <w:sz w:val="26"/>
                <w:szCs w:val="26"/>
              </w:rPr>
            </w:pPr>
            <w:r w:rsidRPr="00527E2A">
              <w:rPr>
                <w:sz w:val="26"/>
                <w:szCs w:val="26"/>
              </w:rPr>
              <w:t xml:space="preserve">        Būvniecības likuma 2.panta ceturtā daļa</w:t>
            </w:r>
          </w:p>
          <w:p w:rsidR="007267A8" w:rsidRPr="00527E2A" w:rsidRDefault="007267A8" w:rsidP="00E913DD">
            <w:pPr>
              <w:pStyle w:val="naiskr"/>
              <w:spacing w:before="0" w:after="0"/>
              <w:ind w:left="57" w:right="57"/>
              <w:jc w:val="both"/>
              <w:rPr>
                <w:sz w:val="26"/>
                <w:szCs w:val="26"/>
              </w:rPr>
            </w:pPr>
          </w:p>
          <w:p w:rsidR="007267A8" w:rsidRPr="00527E2A" w:rsidRDefault="007267A8" w:rsidP="00E913DD">
            <w:pPr>
              <w:pStyle w:val="naiskr"/>
              <w:spacing w:before="0" w:after="0"/>
              <w:ind w:left="57" w:right="57"/>
              <w:jc w:val="both"/>
              <w:rPr>
                <w:sz w:val="26"/>
                <w:szCs w:val="26"/>
              </w:rPr>
            </w:pPr>
            <w:r w:rsidRPr="00527E2A">
              <w:rPr>
                <w:sz w:val="26"/>
                <w:szCs w:val="26"/>
              </w:rPr>
              <w:t xml:space="preserve">        Latvijas būvnormatīvs LBN 201-10 „Būvju ugunsdrošība” (apstiprināts ar MK 28.06.2011. noteikumiem Nr.498) </w:t>
            </w:r>
          </w:p>
          <w:p w:rsidR="007267A8" w:rsidRPr="00527E2A" w:rsidRDefault="007267A8" w:rsidP="00E913DD">
            <w:pPr>
              <w:pStyle w:val="naiskr"/>
              <w:spacing w:before="0" w:after="0"/>
              <w:ind w:left="57" w:right="57"/>
              <w:jc w:val="both"/>
              <w:rPr>
                <w:sz w:val="26"/>
                <w:szCs w:val="26"/>
              </w:rPr>
            </w:pPr>
          </w:p>
        </w:tc>
      </w:tr>
      <w:tr w:rsidR="00527E2A" w:rsidRPr="00527E2A" w:rsidTr="00E913DD">
        <w:trPr>
          <w:trHeight w:val="1544"/>
        </w:trPr>
        <w:tc>
          <w:tcPr>
            <w:tcW w:w="524" w:type="dxa"/>
          </w:tcPr>
          <w:p w:rsidR="007267A8" w:rsidRPr="00527E2A" w:rsidRDefault="007267A8" w:rsidP="00E913DD">
            <w:pPr>
              <w:ind w:left="57" w:right="57"/>
              <w:rPr>
                <w:sz w:val="26"/>
                <w:szCs w:val="26"/>
                <w:lang w:val="lv-LV"/>
              </w:rPr>
            </w:pPr>
            <w:r w:rsidRPr="00527E2A">
              <w:rPr>
                <w:sz w:val="26"/>
                <w:szCs w:val="26"/>
                <w:lang w:val="lv-LV"/>
              </w:rPr>
              <w:t> 2.</w:t>
            </w:r>
          </w:p>
        </w:tc>
        <w:tc>
          <w:tcPr>
            <w:tcW w:w="3177" w:type="dxa"/>
          </w:tcPr>
          <w:p w:rsidR="007267A8" w:rsidRPr="00527E2A" w:rsidRDefault="007267A8" w:rsidP="00E913DD">
            <w:pPr>
              <w:ind w:left="57" w:right="57"/>
              <w:rPr>
                <w:sz w:val="26"/>
                <w:szCs w:val="26"/>
                <w:lang w:val="lv-LV"/>
              </w:rPr>
            </w:pPr>
            <w:r w:rsidRPr="00527E2A">
              <w:rPr>
                <w:sz w:val="26"/>
                <w:szCs w:val="26"/>
                <w:lang w:val="lv-LV"/>
              </w:rPr>
              <w:t>Pašreizējā situācija un problēmas</w:t>
            </w:r>
          </w:p>
        </w:tc>
        <w:tc>
          <w:tcPr>
            <w:tcW w:w="5361" w:type="dxa"/>
          </w:tcPr>
          <w:p w:rsidR="007267A8" w:rsidRPr="00527E2A" w:rsidRDefault="007267A8" w:rsidP="00E913DD">
            <w:pPr>
              <w:pStyle w:val="naiskr"/>
              <w:spacing w:before="0" w:after="0"/>
              <w:ind w:left="57" w:right="57"/>
              <w:jc w:val="both"/>
              <w:rPr>
                <w:sz w:val="26"/>
                <w:szCs w:val="26"/>
              </w:rPr>
            </w:pPr>
            <w:r w:rsidRPr="00527E2A">
              <w:rPr>
                <w:sz w:val="26"/>
                <w:szCs w:val="26"/>
              </w:rPr>
              <w:t xml:space="preserve">          Latvijas būvnormatīvā LBN 208-08 „Publiskas ēkas un būves” ir iestrādātas ugunsdrošības prasības, kuras izriet no Latvijas būvnormatīva LBN 201-07 „Būvju ugunsdrošība” (apstiprināts ar MK 11.12.2007. noteikumiem Nr.866). Tā kā 2011.gadā ir izdots jauns Latvijas būvnormatīvs LBN 201-10 „Būvju ugunsdrošība” (apstiprināts ar MK 28.06.2011. noteikumiem Nr.498), līdz ar to attiecīgi ir jāprecizē LBN 208-08.</w:t>
            </w:r>
          </w:p>
          <w:p w:rsidR="007267A8" w:rsidRPr="00527E2A" w:rsidRDefault="007267A8" w:rsidP="00E913DD">
            <w:pPr>
              <w:pStyle w:val="naiskr"/>
              <w:spacing w:before="0" w:after="0"/>
              <w:ind w:left="57" w:right="57"/>
              <w:jc w:val="both"/>
              <w:rPr>
                <w:sz w:val="26"/>
                <w:szCs w:val="26"/>
              </w:rPr>
            </w:pPr>
            <w:r w:rsidRPr="00527E2A">
              <w:rPr>
                <w:sz w:val="26"/>
                <w:szCs w:val="26"/>
              </w:rPr>
              <w:t xml:space="preserve">        LBN 208-08: </w:t>
            </w:r>
          </w:p>
          <w:p w:rsidR="007267A8" w:rsidRPr="00527E2A" w:rsidRDefault="007267A8" w:rsidP="00E913DD">
            <w:pPr>
              <w:pStyle w:val="naiskr"/>
              <w:spacing w:before="0" w:after="0"/>
              <w:ind w:left="57" w:right="57"/>
              <w:jc w:val="both"/>
              <w:rPr>
                <w:sz w:val="26"/>
                <w:szCs w:val="26"/>
              </w:rPr>
            </w:pPr>
            <w:r w:rsidRPr="00527E2A">
              <w:rPr>
                <w:sz w:val="26"/>
                <w:szCs w:val="26"/>
              </w:rPr>
              <w:t xml:space="preserve">       1) ir noteikta prasība, ka projektējot publiskas telpas, vai atsevišķas ēkas daļas  rekonstrukcijas vai renovācijas gadījumā un ar to saistītās funkcionālās pārmaiņas ietekmē visas ēkas ekspluatāciju un nepieciešams mainīt telpu plānojumu, ēkas inženiertehniskās apgādes tīklu shēmu vai ēkas ārējo veidolu (piemēram, mainās atsevišķu logu ailu dalījums, kas atšķiras no pārējiem ēkas fasādes elementiem) jāizstrādā būvprojekts visai ēkai kopumā atbilstoši Vispārīgajiem būvnoteikumiem, taču šobrīd jau Vispārīgajos būvnoteikumos ir noteikti gadījumi, kad nav nepieciešams izstrādāt būvprojektu un to var veikt vienkāršotā kārtībā;</w:t>
            </w:r>
          </w:p>
          <w:p w:rsidR="007267A8" w:rsidRPr="00527E2A" w:rsidRDefault="007267A8" w:rsidP="00E913DD">
            <w:pPr>
              <w:pStyle w:val="naiskr"/>
              <w:spacing w:before="0" w:after="0"/>
              <w:ind w:left="57" w:right="57"/>
              <w:jc w:val="both"/>
              <w:rPr>
                <w:sz w:val="26"/>
                <w:szCs w:val="26"/>
              </w:rPr>
            </w:pPr>
            <w:r w:rsidRPr="00527E2A">
              <w:rPr>
                <w:sz w:val="26"/>
                <w:szCs w:val="26"/>
              </w:rPr>
              <w:t xml:space="preserve">     2)  noteikts, ka apbūves laukumu nosaka kā tāda laukuma projekciju cokola stāva līmenī, kuru ierobežo ēkas ārējais perimetrs, taču ēkām var nebūt cokola stāva;</w:t>
            </w:r>
          </w:p>
          <w:p w:rsidR="007267A8" w:rsidRPr="00527E2A" w:rsidRDefault="007267A8" w:rsidP="00E913DD">
            <w:pPr>
              <w:pStyle w:val="naiskr"/>
              <w:spacing w:before="0" w:after="0"/>
              <w:ind w:left="57" w:right="57"/>
              <w:jc w:val="both"/>
              <w:rPr>
                <w:sz w:val="26"/>
                <w:szCs w:val="26"/>
              </w:rPr>
            </w:pPr>
            <w:r w:rsidRPr="00527E2A">
              <w:rPr>
                <w:sz w:val="26"/>
                <w:szCs w:val="26"/>
              </w:rPr>
              <w:t xml:space="preserve">     3) būvnormatīvā noteikts, ka horizontālo komunikāciju un tehnisko telpu minimālais telpas augstums ir ne mazāks par 2,5 metriem, taču </w:t>
            </w:r>
            <w:r w:rsidR="00D562D0" w:rsidRPr="00527E2A">
              <w:rPr>
                <w:sz w:val="26"/>
                <w:szCs w:val="26"/>
              </w:rPr>
              <w:t>šāds</w:t>
            </w:r>
            <w:r w:rsidRPr="00527E2A">
              <w:rPr>
                <w:sz w:val="26"/>
                <w:szCs w:val="26"/>
              </w:rPr>
              <w:t xml:space="preserve"> telpas augstums</w:t>
            </w:r>
            <w:r w:rsidR="00D562D0" w:rsidRPr="00527E2A">
              <w:rPr>
                <w:sz w:val="26"/>
                <w:szCs w:val="26"/>
              </w:rPr>
              <w:t xml:space="preserve"> šīm telpām nav nepieciešams</w:t>
            </w:r>
            <w:r w:rsidRPr="00527E2A">
              <w:rPr>
                <w:sz w:val="26"/>
                <w:szCs w:val="26"/>
              </w:rPr>
              <w:t>;</w:t>
            </w:r>
          </w:p>
          <w:p w:rsidR="007267A8" w:rsidRPr="008C4F4E" w:rsidRDefault="007267A8" w:rsidP="00E913DD">
            <w:pPr>
              <w:pStyle w:val="naiskr"/>
              <w:spacing w:before="0" w:after="0"/>
              <w:ind w:left="57" w:right="57"/>
              <w:jc w:val="both"/>
              <w:rPr>
                <w:sz w:val="26"/>
                <w:szCs w:val="26"/>
              </w:rPr>
            </w:pPr>
            <w:r w:rsidRPr="00527E2A">
              <w:rPr>
                <w:sz w:val="26"/>
                <w:szCs w:val="26"/>
              </w:rPr>
              <w:t xml:space="preserve">     4) noteiktas prasības personām ar īpašām </w:t>
            </w:r>
            <w:r w:rsidRPr="00527E2A">
              <w:rPr>
                <w:sz w:val="26"/>
                <w:szCs w:val="26"/>
              </w:rPr>
              <w:lastRenderedPageBreak/>
              <w:t>vajadzībām (4.nodaļa), taču īpašas prasības iekļūšanai ēkā ir nepieciešamas arī citām iedzīvotāju grupām – vecākiem cilvēkiem, bērniem, personām ar bērnu ratiem u.c., līdz ar</w:t>
            </w:r>
            <w:r w:rsidR="00D562D0" w:rsidRPr="00527E2A">
              <w:rPr>
                <w:sz w:val="26"/>
                <w:szCs w:val="26"/>
              </w:rPr>
              <w:t xml:space="preserve"> to nepieciešams precizēt nodaļas nosaukumu. B</w:t>
            </w:r>
            <w:r w:rsidRPr="00527E2A">
              <w:rPr>
                <w:sz w:val="26"/>
                <w:szCs w:val="26"/>
              </w:rPr>
              <w:t xml:space="preserve">ez </w:t>
            </w:r>
            <w:r w:rsidRPr="008C4F4E">
              <w:rPr>
                <w:sz w:val="26"/>
                <w:szCs w:val="26"/>
              </w:rPr>
              <w:t xml:space="preserve">tam šajā nodaļā ir noteikts, ka uz kāpņu margām pie pirmā un pēdējā pakāpiena iestrādā stāva numuru Braila rakstā, taču šobrīd jau plaši tiek lietots </w:t>
            </w:r>
            <w:proofErr w:type="spellStart"/>
            <w:r w:rsidRPr="008C4F4E">
              <w:rPr>
                <w:sz w:val="26"/>
                <w:szCs w:val="26"/>
              </w:rPr>
              <w:t>taktilais</w:t>
            </w:r>
            <w:proofErr w:type="spellEnd"/>
            <w:r w:rsidRPr="008C4F4E">
              <w:rPr>
                <w:sz w:val="26"/>
                <w:szCs w:val="26"/>
              </w:rPr>
              <w:t xml:space="preserve"> (sataustāmais) apzīmējums;</w:t>
            </w:r>
          </w:p>
          <w:p w:rsidR="00991F34" w:rsidRPr="008C4F4E" w:rsidRDefault="00991F34" w:rsidP="00E913DD">
            <w:pPr>
              <w:pStyle w:val="naiskr"/>
              <w:spacing w:before="0" w:after="0"/>
              <w:ind w:left="57" w:right="57"/>
              <w:jc w:val="both"/>
              <w:rPr>
                <w:sz w:val="26"/>
                <w:szCs w:val="26"/>
              </w:rPr>
            </w:pPr>
            <w:r w:rsidRPr="008C4F4E">
              <w:rPr>
                <w:sz w:val="26"/>
                <w:szCs w:val="26"/>
              </w:rPr>
              <w:t xml:space="preserve">      5) noteikts, ka ārstniecības iestādēs koridoros durvju vērtnes platums ir jāparedz 1,2 m, kas nozīmē, ka arī poliklīnikās un ārstu prakses vietās ir jāievēro šāds durvju platums, lai gan amb</w:t>
            </w:r>
            <w:r w:rsidR="00D26D4B" w:rsidRPr="008C4F4E">
              <w:rPr>
                <w:sz w:val="26"/>
                <w:szCs w:val="26"/>
              </w:rPr>
              <w:t>u</w:t>
            </w:r>
            <w:r w:rsidRPr="008C4F4E">
              <w:rPr>
                <w:sz w:val="26"/>
                <w:szCs w:val="26"/>
              </w:rPr>
              <w:t xml:space="preserve">latorām iestādēm un ārstu prakses vietām ne vienmēr ir iespējams nodrošināt </w:t>
            </w:r>
            <w:r w:rsidR="00D26D4B" w:rsidRPr="008C4F4E">
              <w:rPr>
                <w:sz w:val="26"/>
                <w:szCs w:val="26"/>
              </w:rPr>
              <w:t>šādu durvju vērtnes platumu, īpaši, ja telpas tiek pielāgotas šādas funkcijas veikšanai;</w:t>
            </w:r>
          </w:p>
          <w:p w:rsidR="007267A8" w:rsidRPr="008C4F4E" w:rsidRDefault="007267A8" w:rsidP="00E913DD">
            <w:pPr>
              <w:pStyle w:val="naiskr"/>
              <w:spacing w:before="0" w:after="0"/>
              <w:ind w:left="57" w:right="57"/>
              <w:jc w:val="both"/>
              <w:rPr>
                <w:sz w:val="26"/>
                <w:szCs w:val="26"/>
              </w:rPr>
            </w:pPr>
            <w:r w:rsidRPr="008C4F4E">
              <w:rPr>
                <w:sz w:val="26"/>
                <w:szCs w:val="26"/>
              </w:rPr>
              <w:t xml:space="preserve">     </w:t>
            </w:r>
            <w:r w:rsidR="00D26D4B" w:rsidRPr="008C4F4E">
              <w:rPr>
                <w:sz w:val="26"/>
                <w:szCs w:val="26"/>
              </w:rPr>
              <w:t>6</w:t>
            </w:r>
            <w:r w:rsidRPr="008C4F4E">
              <w:rPr>
                <w:sz w:val="26"/>
                <w:szCs w:val="26"/>
              </w:rPr>
              <w:t>) publisko pasākumu zālēm (skatītāju zāle, mācību iestāžu zāles, zāles konferencēm un semināriem) ir noteikts vienas sēdvietas minimālais laukums, taču, pielāgojot dažādas zāles publiskiem pasākumiem, ne vienmēr var ievērot būvnormatīvā noteiktās prasības;</w:t>
            </w:r>
          </w:p>
          <w:p w:rsidR="00D26D4B" w:rsidRPr="008C4F4E" w:rsidRDefault="007267A8" w:rsidP="00E913DD">
            <w:pPr>
              <w:pStyle w:val="naiskr"/>
              <w:spacing w:before="0" w:after="0"/>
              <w:ind w:left="57" w:right="57"/>
              <w:jc w:val="both"/>
              <w:rPr>
                <w:sz w:val="26"/>
                <w:szCs w:val="26"/>
              </w:rPr>
            </w:pPr>
            <w:r w:rsidRPr="008C4F4E">
              <w:rPr>
                <w:sz w:val="26"/>
                <w:szCs w:val="26"/>
              </w:rPr>
              <w:t xml:space="preserve">     </w:t>
            </w:r>
            <w:r w:rsidR="00D26D4B" w:rsidRPr="008C4F4E">
              <w:rPr>
                <w:sz w:val="26"/>
                <w:szCs w:val="26"/>
              </w:rPr>
              <w:t>7</w:t>
            </w:r>
            <w:r w:rsidRPr="008C4F4E">
              <w:rPr>
                <w:sz w:val="26"/>
                <w:szCs w:val="26"/>
              </w:rPr>
              <w:t xml:space="preserve">) būvnormatīvā ir noteikts, cik stāvu ēkās drīkst atrasties izglītības iestādes, kā arī ārstniecības, veselības aprūpes, sociālās aprūpes un rehabilitācijas iestādes, </w:t>
            </w:r>
            <w:r w:rsidR="00683E09" w:rsidRPr="008C4F4E">
              <w:rPr>
                <w:sz w:val="26"/>
                <w:szCs w:val="26"/>
              </w:rPr>
              <w:t xml:space="preserve">kas bieži </w:t>
            </w:r>
            <w:r w:rsidRPr="008C4F4E">
              <w:rPr>
                <w:sz w:val="26"/>
                <w:szCs w:val="26"/>
              </w:rPr>
              <w:t>nav pamatota</w:t>
            </w:r>
            <w:r w:rsidR="00683E09" w:rsidRPr="008C4F4E">
              <w:rPr>
                <w:sz w:val="26"/>
                <w:szCs w:val="26"/>
              </w:rPr>
              <w:t xml:space="preserve">. Šādām iestādēm svarīgākais ir ēkas </w:t>
            </w:r>
            <w:proofErr w:type="spellStart"/>
            <w:r w:rsidR="00683E09" w:rsidRPr="008C4F4E">
              <w:rPr>
                <w:sz w:val="26"/>
                <w:szCs w:val="26"/>
              </w:rPr>
              <w:t>ugunsnoturības</w:t>
            </w:r>
            <w:proofErr w:type="spellEnd"/>
            <w:r w:rsidR="00683E09" w:rsidRPr="008C4F4E">
              <w:rPr>
                <w:sz w:val="26"/>
                <w:szCs w:val="26"/>
              </w:rPr>
              <w:t xml:space="preserve"> pakāpe</w:t>
            </w:r>
            <w:r w:rsidR="00D26D4B" w:rsidRPr="008C4F4E">
              <w:rPr>
                <w:sz w:val="26"/>
                <w:szCs w:val="26"/>
              </w:rPr>
              <w:t>;</w:t>
            </w:r>
          </w:p>
          <w:p w:rsidR="007267A8" w:rsidRPr="008C4F4E" w:rsidRDefault="00D26D4B" w:rsidP="00E913DD">
            <w:pPr>
              <w:pStyle w:val="naiskr"/>
              <w:spacing w:before="0" w:after="0"/>
              <w:ind w:left="57" w:right="57"/>
              <w:jc w:val="both"/>
              <w:rPr>
                <w:sz w:val="26"/>
                <w:szCs w:val="26"/>
              </w:rPr>
            </w:pPr>
            <w:r w:rsidRPr="008C4F4E">
              <w:rPr>
                <w:sz w:val="26"/>
                <w:szCs w:val="26"/>
              </w:rPr>
              <w:t xml:space="preserve">     8) Latvijas būvnormatīvā LBN 201-10 „Būvju ugunsdrošība” ir noteikts evakuācijas ceļa maksimālais garums, kas III lietošanas veida būvēm ir 45 metri, taču projektējot sporta būves (arēnas) ne vienmēr var ievērot evakuācijas ceļa maksimāli pieļaujamo garumu. </w:t>
            </w:r>
            <w:r w:rsidR="007267A8" w:rsidRPr="008C4F4E">
              <w:rPr>
                <w:sz w:val="26"/>
                <w:szCs w:val="26"/>
              </w:rPr>
              <w:t xml:space="preserve"> </w:t>
            </w:r>
          </w:p>
          <w:p w:rsidR="007267A8" w:rsidRPr="00527E2A" w:rsidRDefault="007267A8" w:rsidP="00E913DD">
            <w:pPr>
              <w:pStyle w:val="naiskr"/>
              <w:spacing w:before="0" w:after="0"/>
              <w:ind w:left="57" w:right="57"/>
              <w:jc w:val="both"/>
              <w:rPr>
                <w:sz w:val="26"/>
                <w:szCs w:val="26"/>
              </w:rPr>
            </w:pPr>
            <w:r w:rsidRPr="00527E2A">
              <w:rPr>
                <w:sz w:val="26"/>
                <w:szCs w:val="26"/>
              </w:rPr>
              <w:t xml:space="preserve"> </w:t>
            </w:r>
          </w:p>
        </w:tc>
      </w:tr>
      <w:tr w:rsidR="00527E2A" w:rsidRPr="00527E2A" w:rsidTr="00E913DD">
        <w:trPr>
          <w:trHeight w:val="410"/>
        </w:trPr>
        <w:tc>
          <w:tcPr>
            <w:tcW w:w="524" w:type="dxa"/>
          </w:tcPr>
          <w:p w:rsidR="007267A8" w:rsidRPr="00527E2A" w:rsidRDefault="007267A8" w:rsidP="00E913DD">
            <w:pPr>
              <w:ind w:left="57" w:right="57"/>
              <w:rPr>
                <w:sz w:val="26"/>
                <w:szCs w:val="26"/>
                <w:lang w:val="lv-LV"/>
              </w:rPr>
            </w:pPr>
            <w:r w:rsidRPr="00527E2A">
              <w:rPr>
                <w:sz w:val="26"/>
                <w:szCs w:val="26"/>
                <w:lang w:val="lv-LV"/>
              </w:rPr>
              <w:lastRenderedPageBreak/>
              <w:t> 3.</w:t>
            </w:r>
          </w:p>
        </w:tc>
        <w:tc>
          <w:tcPr>
            <w:tcW w:w="3177" w:type="dxa"/>
          </w:tcPr>
          <w:p w:rsidR="007267A8" w:rsidRPr="00527E2A" w:rsidRDefault="007267A8" w:rsidP="00E913DD">
            <w:pPr>
              <w:ind w:left="57" w:right="57"/>
              <w:rPr>
                <w:sz w:val="26"/>
                <w:szCs w:val="26"/>
                <w:lang w:val="lv-LV"/>
              </w:rPr>
            </w:pPr>
            <w:r w:rsidRPr="00527E2A">
              <w:rPr>
                <w:sz w:val="26"/>
                <w:szCs w:val="26"/>
                <w:lang w:val="lv-LV"/>
              </w:rPr>
              <w:t>Saistītie politikas ietekmes novērtējumi un pētījumi</w:t>
            </w:r>
          </w:p>
        </w:tc>
        <w:tc>
          <w:tcPr>
            <w:tcW w:w="5361" w:type="dxa"/>
          </w:tcPr>
          <w:p w:rsidR="007267A8" w:rsidRPr="00527E2A" w:rsidRDefault="007267A8" w:rsidP="00E913DD">
            <w:pPr>
              <w:ind w:left="57" w:right="57"/>
              <w:jc w:val="both"/>
              <w:rPr>
                <w:sz w:val="26"/>
                <w:szCs w:val="26"/>
                <w:lang w:val="lv-LV"/>
              </w:rPr>
            </w:pPr>
            <w:r w:rsidRPr="00527E2A">
              <w:rPr>
                <w:sz w:val="26"/>
                <w:szCs w:val="26"/>
                <w:lang w:val="lv-LV"/>
              </w:rPr>
              <w:t xml:space="preserve">       Politikas ietekmes novērtējumi vai pētījumi nav veikti.</w:t>
            </w:r>
          </w:p>
          <w:p w:rsidR="007267A8" w:rsidRPr="00527E2A" w:rsidRDefault="007267A8" w:rsidP="00E913DD">
            <w:pPr>
              <w:ind w:left="57" w:right="57"/>
              <w:jc w:val="both"/>
              <w:rPr>
                <w:sz w:val="26"/>
                <w:szCs w:val="26"/>
                <w:lang w:val="lv-LV"/>
              </w:rPr>
            </w:pPr>
          </w:p>
        </w:tc>
      </w:tr>
      <w:tr w:rsidR="00527E2A" w:rsidRPr="00527E2A" w:rsidTr="00E913DD">
        <w:trPr>
          <w:trHeight w:val="384"/>
        </w:trPr>
        <w:tc>
          <w:tcPr>
            <w:tcW w:w="524" w:type="dxa"/>
          </w:tcPr>
          <w:p w:rsidR="007267A8" w:rsidRPr="00527E2A" w:rsidRDefault="007267A8" w:rsidP="00E913DD">
            <w:pPr>
              <w:ind w:left="57" w:right="57"/>
              <w:rPr>
                <w:sz w:val="26"/>
                <w:szCs w:val="26"/>
                <w:lang w:val="lv-LV"/>
              </w:rPr>
            </w:pPr>
            <w:r w:rsidRPr="00527E2A">
              <w:rPr>
                <w:sz w:val="26"/>
                <w:szCs w:val="26"/>
                <w:lang w:val="lv-LV"/>
              </w:rPr>
              <w:t> 4.</w:t>
            </w:r>
          </w:p>
        </w:tc>
        <w:tc>
          <w:tcPr>
            <w:tcW w:w="3177" w:type="dxa"/>
          </w:tcPr>
          <w:p w:rsidR="007267A8" w:rsidRPr="00527E2A" w:rsidRDefault="007267A8" w:rsidP="00E913DD">
            <w:pPr>
              <w:ind w:left="57" w:right="57"/>
              <w:rPr>
                <w:sz w:val="26"/>
                <w:szCs w:val="26"/>
                <w:lang w:val="lv-LV"/>
              </w:rPr>
            </w:pPr>
            <w:r w:rsidRPr="00527E2A">
              <w:rPr>
                <w:sz w:val="26"/>
                <w:szCs w:val="26"/>
                <w:lang w:val="lv-LV"/>
              </w:rPr>
              <w:t>Tiesiskā regulējuma mērķis un būtība</w:t>
            </w:r>
          </w:p>
        </w:tc>
        <w:tc>
          <w:tcPr>
            <w:tcW w:w="5361" w:type="dxa"/>
          </w:tcPr>
          <w:p w:rsidR="007267A8" w:rsidRPr="008C4F4E" w:rsidRDefault="007267A8" w:rsidP="008C4F4E">
            <w:pPr>
              <w:pStyle w:val="naiskr"/>
              <w:spacing w:before="0" w:after="0"/>
              <w:ind w:left="57" w:right="57"/>
              <w:jc w:val="both"/>
              <w:rPr>
                <w:sz w:val="26"/>
                <w:szCs w:val="26"/>
              </w:rPr>
            </w:pPr>
            <w:r w:rsidRPr="00527E2A">
              <w:rPr>
                <w:iCs/>
                <w:sz w:val="26"/>
                <w:szCs w:val="26"/>
              </w:rPr>
              <w:t xml:space="preserve">       </w:t>
            </w:r>
            <w:r w:rsidRPr="008C4F4E">
              <w:rPr>
                <w:iCs/>
                <w:sz w:val="26"/>
                <w:szCs w:val="26"/>
              </w:rPr>
              <w:t xml:space="preserve">Noteikumu projektā ir iekļautas normas, kuras izriet no </w:t>
            </w:r>
            <w:r w:rsidRPr="008C4F4E">
              <w:rPr>
                <w:sz w:val="26"/>
                <w:szCs w:val="26"/>
              </w:rPr>
              <w:t xml:space="preserve"> Latvijas būvnormatīva LBN 201-10 „Būvju ugunsdrošība” (apstiprināts ar MK 28.06.2011. noteikumiem Nr.498):</w:t>
            </w:r>
          </w:p>
          <w:p w:rsidR="007267A8" w:rsidRPr="008C4F4E" w:rsidRDefault="007267A8" w:rsidP="008C4F4E">
            <w:pPr>
              <w:pStyle w:val="naiskr"/>
              <w:spacing w:before="0" w:after="0"/>
              <w:ind w:left="57" w:right="57"/>
              <w:jc w:val="both"/>
              <w:rPr>
                <w:sz w:val="26"/>
                <w:szCs w:val="26"/>
              </w:rPr>
            </w:pPr>
            <w:r w:rsidRPr="008C4F4E">
              <w:rPr>
                <w:sz w:val="26"/>
                <w:szCs w:val="26"/>
              </w:rPr>
              <w:t xml:space="preserve">       1) ēku augstums, ja tas attiecas uz ugunsdrošības prasībām, tiek noteikts līdz ēkas augstākā stāva grīdas līmenim (121.punkts);</w:t>
            </w:r>
          </w:p>
          <w:p w:rsidR="007267A8" w:rsidRPr="008C4F4E" w:rsidRDefault="007267A8" w:rsidP="008C4F4E">
            <w:pPr>
              <w:pStyle w:val="naiskr"/>
              <w:spacing w:before="0" w:after="0"/>
              <w:ind w:left="57" w:right="57"/>
              <w:jc w:val="both"/>
              <w:rPr>
                <w:sz w:val="26"/>
                <w:szCs w:val="26"/>
              </w:rPr>
            </w:pPr>
            <w:r w:rsidRPr="008C4F4E">
              <w:rPr>
                <w:sz w:val="26"/>
                <w:szCs w:val="26"/>
              </w:rPr>
              <w:lastRenderedPageBreak/>
              <w:t xml:space="preserve">        2) svītrotas prasības, kas jau noteiktas LBN 201-10  vai vairs nav aktuālas  - saskaņā ar LBN 201-10  ēkām ugunsdrošības prasības ir atkarīgas no projektējamās ēkas lietošanas veida un ēkas ugunsnoturības pakāpes, kā arī ēkas augstākā stāva grīdas līmenim - līdz 8 metriem, līdz 28 metriem vai virs 28 metriem  (102., 120.punkts); </w:t>
            </w:r>
          </w:p>
          <w:p w:rsidR="007267A8" w:rsidRPr="008C4F4E" w:rsidRDefault="007267A8" w:rsidP="008C4F4E">
            <w:pPr>
              <w:pStyle w:val="naiskr"/>
              <w:spacing w:before="0" w:after="0"/>
              <w:ind w:left="57" w:right="57"/>
              <w:jc w:val="both"/>
              <w:rPr>
                <w:sz w:val="26"/>
                <w:szCs w:val="26"/>
              </w:rPr>
            </w:pPr>
            <w:r w:rsidRPr="008C4F4E">
              <w:rPr>
                <w:sz w:val="26"/>
                <w:szCs w:val="26"/>
              </w:rPr>
              <w:t xml:space="preserve">       3) mainīta  prasība veidot ugunsdrošības nodalījumus, bet ir noteikta prasība projektēt  ugunsdroši atdalītas telpas (45., 50., 106., 107., 127.punkts);</w:t>
            </w:r>
          </w:p>
          <w:p w:rsidR="007267A8" w:rsidRPr="008C4F4E" w:rsidRDefault="007267A8" w:rsidP="008C4F4E">
            <w:pPr>
              <w:pStyle w:val="naiskr"/>
              <w:spacing w:before="0" w:after="0"/>
              <w:ind w:left="57" w:right="57"/>
              <w:jc w:val="both"/>
              <w:rPr>
                <w:sz w:val="26"/>
                <w:szCs w:val="26"/>
              </w:rPr>
            </w:pPr>
            <w:r w:rsidRPr="008C4F4E">
              <w:rPr>
                <w:sz w:val="26"/>
                <w:szCs w:val="26"/>
              </w:rPr>
              <w:t xml:space="preserve">      4) būvnormatīvs ir papildināts (9.</w:t>
            </w:r>
            <w:r w:rsidRPr="008C4F4E">
              <w:rPr>
                <w:sz w:val="26"/>
                <w:szCs w:val="26"/>
                <w:vertAlign w:val="superscript"/>
              </w:rPr>
              <w:t>1</w:t>
            </w:r>
            <w:r w:rsidRPr="008C4F4E">
              <w:rPr>
                <w:sz w:val="26"/>
                <w:szCs w:val="26"/>
              </w:rPr>
              <w:t>punkts) ar vispārīgu atsauci uz ugunsdrošības jomas normatīvajiem aktiem, izņemot, ja LBN 208 nav noteikts citādi, līdz ar to tiek svītrotas prasības, kuras ir noteiktas ugunsdrošības būvnormatīvā (21.,</w:t>
            </w:r>
            <w:r w:rsidR="00594146" w:rsidRPr="008C4F4E">
              <w:rPr>
                <w:sz w:val="26"/>
                <w:szCs w:val="26"/>
              </w:rPr>
              <w:t xml:space="preserve"> </w:t>
            </w:r>
            <w:r w:rsidRPr="008C4F4E">
              <w:rPr>
                <w:sz w:val="26"/>
                <w:szCs w:val="26"/>
              </w:rPr>
              <w:t>29., 30., 32., 34., 35., 75., 78., 80., 108.punkts);</w:t>
            </w:r>
          </w:p>
          <w:p w:rsidR="007267A8" w:rsidRPr="008C4F4E" w:rsidRDefault="007267A8" w:rsidP="008C4F4E">
            <w:pPr>
              <w:pStyle w:val="naiskr"/>
              <w:spacing w:before="0" w:after="0"/>
              <w:ind w:left="57" w:right="57"/>
              <w:jc w:val="both"/>
              <w:rPr>
                <w:sz w:val="26"/>
                <w:szCs w:val="26"/>
              </w:rPr>
            </w:pPr>
            <w:r w:rsidRPr="008C4F4E">
              <w:rPr>
                <w:sz w:val="26"/>
                <w:szCs w:val="26"/>
              </w:rPr>
              <w:t xml:space="preserve">      5) svītrotas prasības, kuras šobrīd vairs neparedz ugunsdrošības normatīvie akti (49., 54., 55., 55.</w:t>
            </w:r>
            <w:r w:rsidRPr="008C4F4E">
              <w:rPr>
                <w:sz w:val="26"/>
                <w:szCs w:val="26"/>
                <w:vertAlign w:val="superscript"/>
              </w:rPr>
              <w:t>1</w:t>
            </w:r>
            <w:r w:rsidRPr="008C4F4E">
              <w:rPr>
                <w:sz w:val="26"/>
                <w:szCs w:val="26"/>
              </w:rPr>
              <w:t>, 59., 149., 150., 151., 152.punkts, 7.nodaļa).</w:t>
            </w:r>
          </w:p>
          <w:p w:rsidR="007267A8" w:rsidRPr="008C4F4E" w:rsidRDefault="007267A8" w:rsidP="008C4F4E">
            <w:pPr>
              <w:pStyle w:val="naiskr"/>
              <w:spacing w:before="0" w:after="0"/>
              <w:ind w:left="57" w:right="57"/>
              <w:jc w:val="both"/>
              <w:rPr>
                <w:sz w:val="26"/>
                <w:szCs w:val="26"/>
              </w:rPr>
            </w:pPr>
          </w:p>
          <w:p w:rsidR="007267A8" w:rsidRPr="008C4F4E" w:rsidRDefault="007267A8" w:rsidP="008C4F4E">
            <w:pPr>
              <w:pStyle w:val="naiskr"/>
              <w:spacing w:before="0" w:after="0"/>
              <w:ind w:left="57" w:right="57"/>
              <w:jc w:val="both"/>
              <w:rPr>
                <w:sz w:val="26"/>
                <w:szCs w:val="26"/>
              </w:rPr>
            </w:pPr>
            <w:r w:rsidRPr="008C4F4E">
              <w:rPr>
                <w:sz w:val="26"/>
                <w:szCs w:val="26"/>
              </w:rPr>
              <w:t xml:space="preserve">       Bez tam, noteikumu projekts paredz:</w:t>
            </w:r>
          </w:p>
          <w:p w:rsidR="007267A8" w:rsidRPr="008C4F4E" w:rsidRDefault="007267A8" w:rsidP="008C4F4E">
            <w:pPr>
              <w:pStyle w:val="naiskr"/>
              <w:spacing w:before="0" w:after="0"/>
              <w:ind w:left="57" w:right="57"/>
              <w:jc w:val="both"/>
              <w:rPr>
                <w:sz w:val="26"/>
                <w:szCs w:val="26"/>
              </w:rPr>
            </w:pPr>
            <w:r w:rsidRPr="008C4F4E">
              <w:rPr>
                <w:sz w:val="26"/>
                <w:szCs w:val="26"/>
              </w:rPr>
              <w:t xml:space="preserve">       1) precizēt būvnormatīva 8.punktu, nosakot, ka būvprojekts nav nepieciešams, ja tas noteikts Vispārīgajos būvnoteikumos, piemēram, būvniecība notiek vienkāršotajā kārtībā, aizpildot ēkas fasādes vienkāršotās renovācijas apliecinājuma karti vai būvvaldes informēšana par logu nomaiņu, kā arī precizēts, ka projektējot publiskas telpas, vai atsevišķas ēkas daļas  rekonstrukcijas vai renovācijas gadījumā un ar to saistītās funkcionālās pārmaiņas ietekmē visas ēkas ekspluatāciju un nepieciešams mainīt telpu plānojumu, ēkas inženiertehniskās apgādes tīklu shēmu vai ēkas ārējo veidolu (piemēram, mainās atsevišķu logu ailu dalījums, kas atšķiras no pārējiem ēkas fasādes elementiem) jāņem vērā projektēšanas uzdevums un tehniski ekonomiskie apsvērumi;</w:t>
            </w:r>
          </w:p>
          <w:p w:rsidR="007267A8" w:rsidRPr="008C4F4E" w:rsidRDefault="007267A8" w:rsidP="008C4F4E">
            <w:pPr>
              <w:pStyle w:val="naiskr"/>
              <w:spacing w:before="0" w:after="0"/>
              <w:ind w:left="57" w:right="57"/>
              <w:jc w:val="both"/>
              <w:rPr>
                <w:sz w:val="26"/>
                <w:szCs w:val="26"/>
              </w:rPr>
            </w:pPr>
            <w:r w:rsidRPr="008C4F4E">
              <w:rPr>
                <w:sz w:val="26"/>
                <w:szCs w:val="26"/>
              </w:rPr>
              <w:t xml:space="preserve">      2) precizēts publisko ēku raksturojošais rādītājs – apbūves laukums;</w:t>
            </w:r>
          </w:p>
          <w:p w:rsidR="007267A8" w:rsidRPr="008C4F4E" w:rsidRDefault="007267A8" w:rsidP="008C4F4E">
            <w:pPr>
              <w:pStyle w:val="naiskr"/>
              <w:spacing w:before="0" w:after="0"/>
              <w:ind w:left="57" w:right="57"/>
              <w:jc w:val="both"/>
              <w:rPr>
                <w:sz w:val="26"/>
                <w:szCs w:val="26"/>
              </w:rPr>
            </w:pPr>
            <w:r w:rsidRPr="008C4F4E">
              <w:rPr>
                <w:sz w:val="26"/>
                <w:szCs w:val="26"/>
              </w:rPr>
              <w:t xml:space="preserve">      3) būvnormatīvā noteikts, ka horizontālo komunikāciju un tehniskajās telpās minimālais telpas augstums ir ne mazāks par 2,45 metriem;</w:t>
            </w:r>
          </w:p>
          <w:p w:rsidR="007267A8" w:rsidRPr="008C4F4E" w:rsidRDefault="007267A8" w:rsidP="008C4F4E">
            <w:pPr>
              <w:pStyle w:val="naiskr"/>
              <w:spacing w:before="0" w:after="0"/>
              <w:ind w:left="57" w:right="57"/>
              <w:jc w:val="both"/>
              <w:rPr>
                <w:sz w:val="26"/>
                <w:szCs w:val="26"/>
              </w:rPr>
            </w:pPr>
            <w:r w:rsidRPr="008C4F4E">
              <w:rPr>
                <w:sz w:val="26"/>
                <w:szCs w:val="26"/>
              </w:rPr>
              <w:lastRenderedPageBreak/>
              <w:t xml:space="preserve">      4) precizēts būvnormatīva 4.nodaļas nosaukums, kā arī papildināts ar prasību, ka stāva numuru kāpņu margā var norādīt arī  taktilā rakstā, ir norādīts arī kā jāveido </w:t>
            </w:r>
            <w:proofErr w:type="spellStart"/>
            <w:r w:rsidRPr="008C4F4E">
              <w:rPr>
                <w:sz w:val="26"/>
                <w:szCs w:val="26"/>
              </w:rPr>
              <w:t>taktilais</w:t>
            </w:r>
            <w:proofErr w:type="spellEnd"/>
            <w:r w:rsidRPr="008C4F4E">
              <w:rPr>
                <w:sz w:val="26"/>
                <w:szCs w:val="26"/>
              </w:rPr>
              <w:t xml:space="preserve"> uzraksts;</w:t>
            </w:r>
          </w:p>
          <w:p w:rsidR="00A80EDE" w:rsidRPr="008C4F4E" w:rsidRDefault="00A80EDE" w:rsidP="008C4F4E">
            <w:pPr>
              <w:ind w:left="57" w:right="57"/>
              <w:jc w:val="both"/>
              <w:rPr>
                <w:sz w:val="26"/>
                <w:szCs w:val="26"/>
                <w:lang w:val="lv-LV"/>
              </w:rPr>
            </w:pPr>
            <w:r w:rsidRPr="008C4F4E">
              <w:rPr>
                <w:sz w:val="26"/>
                <w:szCs w:val="26"/>
                <w:lang w:val="lv-LV"/>
              </w:rPr>
              <w:t xml:space="preserve">      5) precizēts 66.punkts, nosakot, ka apmeklētājiem – </w:t>
            </w:r>
            <w:proofErr w:type="spellStart"/>
            <w:r w:rsidRPr="008C4F4E">
              <w:rPr>
                <w:sz w:val="26"/>
                <w:szCs w:val="26"/>
                <w:lang w:val="lv-LV"/>
              </w:rPr>
              <w:t>riteņkrēslu</w:t>
            </w:r>
            <w:proofErr w:type="spellEnd"/>
            <w:r w:rsidRPr="008C4F4E">
              <w:rPr>
                <w:sz w:val="26"/>
                <w:szCs w:val="26"/>
                <w:lang w:val="lv-LV"/>
              </w:rPr>
              <w:t xml:space="preserve"> lietotājiem – koridorus projektē ar brīvo platumu vismaz l,5 m un slimnīcās, </w:t>
            </w:r>
            <w:r w:rsidR="00967791" w:rsidRPr="008C4F4E">
              <w:rPr>
                <w:sz w:val="26"/>
                <w:szCs w:val="26"/>
                <w:lang w:val="lv-LV"/>
              </w:rPr>
              <w:t xml:space="preserve">kā arī pansionātos un  citas sociālās aprūpes iestādēs, kurās ir paredzētas telpas guļošiem pacientiem </w:t>
            </w:r>
            <w:r w:rsidRPr="008C4F4E">
              <w:rPr>
                <w:sz w:val="26"/>
                <w:szCs w:val="26"/>
                <w:lang w:val="lv-LV"/>
              </w:rPr>
              <w:t>durvju vērtnes platumu – 1,2 m.</w:t>
            </w:r>
            <w:r w:rsidR="00967791" w:rsidRPr="008C4F4E">
              <w:rPr>
                <w:sz w:val="26"/>
                <w:szCs w:val="26"/>
                <w:lang w:val="lv-LV"/>
              </w:rPr>
              <w:t>;</w:t>
            </w:r>
          </w:p>
          <w:p w:rsidR="007267A8" w:rsidRPr="008C4F4E" w:rsidRDefault="007267A8" w:rsidP="008C4F4E">
            <w:pPr>
              <w:ind w:left="57" w:right="57"/>
              <w:jc w:val="both"/>
              <w:rPr>
                <w:sz w:val="26"/>
                <w:szCs w:val="26"/>
                <w:lang w:val="lv-LV"/>
              </w:rPr>
            </w:pPr>
            <w:r w:rsidRPr="008C4F4E">
              <w:rPr>
                <w:sz w:val="26"/>
                <w:szCs w:val="26"/>
                <w:lang w:val="lv-LV"/>
              </w:rPr>
              <w:t xml:space="preserve">     </w:t>
            </w:r>
            <w:r w:rsidR="00A80EDE" w:rsidRPr="008C4F4E">
              <w:rPr>
                <w:sz w:val="26"/>
                <w:szCs w:val="26"/>
                <w:lang w:val="lv-LV"/>
              </w:rPr>
              <w:t>6</w:t>
            </w:r>
            <w:r w:rsidRPr="008C4F4E">
              <w:rPr>
                <w:sz w:val="26"/>
                <w:szCs w:val="26"/>
                <w:lang w:val="lv-LV"/>
              </w:rPr>
              <w:t>) publisko pasākumu zālēm (skatītāju zālēm, mācību iestāžu zālēm, konferenču un semināru zālēm) rekonstrukcijas vai renovācijas gadījumā ir pieļaujams neievērot būvnormatīvā noteikto vienas sēdvietas minimālo laukumu un saglabāt esošo laukumu, ja nodrošinātas higiēnas normas un nepieciešamie evakuācijas ceļa gabarīti;</w:t>
            </w:r>
          </w:p>
          <w:p w:rsidR="00A80EDE" w:rsidRPr="008C4F4E" w:rsidRDefault="007267A8" w:rsidP="008C4F4E">
            <w:pPr>
              <w:pStyle w:val="naiskr"/>
              <w:spacing w:before="0" w:after="0"/>
              <w:ind w:left="57" w:right="57"/>
              <w:jc w:val="both"/>
              <w:rPr>
                <w:sz w:val="26"/>
                <w:szCs w:val="26"/>
              </w:rPr>
            </w:pPr>
            <w:r w:rsidRPr="008C4F4E">
              <w:rPr>
                <w:sz w:val="26"/>
                <w:szCs w:val="26"/>
              </w:rPr>
              <w:t xml:space="preserve">     </w:t>
            </w:r>
            <w:r w:rsidR="00A80EDE" w:rsidRPr="008C4F4E">
              <w:rPr>
                <w:sz w:val="26"/>
                <w:szCs w:val="26"/>
              </w:rPr>
              <w:t>7</w:t>
            </w:r>
            <w:r w:rsidRPr="008C4F4E">
              <w:rPr>
                <w:sz w:val="26"/>
                <w:szCs w:val="26"/>
              </w:rPr>
              <w:t xml:space="preserve">) precizēta dažādu funkciju publisko telpu atrašanās konkrētā  ēkas stāvā </w:t>
            </w:r>
            <w:r w:rsidR="003F4256" w:rsidRPr="008C4F4E">
              <w:rPr>
                <w:sz w:val="26"/>
                <w:szCs w:val="26"/>
              </w:rPr>
              <w:t xml:space="preserve">atkarībā no ēkas </w:t>
            </w:r>
            <w:proofErr w:type="spellStart"/>
            <w:r w:rsidR="003F4256" w:rsidRPr="008C4F4E">
              <w:rPr>
                <w:sz w:val="26"/>
                <w:szCs w:val="26"/>
              </w:rPr>
              <w:t>ugunsnoturības</w:t>
            </w:r>
            <w:proofErr w:type="spellEnd"/>
            <w:r w:rsidR="003F4256" w:rsidRPr="008C4F4E">
              <w:rPr>
                <w:sz w:val="26"/>
                <w:szCs w:val="26"/>
              </w:rPr>
              <w:t xml:space="preserve"> pakāpes (</w:t>
            </w:r>
            <w:r w:rsidRPr="008C4F4E">
              <w:rPr>
                <w:sz w:val="26"/>
                <w:szCs w:val="26"/>
              </w:rPr>
              <w:t>izglītības iestādes, ārstniecības, veselības aprūpes, sociālās aprūpes un rehabilitācijas iestādes</w:t>
            </w:r>
            <w:r w:rsidR="003F4256" w:rsidRPr="008C4F4E">
              <w:rPr>
                <w:sz w:val="26"/>
                <w:szCs w:val="26"/>
              </w:rPr>
              <w:t>)</w:t>
            </w:r>
            <w:r w:rsidR="00683E09" w:rsidRPr="008C4F4E">
              <w:rPr>
                <w:sz w:val="26"/>
                <w:szCs w:val="26"/>
              </w:rPr>
              <w:t xml:space="preserve"> ;</w:t>
            </w:r>
          </w:p>
          <w:p w:rsidR="00A80EDE" w:rsidRPr="008C4F4E" w:rsidRDefault="008E3C8C" w:rsidP="008C4F4E">
            <w:pPr>
              <w:ind w:left="57" w:right="57"/>
              <w:jc w:val="both"/>
              <w:rPr>
                <w:bCs/>
                <w:strike/>
                <w:sz w:val="26"/>
                <w:szCs w:val="26"/>
                <w:lang w:val="lv-LV"/>
              </w:rPr>
            </w:pPr>
            <w:r w:rsidRPr="008C4F4E">
              <w:rPr>
                <w:sz w:val="26"/>
                <w:szCs w:val="26"/>
              </w:rPr>
              <w:t xml:space="preserve">     </w:t>
            </w:r>
            <w:r w:rsidR="00A80EDE" w:rsidRPr="008C4F4E">
              <w:rPr>
                <w:sz w:val="26"/>
                <w:szCs w:val="26"/>
                <w:lang w:val="lv-LV"/>
              </w:rPr>
              <w:t xml:space="preserve">8) papildus noteikts, ka </w:t>
            </w:r>
            <w:r w:rsidR="0022436F" w:rsidRPr="008C4F4E">
              <w:rPr>
                <w:sz w:val="26"/>
                <w:szCs w:val="26"/>
                <w:lang w:val="lv-LV"/>
              </w:rPr>
              <w:t xml:space="preserve">evakuācijas izejas no </w:t>
            </w:r>
            <w:r w:rsidR="00A80EDE" w:rsidRPr="008C4F4E">
              <w:rPr>
                <w:sz w:val="26"/>
                <w:szCs w:val="26"/>
                <w:lang w:val="lv-LV"/>
              </w:rPr>
              <w:t>s</w:t>
            </w:r>
            <w:r w:rsidR="00A80EDE" w:rsidRPr="008C4F4E">
              <w:rPr>
                <w:bCs/>
                <w:sz w:val="26"/>
                <w:szCs w:val="26"/>
                <w:lang w:val="lv-LV"/>
              </w:rPr>
              <w:t>porta būvju skatītāju zāles (arēnas) veido kā ugunsdrošības nodalījumu ar izejas durvju ugunsizturību EI 30</w:t>
            </w:r>
            <w:r w:rsidRPr="008C4F4E">
              <w:rPr>
                <w:bCs/>
                <w:sz w:val="26"/>
                <w:szCs w:val="26"/>
                <w:lang w:val="lv-LV"/>
              </w:rPr>
              <w:t xml:space="preserve"> (evakuācijas laiks nedrīkst pārsniegt 30 minūtes)</w:t>
            </w:r>
            <w:r w:rsidR="00A80EDE" w:rsidRPr="008C4F4E">
              <w:rPr>
                <w:bCs/>
                <w:sz w:val="26"/>
                <w:szCs w:val="26"/>
                <w:lang w:val="lv-LV"/>
              </w:rPr>
              <w:t xml:space="preserve"> vai ailu aizsardzībai paredz </w:t>
            </w:r>
            <w:r w:rsidR="00A80EDE" w:rsidRPr="008C4F4E">
              <w:rPr>
                <w:sz w:val="26"/>
                <w:szCs w:val="26"/>
                <w:lang w:val="lv-LV"/>
              </w:rPr>
              <w:t>automātisko ūdens aizsegu</w:t>
            </w:r>
            <w:r w:rsidR="0022436F" w:rsidRPr="008C4F4E">
              <w:rPr>
                <w:sz w:val="26"/>
                <w:szCs w:val="26"/>
                <w:lang w:val="lv-LV"/>
              </w:rPr>
              <w:t>.</w:t>
            </w:r>
            <w:r w:rsidR="00A80EDE" w:rsidRPr="008C4F4E">
              <w:rPr>
                <w:bCs/>
                <w:sz w:val="26"/>
                <w:szCs w:val="26"/>
                <w:lang w:val="lv-LV"/>
              </w:rPr>
              <w:t xml:space="preserve"> </w:t>
            </w:r>
          </w:p>
          <w:p w:rsidR="007267A8" w:rsidRPr="00527E2A" w:rsidRDefault="007267A8" w:rsidP="0022436F">
            <w:pPr>
              <w:pStyle w:val="naiskr"/>
              <w:spacing w:before="0" w:after="0"/>
              <w:ind w:left="57" w:right="57"/>
              <w:jc w:val="both"/>
              <w:rPr>
                <w:sz w:val="26"/>
                <w:szCs w:val="26"/>
              </w:rPr>
            </w:pPr>
            <w:r w:rsidRPr="00527E2A">
              <w:rPr>
                <w:sz w:val="26"/>
                <w:szCs w:val="26"/>
              </w:rPr>
              <w:t xml:space="preserve"> </w:t>
            </w:r>
          </w:p>
        </w:tc>
      </w:tr>
      <w:tr w:rsidR="00527E2A" w:rsidRPr="00527E2A" w:rsidTr="00E913DD">
        <w:trPr>
          <w:trHeight w:val="476"/>
        </w:trPr>
        <w:tc>
          <w:tcPr>
            <w:tcW w:w="524" w:type="dxa"/>
          </w:tcPr>
          <w:p w:rsidR="007267A8" w:rsidRPr="00527E2A" w:rsidRDefault="007267A8" w:rsidP="00E913DD">
            <w:pPr>
              <w:ind w:left="57" w:right="57"/>
              <w:rPr>
                <w:sz w:val="26"/>
                <w:szCs w:val="26"/>
                <w:lang w:val="lv-LV"/>
              </w:rPr>
            </w:pPr>
            <w:r w:rsidRPr="00527E2A">
              <w:rPr>
                <w:sz w:val="26"/>
                <w:szCs w:val="26"/>
                <w:lang w:val="lv-LV"/>
              </w:rPr>
              <w:lastRenderedPageBreak/>
              <w:t> 5.</w:t>
            </w:r>
          </w:p>
        </w:tc>
        <w:tc>
          <w:tcPr>
            <w:tcW w:w="3177" w:type="dxa"/>
          </w:tcPr>
          <w:p w:rsidR="007267A8" w:rsidRPr="00527E2A" w:rsidRDefault="007267A8" w:rsidP="00E913DD">
            <w:pPr>
              <w:ind w:left="57" w:right="57"/>
              <w:rPr>
                <w:sz w:val="26"/>
                <w:szCs w:val="26"/>
                <w:lang w:val="lv-LV"/>
              </w:rPr>
            </w:pPr>
            <w:r w:rsidRPr="00527E2A">
              <w:rPr>
                <w:sz w:val="26"/>
                <w:szCs w:val="26"/>
                <w:lang w:val="lv-LV"/>
              </w:rPr>
              <w:t> Projekta izstrādē iesaistītās institūcijas</w:t>
            </w:r>
          </w:p>
        </w:tc>
        <w:tc>
          <w:tcPr>
            <w:tcW w:w="5361" w:type="dxa"/>
          </w:tcPr>
          <w:p w:rsidR="007267A8" w:rsidRPr="00527E2A" w:rsidRDefault="007267A8" w:rsidP="008C4F4E">
            <w:pPr>
              <w:pStyle w:val="naiskr"/>
              <w:spacing w:before="0" w:after="0"/>
              <w:ind w:left="57" w:right="57"/>
              <w:jc w:val="both"/>
              <w:rPr>
                <w:iCs/>
                <w:sz w:val="26"/>
                <w:szCs w:val="26"/>
              </w:rPr>
            </w:pPr>
            <w:r w:rsidRPr="00527E2A">
              <w:rPr>
                <w:iCs/>
                <w:sz w:val="26"/>
                <w:szCs w:val="26"/>
              </w:rPr>
              <w:t xml:space="preserve">Normatīvo aktu izstrādāja neformāla darba grupa, kurā piedalījās Ekonomikas ministrija, Valsts ugunsdzēsības un glābšanas dienests, Rīgas pilsētas Būvvalde, Latvijas Arhitektu savienība, Būvmateriālu ražotāju asociācija un Latvijas Inženierkonsultantu asociācija </w:t>
            </w:r>
          </w:p>
          <w:p w:rsidR="007267A8" w:rsidRPr="00527E2A" w:rsidRDefault="007267A8" w:rsidP="00E913DD">
            <w:pPr>
              <w:pStyle w:val="naiskr"/>
              <w:spacing w:before="0" w:after="0"/>
              <w:ind w:left="57" w:right="57"/>
              <w:rPr>
                <w:sz w:val="26"/>
                <w:szCs w:val="26"/>
              </w:rPr>
            </w:pPr>
          </w:p>
        </w:tc>
      </w:tr>
      <w:tr w:rsidR="00527E2A" w:rsidRPr="00527E2A" w:rsidTr="00E913DD">
        <w:trPr>
          <w:trHeight w:val="1037"/>
        </w:trPr>
        <w:tc>
          <w:tcPr>
            <w:tcW w:w="524" w:type="dxa"/>
          </w:tcPr>
          <w:p w:rsidR="007267A8" w:rsidRPr="00527E2A" w:rsidRDefault="007267A8" w:rsidP="00E913DD">
            <w:pPr>
              <w:ind w:left="57" w:right="57"/>
              <w:rPr>
                <w:sz w:val="26"/>
                <w:szCs w:val="26"/>
                <w:lang w:val="lv-LV"/>
              </w:rPr>
            </w:pPr>
            <w:r w:rsidRPr="00527E2A">
              <w:rPr>
                <w:sz w:val="26"/>
                <w:szCs w:val="26"/>
                <w:lang w:val="lv-LV"/>
              </w:rPr>
              <w:t> 6.</w:t>
            </w:r>
          </w:p>
        </w:tc>
        <w:tc>
          <w:tcPr>
            <w:tcW w:w="3177" w:type="dxa"/>
          </w:tcPr>
          <w:p w:rsidR="007267A8" w:rsidRPr="00527E2A" w:rsidRDefault="007267A8" w:rsidP="00E913DD">
            <w:pPr>
              <w:ind w:left="57" w:right="57"/>
              <w:rPr>
                <w:sz w:val="26"/>
                <w:szCs w:val="26"/>
                <w:lang w:val="lv-LV"/>
              </w:rPr>
            </w:pPr>
            <w:r w:rsidRPr="00527E2A">
              <w:rPr>
                <w:sz w:val="26"/>
                <w:szCs w:val="26"/>
                <w:lang w:val="lv-LV"/>
              </w:rPr>
              <w:t> Iemesli, kādēļ netika nodrošināta sabiedrības līdzdalība</w:t>
            </w:r>
          </w:p>
        </w:tc>
        <w:tc>
          <w:tcPr>
            <w:tcW w:w="5361" w:type="dxa"/>
          </w:tcPr>
          <w:p w:rsidR="007267A8" w:rsidRPr="00527E2A" w:rsidRDefault="007267A8" w:rsidP="00E913DD">
            <w:pPr>
              <w:ind w:left="57" w:right="57"/>
              <w:jc w:val="both"/>
              <w:rPr>
                <w:sz w:val="26"/>
                <w:szCs w:val="26"/>
                <w:lang w:val="lv-LV"/>
              </w:rPr>
            </w:pPr>
            <w:r w:rsidRPr="00527E2A">
              <w:rPr>
                <w:sz w:val="26"/>
                <w:szCs w:val="26"/>
                <w:lang w:val="lv-LV"/>
              </w:rPr>
              <w:t xml:space="preserve"> Nav attiecināms </w:t>
            </w:r>
          </w:p>
        </w:tc>
      </w:tr>
      <w:tr w:rsidR="00527E2A" w:rsidRPr="00527E2A" w:rsidTr="00E913DD">
        <w:tc>
          <w:tcPr>
            <w:tcW w:w="524" w:type="dxa"/>
          </w:tcPr>
          <w:p w:rsidR="007267A8" w:rsidRPr="00527E2A" w:rsidRDefault="007267A8" w:rsidP="00E913DD">
            <w:pPr>
              <w:ind w:left="57" w:right="57"/>
              <w:rPr>
                <w:sz w:val="26"/>
                <w:szCs w:val="26"/>
                <w:lang w:val="lv-LV"/>
              </w:rPr>
            </w:pPr>
            <w:r w:rsidRPr="00527E2A">
              <w:rPr>
                <w:sz w:val="26"/>
                <w:szCs w:val="26"/>
                <w:lang w:val="lv-LV"/>
              </w:rPr>
              <w:t> 7.</w:t>
            </w:r>
          </w:p>
        </w:tc>
        <w:tc>
          <w:tcPr>
            <w:tcW w:w="3177" w:type="dxa"/>
          </w:tcPr>
          <w:p w:rsidR="007267A8" w:rsidRPr="00527E2A" w:rsidRDefault="007267A8" w:rsidP="00E913DD">
            <w:pPr>
              <w:ind w:left="57" w:right="57"/>
              <w:rPr>
                <w:sz w:val="26"/>
                <w:szCs w:val="26"/>
                <w:lang w:val="lv-LV"/>
              </w:rPr>
            </w:pPr>
            <w:r w:rsidRPr="00527E2A">
              <w:rPr>
                <w:sz w:val="26"/>
                <w:szCs w:val="26"/>
                <w:lang w:val="lv-LV"/>
              </w:rPr>
              <w:t> Cita informācija</w:t>
            </w:r>
          </w:p>
        </w:tc>
        <w:tc>
          <w:tcPr>
            <w:tcW w:w="5361" w:type="dxa"/>
          </w:tcPr>
          <w:p w:rsidR="007267A8" w:rsidRPr="00527E2A" w:rsidRDefault="007267A8" w:rsidP="00E913DD">
            <w:pPr>
              <w:ind w:left="57" w:right="57"/>
              <w:rPr>
                <w:sz w:val="26"/>
                <w:szCs w:val="26"/>
                <w:lang w:val="lv-LV"/>
              </w:rPr>
            </w:pPr>
            <w:r w:rsidRPr="00527E2A">
              <w:rPr>
                <w:sz w:val="26"/>
                <w:szCs w:val="26"/>
                <w:lang w:val="lv-LV"/>
              </w:rPr>
              <w:t>Nav.</w:t>
            </w:r>
          </w:p>
        </w:tc>
      </w:tr>
    </w:tbl>
    <w:p w:rsidR="007267A8" w:rsidRPr="00527E2A" w:rsidRDefault="007267A8" w:rsidP="007267A8">
      <w:pPr>
        <w:ind w:left="57" w:right="57"/>
        <w:rPr>
          <w:sz w:val="26"/>
          <w:szCs w:val="26"/>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527E2A" w:rsidRPr="00527E2A" w:rsidTr="00E913DD">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7267A8" w:rsidRPr="00527E2A" w:rsidRDefault="007267A8" w:rsidP="00E913DD">
            <w:pPr>
              <w:ind w:left="57" w:right="57"/>
              <w:jc w:val="center"/>
              <w:rPr>
                <w:b/>
                <w:sz w:val="26"/>
                <w:szCs w:val="26"/>
                <w:lang w:val="lv-LV"/>
              </w:rPr>
            </w:pPr>
            <w:r w:rsidRPr="00527E2A">
              <w:rPr>
                <w:b/>
                <w:sz w:val="26"/>
                <w:szCs w:val="26"/>
                <w:lang w:val="lv-LV"/>
              </w:rPr>
              <w:t>II. Tiesību akta projekta ietekme uz sabiedrību</w:t>
            </w:r>
          </w:p>
        </w:tc>
      </w:tr>
      <w:tr w:rsidR="00527E2A" w:rsidRPr="00527E2A" w:rsidTr="00E913DD">
        <w:trPr>
          <w:trHeight w:val="467"/>
        </w:trPr>
        <w:tc>
          <w:tcPr>
            <w:tcW w:w="52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1.</w:t>
            </w:r>
          </w:p>
        </w:tc>
        <w:tc>
          <w:tcPr>
            <w:tcW w:w="315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Sabiedrības mērķgrupa</w:t>
            </w:r>
          </w:p>
        </w:tc>
        <w:tc>
          <w:tcPr>
            <w:tcW w:w="5386"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jc w:val="both"/>
              <w:rPr>
                <w:sz w:val="26"/>
                <w:szCs w:val="26"/>
                <w:lang w:val="lv-LV"/>
              </w:rPr>
            </w:pPr>
            <w:r w:rsidRPr="00527E2A">
              <w:rPr>
                <w:iCs/>
                <w:sz w:val="26"/>
                <w:szCs w:val="26"/>
                <w:lang w:val="lv-LV"/>
              </w:rPr>
              <w:t xml:space="preserve">Tā kā normatīvs nosaka projektēšanas prasības, tad tieši šāds regulējums ietekmē projektu virzītājus, arhitektus. </w:t>
            </w:r>
          </w:p>
        </w:tc>
      </w:tr>
      <w:tr w:rsidR="00527E2A" w:rsidRPr="00527E2A" w:rsidTr="00E913DD">
        <w:trPr>
          <w:trHeight w:val="523"/>
        </w:trPr>
        <w:tc>
          <w:tcPr>
            <w:tcW w:w="52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lastRenderedPageBreak/>
              <w:t> 2.</w:t>
            </w:r>
          </w:p>
        </w:tc>
        <w:tc>
          <w:tcPr>
            <w:tcW w:w="315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Citas sabiedrības grupas (bez mērķgrupas), kuras tiesiskais regulējums arī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jc w:val="both"/>
              <w:rPr>
                <w:sz w:val="26"/>
                <w:szCs w:val="26"/>
                <w:lang w:val="lv-LV"/>
              </w:rPr>
            </w:pPr>
            <w:r w:rsidRPr="00527E2A">
              <w:rPr>
                <w:iCs/>
                <w:sz w:val="26"/>
                <w:szCs w:val="26"/>
                <w:lang w:val="lv-LV"/>
              </w:rPr>
              <w:t>Valsts un pašvaldību iestādes, kuras tieši vai netieši ir iesaistītas būvniecības procesā</w:t>
            </w:r>
            <w:r w:rsidRPr="00527E2A">
              <w:rPr>
                <w:sz w:val="26"/>
                <w:szCs w:val="26"/>
                <w:lang w:val="lv-LV"/>
              </w:rPr>
              <w:t xml:space="preserve"> </w:t>
            </w:r>
          </w:p>
        </w:tc>
      </w:tr>
      <w:tr w:rsidR="00527E2A" w:rsidRPr="00527E2A" w:rsidTr="00E913DD">
        <w:trPr>
          <w:trHeight w:val="517"/>
        </w:trPr>
        <w:tc>
          <w:tcPr>
            <w:tcW w:w="52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3.</w:t>
            </w:r>
          </w:p>
        </w:tc>
        <w:tc>
          <w:tcPr>
            <w:tcW w:w="315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Tiesiskā regulējuma finansiālā ietekme</w:t>
            </w:r>
          </w:p>
        </w:tc>
        <w:tc>
          <w:tcPr>
            <w:tcW w:w="5386"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jc w:val="both"/>
              <w:rPr>
                <w:sz w:val="26"/>
                <w:szCs w:val="26"/>
                <w:lang w:val="lv-LV"/>
              </w:rPr>
            </w:pPr>
            <w:r w:rsidRPr="00527E2A">
              <w:rPr>
                <w:sz w:val="26"/>
                <w:szCs w:val="26"/>
                <w:lang w:val="lv-LV"/>
              </w:rPr>
              <w:t>Projekts šo jomu neskar.</w:t>
            </w:r>
          </w:p>
        </w:tc>
      </w:tr>
      <w:tr w:rsidR="00527E2A" w:rsidRPr="00527E2A" w:rsidTr="00E913DD">
        <w:trPr>
          <w:trHeight w:val="517"/>
        </w:trPr>
        <w:tc>
          <w:tcPr>
            <w:tcW w:w="52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4.</w:t>
            </w:r>
          </w:p>
        </w:tc>
        <w:tc>
          <w:tcPr>
            <w:tcW w:w="315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Tiesiskā regulējuma nefinansiālā ietekme</w:t>
            </w:r>
          </w:p>
        </w:tc>
        <w:tc>
          <w:tcPr>
            <w:tcW w:w="5386"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pStyle w:val="naiskr"/>
              <w:spacing w:before="0" w:after="0"/>
              <w:ind w:left="57" w:right="57"/>
              <w:rPr>
                <w:sz w:val="26"/>
                <w:szCs w:val="26"/>
              </w:rPr>
            </w:pPr>
            <w:r w:rsidRPr="00527E2A">
              <w:rPr>
                <w:sz w:val="26"/>
                <w:szCs w:val="26"/>
              </w:rPr>
              <w:t>Projekts šo jomu neskar.</w:t>
            </w:r>
          </w:p>
        </w:tc>
      </w:tr>
      <w:tr w:rsidR="00527E2A" w:rsidRPr="00527E2A" w:rsidTr="00E913DD">
        <w:trPr>
          <w:trHeight w:val="531"/>
        </w:trPr>
        <w:tc>
          <w:tcPr>
            <w:tcW w:w="52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5.</w:t>
            </w:r>
          </w:p>
        </w:tc>
        <w:tc>
          <w:tcPr>
            <w:tcW w:w="315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Administratīvās procedūras raksturojums</w:t>
            </w:r>
          </w:p>
        </w:tc>
        <w:tc>
          <w:tcPr>
            <w:tcW w:w="5386"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jc w:val="both"/>
              <w:rPr>
                <w:sz w:val="26"/>
                <w:szCs w:val="26"/>
                <w:lang w:val="lv-LV"/>
              </w:rPr>
            </w:pPr>
            <w:r w:rsidRPr="00527E2A">
              <w:rPr>
                <w:sz w:val="26"/>
                <w:szCs w:val="26"/>
                <w:lang w:val="lv-LV"/>
              </w:rPr>
              <w:t>Projekts šo jomu neskar.</w:t>
            </w:r>
          </w:p>
        </w:tc>
      </w:tr>
      <w:tr w:rsidR="00527E2A" w:rsidRPr="00527E2A" w:rsidTr="00E913DD">
        <w:trPr>
          <w:trHeight w:val="357"/>
        </w:trPr>
        <w:tc>
          <w:tcPr>
            <w:tcW w:w="52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6.</w:t>
            </w:r>
          </w:p>
        </w:tc>
        <w:tc>
          <w:tcPr>
            <w:tcW w:w="315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Projekts šo jomu neskar.</w:t>
            </w:r>
          </w:p>
        </w:tc>
      </w:tr>
      <w:tr w:rsidR="00527E2A" w:rsidRPr="00527E2A" w:rsidTr="00E913DD">
        <w:tc>
          <w:tcPr>
            <w:tcW w:w="52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7.</w:t>
            </w:r>
          </w:p>
        </w:tc>
        <w:tc>
          <w:tcPr>
            <w:tcW w:w="3153"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rPr>
                <w:sz w:val="26"/>
                <w:szCs w:val="26"/>
                <w:lang w:val="lv-LV"/>
              </w:rPr>
            </w:pPr>
            <w:r w:rsidRPr="00527E2A">
              <w:rPr>
                <w:sz w:val="26"/>
                <w:szCs w:val="26"/>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rsidR="007267A8" w:rsidRPr="00527E2A" w:rsidRDefault="007267A8" w:rsidP="00E913DD">
            <w:pPr>
              <w:ind w:left="57" w:right="57"/>
              <w:jc w:val="both"/>
              <w:rPr>
                <w:sz w:val="26"/>
                <w:szCs w:val="26"/>
                <w:lang w:val="lv-LV"/>
              </w:rPr>
            </w:pPr>
            <w:r w:rsidRPr="00527E2A">
              <w:rPr>
                <w:sz w:val="26"/>
                <w:szCs w:val="26"/>
                <w:lang w:val="lv-LV"/>
              </w:rPr>
              <w:t>Projekts šo jomu neskar.</w:t>
            </w:r>
          </w:p>
        </w:tc>
      </w:tr>
    </w:tbl>
    <w:p w:rsidR="007267A8" w:rsidRPr="00527E2A" w:rsidRDefault="007267A8" w:rsidP="007267A8">
      <w:pPr>
        <w:ind w:left="57" w:right="57"/>
        <w:rPr>
          <w:sz w:val="26"/>
          <w:szCs w:val="26"/>
          <w:lang w:val="lv-LV"/>
        </w:rPr>
      </w:pPr>
    </w:p>
    <w:tbl>
      <w:tblPr>
        <w:tblW w:w="9215"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527E2A" w:rsidRPr="00527E2A" w:rsidTr="00E913DD">
        <w:trPr>
          <w:jc w:val="center"/>
        </w:trPr>
        <w:tc>
          <w:tcPr>
            <w:tcW w:w="9215" w:type="dxa"/>
            <w:gridSpan w:val="3"/>
          </w:tcPr>
          <w:p w:rsidR="007267A8" w:rsidRPr="00527E2A" w:rsidRDefault="007267A8" w:rsidP="00E913DD">
            <w:pPr>
              <w:pStyle w:val="naisnod"/>
              <w:spacing w:before="0" w:after="0"/>
              <w:ind w:left="57" w:right="57"/>
              <w:rPr>
                <w:sz w:val="26"/>
                <w:szCs w:val="26"/>
              </w:rPr>
            </w:pPr>
            <w:r w:rsidRPr="00527E2A">
              <w:rPr>
                <w:sz w:val="26"/>
                <w:szCs w:val="26"/>
              </w:rPr>
              <w:t>VI. Sabiedrības līdzdalība un šīs līdzdalības rezultāti</w:t>
            </w:r>
          </w:p>
        </w:tc>
      </w:tr>
      <w:tr w:rsidR="00527E2A" w:rsidRPr="00527E2A" w:rsidTr="00E913DD">
        <w:trPr>
          <w:trHeight w:val="553"/>
          <w:jc w:val="center"/>
        </w:trPr>
        <w:tc>
          <w:tcPr>
            <w:tcW w:w="567" w:type="dxa"/>
          </w:tcPr>
          <w:p w:rsidR="007267A8" w:rsidRPr="00527E2A" w:rsidRDefault="007267A8" w:rsidP="00E913DD">
            <w:pPr>
              <w:pStyle w:val="naiskr"/>
              <w:spacing w:before="0" w:after="0"/>
              <w:ind w:left="57" w:right="57"/>
              <w:rPr>
                <w:bCs/>
                <w:sz w:val="26"/>
                <w:szCs w:val="26"/>
              </w:rPr>
            </w:pPr>
            <w:r w:rsidRPr="00527E2A">
              <w:rPr>
                <w:bCs/>
                <w:sz w:val="26"/>
                <w:szCs w:val="26"/>
              </w:rPr>
              <w:t>1.</w:t>
            </w:r>
          </w:p>
        </w:tc>
        <w:tc>
          <w:tcPr>
            <w:tcW w:w="2934" w:type="dxa"/>
          </w:tcPr>
          <w:p w:rsidR="007267A8" w:rsidRPr="00527E2A" w:rsidRDefault="007267A8" w:rsidP="00E913DD">
            <w:pPr>
              <w:pStyle w:val="naiskr"/>
              <w:tabs>
                <w:tab w:val="left" w:pos="170"/>
              </w:tabs>
              <w:spacing w:before="0" w:after="0"/>
              <w:ind w:left="57" w:right="57"/>
              <w:rPr>
                <w:sz w:val="26"/>
                <w:szCs w:val="26"/>
              </w:rPr>
            </w:pPr>
            <w:r w:rsidRPr="00527E2A">
              <w:rPr>
                <w:sz w:val="26"/>
                <w:szCs w:val="26"/>
              </w:rPr>
              <w:t>Sabiedrības informēšana par projekta izstrādes uzsākšanu</w:t>
            </w:r>
          </w:p>
        </w:tc>
        <w:tc>
          <w:tcPr>
            <w:tcW w:w="5714" w:type="dxa"/>
          </w:tcPr>
          <w:p w:rsidR="007267A8" w:rsidRPr="00527E2A" w:rsidRDefault="007267A8" w:rsidP="00E913DD">
            <w:pPr>
              <w:pStyle w:val="naiskr"/>
              <w:spacing w:before="0" w:after="0"/>
              <w:ind w:left="57" w:right="57"/>
              <w:jc w:val="both"/>
              <w:rPr>
                <w:sz w:val="26"/>
                <w:szCs w:val="26"/>
              </w:rPr>
            </w:pPr>
            <w:r w:rsidRPr="00527E2A">
              <w:rPr>
                <w:iCs/>
                <w:sz w:val="26"/>
                <w:szCs w:val="26"/>
              </w:rPr>
              <w:t>Tika informēti darba grupas locekļi, kuri piedalījās Latvijas būvnormatīva LBN 201-10 „Būvju ugunsdrošība” izstrādē</w:t>
            </w:r>
          </w:p>
        </w:tc>
      </w:tr>
      <w:tr w:rsidR="00527E2A" w:rsidRPr="00527E2A" w:rsidTr="00E913DD">
        <w:trPr>
          <w:trHeight w:val="339"/>
          <w:jc w:val="center"/>
        </w:trPr>
        <w:tc>
          <w:tcPr>
            <w:tcW w:w="567" w:type="dxa"/>
          </w:tcPr>
          <w:p w:rsidR="007267A8" w:rsidRPr="00527E2A" w:rsidRDefault="007267A8" w:rsidP="00E913DD">
            <w:pPr>
              <w:pStyle w:val="naiskr"/>
              <w:spacing w:before="0" w:after="0"/>
              <w:ind w:left="57" w:right="57"/>
              <w:rPr>
                <w:bCs/>
                <w:sz w:val="26"/>
                <w:szCs w:val="26"/>
              </w:rPr>
            </w:pPr>
            <w:r w:rsidRPr="00527E2A">
              <w:rPr>
                <w:bCs/>
                <w:sz w:val="26"/>
                <w:szCs w:val="26"/>
              </w:rPr>
              <w:t>2.</w:t>
            </w:r>
          </w:p>
        </w:tc>
        <w:tc>
          <w:tcPr>
            <w:tcW w:w="2934" w:type="dxa"/>
          </w:tcPr>
          <w:p w:rsidR="007267A8" w:rsidRPr="00527E2A" w:rsidRDefault="007267A8" w:rsidP="00E913DD">
            <w:pPr>
              <w:pStyle w:val="naiskr"/>
              <w:spacing w:before="0" w:after="0"/>
              <w:ind w:left="57" w:right="57"/>
              <w:rPr>
                <w:sz w:val="26"/>
                <w:szCs w:val="26"/>
              </w:rPr>
            </w:pPr>
            <w:r w:rsidRPr="00527E2A">
              <w:rPr>
                <w:sz w:val="26"/>
                <w:szCs w:val="26"/>
              </w:rPr>
              <w:t xml:space="preserve">Sabiedrības līdzdalība projekta izstrādē </w:t>
            </w:r>
          </w:p>
        </w:tc>
        <w:tc>
          <w:tcPr>
            <w:tcW w:w="5714" w:type="dxa"/>
          </w:tcPr>
          <w:p w:rsidR="007267A8" w:rsidRPr="00527E2A" w:rsidRDefault="007267A8" w:rsidP="00E913DD">
            <w:pPr>
              <w:pStyle w:val="naiskr"/>
              <w:spacing w:before="0" w:after="0"/>
              <w:ind w:left="57" w:right="57"/>
              <w:jc w:val="both"/>
              <w:rPr>
                <w:sz w:val="26"/>
                <w:szCs w:val="26"/>
              </w:rPr>
            </w:pPr>
            <w:r w:rsidRPr="00527E2A">
              <w:rPr>
                <w:iCs/>
                <w:sz w:val="26"/>
                <w:szCs w:val="26"/>
              </w:rPr>
              <w:t>Normatīvo aktu izstrādāja neformāla darba grupa, kurā piedalījās Ekonomikas ministrija, Valsts ugunsdzēsības un glābšanas dienests, Rīgas pilsētas Būvvalde, Latvijas Arhitektu savienība, Būvmateriālu ražotāju asociācija un Latvijas Inženierkonsultantu asociācija</w:t>
            </w:r>
          </w:p>
        </w:tc>
      </w:tr>
      <w:tr w:rsidR="00527E2A" w:rsidRPr="00527E2A" w:rsidTr="00E913DD">
        <w:trPr>
          <w:trHeight w:val="375"/>
          <w:jc w:val="center"/>
        </w:trPr>
        <w:tc>
          <w:tcPr>
            <w:tcW w:w="567" w:type="dxa"/>
          </w:tcPr>
          <w:p w:rsidR="007267A8" w:rsidRPr="00527E2A" w:rsidRDefault="007267A8" w:rsidP="00E913DD">
            <w:pPr>
              <w:pStyle w:val="naiskr"/>
              <w:spacing w:before="0" w:after="0"/>
              <w:ind w:left="57" w:right="57"/>
              <w:rPr>
                <w:bCs/>
                <w:sz w:val="26"/>
                <w:szCs w:val="26"/>
              </w:rPr>
            </w:pPr>
            <w:r w:rsidRPr="00527E2A">
              <w:rPr>
                <w:bCs/>
                <w:sz w:val="26"/>
                <w:szCs w:val="26"/>
              </w:rPr>
              <w:t>3.</w:t>
            </w:r>
          </w:p>
        </w:tc>
        <w:tc>
          <w:tcPr>
            <w:tcW w:w="2934" w:type="dxa"/>
          </w:tcPr>
          <w:p w:rsidR="007267A8" w:rsidRPr="00527E2A" w:rsidRDefault="007267A8" w:rsidP="00E913DD">
            <w:pPr>
              <w:pStyle w:val="naiskr"/>
              <w:spacing w:before="0" w:after="0"/>
              <w:ind w:left="57" w:right="57"/>
              <w:rPr>
                <w:sz w:val="26"/>
                <w:szCs w:val="26"/>
              </w:rPr>
            </w:pPr>
            <w:r w:rsidRPr="00527E2A">
              <w:rPr>
                <w:sz w:val="26"/>
                <w:szCs w:val="26"/>
              </w:rPr>
              <w:t xml:space="preserve">Sabiedrības līdzdalības rezultāti </w:t>
            </w:r>
          </w:p>
        </w:tc>
        <w:tc>
          <w:tcPr>
            <w:tcW w:w="5714" w:type="dxa"/>
          </w:tcPr>
          <w:p w:rsidR="007267A8" w:rsidRPr="00527E2A" w:rsidRDefault="007267A8" w:rsidP="00E913DD">
            <w:pPr>
              <w:pStyle w:val="naiskr"/>
              <w:spacing w:before="0" w:after="0"/>
              <w:ind w:left="57" w:right="57"/>
              <w:jc w:val="both"/>
              <w:rPr>
                <w:sz w:val="26"/>
                <w:szCs w:val="26"/>
              </w:rPr>
            </w:pPr>
            <w:r w:rsidRPr="00527E2A">
              <w:rPr>
                <w:iCs/>
                <w:sz w:val="26"/>
                <w:szCs w:val="26"/>
              </w:rPr>
              <w:t>Darba grupas locekļi atbalsta projekta virzību</w:t>
            </w:r>
          </w:p>
        </w:tc>
      </w:tr>
      <w:tr w:rsidR="00527E2A" w:rsidRPr="00527E2A" w:rsidTr="00E913DD">
        <w:trPr>
          <w:trHeight w:val="397"/>
          <w:jc w:val="center"/>
        </w:trPr>
        <w:tc>
          <w:tcPr>
            <w:tcW w:w="567" w:type="dxa"/>
          </w:tcPr>
          <w:p w:rsidR="007267A8" w:rsidRPr="00527E2A" w:rsidRDefault="007267A8" w:rsidP="00E913DD">
            <w:pPr>
              <w:pStyle w:val="naiskr"/>
              <w:spacing w:before="0" w:after="0"/>
              <w:ind w:left="57" w:right="57"/>
              <w:rPr>
                <w:bCs/>
                <w:sz w:val="26"/>
                <w:szCs w:val="26"/>
              </w:rPr>
            </w:pPr>
            <w:r w:rsidRPr="00527E2A">
              <w:rPr>
                <w:bCs/>
                <w:sz w:val="26"/>
                <w:szCs w:val="26"/>
              </w:rPr>
              <w:t>4.</w:t>
            </w:r>
          </w:p>
        </w:tc>
        <w:tc>
          <w:tcPr>
            <w:tcW w:w="2934" w:type="dxa"/>
          </w:tcPr>
          <w:p w:rsidR="007267A8" w:rsidRPr="00527E2A" w:rsidRDefault="007267A8" w:rsidP="00E913DD">
            <w:pPr>
              <w:pStyle w:val="naiskr"/>
              <w:spacing w:before="0" w:after="0"/>
              <w:ind w:left="57" w:right="57"/>
              <w:rPr>
                <w:sz w:val="26"/>
                <w:szCs w:val="26"/>
              </w:rPr>
            </w:pPr>
            <w:r w:rsidRPr="00527E2A">
              <w:rPr>
                <w:sz w:val="26"/>
                <w:szCs w:val="26"/>
              </w:rPr>
              <w:t>Saeimas un ekspertu līdzdalība</w:t>
            </w:r>
          </w:p>
        </w:tc>
        <w:tc>
          <w:tcPr>
            <w:tcW w:w="5714" w:type="dxa"/>
          </w:tcPr>
          <w:p w:rsidR="007267A8" w:rsidRPr="00527E2A" w:rsidRDefault="007267A8" w:rsidP="00E913DD">
            <w:pPr>
              <w:pStyle w:val="naiskr"/>
              <w:spacing w:before="0" w:after="0"/>
              <w:ind w:left="57" w:right="57"/>
              <w:jc w:val="both"/>
              <w:rPr>
                <w:sz w:val="26"/>
                <w:szCs w:val="26"/>
              </w:rPr>
            </w:pPr>
            <w:r w:rsidRPr="00527E2A">
              <w:rPr>
                <w:iCs/>
                <w:sz w:val="26"/>
                <w:szCs w:val="26"/>
              </w:rPr>
              <w:t>Netika iesaistītas Saeimas komisijas projekta izstrādē</w:t>
            </w:r>
          </w:p>
        </w:tc>
      </w:tr>
      <w:tr w:rsidR="00527E2A" w:rsidRPr="00527E2A" w:rsidTr="00E913DD">
        <w:trPr>
          <w:trHeight w:val="476"/>
          <w:jc w:val="center"/>
        </w:trPr>
        <w:tc>
          <w:tcPr>
            <w:tcW w:w="567" w:type="dxa"/>
          </w:tcPr>
          <w:p w:rsidR="007267A8" w:rsidRPr="00527E2A" w:rsidRDefault="007267A8" w:rsidP="00E913DD">
            <w:pPr>
              <w:pStyle w:val="naiskr"/>
              <w:spacing w:before="0" w:after="0"/>
              <w:ind w:left="57" w:right="57"/>
              <w:rPr>
                <w:bCs/>
                <w:sz w:val="26"/>
                <w:szCs w:val="26"/>
              </w:rPr>
            </w:pPr>
            <w:r w:rsidRPr="00527E2A">
              <w:rPr>
                <w:bCs/>
                <w:sz w:val="26"/>
                <w:szCs w:val="26"/>
              </w:rPr>
              <w:t>5.</w:t>
            </w:r>
          </w:p>
        </w:tc>
        <w:tc>
          <w:tcPr>
            <w:tcW w:w="2934" w:type="dxa"/>
          </w:tcPr>
          <w:p w:rsidR="007267A8" w:rsidRPr="00527E2A" w:rsidRDefault="007267A8" w:rsidP="00E913DD">
            <w:pPr>
              <w:pStyle w:val="naiskr"/>
              <w:spacing w:before="0" w:after="0"/>
              <w:ind w:left="57" w:right="57"/>
              <w:rPr>
                <w:sz w:val="26"/>
                <w:szCs w:val="26"/>
              </w:rPr>
            </w:pPr>
            <w:r w:rsidRPr="00527E2A">
              <w:rPr>
                <w:sz w:val="26"/>
                <w:szCs w:val="26"/>
              </w:rPr>
              <w:t>Cita informācija</w:t>
            </w:r>
          </w:p>
        </w:tc>
        <w:tc>
          <w:tcPr>
            <w:tcW w:w="5714" w:type="dxa"/>
          </w:tcPr>
          <w:p w:rsidR="007267A8" w:rsidRPr="00527E2A" w:rsidRDefault="007267A8" w:rsidP="00E913DD">
            <w:pPr>
              <w:pStyle w:val="naiskr"/>
              <w:spacing w:before="0" w:after="0"/>
              <w:ind w:left="57" w:right="57"/>
              <w:jc w:val="both"/>
              <w:rPr>
                <w:sz w:val="26"/>
                <w:szCs w:val="26"/>
              </w:rPr>
            </w:pPr>
            <w:r w:rsidRPr="00527E2A">
              <w:rPr>
                <w:sz w:val="26"/>
                <w:szCs w:val="26"/>
              </w:rPr>
              <w:t>Nav</w:t>
            </w:r>
          </w:p>
        </w:tc>
      </w:tr>
    </w:tbl>
    <w:p w:rsidR="007267A8" w:rsidRPr="00527E2A" w:rsidRDefault="007267A8" w:rsidP="007267A8">
      <w:pPr>
        <w:ind w:left="57" w:right="57"/>
        <w:rPr>
          <w:sz w:val="26"/>
          <w:szCs w:val="26"/>
          <w:lang w:val="lv-LV"/>
        </w:rPr>
      </w:pPr>
    </w:p>
    <w:p w:rsidR="007267A8" w:rsidRPr="00527E2A" w:rsidRDefault="007267A8" w:rsidP="007267A8">
      <w:pPr>
        <w:ind w:left="57" w:right="57"/>
        <w:rPr>
          <w:sz w:val="26"/>
          <w:szCs w:val="26"/>
          <w:lang w:val="lv-LV"/>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3172"/>
        <w:gridCol w:w="5386"/>
      </w:tblGrid>
      <w:tr w:rsidR="00527E2A" w:rsidRPr="00527E2A" w:rsidTr="00E913DD">
        <w:trPr>
          <w:trHeight w:val="65"/>
        </w:trPr>
        <w:tc>
          <w:tcPr>
            <w:tcW w:w="9065" w:type="dxa"/>
            <w:gridSpan w:val="3"/>
          </w:tcPr>
          <w:p w:rsidR="007267A8" w:rsidRPr="00527E2A" w:rsidRDefault="007267A8" w:rsidP="00E913DD">
            <w:pPr>
              <w:ind w:left="57" w:right="57"/>
              <w:jc w:val="center"/>
              <w:rPr>
                <w:sz w:val="26"/>
                <w:szCs w:val="26"/>
                <w:lang w:val="lv-LV"/>
              </w:rPr>
            </w:pPr>
            <w:r w:rsidRPr="00527E2A">
              <w:rPr>
                <w:b/>
                <w:sz w:val="26"/>
                <w:szCs w:val="26"/>
                <w:lang w:val="lv-LV"/>
              </w:rPr>
              <w:t>VII. Tiesību akta projekta izpildes nodrošināšana un tās ietekme uz institūcijām</w:t>
            </w:r>
          </w:p>
        </w:tc>
      </w:tr>
      <w:tr w:rsidR="00527E2A" w:rsidRPr="00527E2A" w:rsidTr="00E913DD">
        <w:trPr>
          <w:trHeight w:val="427"/>
        </w:trPr>
        <w:tc>
          <w:tcPr>
            <w:tcW w:w="507" w:type="dxa"/>
          </w:tcPr>
          <w:p w:rsidR="007267A8" w:rsidRPr="00527E2A" w:rsidRDefault="007267A8" w:rsidP="00E913DD">
            <w:pPr>
              <w:ind w:left="57" w:right="57"/>
              <w:rPr>
                <w:sz w:val="26"/>
                <w:szCs w:val="26"/>
                <w:lang w:val="lv-LV"/>
              </w:rPr>
            </w:pPr>
            <w:r w:rsidRPr="00527E2A">
              <w:rPr>
                <w:sz w:val="26"/>
                <w:szCs w:val="26"/>
                <w:lang w:val="lv-LV"/>
              </w:rPr>
              <w:t> 1.</w:t>
            </w:r>
          </w:p>
        </w:tc>
        <w:tc>
          <w:tcPr>
            <w:tcW w:w="3172" w:type="dxa"/>
          </w:tcPr>
          <w:p w:rsidR="007267A8" w:rsidRPr="00527E2A" w:rsidRDefault="007267A8" w:rsidP="00E913DD">
            <w:pPr>
              <w:ind w:left="57" w:right="57"/>
              <w:rPr>
                <w:sz w:val="26"/>
                <w:szCs w:val="26"/>
                <w:lang w:val="lv-LV"/>
              </w:rPr>
            </w:pPr>
            <w:r w:rsidRPr="00527E2A">
              <w:rPr>
                <w:sz w:val="26"/>
                <w:szCs w:val="26"/>
                <w:lang w:val="lv-LV"/>
              </w:rPr>
              <w:t> Projekta izpildē iesaistītās institūcijas</w:t>
            </w:r>
          </w:p>
        </w:tc>
        <w:tc>
          <w:tcPr>
            <w:tcW w:w="5386" w:type="dxa"/>
          </w:tcPr>
          <w:p w:rsidR="007267A8" w:rsidRPr="00527E2A" w:rsidRDefault="007267A8" w:rsidP="00E913DD">
            <w:pPr>
              <w:pStyle w:val="naisnod"/>
              <w:spacing w:before="0" w:after="0"/>
              <w:ind w:left="57" w:right="57"/>
              <w:jc w:val="left"/>
              <w:rPr>
                <w:b w:val="0"/>
                <w:iCs/>
                <w:sz w:val="26"/>
                <w:szCs w:val="26"/>
              </w:rPr>
            </w:pPr>
            <w:r w:rsidRPr="00527E2A">
              <w:rPr>
                <w:b w:val="0"/>
                <w:iCs/>
                <w:sz w:val="26"/>
                <w:szCs w:val="26"/>
              </w:rPr>
              <w:t>Būvniecības eksperti</w:t>
            </w:r>
          </w:p>
          <w:p w:rsidR="007267A8" w:rsidRPr="00527E2A" w:rsidRDefault="007267A8" w:rsidP="00E913DD">
            <w:pPr>
              <w:pStyle w:val="naisnod"/>
              <w:spacing w:before="0" w:after="0"/>
              <w:ind w:left="57" w:right="57"/>
              <w:jc w:val="left"/>
              <w:rPr>
                <w:sz w:val="26"/>
                <w:szCs w:val="26"/>
              </w:rPr>
            </w:pPr>
            <w:r w:rsidRPr="00527E2A">
              <w:rPr>
                <w:b w:val="0"/>
                <w:iCs/>
                <w:sz w:val="26"/>
                <w:szCs w:val="26"/>
              </w:rPr>
              <w:t>Pašvaldību būvvaldes un valsts un pašvaldību institūcijas, kuras kontrolē būvniecības procesu</w:t>
            </w:r>
          </w:p>
        </w:tc>
      </w:tr>
      <w:tr w:rsidR="00527E2A" w:rsidRPr="00527E2A" w:rsidTr="00E913DD">
        <w:trPr>
          <w:trHeight w:val="463"/>
        </w:trPr>
        <w:tc>
          <w:tcPr>
            <w:tcW w:w="507" w:type="dxa"/>
          </w:tcPr>
          <w:p w:rsidR="007267A8" w:rsidRPr="00527E2A" w:rsidRDefault="007267A8" w:rsidP="00E913DD">
            <w:pPr>
              <w:ind w:left="57" w:right="57"/>
              <w:rPr>
                <w:sz w:val="26"/>
                <w:szCs w:val="26"/>
                <w:lang w:val="lv-LV"/>
              </w:rPr>
            </w:pPr>
            <w:r w:rsidRPr="00527E2A">
              <w:rPr>
                <w:sz w:val="26"/>
                <w:szCs w:val="26"/>
                <w:lang w:val="lv-LV"/>
              </w:rPr>
              <w:t> 2.</w:t>
            </w:r>
          </w:p>
        </w:tc>
        <w:tc>
          <w:tcPr>
            <w:tcW w:w="3172" w:type="dxa"/>
          </w:tcPr>
          <w:p w:rsidR="007267A8" w:rsidRPr="00527E2A" w:rsidRDefault="007267A8" w:rsidP="00E913DD">
            <w:pPr>
              <w:ind w:left="57" w:right="57"/>
              <w:rPr>
                <w:sz w:val="26"/>
                <w:szCs w:val="26"/>
                <w:lang w:val="lv-LV"/>
              </w:rPr>
            </w:pPr>
            <w:r w:rsidRPr="00527E2A">
              <w:rPr>
                <w:sz w:val="26"/>
                <w:szCs w:val="26"/>
                <w:lang w:val="lv-LV"/>
              </w:rPr>
              <w:t> Projekta izpildes ietekme uz pārvaldes funkcijām</w:t>
            </w:r>
          </w:p>
        </w:tc>
        <w:tc>
          <w:tcPr>
            <w:tcW w:w="5386" w:type="dxa"/>
          </w:tcPr>
          <w:p w:rsidR="007267A8" w:rsidRPr="00527E2A" w:rsidRDefault="007267A8" w:rsidP="00E913DD">
            <w:pPr>
              <w:pStyle w:val="naisnod"/>
              <w:spacing w:before="0" w:after="0"/>
              <w:ind w:left="57" w:right="57"/>
              <w:jc w:val="left"/>
              <w:rPr>
                <w:b w:val="0"/>
                <w:iCs/>
                <w:sz w:val="26"/>
                <w:szCs w:val="26"/>
              </w:rPr>
            </w:pPr>
            <w:r w:rsidRPr="00527E2A">
              <w:rPr>
                <w:b w:val="0"/>
                <w:iCs/>
                <w:sz w:val="26"/>
                <w:szCs w:val="26"/>
              </w:rPr>
              <w:t>Ietekme uz pārvaldes funkcijām nav, tā kā konkrētās prasības ir jāievēro projektētājam</w:t>
            </w:r>
          </w:p>
          <w:p w:rsidR="007267A8" w:rsidRPr="00527E2A" w:rsidRDefault="007267A8" w:rsidP="00E913DD">
            <w:pPr>
              <w:pStyle w:val="naisnod"/>
              <w:spacing w:before="0" w:after="0"/>
              <w:ind w:left="57" w:right="57"/>
              <w:jc w:val="left"/>
              <w:rPr>
                <w:sz w:val="26"/>
                <w:szCs w:val="26"/>
              </w:rPr>
            </w:pPr>
          </w:p>
        </w:tc>
      </w:tr>
      <w:tr w:rsidR="00527E2A" w:rsidRPr="00527E2A" w:rsidTr="00E913DD">
        <w:trPr>
          <w:trHeight w:val="725"/>
        </w:trPr>
        <w:tc>
          <w:tcPr>
            <w:tcW w:w="507" w:type="dxa"/>
          </w:tcPr>
          <w:p w:rsidR="007267A8" w:rsidRPr="00527E2A" w:rsidRDefault="007267A8" w:rsidP="00E913DD">
            <w:pPr>
              <w:ind w:left="57" w:right="57"/>
              <w:rPr>
                <w:sz w:val="26"/>
                <w:szCs w:val="26"/>
                <w:lang w:val="lv-LV"/>
              </w:rPr>
            </w:pPr>
            <w:r w:rsidRPr="00527E2A">
              <w:rPr>
                <w:sz w:val="26"/>
                <w:szCs w:val="26"/>
                <w:lang w:val="lv-LV"/>
              </w:rPr>
              <w:t> 3.</w:t>
            </w:r>
          </w:p>
        </w:tc>
        <w:tc>
          <w:tcPr>
            <w:tcW w:w="3172" w:type="dxa"/>
          </w:tcPr>
          <w:p w:rsidR="007267A8" w:rsidRPr="00527E2A" w:rsidRDefault="007267A8" w:rsidP="00E913DD">
            <w:pPr>
              <w:ind w:left="57" w:right="57"/>
              <w:rPr>
                <w:sz w:val="26"/>
                <w:szCs w:val="26"/>
                <w:lang w:val="lv-LV"/>
              </w:rPr>
            </w:pPr>
            <w:r w:rsidRPr="00527E2A">
              <w:rPr>
                <w:sz w:val="26"/>
                <w:szCs w:val="26"/>
                <w:lang w:val="lv-LV"/>
              </w:rPr>
              <w:t> Projekta izpildes ietekme uz pārvaldes institucionālo struktūru.</w:t>
            </w:r>
          </w:p>
          <w:p w:rsidR="007267A8" w:rsidRPr="00527E2A" w:rsidRDefault="007267A8" w:rsidP="00E913DD">
            <w:pPr>
              <w:ind w:left="57" w:right="57"/>
              <w:rPr>
                <w:sz w:val="26"/>
                <w:szCs w:val="26"/>
                <w:lang w:val="lv-LV"/>
              </w:rPr>
            </w:pPr>
            <w:r w:rsidRPr="00527E2A">
              <w:rPr>
                <w:sz w:val="26"/>
                <w:szCs w:val="26"/>
                <w:lang w:val="lv-LV"/>
              </w:rPr>
              <w:t>Jaunu institūciju izveide</w:t>
            </w:r>
          </w:p>
        </w:tc>
        <w:tc>
          <w:tcPr>
            <w:tcW w:w="5386" w:type="dxa"/>
          </w:tcPr>
          <w:p w:rsidR="007267A8" w:rsidRPr="00527E2A" w:rsidRDefault="007267A8" w:rsidP="00E913DD">
            <w:pPr>
              <w:ind w:left="57" w:right="57"/>
              <w:jc w:val="both"/>
              <w:rPr>
                <w:sz w:val="26"/>
                <w:szCs w:val="26"/>
                <w:lang w:val="lv-LV"/>
              </w:rPr>
            </w:pPr>
            <w:r w:rsidRPr="00527E2A">
              <w:rPr>
                <w:sz w:val="26"/>
                <w:szCs w:val="26"/>
                <w:lang w:val="lv-LV"/>
              </w:rPr>
              <w:t>Nav nepieciešams veidot jaunas institūcijas.</w:t>
            </w:r>
          </w:p>
        </w:tc>
      </w:tr>
      <w:tr w:rsidR="00527E2A" w:rsidRPr="00527E2A" w:rsidTr="00E913DD">
        <w:trPr>
          <w:trHeight w:val="780"/>
        </w:trPr>
        <w:tc>
          <w:tcPr>
            <w:tcW w:w="507" w:type="dxa"/>
          </w:tcPr>
          <w:p w:rsidR="007267A8" w:rsidRPr="00527E2A" w:rsidRDefault="007267A8" w:rsidP="00E913DD">
            <w:pPr>
              <w:ind w:left="57" w:right="57"/>
              <w:rPr>
                <w:sz w:val="26"/>
                <w:szCs w:val="26"/>
                <w:lang w:val="lv-LV"/>
              </w:rPr>
            </w:pPr>
            <w:r w:rsidRPr="00527E2A">
              <w:rPr>
                <w:sz w:val="26"/>
                <w:szCs w:val="26"/>
                <w:lang w:val="lv-LV"/>
              </w:rPr>
              <w:t> 4.</w:t>
            </w:r>
          </w:p>
        </w:tc>
        <w:tc>
          <w:tcPr>
            <w:tcW w:w="3172" w:type="dxa"/>
          </w:tcPr>
          <w:p w:rsidR="007267A8" w:rsidRPr="00527E2A" w:rsidRDefault="007267A8" w:rsidP="00E913DD">
            <w:pPr>
              <w:ind w:left="57" w:right="57"/>
              <w:rPr>
                <w:sz w:val="26"/>
                <w:szCs w:val="26"/>
                <w:lang w:val="lv-LV"/>
              </w:rPr>
            </w:pPr>
            <w:r w:rsidRPr="00527E2A">
              <w:rPr>
                <w:sz w:val="26"/>
                <w:szCs w:val="26"/>
                <w:lang w:val="lv-LV"/>
              </w:rPr>
              <w:t> Projekta izpildes ietekme uz pārvaldes institucionālo struktūru.</w:t>
            </w:r>
          </w:p>
          <w:p w:rsidR="007267A8" w:rsidRPr="00527E2A" w:rsidRDefault="007267A8" w:rsidP="00E913DD">
            <w:pPr>
              <w:ind w:left="57" w:right="57"/>
              <w:rPr>
                <w:sz w:val="26"/>
                <w:szCs w:val="26"/>
                <w:lang w:val="lv-LV"/>
              </w:rPr>
            </w:pPr>
            <w:r w:rsidRPr="00527E2A">
              <w:rPr>
                <w:sz w:val="26"/>
                <w:szCs w:val="26"/>
                <w:lang w:val="lv-LV"/>
              </w:rPr>
              <w:lastRenderedPageBreak/>
              <w:t>Esošu institūciju likvidācija</w:t>
            </w:r>
          </w:p>
        </w:tc>
        <w:tc>
          <w:tcPr>
            <w:tcW w:w="5386" w:type="dxa"/>
          </w:tcPr>
          <w:p w:rsidR="007267A8" w:rsidRPr="00527E2A" w:rsidRDefault="007267A8" w:rsidP="00E913DD">
            <w:pPr>
              <w:tabs>
                <w:tab w:val="left" w:pos="567"/>
              </w:tabs>
              <w:ind w:left="57" w:right="57"/>
              <w:jc w:val="both"/>
              <w:rPr>
                <w:sz w:val="26"/>
                <w:szCs w:val="26"/>
                <w:lang w:val="lv-LV"/>
              </w:rPr>
            </w:pPr>
            <w:r w:rsidRPr="00527E2A">
              <w:rPr>
                <w:sz w:val="26"/>
                <w:szCs w:val="26"/>
                <w:lang w:val="lv-LV"/>
              </w:rPr>
              <w:lastRenderedPageBreak/>
              <w:t>Projekta izpildei nav nepieciešams likvidēt esošās institūcijas.</w:t>
            </w:r>
          </w:p>
        </w:tc>
      </w:tr>
      <w:tr w:rsidR="00527E2A" w:rsidRPr="00527E2A" w:rsidTr="00E913DD">
        <w:trPr>
          <w:trHeight w:val="703"/>
        </w:trPr>
        <w:tc>
          <w:tcPr>
            <w:tcW w:w="507" w:type="dxa"/>
          </w:tcPr>
          <w:p w:rsidR="007267A8" w:rsidRPr="00527E2A" w:rsidRDefault="007267A8" w:rsidP="00E913DD">
            <w:pPr>
              <w:ind w:left="57" w:right="57"/>
              <w:rPr>
                <w:sz w:val="26"/>
                <w:szCs w:val="26"/>
                <w:lang w:val="lv-LV"/>
              </w:rPr>
            </w:pPr>
            <w:r w:rsidRPr="00527E2A">
              <w:rPr>
                <w:sz w:val="26"/>
                <w:szCs w:val="26"/>
                <w:lang w:val="lv-LV"/>
              </w:rPr>
              <w:lastRenderedPageBreak/>
              <w:t> 5.</w:t>
            </w:r>
          </w:p>
        </w:tc>
        <w:tc>
          <w:tcPr>
            <w:tcW w:w="3172" w:type="dxa"/>
          </w:tcPr>
          <w:p w:rsidR="007267A8" w:rsidRPr="00527E2A" w:rsidRDefault="007267A8" w:rsidP="00E913DD">
            <w:pPr>
              <w:ind w:left="57" w:right="57"/>
              <w:rPr>
                <w:sz w:val="26"/>
                <w:szCs w:val="26"/>
                <w:lang w:val="lv-LV"/>
              </w:rPr>
            </w:pPr>
            <w:r w:rsidRPr="00527E2A">
              <w:rPr>
                <w:sz w:val="26"/>
                <w:szCs w:val="26"/>
                <w:lang w:val="lv-LV"/>
              </w:rPr>
              <w:t> Projekta izpildes ietekme uz pārvaldes institucionālo struktūru.</w:t>
            </w:r>
          </w:p>
          <w:p w:rsidR="007267A8" w:rsidRPr="00527E2A" w:rsidRDefault="007267A8" w:rsidP="00E913DD">
            <w:pPr>
              <w:ind w:left="57" w:right="57"/>
              <w:rPr>
                <w:sz w:val="26"/>
                <w:szCs w:val="26"/>
                <w:lang w:val="lv-LV"/>
              </w:rPr>
            </w:pPr>
            <w:r w:rsidRPr="00527E2A">
              <w:rPr>
                <w:sz w:val="26"/>
                <w:szCs w:val="26"/>
                <w:lang w:val="lv-LV"/>
              </w:rPr>
              <w:t>Esošu institūciju reorganizācija</w:t>
            </w:r>
          </w:p>
        </w:tc>
        <w:tc>
          <w:tcPr>
            <w:tcW w:w="5386" w:type="dxa"/>
          </w:tcPr>
          <w:p w:rsidR="007267A8" w:rsidRPr="00527E2A" w:rsidRDefault="007267A8" w:rsidP="00E913DD">
            <w:pPr>
              <w:tabs>
                <w:tab w:val="left" w:pos="709"/>
              </w:tabs>
              <w:ind w:left="57" w:right="57"/>
              <w:jc w:val="both"/>
              <w:rPr>
                <w:sz w:val="26"/>
                <w:szCs w:val="26"/>
                <w:lang w:val="lv-LV"/>
              </w:rPr>
            </w:pPr>
            <w:r w:rsidRPr="00527E2A">
              <w:rPr>
                <w:sz w:val="26"/>
                <w:szCs w:val="26"/>
                <w:lang w:val="lv-LV"/>
              </w:rPr>
              <w:t>Projekta izpildes rezultātā nav plānots reorganizēt vai apvienot jau esošās institūcijas.</w:t>
            </w:r>
          </w:p>
        </w:tc>
      </w:tr>
      <w:tr w:rsidR="00527E2A" w:rsidRPr="00527E2A" w:rsidTr="00E913DD">
        <w:trPr>
          <w:trHeight w:val="476"/>
        </w:trPr>
        <w:tc>
          <w:tcPr>
            <w:tcW w:w="507" w:type="dxa"/>
          </w:tcPr>
          <w:p w:rsidR="007267A8" w:rsidRPr="00527E2A" w:rsidRDefault="007267A8" w:rsidP="00E913DD">
            <w:pPr>
              <w:ind w:left="57" w:right="57"/>
              <w:rPr>
                <w:sz w:val="26"/>
                <w:szCs w:val="26"/>
                <w:lang w:val="lv-LV"/>
              </w:rPr>
            </w:pPr>
            <w:r w:rsidRPr="00527E2A">
              <w:rPr>
                <w:sz w:val="26"/>
                <w:szCs w:val="26"/>
                <w:lang w:val="lv-LV"/>
              </w:rPr>
              <w:t> 6.</w:t>
            </w:r>
          </w:p>
        </w:tc>
        <w:tc>
          <w:tcPr>
            <w:tcW w:w="3172" w:type="dxa"/>
          </w:tcPr>
          <w:p w:rsidR="007267A8" w:rsidRPr="00527E2A" w:rsidRDefault="007267A8" w:rsidP="00E913DD">
            <w:pPr>
              <w:ind w:left="57" w:right="57"/>
              <w:rPr>
                <w:sz w:val="26"/>
                <w:szCs w:val="26"/>
                <w:lang w:val="lv-LV"/>
              </w:rPr>
            </w:pPr>
            <w:r w:rsidRPr="00527E2A">
              <w:rPr>
                <w:sz w:val="26"/>
                <w:szCs w:val="26"/>
                <w:lang w:val="lv-LV"/>
              </w:rPr>
              <w:t> Cita informācija</w:t>
            </w:r>
          </w:p>
        </w:tc>
        <w:tc>
          <w:tcPr>
            <w:tcW w:w="5386" w:type="dxa"/>
          </w:tcPr>
          <w:p w:rsidR="007267A8" w:rsidRPr="00527E2A" w:rsidRDefault="007267A8" w:rsidP="00E913DD">
            <w:pPr>
              <w:ind w:left="57" w:right="57"/>
              <w:jc w:val="both"/>
              <w:rPr>
                <w:sz w:val="26"/>
                <w:szCs w:val="26"/>
                <w:lang w:val="lv-LV"/>
              </w:rPr>
            </w:pPr>
            <w:r w:rsidRPr="00527E2A">
              <w:rPr>
                <w:sz w:val="26"/>
                <w:szCs w:val="26"/>
                <w:lang w:val="lv-LV"/>
              </w:rPr>
              <w:t>Nav.</w:t>
            </w:r>
          </w:p>
        </w:tc>
      </w:tr>
    </w:tbl>
    <w:p w:rsidR="007267A8" w:rsidRPr="00527E2A" w:rsidRDefault="007267A8" w:rsidP="007267A8">
      <w:pPr>
        <w:pStyle w:val="naisf"/>
        <w:tabs>
          <w:tab w:val="left" w:pos="6710"/>
        </w:tabs>
        <w:spacing w:before="0" w:after="240"/>
        <w:rPr>
          <w:sz w:val="26"/>
          <w:szCs w:val="26"/>
        </w:rPr>
      </w:pPr>
      <w:r w:rsidRPr="00527E2A">
        <w:rPr>
          <w:sz w:val="26"/>
          <w:szCs w:val="26"/>
        </w:rPr>
        <w:t>Anotācijas III, IV un V sadaļa - projekts šīs jomas neskar.</w:t>
      </w:r>
    </w:p>
    <w:p w:rsidR="007267A8" w:rsidRPr="00527E2A" w:rsidRDefault="007267A8" w:rsidP="007267A8">
      <w:pPr>
        <w:pStyle w:val="naisf"/>
        <w:tabs>
          <w:tab w:val="left" w:pos="6710"/>
        </w:tabs>
        <w:spacing w:before="0" w:after="0"/>
        <w:ind w:right="-425"/>
        <w:rPr>
          <w:sz w:val="26"/>
          <w:szCs w:val="26"/>
        </w:rPr>
      </w:pPr>
    </w:p>
    <w:p w:rsidR="008E3C8C" w:rsidRPr="00527E2A" w:rsidRDefault="008E3C8C" w:rsidP="007267A8">
      <w:pPr>
        <w:pStyle w:val="naisf"/>
        <w:tabs>
          <w:tab w:val="left" w:pos="6710"/>
        </w:tabs>
        <w:spacing w:before="0" w:after="0"/>
        <w:ind w:right="-425"/>
        <w:rPr>
          <w:sz w:val="26"/>
          <w:szCs w:val="26"/>
        </w:rPr>
      </w:pPr>
    </w:p>
    <w:p w:rsidR="008E3C8C" w:rsidRPr="00527E2A" w:rsidRDefault="008E3C8C" w:rsidP="007267A8">
      <w:pPr>
        <w:pStyle w:val="naisf"/>
        <w:tabs>
          <w:tab w:val="left" w:pos="6710"/>
        </w:tabs>
        <w:spacing w:before="0" w:after="0"/>
        <w:ind w:right="-425"/>
        <w:rPr>
          <w:sz w:val="26"/>
          <w:szCs w:val="26"/>
        </w:rPr>
      </w:pPr>
    </w:p>
    <w:p w:rsidR="007267A8" w:rsidRPr="006B400B" w:rsidRDefault="007267A8" w:rsidP="007267A8">
      <w:pPr>
        <w:pStyle w:val="naisf"/>
        <w:tabs>
          <w:tab w:val="left" w:pos="6710"/>
        </w:tabs>
        <w:spacing w:before="0" w:after="0"/>
        <w:ind w:right="-1"/>
        <w:rPr>
          <w:sz w:val="28"/>
          <w:szCs w:val="28"/>
        </w:rPr>
      </w:pPr>
      <w:r w:rsidRPr="006B400B">
        <w:rPr>
          <w:sz w:val="28"/>
          <w:szCs w:val="28"/>
        </w:rPr>
        <w:t>Ekonomikas ministrs</w:t>
      </w:r>
      <w:r w:rsidRPr="006B400B">
        <w:rPr>
          <w:sz w:val="28"/>
          <w:szCs w:val="28"/>
        </w:rPr>
        <w:tab/>
      </w:r>
      <w:r w:rsidRPr="006B400B">
        <w:rPr>
          <w:sz w:val="28"/>
          <w:szCs w:val="28"/>
        </w:rPr>
        <w:tab/>
        <w:t xml:space="preserve">           D.Pavļuts</w:t>
      </w:r>
    </w:p>
    <w:p w:rsidR="007267A8" w:rsidRPr="006B400B" w:rsidRDefault="007267A8" w:rsidP="007267A8">
      <w:pPr>
        <w:pStyle w:val="naisf"/>
        <w:tabs>
          <w:tab w:val="left" w:pos="6710"/>
        </w:tabs>
        <w:spacing w:before="0" w:after="0"/>
        <w:ind w:right="-1"/>
        <w:rPr>
          <w:sz w:val="28"/>
          <w:szCs w:val="28"/>
        </w:rPr>
      </w:pPr>
    </w:p>
    <w:p w:rsidR="007267A8" w:rsidRPr="006B400B" w:rsidRDefault="007267A8" w:rsidP="007267A8">
      <w:pPr>
        <w:pStyle w:val="naisf"/>
        <w:tabs>
          <w:tab w:val="left" w:pos="6710"/>
        </w:tabs>
        <w:spacing w:before="0" w:after="0"/>
        <w:ind w:right="-1"/>
        <w:rPr>
          <w:sz w:val="28"/>
          <w:szCs w:val="28"/>
        </w:rPr>
      </w:pPr>
    </w:p>
    <w:p w:rsidR="0022405F" w:rsidRPr="006B400B" w:rsidRDefault="007267A8" w:rsidP="0022405F">
      <w:pPr>
        <w:pStyle w:val="Heading1"/>
        <w:spacing w:before="0"/>
        <w:rPr>
          <w:rFonts w:ascii="Times New Roman" w:hAnsi="Times New Roman" w:cs="Times New Roman"/>
          <w:b w:val="0"/>
          <w:color w:val="auto"/>
        </w:rPr>
      </w:pPr>
      <w:r w:rsidRPr="006B400B">
        <w:rPr>
          <w:rFonts w:ascii="Times New Roman" w:hAnsi="Times New Roman" w:cs="Times New Roman"/>
          <w:b w:val="0"/>
          <w:color w:val="auto"/>
        </w:rPr>
        <w:t xml:space="preserve">Vīza: </w:t>
      </w:r>
    </w:p>
    <w:p w:rsidR="007267A8" w:rsidRPr="006B400B" w:rsidRDefault="007267A8" w:rsidP="006B400B">
      <w:pPr>
        <w:pStyle w:val="Heading1"/>
        <w:spacing w:before="0"/>
        <w:rPr>
          <w:rFonts w:ascii="Times New Roman" w:hAnsi="Times New Roman" w:cs="Times New Roman"/>
          <w:sz w:val="20"/>
        </w:rPr>
      </w:pPr>
      <w:r w:rsidRPr="006B400B">
        <w:rPr>
          <w:rFonts w:ascii="Times New Roman" w:hAnsi="Times New Roman" w:cs="Times New Roman"/>
          <w:b w:val="0"/>
          <w:color w:val="auto"/>
        </w:rPr>
        <w:t>Valsts sekretār</w:t>
      </w:r>
      <w:r w:rsidR="006B400B" w:rsidRPr="006B400B">
        <w:rPr>
          <w:rFonts w:ascii="Times New Roman" w:hAnsi="Times New Roman" w:cs="Times New Roman"/>
          <w:b w:val="0"/>
          <w:color w:val="auto"/>
        </w:rPr>
        <w:t>s</w:t>
      </w:r>
      <w:r w:rsidR="0022405F" w:rsidRPr="006B400B">
        <w:rPr>
          <w:rFonts w:ascii="Times New Roman" w:hAnsi="Times New Roman" w:cs="Times New Roman"/>
          <w:b w:val="0"/>
          <w:color w:val="auto"/>
        </w:rPr>
        <w:t xml:space="preserve"> </w:t>
      </w:r>
      <w:r w:rsidRPr="006B400B">
        <w:rPr>
          <w:rFonts w:ascii="Times New Roman" w:hAnsi="Times New Roman" w:cs="Times New Roman"/>
          <w:b w:val="0"/>
          <w:color w:val="auto"/>
        </w:rPr>
        <w:tab/>
      </w:r>
      <w:r w:rsidRPr="006B400B">
        <w:rPr>
          <w:rFonts w:ascii="Times New Roman" w:hAnsi="Times New Roman" w:cs="Times New Roman"/>
          <w:b w:val="0"/>
          <w:color w:val="auto"/>
        </w:rPr>
        <w:tab/>
      </w:r>
      <w:r w:rsidRPr="006B400B">
        <w:rPr>
          <w:rFonts w:ascii="Times New Roman" w:hAnsi="Times New Roman" w:cs="Times New Roman"/>
          <w:b w:val="0"/>
          <w:color w:val="auto"/>
        </w:rPr>
        <w:tab/>
        <w:t xml:space="preserve">                  </w:t>
      </w:r>
      <w:r w:rsidRPr="006B400B">
        <w:rPr>
          <w:rFonts w:ascii="Times New Roman" w:hAnsi="Times New Roman" w:cs="Times New Roman"/>
          <w:b w:val="0"/>
          <w:color w:val="auto"/>
        </w:rPr>
        <w:tab/>
      </w:r>
      <w:r w:rsidR="006B400B">
        <w:rPr>
          <w:rFonts w:ascii="Times New Roman" w:hAnsi="Times New Roman" w:cs="Times New Roman"/>
          <w:b w:val="0"/>
          <w:color w:val="auto"/>
        </w:rPr>
        <w:tab/>
      </w:r>
      <w:r w:rsidR="006B400B">
        <w:rPr>
          <w:rFonts w:ascii="Times New Roman" w:hAnsi="Times New Roman" w:cs="Times New Roman"/>
          <w:b w:val="0"/>
          <w:color w:val="auto"/>
        </w:rPr>
        <w:tab/>
      </w:r>
      <w:r w:rsidR="006B400B">
        <w:rPr>
          <w:rFonts w:ascii="Times New Roman" w:hAnsi="Times New Roman" w:cs="Times New Roman"/>
          <w:b w:val="0"/>
          <w:color w:val="auto"/>
        </w:rPr>
        <w:tab/>
      </w:r>
      <w:r w:rsidR="006B400B">
        <w:rPr>
          <w:rFonts w:ascii="Times New Roman" w:hAnsi="Times New Roman" w:cs="Times New Roman"/>
          <w:b w:val="0"/>
          <w:color w:val="auto"/>
        </w:rPr>
        <w:tab/>
      </w:r>
      <w:r w:rsidR="006B400B" w:rsidRPr="006B400B">
        <w:rPr>
          <w:rFonts w:ascii="Times New Roman" w:hAnsi="Times New Roman" w:cs="Times New Roman"/>
          <w:b w:val="0"/>
          <w:color w:val="auto"/>
        </w:rPr>
        <w:t>J.Pūce</w:t>
      </w:r>
    </w:p>
    <w:p w:rsidR="007267A8" w:rsidRPr="006B400B" w:rsidRDefault="007267A8" w:rsidP="007267A8">
      <w:pPr>
        <w:rPr>
          <w:sz w:val="20"/>
          <w:lang w:val="lv-LV"/>
        </w:rPr>
      </w:pPr>
    </w:p>
    <w:p w:rsidR="00C56E00" w:rsidRPr="006B400B" w:rsidRDefault="00C56E00"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8E3C8C" w:rsidRPr="00527E2A" w:rsidRDefault="008E3C8C" w:rsidP="007267A8">
      <w:pPr>
        <w:rPr>
          <w:sz w:val="20"/>
          <w:lang w:val="lv-LV"/>
        </w:rPr>
      </w:pPr>
    </w:p>
    <w:p w:rsidR="00C56E00" w:rsidRPr="00527E2A" w:rsidRDefault="00C56E00" w:rsidP="007267A8">
      <w:pPr>
        <w:rPr>
          <w:sz w:val="20"/>
          <w:lang w:val="lv-LV"/>
        </w:rPr>
      </w:pPr>
    </w:p>
    <w:p w:rsidR="00C56E00" w:rsidRPr="00527E2A" w:rsidRDefault="00C56E00" w:rsidP="007267A8">
      <w:pPr>
        <w:rPr>
          <w:sz w:val="20"/>
          <w:lang w:val="lv-LV"/>
        </w:rPr>
      </w:pPr>
    </w:p>
    <w:p w:rsidR="007267A8" w:rsidRPr="00527E2A" w:rsidRDefault="007267A8" w:rsidP="007267A8">
      <w:pPr>
        <w:rPr>
          <w:sz w:val="20"/>
          <w:lang w:val="lv-LV"/>
        </w:rPr>
      </w:pPr>
    </w:p>
    <w:p w:rsidR="007267A8" w:rsidRPr="00527E2A" w:rsidRDefault="007267A8" w:rsidP="007267A8">
      <w:pPr>
        <w:rPr>
          <w:sz w:val="20"/>
          <w:lang w:val="lv-LV"/>
        </w:rPr>
      </w:pPr>
      <w:r w:rsidRPr="00527E2A">
        <w:rPr>
          <w:sz w:val="20"/>
          <w:lang w:val="lv-LV"/>
        </w:rPr>
        <w:fldChar w:fldCharType="begin"/>
      </w:r>
      <w:r w:rsidRPr="00527E2A">
        <w:rPr>
          <w:sz w:val="20"/>
          <w:lang w:val="lv-LV"/>
        </w:rPr>
        <w:instrText xml:space="preserve"> DATE  \@ "dd.MM.yyyy. H:mm"  \* MERGEFORMAT </w:instrText>
      </w:r>
      <w:r w:rsidRPr="00527E2A">
        <w:rPr>
          <w:sz w:val="20"/>
          <w:lang w:val="lv-LV"/>
        </w:rPr>
        <w:fldChar w:fldCharType="separate"/>
      </w:r>
      <w:r w:rsidR="006B400B">
        <w:rPr>
          <w:noProof/>
          <w:sz w:val="20"/>
          <w:lang w:val="lv-LV"/>
        </w:rPr>
        <w:t>27.07.2012. 9:42</w:t>
      </w:r>
      <w:r w:rsidRPr="00527E2A">
        <w:rPr>
          <w:sz w:val="20"/>
          <w:lang w:val="lv-LV"/>
        </w:rPr>
        <w:fldChar w:fldCharType="end"/>
      </w:r>
    </w:p>
    <w:p w:rsidR="007267A8" w:rsidRPr="00527E2A" w:rsidRDefault="00BF01F0" w:rsidP="007267A8">
      <w:pPr>
        <w:rPr>
          <w:sz w:val="20"/>
          <w:lang w:val="lv-LV"/>
        </w:rPr>
      </w:pPr>
      <w:fldSimple w:instr=" NUMWORDS   \* MERGEFORMAT ">
        <w:r w:rsidR="006B400B" w:rsidRPr="006B400B">
          <w:rPr>
            <w:noProof/>
            <w:sz w:val="20"/>
            <w:lang w:val="lv-LV"/>
          </w:rPr>
          <w:t>1288</w:t>
        </w:r>
      </w:fldSimple>
      <w:bookmarkStart w:id="5" w:name="_GoBack"/>
      <w:bookmarkEnd w:id="5"/>
    </w:p>
    <w:p w:rsidR="007267A8" w:rsidRPr="00527E2A" w:rsidRDefault="007267A8" w:rsidP="007267A8">
      <w:pPr>
        <w:rPr>
          <w:sz w:val="20"/>
          <w:lang w:val="lv-LV"/>
        </w:rPr>
      </w:pPr>
      <w:r w:rsidRPr="00527E2A">
        <w:rPr>
          <w:sz w:val="20"/>
          <w:lang w:val="lv-LV"/>
        </w:rPr>
        <w:t>E.Bučinska,</w:t>
      </w:r>
    </w:p>
    <w:p w:rsidR="007267A8" w:rsidRPr="00527E2A" w:rsidRDefault="007267A8" w:rsidP="007267A8">
      <w:r w:rsidRPr="00527E2A">
        <w:rPr>
          <w:sz w:val="20"/>
          <w:lang w:val="lv-LV"/>
        </w:rPr>
        <w:t xml:space="preserve">67013032, </w:t>
      </w:r>
      <w:hyperlink r:id="rId8" w:history="1">
        <w:r w:rsidRPr="00527E2A">
          <w:rPr>
            <w:rStyle w:val="Hyperlink"/>
            <w:rFonts w:eastAsiaTheme="majorEastAsia"/>
            <w:color w:val="auto"/>
            <w:sz w:val="20"/>
            <w:lang w:val="lv-LV"/>
          </w:rPr>
          <w:t>Elga.Bucinska@em.gov.lv</w:t>
        </w:r>
      </w:hyperlink>
      <w:r w:rsidRPr="00527E2A">
        <w:rPr>
          <w:sz w:val="20"/>
          <w:lang w:val="lv-LV"/>
        </w:rPr>
        <w:t xml:space="preserve"> </w:t>
      </w:r>
    </w:p>
    <w:p w:rsidR="004A6423" w:rsidRPr="00527E2A" w:rsidRDefault="004A6423" w:rsidP="005657DB"/>
    <w:sectPr w:rsidR="004A6423" w:rsidRPr="00527E2A" w:rsidSect="00340ACB">
      <w:headerReference w:type="default" r:id="rId9"/>
      <w:footerReference w:type="default" r:id="rId10"/>
      <w:footerReference w:type="first" r:id="rId11"/>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2A" w:rsidRDefault="00CB7A2A">
      <w:r>
        <w:separator/>
      </w:r>
    </w:p>
  </w:endnote>
  <w:endnote w:type="continuationSeparator" w:id="0">
    <w:p w:rsidR="00CB7A2A" w:rsidRDefault="00CB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00" w:rsidRPr="00C56E00" w:rsidRDefault="0034159B" w:rsidP="00C56E00">
    <w:pPr>
      <w:jc w:val="both"/>
      <w:rPr>
        <w:bCs/>
        <w:sz w:val="20"/>
        <w:lang w:val="lv-LV"/>
      </w:rPr>
    </w:pPr>
    <w:r w:rsidRPr="00C56E00">
      <w:rPr>
        <w:sz w:val="20"/>
      </w:rPr>
      <w:fldChar w:fldCharType="begin"/>
    </w:r>
    <w:r w:rsidRPr="00C56E00">
      <w:rPr>
        <w:sz w:val="20"/>
      </w:rPr>
      <w:instrText xml:space="preserve"> FILENAME  \* MERGEFORMAT </w:instrText>
    </w:r>
    <w:r w:rsidRPr="00C56E00">
      <w:rPr>
        <w:sz w:val="20"/>
      </w:rPr>
      <w:fldChar w:fldCharType="separate"/>
    </w:r>
    <w:r w:rsidR="0022405F">
      <w:rPr>
        <w:noProof/>
        <w:sz w:val="20"/>
      </w:rPr>
      <w:t>EManot_260712_grozLBN208</w:t>
    </w:r>
    <w:r w:rsidRPr="00C56E00">
      <w:rPr>
        <w:noProof/>
        <w:sz w:val="20"/>
      </w:rPr>
      <w:fldChar w:fldCharType="end"/>
    </w:r>
    <w:r w:rsidR="00C56E00" w:rsidRPr="00C56E00">
      <w:rPr>
        <w:noProof/>
        <w:sz w:val="20"/>
      </w:rPr>
      <w:t xml:space="preserve">;  </w:t>
    </w:r>
    <w:r w:rsidR="00C56E00" w:rsidRPr="00C56E00">
      <w:rPr>
        <w:sz w:val="20"/>
        <w:lang w:val="lv-LV"/>
      </w:rPr>
      <w:t xml:space="preserve">Ministru kabineta noteikumu projekta „Grozījumi Ministru kabineta 2008. gada 21.jūlija noteikumos Nr.567 „Noteikumi par Latvijas būvnormatīvu LBN 208-08 „Publiskas ēkas un būves””” sākotnējās ietekmes novērtējuma </w:t>
    </w:r>
    <w:smartTag w:uri="schemas-tilde-lv/tildestengine" w:element="veidnes">
      <w:smartTagPr>
        <w:attr w:name="text" w:val="ziņojums"/>
        <w:attr w:name="baseform" w:val="ziņojums"/>
        <w:attr w:name="id" w:val="-1"/>
      </w:smartTagPr>
      <w:r w:rsidR="00C56E00" w:rsidRPr="00C56E00">
        <w:rPr>
          <w:sz w:val="20"/>
          <w:lang w:val="lv-LV"/>
        </w:rPr>
        <w:t>ziņojums</w:t>
      </w:r>
    </w:smartTag>
    <w:r w:rsidR="00C56E00" w:rsidRPr="00C56E00">
      <w:rPr>
        <w:sz w:val="20"/>
        <w:lang w:val="lv-LV"/>
      </w:rPr>
      <w:t xml:space="preserve"> (</w:t>
    </w:r>
    <w:r w:rsidR="00C56E00" w:rsidRPr="00C56E00">
      <w:rPr>
        <w:bCs/>
        <w:sz w:val="20"/>
        <w:lang w:val="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CB" w:rsidRPr="00C56E00" w:rsidRDefault="00340ACB" w:rsidP="00340ACB">
    <w:pPr>
      <w:jc w:val="both"/>
      <w:rPr>
        <w:bCs/>
        <w:sz w:val="20"/>
        <w:lang w:val="lv-LV"/>
      </w:rPr>
    </w:pPr>
    <w:r w:rsidRPr="00C56E00">
      <w:rPr>
        <w:sz w:val="20"/>
      </w:rPr>
      <w:fldChar w:fldCharType="begin"/>
    </w:r>
    <w:r w:rsidRPr="00C56E00">
      <w:rPr>
        <w:sz w:val="20"/>
      </w:rPr>
      <w:instrText xml:space="preserve"> FILENAME  \* MERGEFORMAT </w:instrText>
    </w:r>
    <w:r w:rsidRPr="00C56E00">
      <w:rPr>
        <w:sz w:val="20"/>
      </w:rPr>
      <w:fldChar w:fldCharType="separate"/>
    </w:r>
    <w:r w:rsidR="0022405F">
      <w:rPr>
        <w:noProof/>
        <w:sz w:val="20"/>
      </w:rPr>
      <w:t>EManot_260712_grozLBN208</w:t>
    </w:r>
    <w:r w:rsidRPr="00C56E00">
      <w:rPr>
        <w:noProof/>
        <w:sz w:val="20"/>
      </w:rPr>
      <w:fldChar w:fldCharType="end"/>
    </w:r>
    <w:proofErr w:type="gramStart"/>
    <w:r w:rsidRPr="00C56E00">
      <w:rPr>
        <w:noProof/>
        <w:sz w:val="20"/>
      </w:rPr>
      <w:t xml:space="preserve">; </w:t>
    </w:r>
    <w:r w:rsidR="009166EB">
      <w:rPr>
        <w:noProof/>
        <w:sz w:val="20"/>
      </w:rPr>
      <w:t xml:space="preserve"> </w:t>
    </w:r>
    <w:r w:rsidRPr="00C56E00">
      <w:rPr>
        <w:sz w:val="20"/>
        <w:lang w:val="lv-LV"/>
      </w:rPr>
      <w:t>Ministru</w:t>
    </w:r>
    <w:proofErr w:type="gramEnd"/>
    <w:r w:rsidRPr="00C56E00">
      <w:rPr>
        <w:sz w:val="20"/>
        <w:lang w:val="lv-LV"/>
      </w:rPr>
      <w:t xml:space="preserve"> kabineta noteikumu projekta „Grozījumi Ministru kabineta 2008. gada 21.jūlija noteikumos Nr.567 „Noteikumi par Latvijas būvnormatīvu LBN 208-08 „Publiskas ēkas un būves””” sākotnējās ietekmes novērtējuma </w:t>
    </w:r>
    <w:smartTag w:uri="schemas-tilde-lv/tildestengine" w:element="veidnes">
      <w:smartTagPr>
        <w:attr w:name="text" w:val="ziņojums"/>
        <w:attr w:name="baseform" w:val="ziņojums"/>
        <w:attr w:name="id" w:val="-1"/>
      </w:smartTagPr>
      <w:r w:rsidRPr="00C56E00">
        <w:rPr>
          <w:sz w:val="20"/>
          <w:lang w:val="lv-LV"/>
        </w:rPr>
        <w:t>ziņojums</w:t>
      </w:r>
    </w:smartTag>
    <w:r w:rsidRPr="00C56E00">
      <w:rPr>
        <w:sz w:val="20"/>
        <w:lang w:val="lv-LV"/>
      </w:rPr>
      <w:t xml:space="preserve"> (</w:t>
    </w:r>
    <w:r w:rsidRPr="00C56E00">
      <w:rPr>
        <w:bCs/>
        <w:sz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2A" w:rsidRDefault="00CB7A2A">
      <w:r>
        <w:separator/>
      </w:r>
    </w:p>
  </w:footnote>
  <w:footnote w:type="continuationSeparator" w:id="0">
    <w:p w:rsidR="00CB7A2A" w:rsidRDefault="00CB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731577"/>
      <w:docPartObj>
        <w:docPartGallery w:val="Page Numbers (Top of Page)"/>
        <w:docPartUnique/>
      </w:docPartObj>
    </w:sdtPr>
    <w:sdtEndPr>
      <w:rPr>
        <w:noProof/>
      </w:rPr>
    </w:sdtEndPr>
    <w:sdtContent>
      <w:p w:rsidR="00340ACB" w:rsidRDefault="00340ACB">
        <w:pPr>
          <w:pStyle w:val="Header"/>
          <w:jc w:val="center"/>
        </w:pPr>
        <w:r>
          <w:fldChar w:fldCharType="begin"/>
        </w:r>
        <w:r>
          <w:instrText xml:space="preserve"> PAGE   \* MERGEFORMAT </w:instrText>
        </w:r>
        <w:r>
          <w:fldChar w:fldCharType="separate"/>
        </w:r>
        <w:r w:rsidR="006B400B">
          <w:rPr>
            <w:noProof/>
          </w:rPr>
          <w:t>6</w:t>
        </w:r>
        <w:r>
          <w:rPr>
            <w:noProof/>
          </w:rPr>
          <w:fldChar w:fldCharType="end"/>
        </w:r>
      </w:p>
    </w:sdtContent>
  </w:sdt>
  <w:p w:rsidR="00340ACB" w:rsidRDefault="00340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A8"/>
    <w:rsid w:val="000232FB"/>
    <w:rsid w:val="000617CD"/>
    <w:rsid w:val="001601D9"/>
    <w:rsid w:val="00165135"/>
    <w:rsid w:val="001F02F9"/>
    <w:rsid w:val="0022405F"/>
    <w:rsid w:val="0022436F"/>
    <w:rsid w:val="0024115A"/>
    <w:rsid w:val="00290682"/>
    <w:rsid w:val="002D2122"/>
    <w:rsid w:val="00340ACB"/>
    <w:rsid w:val="0034159B"/>
    <w:rsid w:val="00353657"/>
    <w:rsid w:val="00380285"/>
    <w:rsid w:val="003D5665"/>
    <w:rsid w:val="003F4256"/>
    <w:rsid w:val="004012FB"/>
    <w:rsid w:val="0046240F"/>
    <w:rsid w:val="0046265E"/>
    <w:rsid w:val="004A0C89"/>
    <w:rsid w:val="004A6423"/>
    <w:rsid w:val="00514E45"/>
    <w:rsid w:val="00527E2A"/>
    <w:rsid w:val="0053266D"/>
    <w:rsid w:val="005657DB"/>
    <w:rsid w:val="00594146"/>
    <w:rsid w:val="00683E09"/>
    <w:rsid w:val="006B400B"/>
    <w:rsid w:val="00710ECA"/>
    <w:rsid w:val="007267A8"/>
    <w:rsid w:val="007320BF"/>
    <w:rsid w:val="00733A97"/>
    <w:rsid w:val="007750C6"/>
    <w:rsid w:val="007C30C5"/>
    <w:rsid w:val="00823FCB"/>
    <w:rsid w:val="008B199F"/>
    <w:rsid w:val="008C4F4E"/>
    <w:rsid w:val="008D2412"/>
    <w:rsid w:val="008E3C8C"/>
    <w:rsid w:val="008F5B6F"/>
    <w:rsid w:val="00902104"/>
    <w:rsid w:val="009166EB"/>
    <w:rsid w:val="00952FDC"/>
    <w:rsid w:val="00967791"/>
    <w:rsid w:val="00983DAD"/>
    <w:rsid w:val="00991F34"/>
    <w:rsid w:val="009B68FC"/>
    <w:rsid w:val="00A80EDE"/>
    <w:rsid w:val="00A81CEA"/>
    <w:rsid w:val="00AB0A58"/>
    <w:rsid w:val="00B26B54"/>
    <w:rsid w:val="00B44376"/>
    <w:rsid w:val="00BD71D7"/>
    <w:rsid w:val="00BE49AE"/>
    <w:rsid w:val="00BF01F0"/>
    <w:rsid w:val="00C56E00"/>
    <w:rsid w:val="00C924FD"/>
    <w:rsid w:val="00CA37DC"/>
    <w:rsid w:val="00CB0B46"/>
    <w:rsid w:val="00CB7A2A"/>
    <w:rsid w:val="00CE5CA5"/>
    <w:rsid w:val="00D26D4B"/>
    <w:rsid w:val="00D562D0"/>
    <w:rsid w:val="00DC2C4C"/>
    <w:rsid w:val="00DF3CF4"/>
    <w:rsid w:val="00E01BAD"/>
    <w:rsid w:val="00E25A39"/>
    <w:rsid w:val="00E32636"/>
    <w:rsid w:val="00E65051"/>
    <w:rsid w:val="00EE5D05"/>
    <w:rsid w:val="00F7270D"/>
    <w:rsid w:val="00FA0F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A8"/>
    <w:rPr>
      <w:szCs w:val="20"/>
      <w:lang w:val="en-AU"/>
    </w:rPr>
  </w:style>
  <w:style w:type="paragraph" w:styleId="Heading1">
    <w:name w:val="heading 1"/>
    <w:basedOn w:val="Normal"/>
    <w:next w:val="Normal"/>
    <w:link w:val="Heading1Char"/>
    <w:qFormat/>
    <w:rsid w:val="003D5665"/>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en-US"/>
    </w:rPr>
  </w:style>
  <w:style w:type="paragraph" w:styleId="Heading3">
    <w:name w:val="heading 3"/>
    <w:basedOn w:val="Normal"/>
    <w:next w:val="Normal"/>
    <w:link w:val="Heading3Char"/>
    <w:semiHidden/>
    <w:unhideWhenUsed/>
    <w:qFormat/>
    <w:rsid w:val="003D5665"/>
    <w:pPr>
      <w:keepNext/>
      <w:keepLines/>
      <w:spacing w:before="200"/>
      <w:outlineLvl w:val="2"/>
    </w:pPr>
    <w:rPr>
      <w:rFonts w:asciiTheme="majorHAnsi" w:eastAsiaTheme="majorEastAsia" w:hAnsiTheme="majorHAnsi" w:cstheme="majorBidi"/>
      <w:b/>
      <w:bCs/>
      <w:color w:val="4F81BD" w:themeColor="accent1"/>
      <w:sz w:val="26"/>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B54"/>
    <w:pPr>
      <w:tabs>
        <w:tab w:val="center" w:pos="4153"/>
        <w:tab w:val="right" w:pos="8306"/>
      </w:tabs>
    </w:pPr>
    <w:rPr>
      <w:sz w:val="26"/>
      <w:szCs w:val="24"/>
      <w:lang w:val="lv-LV" w:eastAsia="en-US"/>
    </w:rPr>
  </w:style>
  <w:style w:type="paragraph" w:styleId="Footer">
    <w:name w:val="footer"/>
    <w:basedOn w:val="Normal"/>
    <w:rsid w:val="00B26B54"/>
    <w:pPr>
      <w:tabs>
        <w:tab w:val="center" w:pos="4153"/>
        <w:tab w:val="right" w:pos="8306"/>
      </w:tabs>
    </w:pPr>
    <w:rPr>
      <w:sz w:val="26"/>
      <w:szCs w:val="24"/>
      <w:lang w:val="lv-LV" w:eastAsia="en-US"/>
    </w:rPr>
  </w:style>
  <w:style w:type="paragraph" w:styleId="Subtitle">
    <w:name w:val="Subtitle"/>
    <w:basedOn w:val="Normal"/>
    <w:next w:val="Normal"/>
    <w:link w:val="SubtitleChar"/>
    <w:qFormat/>
    <w:rsid w:val="003D5665"/>
    <w:pPr>
      <w:keepNext/>
      <w:keepLines/>
      <w:widowControl w:val="0"/>
      <w:suppressAutoHyphens/>
      <w:spacing w:before="600" w:after="600"/>
      <w:ind w:right="4820"/>
    </w:pPr>
    <w:rPr>
      <w:b/>
      <w:szCs w:val="24"/>
      <w:lang w:val="lv-LV" w:eastAsia="en-US"/>
    </w:rPr>
  </w:style>
  <w:style w:type="paragraph" w:styleId="BodyText">
    <w:name w:val="Body Text"/>
    <w:basedOn w:val="Normal"/>
    <w:rsid w:val="00B26B54"/>
    <w:pPr>
      <w:widowControl w:val="0"/>
      <w:spacing w:before="60" w:after="60"/>
    </w:pPr>
    <w:rPr>
      <w:sz w:val="20"/>
      <w:szCs w:val="24"/>
      <w:lang w:val="lv-LV" w:eastAsia="en-US"/>
    </w:rPr>
  </w:style>
  <w:style w:type="character" w:customStyle="1" w:styleId="Heading1Char">
    <w:name w:val="Heading 1 Char"/>
    <w:basedOn w:val="DefaultParagraphFont"/>
    <w:link w:val="Heading1"/>
    <w:rsid w:val="003D566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3D5665"/>
    <w:rPr>
      <w:rFonts w:asciiTheme="majorHAnsi" w:eastAsiaTheme="majorEastAsia" w:hAnsiTheme="majorHAnsi" w:cstheme="majorBidi"/>
      <w:b/>
      <w:bCs/>
      <w:color w:val="4F81BD" w:themeColor="accent1"/>
      <w:sz w:val="26"/>
      <w:lang w:eastAsia="en-US"/>
    </w:rPr>
  </w:style>
  <w:style w:type="character" w:customStyle="1" w:styleId="SubtitleChar">
    <w:name w:val="Subtitle Char"/>
    <w:basedOn w:val="DefaultParagraphFont"/>
    <w:link w:val="Subtitle"/>
    <w:rsid w:val="003D5665"/>
    <w:rPr>
      <w:b/>
      <w:lang w:eastAsia="en-US"/>
    </w:rPr>
  </w:style>
  <w:style w:type="character" w:styleId="Strong">
    <w:name w:val="Strong"/>
    <w:basedOn w:val="DefaultParagraphFont"/>
    <w:qFormat/>
    <w:rsid w:val="003D5665"/>
    <w:rPr>
      <w:b/>
      <w:bCs/>
    </w:rPr>
  </w:style>
  <w:style w:type="character" w:styleId="Emphasis">
    <w:name w:val="Emphasis"/>
    <w:basedOn w:val="DefaultParagraphFont"/>
    <w:qFormat/>
    <w:rsid w:val="003D5665"/>
    <w:rPr>
      <w:i/>
      <w:iCs/>
    </w:rPr>
  </w:style>
  <w:style w:type="paragraph" w:styleId="ListParagraph">
    <w:name w:val="List Paragraph"/>
    <w:basedOn w:val="Normal"/>
    <w:uiPriority w:val="34"/>
    <w:qFormat/>
    <w:rsid w:val="003D5665"/>
    <w:pPr>
      <w:ind w:left="720"/>
      <w:contextualSpacing/>
    </w:pPr>
    <w:rPr>
      <w:sz w:val="26"/>
      <w:szCs w:val="24"/>
      <w:lang w:val="lv-LV" w:eastAsia="en-US"/>
    </w:rPr>
  </w:style>
  <w:style w:type="paragraph" w:customStyle="1" w:styleId="naisf">
    <w:name w:val="naisf"/>
    <w:basedOn w:val="Normal"/>
    <w:rsid w:val="007267A8"/>
    <w:pPr>
      <w:spacing w:before="100" w:after="100"/>
    </w:pPr>
    <w:rPr>
      <w:lang w:val="lv-LV"/>
    </w:rPr>
  </w:style>
  <w:style w:type="character" w:styleId="Hyperlink">
    <w:name w:val="Hyperlink"/>
    <w:basedOn w:val="DefaultParagraphFont"/>
    <w:rsid w:val="007267A8"/>
    <w:rPr>
      <w:color w:val="0000FF"/>
      <w:u w:val="single"/>
    </w:rPr>
  </w:style>
  <w:style w:type="paragraph" w:customStyle="1" w:styleId="naiskr">
    <w:name w:val="naiskr"/>
    <w:basedOn w:val="Normal"/>
    <w:rsid w:val="007267A8"/>
    <w:pPr>
      <w:spacing w:before="75" w:after="75"/>
    </w:pPr>
    <w:rPr>
      <w:szCs w:val="24"/>
      <w:lang w:val="lv-LV"/>
    </w:rPr>
  </w:style>
  <w:style w:type="paragraph" w:customStyle="1" w:styleId="naisnod">
    <w:name w:val="naisnod"/>
    <w:basedOn w:val="Normal"/>
    <w:rsid w:val="007267A8"/>
    <w:pPr>
      <w:spacing w:before="150" w:after="150"/>
      <w:jc w:val="center"/>
    </w:pPr>
    <w:rPr>
      <w:b/>
      <w:bCs/>
      <w:szCs w:val="24"/>
      <w:lang w:val="lv-LV"/>
    </w:rPr>
  </w:style>
  <w:style w:type="paragraph" w:styleId="BalloonText">
    <w:name w:val="Balloon Text"/>
    <w:basedOn w:val="Normal"/>
    <w:link w:val="BalloonTextChar"/>
    <w:rsid w:val="007267A8"/>
    <w:rPr>
      <w:rFonts w:ascii="Tahoma" w:hAnsi="Tahoma" w:cs="Tahoma"/>
      <w:sz w:val="16"/>
      <w:szCs w:val="16"/>
    </w:rPr>
  </w:style>
  <w:style w:type="character" w:customStyle="1" w:styleId="BalloonTextChar">
    <w:name w:val="Balloon Text Char"/>
    <w:basedOn w:val="DefaultParagraphFont"/>
    <w:link w:val="BalloonText"/>
    <w:rsid w:val="007267A8"/>
    <w:rPr>
      <w:rFonts w:ascii="Tahoma" w:hAnsi="Tahoma" w:cs="Tahoma"/>
      <w:sz w:val="16"/>
      <w:szCs w:val="16"/>
      <w:lang w:val="en-AU"/>
    </w:rPr>
  </w:style>
  <w:style w:type="character" w:customStyle="1" w:styleId="HeaderChar">
    <w:name w:val="Header Char"/>
    <w:basedOn w:val="DefaultParagraphFont"/>
    <w:link w:val="Header"/>
    <w:uiPriority w:val="99"/>
    <w:rsid w:val="00340ACB"/>
    <w:rPr>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A8"/>
    <w:rPr>
      <w:szCs w:val="20"/>
      <w:lang w:val="en-AU"/>
    </w:rPr>
  </w:style>
  <w:style w:type="paragraph" w:styleId="Heading1">
    <w:name w:val="heading 1"/>
    <w:basedOn w:val="Normal"/>
    <w:next w:val="Normal"/>
    <w:link w:val="Heading1Char"/>
    <w:qFormat/>
    <w:rsid w:val="003D5665"/>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en-US"/>
    </w:rPr>
  </w:style>
  <w:style w:type="paragraph" w:styleId="Heading3">
    <w:name w:val="heading 3"/>
    <w:basedOn w:val="Normal"/>
    <w:next w:val="Normal"/>
    <w:link w:val="Heading3Char"/>
    <w:semiHidden/>
    <w:unhideWhenUsed/>
    <w:qFormat/>
    <w:rsid w:val="003D5665"/>
    <w:pPr>
      <w:keepNext/>
      <w:keepLines/>
      <w:spacing w:before="200"/>
      <w:outlineLvl w:val="2"/>
    </w:pPr>
    <w:rPr>
      <w:rFonts w:asciiTheme="majorHAnsi" w:eastAsiaTheme="majorEastAsia" w:hAnsiTheme="majorHAnsi" w:cstheme="majorBidi"/>
      <w:b/>
      <w:bCs/>
      <w:color w:val="4F81BD" w:themeColor="accent1"/>
      <w:sz w:val="26"/>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B54"/>
    <w:pPr>
      <w:tabs>
        <w:tab w:val="center" w:pos="4153"/>
        <w:tab w:val="right" w:pos="8306"/>
      </w:tabs>
    </w:pPr>
    <w:rPr>
      <w:sz w:val="26"/>
      <w:szCs w:val="24"/>
      <w:lang w:val="lv-LV" w:eastAsia="en-US"/>
    </w:rPr>
  </w:style>
  <w:style w:type="paragraph" w:styleId="Footer">
    <w:name w:val="footer"/>
    <w:basedOn w:val="Normal"/>
    <w:rsid w:val="00B26B54"/>
    <w:pPr>
      <w:tabs>
        <w:tab w:val="center" w:pos="4153"/>
        <w:tab w:val="right" w:pos="8306"/>
      </w:tabs>
    </w:pPr>
    <w:rPr>
      <w:sz w:val="26"/>
      <w:szCs w:val="24"/>
      <w:lang w:val="lv-LV" w:eastAsia="en-US"/>
    </w:rPr>
  </w:style>
  <w:style w:type="paragraph" w:styleId="Subtitle">
    <w:name w:val="Subtitle"/>
    <w:basedOn w:val="Normal"/>
    <w:next w:val="Normal"/>
    <w:link w:val="SubtitleChar"/>
    <w:qFormat/>
    <w:rsid w:val="003D5665"/>
    <w:pPr>
      <w:keepNext/>
      <w:keepLines/>
      <w:widowControl w:val="0"/>
      <w:suppressAutoHyphens/>
      <w:spacing w:before="600" w:after="600"/>
      <w:ind w:right="4820"/>
    </w:pPr>
    <w:rPr>
      <w:b/>
      <w:szCs w:val="24"/>
      <w:lang w:val="lv-LV" w:eastAsia="en-US"/>
    </w:rPr>
  </w:style>
  <w:style w:type="paragraph" w:styleId="BodyText">
    <w:name w:val="Body Text"/>
    <w:basedOn w:val="Normal"/>
    <w:rsid w:val="00B26B54"/>
    <w:pPr>
      <w:widowControl w:val="0"/>
      <w:spacing w:before="60" w:after="60"/>
    </w:pPr>
    <w:rPr>
      <w:sz w:val="20"/>
      <w:szCs w:val="24"/>
      <w:lang w:val="lv-LV" w:eastAsia="en-US"/>
    </w:rPr>
  </w:style>
  <w:style w:type="character" w:customStyle="1" w:styleId="Heading1Char">
    <w:name w:val="Heading 1 Char"/>
    <w:basedOn w:val="DefaultParagraphFont"/>
    <w:link w:val="Heading1"/>
    <w:rsid w:val="003D566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3D5665"/>
    <w:rPr>
      <w:rFonts w:asciiTheme="majorHAnsi" w:eastAsiaTheme="majorEastAsia" w:hAnsiTheme="majorHAnsi" w:cstheme="majorBidi"/>
      <w:b/>
      <w:bCs/>
      <w:color w:val="4F81BD" w:themeColor="accent1"/>
      <w:sz w:val="26"/>
      <w:lang w:eastAsia="en-US"/>
    </w:rPr>
  </w:style>
  <w:style w:type="character" w:customStyle="1" w:styleId="SubtitleChar">
    <w:name w:val="Subtitle Char"/>
    <w:basedOn w:val="DefaultParagraphFont"/>
    <w:link w:val="Subtitle"/>
    <w:rsid w:val="003D5665"/>
    <w:rPr>
      <w:b/>
      <w:lang w:eastAsia="en-US"/>
    </w:rPr>
  </w:style>
  <w:style w:type="character" w:styleId="Strong">
    <w:name w:val="Strong"/>
    <w:basedOn w:val="DefaultParagraphFont"/>
    <w:qFormat/>
    <w:rsid w:val="003D5665"/>
    <w:rPr>
      <w:b/>
      <w:bCs/>
    </w:rPr>
  </w:style>
  <w:style w:type="character" w:styleId="Emphasis">
    <w:name w:val="Emphasis"/>
    <w:basedOn w:val="DefaultParagraphFont"/>
    <w:qFormat/>
    <w:rsid w:val="003D5665"/>
    <w:rPr>
      <w:i/>
      <w:iCs/>
    </w:rPr>
  </w:style>
  <w:style w:type="paragraph" w:styleId="ListParagraph">
    <w:name w:val="List Paragraph"/>
    <w:basedOn w:val="Normal"/>
    <w:uiPriority w:val="34"/>
    <w:qFormat/>
    <w:rsid w:val="003D5665"/>
    <w:pPr>
      <w:ind w:left="720"/>
      <w:contextualSpacing/>
    </w:pPr>
    <w:rPr>
      <w:sz w:val="26"/>
      <w:szCs w:val="24"/>
      <w:lang w:val="lv-LV" w:eastAsia="en-US"/>
    </w:rPr>
  </w:style>
  <w:style w:type="paragraph" w:customStyle="1" w:styleId="naisf">
    <w:name w:val="naisf"/>
    <w:basedOn w:val="Normal"/>
    <w:rsid w:val="007267A8"/>
    <w:pPr>
      <w:spacing w:before="100" w:after="100"/>
    </w:pPr>
    <w:rPr>
      <w:lang w:val="lv-LV"/>
    </w:rPr>
  </w:style>
  <w:style w:type="character" w:styleId="Hyperlink">
    <w:name w:val="Hyperlink"/>
    <w:basedOn w:val="DefaultParagraphFont"/>
    <w:rsid w:val="007267A8"/>
    <w:rPr>
      <w:color w:val="0000FF"/>
      <w:u w:val="single"/>
    </w:rPr>
  </w:style>
  <w:style w:type="paragraph" w:customStyle="1" w:styleId="naiskr">
    <w:name w:val="naiskr"/>
    <w:basedOn w:val="Normal"/>
    <w:rsid w:val="007267A8"/>
    <w:pPr>
      <w:spacing w:before="75" w:after="75"/>
    </w:pPr>
    <w:rPr>
      <w:szCs w:val="24"/>
      <w:lang w:val="lv-LV"/>
    </w:rPr>
  </w:style>
  <w:style w:type="paragraph" w:customStyle="1" w:styleId="naisnod">
    <w:name w:val="naisnod"/>
    <w:basedOn w:val="Normal"/>
    <w:rsid w:val="007267A8"/>
    <w:pPr>
      <w:spacing w:before="150" w:after="150"/>
      <w:jc w:val="center"/>
    </w:pPr>
    <w:rPr>
      <w:b/>
      <w:bCs/>
      <w:szCs w:val="24"/>
      <w:lang w:val="lv-LV"/>
    </w:rPr>
  </w:style>
  <w:style w:type="paragraph" w:styleId="BalloonText">
    <w:name w:val="Balloon Text"/>
    <w:basedOn w:val="Normal"/>
    <w:link w:val="BalloonTextChar"/>
    <w:rsid w:val="007267A8"/>
    <w:rPr>
      <w:rFonts w:ascii="Tahoma" w:hAnsi="Tahoma" w:cs="Tahoma"/>
      <w:sz w:val="16"/>
      <w:szCs w:val="16"/>
    </w:rPr>
  </w:style>
  <w:style w:type="character" w:customStyle="1" w:styleId="BalloonTextChar">
    <w:name w:val="Balloon Text Char"/>
    <w:basedOn w:val="DefaultParagraphFont"/>
    <w:link w:val="BalloonText"/>
    <w:rsid w:val="007267A8"/>
    <w:rPr>
      <w:rFonts w:ascii="Tahoma" w:hAnsi="Tahoma" w:cs="Tahoma"/>
      <w:sz w:val="16"/>
      <w:szCs w:val="16"/>
      <w:lang w:val="en-AU"/>
    </w:rPr>
  </w:style>
  <w:style w:type="character" w:customStyle="1" w:styleId="HeaderChar">
    <w:name w:val="Header Char"/>
    <w:basedOn w:val="DefaultParagraphFont"/>
    <w:link w:val="Header"/>
    <w:uiPriority w:val="99"/>
    <w:rsid w:val="00340ACB"/>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BA55-CFE0-49B3-A0F7-38554B2E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1365</Words>
  <Characters>9218</Characters>
  <Application>Microsoft Office Word</Application>
  <DocSecurity>0</DocSecurity>
  <Lines>354</Lines>
  <Paragraphs>143</Paragraphs>
  <ScaleCrop>false</ScaleCrop>
  <HeadingPairs>
    <vt:vector size="2" baseType="variant">
      <vt:variant>
        <vt:lpstr>Title</vt:lpstr>
      </vt:variant>
      <vt:variant>
        <vt:i4>1</vt:i4>
      </vt:variant>
    </vt:vector>
  </HeadingPairs>
  <TitlesOfParts>
    <vt:vector size="1" baseType="lpstr">
      <vt:lpstr>Grozījumi MK 21.07.2008. noteikumos Nr.567 "Noteikumi par Latvijas būvnormatīvu LBN 208-08 "Publiskas ēkas un būves""</vt:lpstr>
    </vt:vector>
  </TitlesOfParts>
  <Company>LR Ekonomikas ministrija</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21.07.2008. noteikumos Nr.567 "Noteikumi par Latvijas būvnormatīvu LBN 208-08 "Publiskas ēkas un būves""</dc:title>
  <dc:subject>Anotācija</dc:subject>
  <dc:creator>Elga Bučinska</dc:creator>
  <cp:keywords/>
  <dc:description>67013032,  Elga.Bucinska@em.gov.lv</dc:description>
  <cp:lastModifiedBy>Elga Bučinska</cp:lastModifiedBy>
  <cp:revision>32</cp:revision>
  <dcterms:created xsi:type="dcterms:W3CDTF">2012-04-20T11:57:00Z</dcterms:created>
  <dcterms:modified xsi:type="dcterms:W3CDTF">2012-07-27T06:42:00Z</dcterms:modified>
</cp:coreProperties>
</file>