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50" w:rsidRPr="0074451C" w:rsidRDefault="00435B50" w:rsidP="00435B50">
      <w:pPr>
        <w:pStyle w:val="naisnod"/>
        <w:spacing w:before="0" w:after="0"/>
      </w:pPr>
      <w:r w:rsidRPr="0074451C">
        <w:t>Ministru kabineta noteikumu projekta</w:t>
      </w:r>
    </w:p>
    <w:p w:rsidR="00435B50" w:rsidRPr="0074451C" w:rsidRDefault="00435B50" w:rsidP="00435B50">
      <w:pPr>
        <w:pStyle w:val="naisnod"/>
        <w:spacing w:before="0" w:after="0"/>
      </w:pPr>
      <w:r w:rsidRPr="0074451C">
        <w:t>„Grozījumi Ministru kabineta 1999. gada 15.jūnija noteikumos Nr.214</w:t>
      </w:r>
    </w:p>
    <w:p w:rsidR="00435B50" w:rsidRPr="0074451C" w:rsidRDefault="00435B50" w:rsidP="00435B50">
      <w:pPr>
        <w:pStyle w:val="naisnod"/>
        <w:spacing w:before="0" w:after="0"/>
      </w:pPr>
      <w:r w:rsidRPr="0074451C">
        <w:t>„Noteikumi par Latvijas būvnormatīvu LBN 223-99</w:t>
      </w:r>
    </w:p>
    <w:p w:rsidR="00435B50" w:rsidRPr="0074451C" w:rsidRDefault="00435B50" w:rsidP="00435B50">
      <w:pPr>
        <w:pStyle w:val="naisnod"/>
        <w:spacing w:before="0" w:after="0"/>
      </w:pPr>
      <w:r w:rsidRPr="0074451C">
        <w:t>„Kanalizācijas ārējie tīkli un būves”””</w:t>
      </w:r>
    </w:p>
    <w:p w:rsidR="00435B50" w:rsidRPr="0074451C" w:rsidRDefault="00435B50" w:rsidP="00435B50">
      <w:pPr>
        <w:pStyle w:val="naisnod"/>
        <w:spacing w:before="0" w:after="0"/>
      </w:pPr>
      <w:r w:rsidRPr="0074451C">
        <w:t xml:space="preserve">sākotnējās ietekmes novērtējuma </w:t>
      </w:r>
      <w:smartTag w:uri="schemas-tilde-lv/tildestengine" w:element="veidnes">
        <w:smartTagPr>
          <w:attr w:name="text" w:val="ziņojums"/>
          <w:attr w:name="baseform" w:val="ziņojums"/>
          <w:attr w:name="id" w:val="-1"/>
        </w:smartTagPr>
        <w:r w:rsidRPr="0074451C">
          <w:t>ziņojums</w:t>
        </w:r>
      </w:smartTag>
      <w:r w:rsidRPr="0074451C">
        <w:t xml:space="preserve"> (anotācija)</w:t>
      </w:r>
    </w:p>
    <w:p w:rsidR="00435B50" w:rsidRPr="0074451C" w:rsidRDefault="00435B50" w:rsidP="00435B50">
      <w:pPr>
        <w:pStyle w:val="naisc"/>
      </w:pPr>
      <w:r w:rsidRPr="0074451C">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6"/>
        <w:gridCol w:w="4029"/>
        <w:gridCol w:w="4546"/>
      </w:tblGrid>
      <w:tr w:rsidR="00435B50" w:rsidRPr="0074451C" w:rsidTr="009F28E0">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tcPr>
          <w:p w:rsidR="00435B50" w:rsidRPr="0074451C" w:rsidRDefault="00435B50" w:rsidP="009F28E0">
            <w:pPr>
              <w:pStyle w:val="naisc"/>
            </w:pPr>
            <w:r w:rsidRPr="0074451C">
              <w:rPr>
                <w:b/>
                <w:bCs/>
              </w:rPr>
              <w:t> I. Tiesību akta projekta izstrādes nepieciešamība</w:t>
            </w:r>
          </w:p>
        </w:tc>
      </w:tr>
      <w:tr w:rsidR="00435B50" w:rsidRPr="0074451C" w:rsidTr="009F28E0">
        <w:trPr>
          <w:trHeight w:val="630"/>
          <w:tblCellSpacing w:w="0" w:type="dxa"/>
        </w:trPr>
        <w:tc>
          <w:tcPr>
            <w:tcW w:w="55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1.</w:t>
            </w:r>
          </w:p>
        </w:tc>
        <w:tc>
          <w:tcPr>
            <w:tcW w:w="432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lab"/>
              <w:spacing w:before="0" w:after="0"/>
              <w:ind w:left="113" w:right="113"/>
              <w:jc w:val="both"/>
            </w:pPr>
            <w:r w:rsidRPr="0074451C">
              <w:t> Pamatojums</w:t>
            </w:r>
          </w:p>
        </w:tc>
        <w:tc>
          <w:tcPr>
            <w:tcW w:w="486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xml:space="preserve">Būvniecības likuma 2.panta ceturtā daļa nosaka, ka Būvniecības likuma izpildei Ministru kabinets izdod Vispārīgos būvnoteikumus, būvnormatīvus un citus normatīvos aktus. </w:t>
            </w:r>
          </w:p>
          <w:p w:rsidR="00435B50" w:rsidRPr="0074451C" w:rsidRDefault="00435B50" w:rsidP="009F28E0">
            <w:pPr>
              <w:pStyle w:val="naiskr"/>
              <w:spacing w:before="0" w:after="0"/>
              <w:ind w:left="113" w:right="113"/>
              <w:jc w:val="both"/>
            </w:pPr>
          </w:p>
        </w:tc>
      </w:tr>
      <w:tr w:rsidR="00435B50" w:rsidRPr="0074451C" w:rsidTr="009F28E0">
        <w:trPr>
          <w:trHeight w:val="472"/>
          <w:tblCellSpacing w:w="0" w:type="dxa"/>
        </w:trPr>
        <w:tc>
          <w:tcPr>
            <w:tcW w:w="55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2.</w:t>
            </w:r>
          </w:p>
        </w:tc>
        <w:tc>
          <w:tcPr>
            <w:tcW w:w="432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Pašreizējā situācija un problēmas</w:t>
            </w:r>
          </w:p>
        </w:tc>
        <w:tc>
          <w:tcPr>
            <w:tcW w:w="486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rPr>
                <w:u w:val="single"/>
              </w:rPr>
            </w:pPr>
            <w:r w:rsidRPr="0074451C">
              <w:t xml:space="preserve">Tā kā pēdējo gadu laikā ir veiktas izmaiņas vairākos ar kanalizācijas jomas saistītos reglamentējošos normatīvos aktos, kā arī būvmateriālu tirgū tiek piedāvāti būvizstrādājumi no dažādiem materiāliem, līdz ar to ir nepieciešams veikt attiecīgus precizējumus </w:t>
            </w:r>
            <w:r w:rsidRPr="0074451C">
              <w:rPr>
                <w:u w:val="single"/>
              </w:rPr>
              <w:t>Latvijas būvnormatīvā LBN 223-99 „Kanalizācijas ārējie tīkli un būves” (apstiprināts ar 1999.gada 15.jūnija Ministru kabineta noteikumiem Nr.214).</w:t>
            </w:r>
          </w:p>
          <w:p w:rsidR="00435B50" w:rsidRPr="0074451C" w:rsidRDefault="00435B50" w:rsidP="009F28E0">
            <w:pPr>
              <w:pStyle w:val="naiskr"/>
              <w:spacing w:before="0" w:after="0"/>
              <w:ind w:left="113" w:right="113"/>
              <w:jc w:val="both"/>
            </w:pPr>
          </w:p>
        </w:tc>
      </w:tr>
      <w:tr w:rsidR="00435B50" w:rsidRPr="0074451C" w:rsidTr="009F28E0">
        <w:trPr>
          <w:trHeight w:val="733"/>
          <w:tblCellSpacing w:w="0" w:type="dxa"/>
        </w:trPr>
        <w:tc>
          <w:tcPr>
            <w:tcW w:w="55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3.</w:t>
            </w:r>
          </w:p>
        </w:tc>
        <w:tc>
          <w:tcPr>
            <w:tcW w:w="432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Saistītie politikas ietekmes novērtējumi un pētījumi</w:t>
            </w:r>
          </w:p>
        </w:tc>
        <w:tc>
          <w:tcPr>
            <w:tcW w:w="486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Nav attiecināms</w:t>
            </w:r>
          </w:p>
        </w:tc>
      </w:tr>
      <w:tr w:rsidR="00435B50" w:rsidRPr="0074451C" w:rsidTr="009F28E0">
        <w:trPr>
          <w:trHeight w:val="384"/>
          <w:tblCellSpacing w:w="0" w:type="dxa"/>
        </w:trPr>
        <w:tc>
          <w:tcPr>
            <w:tcW w:w="55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4.</w:t>
            </w:r>
          </w:p>
        </w:tc>
        <w:tc>
          <w:tcPr>
            <w:tcW w:w="432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Tiesiskā regulējuma mērķis un būtība</w:t>
            </w:r>
          </w:p>
        </w:tc>
        <w:tc>
          <w:tcPr>
            <w:tcW w:w="486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t xml:space="preserve">Noteikumu projektā precizēti vairāki punkti, nosakot, kuros gadījumos ir svarīgs cauruļvadu iekšējais diametrs, kā arī </w:t>
            </w:r>
            <w:r w:rsidRPr="0074451C">
              <w:rPr>
                <w:u w:val="single"/>
              </w:rPr>
              <w:t>redakcionāli precizēti vairāki punkti, nosakot vispārīgas atsauces uz normatīvajiem aktiem, kuri risina attiecīgo jautājumu,</w:t>
            </w:r>
            <w:r w:rsidRPr="0074451C">
              <w:t xml:space="preserve"> </w:t>
            </w:r>
            <w:r w:rsidRPr="0074451C">
              <w:rPr>
                <w:u w:val="single"/>
              </w:rPr>
              <w:t xml:space="preserve">izņemot 122., 171. un 192.punkts. </w:t>
            </w:r>
          </w:p>
          <w:p w:rsidR="00435B50" w:rsidRPr="0074451C" w:rsidRDefault="00435B50" w:rsidP="009F28E0">
            <w:pPr>
              <w:ind w:left="113" w:right="113"/>
              <w:jc w:val="both"/>
              <w:rPr>
                <w:u w:val="single"/>
              </w:rPr>
            </w:pPr>
            <w:r w:rsidRPr="0074451C">
              <w:rPr>
                <w:u w:val="single"/>
              </w:rPr>
              <w:t xml:space="preserve">Noteikumu projektā ir precizētas atsauces uz apdzīvoto vietu kanalizācijas sistēmu izbūvi un notekūdeņu nogulšņu apstrādes ietaisēm, tā kā šajā laikā ir izdoti vai precizēti normatīvie akti, kas attiecas uz šīm jomām.   </w:t>
            </w:r>
          </w:p>
          <w:p w:rsidR="00435B50" w:rsidRPr="0074451C" w:rsidRDefault="00435B50" w:rsidP="009F28E0">
            <w:pPr>
              <w:ind w:left="113" w:right="113"/>
              <w:jc w:val="both"/>
              <w:rPr>
                <w:u w:val="single"/>
              </w:rPr>
            </w:pPr>
          </w:p>
        </w:tc>
      </w:tr>
      <w:tr w:rsidR="00435B50" w:rsidRPr="0074451C" w:rsidTr="009F28E0">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5.</w:t>
            </w:r>
          </w:p>
        </w:tc>
        <w:tc>
          <w:tcPr>
            <w:tcW w:w="432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Projekta izstrādē iesaistītās institūcijas</w:t>
            </w:r>
          </w:p>
        </w:tc>
        <w:tc>
          <w:tcPr>
            <w:tcW w:w="486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pPr>
            <w:r w:rsidRPr="0074451C">
              <w:t>Nozares vadošo speciālistu priekšlikumi iestrādāti noteikumu projektā.</w:t>
            </w:r>
          </w:p>
          <w:p w:rsidR="00435B50" w:rsidRPr="0074451C" w:rsidRDefault="00435B50" w:rsidP="009F28E0">
            <w:pPr>
              <w:ind w:left="113" w:right="113"/>
              <w:jc w:val="both"/>
            </w:pPr>
          </w:p>
        </w:tc>
      </w:tr>
      <w:tr w:rsidR="00435B50" w:rsidRPr="0074451C" w:rsidTr="009F28E0">
        <w:trPr>
          <w:trHeight w:val="749"/>
          <w:tblCellSpacing w:w="0" w:type="dxa"/>
        </w:trPr>
        <w:tc>
          <w:tcPr>
            <w:tcW w:w="55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6.</w:t>
            </w:r>
          </w:p>
        </w:tc>
        <w:tc>
          <w:tcPr>
            <w:tcW w:w="432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Iemesli, kādēļ netika nodrošināta sabiedrības līdzdalība</w:t>
            </w:r>
          </w:p>
        </w:tc>
        <w:tc>
          <w:tcPr>
            <w:tcW w:w="486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Nav attiecināms</w:t>
            </w:r>
          </w:p>
        </w:tc>
      </w:tr>
      <w:tr w:rsidR="00435B50" w:rsidRPr="0074451C" w:rsidTr="009F28E0">
        <w:trPr>
          <w:tblCellSpacing w:w="0" w:type="dxa"/>
        </w:trPr>
        <w:tc>
          <w:tcPr>
            <w:tcW w:w="55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lastRenderedPageBreak/>
              <w:t> 7.</w:t>
            </w:r>
          </w:p>
        </w:tc>
        <w:tc>
          <w:tcPr>
            <w:tcW w:w="432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Cita informācija</w:t>
            </w:r>
          </w:p>
        </w:tc>
        <w:tc>
          <w:tcPr>
            <w:tcW w:w="486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Nav</w:t>
            </w:r>
          </w:p>
        </w:tc>
      </w:tr>
    </w:tbl>
    <w:p w:rsidR="00435B50" w:rsidRPr="0074451C" w:rsidRDefault="00435B50" w:rsidP="00435B50">
      <w:pPr>
        <w:pStyle w:val="naisf"/>
      </w:pPr>
      <w:r w:rsidRPr="0074451C">
        <w:t> </w:t>
      </w:r>
    </w:p>
    <w:p w:rsidR="00435B50" w:rsidRPr="0074451C" w:rsidRDefault="00435B50" w:rsidP="00435B50">
      <w:pPr>
        <w:pStyle w:val="naisf"/>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034"/>
        <w:gridCol w:w="4550"/>
      </w:tblGrid>
      <w:tr w:rsidR="00435B50" w:rsidRPr="0074451C" w:rsidTr="009F28E0">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435B50" w:rsidRPr="0074451C" w:rsidRDefault="00435B50" w:rsidP="009F28E0">
            <w:pPr>
              <w:pStyle w:val="naisnod"/>
            </w:pPr>
            <w:r w:rsidRPr="0074451C">
              <w:t> II. Tiesību akta projekta ietekme uz sabiedrību</w:t>
            </w:r>
          </w:p>
        </w:tc>
      </w:tr>
      <w:tr w:rsidR="00435B50" w:rsidRPr="0074451C" w:rsidTr="009F28E0">
        <w:trPr>
          <w:trHeight w:val="467"/>
          <w:tblCellSpacing w:w="0" w:type="dxa"/>
        </w:trPr>
        <w:tc>
          <w:tcPr>
            <w:tcW w:w="51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1.</w:t>
            </w:r>
          </w:p>
        </w:tc>
        <w:tc>
          <w:tcPr>
            <w:tcW w:w="403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xml:space="preserve"> Sabiedrības </w:t>
            </w:r>
            <w:proofErr w:type="spellStart"/>
            <w:r w:rsidRPr="0074451C">
              <w:t>mērķgrupa</w:t>
            </w:r>
            <w:proofErr w:type="spellEnd"/>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firstLine="284"/>
              <w:jc w:val="both"/>
            </w:pPr>
            <w:r w:rsidRPr="0074451C">
              <w:t>Noteikumu projekta tiesiskais regulējums attiecas uz būvniecības procesā iesaistītām fiziskām un juridiskām personām būvprojektēšanas un būvdarbu veikšanas stadijās.</w:t>
            </w:r>
          </w:p>
          <w:p w:rsidR="00435B50" w:rsidRPr="0074451C" w:rsidRDefault="00435B50" w:rsidP="009F28E0">
            <w:pPr>
              <w:pStyle w:val="naiskr"/>
              <w:spacing w:before="0" w:after="0"/>
              <w:ind w:left="113" w:right="113" w:firstLine="284"/>
              <w:jc w:val="both"/>
            </w:pPr>
          </w:p>
        </w:tc>
      </w:tr>
      <w:tr w:rsidR="00435B50" w:rsidRPr="0074451C" w:rsidTr="009F28E0">
        <w:trPr>
          <w:trHeight w:val="523"/>
          <w:tblCellSpacing w:w="0" w:type="dxa"/>
        </w:trPr>
        <w:tc>
          <w:tcPr>
            <w:tcW w:w="51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2.</w:t>
            </w:r>
          </w:p>
        </w:tc>
        <w:tc>
          <w:tcPr>
            <w:tcW w:w="403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xml:space="preserve"> Citas sabiedrības grupas (bez </w:t>
            </w:r>
            <w:proofErr w:type="spellStart"/>
            <w:r w:rsidRPr="0074451C">
              <w:t>mērķgrupas</w:t>
            </w:r>
            <w:proofErr w:type="spellEnd"/>
            <w:r w:rsidRPr="0074451C">
              <w:t>), kuras tiesiskais regulējums arī ietekmē vai varētu ietekmēt</w:t>
            </w: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firstLine="284"/>
              <w:jc w:val="both"/>
            </w:pPr>
            <w:r w:rsidRPr="0074451C">
              <w:t>Noteikumu projekta prasību izpilde būs jāuzrauga pašvaldību būvvaldēm.</w:t>
            </w:r>
          </w:p>
          <w:p w:rsidR="00435B50" w:rsidRPr="0074451C" w:rsidRDefault="00435B50" w:rsidP="009F28E0">
            <w:pPr>
              <w:ind w:left="113" w:right="113" w:firstLine="284"/>
              <w:jc w:val="both"/>
            </w:pPr>
            <w:r w:rsidRPr="0074451C">
              <w:t>Noteikumu projekta prasības būs saistošas būvniecības ieceres īstenotājiem (pasūtītājiem).</w:t>
            </w:r>
          </w:p>
          <w:p w:rsidR="00435B50" w:rsidRPr="0074451C" w:rsidRDefault="00435B50" w:rsidP="009F28E0">
            <w:pPr>
              <w:ind w:left="113" w:right="113" w:firstLine="284"/>
              <w:jc w:val="both"/>
            </w:pPr>
          </w:p>
        </w:tc>
      </w:tr>
      <w:tr w:rsidR="00435B50" w:rsidRPr="0074451C" w:rsidTr="009F28E0">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3.</w:t>
            </w:r>
          </w:p>
        </w:tc>
        <w:tc>
          <w:tcPr>
            <w:tcW w:w="403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Tiesiskā regulējuma finansiālā ietekme</w:t>
            </w:r>
          </w:p>
          <w:p w:rsidR="00435B50" w:rsidRPr="0074451C" w:rsidRDefault="00435B50" w:rsidP="009F28E0">
            <w:pPr>
              <w:pStyle w:val="naiskr"/>
              <w:spacing w:before="0" w:after="0"/>
              <w:ind w:left="113" w:right="113"/>
              <w:jc w:val="both"/>
            </w:pP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firstLine="284"/>
              <w:jc w:val="both"/>
            </w:pPr>
            <w:r w:rsidRPr="0074451C">
              <w:t>Nav attiecināms</w:t>
            </w:r>
          </w:p>
        </w:tc>
      </w:tr>
      <w:tr w:rsidR="00435B50" w:rsidRPr="0074451C" w:rsidTr="009F28E0">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4.</w:t>
            </w:r>
          </w:p>
        </w:tc>
        <w:tc>
          <w:tcPr>
            <w:tcW w:w="403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Tiesiskā regulējuma nefinansiālā ietekme</w:t>
            </w:r>
          </w:p>
          <w:p w:rsidR="00435B50" w:rsidRPr="0074451C" w:rsidRDefault="00435B50" w:rsidP="009F28E0">
            <w:pPr>
              <w:pStyle w:val="naiskr"/>
              <w:spacing w:before="0" w:after="0"/>
              <w:ind w:left="113" w:right="113"/>
              <w:jc w:val="both"/>
            </w:pP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firstLine="284"/>
              <w:jc w:val="both"/>
              <w:rPr>
                <w:b/>
                <w:u w:val="single"/>
              </w:rPr>
            </w:pPr>
            <w:r w:rsidRPr="0074451C">
              <w:t>Nav attiecināms</w:t>
            </w:r>
          </w:p>
        </w:tc>
      </w:tr>
      <w:tr w:rsidR="00435B50" w:rsidRPr="0074451C" w:rsidTr="009F28E0">
        <w:trPr>
          <w:trHeight w:val="531"/>
          <w:tblCellSpacing w:w="0" w:type="dxa"/>
        </w:trPr>
        <w:tc>
          <w:tcPr>
            <w:tcW w:w="51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5.</w:t>
            </w:r>
          </w:p>
        </w:tc>
        <w:tc>
          <w:tcPr>
            <w:tcW w:w="403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Administratīvās procedūras raksturojums</w:t>
            </w:r>
          </w:p>
          <w:p w:rsidR="00435B50" w:rsidRPr="0074451C" w:rsidRDefault="00435B50" w:rsidP="009F28E0">
            <w:pPr>
              <w:pStyle w:val="naiskr"/>
              <w:spacing w:before="0" w:after="0"/>
              <w:ind w:left="113" w:right="113"/>
              <w:jc w:val="both"/>
            </w:pP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firstLine="284"/>
              <w:jc w:val="both"/>
            </w:pPr>
            <w:r w:rsidRPr="0074451C">
              <w:t>Nav attiecināms</w:t>
            </w:r>
          </w:p>
        </w:tc>
      </w:tr>
      <w:tr w:rsidR="00435B50" w:rsidRPr="0074451C" w:rsidTr="009F28E0">
        <w:trPr>
          <w:trHeight w:val="357"/>
          <w:tblCellSpacing w:w="0" w:type="dxa"/>
        </w:trPr>
        <w:tc>
          <w:tcPr>
            <w:tcW w:w="51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6.</w:t>
            </w:r>
          </w:p>
        </w:tc>
        <w:tc>
          <w:tcPr>
            <w:tcW w:w="403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Administratīvo izmaksu monetārs novērtējums</w:t>
            </w:r>
          </w:p>
          <w:p w:rsidR="00435B50" w:rsidRPr="0074451C" w:rsidRDefault="00435B50" w:rsidP="009F28E0">
            <w:pPr>
              <w:pStyle w:val="naiskr"/>
              <w:spacing w:before="0" w:after="0"/>
              <w:ind w:left="113" w:right="113"/>
              <w:jc w:val="both"/>
            </w:pP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firstLine="284"/>
              <w:jc w:val="both"/>
            </w:pPr>
            <w:r w:rsidRPr="0074451C">
              <w:t>Nav attiecināms</w:t>
            </w:r>
          </w:p>
        </w:tc>
      </w:tr>
      <w:tr w:rsidR="00435B50" w:rsidRPr="0074451C" w:rsidTr="009F28E0">
        <w:trPr>
          <w:tblCellSpacing w:w="0" w:type="dxa"/>
        </w:trPr>
        <w:tc>
          <w:tcPr>
            <w:tcW w:w="51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7.</w:t>
            </w:r>
          </w:p>
        </w:tc>
        <w:tc>
          <w:tcPr>
            <w:tcW w:w="403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Cita informācija</w:t>
            </w: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rPr>
                <w:u w:val="single"/>
              </w:rPr>
            </w:pPr>
            <w:r w:rsidRPr="0074451C">
              <w:rPr>
                <w:u w:val="single"/>
              </w:rPr>
              <w:t xml:space="preserve">Jaunais regulējums jau esošiem kanalizācijas tīkliem un būvēm  būs jāpiemēro tādā apjomā, cik tas tehniski ir iespējams vai ekonomiski pamatots. </w:t>
            </w:r>
          </w:p>
          <w:p w:rsidR="00435B50" w:rsidRPr="0074451C" w:rsidRDefault="00435B50" w:rsidP="009F28E0">
            <w:pPr>
              <w:pStyle w:val="naiskr"/>
              <w:spacing w:before="0" w:after="0"/>
              <w:ind w:left="113" w:right="113" w:firstLine="284"/>
              <w:jc w:val="both"/>
              <w:rPr>
                <w:u w:val="single"/>
              </w:rPr>
            </w:pPr>
          </w:p>
        </w:tc>
      </w:tr>
    </w:tbl>
    <w:p w:rsidR="00435B50" w:rsidRPr="0074451C" w:rsidRDefault="00435B50" w:rsidP="00435B50">
      <w:pPr>
        <w:ind w:left="113" w:right="113"/>
      </w:pPr>
      <w:r w:rsidRPr="0074451C">
        <w:t> </w:t>
      </w:r>
    </w:p>
    <w:p w:rsidR="00435B50" w:rsidRPr="0074451C" w:rsidRDefault="00435B50" w:rsidP="00435B50">
      <w:pPr>
        <w:ind w:left="113" w:right="113"/>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93"/>
        <w:gridCol w:w="3958"/>
        <w:gridCol w:w="4550"/>
      </w:tblGrid>
      <w:tr w:rsidR="00435B50" w:rsidRPr="0074451C" w:rsidTr="009F28E0">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nod"/>
            </w:pPr>
            <w:r w:rsidRPr="0074451C">
              <w:rPr>
                <w:i/>
                <w:iCs/>
              </w:rPr>
              <w:t> </w:t>
            </w:r>
            <w:r w:rsidRPr="0074451C">
              <w:t> IV. Tiesību akta projekta ietekme uz spēkā esošo tiesību normu sistēmu</w:t>
            </w:r>
          </w:p>
        </w:tc>
      </w:tr>
      <w:tr w:rsidR="00435B50" w:rsidRPr="0074451C" w:rsidTr="009F28E0">
        <w:trPr>
          <w:tblCellSpacing w:w="0" w:type="dxa"/>
        </w:trPr>
        <w:tc>
          <w:tcPr>
            <w:tcW w:w="593"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BodyTextIndent"/>
              <w:rPr>
                <w:rFonts w:ascii="Times New Roman" w:hAnsi="Times New Roman"/>
                <w:sz w:val="24"/>
                <w:szCs w:val="24"/>
              </w:rPr>
            </w:pPr>
            <w:r w:rsidRPr="0074451C">
              <w:rPr>
                <w:rFonts w:ascii="Times New Roman" w:hAnsi="Times New Roman"/>
                <w:sz w:val="24"/>
                <w:szCs w:val="24"/>
              </w:rPr>
              <w:t> 1.</w:t>
            </w:r>
          </w:p>
        </w:tc>
        <w:tc>
          <w:tcPr>
            <w:tcW w:w="3958"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pPr>
            <w:r w:rsidRPr="0074451C">
              <w:t> Nepieciešamie saistītie tiesību aktu projekti</w:t>
            </w:r>
          </w:p>
          <w:p w:rsidR="00435B50" w:rsidRPr="0074451C" w:rsidRDefault="00435B50" w:rsidP="009F28E0">
            <w:pPr>
              <w:ind w:left="113" w:right="113"/>
              <w:jc w:val="both"/>
            </w:pP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firstLine="284"/>
              <w:jc w:val="both"/>
            </w:pPr>
            <w:r w:rsidRPr="0074451C">
              <w:t>Nav nepieciešami</w:t>
            </w:r>
          </w:p>
        </w:tc>
      </w:tr>
      <w:tr w:rsidR="00435B50" w:rsidRPr="0074451C" w:rsidTr="009F28E0">
        <w:trPr>
          <w:tblCellSpacing w:w="0" w:type="dxa"/>
        </w:trPr>
        <w:tc>
          <w:tcPr>
            <w:tcW w:w="593"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BodyTextIndent"/>
              <w:rPr>
                <w:rFonts w:ascii="Times New Roman" w:hAnsi="Times New Roman"/>
                <w:sz w:val="24"/>
                <w:szCs w:val="24"/>
              </w:rPr>
            </w:pPr>
            <w:r w:rsidRPr="0074451C">
              <w:rPr>
                <w:rFonts w:ascii="Times New Roman" w:hAnsi="Times New Roman"/>
                <w:sz w:val="24"/>
                <w:szCs w:val="24"/>
              </w:rPr>
              <w:t> 2.</w:t>
            </w:r>
          </w:p>
        </w:tc>
        <w:tc>
          <w:tcPr>
            <w:tcW w:w="3958"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pPr>
            <w:r w:rsidRPr="0074451C">
              <w:t> Cita informācija</w:t>
            </w:r>
          </w:p>
        </w:tc>
        <w:tc>
          <w:tcPr>
            <w:tcW w:w="4550"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firstLine="284"/>
              <w:jc w:val="both"/>
              <w:rPr>
                <w:u w:val="single"/>
              </w:rPr>
            </w:pPr>
            <w:r w:rsidRPr="0074451C">
              <w:t xml:space="preserve">Noteikumu projekts stājās spēkā </w:t>
            </w:r>
            <w:r w:rsidRPr="0074451C">
              <w:rPr>
                <w:u w:val="single"/>
              </w:rPr>
              <w:t xml:space="preserve">2011.gada 1.aprīlī. </w:t>
            </w:r>
          </w:p>
          <w:p w:rsidR="00435B50" w:rsidRPr="0074451C" w:rsidRDefault="00435B50" w:rsidP="009F28E0">
            <w:pPr>
              <w:ind w:left="113" w:right="113" w:firstLine="284"/>
              <w:jc w:val="both"/>
            </w:pPr>
            <w:r w:rsidRPr="0074451C">
              <w:t>Noteikumu projektā noteikts pārejas periods:</w:t>
            </w:r>
          </w:p>
          <w:p w:rsidR="00435B50" w:rsidRPr="0074451C" w:rsidRDefault="00435B50" w:rsidP="009F28E0">
            <w:pPr>
              <w:ind w:left="113" w:right="113" w:firstLine="284"/>
              <w:jc w:val="both"/>
            </w:pPr>
            <w:r w:rsidRPr="0074451C">
              <w:t xml:space="preserve">– būvprojekti, kuri noteiktā kārtībā akceptēti vai iesniegti akceptam </w:t>
            </w:r>
            <w:r w:rsidRPr="0074451C">
              <w:rPr>
                <w:u w:val="single"/>
              </w:rPr>
              <w:t xml:space="preserve">būvvaldē </w:t>
            </w:r>
            <w:r w:rsidRPr="0074451C">
              <w:lastRenderedPageBreak/>
              <w:t xml:space="preserve">līdz </w:t>
            </w:r>
            <w:r w:rsidRPr="0074451C">
              <w:rPr>
                <w:u w:val="single"/>
              </w:rPr>
              <w:t>2011.gada 31.martam</w:t>
            </w:r>
            <w:r w:rsidRPr="0074451C">
              <w:t xml:space="preserve"> un kuru tehniskie risinājumi atbilst attiecīgajā laikposmā spēkā esošo normatīvo aktu prasībām, nav jāpārstrādā atbilstoši  </w:t>
            </w:r>
            <w:r w:rsidRPr="0074451C">
              <w:rPr>
                <w:u w:val="single"/>
              </w:rPr>
              <w:t>šo noteikumu prasībām</w:t>
            </w:r>
            <w:r w:rsidRPr="0074451C">
              <w:t>;</w:t>
            </w:r>
          </w:p>
          <w:p w:rsidR="00435B50" w:rsidRPr="0074451C" w:rsidRDefault="00435B50" w:rsidP="009F28E0">
            <w:pPr>
              <w:pStyle w:val="BodyTextIndent2"/>
              <w:spacing w:after="0" w:line="240" w:lineRule="auto"/>
              <w:ind w:left="113" w:right="113"/>
              <w:jc w:val="both"/>
            </w:pPr>
            <w:r w:rsidRPr="0074451C">
              <w:t xml:space="preserve">    – būvprojektus, kuri izstrādāti, pamatojoties uz plānošanas un arhitektūras uzdevumiem, kas izsniegti līdz </w:t>
            </w:r>
            <w:r w:rsidRPr="0074451C">
              <w:rPr>
                <w:u w:val="single"/>
              </w:rPr>
              <w:t>2011.gada 31.martam,</w:t>
            </w:r>
            <w:r w:rsidRPr="0074451C">
              <w:t xml:space="preserve"> var nepārstrādāt atbilstoši </w:t>
            </w:r>
            <w:r w:rsidRPr="0074451C">
              <w:rPr>
                <w:u w:val="single"/>
              </w:rPr>
              <w:t>šo noteikumu prasībām.</w:t>
            </w:r>
          </w:p>
          <w:p w:rsidR="00435B50" w:rsidRPr="0074451C" w:rsidRDefault="00435B50" w:rsidP="009F28E0">
            <w:pPr>
              <w:ind w:left="113" w:right="113" w:firstLine="284"/>
              <w:jc w:val="both"/>
            </w:pPr>
          </w:p>
        </w:tc>
      </w:tr>
    </w:tbl>
    <w:p w:rsidR="00435B50" w:rsidRPr="0074451C" w:rsidRDefault="00435B50" w:rsidP="00435B50">
      <w:pPr>
        <w:pStyle w:val="naisk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3902"/>
        <w:gridCol w:w="4695"/>
      </w:tblGrid>
      <w:tr w:rsidR="00435B50" w:rsidRPr="0074451C" w:rsidTr="009F28E0">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rPr>
                <w:b/>
                <w:bCs/>
                <w:u w:val="single"/>
              </w:rPr>
            </w:pPr>
            <w:r w:rsidRPr="0074451C">
              <w:rPr>
                <w:b/>
                <w:bCs/>
                <w:u w:val="single"/>
              </w:rPr>
              <w:t> VI. Sabiedrības līdzdalība un šīs līdzdalības rezultāti</w:t>
            </w:r>
          </w:p>
          <w:p w:rsidR="00435B50" w:rsidRPr="0074451C" w:rsidRDefault="00435B50" w:rsidP="009F28E0">
            <w:pPr>
              <w:ind w:left="113" w:right="113"/>
              <w:rPr>
                <w:u w:val="single"/>
              </w:rPr>
            </w:pPr>
          </w:p>
        </w:tc>
      </w:tr>
      <w:tr w:rsidR="00435B50" w:rsidRPr="0074451C" w:rsidTr="009F28E0">
        <w:trPr>
          <w:trHeight w:val="553"/>
          <w:tblCellSpacing w:w="0" w:type="dxa"/>
        </w:trPr>
        <w:tc>
          <w:tcPr>
            <w:tcW w:w="50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pPr>
            <w:r w:rsidRPr="0074451C">
              <w:t> 1.</w:t>
            </w:r>
          </w:p>
        </w:tc>
        <w:tc>
          <w:tcPr>
            <w:tcW w:w="3902"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Sabiedrības informēšana par projekta izstrādes uzsākšanu</w:t>
            </w:r>
          </w:p>
        </w:tc>
        <w:tc>
          <w:tcPr>
            <w:tcW w:w="469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xml:space="preserve">Ekonomikas ministrija informēja  nozares pārstāvjus par būvnormatīva izstrādi. </w:t>
            </w:r>
          </w:p>
          <w:p w:rsidR="00435B50" w:rsidRPr="0074451C" w:rsidRDefault="00435B50" w:rsidP="009F28E0">
            <w:pPr>
              <w:ind w:left="113" w:right="113"/>
              <w:jc w:val="both"/>
              <w:rPr>
                <w:u w:val="single"/>
              </w:rPr>
            </w:pPr>
          </w:p>
        </w:tc>
      </w:tr>
      <w:tr w:rsidR="00435B50" w:rsidRPr="0074451C" w:rsidTr="009F28E0">
        <w:trPr>
          <w:trHeight w:val="339"/>
          <w:tblCellSpacing w:w="0" w:type="dxa"/>
        </w:trPr>
        <w:tc>
          <w:tcPr>
            <w:tcW w:w="50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pPr>
            <w:r w:rsidRPr="0074451C">
              <w:t> 2.</w:t>
            </w:r>
          </w:p>
        </w:tc>
        <w:tc>
          <w:tcPr>
            <w:tcW w:w="3902"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Sabiedrības līdzdalība projekta izstrādē</w:t>
            </w:r>
          </w:p>
        </w:tc>
        <w:tc>
          <w:tcPr>
            <w:tcW w:w="469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Būvnormatīva projekts tika ievietots Ekonomikas ministrijas tīmekļa vietnes sadaļā „Normatīvo aktu projekti”.</w:t>
            </w:r>
          </w:p>
          <w:p w:rsidR="00435B50" w:rsidRPr="0074451C" w:rsidRDefault="00435B50" w:rsidP="009F28E0">
            <w:pPr>
              <w:ind w:left="113" w:right="113"/>
              <w:jc w:val="both"/>
              <w:rPr>
                <w:u w:val="single"/>
              </w:rPr>
            </w:pPr>
          </w:p>
        </w:tc>
      </w:tr>
      <w:tr w:rsidR="00435B50" w:rsidRPr="0074451C" w:rsidTr="009F28E0">
        <w:trPr>
          <w:trHeight w:val="375"/>
          <w:tblCellSpacing w:w="0" w:type="dxa"/>
        </w:trPr>
        <w:tc>
          <w:tcPr>
            <w:tcW w:w="50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pPr>
            <w:r w:rsidRPr="0074451C">
              <w:t> 3.</w:t>
            </w:r>
          </w:p>
        </w:tc>
        <w:tc>
          <w:tcPr>
            <w:tcW w:w="3902"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Sabiedrības līdzdalības rezultāti</w:t>
            </w:r>
          </w:p>
        </w:tc>
        <w:tc>
          <w:tcPr>
            <w:tcW w:w="469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xml:space="preserve">Nozares sabiedriskās organizācijas būvnormatīva izdošanu atbalsta. </w:t>
            </w:r>
          </w:p>
          <w:p w:rsidR="00435B50" w:rsidRPr="0074451C" w:rsidRDefault="00435B50" w:rsidP="009F28E0">
            <w:pPr>
              <w:ind w:left="113" w:right="113"/>
              <w:jc w:val="both"/>
              <w:rPr>
                <w:u w:val="single"/>
              </w:rPr>
            </w:pPr>
          </w:p>
        </w:tc>
      </w:tr>
      <w:tr w:rsidR="00435B50" w:rsidRPr="0074451C" w:rsidTr="009F28E0">
        <w:trPr>
          <w:trHeight w:val="397"/>
          <w:tblCellSpacing w:w="0" w:type="dxa"/>
        </w:trPr>
        <w:tc>
          <w:tcPr>
            <w:tcW w:w="50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pPr>
            <w:r w:rsidRPr="0074451C">
              <w:t> 4.</w:t>
            </w:r>
          </w:p>
        </w:tc>
        <w:tc>
          <w:tcPr>
            <w:tcW w:w="3902"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Saeimas un ekspertu līdzdalība</w:t>
            </w:r>
          </w:p>
        </w:tc>
        <w:tc>
          <w:tcPr>
            <w:tcW w:w="469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Normatīvā akta projekta sagatavošanā piedalījās SIA „</w:t>
            </w:r>
            <w:proofErr w:type="spellStart"/>
            <w:r w:rsidRPr="0074451C">
              <w:rPr>
                <w:u w:val="single"/>
              </w:rPr>
              <w:t>Aqua-Brambis”</w:t>
            </w:r>
            <w:proofErr w:type="spellEnd"/>
            <w:r w:rsidRPr="0074451C">
              <w:rPr>
                <w:u w:val="single"/>
              </w:rPr>
              <w:t xml:space="preserve"> speciālisti.</w:t>
            </w:r>
          </w:p>
          <w:p w:rsidR="00435B50" w:rsidRPr="0074451C" w:rsidRDefault="00435B50" w:rsidP="009F28E0">
            <w:pPr>
              <w:ind w:left="113" w:right="113"/>
              <w:jc w:val="both"/>
              <w:rPr>
                <w:u w:val="single"/>
              </w:rPr>
            </w:pPr>
          </w:p>
        </w:tc>
      </w:tr>
      <w:tr w:rsidR="00435B50" w:rsidRPr="0074451C" w:rsidTr="009F28E0">
        <w:trPr>
          <w:trHeight w:val="359"/>
          <w:tblCellSpacing w:w="0" w:type="dxa"/>
        </w:trPr>
        <w:tc>
          <w:tcPr>
            <w:tcW w:w="504"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pPr>
            <w:r w:rsidRPr="0074451C">
              <w:t> 5.</w:t>
            </w:r>
          </w:p>
        </w:tc>
        <w:tc>
          <w:tcPr>
            <w:tcW w:w="3902"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Cita informācija</w:t>
            </w:r>
          </w:p>
          <w:p w:rsidR="00435B50" w:rsidRPr="0074451C" w:rsidRDefault="00435B50" w:rsidP="009F28E0">
            <w:pPr>
              <w:ind w:left="113" w:right="113"/>
              <w:jc w:val="both"/>
              <w:rPr>
                <w:u w:val="single"/>
              </w:rPr>
            </w:pPr>
          </w:p>
        </w:tc>
        <w:tc>
          <w:tcPr>
            <w:tcW w:w="469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ind w:left="113" w:right="113"/>
              <w:jc w:val="both"/>
              <w:rPr>
                <w:u w:val="single"/>
              </w:rPr>
            </w:pPr>
            <w:r w:rsidRPr="0074451C">
              <w:rPr>
                <w:u w:val="single"/>
              </w:rPr>
              <w:t> Nav</w:t>
            </w:r>
          </w:p>
        </w:tc>
      </w:tr>
    </w:tbl>
    <w:p w:rsidR="00435B50" w:rsidRPr="0074451C" w:rsidRDefault="00435B50" w:rsidP="00435B50">
      <w:pPr>
        <w:pStyle w:val="naiskr"/>
      </w:pPr>
      <w:r w:rsidRPr="0074451C">
        <w:t>  </w:t>
      </w:r>
    </w:p>
    <w:p w:rsidR="00435B50" w:rsidRPr="0074451C" w:rsidRDefault="00435B50" w:rsidP="00435B50">
      <w:pPr>
        <w:pStyle w:val="naisk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7"/>
        <w:gridCol w:w="3919"/>
        <w:gridCol w:w="4675"/>
      </w:tblGrid>
      <w:tr w:rsidR="00435B50" w:rsidRPr="0074451C" w:rsidTr="009F28E0">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c"/>
            </w:pPr>
            <w:r w:rsidRPr="0074451C">
              <w:rPr>
                <w:b/>
                <w:bCs/>
              </w:rPr>
              <w:t> VII. Tiesību akta projekta izpildes nodrošināšana un tās ietekme uz institūcijām</w:t>
            </w:r>
          </w:p>
        </w:tc>
      </w:tr>
      <w:tr w:rsidR="00435B50" w:rsidRPr="0074451C" w:rsidTr="009F28E0">
        <w:trPr>
          <w:trHeight w:val="427"/>
          <w:tblCellSpacing w:w="0" w:type="dxa"/>
        </w:trPr>
        <w:tc>
          <w:tcPr>
            <w:tcW w:w="50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1.</w:t>
            </w:r>
          </w:p>
        </w:tc>
        <w:tc>
          <w:tcPr>
            <w:tcW w:w="3919"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Projekta izpildē iesaistītās institūcijas</w:t>
            </w:r>
          </w:p>
          <w:p w:rsidR="00435B50" w:rsidRPr="0074451C" w:rsidRDefault="00435B50" w:rsidP="009F28E0">
            <w:pPr>
              <w:pStyle w:val="naiskr"/>
              <w:spacing w:before="0" w:after="0"/>
              <w:ind w:left="113" w:right="113"/>
              <w:jc w:val="both"/>
            </w:pPr>
          </w:p>
        </w:tc>
        <w:tc>
          <w:tcPr>
            <w:tcW w:w="467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Pašvaldību būvvaldes</w:t>
            </w:r>
          </w:p>
        </w:tc>
      </w:tr>
      <w:tr w:rsidR="00435B50" w:rsidRPr="0074451C" w:rsidTr="009F28E0">
        <w:trPr>
          <w:trHeight w:val="463"/>
          <w:tblCellSpacing w:w="0" w:type="dxa"/>
        </w:trPr>
        <w:tc>
          <w:tcPr>
            <w:tcW w:w="50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2.</w:t>
            </w:r>
          </w:p>
        </w:tc>
        <w:tc>
          <w:tcPr>
            <w:tcW w:w="3919"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Projekta izpildes ietekme uz pārvaldes funkcijām</w:t>
            </w:r>
          </w:p>
          <w:p w:rsidR="00435B50" w:rsidRPr="0074451C" w:rsidRDefault="00435B50" w:rsidP="009F28E0">
            <w:pPr>
              <w:pStyle w:val="naiskr"/>
              <w:spacing w:before="0" w:after="0"/>
              <w:ind w:left="113" w:right="113"/>
              <w:jc w:val="both"/>
            </w:pPr>
          </w:p>
        </w:tc>
        <w:tc>
          <w:tcPr>
            <w:tcW w:w="467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rPr>
                <w:b/>
                <w:u w:val="single"/>
              </w:rPr>
            </w:pPr>
            <w:r w:rsidRPr="0074451C">
              <w:t>Nav attiecināms</w:t>
            </w:r>
          </w:p>
        </w:tc>
      </w:tr>
      <w:tr w:rsidR="00435B50" w:rsidRPr="0074451C" w:rsidTr="009F28E0">
        <w:trPr>
          <w:trHeight w:val="725"/>
          <w:tblCellSpacing w:w="0" w:type="dxa"/>
        </w:trPr>
        <w:tc>
          <w:tcPr>
            <w:tcW w:w="50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3.</w:t>
            </w:r>
          </w:p>
        </w:tc>
        <w:tc>
          <w:tcPr>
            <w:tcW w:w="3919"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Projekta izpildes ietekme uz pārvaldes institucionālo struktūru.</w:t>
            </w:r>
          </w:p>
          <w:p w:rsidR="00435B50" w:rsidRPr="0074451C" w:rsidRDefault="00435B50" w:rsidP="009F28E0">
            <w:pPr>
              <w:pStyle w:val="naiskr"/>
              <w:spacing w:before="0" w:after="0"/>
              <w:ind w:left="113" w:right="113"/>
              <w:jc w:val="both"/>
            </w:pPr>
            <w:r w:rsidRPr="0074451C">
              <w:t>Jaunu institūciju izveide</w:t>
            </w:r>
          </w:p>
        </w:tc>
        <w:tc>
          <w:tcPr>
            <w:tcW w:w="467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Valsts un pašvaldību pārvaldes institucionālo struktūru neietekmēs. Jaunu institūciju izveide nav nepieciešama.</w:t>
            </w:r>
          </w:p>
          <w:p w:rsidR="00435B50" w:rsidRPr="0074451C" w:rsidRDefault="00435B50" w:rsidP="009F28E0">
            <w:pPr>
              <w:pStyle w:val="naiskr"/>
              <w:spacing w:before="0" w:after="0"/>
              <w:ind w:left="113" w:right="113"/>
              <w:jc w:val="both"/>
            </w:pPr>
          </w:p>
        </w:tc>
      </w:tr>
      <w:tr w:rsidR="00435B50" w:rsidRPr="0074451C" w:rsidTr="009F28E0">
        <w:trPr>
          <w:trHeight w:val="780"/>
          <w:tblCellSpacing w:w="0" w:type="dxa"/>
        </w:trPr>
        <w:tc>
          <w:tcPr>
            <w:tcW w:w="50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4.</w:t>
            </w:r>
          </w:p>
        </w:tc>
        <w:tc>
          <w:tcPr>
            <w:tcW w:w="3919"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Projekta izpildes ietekme uz pārvaldes institucionālo struktūru.</w:t>
            </w:r>
          </w:p>
          <w:p w:rsidR="00435B50" w:rsidRPr="0074451C" w:rsidRDefault="00435B50" w:rsidP="009F28E0">
            <w:pPr>
              <w:pStyle w:val="naiskr"/>
              <w:spacing w:before="0" w:after="0"/>
              <w:ind w:left="113" w:right="113"/>
              <w:jc w:val="both"/>
            </w:pPr>
            <w:r w:rsidRPr="0074451C">
              <w:t>Esošu institūciju likvidācija</w:t>
            </w:r>
          </w:p>
        </w:tc>
        <w:tc>
          <w:tcPr>
            <w:tcW w:w="467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Valsts un pašvaldību pārvaldes institucionālo struktūru neietekmēs. Neviena no esošām institūcijām nav jālikvidē.</w:t>
            </w:r>
          </w:p>
          <w:p w:rsidR="00435B50" w:rsidRPr="0074451C" w:rsidRDefault="00435B50" w:rsidP="009F28E0">
            <w:pPr>
              <w:pStyle w:val="naiskr"/>
              <w:spacing w:before="0" w:after="0"/>
              <w:ind w:left="113" w:right="113"/>
              <w:jc w:val="both"/>
            </w:pPr>
          </w:p>
        </w:tc>
      </w:tr>
      <w:tr w:rsidR="00435B50" w:rsidRPr="0074451C" w:rsidTr="009F28E0">
        <w:trPr>
          <w:trHeight w:val="703"/>
          <w:tblCellSpacing w:w="0" w:type="dxa"/>
        </w:trPr>
        <w:tc>
          <w:tcPr>
            <w:tcW w:w="50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lastRenderedPageBreak/>
              <w:t> 5.</w:t>
            </w:r>
          </w:p>
        </w:tc>
        <w:tc>
          <w:tcPr>
            <w:tcW w:w="3919"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Projekta izpildes ietekme uz pārvaldes institucionālo struktūru.</w:t>
            </w:r>
          </w:p>
          <w:p w:rsidR="00435B50" w:rsidRPr="0074451C" w:rsidRDefault="00435B50" w:rsidP="009F28E0">
            <w:pPr>
              <w:pStyle w:val="naiskr"/>
              <w:spacing w:before="0" w:after="0"/>
              <w:ind w:left="113" w:right="113"/>
              <w:jc w:val="both"/>
            </w:pPr>
            <w:r w:rsidRPr="0074451C">
              <w:t>Esošu institūciju reorganizācija</w:t>
            </w:r>
          </w:p>
        </w:tc>
        <w:tc>
          <w:tcPr>
            <w:tcW w:w="467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firstLine="284"/>
              <w:jc w:val="both"/>
            </w:pPr>
            <w:r w:rsidRPr="0074451C">
              <w:t>Valsts un pašvaldību pārvaldes institucionālo struktūru neietekmēs. Neviena no esošām institūcijām nav jāreorganizē.</w:t>
            </w:r>
          </w:p>
          <w:p w:rsidR="00435B50" w:rsidRPr="0074451C" w:rsidRDefault="00435B50" w:rsidP="009F28E0">
            <w:pPr>
              <w:pStyle w:val="naiskr"/>
              <w:spacing w:before="0" w:after="0"/>
              <w:ind w:left="113" w:right="113" w:firstLine="284"/>
              <w:jc w:val="both"/>
            </w:pPr>
          </w:p>
        </w:tc>
      </w:tr>
      <w:tr w:rsidR="00435B50" w:rsidRPr="0074451C" w:rsidTr="009F28E0">
        <w:trPr>
          <w:trHeight w:val="476"/>
          <w:tblCellSpacing w:w="0" w:type="dxa"/>
        </w:trPr>
        <w:tc>
          <w:tcPr>
            <w:tcW w:w="507"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pPr>
            <w:r w:rsidRPr="0074451C">
              <w:t> 6.</w:t>
            </w:r>
          </w:p>
        </w:tc>
        <w:tc>
          <w:tcPr>
            <w:tcW w:w="3919"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jc w:val="both"/>
            </w:pPr>
            <w:r w:rsidRPr="0074451C">
              <w:t> Cita informācija</w:t>
            </w:r>
          </w:p>
        </w:tc>
        <w:tc>
          <w:tcPr>
            <w:tcW w:w="4675" w:type="dxa"/>
            <w:tcBorders>
              <w:top w:val="outset" w:sz="6" w:space="0" w:color="auto"/>
              <w:left w:val="outset" w:sz="6" w:space="0" w:color="auto"/>
              <w:bottom w:val="outset" w:sz="6" w:space="0" w:color="auto"/>
              <w:right w:val="outset" w:sz="6" w:space="0" w:color="auto"/>
            </w:tcBorders>
          </w:tcPr>
          <w:p w:rsidR="00435B50" w:rsidRPr="0074451C" w:rsidRDefault="00435B50" w:rsidP="009F28E0">
            <w:pPr>
              <w:pStyle w:val="naiskr"/>
              <w:spacing w:before="0" w:after="0"/>
              <w:ind w:left="113" w:right="113" w:firstLine="284"/>
              <w:jc w:val="both"/>
            </w:pPr>
            <w:r w:rsidRPr="0074451C">
              <w:t>Nav</w:t>
            </w:r>
          </w:p>
        </w:tc>
      </w:tr>
    </w:tbl>
    <w:p w:rsidR="00435B50" w:rsidRPr="0074451C" w:rsidRDefault="00435B50" w:rsidP="00435B50">
      <w:pPr>
        <w:pStyle w:val="naisf"/>
      </w:pPr>
      <w:r w:rsidRPr="0074451C">
        <w:t> </w:t>
      </w:r>
    </w:p>
    <w:p w:rsidR="00435B50" w:rsidRPr="0074451C" w:rsidRDefault="00435B50" w:rsidP="00435B50">
      <w:pPr>
        <w:jc w:val="both"/>
      </w:pPr>
      <w:r w:rsidRPr="0074451C">
        <w:t>Anotācijas III. un V. sadaļa – nav attiecināms.</w:t>
      </w:r>
    </w:p>
    <w:p w:rsidR="00435B50" w:rsidRPr="0074451C" w:rsidRDefault="00435B50" w:rsidP="00435B50">
      <w:pPr>
        <w:jc w:val="both"/>
      </w:pPr>
    </w:p>
    <w:p w:rsidR="00435B50" w:rsidRPr="0074451C" w:rsidRDefault="00435B50" w:rsidP="00435B50">
      <w:pPr>
        <w:jc w:val="both"/>
      </w:pPr>
    </w:p>
    <w:p w:rsidR="00435B50" w:rsidRPr="0074451C" w:rsidRDefault="00435B50" w:rsidP="00435B50">
      <w:pPr>
        <w:spacing w:before="480" w:after="240"/>
        <w:rPr>
          <w:bCs/>
        </w:rPr>
      </w:pPr>
      <w:r w:rsidRPr="0074451C">
        <w:rPr>
          <w:bCs/>
        </w:rPr>
        <w:t>Ministrs</w:t>
      </w:r>
      <w:r w:rsidRPr="0074451C">
        <w:rPr>
          <w:bCs/>
        </w:rPr>
        <w:tab/>
        <w:t xml:space="preserve"> </w:t>
      </w:r>
      <w:r w:rsidRPr="0074451C">
        <w:rPr>
          <w:bCs/>
        </w:rPr>
        <w:tab/>
      </w:r>
      <w:r w:rsidRPr="0074451C">
        <w:rPr>
          <w:bCs/>
        </w:rPr>
        <w:tab/>
      </w:r>
      <w:r w:rsidRPr="0074451C">
        <w:rPr>
          <w:bCs/>
        </w:rPr>
        <w:tab/>
      </w:r>
      <w:r w:rsidRPr="0074451C">
        <w:rPr>
          <w:bCs/>
        </w:rPr>
        <w:tab/>
      </w:r>
      <w:r w:rsidRPr="0074451C">
        <w:rPr>
          <w:bCs/>
        </w:rPr>
        <w:tab/>
      </w:r>
      <w:r w:rsidRPr="0074451C">
        <w:rPr>
          <w:bCs/>
        </w:rPr>
        <w:tab/>
      </w:r>
      <w:r w:rsidRPr="0074451C">
        <w:rPr>
          <w:bCs/>
        </w:rPr>
        <w:tab/>
      </w:r>
      <w:r w:rsidRPr="0074451C">
        <w:rPr>
          <w:bCs/>
        </w:rPr>
        <w:tab/>
        <w:t>A.Kampars</w:t>
      </w:r>
    </w:p>
    <w:p w:rsidR="00435B50" w:rsidRPr="0074451C" w:rsidRDefault="00435B50" w:rsidP="00435B50">
      <w:pPr>
        <w:rPr>
          <w:bCs/>
        </w:rPr>
      </w:pPr>
    </w:p>
    <w:p w:rsidR="00435B50" w:rsidRPr="0074451C" w:rsidRDefault="00435B50" w:rsidP="00435B50">
      <w:pPr>
        <w:rPr>
          <w:bCs/>
        </w:rPr>
      </w:pPr>
      <w:r w:rsidRPr="0074451C">
        <w:rPr>
          <w:bCs/>
        </w:rPr>
        <w:t xml:space="preserve">Vīza: </w:t>
      </w:r>
    </w:p>
    <w:p w:rsidR="009C0A77" w:rsidRDefault="00435B50" w:rsidP="00435B50">
      <w:pPr>
        <w:spacing w:before="120" w:after="120"/>
        <w:rPr>
          <w:bCs/>
        </w:rPr>
      </w:pPr>
      <w:r w:rsidRPr="0074451C">
        <w:rPr>
          <w:bCs/>
        </w:rPr>
        <w:t>Valsts sekretār</w:t>
      </w:r>
      <w:r w:rsidR="009C0A77">
        <w:rPr>
          <w:bCs/>
        </w:rPr>
        <w:t>a vietā</w:t>
      </w:r>
    </w:p>
    <w:p w:rsidR="00435B50" w:rsidRPr="0074451C" w:rsidRDefault="009C0A77" w:rsidP="00435B50">
      <w:pPr>
        <w:spacing w:before="120" w:after="120"/>
        <w:rPr>
          <w:bCs/>
        </w:rPr>
      </w:pPr>
      <w:r>
        <w:rPr>
          <w:bCs/>
        </w:rPr>
        <w:t>Valsts sekretāra vietnieks</w:t>
      </w:r>
      <w:r w:rsidR="00435B50" w:rsidRPr="0074451C">
        <w:rPr>
          <w:bCs/>
        </w:rPr>
        <w:t xml:space="preserve"> </w:t>
      </w:r>
      <w:r w:rsidR="00435B50" w:rsidRPr="0074451C">
        <w:rPr>
          <w:bCs/>
        </w:rPr>
        <w:tab/>
      </w:r>
      <w:r w:rsidR="00435B50" w:rsidRPr="0074451C">
        <w:rPr>
          <w:bCs/>
        </w:rPr>
        <w:tab/>
      </w:r>
      <w:r w:rsidR="00435B50" w:rsidRPr="0074451C">
        <w:rPr>
          <w:bCs/>
        </w:rPr>
        <w:tab/>
      </w:r>
      <w:r w:rsidR="00435B50" w:rsidRPr="0074451C">
        <w:rPr>
          <w:bCs/>
        </w:rPr>
        <w:tab/>
      </w:r>
      <w:r w:rsidR="00435B50" w:rsidRPr="0074451C">
        <w:rPr>
          <w:bCs/>
        </w:rPr>
        <w:tab/>
      </w:r>
      <w:r w:rsidR="00435B50" w:rsidRPr="0074451C">
        <w:rPr>
          <w:bCs/>
        </w:rPr>
        <w:tab/>
      </w:r>
      <w:r w:rsidR="00435B50" w:rsidRPr="0074451C">
        <w:rPr>
          <w:bCs/>
        </w:rPr>
        <w:tab/>
      </w:r>
      <w:r>
        <w:rPr>
          <w:bCs/>
        </w:rPr>
        <w:t>G.Ābele</w:t>
      </w:r>
    </w:p>
    <w:p w:rsidR="00435B50" w:rsidRPr="0074451C" w:rsidRDefault="00435B50" w:rsidP="00435B50">
      <w:pPr>
        <w:pStyle w:val="Header"/>
        <w:tabs>
          <w:tab w:val="left" w:pos="6663"/>
        </w:tabs>
        <w:spacing w:before="600"/>
        <w:rPr>
          <w:sz w:val="20"/>
        </w:rPr>
      </w:pPr>
    </w:p>
    <w:p w:rsidR="00435B50" w:rsidRPr="0074451C" w:rsidRDefault="00435B50" w:rsidP="00435B50">
      <w:pPr>
        <w:pStyle w:val="Header"/>
        <w:tabs>
          <w:tab w:val="left" w:pos="6663"/>
        </w:tabs>
        <w:spacing w:before="600"/>
        <w:rPr>
          <w:sz w:val="20"/>
        </w:rPr>
      </w:pPr>
    </w:p>
    <w:p w:rsidR="00435B50" w:rsidRPr="0074451C" w:rsidRDefault="00435B50" w:rsidP="00435B50">
      <w:pPr>
        <w:pStyle w:val="Header"/>
        <w:tabs>
          <w:tab w:val="left" w:pos="6663"/>
        </w:tabs>
        <w:spacing w:before="600"/>
        <w:rPr>
          <w:sz w:val="20"/>
        </w:rPr>
      </w:pPr>
    </w:p>
    <w:p w:rsidR="00435B50" w:rsidRPr="0074451C" w:rsidRDefault="00435B50" w:rsidP="00435B50">
      <w:pPr>
        <w:pStyle w:val="Header"/>
        <w:tabs>
          <w:tab w:val="left" w:pos="6663"/>
        </w:tabs>
        <w:spacing w:before="600"/>
        <w:rPr>
          <w:sz w:val="20"/>
        </w:rPr>
      </w:pPr>
    </w:p>
    <w:p w:rsidR="00435B50" w:rsidRPr="0074451C" w:rsidRDefault="00435B50" w:rsidP="00435B50">
      <w:pPr>
        <w:pStyle w:val="Header"/>
        <w:tabs>
          <w:tab w:val="left" w:pos="6663"/>
        </w:tabs>
        <w:spacing w:before="600"/>
        <w:rPr>
          <w:sz w:val="20"/>
        </w:rPr>
      </w:pPr>
    </w:p>
    <w:p w:rsidR="00435B50" w:rsidRPr="0074451C" w:rsidRDefault="00435B50" w:rsidP="00435B50">
      <w:pPr>
        <w:pStyle w:val="Header"/>
        <w:tabs>
          <w:tab w:val="left" w:pos="6663"/>
        </w:tabs>
        <w:spacing w:before="600"/>
        <w:rPr>
          <w:sz w:val="20"/>
        </w:rPr>
      </w:pPr>
    </w:p>
    <w:p w:rsidR="00435B50" w:rsidRPr="0074451C" w:rsidRDefault="00435B50" w:rsidP="00435B50">
      <w:pPr>
        <w:pStyle w:val="Header"/>
        <w:tabs>
          <w:tab w:val="left" w:pos="6663"/>
        </w:tabs>
        <w:spacing w:before="600"/>
        <w:rPr>
          <w:sz w:val="20"/>
        </w:rPr>
      </w:pPr>
    </w:p>
    <w:p w:rsidR="00435B50" w:rsidRPr="0074451C" w:rsidRDefault="00435B50" w:rsidP="00435B50">
      <w:pPr>
        <w:pStyle w:val="Header"/>
        <w:tabs>
          <w:tab w:val="left" w:pos="6663"/>
        </w:tabs>
        <w:spacing w:before="600"/>
        <w:rPr>
          <w:sz w:val="20"/>
        </w:rPr>
      </w:pPr>
    </w:p>
    <w:p w:rsidR="00435B50" w:rsidRPr="0074451C" w:rsidRDefault="00B55F30" w:rsidP="00435B50">
      <w:pPr>
        <w:pStyle w:val="Header"/>
        <w:tabs>
          <w:tab w:val="left" w:pos="6663"/>
        </w:tabs>
        <w:rPr>
          <w:sz w:val="20"/>
        </w:rPr>
      </w:pPr>
      <w:r w:rsidRPr="0074451C">
        <w:rPr>
          <w:sz w:val="20"/>
        </w:rPr>
        <w:fldChar w:fldCharType="begin"/>
      </w:r>
      <w:r w:rsidR="00435B50" w:rsidRPr="0074451C">
        <w:rPr>
          <w:sz w:val="20"/>
        </w:rPr>
        <w:instrText xml:space="preserve"> DATE  \@ "dd.MM.yyyy. H:mm"  \* MERGEFORMAT </w:instrText>
      </w:r>
      <w:r w:rsidRPr="0074451C">
        <w:rPr>
          <w:sz w:val="20"/>
        </w:rPr>
        <w:fldChar w:fldCharType="separate"/>
      </w:r>
      <w:r w:rsidR="009C0A77">
        <w:rPr>
          <w:noProof/>
          <w:sz w:val="20"/>
        </w:rPr>
        <w:t>29.12.2010. 11:38</w:t>
      </w:r>
      <w:r w:rsidRPr="0074451C">
        <w:rPr>
          <w:sz w:val="20"/>
        </w:rPr>
        <w:fldChar w:fldCharType="end"/>
      </w:r>
    </w:p>
    <w:p w:rsidR="00435B50" w:rsidRPr="0074451C" w:rsidRDefault="00B55F30" w:rsidP="00435B50">
      <w:pPr>
        <w:pStyle w:val="Header"/>
        <w:tabs>
          <w:tab w:val="left" w:pos="6663"/>
        </w:tabs>
        <w:rPr>
          <w:sz w:val="20"/>
        </w:rPr>
      </w:pPr>
      <w:fldSimple w:instr=" NUMWORDS   \* MERGEFORMAT ">
        <w:r w:rsidR="009C0A77" w:rsidRPr="009C0A77">
          <w:rPr>
            <w:noProof/>
            <w:sz w:val="20"/>
          </w:rPr>
          <w:t>600</w:t>
        </w:r>
      </w:fldSimple>
    </w:p>
    <w:p w:rsidR="00435B50" w:rsidRPr="0074451C" w:rsidRDefault="00435B50" w:rsidP="00435B50">
      <w:pPr>
        <w:pStyle w:val="Header"/>
        <w:rPr>
          <w:sz w:val="20"/>
        </w:rPr>
      </w:pPr>
      <w:r w:rsidRPr="0074451C">
        <w:rPr>
          <w:sz w:val="20"/>
        </w:rPr>
        <w:t>E.Bučinska,</w:t>
      </w:r>
    </w:p>
    <w:p w:rsidR="00435B50" w:rsidRPr="0074451C" w:rsidRDefault="00435B50" w:rsidP="00435B50">
      <w:pPr>
        <w:pStyle w:val="Header"/>
        <w:rPr>
          <w:sz w:val="20"/>
        </w:rPr>
      </w:pPr>
      <w:r w:rsidRPr="0074451C">
        <w:rPr>
          <w:sz w:val="20"/>
        </w:rPr>
        <w:t xml:space="preserve">67013032, </w:t>
      </w:r>
      <w:hyperlink r:id="rId6" w:history="1">
        <w:r w:rsidRPr="0074451C">
          <w:rPr>
            <w:rStyle w:val="Hyperlink"/>
            <w:color w:val="auto"/>
            <w:sz w:val="20"/>
          </w:rPr>
          <w:t>Elga.Bucinska@em.gov.lv</w:t>
        </w:r>
      </w:hyperlink>
    </w:p>
    <w:p w:rsidR="00435B50" w:rsidRPr="0074451C" w:rsidRDefault="00435B50" w:rsidP="00435B50"/>
    <w:p w:rsidR="00435B50" w:rsidRPr="0074451C" w:rsidRDefault="00435B50" w:rsidP="00435B50"/>
    <w:p w:rsidR="00340ECD" w:rsidRPr="0074451C" w:rsidRDefault="00340ECD"/>
    <w:sectPr w:rsidR="00340ECD" w:rsidRPr="0074451C" w:rsidSect="00EC16A9">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3E" w:rsidRDefault="00FF693E" w:rsidP="00250D77">
      <w:r>
        <w:separator/>
      </w:r>
    </w:p>
  </w:endnote>
  <w:endnote w:type="continuationSeparator" w:id="0">
    <w:p w:rsidR="00FF693E" w:rsidRDefault="00FF693E" w:rsidP="00250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A9" w:rsidRPr="002F305B" w:rsidRDefault="00B55F30" w:rsidP="00EC16A9">
    <w:pPr>
      <w:pStyle w:val="Footer"/>
      <w:jc w:val="both"/>
    </w:pPr>
    <w:fldSimple w:instr=" FILENAME   \* MERGEFORMAT ">
      <w:r w:rsidR="00250D77" w:rsidRPr="00250D77">
        <w:rPr>
          <w:noProof/>
          <w:sz w:val="20"/>
          <w:szCs w:val="20"/>
        </w:rPr>
        <w:t>EManot_281210_grozLBN223</w:t>
      </w:r>
    </w:fldSimple>
    <w:r w:rsidR="0029399A" w:rsidRPr="004D7F39">
      <w:rPr>
        <w:sz w:val="20"/>
        <w:szCs w:val="20"/>
      </w:rPr>
      <w:t>; Ministru kabineta noteikumu projekta „Grozījumi Ministru kabineta 1999.gada 15.jūnija noteikumos Nr.214 „Noteikumi par Latvijas būvnormatīvu LBN 223-99 „Kanalizācijas ārējie tīkli un būves”””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A9" w:rsidRDefault="00B55F30" w:rsidP="00EC16A9">
    <w:pPr>
      <w:pStyle w:val="Footer"/>
      <w:jc w:val="both"/>
    </w:pPr>
    <w:fldSimple w:instr=" FILENAME   \* MERGEFORMAT ">
      <w:r w:rsidR="00695086" w:rsidRPr="00695086">
        <w:rPr>
          <w:noProof/>
          <w:sz w:val="20"/>
          <w:szCs w:val="20"/>
        </w:rPr>
        <w:t>EManot_281210_grozLBN223</w:t>
      </w:r>
    </w:fldSimple>
    <w:r w:rsidR="0029399A" w:rsidRPr="004D7F39">
      <w:rPr>
        <w:sz w:val="20"/>
        <w:szCs w:val="20"/>
      </w:rPr>
      <w:t>; Ministru kabineta noteikumu projekta „Grozījumi Ministru kabineta 1999.gada 15.jūnija noteikumos Nr.214 „Noteikumi par Latvijas būvnormatīvu LBN 223-99 „Kanalizācijas ārējie tīkli un būves”””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3E" w:rsidRDefault="00FF693E" w:rsidP="00250D77">
      <w:r>
        <w:separator/>
      </w:r>
    </w:p>
  </w:footnote>
  <w:footnote w:type="continuationSeparator" w:id="0">
    <w:p w:rsidR="00FF693E" w:rsidRDefault="00FF693E" w:rsidP="00250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A9" w:rsidRDefault="00B55F30" w:rsidP="00EC16A9">
    <w:pPr>
      <w:pStyle w:val="Header"/>
      <w:framePr w:wrap="around" w:vAnchor="text" w:hAnchor="margin" w:xAlign="center" w:y="1"/>
      <w:rPr>
        <w:rStyle w:val="PageNumber"/>
      </w:rPr>
    </w:pPr>
    <w:r>
      <w:rPr>
        <w:rStyle w:val="PageNumber"/>
      </w:rPr>
      <w:fldChar w:fldCharType="begin"/>
    </w:r>
    <w:r w:rsidR="0029399A">
      <w:rPr>
        <w:rStyle w:val="PageNumber"/>
      </w:rPr>
      <w:instrText xml:space="preserve">PAGE  </w:instrText>
    </w:r>
    <w:r>
      <w:rPr>
        <w:rStyle w:val="PageNumber"/>
      </w:rPr>
      <w:fldChar w:fldCharType="end"/>
    </w:r>
  </w:p>
  <w:p w:rsidR="00EC16A9" w:rsidRDefault="00FF6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A9" w:rsidRDefault="00B55F30" w:rsidP="00EC16A9">
    <w:pPr>
      <w:pStyle w:val="Header"/>
      <w:framePr w:wrap="around" w:vAnchor="text" w:hAnchor="margin" w:xAlign="center" w:y="1"/>
      <w:rPr>
        <w:rStyle w:val="PageNumber"/>
      </w:rPr>
    </w:pPr>
    <w:r>
      <w:rPr>
        <w:rStyle w:val="PageNumber"/>
      </w:rPr>
      <w:fldChar w:fldCharType="begin"/>
    </w:r>
    <w:r w:rsidR="0029399A">
      <w:rPr>
        <w:rStyle w:val="PageNumber"/>
      </w:rPr>
      <w:instrText xml:space="preserve">PAGE  </w:instrText>
    </w:r>
    <w:r>
      <w:rPr>
        <w:rStyle w:val="PageNumber"/>
      </w:rPr>
      <w:fldChar w:fldCharType="separate"/>
    </w:r>
    <w:r w:rsidR="009C0A77">
      <w:rPr>
        <w:rStyle w:val="PageNumber"/>
        <w:noProof/>
      </w:rPr>
      <w:t>4</w:t>
    </w:r>
    <w:r>
      <w:rPr>
        <w:rStyle w:val="PageNumber"/>
      </w:rPr>
      <w:fldChar w:fldCharType="end"/>
    </w:r>
  </w:p>
  <w:p w:rsidR="00EC16A9" w:rsidRDefault="00FF6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5B50"/>
    <w:rsid w:val="00034CFA"/>
    <w:rsid w:val="00045666"/>
    <w:rsid w:val="001B1B2C"/>
    <w:rsid w:val="001F6ABB"/>
    <w:rsid w:val="00222F62"/>
    <w:rsid w:val="00250D77"/>
    <w:rsid w:val="0029399A"/>
    <w:rsid w:val="00340ECD"/>
    <w:rsid w:val="00377AB1"/>
    <w:rsid w:val="003A24B5"/>
    <w:rsid w:val="00435B50"/>
    <w:rsid w:val="005636C2"/>
    <w:rsid w:val="0069333F"/>
    <w:rsid w:val="00695086"/>
    <w:rsid w:val="006E1C3A"/>
    <w:rsid w:val="00727EBE"/>
    <w:rsid w:val="007425DC"/>
    <w:rsid w:val="0074451C"/>
    <w:rsid w:val="008E15AC"/>
    <w:rsid w:val="009C0A77"/>
    <w:rsid w:val="009D2ACD"/>
    <w:rsid w:val="00B55F30"/>
    <w:rsid w:val="00D34A8F"/>
    <w:rsid w:val="00D74381"/>
    <w:rsid w:val="00E846F7"/>
    <w:rsid w:val="00FB636F"/>
    <w:rsid w:val="00FF693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35B50"/>
    <w:pPr>
      <w:spacing w:before="75" w:after="75"/>
      <w:ind w:firstLine="375"/>
      <w:jc w:val="both"/>
    </w:pPr>
  </w:style>
  <w:style w:type="paragraph" w:customStyle="1" w:styleId="naisnod">
    <w:name w:val="naisnod"/>
    <w:basedOn w:val="Normal"/>
    <w:rsid w:val="00435B50"/>
    <w:pPr>
      <w:spacing w:before="150" w:after="150"/>
      <w:jc w:val="center"/>
    </w:pPr>
    <w:rPr>
      <w:b/>
      <w:bCs/>
    </w:rPr>
  </w:style>
  <w:style w:type="paragraph" w:customStyle="1" w:styleId="naislab">
    <w:name w:val="naislab"/>
    <w:basedOn w:val="Normal"/>
    <w:rsid w:val="00435B50"/>
    <w:pPr>
      <w:spacing w:before="75" w:after="75"/>
      <w:jc w:val="right"/>
    </w:pPr>
  </w:style>
  <w:style w:type="paragraph" w:customStyle="1" w:styleId="naiskr">
    <w:name w:val="naiskr"/>
    <w:basedOn w:val="Normal"/>
    <w:rsid w:val="00435B50"/>
    <w:pPr>
      <w:spacing w:before="75" w:after="75"/>
    </w:pPr>
  </w:style>
  <w:style w:type="paragraph" w:customStyle="1" w:styleId="naisc">
    <w:name w:val="naisc"/>
    <w:basedOn w:val="Normal"/>
    <w:rsid w:val="00435B50"/>
    <w:pPr>
      <w:spacing w:before="75" w:after="75"/>
      <w:jc w:val="center"/>
    </w:pPr>
  </w:style>
  <w:style w:type="paragraph" w:styleId="Header">
    <w:name w:val="header"/>
    <w:basedOn w:val="Normal"/>
    <w:link w:val="HeaderChar"/>
    <w:uiPriority w:val="99"/>
    <w:rsid w:val="00435B50"/>
    <w:pPr>
      <w:tabs>
        <w:tab w:val="center" w:pos="4153"/>
        <w:tab w:val="right" w:pos="8306"/>
      </w:tabs>
    </w:pPr>
  </w:style>
  <w:style w:type="character" w:customStyle="1" w:styleId="HeaderChar">
    <w:name w:val="Header Char"/>
    <w:basedOn w:val="DefaultParagraphFont"/>
    <w:link w:val="Header"/>
    <w:uiPriority w:val="99"/>
    <w:rsid w:val="00435B50"/>
    <w:rPr>
      <w:rFonts w:ascii="Times New Roman" w:eastAsia="Times New Roman" w:hAnsi="Times New Roman" w:cs="Times New Roman"/>
      <w:sz w:val="24"/>
      <w:szCs w:val="24"/>
      <w:lang w:eastAsia="lv-LV"/>
    </w:rPr>
  </w:style>
  <w:style w:type="character" w:styleId="PageNumber">
    <w:name w:val="page number"/>
    <w:basedOn w:val="DefaultParagraphFont"/>
    <w:rsid w:val="00435B50"/>
  </w:style>
  <w:style w:type="paragraph" w:styleId="BodyTextIndent">
    <w:name w:val="Body Text Indent"/>
    <w:basedOn w:val="Normal"/>
    <w:link w:val="BodyTextIndentChar"/>
    <w:rsid w:val="00435B50"/>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435B50"/>
    <w:rPr>
      <w:rFonts w:ascii="Calibri" w:eastAsia="Calibri" w:hAnsi="Calibri" w:cs="Times New Roman"/>
    </w:rPr>
  </w:style>
  <w:style w:type="character" w:styleId="Hyperlink">
    <w:name w:val="Hyperlink"/>
    <w:basedOn w:val="DefaultParagraphFont"/>
    <w:rsid w:val="00435B50"/>
    <w:rPr>
      <w:color w:val="0000FF"/>
      <w:u w:val="single"/>
    </w:rPr>
  </w:style>
  <w:style w:type="paragraph" w:styleId="Footer">
    <w:name w:val="footer"/>
    <w:basedOn w:val="Normal"/>
    <w:link w:val="FooterChar"/>
    <w:uiPriority w:val="99"/>
    <w:rsid w:val="00435B50"/>
    <w:pPr>
      <w:tabs>
        <w:tab w:val="center" w:pos="4153"/>
        <w:tab w:val="right" w:pos="8306"/>
      </w:tabs>
    </w:pPr>
  </w:style>
  <w:style w:type="character" w:customStyle="1" w:styleId="FooterChar">
    <w:name w:val="Footer Char"/>
    <w:basedOn w:val="DefaultParagraphFont"/>
    <w:link w:val="Footer"/>
    <w:uiPriority w:val="99"/>
    <w:rsid w:val="00435B50"/>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435B50"/>
    <w:pPr>
      <w:spacing w:after="120" w:line="480" w:lineRule="auto"/>
      <w:ind w:left="283"/>
    </w:pPr>
  </w:style>
  <w:style w:type="character" w:customStyle="1" w:styleId="BodyTextIndent2Char">
    <w:name w:val="Body Text Indent 2 Char"/>
    <w:basedOn w:val="DefaultParagraphFont"/>
    <w:link w:val="BodyTextIndent2"/>
    <w:uiPriority w:val="99"/>
    <w:semiHidden/>
    <w:rsid w:val="00435B5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35B50"/>
    <w:rPr>
      <w:rFonts w:ascii="Tahoma" w:hAnsi="Tahoma" w:cs="Tahoma"/>
      <w:sz w:val="16"/>
      <w:szCs w:val="16"/>
    </w:rPr>
  </w:style>
  <w:style w:type="character" w:customStyle="1" w:styleId="BalloonTextChar">
    <w:name w:val="Balloon Text Char"/>
    <w:basedOn w:val="DefaultParagraphFont"/>
    <w:link w:val="BalloonText"/>
    <w:uiPriority w:val="99"/>
    <w:semiHidden/>
    <w:rsid w:val="00435B50"/>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637</Words>
  <Characters>4671</Characters>
  <Application>Microsoft Office Word</Application>
  <DocSecurity>0</DocSecurity>
  <Lines>245</Lines>
  <Paragraphs>129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15.06.1999. noteikumos Nr.214 "Noteikumi par Latvijas būvnormatīvu LBN 223-99 "Kanalizācijas ārējie tīkli un būves"</dc:title>
  <dc:subject>Anotācija</dc:subject>
  <dc:creator>Elga Bučinska</dc:creator>
  <cp:keywords/>
  <dc:description>67013032, Elga.Bucinska@em.gov.lv, fakss 67013027</dc:description>
  <cp:lastModifiedBy>Elga Bučinska</cp:lastModifiedBy>
  <cp:revision>5</cp:revision>
  <dcterms:created xsi:type="dcterms:W3CDTF">2010-12-28T11:47:00Z</dcterms:created>
  <dcterms:modified xsi:type="dcterms:W3CDTF">2010-12-29T09:38:00Z</dcterms:modified>
</cp:coreProperties>
</file>