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AA" w:rsidRPr="00F931C2" w:rsidRDefault="00824DAA" w:rsidP="00824DAA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F931C2">
        <w:rPr>
          <w:b/>
          <w:bCs/>
          <w:sz w:val="28"/>
          <w:szCs w:val="28"/>
        </w:rPr>
        <w:t>MINISTRU KABINETA SĒDES PROTOKOLLĒMUMS</w:t>
      </w:r>
    </w:p>
    <w:p w:rsidR="00824DAA" w:rsidRPr="00F931C2" w:rsidRDefault="00824DAA" w:rsidP="00824DAA">
      <w:pPr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/>
      </w:tblPr>
      <w:tblGrid>
        <w:gridCol w:w="3967"/>
        <w:gridCol w:w="886"/>
        <w:gridCol w:w="4361"/>
      </w:tblGrid>
      <w:tr w:rsidR="00824DAA" w:rsidRPr="00F931C2" w:rsidTr="00C85A88">
        <w:trPr>
          <w:cantSplit/>
        </w:trPr>
        <w:tc>
          <w:tcPr>
            <w:tcW w:w="3967" w:type="dxa"/>
          </w:tcPr>
          <w:p w:rsidR="00824DAA" w:rsidRPr="00F931C2" w:rsidRDefault="00824DAA" w:rsidP="00C85A88">
            <w:pPr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824DAA" w:rsidRPr="00F931C2" w:rsidRDefault="00824DAA" w:rsidP="00C85A88">
            <w:pPr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 xml:space="preserve">   Nr.</w:t>
            </w:r>
          </w:p>
        </w:tc>
        <w:tc>
          <w:tcPr>
            <w:tcW w:w="4361" w:type="dxa"/>
          </w:tcPr>
          <w:p w:rsidR="00824DAA" w:rsidRPr="00F931C2" w:rsidRDefault="00824DAA" w:rsidP="00C85A88">
            <w:pPr>
              <w:jc w:val="right"/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 xml:space="preserve">2011. gada ___.___________     </w:t>
            </w:r>
          </w:p>
        </w:tc>
      </w:tr>
    </w:tbl>
    <w:p w:rsidR="00824DAA" w:rsidRPr="00F931C2" w:rsidRDefault="00824DAA" w:rsidP="00824DAA">
      <w:pPr>
        <w:tabs>
          <w:tab w:val="left" w:pos="6804"/>
        </w:tabs>
        <w:rPr>
          <w:sz w:val="28"/>
          <w:szCs w:val="28"/>
        </w:rPr>
      </w:pPr>
    </w:p>
    <w:p w:rsidR="00824DAA" w:rsidRPr="00F931C2" w:rsidRDefault="00824DAA" w:rsidP="00824DAA">
      <w:pPr>
        <w:jc w:val="center"/>
        <w:rPr>
          <w:b/>
          <w:sz w:val="28"/>
          <w:szCs w:val="28"/>
        </w:rPr>
      </w:pPr>
      <w:r w:rsidRPr="00F931C2">
        <w:rPr>
          <w:b/>
          <w:sz w:val="28"/>
          <w:szCs w:val="28"/>
        </w:rPr>
        <w:t>___.§</w:t>
      </w:r>
    </w:p>
    <w:p w:rsidR="00824DAA" w:rsidRPr="00F931C2" w:rsidRDefault="00824DAA" w:rsidP="00824DAA">
      <w:pPr>
        <w:jc w:val="both"/>
        <w:rPr>
          <w:b/>
          <w:sz w:val="28"/>
          <w:szCs w:val="28"/>
        </w:rPr>
      </w:pPr>
    </w:p>
    <w:p w:rsidR="00824DAA" w:rsidRPr="00F931C2" w:rsidRDefault="00824DAA" w:rsidP="00824DAA">
      <w:pPr>
        <w:jc w:val="center"/>
        <w:outlineLvl w:val="0"/>
        <w:rPr>
          <w:b/>
          <w:sz w:val="28"/>
          <w:szCs w:val="28"/>
          <w:lang w:eastAsia="lv-LV"/>
        </w:rPr>
      </w:pPr>
      <w:r w:rsidRPr="00F931C2">
        <w:rPr>
          <w:b/>
          <w:sz w:val="28"/>
          <w:szCs w:val="28"/>
          <w:lang w:eastAsia="lv-LV"/>
        </w:rPr>
        <w:t>Par informatīvo ziņojumu</w:t>
      </w:r>
    </w:p>
    <w:p w:rsidR="00824DAA" w:rsidRPr="00F931C2" w:rsidRDefault="00824DAA" w:rsidP="00824DAA">
      <w:pPr>
        <w:jc w:val="center"/>
        <w:outlineLvl w:val="0"/>
        <w:rPr>
          <w:b/>
          <w:sz w:val="28"/>
          <w:szCs w:val="28"/>
          <w:lang w:eastAsia="lv-LV"/>
        </w:rPr>
      </w:pPr>
      <w:r w:rsidRPr="00F931C2">
        <w:rPr>
          <w:b/>
          <w:sz w:val="28"/>
          <w:szCs w:val="28"/>
          <w:lang w:eastAsia="lv-LV"/>
        </w:rPr>
        <w:t xml:space="preserve">„Par spēkā esošo normatīvo regulējumu un kārtību saistībā </w:t>
      </w:r>
    </w:p>
    <w:p w:rsidR="00824DAA" w:rsidRPr="00F931C2" w:rsidRDefault="00824DAA" w:rsidP="00824DAA">
      <w:pPr>
        <w:jc w:val="center"/>
        <w:outlineLvl w:val="0"/>
        <w:rPr>
          <w:b/>
          <w:sz w:val="28"/>
          <w:szCs w:val="28"/>
          <w:lang w:eastAsia="lv-LV"/>
        </w:rPr>
      </w:pPr>
      <w:r w:rsidRPr="00F931C2">
        <w:rPr>
          <w:b/>
          <w:sz w:val="28"/>
          <w:szCs w:val="28"/>
          <w:lang w:eastAsia="lv-LV"/>
        </w:rPr>
        <w:t>ar izsniegto būvatļauju pagarināšanu un procesa optimizēšanu”</w:t>
      </w:r>
    </w:p>
    <w:p w:rsidR="00824DAA" w:rsidRPr="00F931C2" w:rsidRDefault="00824DAA" w:rsidP="00824DAA">
      <w:pPr>
        <w:jc w:val="both"/>
        <w:rPr>
          <w:sz w:val="28"/>
          <w:szCs w:val="28"/>
        </w:rPr>
      </w:pPr>
      <w:r w:rsidRPr="00F931C2">
        <w:rPr>
          <w:sz w:val="28"/>
          <w:szCs w:val="28"/>
        </w:rPr>
        <w:t>TA-     _______________________________________________________</w:t>
      </w:r>
    </w:p>
    <w:p w:rsidR="00824DAA" w:rsidRPr="00F931C2" w:rsidRDefault="00824DAA" w:rsidP="00824DAA">
      <w:pPr>
        <w:jc w:val="center"/>
        <w:rPr>
          <w:sz w:val="28"/>
          <w:szCs w:val="28"/>
        </w:rPr>
      </w:pPr>
      <w:r w:rsidRPr="00F931C2">
        <w:rPr>
          <w:sz w:val="28"/>
          <w:szCs w:val="28"/>
        </w:rPr>
        <w:t>(...)</w:t>
      </w:r>
    </w:p>
    <w:p w:rsidR="00824DAA" w:rsidRPr="00F931C2" w:rsidRDefault="00824DAA" w:rsidP="00824DAA">
      <w:pPr>
        <w:pStyle w:val="Title"/>
        <w:ind w:firstLine="709"/>
        <w:jc w:val="both"/>
        <w:outlineLvl w:val="0"/>
        <w:rPr>
          <w:szCs w:val="28"/>
        </w:rPr>
      </w:pPr>
    </w:p>
    <w:p w:rsidR="00824DAA" w:rsidRPr="00EA7CC1" w:rsidRDefault="00824DAA" w:rsidP="00824DAA">
      <w:pPr>
        <w:ind w:firstLine="720"/>
        <w:jc w:val="both"/>
        <w:rPr>
          <w:sz w:val="28"/>
          <w:szCs w:val="28"/>
        </w:rPr>
      </w:pPr>
      <w:r w:rsidRPr="00EA7CC1">
        <w:rPr>
          <w:sz w:val="28"/>
          <w:szCs w:val="28"/>
        </w:rPr>
        <w:t>1. Pieņemt zināšanai iesniegto ziņojuma projektu.</w:t>
      </w:r>
    </w:p>
    <w:p w:rsidR="00824DAA" w:rsidRPr="00EA7CC1" w:rsidRDefault="00824DAA" w:rsidP="00824DAA">
      <w:pPr>
        <w:jc w:val="both"/>
        <w:rPr>
          <w:sz w:val="28"/>
          <w:szCs w:val="28"/>
          <w:lang w:eastAsia="lv-LV"/>
        </w:rPr>
      </w:pPr>
      <w:r w:rsidRPr="00EA7CC1">
        <w:rPr>
          <w:sz w:val="28"/>
          <w:szCs w:val="28"/>
          <w:lang w:eastAsia="lv-LV"/>
        </w:rPr>
        <w:tab/>
        <w:t xml:space="preserve">2. </w:t>
      </w:r>
      <w:r w:rsidRPr="00EA7CC1">
        <w:rPr>
          <w:bCs/>
          <w:sz w:val="28"/>
          <w:szCs w:val="28"/>
        </w:rPr>
        <w:t>Ekonomikas ministrijai izstrādāt un ekonomikas ministram līdz 2012.gada 1.martam iesniegt</w:t>
      </w:r>
      <w:r w:rsidRPr="00EA7CC1">
        <w:rPr>
          <w:bCs/>
        </w:rPr>
        <w:t xml:space="preserve"> </w:t>
      </w:r>
      <w:r w:rsidRPr="00EA7CC1">
        <w:rPr>
          <w:sz w:val="28"/>
          <w:szCs w:val="28"/>
          <w:lang w:eastAsia="lv-LV"/>
        </w:rPr>
        <w:t>normatīvajos aktos noteiktajā kārtībā grozījumus Ministru kabineta 1997.gada 1.aprīļa noteikumos Nr.112 „Vispārīgie būvnoteikumi”, par dokumentu un būvdarbu termiņu ierobežošanu p</w:t>
      </w:r>
      <w:r w:rsidRPr="00EA7CC1">
        <w:rPr>
          <w:sz w:val="28"/>
          <w:szCs w:val="28"/>
        </w:rPr>
        <w:t>rojektiem, par kuriem sabiedrība ir izteikusi viedokli paredzētās darbības ietekmes uz vidi novērtējuma ietvaros vai paredzētās būves publiskajā apspriešanā,</w:t>
      </w:r>
      <w:r w:rsidRPr="00EA7CC1">
        <w:rPr>
          <w:sz w:val="28"/>
          <w:szCs w:val="28"/>
          <w:lang w:eastAsia="lv-LV"/>
        </w:rPr>
        <w:t xml:space="preserve"> paredzot, ka turpmāk netiks </w:t>
      </w:r>
      <w:r w:rsidRPr="00EA7CC1">
        <w:rPr>
          <w:sz w:val="28"/>
          <w:szCs w:val="28"/>
        </w:rPr>
        <w:t>pagarināts plānošanas un arhitektūras uzdevuma, kā arī būvprojekta derīguma termiņš</w:t>
      </w:r>
      <w:r w:rsidRPr="00EA7CC1">
        <w:rPr>
          <w:sz w:val="28"/>
          <w:szCs w:val="28"/>
          <w:lang w:eastAsia="lv-LV"/>
        </w:rPr>
        <w:t>, un vienlaikus nosakot  maksimālo būvdarbu veikšanas ilgumu - 5 gadi.</w:t>
      </w:r>
    </w:p>
    <w:p w:rsidR="00824DAA" w:rsidRPr="00EA7CC1" w:rsidRDefault="00824DAA" w:rsidP="00824DAA">
      <w:pPr>
        <w:jc w:val="both"/>
        <w:rPr>
          <w:sz w:val="28"/>
          <w:szCs w:val="28"/>
        </w:rPr>
      </w:pPr>
      <w:r w:rsidRPr="00EA7CC1">
        <w:rPr>
          <w:sz w:val="28"/>
          <w:szCs w:val="28"/>
          <w:lang w:eastAsia="lv-LV"/>
        </w:rPr>
        <w:tab/>
        <w:t>3. Atbildīgajām m</w:t>
      </w:r>
      <w:r w:rsidRPr="00EA7CC1">
        <w:rPr>
          <w:sz w:val="28"/>
          <w:szCs w:val="28"/>
        </w:rPr>
        <w:t xml:space="preserve">inistrijām par būvēm, kurām, </w:t>
      </w:r>
      <w:r w:rsidRPr="00EA7CC1">
        <w:rPr>
          <w:sz w:val="28"/>
          <w:szCs w:val="28"/>
          <w:lang w:eastAsia="lv-LV"/>
        </w:rPr>
        <w:t>ievērojot Būvniecības likuma 6.pantu, noteikta īpaša būvniecības procesa kārtība, izvērtēt šā ziņojuma priekšlikumus attiecībā uz p</w:t>
      </w:r>
      <w:r w:rsidRPr="00EA7CC1">
        <w:rPr>
          <w:sz w:val="28"/>
          <w:szCs w:val="28"/>
        </w:rPr>
        <w:t xml:space="preserve">rojektiem, par kuriem sabiedrība ir izteikusi viedokli paredzētās darbības ietekmes uz vidi novērtējuma ietvaros vai paredzētās būves publiskajā apspriešanā, sagatavot tiesību aktu projektus par </w:t>
      </w:r>
      <w:r w:rsidRPr="00EA7CC1">
        <w:rPr>
          <w:sz w:val="28"/>
          <w:szCs w:val="28"/>
          <w:lang w:eastAsia="lv-LV"/>
        </w:rPr>
        <w:t xml:space="preserve">dokumentu un būvdarbu termiņu ierobežošanu </w:t>
      </w:r>
      <w:r w:rsidRPr="00EA7CC1">
        <w:rPr>
          <w:sz w:val="28"/>
          <w:szCs w:val="28"/>
        </w:rPr>
        <w:t xml:space="preserve">un noteiktā kārtībā iesniegt tos Valsts kancelejā līdz </w:t>
      </w:r>
      <w:r w:rsidRPr="00EA7CC1">
        <w:rPr>
          <w:sz w:val="28"/>
          <w:szCs w:val="28"/>
          <w:lang w:eastAsia="lv-LV"/>
        </w:rPr>
        <w:t>2012.gada 1.jūnijam.</w:t>
      </w:r>
      <w:r w:rsidRPr="00EA7CC1">
        <w:rPr>
          <w:sz w:val="28"/>
          <w:szCs w:val="28"/>
        </w:rPr>
        <w:t xml:space="preserve"> </w:t>
      </w:r>
    </w:p>
    <w:p w:rsidR="00824DAA" w:rsidRPr="00F931C2" w:rsidRDefault="00824DAA" w:rsidP="00824DAA">
      <w:pPr>
        <w:pStyle w:val="BodyText"/>
        <w:jc w:val="right"/>
        <w:rPr>
          <w:szCs w:val="28"/>
        </w:rPr>
      </w:pPr>
    </w:p>
    <w:p w:rsidR="00824DAA" w:rsidRPr="00F931C2" w:rsidRDefault="00824DAA" w:rsidP="00824DAA">
      <w:pPr>
        <w:pStyle w:val="BodyText"/>
        <w:jc w:val="both"/>
        <w:rPr>
          <w:szCs w:val="28"/>
        </w:rPr>
      </w:pPr>
      <w:r w:rsidRPr="00F931C2">
        <w:rPr>
          <w:szCs w:val="28"/>
        </w:rPr>
        <w:t>Ministru prezidents</w:t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proofErr w:type="spellStart"/>
      <w:r w:rsidRPr="00F931C2">
        <w:rPr>
          <w:szCs w:val="28"/>
        </w:rPr>
        <w:t>V.Dombrovskis</w:t>
      </w:r>
      <w:proofErr w:type="spellEnd"/>
    </w:p>
    <w:p w:rsidR="00824DAA" w:rsidRPr="00F931C2" w:rsidRDefault="00824DAA" w:rsidP="00824DAA">
      <w:pPr>
        <w:pStyle w:val="BodyText"/>
        <w:jc w:val="right"/>
        <w:rPr>
          <w:szCs w:val="28"/>
        </w:rPr>
      </w:pPr>
    </w:p>
    <w:p w:rsidR="00824DAA" w:rsidRPr="00F931C2" w:rsidRDefault="00824DAA" w:rsidP="00824DAA">
      <w:pPr>
        <w:pStyle w:val="BodyText"/>
        <w:jc w:val="both"/>
        <w:rPr>
          <w:szCs w:val="28"/>
        </w:rPr>
      </w:pPr>
      <w:r w:rsidRPr="00F931C2">
        <w:rPr>
          <w:szCs w:val="28"/>
        </w:rPr>
        <w:t>Valsts kancelejas direktore</w:t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proofErr w:type="spellStart"/>
      <w:r w:rsidRPr="00F931C2">
        <w:rPr>
          <w:szCs w:val="28"/>
        </w:rPr>
        <w:t>E.Dreimane</w:t>
      </w:r>
      <w:proofErr w:type="spellEnd"/>
    </w:p>
    <w:p w:rsidR="00824DAA" w:rsidRPr="00F931C2" w:rsidRDefault="00824DAA" w:rsidP="00824DAA">
      <w:pPr>
        <w:rPr>
          <w:sz w:val="28"/>
          <w:szCs w:val="28"/>
        </w:rPr>
      </w:pPr>
    </w:p>
    <w:p w:rsidR="00824DAA" w:rsidRPr="00F931C2" w:rsidRDefault="00824DAA" w:rsidP="00824DAA">
      <w:pPr>
        <w:rPr>
          <w:sz w:val="28"/>
          <w:szCs w:val="28"/>
        </w:rPr>
      </w:pPr>
      <w:r w:rsidRPr="00F931C2">
        <w:rPr>
          <w:sz w:val="28"/>
          <w:szCs w:val="28"/>
        </w:rPr>
        <w:t xml:space="preserve">Ekonomikas ministrs </w:t>
      </w:r>
      <w:r w:rsidRPr="00F931C2">
        <w:rPr>
          <w:sz w:val="28"/>
          <w:szCs w:val="28"/>
        </w:rPr>
        <w:tab/>
      </w:r>
      <w:r w:rsidRPr="00F931C2">
        <w:rPr>
          <w:sz w:val="28"/>
          <w:szCs w:val="28"/>
        </w:rPr>
        <w:tab/>
      </w:r>
      <w:r w:rsidRPr="00F931C2">
        <w:rPr>
          <w:sz w:val="28"/>
          <w:szCs w:val="28"/>
        </w:rPr>
        <w:tab/>
      </w:r>
      <w:r w:rsidRPr="00F931C2">
        <w:rPr>
          <w:sz w:val="28"/>
          <w:szCs w:val="28"/>
        </w:rPr>
        <w:tab/>
      </w:r>
      <w:r w:rsidRPr="00F931C2">
        <w:rPr>
          <w:sz w:val="28"/>
          <w:szCs w:val="28"/>
        </w:rPr>
        <w:tab/>
      </w:r>
      <w:r w:rsidRPr="00F931C2">
        <w:rPr>
          <w:sz w:val="28"/>
          <w:szCs w:val="28"/>
        </w:rPr>
        <w:tab/>
      </w:r>
      <w:r w:rsidRPr="00F931C2">
        <w:rPr>
          <w:sz w:val="28"/>
          <w:szCs w:val="28"/>
        </w:rPr>
        <w:tab/>
      </w:r>
      <w:proofErr w:type="spellStart"/>
      <w:r w:rsidRPr="00F931C2">
        <w:rPr>
          <w:sz w:val="28"/>
          <w:szCs w:val="28"/>
        </w:rPr>
        <w:t>D.Pavļuts</w:t>
      </w:r>
      <w:proofErr w:type="spellEnd"/>
    </w:p>
    <w:p w:rsidR="00824DAA" w:rsidRPr="00F931C2" w:rsidRDefault="00824DAA" w:rsidP="00824DAA">
      <w:pPr>
        <w:rPr>
          <w:sz w:val="28"/>
          <w:szCs w:val="28"/>
        </w:rPr>
      </w:pPr>
      <w:r w:rsidRPr="00F931C2">
        <w:rPr>
          <w:sz w:val="16"/>
          <w:szCs w:val="16"/>
        </w:rPr>
        <w:tab/>
      </w:r>
      <w:r w:rsidRPr="00F931C2">
        <w:rPr>
          <w:sz w:val="16"/>
          <w:szCs w:val="16"/>
        </w:rPr>
        <w:tab/>
      </w:r>
      <w:r w:rsidRPr="00F931C2">
        <w:rPr>
          <w:sz w:val="16"/>
          <w:szCs w:val="16"/>
        </w:rPr>
        <w:tab/>
      </w:r>
      <w:r w:rsidRPr="00F931C2">
        <w:rPr>
          <w:sz w:val="16"/>
          <w:szCs w:val="16"/>
        </w:rPr>
        <w:tab/>
      </w:r>
      <w:r w:rsidRPr="00F931C2">
        <w:rPr>
          <w:sz w:val="16"/>
          <w:szCs w:val="16"/>
        </w:rPr>
        <w:tab/>
      </w:r>
    </w:p>
    <w:p w:rsidR="00824DAA" w:rsidRPr="00F931C2" w:rsidRDefault="00824DAA" w:rsidP="00824DAA">
      <w:pPr>
        <w:rPr>
          <w:bCs/>
          <w:sz w:val="28"/>
          <w:szCs w:val="28"/>
        </w:rPr>
      </w:pPr>
      <w:r w:rsidRPr="00F931C2">
        <w:rPr>
          <w:bCs/>
          <w:sz w:val="28"/>
          <w:szCs w:val="28"/>
        </w:rPr>
        <w:t>Vīza: Valsts sekretārs</w:t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  <w:t>J.Pūce</w:t>
      </w:r>
    </w:p>
    <w:p w:rsidR="00824DAA" w:rsidRPr="00F931C2" w:rsidRDefault="00824DAA" w:rsidP="00824DAA">
      <w:pPr>
        <w:ind w:left="360"/>
        <w:rPr>
          <w:bCs/>
          <w:sz w:val="28"/>
          <w:szCs w:val="28"/>
        </w:rPr>
      </w:pPr>
    </w:p>
    <w:p w:rsidR="00824DAA" w:rsidRPr="00F931C2" w:rsidRDefault="00910C6F" w:rsidP="00824DAA">
      <w:pPr>
        <w:tabs>
          <w:tab w:val="left" w:pos="5760"/>
        </w:tabs>
        <w:rPr>
          <w:sz w:val="20"/>
        </w:rPr>
      </w:pPr>
      <w:r w:rsidRPr="00F931C2">
        <w:rPr>
          <w:sz w:val="20"/>
        </w:rPr>
        <w:fldChar w:fldCharType="begin"/>
      </w:r>
      <w:r w:rsidR="00824DAA" w:rsidRPr="00F931C2">
        <w:rPr>
          <w:sz w:val="20"/>
        </w:rPr>
        <w:instrText xml:space="preserve"> DATE  \@ "dd.MM.yyyy. H:mm"  \* MERGEFORMAT </w:instrText>
      </w:r>
      <w:r w:rsidRPr="00F931C2">
        <w:rPr>
          <w:sz w:val="20"/>
        </w:rPr>
        <w:fldChar w:fldCharType="separate"/>
      </w:r>
      <w:r w:rsidR="00EA7CC1">
        <w:rPr>
          <w:noProof/>
          <w:sz w:val="20"/>
        </w:rPr>
        <w:t>22.11.2011. 16:37</w:t>
      </w:r>
      <w:r w:rsidRPr="00F931C2">
        <w:rPr>
          <w:sz w:val="20"/>
        </w:rPr>
        <w:fldChar w:fldCharType="end"/>
      </w:r>
      <w:r w:rsidR="00824DAA" w:rsidRPr="00F931C2">
        <w:rPr>
          <w:sz w:val="20"/>
        </w:rPr>
        <w:tab/>
      </w:r>
    </w:p>
    <w:p w:rsidR="00824DAA" w:rsidRPr="00F931C2" w:rsidRDefault="00910C6F" w:rsidP="00824DAA">
      <w:pPr>
        <w:tabs>
          <w:tab w:val="left" w:pos="5280"/>
        </w:tabs>
        <w:rPr>
          <w:sz w:val="20"/>
        </w:rPr>
      </w:pPr>
      <w:fldSimple w:instr=" NUMWORDS   \* MERGEFORMAT ">
        <w:r w:rsidR="00840101" w:rsidRPr="00840101">
          <w:rPr>
            <w:noProof/>
            <w:sz w:val="20"/>
          </w:rPr>
          <w:t>193</w:t>
        </w:r>
      </w:fldSimple>
      <w:r w:rsidR="00824DAA" w:rsidRPr="00F931C2">
        <w:rPr>
          <w:sz w:val="20"/>
        </w:rPr>
        <w:tab/>
      </w:r>
    </w:p>
    <w:p w:rsidR="00824DAA" w:rsidRPr="00F931C2" w:rsidRDefault="00824DAA" w:rsidP="00824DAA">
      <w:pPr>
        <w:rPr>
          <w:sz w:val="20"/>
          <w:szCs w:val="20"/>
        </w:rPr>
      </w:pPr>
      <w:r w:rsidRPr="00F931C2">
        <w:rPr>
          <w:sz w:val="20"/>
          <w:szCs w:val="20"/>
        </w:rPr>
        <w:t xml:space="preserve">I.Oša, 67013031, </w:t>
      </w:r>
    </w:p>
    <w:p w:rsidR="00824DAA" w:rsidRPr="00F931C2" w:rsidRDefault="00910C6F" w:rsidP="00824DAA">
      <w:pPr>
        <w:rPr>
          <w:sz w:val="20"/>
          <w:szCs w:val="20"/>
        </w:rPr>
      </w:pPr>
      <w:hyperlink r:id="rId6" w:history="1">
        <w:r w:rsidR="00824DAA" w:rsidRPr="00F931C2">
          <w:rPr>
            <w:rStyle w:val="Hyperlink"/>
            <w:color w:val="auto"/>
            <w:sz w:val="20"/>
          </w:rPr>
          <w:t>Ilze.Osa@em.gov.lv</w:t>
        </w:r>
      </w:hyperlink>
    </w:p>
    <w:p w:rsidR="00824DAA" w:rsidRPr="00F931C2" w:rsidRDefault="00824DAA" w:rsidP="00824DAA">
      <w:pPr>
        <w:rPr>
          <w:sz w:val="20"/>
          <w:szCs w:val="20"/>
        </w:rPr>
      </w:pPr>
      <w:r w:rsidRPr="00F931C2">
        <w:rPr>
          <w:sz w:val="20"/>
          <w:szCs w:val="20"/>
        </w:rPr>
        <w:t xml:space="preserve">E.Bučinska, 67013032, </w:t>
      </w:r>
    </w:p>
    <w:p w:rsidR="00824DAA" w:rsidRPr="00F931C2" w:rsidRDefault="00910C6F" w:rsidP="00824DAA">
      <w:hyperlink r:id="rId7" w:history="1">
        <w:r w:rsidR="00824DAA" w:rsidRPr="00F931C2">
          <w:rPr>
            <w:rStyle w:val="Hyperlink"/>
            <w:color w:val="auto"/>
            <w:sz w:val="20"/>
          </w:rPr>
          <w:t>Elga.Bucinska@em.gov.lv</w:t>
        </w:r>
      </w:hyperlink>
      <w:r w:rsidR="00824DAA" w:rsidRPr="00F931C2">
        <w:rPr>
          <w:sz w:val="20"/>
          <w:szCs w:val="20"/>
        </w:rPr>
        <w:t xml:space="preserve"> </w:t>
      </w:r>
    </w:p>
    <w:p w:rsidR="00824DAA" w:rsidRPr="00F931C2" w:rsidRDefault="00824DAA" w:rsidP="00824DAA"/>
    <w:p w:rsidR="00340ECD" w:rsidRPr="00F931C2" w:rsidRDefault="00340ECD"/>
    <w:sectPr w:rsidR="00340ECD" w:rsidRPr="00F931C2" w:rsidSect="00E17E8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1134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F0C" w:rsidRDefault="00113F0C" w:rsidP="00282B04">
      <w:r>
        <w:separator/>
      </w:r>
    </w:p>
  </w:endnote>
  <w:endnote w:type="continuationSeparator" w:id="0">
    <w:p w:rsidR="00113F0C" w:rsidRDefault="00113F0C" w:rsidP="0028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11" w:rsidRDefault="00910C6F" w:rsidP="003029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1F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B11" w:rsidRDefault="00113F0C" w:rsidP="003553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11" w:rsidRDefault="00910C6F" w:rsidP="003029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1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DA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6B11" w:rsidRPr="00D91F51" w:rsidRDefault="002A1F7D" w:rsidP="00355398">
    <w:pPr>
      <w:pStyle w:val="BodyText"/>
      <w:ind w:right="360"/>
      <w:jc w:val="both"/>
      <w:rPr>
        <w:sz w:val="20"/>
        <w:szCs w:val="20"/>
      </w:rPr>
    </w:pPr>
    <w:r w:rsidRPr="00D91F51">
      <w:rPr>
        <w:sz w:val="20"/>
        <w:szCs w:val="20"/>
      </w:rPr>
      <w:t>TMprot_</w:t>
    </w:r>
    <w:r>
      <w:rPr>
        <w:sz w:val="20"/>
        <w:szCs w:val="20"/>
      </w:rPr>
      <w:t>0112</w:t>
    </w:r>
    <w:r w:rsidRPr="00D91F51">
      <w:rPr>
        <w:sz w:val="20"/>
        <w:szCs w:val="20"/>
      </w:rPr>
      <w:t xml:space="preserve">06_JHAC; Par informatīvo </w:t>
    </w:r>
    <w:smartTag w:uri="schemas-tilde-lv/tildestengine" w:element="veidnes">
      <w:smartTagPr>
        <w:attr w:name="baseform" w:val="ziņojum|s"/>
        <w:attr w:name="id" w:val="-1"/>
        <w:attr w:name="text" w:val="ziņojumu"/>
      </w:smartTagPr>
      <w:r w:rsidRPr="00D91F51">
        <w:rPr>
          <w:sz w:val="20"/>
          <w:szCs w:val="20"/>
        </w:rPr>
        <w:t>ziņojumu</w:t>
      </w:r>
    </w:smartTag>
    <w:r w:rsidRPr="00D91F51">
      <w:rPr>
        <w:sz w:val="20"/>
        <w:szCs w:val="20"/>
      </w:rPr>
      <w:t xml:space="preserve"> par 2006.gada 4. – </w:t>
    </w:r>
    <w:smartTag w:uri="schemas-tilde-lv/tildestengine" w:element="phone">
      <w:smartTagPr>
        <w:attr w:name="Day" w:val="5"/>
        <w:attr w:name="Month" w:val="12"/>
        <w:attr w:name="Year" w:val="2006"/>
      </w:smartTagPr>
      <w:smartTag w:uri="schemas-tilde-lv/tildestengine" w:element="date">
        <w:smartTagPr>
          <w:attr w:name="Day" w:val="5"/>
          <w:attr w:name="Month" w:val="12"/>
          <w:attr w:name="Year" w:val="2006"/>
        </w:smartTagPr>
        <w:r w:rsidRPr="00D91F51">
          <w:rPr>
            <w:sz w:val="20"/>
            <w:szCs w:val="20"/>
          </w:rPr>
          <w:t>5. decembra</w:t>
        </w:r>
      </w:smartTag>
    </w:smartTag>
    <w:r w:rsidRPr="00D91F51">
      <w:rPr>
        <w:sz w:val="20"/>
        <w:szCs w:val="20"/>
      </w:rPr>
      <w:t xml:space="preserve"> Eiropas Savienības Tieslietu un iekšlietu ministru padomē izskatāmajiem Tieslietu ministrijas kompetences jautājumiem.</w:t>
    </w:r>
  </w:p>
  <w:p w:rsidR="003E6B11" w:rsidRPr="000C2F0E" w:rsidRDefault="00113F0C" w:rsidP="000C2F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11" w:rsidRPr="00D41D27" w:rsidRDefault="00910C6F" w:rsidP="00D41D27">
    <w:pPr>
      <w:pStyle w:val="ListParagraph"/>
      <w:ind w:left="0"/>
      <w:jc w:val="both"/>
      <w:rPr>
        <w:sz w:val="20"/>
        <w:szCs w:val="20"/>
      </w:rPr>
    </w:pPr>
    <w:fldSimple w:instr=" FILENAME   \* MERGEFORMAT ">
      <w:r w:rsidR="00AA423E" w:rsidRPr="00AA423E">
        <w:rPr>
          <w:noProof/>
          <w:sz w:val="20"/>
          <w:szCs w:val="20"/>
        </w:rPr>
        <w:t>EMprot_221111_IZbuvatlaujas</w:t>
      </w:r>
    </w:fldSimple>
    <w:r w:rsidR="002A1F7D" w:rsidRPr="009B1103">
      <w:rPr>
        <w:sz w:val="20"/>
        <w:szCs w:val="20"/>
      </w:rPr>
      <w:t xml:space="preserve">; </w:t>
    </w:r>
    <w:r w:rsidR="002A1F7D">
      <w:rPr>
        <w:sz w:val="20"/>
        <w:szCs w:val="20"/>
      </w:rPr>
      <w:t xml:space="preserve">Ministru kabineta sēdes </w:t>
    </w:r>
    <w:proofErr w:type="spellStart"/>
    <w:r w:rsidR="002A1F7D">
      <w:rPr>
        <w:sz w:val="20"/>
        <w:szCs w:val="20"/>
      </w:rPr>
      <w:t>protokollēmuma</w:t>
    </w:r>
    <w:proofErr w:type="spellEnd"/>
    <w:r w:rsidR="002A1F7D">
      <w:rPr>
        <w:sz w:val="20"/>
        <w:szCs w:val="20"/>
      </w:rPr>
      <w:t xml:space="preserve"> projekts informatīvajam ziņojumam par spēkā esošo normatīvo regulējumu un kārtību saistībā ar izsniegto būvatļauju pagarināšanu un procesa optimizēšanu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F0C" w:rsidRDefault="00113F0C" w:rsidP="00282B04">
      <w:r>
        <w:separator/>
      </w:r>
    </w:p>
  </w:footnote>
  <w:footnote w:type="continuationSeparator" w:id="0">
    <w:p w:rsidR="00113F0C" w:rsidRDefault="00113F0C" w:rsidP="00282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11" w:rsidRDefault="00910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1F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B11" w:rsidRDefault="00113F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11" w:rsidRDefault="00910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1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DA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6B11" w:rsidRDefault="00113F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DAA"/>
    <w:rsid w:val="0001693A"/>
    <w:rsid w:val="00045666"/>
    <w:rsid w:val="00113F0C"/>
    <w:rsid w:val="001B1B2C"/>
    <w:rsid w:val="001F6ABB"/>
    <w:rsid w:val="00222F62"/>
    <w:rsid w:val="00282B04"/>
    <w:rsid w:val="002A1F7D"/>
    <w:rsid w:val="002F4260"/>
    <w:rsid w:val="00340ECD"/>
    <w:rsid w:val="003451F8"/>
    <w:rsid w:val="00377AB1"/>
    <w:rsid w:val="003D29E0"/>
    <w:rsid w:val="004150AE"/>
    <w:rsid w:val="0048161B"/>
    <w:rsid w:val="004A56A5"/>
    <w:rsid w:val="00531B44"/>
    <w:rsid w:val="005636C2"/>
    <w:rsid w:val="00591052"/>
    <w:rsid w:val="006729F5"/>
    <w:rsid w:val="0069333F"/>
    <w:rsid w:val="006E1C3A"/>
    <w:rsid w:val="00736D22"/>
    <w:rsid w:val="007425DC"/>
    <w:rsid w:val="00824DAA"/>
    <w:rsid w:val="00840101"/>
    <w:rsid w:val="008E15AC"/>
    <w:rsid w:val="008F29B8"/>
    <w:rsid w:val="00901EB2"/>
    <w:rsid w:val="00910C6F"/>
    <w:rsid w:val="0094372D"/>
    <w:rsid w:val="00963803"/>
    <w:rsid w:val="00AA3CF6"/>
    <w:rsid w:val="00AA423E"/>
    <w:rsid w:val="00B60E37"/>
    <w:rsid w:val="00B64592"/>
    <w:rsid w:val="00B818AD"/>
    <w:rsid w:val="00C77E2C"/>
    <w:rsid w:val="00CE08A8"/>
    <w:rsid w:val="00D74381"/>
    <w:rsid w:val="00E846F7"/>
    <w:rsid w:val="00EA7CC1"/>
    <w:rsid w:val="00F04374"/>
    <w:rsid w:val="00F04C47"/>
    <w:rsid w:val="00F9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date"/>
  <w:smartTagType w:namespaceuri="schemas-tilde-lv/tildestengine" w:name="veidn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4DAA"/>
    <w:rPr>
      <w:sz w:val="28"/>
    </w:rPr>
  </w:style>
  <w:style w:type="character" w:customStyle="1" w:styleId="BodyTextChar">
    <w:name w:val="Body Text Char"/>
    <w:basedOn w:val="DefaultParagraphFont"/>
    <w:link w:val="BodyText"/>
    <w:rsid w:val="00824DAA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824DAA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824DAA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824DAA"/>
  </w:style>
  <w:style w:type="paragraph" w:styleId="Title">
    <w:name w:val="Title"/>
    <w:basedOn w:val="Normal"/>
    <w:link w:val="TitleChar"/>
    <w:qFormat/>
    <w:rsid w:val="00824DAA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24DA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824D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24DA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24D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4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ga.Bucinska@em.gov.lv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Osa@em.gov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1214</Words>
  <Characters>693</Characters>
  <Application>Microsoft Office Word</Application>
  <DocSecurity>0</DocSecurity>
  <Lines>5</Lines>
  <Paragraphs>3</Paragraphs>
  <ScaleCrop>false</ScaleCrop>
  <Company>LR Ekonomikas ministrija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spēkā esošo normatīvo regulējumu un kārtību saistībā ar izsniegto būvatļauju pagarināšanu un procesa optimizēšanu"</dc:title>
  <dc:subject>MK sēdes protokollēmums</dc:subject>
  <dc:creator>Elga Bučinska</dc:creator>
  <cp:keywords/>
  <dc:description>67013032, Elga.Bucinska@em.gov.lv</dc:description>
  <cp:lastModifiedBy>Elga Bučinska</cp:lastModifiedBy>
  <cp:revision>11</cp:revision>
  <dcterms:created xsi:type="dcterms:W3CDTF">2011-11-21T08:25:00Z</dcterms:created>
  <dcterms:modified xsi:type="dcterms:W3CDTF">2011-11-22T14:38:00Z</dcterms:modified>
</cp:coreProperties>
</file>