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</w:p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</w:p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</w:p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</w:p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</w:p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17.maijā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224</w:t>
      </w:r>
    </w:p>
    <w:p w:rsidR="00837CB9" w:rsidRPr="009C2596" w:rsidRDefault="00837CB9" w:rsidP="00D2574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27 6</w:t>
      </w:r>
      <w:r w:rsidRPr="009C2596">
        <w:rPr>
          <w:sz w:val="28"/>
          <w:szCs w:val="28"/>
        </w:rPr>
        <w:t>.§)</w:t>
      </w:r>
    </w:p>
    <w:p w:rsidR="00837CB9" w:rsidRPr="009C2596" w:rsidRDefault="00837CB9" w:rsidP="00D2574A">
      <w:pPr>
        <w:tabs>
          <w:tab w:val="left" w:pos="6663"/>
        </w:tabs>
      </w:pPr>
    </w:p>
    <w:p w:rsidR="00837CB9" w:rsidRDefault="00837CB9" w:rsidP="00313AF3">
      <w:pPr>
        <w:pStyle w:val="BodyText"/>
        <w:spacing w:before="0"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AA3A04">
        <w:rPr>
          <w:b/>
          <w:sz w:val="28"/>
          <w:szCs w:val="28"/>
        </w:rPr>
        <w:t>Par Eirokodeksa standartu nacionālo ieviešanas plānu 2013.–2014.gadam</w:t>
      </w:r>
    </w:p>
    <w:p w:rsidR="00837CB9" w:rsidRPr="00AA3A04" w:rsidRDefault="00837CB9" w:rsidP="00D2574A">
      <w:pPr>
        <w:pStyle w:val="BodyText"/>
        <w:spacing w:before="0" w:after="0"/>
        <w:rPr>
          <w:b/>
          <w:sz w:val="28"/>
          <w:szCs w:val="28"/>
        </w:rPr>
      </w:pPr>
    </w:p>
    <w:bookmarkEnd w:id="0"/>
    <w:bookmarkEnd w:id="1"/>
    <w:p w:rsidR="00837CB9" w:rsidRPr="00AA3A04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3A04">
        <w:rPr>
          <w:sz w:val="28"/>
          <w:szCs w:val="28"/>
        </w:rPr>
        <w:t>Atbalstīt Eiroko</w:t>
      </w:r>
      <w:bookmarkStart w:id="2" w:name="_GoBack"/>
      <w:bookmarkEnd w:id="2"/>
      <w:r w:rsidRPr="00AA3A04">
        <w:rPr>
          <w:sz w:val="28"/>
          <w:szCs w:val="28"/>
        </w:rPr>
        <w:t>deksa standartu nacionālo ieviešanas plānu 2013.–2014.gadam (turpmāk – plāns).</w:t>
      </w:r>
    </w:p>
    <w:p w:rsidR="00837CB9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</w:p>
    <w:p w:rsidR="00837CB9" w:rsidRPr="00AA3A04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A3A04">
        <w:rPr>
          <w:sz w:val="28"/>
          <w:szCs w:val="28"/>
        </w:rPr>
        <w:t>Noteikt, ka par plāna izpildi atbildīgā institūcija ir Ekonomikas ministrija, bet līdzatbildīgā institūcija – Satiksmes ministrija.</w:t>
      </w:r>
    </w:p>
    <w:p w:rsidR="00837CB9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</w:p>
    <w:p w:rsidR="00837CB9" w:rsidRPr="00AA3A04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A3A04">
        <w:rPr>
          <w:sz w:val="28"/>
          <w:szCs w:val="28"/>
        </w:rPr>
        <w:t>Satiksmes ministrija</w:t>
      </w:r>
      <w:r>
        <w:rPr>
          <w:sz w:val="28"/>
          <w:szCs w:val="28"/>
        </w:rPr>
        <w:t>i</w:t>
      </w:r>
      <w:r w:rsidRPr="00AA3A04">
        <w:rPr>
          <w:sz w:val="28"/>
          <w:szCs w:val="28"/>
        </w:rPr>
        <w:t xml:space="preserve"> līdz 2014.</w:t>
      </w:r>
      <w:r>
        <w:rPr>
          <w:sz w:val="28"/>
          <w:szCs w:val="28"/>
        </w:rPr>
        <w:t>gada 1.martam iesniegt Ekonomikas ministrijā</w:t>
      </w:r>
      <w:r w:rsidRPr="00AA3A04">
        <w:rPr>
          <w:sz w:val="28"/>
          <w:szCs w:val="28"/>
        </w:rPr>
        <w:t xml:space="preserve"> informāciju par plāna uzdevumu izpildi iepriekšējā gadā.</w:t>
      </w:r>
    </w:p>
    <w:p w:rsidR="00837CB9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</w:p>
    <w:p w:rsidR="00837CB9" w:rsidRPr="00AA3A04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A3A04">
        <w:rPr>
          <w:sz w:val="28"/>
          <w:szCs w:val="28"/>
        </w:rPr>
        <w:t>Ekonomikas ministrija</w:t>
      </w:r>
      <w:r>
        <w:rPr>
          <w:sz w:val="28"/>
          <w:szCs w:val="28"/>
        </w:rPr>
        <w:t>i</w:t>
      </w:r>
      <w:r w:rsidRPr="00AA3A04">
        <w:rPr>
          <w:sz w:val="28"/>
          <w:szCs w:val="28"/>
        </w:rPr>
        <w:t xml:space="preserve"> sagatavo</w:t>
      </w:r>
      <w:r>
        <w:rPr>
          <w:sz w:val="28"/>
          <w:szCs w:val="28"/>
        </w:rPr>
        <w:t>t un ekonomikas ministram iesniegt</w:t>
      </w:r>
      <w:r w:rsidRPr="00AA3A04">
        <w:rPr>
          <w:sz w:val="28"/>
          <w:szCs w:val="28"/>
        </w:rPr>
        <w:t xml:space="preserve"> noteiktā kārtībā Ministru kabinetā informatīvo ziņojumu:</w:t>
      </w:r>
    </w:p>
    <w:p w:rsidR="00837CB9" w:rsidRPr="00AA3A04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A3A04">
        <w:rPr>
          <w:sz w:val="28"/>
          <w:szCs w:val="28"/>
        </w:rPr>
        <w:t xml:space="preserve"> par plāna īstenošanas gaitu 2013.gadā</w:t>
      </w:r>
      <w:r>
        <w:rPr>
          <w:sz w:val="28"/>
          <w:szCs w:val="28"/>
        </w:rPr>
        <w:t xml:space="preserve"> </w:t>
      </w:r>
      <w:r w:rsidRPr="00AA3A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3A04">
        <w:rPr>
          <w:sz w:val="28"/>
          <w:szCs w:val="28"/>
        </w:rPr>
        <w:t>līdz 2014.gada 31.martam;</w:t>
      </w:r>
    </w:p>
    <w:p w:rsidR="00837CB9" w:rsidRPr="00AA3A04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AA3A04">
        <w:rPr>
          <w:sz w:val="28"/>
          <w:szCs w:val="28"/>
        </w:rPr>
        <w:t xml:space="preserve"> par plāna izpildi – līdz 2015.gada 31.martam.</w:t>
      </w:r>
    </w:p>
    <w:p w:rsidR="00837CB9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</w:p>
    <w:p w:rsidR="00837CB9" w:rsidRDefault="00837CB9" w:rsidP="00D2574A">
      <w:pPr>
        <w:pStyle w:val="BodyText"/>
        <w:tabs>
          <w:tab w:val="left" w:pos="993"/>
        </w:tabs>
        <w:spacing w:before="0"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Jautājumu</w:t>
      </w:r>
      <w:r w:rsidRPr="00AA3A04">
        <w:rPr>
          <w:sz w:val="28"/>
          <w:szCs w:val="28"/>
        </w:rPr>
        <w:t xml:space="preserve"> par papildu valsts budžeta līdzekļu piešķiršanu 2013. un 2014.gadā </w:t>
      </w:r>
      <w:r>
        <w:rPr>
          <w:sz w:val="28"/>
          <w:szCs w:val="28"/>
        </w:rPr>
        <w:t>izskatīt</w:t>
      </w:r>
      <w:r w:rsidRPr="00AA3A04">
        <w:rPr>
          <w:sz w:val="28"/>
          <w:szCs w:val="28"/>
        </w:rPr>
        <w:t xml:space="preserve"> Ministru kabinetā vienlaikus</w:t>
      </w:r>
      <w:r w:rsidRPr="00AF384B">
        <w:rPr>
          <w:sz w:val="28"/>
          <w:szCs w:val="28"/>
        </w:rPr>
        <w:t xml:space="preserve"> ar visu ministriju budžeta prioritāšu pieteikumiem, sagatavojot </w:t>
      </w:r>
      <w:r>
        <w:rPr>
          <w:sz w:val="28"/>
          <w:szCs w:val="28"/>
        </w:rPr>
        <w:t>likum</w:t>
      </w:r>
      <w:r w:rsidRPr="00AF384B">
        <w:rPr>
          <w:sz w:val="28"/>
          <w:szCs w:val="28"/>
        </w:rPr>
        <w:t xml:space="preserve">projektu </w:t>
      </w:r>
      <w:r>
        <w:rPr>
          <w:sz w:val="28"/>
          <w:szCs w:val="28"/>
        </w:rPr>
        <w:t>par valsts budžetu</w:t>
      </w:r>
      <w:r w:rsidRPr="00AF384B">
        <w:rPr>
          <w:sz w:val="28"/>
          <w:szCs w:val="28"/>
        </w:rPr>
        <w:t xml:space="preserve"> kārtējam gadam.</w:t>
      </w:r>
    </w:p>
    <w:p w:rsidR="00837CB9" w:rsidRDefault="00837CB9" w:rsidP="00D2574A">
      <w:pPr>
        <w:pStyle w:val="BodyText"/>
        <w:tabs>
          <w:tab w:val="right" w:pos="9072"/>
        </w:tabs>
        <w:spacing w:before="0" w:after="0"/>
        <w:rPr>
          <w:sz w:val="28"/>
          <w:szCs w:val="28"/>
        </w:rPr>
      </w:pPr>
    </w:p>
    <w:p w:rsidR="00837CB9" w:rsidRDefault="00837CB9" w:rsidP="00D2574A">
      <w:pPr>
        <w:pStyle w:val="BodyText"/>
        <w:tabs>
          <w:tab w:val="right" w:pos="9072"/>
        </w:tabs>
        <w:spacing w:before="0" w:after="0"/>
        <w:rPr>
          <w:sz w:val="28"/>
          <w:szCs w:val="28"/>
        </w:rPr>
      </w:pPr>
    </w:p>
    <w:p w:rsidR="00837CB9" w:rsidRDefault="00837CB9" w:rsidP="00D2574A">
      <w:pPr>
        <w:pStyle w:val="BodyText"/>
        <w:tabs>
          <w:tab w:val="right" w:pos="9072"/>
        </w:tabs>
        <w:spacing w:before="0" w:after="0"/>
        <w:rPr>
          <w:sz w:val="28"/>
          <w:szCs w:val="28"/>
        </w:rPr>
      </w:pPr>
    </w:p>
    <w:p w:rsidR="00837CB9" w:rsidRPr="00AF384B" w:rsidRDefault="00837CB9" w:rsidP="00D2574A">
      <w:pPr>
        <w:pStyle w:val="BodyText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:rsidR="00837CB9" w:rsidRDefault="00837CB9" w:rsidP="00D2574A">
      <w:pPr>
        <w:pStyle w:val="BodyText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</w:p>
    <w:p w:rsidR="00837CB9" w:rsidRDefault="00837CB9" w:rsidP="00D2574A">
      <w:pPr>
        <w:pStyle w:val="BodyText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</w:p>
    <w:p w:rsidR="00837CB9" w:rsidRDefault="00837CB9" w:rsidP="00D2574A">
      <w:pPr>
        <w:pStyle w:val="BodyText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</w:p>
    <w:p w:rsidR="00837CB9" w:rsidRDefault="00837CB9" w:rsidP="00D2574A">
      <w:pPr>
        <w:pStyle w:val="BodyText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D.Pavļuts</w:t>
      </w:r>
    </w:p>
    <w:p w:rsidR="00837CB9" w:rsidRDefault="00837CB9" w:rsidP="00D2574A">
      <w:pPr>
        <w:pStyle w:val="BodyText"/>
        <w:spacing w:before="0" w:after="0"/>
      </w:pPr>
    </w:p>
    <w:sectPr w:rsidR="00837CB9" w:rsidSect="00D2574A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B9" w:rsidRDefault="00837CB9" w:rsidP="00A47932">
      <w:r>
        <w:separator/>
      </w:r>
    </w:p>
  </w:endnote>
  <w:endnote w:type="continuationSeparator" w:id="0">
    <w:p w:rsidR="00837CB9" w:rsidRDefault="00837CB9" w:rsidP="00A4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B9" w:rsidRPr="00D2574A" w:rsidRDefault="00837CB9">
    <w:pPr>
      <w:pStyle w:val="Footer"/>
      <w:rPr>
        <w:sz w:val="16"/>
        <w:szCs w:val="16"/>
      </w:rPr>
    </w:pPr>
    <w:r w:rsidRPr="00D2574A">
      <w:rPr>
        <w:sz w:val="16"/>
        <w:szCs w:val="16"/>
      </w:rPr>
      <w:t>R0749_2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B9" w:rsidRDefault="00837CB9" w:rsidP="00A47932">
      <w:r>
        <w:separator/>
      </w:r>
    </w:p>
  </w:footnote>
  <w:footnote w:type="continuationSeparator" w:id="0">
    <w:p w:rsidR="00837CB9" w:rsidRDefault="00837CB9" w:rsidP="00A4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B9" w:rsidRDefault="00837CB9" w:rsidP="00D2574A">
    <w:pPr>
      <w:pStyle w:val="Header"/>
      <w:jc w:val="center"/>
    </w:pPr>
    <w:r w:rsidRPr="00174EE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1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B6"/>
    <w:rsid w:val="000075FF"/>
    <w:rsid w:val="00021AC9"/>
    <w:rsid w:val="00054343"/>
    <w:rsid w:val="0005550F"/>
    <w:rsid w:val="00061F42"/>
    <w:rsid w:val="000954A2"/>
    <w:rsid w:val="000B5EB7"/>
    <w:rsid w:val="000F03BE"/>
    <w:rsid w:val="00104D9D"/>
    <w:rsid w:val="00123241"/>
    <w:rsid w:val="00155E42"/>
    <w:rsid w:val="00174EED"/>
    <w:rsid w:val="00185C63"/>
    <w:rsid w:val="002630D5"/>
    <w:rsid w:val="00273A73"/>
    <w:rsid w:val="00292E32"/>
    <w:rsid w:val="002B5A29"/>
    <w:rsid w:val="002B76A0"/>
    <w:rsid w:val="00313AF3"/>
    <w:rsid w:val="0033127F"/>
    <w:rsid w:val="0037041E"/>
    <w:rsid w:val="003F15A5"/>
    <w:rsid w:val="00446B19"/>
    <w:rsid w:val="00463895"/>
    <w:rsid w:val="00465421"/>
    <w:rsid w:val="004B2DB7"/>
    <w:rsid w:val="004D03B3"/>
    <w:rsid w:val="004E2EA2"/>
    <w:rsid w:val="004F1257"/>
    <w:rsid w:val="00537F25"/>
    <w:rsid w:val="00562557"/>
    <w:rsid w:val="00562D39"/>
    <w:rsid w:val="00571FDC"/>
    <w:rsid w:val="00577AA0"/>
    <w:rsid w:val="005A4089"/>
    <w:rsid w:val="00625D48"/>
    <w:rsid w:val="006501B6"/>
    <w:rsid w:val="00690D80"/>
    <w:rsid w:val="00704E3F"/>
    <w:rsid w:val="00715591"/>
    <w:rsid w:val="007307ED"/>
    <w:rsid w:val="007407F8"/>
    <w:rsid w:val="00752AEB"/>
    <w:rsid w:val="00754C86"/>
    <w:rsid w:val="0079163C"/>
    <w:rsid w:val="0081505A"/>
    <w:rsid w:val="00815DB6"/>
    <w:rsid w:val="00837CB9"/>
    <w:rsid w:val="009871DE"/>
    <w:rsid w:val="009A00C7"/>
    <w:rsid w:val="009C2596"/>
    <w:rsid w:val="00A4771C"/>
    <w:rsid w:val="00A47932"/>
    <w:rsid w:val="00A87E8B"/>
    <w:rsid w:val="00AA3A04"/>
    <w:rsid w:val="00AD3487"/>
    <w:rsid w:val="00AF384B"/>
    <w:rsid w:val="00B30C48"/>
    <w:rsid w:val="00B527BD"/>
    <w:rsid w:val="00B9187D"/>
    <w:rsid w:val="00B973AC"/>
    <w:rsid w:val="00BB1CA7"/>
    <w:rsid w:val="00BC5812"/>
    <w:rsid w:val="00BE3C71"/>
    <w:rsid w:val="00BE517D"/>
    <w:rsid w:val="00C101FC"/>
    <w:rsid w:val="00C222AB"/>
    <w:rsid w:val="00CD67E9"/>
    <w:rsid w:val="00CF2E3E"/>
    <w:rsid w:val="00D168EB"/>
    <w:rsid w:val="00D2574A"/>
    <w:rsid w:val="00DF15A0"/>
    <w:rsid w:val="00E25D9E"/>
    <w:rsid w:val="00E82761"/>
    <w:rsid w:val="00EB6D3A"/>
    <w:rsid w:val="00ED3547"/>
    <w:rsid w:val="00EE3CF7"/>
    <w:rsid w:val="00F54E90"/>
    <w:rsid w:val="00F6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42"/>
    <w:rPr>
      <w:sz w:val="2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5E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2B4"/>
    <w:rPr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55E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421"/>
    <w:rPr>
      <w:rFonts w:cs="Times New Roman"/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5E42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2B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55E42"/>
    <w:pPr>
      <w:widowControl w:val="0"/>
      <w:spacing w:before="60"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2B4"/>
    <w:rPr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0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1B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B6D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684</Words>
  <Characters>391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Eirokodeksa standartu nacionālo ieviešanas plānu 2012. – 2013. gadam</dc:title>
  <dc:subject>Rīkojuma projekts</dc:subject>
  <dc:creator>Mareks Zakutajevs</dc:creator>
  <cp:keywords/>
  <dc:description>Mareks.Zakutajevs@em.gov.lv67013035</dc:description>
  <cp:lastModifiedBy>Lietotajs</cp:lastModifiedBy>
  <cp:revision>47</cp:revision>
  <cp:lastPrinted>2012-04-20T11:52:00Z</cp:lastPrinted>
  <dcterms:created xsi:type="dcterms:W3CDTF">2012-01-09T09:20:00Z</dcterms:created>
  <dcterms:modified xsi:type="dcterms:W3CDTF">2012-05-17T12:04:00Z</dcterms:modified>
</cp:coreProperties>
</file>