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E7E" w:rsidRPr="00300F62" w:rsidRDefault="00CD7E7E" w:rsidP="00CD7E7E">
      <w:pPr>
        <w:jc w:val="center"/>
        <w:rPr>
          <w:b/>
          <w:sz w:val="23"/>
          <w:szCs w:val="23"/>
          <w:lang w:val="lv-LV"/>
        </w:rPr>
      </w:pPr>
      <w:bookmarkStart w:id="0" w:name="_GoBack"/>
      <w:bookmarkEnd w:id="0"/>
    </w:p>
    <w:p w:rsidR="00CD7E7E" w:rsidRDefault="00CD7E7E" w:rsidP="00CD7E7E">
      <w:pPr>
        <w:jc w:val="center"/>
        <w:rPr>
          <w:b/>
          <w:lang w:val="lv-LV"/>
        </w:rPr>
      </w:pPr>
      <w:r>
        <w:rPr>
          <w:b/>
          <w:lang w:val="lv-LV"/>
        </w:rPr>
        <w:t>Ministru kabineta noteikumu projekta „</w:t>
      </w:r>
      <w:r w:rsidRPr="002816D3">
        <w:rPr>
          <w:b/>
          <w:lang w:val="lv-LV"/>
        </w:rPr>
        <w:t xml:space="preserve">Grozījumi Ministru kabineta </w:t>
      </w:r>
    </w:p>
    <w:p w:rsidR="00CD7E7E" w:rsidRDefault="00CD7E7E" w:rsidP="00CD7E7E">
      <w:pPr>
        <w:jc w:val="center"/>
        <w:rPr>
          <w:b/>
          <w:lang w:val="lv-LV"/>
        </w:rPr>
      </w:pPr>
      <w:r>
        <w:rPr>
          <w:b/>
          <w:lang w:val="lv-LV"/>
        </w:rPr>
        <w:t xml:space="preserve">2011.gada 24.maija </w:t>
      </w:r>
      <w:r w:rsidRPr="002816D3">
        <w:rPr>
          <w:b/>
          <w:lang w:val="lv-LV"/>
        </w:rPr>
        <w:t>noteikumos Nr.</w:t>
      </w:r>
      <w:r>
        <w:rPr>
          <w:b/>
          <w:lang w:val="lv-LV"/>
        </w:rPr>
        <w:t>396</w:t>
      </w:r>
      <w:r w:rsidRPr="002816D3">
        <w:rPr>
          <w:b/>
          <w:lang w:val="lv-LV"/>
        </w:rPr>
        <w:t xml:space="preserve"> „Noteikumi </w:t>
      </w:r>
      <w:r>
        <w:rPr>
          <w:b/>
          <w:lang w:val="lv-LV"/>
        </w:rPr>
        <w:t>par finanšu stabilitātes nodevas taksācijas perioda deklarāciju un aizpildīšanas kārtību</w:t>
      </w:r>
      <w:r w:rsidRPr="002816D3">
        <w:rPr>
          <w:b/>
          <w:lang w:val="lv-LV"/>
        </w:rPr>
        <w:t>”</w:t>
      </w:r>
      <w:r>
        <w:rPr>
          <w:b/>
          <w:lang w:val="lv-LV"/>
        </w:rPr>
        <w:t>”</w:t>
      </w:r>
      <w:r w:rsidRPr="00CE5BB9">
        <w:rPr>
          <w:b/>
          <w:lang w:val="lv-LV"/>
        </w:rPr>
        <w:t xml:space="preserve"> </w:t>
      </w:r>
    </w:p>
    <w:p w:rsidR="00CD7E7E" w:rsidRPr="00CE5BB9" w:rsidRDefault="00CD7E7E" w:rsidP="00CD7E7E">
      <w:pPr>
        <w:jc w:val="center"/>
        <w:rPr>
          <w:b/>
          <w:bCs/>
          <w:lang w:val="lv-LV"/>
        </w:rPr>
      </w:pPr>
      <w:r w:rsidRPr="00CE5BB9">
        <w:rPr>
          <w:b/>
          <w:bCs/>
          <w:lang w:val="lv-LV"/>
        </w:rPr>
        <w:t>sākotnējās ietekmes novērtējuma ziņojums (anotācija)</w:t>
      </w:r>
    </w:p>
    <w:p w:rsidR="00CD7E7E" w:rsidRPr="00300F62" w:rsidRDefault="00CD7E7E" w:rsidP="00CD7E7E">
      <w:pPr>
        <w:jc w:val="center"/>
        <w:rPr>
          <w:b/>
          <w:sz w:val="23"/>
          <w:szCs w:val="23"/>
          <w:lang w:val="lv-LV"/>
        </w:rPr>
      </w:pPr>
    </w:p>
    <w:tbl>
      <w:tblPr>
        <w:tblW w:w="5103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"/>
        <w:gridCol w:w="2304"/>
        <w:gridCol w:w="6624"/>
      </w:tblGrid>
      <w:tr w:rsidR="00CD7E7E" w:rsidRPr="00300F62" w:rsidTr="00FC171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b/>
                <w:bCs/>
                <w:sz w:val="23"/>
                <w:szCs w:val="23"/>
                <w:lang w:val="lv-LV"/>
              </w:rPr>
            </w:pPr>
            <w:r w:rsidRPr="00300F62">
              <w:rPr>
                <w:b/>
                <w:bCs/>
                <w:sz w:val="23"/>
                <w:szCs w:val="23"/>
                <w:lang w:val="lv-LV"/>
              </w:rPr>
              <w:t>I. Tiesību akta projekta izstrādes nepieciešamība</w:t>
            </w:r>
          </w:p>
        </w:tc>
      </w:tr>
      <w:tr w:rsidR="00CD7E7E" w:rsidRPr="00300F62" w:rsidTr="00FC171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1.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Pamatojums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Default="00CD7E7E" w:rsidP="00CD7E7E">
            <w:pPr>
              <w:numPr>
                <w:ilvl w:val="0"/>
                <w:numId w:val="1"/>
              </w:numPr>
              <w:jc w:val="both"/>
              <w:rPr>
                <w:sz w:val="23"/>
                <w:szCs w:val="23"/>
                <w:lang w:val="lv-LV"/>
              </w:rPr>
            </w:pPr>
            <w:proofErr w:type="spellStart"/>
            <w:r w:rsidRPr="00437D6A">
              <w:rPr>
                <w:i/>
                <w:sz w:val="23"/>
                <w:szCs w:val="23"/>
                <w:lang w:val="lv-LV"/>
              </w:rPr>
              <w:t>Euro</w:t>
            </w:r>
            <w:proofErr w:type="spellEnd"/>
            <w:r>
              <w:rPr>
                <w:sz w:val="23"/>
                <w:szCs w:val="23"/>
                <w:lang w:val="lv-LV"/>
              </w:rPr>
              <w:t xml:space="preserve"> ieviešanas kārtības likuma 30.panta pirmā daļa;</w:t>
            </w:r>
          </w:p>
          <w:p w:rsidR="00CD7E7E" w:rsidRPr="00300F62" w:rsidRDefault="00CD7E7E" w:rsidP="00CD7E7E">
            <w:pPr>
              <w:numPr>
                <w:ilvl w:val="0"/>
                <w:numId w:val="1"/>
              </w:numPr>
              <w:ind w:left="0" w:firstLine="360"/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Ministru kabineta 2012.gada 27.jūnija rīkojuma Nr.282 „Par „Koncepciju par normatīvo aktu sakārtošanu saistībā ar eiro ieviešanu Latvijā”” 3.pielikuma 5.punkts.</w:t>
            </w:r>
          </w:p>
        </w:tc>
      </w:tr>
      <w:tr w:rsidR="00CD7E7E" w:rsidRPr="00300F62" w:rsidTr="00FC171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2.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Pašreizējā situācija un problēmas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Default="00CD7E7E" w:rsidP="00FC1715">
            <w:pPr>
              <w:jc w:val="both"/>
              <w:rPr>
                <w:sz w:val="23"/>
                <w:szCs w:val="23"/>
                <w:lang w:val="lv-LV"/>
              </w:rPr>
            </w:pPr>
            <w:r w:rsidRPr="00E85756">
              <w:rPr>
                <w:sz w:val="23"/>
                <w:szCs w:val="23"/>
                <w:lang w:val="lv-LV"/>
              </w:rPr>
              <w:t>Šobrīd Ministru kabineta 2011.gada 24.maija noteikumu Nr.396 „Noteikumi par finanšu stabilitātes nodevas taksācijas perioda deklarāciju un aizpildīšanas kārtību”</w:t>
            </w:r>
            <w:r w:rsidRPr="00A96B2D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2.punkta un pielikuma tekstā tiek lietots vārds „lats” attiecīgajā locījumā, kā arī summa ir norādīta latos.</w:t>
            </w:r>
          </w:p>
          <w:p w:rsidR="00CD7E7E" w:rsidRDefault="00CD7E7E" w:rsidP="00FC1715">
            <w:pPr>
              <w:jc w:val="both"/>
              <w:rPr>
                <w:sz w:val="23"/>
                <w:szCs w:val="23"/>
                <w:lang w:val="lv-LV"/>
              </w:rPr>
            </w:pPr>
          </w:p>
          <w:p w:rsidR="00CD7E7E" w:rsidRPr="00300F62" w:rsidRDefault="00CD7E7E" w:rsidP="00FC1715">
            <w:pPr>
              <w:jc w:val="both"/>
              <w:rPr>
                <w:sz w:val="23"/>
                <w:szCs w:val="23"/>
                <w:lang w:val="lv-LV"/>
              </w:rPr>
            </w:pPr>
            <w:r w:rsidRPr="00CF6A22">
              <w:rPr>
                <w:bCs/>
                <w:sz w:val="23"/>
                <w:szCs w:val="23"/>
                <w:lang w:val="lv-LV"/>
              </w:rPr>
              <w:t xml:space="preserve">Deklarācijas par Valda </w:t>
            </w:r>
            <w:proofErr w:type="spellStart"/>
            <w:r w:rsidRPr="00CF6A22">
              <w:rPr>
                <w:bCs/>
                <w:sz w:val="23"/>
                <w:szCs w:val="23"/>
                <w:lang w:val="lv-LV"/>
              </w:rPr>
              <w:t>Dombrovska</w:t>
            </w:r>
            <w:proofErr w:type="spellEnd"/>
            <w:r w:rsidRPr="00CF6A22">
              <w:rPr>
                <w:bCs/>
                <w:sz w:val="23"/>
                <w:szCs w:val="23"/>
                <w:lang w:val="lv-LV"/>
              </w:rPr>
              <w:t xml:space="preserve"> vadītā Ministru kabineta iecerēto darbību II sadaļas 1.punkts paredz, ka Latvija plāno iekļauties eiro zonā jau 2014.gadā. </w:t>
            </w:r>
            <w:r w:rsidRPr="008A6D58">
              <w:rPr>
                <w:bCs/>
                <w:sz w:val="23"/>
                <w:szCs w:val="23"/>
                <w:lang w:val="lv-LV"/>
              </w:rPr>
              <w:t xml:space="preserve">Ņemot vērā, ka pēc iestāšanās </w:t>
            </w:r>
            <w:proofErr w:type="spellStart"/>
            <w:r w:rsidRPr="00A96B2D">
              <w:rPr>
                <w:bCs/>
                <w:i/>
                <w:sz w:val="23"/>
                <w:szCs w:val="23"/>
                <w:lang w:val="lv-LV"/>
              </w:rPr>
              <w:t>euro</w:t>
            </w:r>
            <w:proofErr w:type="spellEnd"/>
            <w:r w:rsidRPr="008A6D58">
              <w:rPr>
                <w:bCs/>
                <w:sz w:val="23"/>
                <w:szCs w:val="23"/>
                <w:lang w:val="lv-LV"/>
              </w:rPr>
              <w:t xml:space="preserve"> zonā, likumīgais maksāšanas līdzeklis būs nevis lats, bet </w:t>
            </w:r>
            <w:proofErr w:type="spellStart"/>
            <w:r w:rsidRPr="008A6D58">
              <w:rPr>
                <w:bCs/>
                <w:i/>
                <w:sz w:val="23"/>
                <w:szCs w:val="23"/>
                <w:lang w:val="lv-LV"/>
              </w:rPr>
              <w:t>euro</w:t>
            </w:r>
            <w:proofErr w:type="spellEnd"/>
            <w:r w:rsidRPr="008A6D58">
              <w:rPr>
                <w:bCs/>
                <w:sz w:val="23"/>
                <w:szCs w:val="23"/>
                <w:lang w:val="lv-LV"/>
              </w:rPr>
              <w:t xml:space="preserve">, ir nepieciešams nodrošināt tiesību aktu pielāgošanu </w:t>
            </w:r>
            <w:proofErr w:type="spellStart"/>
            <w:r w:rsidRPr="008A6D58">
              <w:rPr>
                <w:bCs/>
                <w:i/>
                <w:sz w:val="23"/>
                <w:szCs w:val="23"/>
                <w:lang w:val="lv-LV"/>
              </w:rPr>
              <w:t>euro</w:t>
            </w:r>
            <w:proofErr w:type="spellEnd"/>
            <w:r w:rsidRPr="008A6D58">
              <w:rPr>
                <w:bCs/>
                <w:sz w:val="23"/>
                <w:szCs w:val="23"/>
                <w:lang w:val="lv-LV"/>
              </w:rPr>
              <w:t xml:space="preserve"> ieviešanai Latvijā.</w:t>
            </w:r>
          </w:p>
        </w:tc>
      </w:tr>
      <w:tr w:rsidR="00CD7E7E" w:rsidRPr="00300F62" w:rsidTr="00FC171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 xml:space="preserve"> 3.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Saistītie politikas ietekmes novērtējumi un pētījumi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Projekts šo jomu neskar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</w:tr>
      <w:tr w:rsidR="00CD7E7E" w:rsidRPr="00300F62" w:rsidTr="00FC171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4.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Tiesiskā regulējuma mērķis un būtība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Default="00CD7E7E" w:rsidP="00FC1715">
            <w:pPr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Projekta</w:t>
            </w:r>
            <w:r w:rsidRPr="00300F62">
              <w:rPr>
                <w:sz w:val="23"/>
                <w:szCs w:val="23"/>
                <w:lang w:val="lv-LV"/>
              </w:rPr>
              <w:t xml:space="preserve"> mērķis ir </w:t>
            </w:r>
            <w:r>
              <w:rPr>
                <w:sz w:val="23"/>
                <w:szCs w:val="23"/>
                <w:lang w:val="lv-LV"/>
              </w:rPr>
              <w:t>ar 2014.gada 1.janvāri Ministru kabineta 2011</w:t>
            </w:r>
            <w:r w:rsidRPr="00E168B8">
              <w:rPr>
                <w:sz w:val="23"/>
                <w:szCs w:val="23"/>
                <w:lang w:val="lv-LV"/>
              </w:rPr>
              <w:t xml:space="preserve">.gada </w:t>
            </w:r>
            <w:r>
              <w:rPr>
                <w:sz w:val="23"/>
                <w:szCs w:val="23"/>
                <w:lang w:val="lv-LV"/>
              </w:rPr>
              <w:t>24.maija</w:t>
            </w:r>
            <w:r w:rsidRPr="00E168B8">
              <w:rPr>
                <w:sz w:val="23"/>
                <w:szCs w:val="23"/>
                <w:lang w:val="lv-LV"/>
              </w:rPr>
              <w:t xml:space="preserve"> noteikumos Nr.</w:t>
            </w:r>
            <w:r>
              <w:rPr>
                <w:sz w:val="23"/>
                <w:szCs w:val="23"/>
                <w:lang w:val="lv-LV"/>
              </w:rPr>
              <w:t>396</w:t>
            </w:r>
            <w:r w:rsidRPr="00E168B8">
              <w:rPr>
                <w:sz w:val="23"/>
                <w:szCs w:val="23"/>
                <w:lang w:val="lv-LV"/>
              </w:rPr>
              <w:t xml:space="preserve"> „</w:t>
            </w:r>
            <w:r w:rsidRPr="00E85756">
              <w:rPr>
                <w:sz w:val="23"/>
                <w:szCs w:val="23"/>
                <w:lang w:val="lv-LV"/>
              </w:rPr>
              <w:t>Noteikumi par finanšu stabilitātes nodevas taksācijas perioda deklarāciju un aizpildīšanas kārtību</w:t>
            </w:r>
            <w:r w:rsidRPr="00E168B8">
              <w:rPr>
                <w:sz w:val="23"/>
                <w:szCs w:val="23"/>
                <w:lang w:val="lv-LV"/>
              </w:rPr>
              <w:t xml:space="preserve">” </w:t>
            </w:r>
            <w:r>
              <w:rPr>
                <w:sz w:val="23"/>
                <w:szCs w:val="23"/>
                <w:lang w:val="lv-LV"/>
              </w:rPr>
              <w:t xml:space="preserve">aizstāt vārdu </w:t>
            </w:r>
            <w:r w:rsidRPr="00E85756">
              <w:rPr>
                <w:i/>
                <w:sz w:val="23"/>
                <w:szCs w:val="23"/>
                <w:lang w:val="lv-LV"/>
              </w:rPr>
              <w:t>„Lats”</w:t>
            </w:r>
            <w:r>
              <w:rPr>
                <w:sz w:val="23"/>
                <w:szCs w:val="23"/>
                <w:lang w:val="lv-LV"/>
              </w:rPr>
              <w:t xml:space="preserve"> attiecīgajā locījumā ar vārdu </w:t>
            </w:r>
            <w:r w:rsidRPr="00E85756">
              <w:rPr>
                <w:i/>
                <w:sz w:val="23"/>
                <w:szCs w:val="23"/>
                <w:lang w:val="lv-LV"/>
              </w:rPr>
              <w:t>„</w:t>
            </w:r>
            <w:proofErr w:type="spellStart"/>
            <w:r w:rsidRPr="00E85756">
              <w:rPr>
                <w:i/>
                <w:sz w:val="23"/>
                <w:szCs w:val="23"/>
                <w:lang w:val="lv-LV"/>
              </w:rPr>
              <w:t>Euro</w:t>
            </w:r>
            <w:proofErr w:type="spellEnd"/>
            <w:r>
              <w:rPr>
                <w:i/>
                <w:sz w:val="23"/>
                <w:szCs w:val="23"/>
                <w:lang w:val="lv-LV"/>
              </w:rPr>
              <w:t>”</w:t>
            </w:r>
            <w:r w:rsidRPr="00DB2CB1">
              <w:rPr>
                <w:sz w:val="23"/>
                <w:szCs w:val="23"/>
                <w:lang w:val="lv-LV"/>
              </w:rPr>
              <w:t xml:space="preserve"> </w:t>
            </w:r>
            <w:r>
              <w:rPr>
                <w:sz w:val="23"/>
                <w:szCs w:val="23"/>
                <w:lang w:val="lv-LV"/>
              </w:rPr>
              <w:t>attiecīgajā locījumā.</w:t>
            </w:r>
          </w:p>
          <w:p w:rsidR="00CD7E7E" w:rsidRPr="00695ADE" w:rsidRDefault="00CD7E7E" w:rsidP="00FC1715">
            <w:pPr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2.punkā norādītā summa attiecas uz noapaļošanas metodi, līdz ar to tā netiek konvertēta.</w:t>
            </w:r>
          </w:p>
        </w:tc>
      </w:tr>
      <w:tr w:rsidR="00CD7E7E" w:rsidRPr="00300F62" w:rsidTr="00FC1715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5.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Projekta izstrādē iesaistītās institūcijas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Projekts šo jomu neskar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</w:tr>
      <w:tr w:rsidR="00CD7E7E" w:rsidRPr="00300F62" w:rsidTr="00FC1715">
        <w:trPr>
          <w:trHeight w:val="1193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6.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Iemesli, kādēļ netika nodrošināta sabiedrības līdzdalība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Projekts šo jomu neskar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</w:tr>
      <w:tr w:rsidR="00CD7E7E" w:rsidRPr="00300F62" w:rsidTr="00FC1715">
        <w:trPr>
          <w:trHeight w:val="488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7.</w:t>
            </w:r>
          </w:p>
        </w:tc>
        <w:tc>
          <w:tcPr>
            <w:tcW w:w="123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Cita informācija</w:t>
            </w:r>
          </w:p>
        </w:tc>
        <w:tc>
          <w:tcPr>
            <w:tcW w:w="355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line="240" w:lineRule="atLeast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Nav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</w:tr>
    </w:tbl>
    <w:p w:rsidR="00CD7E7E" w:rsidRPr="00300F62" w:rsidRDefault="00CD7E7E" w:rsidP="00CD7E7E">
      <w:pPr>
        <w:jc w:val="both"/>
        <w:rPr>
          <w:sz w:val="23"/>
          <w:szCs w:val="23"/>
          <w:lang w:val="lv-LV"/>
        </w:rPr>
      </w:pPr>
      <w:r w:rsidRPr="00300F62">
        <w:rPr>
          <w:sz w:val="23"/>
          <w:szCs w:val="23"/>
          <w:lang w:val="lv-LV"/>
        </w:rPr>
        <w:t> </w:t>
      </w:r>
    </w:p>
    <w:tbl>
      <w:tblPr>
        <w:tblW w:w="5105" w:type="pct"/>
        <w:tblInd w:w="-112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83"/>
        <w:gridCol w:w="4095"/>
        <w:gridCol w:w="4645"/>
      </w:tblGrid>
      <w:tr w:rsidR="00CD7E7E" w:rsidRPr="00300F62" w:rsidTr="00FC1715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b/>
                <w:bCs/>
                <w:sz w:val="23"/>
                <w:szCs w:val="23"/>
                <w:lang w:val="lv-LV"/>
              </w:rPr>
            </w:pPr>
            <w:r w:rsidRPr="00300F62">
              <w:rPr>
                <w:b/>
                <w:bCs/>
                <w:sz w:val="23"/>
                <w:szCs w:val="23"/>
                <w:lang w:val="lv-LV"/>
              </w:rPr>
              <w:t>II. Tiesību akta projekta ietekme uz sabiedrību</w:t>
            </w:r>
          </w:p>
        </w:tc>
      </w:tr>
      <w:tr w:rsidR="00CD7E7E" w:rsidRPr="00300F62" w:rsidTr="00FC171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1.</w:t>
            </w:r>
          </w:p>
        </w:tc>
        <w:tc>
          <w:tcPr>
            <w:tcW w:w="2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 xml:space="preserve">Sabiedrības </w:t>
            </w:r>
            <w:proofErr w:type="spellStart"/>
            <w:r w:rsidRPr="00300F62">
              <w:rPr>
                <w:sz w:val="23"/>
                <w:szCs w:val="23"/>
                <w:lang w:val="lv-LV"/>
              </w:rPr>
              <w:t>mērķgrupa</w:t>
            </w:r>
            <w:proofErr w:type="spellEnd"/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tabs>
                <w:tab w:val="left" w:pos="927"/>
                <w:tab w:val="left" w:pos="3222"/>
              </w:tabs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Latvijas Republikā reģistrētas kredītiestādes (izņemot elektroniskās naudas institūcijas) un to filiāles dalībvalstīs un ārvalstīs, kā arī dalībvalstīs un ārvalstīs reģistrēto kredītiestāžu filiālēs Latvijas Republikā.</w:t>
            </w:r>
          </w:p>
        </w:tc>
      </w:tr>
      <w:tr w:rsidR="00CD7E7E" w:rsidRPr="00300F62" w:rsidTr="00FC171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2.</w:t>
            </w:r>
          </w:p>
        </w:tc>
        <w:tc>
          <w:tcPr>
            <w:tcW w:w="2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 xml:space="preserve">Citas sabiedrības grupas (bez </w:t>
            </w:r>
            <w:proofErr w:type="spellStart"/>
            <w:r w:rsidRPr="00300F62">
              <w:rPr>
                <w:sz w:val="23"/>
                <w:szCs w:val="23"/>
                <w:lang w:val="lv-LV"/>
              </w:rPr>
              <w:t>mērķgrupas</w:t>
            </w:r>
            <w:proofErr w:type="spellEnd"/>
            <w:r w:rsidRPr="00300F62">
              <w:rPr>
                <w:sz w:val="23"/>
                <w:szCs w:val="23"/>
                <w:lang w:val="lv-LV"/>
              </w:rPr>
              <w:t xml:space="preserve">), kuras tiesiskais regulējums arī ietekmē vai </w:t>
            </w:r>
            <w:r w:rsidRPr="00300F62">
              <w:rPr>
                <w:sz w:val="23"/>
                <w:szCs w:val="23"/>
                <w:lang w:val="lv-LV"/>
              </w:rPr>
              <w:lastRenderedPageBreak/>
              <w:t>varētu ietekmēt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lastRenderedPageBreak/>
              <w:t>Projekts šo jomu neskar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</w:tr>
      <w:tr w:rsidR="00CD7E7E" w:rsidRPr="00300F62" w:rsidTr="00FC171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lastRenderedPageBreak/>
              <w:t>3.</w:t>
            </w:r>
          </w:p>
        </w:tc>
        <w:tc>
          <w:tcPr>
            <w:tcW w:w="2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Tiesiskā regulējuma finansiālā ietekme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Projekts šo jomu neskar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</w:tr>
      <w:tr w:rsidR="00CD7E7E" w:rsidRPr="00300F62" w:rsidTr="00FC171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4.</w:t>
            </w:r>
          </w:p>
        </w:tc>
        <w:tc>
          <w:tcPr>
            <w:tcW w:w="2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Tiesiskā regulējuma nefinansiālā ietekme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Projekts šo jomu neskar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</w:tr>
      <w:tr w:rsidR="00CD7E7E" w:rsidRPr="00300F62" w:rsidTr="00FC171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5.</w:t>
            </w:r>
          </w:p>
        </w:tc>
        <w:tc>
          <w:tcPr>
            <w:tcW w:w="2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Administratīvās procedūras raksturojums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Projekts šo jomu neskar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</w:tr>
      <w:tr w:rsidR="00CD7E7E" w:rsidRPr="00300F62" w:rsidTr="00FC171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6.</w:t>
            </w:r>
          </w:p>
        </w:tc>
        <w:tc>
          <w:tcPr>
            <w:tcW w:w="2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Administratīvo izmaksu monetārs novērtējums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Projekts šo jomu neskar</w:t>
            </w:r>
            <w:r>
              <w:rPr>
                <w:sz w:val="23"/>
                <w:szCs w:val="23"/>
                <w:lang w:val="lv-LV"/>
              </w:rPr>
              <w:t>.</w:t>
            </w:r>
          </w:p>
        </w:tc>
      </w:tr>
      <w:tr w:rsidR="00CD7E7E" w:rsidRPr="00300F62" w:rsidTr="00FC1715"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7.</w:t>
            </w:r>
          </w:p>
        </w:tc>
        <w:tc>
          <w:tcPr>
            <w:tcW w:w="219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spacing w:before="100" w:beforeAutospacing="1" w:after="100" w:afterAutospacing="1"/>
              <w:jc w:val="both"/>
              <w:rPr>
                <w:sz w:val="23"/>
                <w:szCs w:val="23"/>
                <w:lang w:val="lv-LV"/>
              </w:rPr>
            </w:pPr>
            <w:r w:rsidRPr="00300F62">
              <w:rPr>
                <w:sz w:val="23"/>
                <w:szCs w:val="23"/>
                <w:lang w:val="lv-LV"/>
              </w:rPr>
              <w:t>Cita informācija</w:t>
            </w:r>
          </w:p>
        </w:tc>
        <w:tc>
          <w:tcPr>
            <w:tcW w:w="249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D7E7E" w:rsidRPr="00300F62" w:rsidRDefault="00CD7E7E" w:rsidP="00FC1715">
            <w:pPr>
              <w:jc w:val="both"/>
              <w:rPr>
                <w:sz w:val="23"/>
                <w:szCs w:val="23"/>
                <w:lang w:val="lv-LV"/>
              </w:rPr>
            </w:pPr>
            <w:r>
              <w:rPr>
                <w:sz w:val="23"/>
                <w:szCs w:val="23"/>
                <w:lang w:val="lv-LV"/>
              </w:rPr>
              <w:t>Nav.</w:t>
            </w:r>
          </w:p>
        </w:tc>
      </w:tr>
    </w:tbl>
    <w:p w:rsidR="00CD7E7E" w:rsidRPr="00300F62" w:rsidRDefault="00CD7E7E" w:rsidP="00CD7E7E">
      <w:pPr>
        <w:rPr>
          <w:vanish/>
          <w:sz w:val="23"/>
          <w:szCs w:val="23"/>
          <w:lang w:val="lv-LV"/>
        </w:rPr>
      </w:pPr>
    </w:p>
    <w:p w:rsidR="00CD7E7E" w:rsidRDefault="00CD7E7E" w:rsidP="00CD7E7E">
      <w:pPr>
        <w:rPr>
          <w:lang w:val="lv-LV"/>
        </w:rPr>
      </w:pPr>
    </w:p>
    <w:p w:rsidR="00CD7E7E" w:rsidRPr="00577BAD" w:rsidRDefault="00CD7E7E" w:rsidP="00CD7E7E">
      <w:pPr>
        <w:rPr>
          <w:i/>
          <w:lang w:val="lv-LV"/>
        </w:rPr>
      </w:pPr>
      <w:r w:rsidRPr="00577BAD">
        <w:rPr>
          <w:i/>
          <w:lang w:val="lv-LV"/>
        </w:rPr>
        <w:t xml:space="preserve">III., IV., V., VI. un </w:t>
      </w:r>
      <w:proofErr w:type="spellStart"/>
      <w:r w:rsidRPr="00577BAD">
        <w:rPr>
          <w:i/>
          <w:lang w:val="lv-LV"/>
        </w:rPr>
        <w:t>VII.sadaļa</w:t>
      </w:r>
      <w:proofErr w:type="spellEnd"/>
      <w:r w:rsidRPr="00577BAD">
        <w:rPr>
          <w:i/>
          <w:lang w:val="lv-LV"/>
        </w:rPr>
        <w:t xml:space="preserve"> – projekts šīs jomas neskar</w:t>
      </w:r>
    </w:p>
    <w:p w:rsidR="00CD7E7E" w:rsidRPr="00300F62" w:rsidRDefault="00CD7E7E" w:rsidP="00CD7E7E">
      <w:pPr>
        <w:rPr>
          <w:vanish/>
          <w:sz w:val="23"/>
          <w:szCs w:val="23"/>
          <w:lang w:val="lv-LV"/>
        </w:rPr>
      </w:pPr>
    </w:p>
    <w:p w:rsidR="00CD7E7E" w:rsidRPr="00300F62" w:rsidRDefault="00CD7E7E" w:rsidP="00CD7E7E">
      <w:pPr>
        <w:jc w:val="both"/>
        <w:rPr>
          <w:sz w:val="23"/>
          <w:szCs w:val="23"/>
          <w:lang w:val="lv-LV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  <w:r w:rsidRPr="00300F62">
        <w:rPr>
          <w:sz w:val="23"/>
          <w:szCs w:val="23"/>
        </w:rPr>
        <w:t xml:space="preserve">      </w:t>
      </w:r>
      <w:r>
        <w:rPr>
          <w:sz w:val="28"/>
          <w:szCs w:val="28"/>
        </w:rPr>
        <w:tab/>
      </w: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  <w:r>
        <w:rPr>
          <w:sz w:val="28"/>
          <w:szCs w:val="28"/>
        </w:rPr>
        <w:tab/>
        <w:t>Fi</w:t>
      </w:r>
      <w:r w:rsidRPr="00300F62">
        <w:rPr>
          <w:sz w:val="28"/>
          <w:szCs w:val="28"/>
        </w:rPr>
        <w:t>nanšu ministr</w:t>
      </w:r>
      <w:r>
        <w:rPr>
          <w:sz w:val="28"/>
          <w:szCs w:val="28"/>
        </w:rPr>
        <w:t>s                                                                A.Vilks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CD7E7E" w:rsidP="00CD7E7E">
      <w:pPr>
        <w:pStyle w:val="Footer"/>
        <w:rPr>
          <w:sz w:val="28"/>
          <w:szCs w:val="28"/>
        </w:rPr>
      </w:pPr>
    </w:p>
    <w:p w:rsidR="00CD7E7E" w:rsidRDefault="009B0667" w:rsidP="00CD7E7E">
      <w:pPr>
        <w:jc w:val="both"/>
        <w:rPr>
          <w:sz w:val="20"/>
          <w:szCs w:val="20"/>
          <w:lang w:eastAsia="lv-LV"/>
        </w:rPr>
      </w:pPr>
      <w:r>
        <w:rPr>
          <w:sz w:val="20"/>
          <w:szCs w:val="20"/>
          <w:lang w:val="lv-LV" w:eastAsia="lv-LV"/>
        </w:rPr>
        <w:t>14.08</w:t>
      </w:r>
      <w:r w:rsidR="00CD7E7E" w:rsidRPr="00315686">
        <w:rPr>
          <w:sz w:val="20"/>
          <w:szCs w:val="20"/>
          <w:lang w:eastAsia="lv-LV"/>
        </w:rPr>
        <w:t>.2013. 1</w:t>
      </w:r>
      <w:r>
        <w:rPr>
          <w:sz w:val="20"/>
          <w:szCs w:val="20"/>
          <w:lang w:val="lv-LV" w:eastAsia="lv-LV"/>
        </w:rPr>
        <w:t>5</w:t>
      </w:r>
      <w:r w:rsidR="00CD7E7E" w:rsidRPr="00315686">
        <w:rPr>
          <w:sz w:val="20"/>
          <w:szCs w:val="20"/>
          <w:lang w:eastAsia="lv-LV"/>
        </w:rPr>
        <w:t>:</w:t>
      </w:r>
      <w:r>
        <w:rPr>
          <w:sz w:val="20"/>
          <w:szCs w:val="20"/>
          <w:lang w:val="lv-LV" w:eastAsia="lv-LV"/>
        </w:rPr>
        <w:t>3</w:t>
      </w:r>
      <w:r w:rsidR="00CD7E7E" w:rsidRPr="00315686">
        <w:rPr>
          <w:sz w:val="20"/>
          <w:szCs w:val="20"/>
          <w:lang w:eastAsia="lv-LV"/>
        </w:rPr>
        <w:t>0</w:t>
      </w:r>
    </w:p>
    <w:p w:rsidR="00174A24" w:rsidRDefault="00174A24" w:rsidP="00174A24">
      <w:pPr>
        <w:pStyle w:val="BodyText"/>
        <w:rPr>
          <w:sz w:val="22"/>
          <w:szCs w:val="22"/>
        </w:rPr>
      </w:pPr>
      <w:r w:rsidRPr="009801BC">
        <w:rPr>
          <w:sz w:val="22"/>
          <w:szCs w:val="22"/>
        </w:rPr>
        <w:fldChar w:fldCharType="begin"/>
      </w:r>
      <w:r w:rsidRPr="009801BC">
        <w:rPr>
          <w:sz w:val="22"/>
          <w:szCs w:val="22"/>
        </w:rPr>
        <w:instrText xml:space="preserve"> NUMWORDS   \* MERGEFORMAT </w:instrText>
      </w:r>
      <w:r w:rsidRPr="009801BC">
        <w:rPr>
          <w:sz w:val="22"/>
          <w:szCs w:val="22"/>
        </w:rPr>
        <w:fldChar w:fldCharType="separate"/>
      </w:r>
      <w:r w:rsidR="009B0667">
        <w:rPr>
          <w:noProof/>
          <w:sz w:val="22"/>
          <w:szCs w:val="22"/>
        </w:rPr>
        <w:t>344</w:t>
      </w:r>
      <w:r w:rsidRPr="009801BC">
        <w:rPr>
          <w:sz w:val="22"/>
          <w:szCs w:val="22"/>
        </w:rPr>
        <w:fldChar w:fldCharType="end"/>
      </w:r>
    </w:p>
    <w:p w:rsidR="00CD7E7E" w:rsidRPr="00C50D09" w:rsidRDefault="00CD7E7E" w:rsidP="00CD7E7E">
      <w:pPr>
        <w:jc w:val="both"/>
        <w:rPr>
          <w:sz w:val="20"/>
          <w:szCs w:val="20"/>
        </w:rPr>
      </w:pPr>
      <w:r>
        <w:rPr>
          <w:sz w:val="20"/>
          <w:szCs w:val="20"/>
        </w:rPr>
        <w:t>S.Cāne</w:t>
      </w:r>
    </w:p>
    <w:p w:rsidR="00CD7E7E" w:rsidRPr="00C66F69" w:rsidRDefault="00CD7E7E" w:rsidP="00CD7E7E">
      <w:pPr>
        <w:jc w:val="both"/>
        <w:rPr>
          <w:rFonts w:eastAsia="Calibri"/>
          <w:sz w:val="20"/>
          <w:szCs w:val="20"/>
          <w:lang w:val="lv-LV" w:eastAsia="en-US"/>
        </w:rPr>
      </w:pPr>
      <w:r w:rsidRPr="00C50D09">
        <w:rPr>
          <w:sz w:val="20"/>
        </w:rPr>
        <w:t>670</w:t>
      </w:r>
      <w:r>
        <w:rPr>
          <w:sz w:val="20"/>
        </w:rPr>
        <w:t>95518</w:t>
      </w:r>
      <w:r w:rsidRPr="00C50D09">
        <w:rPr>
          <w:sz w:val="20"/>
        </w:rPr>
        <w:t xml:space="preserve">, </w:t>
      </w:r>
      <w:hyperlink r:id="rId11" w:history="1">
        <w:r w:rsidRPr="00A2669A">
          <w:rPr>
            <w:rStyle w:val="Hyperlink"/>
            <w:sz w:val="20"/>
          </w:rPr>
          <w:t>Sanda.Cane@fm.gov.lv</w:t>
        </w:r>
      </w:hyperlink>
    </w:p>
    <w:p w:rsidR="00FD37E5" w:rsidRDefault="00FD37E5"/>
    <w:sectPr w:rsidR="00FD37E5" w:rsidSect="00300F62">
      <w:headerReference w:type="even" r:id="rId12"/>
      <w:headerReference w:type="default" r:id="rId13"/>
      <w:footerReference w:type="default" r:id="rId14"/>
      <w:footerReference w:type="first" r:id="rId15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7BAD" w:rsidRDefault="00577BAD" w:rsidP="00577BAD">
      <w:r>
        <w:separator/>
      </w:r>
    </w:p>
  </w:endnote>
  <w:endnote w:type="continuationSeparator" w:id="0">
    <w:p w:rsidR="00577BAD" w:rsidRDefault="00577BAD" w:rsidP="00577B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26" w:rsidRPr="00511FAE" w:rsidRDefault="00BC022B" w:rsidP="00E168B8">
    <w:pPr>
      <w:pStyle w:val="Footer"/>
      <w:jc w:val="both"/>
      <w:rPr>
        <w:sz w:val="20"/>
        <w:szCs w:val="20"/>
      </w:rPr>
    </w:pPr>
    <w:r w:rsidRPr="007D4665">
      <w:rPr>
        <w:sz w:val="20"/>
        <w:szCs w:val="20"/>
      </w:rPr>
      <w:fldChar w:fldCharType="begin"/>
    </w:r>
    <w:r w:rsidRPr="007D4665">
      <w:rPr>
        <w:sz w:val="20"/>
        <w:szCs w:val="20"/>
      </w:rPr>
      <w:instrText xml:space="preserve"> FILENAME   \* MERGEFORMAT </w:instrText>
    </w:r>
    <w:r w:rsidRPr="007D4665">
      <w:rPr>
        <w:sz w:val="20"/>
        <w:szCs w:val="20"/>
      </w:rPr>
      <w:fldChar w:fldCharType="separate"/>
    </w:r>
    <w:r w:rsidR="009B0667">
      <w:rPr>
        <w:noProof/>
        <w:sz w:val="20"/>
        <w:szCs w:val="20"/>
      </w:rPr>
      <w:t>FMAnot_01082013_396Euro</w:t>
    </w:r>
    <w:r w:rsidRPr="007D4665">
      <w:rPr>
        <w:sz w:val="20"/>
        <w:szCs w:val="20"/>
      </w:rPr>
      <w:fldChar w:fldCharType="end"/>
    </w:r>
    <w:r w:rsidRPr="007D4665">
      <w:rPr>
        <w:sz w:val="20"/>
        <w:szCs w:val="20"/>
      </w:rPr>
      <w:t xml:space="preserve">; </w:t>
    </w:r>
    <w:r w:rsidRPr="005E7BBA">
      <w:rPr>
        <w:sz w:val="20"/>
        <w:szCs w:val="20"/>
      </w:rPr>
      <w:t xml:space="preserve">Ministru kabineta noteikumu projekta „Grozījumi Ministru kabineta 2011.gada 24.maija noteikumos Nr.396 „Noteikumi par finanšu stabilitātes nodevas taksācijas perioda deklarāciju un aizpildīšanas kārtību”” </w:t>
    </w:r>
    <w:r w:rsidRPr="005E7BBA">
      <w:rPr>
        <w:bCs/>
        <w:sz w:val="20"/>
        <w:szCs w:val="20"/>
        <w:lang w:val="ru-RU"/>
      </w:rPr>
      <w:t>sākotnējās ietekmes novērtējuma ziņojums (anotācija</w:t>
    </w:r>
    <w:r w:rsidR="00511FAE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26" w:rsidRPr="00F220D1" w:rsidRDefault="00BC022B" w:rsidP="005E7BBA">
    <w:pPr>
      <w:pStyle w:val="Footer"/>
      <w:jc w:val="both"/>
      <w:rPr>
        <w:sz w:val="20"/>
        <w:szCs w:val="20"/>
      </w:rPr>
    </w:pPr>
    <w:r w:rsidRPr="007D4665">
      <w:rPr>
        <w:sz w:val="20"/>
        <w:szCs w:val="20"/>
      </w:rPr>
      <w:fldChar w:fldCharType="begin"/>
    </w:r>
    <w:r w:rsidRPr="007D4665">
      <w:rPr>
        <w:sz w:val="20"/>
        <w:szCs w:val="20"/>
      </w:rPr>
      <w:instrText xml:space="preserve"> FILENAME   \* MERGEFORMAT </w:instrText>
    </w:r>
    <w:r w:rsidRPr="007D4665">
      <w:rPr>
        <w:sz w:val="20"/>
        <w:szCs w:val="20"/>
      </w:rPr>
      <w:fldChar w:fldCharType="separate"/>
    </w:r>
    <w:r w:rsidR="009B0667">
      <w:rPr>
        <w:noProof/>
        <w:sz w:val="20"/>
        <w:szCs w:val="20"/>
      </w:rPr>
      <w:t>FMAnot_01082013_396Euro</w:t>
    </w:r>
    <w:r w:rsidRPr="007D4665">
      <w:rPr>
        <w:sz w:val="20"/>
        <w:szCs w:val="20"/>
      </w:rPr>
      <w:fldChar w:fldCharType="end"/>
    </w:r>
    <w:r>
      <w:rPr>
        <w:sz w:val="20"/>
        <w:szCs w:val="20"/>
      </w:rPr>
      <w:t>.</w:t>
    </w:r>
    <w:proofErr w:type="spellStart"/>
    <w:r>
      <w:rPr>
        <w:sz w:val="20"/>
        <w:szCs w:val="20"/>
      </w:rPr>
      <w:t>doc</w:t>
    </w:r>
    <w:proofErr w:type="spellEnd"/>
    <w:r w:rsidRPr="007D4665">
      <w:rPr>
        <w:sz w:val="20"/>
        <w:szCs w:val="20"/>
      </w:rPr>
      <w:t xml:space="preserve">; </w:t>
    </w:r>
    <w:r w:rsidRPr="005E7BBA">
      <w:rPr>
        <w:sz w:val="20"/>
        <w:szCs w:val="20"/>
      </w:rPr>
      <w:t xml:space="preserve">Ministru kabineta noteikumu projekta „Grozījumi Ministru kabineta 2011.gada 24.maija noteikumos Nr.396 „Noteikumi par finanšu stabilitātes nodevas taksācijas perioda deklarāciju un aizpildīšanas kārtību”” </w:t>
    </w:r>
    <w:r w:rsidRPr="005E7BBA">
      <w:rPr>
        <w:bCs/>
        <w:sz w:val="20"/>
        <w:szCs w:val="20"/>
        <w:lang w:val="ru-RU"/>
      </w:rPr>
      <w:t>sākotnējās ietekmes novērtējuma ziņojums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7BAD" w:rsidRDefault="00577BAD" w:rsidP="00577BAD">
      <w:r>
        <w:separator/>
      </w:r>
    </w:p>
  </w:footnote>
  <w:footnote w:type="continuationSeparator" w:id="0">
    <w:p w:rsidR="00577BAD" w:rsidRDefault="00577BAD" w:rsidP="00577B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26" w:rsidRDefault="00BC022B" w:rsidP="000660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64526" w:rsidRDefault="007632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4526" w:rsidRDefault="00BC022B" w:rsidP="0006607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63210">
      <w:rPr>
        <w:rStyle w:val="PageNumber"/>
        <w:noProof/>
      </w:rPr>
      <w:t>2</w:t>
    </w:r>
    <w:r>
      <w:rPr>
        <w:rStyle w:val="PageNumber"/>
      </w:rPr>
      <w:fldChar w:fldCharType="end"/>
    </w:r>
  </w:p>
  <w:p w:rsidR="00464526" w:rsidRDefault="007632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D833C8"/>
    <w:multiLevelType w:val="hybridMultilevel"/>
    <w:tmpl w:val="3B8E2F16"/>
    <w:lvl w:ilvl="0" w:tplc="F5B0F8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E"/>
    <w:rsid w:val="00174A24"/>
    <w:rsid w:val="00511FAE"/>
    <w:rsid w:val="00577BAD"/>
    <w:rsid w:val="00763210"/>
    <w:rsid w:val="008E6725"/>
    <w:rsid w:val="009B0667"/>
    <w:rsid w:val="00BC022B"/>
    <w:rsid w:val="00CD7E7E"/>
    <w:rsid w:val="00FD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E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D7E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D7E7E"/>
  </w:style>
  <w:style w:type="character" w:styleId="Hyperlink">
    <w:name w:val="Hyperlink"/>
    <w:rsid w:val="00CD7E7E"/>
    <w:rPr>
      <w:color w:val="0000FF"/>
      <w:u w:val="single"/>
    </w:rPr>
  </w:style>
  <w:style w:type="paragraph" w:styleId="Footer">
    <w:name w:val="footer"/>
    <w:basedOn w:val="Normal"/>
    <w:link w:val="FooterChar"/>
    <w:rsid w:val="00CD7E7E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rsid w:val="00CD7E7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174A24"/>
    <w:rPr>
      <w:sz w:val="28"/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174A24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D7E7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rsid w:val="00CD7E7E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PageNumber">
    <w:name w:val="page number"/>
    <w:basedOn w:val="DefaultParagraphFont"/>
    <w:rsid w:val="00CD7E7E"/>
  </w:style>
  <w:style w:type="character" w:styleId="Hyperlink">
    <w:name w:val="Hyperlink"/>
    <w:rsid w:val="00CD7E7E"/>
    <w:rPr>
      <w:color w:val="0000FF"/>
      <w:u w:val="single"/>
    </w:rPr>
  </w:style>
  <w:style w:type="paragraph" w:styleId="Footer">
    <w:name w:val="footer"/>
    <w:basedOn w:val="Normal"/>
    <w:link w:val="FooterChar"/>
    <w:rsid w:val="00CD7E7E"/>
    <w:pPr>
      <w:tabs>
        <w:tab w:val="center" w:pos="4153"/>
        <w:tab w:val="right" w:pos="8306"/>
      </w:tabs>
    </w:pPr>
    <w:rPr>
      <w:lang w:val="lv-LV" w:eastAsia="lv-LV"/>
    </w:rPr>
  </w:style>
  <w:style w:type="character" w:customStyle="1" w:styleId="FooterChar">
    <w:name w:val="Footer Char"/>
    <w:basedOn w:val="DefaultParagraphFont"/>
    <w:link w:val="Footer"/>
    <w:rsid w:val="00CD7E7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odyText">
    <w:name w:val="Body Text"/>
    <w:basedOn w:val="Normal"/>
    <w:link w:val="BodyTextChar"/>
    <w:rsid w:val="00174A24"/>
    <w:rPr>
      <w:sz w:val="28"/>
      <w:szCs w:val="20"/>
      <w:lang w:val="lv-LV" w:eastAsia="en-US"/>
    </w:rPr>
  </w:style>
  <w:style w:type="character" w:customStyle="1" w:styleId="BodyTextChar">
    <w:name w:val="Body Text Char"/>
    <w:basedOn w:val="DefaultParagraphFont"/>
    <w:link w:val="BodyText"/>
    <w:rsid w:val="00174A24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anda.Cane@fm.gov.lv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8091943EFBEC2744BF973D3CD9DCF0D9" ma:contentTypeVersion="5" ma:contentTypeDescription="Izveidot jaunu dokumentu." ma:contentTypeScope="" ma:versionID="5b2d2eb7b7a99d56505a3db64d04e481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db25b206ed3104c3a217abc9ccf6a040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E2CF9C1F-5FE4-4FDC-9181-88766F5B2507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Vad_x012b_t_x0101_js xmlns="2e5bb04e-596e-45bd-9003-43ca78b1ba16">A.Kaļāne</Vad_x012b_t_x0101_js>
    <Kategorija xmlns="2e5bb04e-596e-45bd-9003-43ca78b1ba16">Anotācija</Kategorija>
    <DKP xmlns="2e5bb04e-596e-45bd-9003-43ca78b1ba16">378</DKP>
  </documentManagement>
</p:properties>
</file>

<file path=customXml/itemProps1.xml><?xml version="1.0" encoding="utf-8"?>
<ds:datastoreItem xmlns:ds="http://schemas.openxmlformats.org/officeDocument/2006/customXml" ds:itemID="{50EC59E4-5461-4D39-B81A-345FE172EA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F5DF72D-F079-40BC-8A72-98657332F43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AF61FB-4910-4AFE-A7C2-1EE4432D038A}">
  <ds:schemaRefs>
    <ds:schemaRef ds:uri="http://schemas.microsoft.com/office/2006/metadata/properties"/>
    <ds:schemaRef ds:uri="2e5bb04e-596e-45bd-9003-43ca78b1ba1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1859</Words>
  <Characters>1060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Finanšu ministrija</Company>
  <LinksUpToDate>false</LinksUpToDate>
  <CharactersWithSpaces>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projektu „Grozījumi Ministru kabineta 2011.gada 24.maija noteikumos Nr.396 „Noteikumi par finanšu stabilitātes nodevas taksācijas perioda deklarāciju un aizpildīšanas kārtību””</dc:title>
  <dc:subject/>
  <dc:creator>S.Cāne</dc:creator>
  <cp:keywords/>
  <dc:description/>
  <cp:lastModifiedBy>Sanda Cāne</cp:lastModifiedBy>
  <cp:revision>7</cp:revision>
  <cp:lastPrinted>2013-08-14T12:30:00Z</cp:lastPrinted>
  <dcterms:created xsi:type="dcterms:W3CDTF">2013-07-17T08:29:00Z</dcterms:created>
  <dcterms:modified xsi:type="dcterms:W3CDTF">2013-08-19T13:52:00Z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0x0101008091943EFBEC2744BF973D3CD9DCF0D9</vt:lpwstr>
  </property>
</Properties>
</file>