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09" w:rsidRPr="00BE6409" w:rsidRDefault="00D35AE5" w:rsidP="00BE6409">
      <w:pPr>
        <w:pStyle w:val="Heading2"/>
        <w:rPr>
          <w:sz w:val="26"/>
          <w:szCs w:val="26"/>
        </w:rPr>
      </w:pPr>
      <w:bookmarkStart w:id="0" w:name="OLE_LINK1"/>
      <w:bookmarkStart w:id="1" w:name="OLE_LINK2"/>
      <w:r w:rsidRPr="00B862F9">
        <w:rPr>
          <w:sz w:val="26"/>
          <w:szCs w:val="26"/>
        </w:rPr>
        <w:t>Likumprojekta „</w:t>
      </w:r>
      <w:r w:rsidR="00BE6409" w:rsidRPr="00BE6409">
        <w:rPr>
          <w:sz w:val="26"/>
          <w:szCs w:val="26"/>
        </w:rPr>
        <w:t xml:space="preserve">Grozījumi Valsts un pašvaldību institūciju amatpersonu </w:t>
      </w:r>
    </w:p>
    <w:p w:rsidR="0070526D" w:rsidRPr="003557D1" w:rsidRDefault="00BE6409" w:rsidP="00BE6409">
      <w:pPr>
        <w:pStyle w:val="Heading2"/>
        <w:rPr>
          <w:i/>
          <w:sz w:val="26"/>
          <w:szCs w:val="26"/>
        </w:rPr>
      </w:pPr>
      <w:r w:rsidRPr="00BE6409">
        <w:rPr>
          <w:sz w:val="26"/>
          <w:szCs w:val="26"/>
        </w:rPr>
        <w:t>un darbinieku atlīdzības likumā</w:t>
      </w:r>
      <w:r w:rsidR="00D35AE5" w:rsidRPr="00B862F9">
        <w:rPr>
          <w:sz w:val="26"/>
          <w:szCs w:val="26"/>
        </w:rPr>
        <w:t xml:space="preserve">” </w:t>
      </w:r>
      <w:bookmarkEnd w:id="0"/>
      <w:bookmarkEnd w:id="1"/>
      <w:r w:rsidR="002B5BA9" w:rsidRPr="00B862F9">
        <w:rPr>
          <w:sz w:val="26"/>
          <w:szCs w:val="26"/>
        </w:rPr>
        <w:t>anotācija</w:t>
      </w:r>
    </w:p>
    <w:p w:rsidR="005C1B70" w:rsidRPr="001513F9" w:rsidRDefault="005C1B70" w:rsidP="00CE2F5A">
      <w:pPr>
        <w:rPr>
          <w:rFonts w:eastAsia="Times New Roman" w:cs="Times New Roman"/>
          <w:szCs w:val="28"/>
          <w:lang w:eastAsia="lv-LV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"/>
        <w:gridCol w:w="2322"/>
        <w:gridCol w:w="851"/>
        <w:gridCol w:w="1281"/>
        <w:gridCol w:w="4119"/>
      </w:tblGrid>
      <w:tr w:rsidR="0070526D" w:rsidRPr="001513F9" w:rsidTr="00EF3296">
        <w:trPr>
          <w:tblCellSpacing w:w="0" w:type="dxa"/>
        </w:trPr>
        <w:tc>
          <w:tcPr>
            <w:tcW w:w="91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434" w:rsidRDefault="00CE6434" w:rsidP="003557D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5C1B70" w:rsidRPr="003557D1" w:rsidRDefault="0070526D" w:rsidP="003557D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0526D" w:rsidRPr="001513F9" w:rsidTr="008D75D8">
        <w:trPr>
          <w:trHeight w:val="630"/>
          <w:tblCellSpacing w:w="0" w:type="dxa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CE2F5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CE2F5A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Pamatojums</w:t>
            </w:r>
          </w:p>
        </w:tc>
        <w:tc>
          <w:tcPr>
            <w:tcW w:w="62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B11958" w:rsidRDefault="00D35AE5" w:rsidP="00B11958">
            <w:pPr>
              <w:pStyle w:val="naisf"/>
              <w:jc w:val="both"/>
            </w:pPr>
            <w:r w:rsidRPr="00B11958">
              <w:t xml:space="preserve">Likumprojekts </w:t>
            </w:r>
            <w:r w:rsidR="00DF27CD" w:rsidRPr="00B11958">
              <w:t xml:space="preserve">izstrādāts atbilstoši Ministru kabineta </w:t>
            </w:r>
            <w:r w:rsidR="00B11958">
              <w:t xml:space="preserve">19.oktobra sēdē (protokols Nr.60 60.§ 8.2.apakšpunkts) un </w:t>
            </w:r>
            <w:r w:rsidR="00DF27CD" w:rsidRPr="00B11958">
              <w:t>2011.gada 1.novembra sēdē (protokols Nr</w:t>
            </w:r>
            <w:r w:rsidR="00B11958">
              <w:t>.62 57.§ 12.punkts</w:t>
            </w:r>
            <w:r w:rsidR="00DF27CD" w:rsidRPr="00B11958">
              <w:t xml:space="preserve">) </w:t>
            </w:r>
            <w:r w:rsidRPr="00B11958">
              <w:t xml:space="preserve">  </w:t>
            </w:r>
            <w:bookmarkStart w:id="2" w:name="bkm69"/>
            <w:r w:rsidR="00B11958" w:rsidRPr="00B11958">
              <w:t>nolemtajam</w:t>
            </w:r>
            <w:r w:rsidR="00B11958">
              <w:t>, kas paredz</w:t>
            </w:r>
            <w:r w:rsidR="00B11958" w:rsidRPr="00B11958">
              <w:t xml:space="preserve"> </w:t>
            </w:r>
            <w:r w:rsidR="00B11958">
              <w:t>uzdevumu Finanšu ministrijai</w:t>
            </w:r>
            <w:r w:rsidRPr="00B11958">
              <w:t xml:space="preserve"> izstrādā</w:t>
            </w:r>
            <w:r w:rsidR="00B11958">
              <w:t>t</w:t>
            </w:r>
            <w:r w:rsidRPr="00B11958">
              <w:t xml:space="preserve"> un </w:t>
            </w:r>
            <w:r w:rsidR="00B11958">
              <w:t xml:space="preserve">likumprojekta „Par valsts budžetu 2012.gadam” paketē </w:t>
            </w:r>
            <w:r w:rsidRPr="00B11958">
              <w:t>iesnie</w:t>
            </w:r>
            <w:r w:rsidR="00B11958">
              <w:t xml:space="preserve">gt grozījumus Valsts un pašvaldību institūciju amatpersonu un darbinieku atlīdzības </w:t>
            </w:r>
            <w:r w:rsidRPr="00B11958">
              <w:t>likum</w:t>
            </w:r>
            <w:r w:rsidR="00B11958">
              <w:t>ā.</w:t>
            </w:r>
            <w:r w:rsidRPr="00B11958">
              <w:t xml:space="preserve"> </w:t>
            </w:r>
            <w:bookmarkEnd w:id="2"/>
          </w:p>
        </w:tc>
      </w:tr>
      <w:tr w:rsidR="0070526D" w:rsidRPr="001513F9" w:rsidTr="00BE6409">
        <w:trPr>
          <w:trHeight w:val="472"/>
          <w:tblCellSpacing w:w="0" w:type="dxa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Pašreizējā situācija un problēmas</w:t>
            </w:r>
          </w:p>
        </w:tc>
        <w:tc>
          <w:tcPr>
            <w:tcW w:w="62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FA7" w:rsidRDefault="00B11958" w:rsidP="00B042D3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Šobrīd likumā noteikts, ka vēlēto amatpersonu atlīdzības noteikšanā tiek piemērots </w:t>
            </w:r>
            <w:r w:rsidR="00A2088F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Centrālās statistikas pārvaldes (turpmāk – CSP)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oficiālajā statistikas paziņojumā publicētais valstī strādājošo aizpagājušā gada mēneša vidējās darba samaksas apmērs, kuram tiek piemērots koeficients. Ar likuma pārejas noteikumiem </w:t>
            </w:r>
            <w:r w:rsidR="00B042D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piemērojamais CSP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rādītājs</w:t>
            </w:r>
            <w:r w:rsidR="00A2088F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2011.gadā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ir iesaldēts</w:t>
            </w:r>
            <w:r w:rsidR="00B042D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un noteikts 2009.gada 1.pusgada līmenī. </w:t>
            </w:r>
            <w:r w:rsidR="00BC4140">
              <w:rPr>
                <w:rFonts w:eastAsia="Times New Roman" w:cs="Times New Roman"/>
                <w:sz w:val="24"/>
                <w:szCs w:val="24"/>
                <w:lang w:eastAsia="lv-LV"/>
              </w:rPr>
              <w:t>Lai nodrošinātu 2012.gadā mēnešalgu apmēra saglabāšanos  2011.gada līmenī, nepieciešams grozīt koeficientus, jo 2012.gadā būtu jāpiemēro 2010.gada rādītājs, kas ir zemāks kā 2009.gada apmērs, tādējādi 2012.gadā tiktu samazinātas vēlēto amatpersonu mēnešalgas.</w:t>
            </w:r>
          </w:p>
          <w:p w:rsidR="009620AF" w:rsidRDefault="00B042D3" w:rsidP="009620AF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Likums šobrīd nosaka iespēju izmaksāt prēmiju Valsts ieņēmumu dienesta </w:t>
            </w:r>
            <w:r w:rsidR="00A2088F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(turpmāk – VID)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amatpersonām un darbiniekiem par sekmīgu </w:t>
            </w:r>
            <w:r w:rsidRPr="00B042D3">
              <w:rPr>
                <w:rFonts w:eastAsia="Times New Roman" w:cs="Times New Roman"/>
                <w:sz w:val="24"/>
                <w:szCs w:val="24"/>
                <w:lang w:eastAsia="lv-LV"/>
              </w:rPr>
              <w:t>ēnu ekonomikas apkarošanas pasākumu īstenošan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u. Ņemot vērā, ka ne tikai VID ir iesaistīts ēnu ekonomikas apkarošanas pasākumu realizēšanā</w:t>
            </w:r>
            <w:r w:rsidR="009620AF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BC4140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Ministru kabineta lēma, ka 2012.gadā </w:t>
            </w:r>
            <w:r w:rsidR="009620AF">
              <w:rPr>
                <w:rFonts w:eastAsia="Times New Roman" w:cs="Times New Roman"/>
                <w:sz w:val="24"/>
                <w:szCs w:val="24"/>
                <w:lang w:eastAsia="lv-LV"/>
              </w:rPr>
              <w:t>nepieciešams šo normu paplašināt un attiecināt arī uz citām institūcijām, ka</w:t>
            </w:r>
            <w:r w:rsidR="00BC4140">
              <w:rPr>
                <w:rFonts w:eastAsia="Times New Roman" w:cs="Times New Roman"/>
                <w:sz w:val="24"/>
                <w:szCs w:val="24"/>
                <w:lang w:eastAsia="lv-LV"/>
              </w:rPr>
              <w:t>s</w:t>
            </w:r>
            <w:r w:rsidR="009620AF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arī dod ieguldījumu </w:t>
            </w:r>
            <w:r w:rsidRPr="00B042D3">
              <w:rPr>
                <w:rFonts w:eastAsia="Times New Roman" w:cs="Times New Roman"/>
                <w:sz w:val="24"/>
                <w:szCs w:val="24"/>
                <w:lang w:eastAsia="lv-LV"/>
              </w:rPr>
              <w:t>ēnu ekonomikas apkarošanā un godīgas konkurences veicināšanā</w:t>
            </w:r>
            <w:r w:rsidR="009620AF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  <w:r w:rsidRPr="00B042D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9620AF" w:rsidRDefault="009620AF" w:rsidP="009620AF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Šobrīd ir izstrādāti grozījumi  </w:t>
            </w:r>
            <w:r w:rsidRPr="009620AF">
              <w:rPr>
                <w:rFonts w:eastAsia="Times New Roman" w:cs="Times New Roman"/>
                <w:sz w:val="24"/>
                <w:szCs w:val="24"/>
                <w:lang w:eastAsia="lv-LV"/>
              </w:rPr>
              <w:t>Ministru kabineta 2010.gada 30.novembra noteikumos Nr.1075 „Valsts un pašvaldību institūciju amatu katalogs</w:t>
            </w:r>
            <w:r w:rsidR="00A2088F">
              <w:rPr>
                <w:rFonts w:eastAsia="Times New Roman" w:cs="Times New Roman"/>
                <w:sz w:val="24"/>
                <w:szCs w:val="24"/>
                <w:lang w:eastAsia="lv-LV"/>
              </w:rPr>
              <w:t>”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, kas tiek papildināti ar jaunām amatu saimēm un to aprakstiem, kas ir būtiski pašvaldību amatiem. Līdz ar to lai nodrošinātu normu sakārtošanu likuma 1.pielikumu nepieciešams papildināt ar saimju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paraugaprakstiem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, kā arī atbilstoši precizēt 2.pielikumu. </w:t>
            </w:r>
          </w:p>
          <w:p w:rsidR="00B042D3" w:rsidRPr="009323A2" w:rsidRDefault="00B042D3" w:rsidP="009620AF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Ņemot vērā, ka likuma piemērošanas procesā konstatēts, ka atsevišķas institūcijas pieļauj dažādu likuma normu interpretāciju, nepieciešami atsevišķi redakcionāla rakstura  precizējumi, lai nodrošinātu likuma normu viennozīmīgu piemērošanu.</w:t>
            </w:r>
          </w:p>
        </w:tc>
      </w:tr>
      <w:tr w:rsidR="0070526D" w:rsidRPr="001513F9" w:rsidTr="008D75D8">
        <w:trPr>
          <w:trHeight w:val="725"/>
          <w:tblCellSpacing w:w="0" w:type="dxa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Saistītie politikas ietekmes novērtējumi un pētījumi</w:t>
            </w:r>
          </w:p>
        </w:tc>
        <w:tc>
          <w:tcPr>
            <w:tcW w:w="62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046C78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46C78">
              <w:rPr>
                <w:rFonts w:eastAsia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70526D" w:rsidRPr="001513F9" w:rsidTr="00BE6409">
        <w:trPr>
          <w:trHeight w:val="384"/>
          <w:tblCellSpacing w:w="0" w:type="dxa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4.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Tiesiskā regulējuma mērķis un būtība</w:t>
            </w:r>
          </w:p>
        </w:tc>
        <w:tc>
          <w:tcPr>
            <w:tcW w:w="62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0A7B" w:rsidRDefault="009E0A7B" w:rsidP="00A77496">
            <w:pPr>
              <w:jc w:val="both"/>
              <w:rPr>
                <w:sz w:val="24"/>
                <w:szCs w:val="24"/>
              </w:rPr>
            </w:pPr>
            <w:r w:rsidRPr="009E0A7B">
              <w:rPr>
                <w:sz w:val="24"/>
                <w:szCs w:val="24"/>
              </w:rPr>
              <w:t>Grozījumi likumā paredz pārskatīt augstāko amatpersonu mēnešalgu  noteikšanā</w:t>
            </w:r>
            <w:r>
              <w:rPr>
                <w:sz w:val="24"/>
                <w:szCs w:val="24"/>
              </w:rPr>
              <w:t xml:space="preserve"> </w:t>
            </w:r>
            <w:r w:rsidRPr="009E0A7B">
              <w:rPr>
                <w:sz w:val="24"/>
                <w:szCs w:val="24"/>
              </w:rPr>
              <w:t>piemērojamos koeficientus, tādējādi, lai mēnešalgas netiktu paaugstinātas, un tiktu saglabātas esošajā 2011.gada līmenī.</w:t>
            </w:r>
          </w:p>
          <w:p w:rsidR="00A77496" w:rsidRDefault="00A77496" w:rsidP="00A77496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Likuma pārejas noteikumi tiek papildināti ar punktu, kas paredz iespēju 2012.gadā izmaksāt prēmijas </w:t>
            </w:r>
            <w:r w:rsidRPr="00A77496">
              <w:rPr>
                <w:rFonts w:eastAsia="Times New Roman" w:cs="Times New Roman"/>
                <w:sz w:val="24"/>
                <w:szCs w:val="24"/>
                <w:lang w:eastAsia="lv-LV"/>
              </w:rPr>
              <w:t>ēnu ekonomikas apkarošanas pasākumu īstenošanā ie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saistīto institūciju amatpersonām</w:t>
            </w:r>
            <w:r w:rsidRPr="00A7749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(darbiniek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iem</w:t>
            </w:r>
            <w:r w:rsidRPr="00A77496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. Šī norma attiektos uz, piemēram, Valsts darba inspekcijas, Valsts robežsardzes, Valsts policijas amatpersonām un darbiniekiem. Likumprojekts paredz, ka lēmumu par šo amatpersonu (darbinieku) prēmēšanu ir jāpieņem Ministru kabinetam.</w:t>
            </w:r>
          </w:p>
          <w:p w:rsidR="00243E11" w:rsidRDefault="00243E11" w:rsidP="00A77496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Likumprojekts paredz svītrot </w:t>
            </w:r>
            <w:r w:rsidR="00F07B8D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likuma pārejas noteikumu </w:t>
            </w:r>
            <w:r w:rsidR="00F07B8D" w:rsidRPr="00F07B8D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  <w:r w:rsidR="00F07B8D" w:rsidRPr="00F07B8D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="00F07B8D" w:rsidRPr="00F07B8D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F07B8D">
              <w:rPr>
                <w:rFonts w:eastAsia="Times New Roman" w:cs="Times New Roman"/>
                <w:sz w:val="24"/>
                <w:szCs w:val="24"/>
                <w:lang w:eastAsia="lv-LV"/>
              </w:rPr>
              <w:t>punktu par uzdevumu Ministru kabinetam</w:t>
            </w:r>
            <w:r w:rsidR="00F07B8D" w:rsidRPr="00F07B8D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izstrādā</w:t>
            </w:r>
            <w:r w:rsidR="00F07B8D">
              <w:rPr>
                <w:rFonts w:eastAsia="Times New Roman" w:cs="Times New Roman"/>
                <w:sz w:val="24"/>
                <w:szCs w:val="24"/>
                <w:lang w:eastAsia="lv-LV"/>
              </w:rPr>
              <w:t>t</w:t>
            </w:r>
            <w:r w:rsidR="00F07B8D" w:rsidRPr="00F07B8D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likumprojektu par Latvijas Bankas amatpersonu (darbinieku) atlīdzības regulējuma iekļaušanu </w:t>
            </w:r>
            <w:r w:rsidR="00F07B8D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šajā </w:t>
            </w:r>
            <w:r w:rsidR="00F07B8D" w:rsidRPr="00F07B8D">
              <w:rPr>
                <w:rFonts w:eastAsia="Times New Roman" w:cs="Times New Roman"/>
                <w:sz w:val="24"/>
                <w:szCs w:val="24"/>
                <w:lang w:eastAsia="lv-LV"/>
              </w:rPr>
              <w:t>likumā</w:t>
            </w:r>
            <w:r w:rsidR="00F07B8D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D05F28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Priekšlikums par </w:t>
            </w:r>
            <w:r w:rsidR="00D05F28" w:rsidRPr="00F07B8D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  <w:r w:rsidR="00D05F28" w:rsidRPr="00F07B8D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  <w:r w:rsidR="00D05F28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D05F28">
              <w:rPr>
                <w:rFonts w:eastAsia="Times New Roman" w:cs="Times New Roman"/>
                <w:sz w:val="24"/>
                <w:szCs w:val="24"/>
                <w:lang w:eastAsia="lv-LV"/>
              </w:rPr>
              <w:t>punkta izslēgšanu</w:t>
            </w:r>
            <w:r w:rsidR="00F07B8D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tika akceptēts Ministru kabineta 2011.gada 1.novembra sēdē, ņemot vērā, ka Latvijas Banka ir informējusi Finanšu ministriju, ka tā</w:t>
            </w:r>
            <w:r w:rsidR="00F07B8D" w:rsidRPr="00F07B8D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F07B8D">
              <w:rPr>
                <w:rFonts w:eastAsia="Times New Roman" w:cs="Times New Roman"/>
                <w:sz w:val="24"/>
                <w:szCs w:val="24"/>
                <w:lang w:eastAsia="lv-LV"/>
              </w:rPr>
              <w:t>jau šobrīd ievēro</w:t>
            </w:r>
            <w:r w:rsidR="00F07B8D" w:rsidRPr="00F07B8D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solidaritātes princip</w:t>
            </w:r>
            <w:r w:rsidR="00F07B8D">
              <w:rPr>
                <w:rFonts w:eastAsia="Times New Roman" w:cs="Times New Roman"/>
                <w:sz w:val="24"/>
                <w:szCs w:val="24"/>
                <w:lang w:eastAsia="lv-LV"/>
              </w:rPr>
              <w:t>u</w:t>
            </w:r>
            <w:r w:rsidR="00F07B8D" w:rsidRPr="00F07B8D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F07B8D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Latvijas Bankas amatpersonu atlīdzības  noteikšanas principi ir samēroti ar tiem principiem, kas tiek noteikti atlīdzības likumā, piemēram, attiecībā uz Finanšu un kapitāla tirgus komisijas amatpersonām un darbiniekiem. </w:t>
            </w:r>
            <w:r w:rsidR="00F07B8D" w:rsidRPr="00F07B8D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24663F" w:rsidRDefault="001A7922" w:rsidP="0024663F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Likumprojekts paredz uzdevumu </w:t>
            </w:r>
            <w:r w:rsidR="0024663F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inistru kabinetam izstrādāt normatīvo aktu, kurā paredzēt </w:t>
            </w:r>
            <w:r w:rsidR="0024663F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konkrētus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gadījumus, kuros </w:t>
            </w:r>
            <w:r w:rsidR="0024663F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amatpersonām (darbiniekiem), kuru amata (dienesta, darba) pienākumu izpilde ir saistīta ar apdraudējumu, risku dzīvībai vai veselībai, ir tiesības pretendēt uz likuma 19.pantā minēto nelaimes gadījuma pabalstu.</w:t>
            </w:r>
            <w:r w:rsidRPr="001A792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A77496" w:rsidRPr="00647FBE" w:rsidRDefault="00A77496" w:rsidP="00570C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Likumprojekts paredz arī atsevišķus</w:t>
            </w:r>
            <w:r w:rsidRPr="00A77496">
              <w:rPr>
                <w:sz w:val="24"/>
                <w:szCs w:val="24"/>
              </w:rPr>
              <w:t xml:space="preserve"> redakcionāla rakstura  precizējum</w:t>
            </w:r>
            <w:r>
              <w:rPr>
                <w:sz w:val="24"/>
                <w:szCs w:val="24"/>
              </w:rPr>
              <w:t>us</w:t>
            </w:r>
            <w:r w:rsidRPr="00A77496">
              <w:rPr>
                <w:sz w:val="24"/>
                <w:szCs w:val="24"/>
              </w:rPr>
              <w:t>, lai nodrošinātu likuma normu viennozīmīgu piemērošanu</w:t>
            </w:r>
            <w:r w:rsidR="00570CBE">
              <w:rPr>
                <w:sz w:val="24"/>
                <w:szCs w:val="24"/>
              </w:rPr>
              <w:t>,</w:t>
            </w:r>
            <w:r w:rsidR="00570CBE">
              <w:t xml:space="preserve"> </w:t>
            </w:r>
            <w:r w:rsidR="00570CBE" w:rsidRPr="00570CBE">
              <w:rPr>
                <w:sz w:val="24"/>
                <w:szCs w:val="24"/>
              </w:rPr>
              <w:t>jo pretējā gadījumā, dažāda šo normu interpretācija var izsaukt budžeta izdevumu palielinājumu</w:t>
            </w:r>
            <w:r w:rsidR="00570CBE">
              <w:rPr>
                <w:sz w:val="24"/>
                <w:szCs w:val="24"/>
              </w:rPr>
              <w:t>.</w:t>
            </w:r>
          </w:p>
        </w:tc>
      </w:tr>
      <w:tr w:rsidR="0070526D" w:rsidRPr="001513F9" w:rsidTr="008D75D8">
        <w:trPr>
          <w:trHeight w:val="476"/>
          <w:tblCellSpacing w:w="0" w:type="dxa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Projekta izstrādē iesaistītās institūcijas</w:t>
            </w:r>
          </w:p>
        </w:tc>
        <w:tc>
          <w:tcPr>
            <w:tcW w:w="62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F3682F" w:rsidP="0093409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70526D" w:rsidRPr="001513F9" w:rsidTr="008D75D8">
        <w:trPr>
          <w:trHeight w:val="915"/>
          <w:tblCellSpacing w:w="0" w:type="dxa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Iemesli, kādēļ netika nodrošināta sabiedrības līdzdalība</w:t>
            </w:r>
          </w:p>
        </w:tc>
        <w:tc>
          <w:tcPr>
            <w:tcW w:w="62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F605F5" w:rsidRDefault="00095CD7" w:rsidP="00BE640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Likumprojekts attiecas tikai uz </w:t>
            </w:r>
            <w:r w:rsidR="00BE6409">
              <w:rPr>
                <w:sz w:val="24"/>
                <w:szCs w:val="24"/>
              </w:rPr>
              <w:t>valsts un pašvaldību institūciju darbiniekiem</w:t>
            </w:r>
            <w:r w:rsidR="00DF27CD" w:rsidRPr="00DF27CD">
              <w:rPr>
                <w:sz w:val="24"/>
                <w:szCs w:val="24"/>
              </w:rPr>
              <w:t>, tādēļ sabiedrības līdzdalība noteikumu projekta izstrādē nebija nepieciešama.</w:t>
            </w:r>
          </w:p>
        </w:tc>
      </w:tr>
      <w:tr w:rsidR="0070526D" w:rsidRPr="001513F9" w:rsidTr="008D75D8">
        <w:trPr>
          <w:tblCellSpacing w:w="0" w:type="dxa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62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046C78" w:rsidP="00465B5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70526D" w:rsidRPr="001513F9" w:rsidTr="00EF3296">
        <w:trPr>
          <w:tblCellSpacing w:w="0" w:type="dxa"/>
        </w:trPr>
        <w:tc>
          <w:tcPr>
            <w:tcW w:w="91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434" w:rsidRDefault="00CE6434" w:rsidP="00CE6434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5C1B70" w:rsidRPr="001513F9" w:rsidRDefault="0070526D" w:rsidP="00CE643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Pr="001513F9">
              <w:rPr>
                <w:rFonts w:eastAsia="Times New Roman" w:cs="Times New Roman"/>
                <w:b/>
                <w:sz w:val="24"/>
                <w:szCs w:val="24"/>
                <w:lang w:eastAsia="lv-LV"/>
              </w:rPr>
              <w:t>II. Tiesību akta projekta ietekme uz sabiedrību</w:t>
            </w:r>
          </w:p>
        </w:tc>
      </w:tr>
      <w:tr w:rsidR="0070526D" w:rsidRPr="001513F9" w:rsidTr="00EF3296">
        <w:trPr>
          <w:trHeight w:val="46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3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CE6434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 Sabiedrības </w:t>
            </w:r>
            <w:proofErr w:type="spellStart"/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mērķgrupa</w:t>
            </w:r>
            <w:proofErr w:type="spellEnd"/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BE6409" w:rsidP="00BE640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Valsts un pašvaldību institūciju </w:t>
            </w:r>
            <w:r w:rsidR="00046C78">
              <w:rPr>
                <w:sz w:val="24"/>
                <w:szCs w:val="24"/>
              </w:rPr>
              <w:t>amatpersonas un darbinieki</w:t>
            </w:r>
          </w:p>
        </w:tc>
      </w:tr>
      <w:tr w:rsidR="0070526D" w:rsidRPr="001513F9" w:rsidTr="00EF3296">
        <w:trPr>
          <w:trHeight w:val="523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3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 Citas sabiedrības grupas (bez </w:t>
            </w:r>
            <w:proofErr w:type="spellStart"/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), kuras tiesiskais regulējums arī ietekmē vai varētu ietekmēt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095CD7" w:rsidP="00D3091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A2088F" w:rsidRPr="00A2088F">
              <w:rPr>
                <w:rFonts w:eastAsia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70526D" w:rsidRPr="001513F9" w:rsidTr="00EF3296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3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Tiesiskā regulējuma finansiālā ietekme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076A9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A2088F" w:rsidRPr="00A2088F">
              <w:rPr>
                <w:rFonts w:eastAsia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70526D" w:rsidRPr="001513F9" w:rsidTr="00EF3296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4.</w:t>
            </w:r>
          </w:p>
        </w:tc>
        <w:tc>
          <w:tcPr>
            <w:tcW w:w="3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Tiesiskā regulējuma nefinansiālā ietekme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D90AC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A2088F" w:rsidRPr="00A2088F">
              <w:rPr>
                <w:rFonts w:eastAsia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70526D" w:rsidRPr="001513F9" w:rsidTr="00EF3296">
        <w:trPr>
          <w:trHeight w:val="531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3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Administratīvās procedūras raksturojums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D90AC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A2088F" w:rsidRPr="00A2088F">
              <w:rPr>
                <w:rFonts w:eastAsia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70526D" w:rsidRPr="001513F9" w:rsidTr="00EF3296">
        <w:trPr>
          <w:trHeight w:val="35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3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Administratīvo izmaksu monetārs novērtējums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6D376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A2088F" w:rsidRPr="00A2088F">
              <w:rPr>
                <w:rFonts w:eastAsia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70526D" w:rsidRPr="001513F9" w:rsidTr="00EF3296">
        <w:trPr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115E8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3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115E8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5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1513F9" w:rsidRDefault="0070526D" w:rsidP="00840983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Nav</w:t>
            </w:r>
          </w:p>
        </w:tc>
      </w:tr>
      <w:tr w:rsidR="00D51F89" w:rsidRPr="00795599" w:rsidTr="005C1B70">
        <w:tblPrEx>
          <w:tblLook w:val="0000" w:firstRow="0" w:lastRow="0" w:firstColumn="0" w:lastColumn="0" w:noHBand="0" w:noVBand="0"/>
        </w:tblPrEx>
        <w:trPr>
          <w:trHeight w:val="483"/>
          <w:tblCellSpacing w:w="0" w:type="dxa"/>
        </w:trPr>
        <w:tc>
          <w:tcPr>
            <w:tcW w:w="91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434" w:rsidRDefault="0070526D" w:rsidP="00CE6434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  <w:p w:rsidR="005C1B70" w:rsidRPr="00795599" w:rsidRDefault="0070526D" w:rsidP="00CE6434">
            <w:pPr>
              <w:jc w:val="center"/>
              <w:rPr>
                <w:b/>
                <w:sz w:val="24"/>
                <w:szCs w:val="24"/>
                <w:lang w:eastAsia="lv-LV"/>
              </w:rPr>
            </w:pPr>
            <w:r w:rsidRPr="001513F9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  <w:r w:rsidR="00D51F89" w:rsidRPr="00795599">
              <w:rPr>
                <w:b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D51F89" w:rsidRPr="00795599" w:rsidTr="005C1B70">
        <w:tblPrEx>
          <w:tblLook w:val="0000" w:firstRow="0" w:lastRow="0" w:firstColumn="0" w:lastColumn="0" w:noHBand="0" w:noVBand="0"/>
        </w:tblPrEx>
        <w:trPr>
          <w:trHeight w:val="294"/>
          <w:tblCellSpacing w:w="0" w:type="dxa"/>
        </w:trPr>
        <w:tc>
          <w:tcPr>
            <w:tcW w:w="91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F89" w:rsidRDefault="00C7692F" w:rsidP="00C7692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</w:t>
            </w:r>
            <w:r w:rsidRPr="00C7692F">
              <w:rPr>
                <w:iCs/>
                <w:sz w:val="24"/>
                <w:szCs w:val="24"/>
              </w:rPr>
              <w:t>ikumprojektā ietvertie grozījumi nodrošin</w:t>
            </w:r>
            <w:r>
              <w:rPr>
                <w:iCs/>
                <w:sz w:val="24"/>
                <w:szCs w:val="24"/>
              </w:rPr>
              <w:t xml:space="preserve">ās, ka 2012.gadā </w:t>
            </w:r>
            <w:r w:rsidRPr="00C7692F">
              <w:rPr>
                <w:iCs/>
                <w:sz w:val="24"/>
                <w:szCs w:val="24"/>
              </w:rPr>
              <w:t>budžeta izdevum</w:t>
            </w:r>
            <w:r>
              <w:rPr>
                <w:iCs/>
                <w:sz w:val="24"/>
                <w:szCs w:val="24"/>
              </w:rPr>
              <w:t xml:space="preserve">i netiek palielināti. </w:t>
            </w:r>
            <w:r w:rsidRPr="00C7692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Likumprojekts paredz </w:t>
            </w:r>
            <w:r w:rsidRPr="00C7692F">
              <w:rPr>
                <w:iCs/>
                <w:sz w:val="24"/>
                <w:szCs w:val="24"/>
              </w:rPr>
              <w:t xml:space="preserve">iespēju 2012.gadā izmaksāt prēmijas ēnu ekonomikas apkarošanas pasākumu īstenošanā iesaistīto institūciju amatpersonām (darbiniekiem) </w:t>
            </w:r>
            <w:r>
              <w:rPr>
                <w:iCs/>
                <w:sz w:val="24"/>
                <w:szCs w:val="24"/>
              </w:rPr>
              <w:t xml:space="preserve">atbilstoši Ministru kabineta lēmumam </w:t>
            </w:r>
            <w:r w:rsidRPr="00C7692F">
              <w:rPr>
                <w:iCs/>
                <w:sz w:val="24"/>
                <w:szCs w:val="24"/>
              </w:rPr>
              <w:t xml:space="preserve">par </w:t>
            </w:r>
            <w:r>
              <w:rPr>
                <w:iCs/>
                <w:sz w:val="24"/>
                <w:szCs w:val="24"/>
              </w:rPr>
              <w:t>attiecīgo institūciju (piemēram, Valsts ieņēmumu dienēts, Valsts darba inspekcija</w:t>
            </w:r>
            <w:r w:rsidRPr="00C7692F">
              <w:rPr>
                <w:iCs/>
                <w:sz w:val="24"/>
                <w:szCs w:val="24"/>
              </w:rPr>
              <w:t xml:space="preserve">, Valsts robežsardze, </w:t>
            </w:r>
            <w:proofErr w:type="spellStart"/>
            <w:r>
              <w:rPr>
                <w:iCs/>
                <w:sz w:val="24"/>
                <w:szCs w:val="24"/>
              </w:rPr>
              <w:t>u.c</w:t>
            </w:r>
            <w:proofErr w:type="spellEnd"/>
            <w:r>
              <w:rPr>
                <w:iCs/>
                <w:sz w:val="24"/>
                <w:szCs w:val="24"/>
              </w:rPr>
              <w:t>.)</w:t>
            </w:r>
            <w:r w:rsidRPr="00C7692F">
              <w:rPr>
                <w:iCs/>
                <w:sz w:val="24"/>
                <w:szCs w:val="24"/>
              </w:rPr>
              <w:t xml:space="preserve"> amatpersonu (darbinieku) prēmēšanu</w:t>
            </w:r>
            <w:r>
              <w:rPr>
                <w:iCs/>
                <w:sz w:val="24"/>
                <w:szCs w:val="24"/>
              </w:rPr>
              <w:t>. Šāda norma paredzēta arī likumprojektā „Par valsts budžetu 2012.gadam”, kurā noteikts, ka Ministru kabinets šī mērķa īstenošanai</w:t>
            </w:r>
            <w:r w:rsidRPr="00C7692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pieņem lēmumu par </w:t>
            </w:r>
            <w:r w:rsidRPr="00C7692F">
              <w:rPr>
                <w:iCs/>
                <w:sz w:val="24"/>
                <w:szCs w:val="24"/>
              </w:rPr>
              <w:t>apropriācijas palielinājumam novirzāmo finansējuma apjomu, kas nepārsniedz  5% no valsts budžeta nodokļu un nenodokļu virsplāna ieņēmumiem.</w:t>
            </w:r>
          </w:p>
          <w:p w:rsidR="00BC6D4D" w:rsidRPr="00A2088F" w:rsidRDefault="00BC6D4D" w:rsidP="00BC6D4D">
            <w:pPr>
              <w:jc w:val="both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Likumprojekta 10.pants paredz ierobežojumu atvaļinājuma pabalsta apmēram, nosakot to ne lielāku par 25%, kas kā viens no konsolidācijas pasākumiem, nodrošinās indikatīvi 8,1 </w:t>
            </w:r>
            <w:proofErr w:type="spellStart"/>
            <w:r>
              <w:rPr>
                <w:sz w:val="24"/>
                <w:szCs w:val="24"/>
                <w:lang w:eastAsia="lv-LV"/>
              </w:rPr>
              <w:t>milj</w:t>
            </w:r>
            <w:proofErr w:type="spellEnd"/>
            <w:r>
              <w:rPr>
                <w:sz w:val="24"/>
                <w:szCs w:val="24"/>
                <w:lang w:eastAsia="lv-LV"/>
              </w:rPr>
              <w:t>. latu ietaupījumu valsts un pašvaldību budžetā.</w:t>
            </w:r>
          </w:p>
        </w:tc>
      </w:tr>
      <w:tr w:rsidR="00D51F89" w:rsidRPr="00795599" w:rsidTr="00786DB3">
        <w:tblPrEx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91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434" w:rsidRDefault="00CE6434" w:rsidP="00CE6434">
            <w:pPr>
              <w:jc w:val="center"/>
              <w:rPr>
                <w:b/>
                <w:sz w:val="24"/>
                <w:szCs w:val="24"/>
                <w:lang w:eastAsia="lv-LV"/>
              </w:rPr>
            </w:pPr>
          </w:p>
          <w:p w:rsidR="005C1B70" w:rsidRPr="00795599" w:rsidRDefault="00D51F89" w:rsidP="00CE6434">
            <w:pPr>
              <w:jc w:val="center"/>
              <w:rPr>
                <w:b/>
                <w:sz w:val="24"/>
                <w:szCs w:val="24"/>
                <w:lang w:eastAsia="lv-LV"/>
              </w:rPr>
            </w:pPr>
            <w:r w:rsidRPr="00795599">
              <w:rPr>
                <w:b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D51F89" w:rsidRPr="00795599" w:rsidTr="00C41D50">
        <w:tblPrEx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F89" w:rsidRPr="00795599" w:rsidRDefault="00D51F89" w:rsidP="00CE6434">
            <w:pPr>
              <w:rPr>
                <w:sz w:val="24"/>
                <w:szCs w:val="24"/>
                <w:lang w:eastAsia="lv-LV"/>
              </w:rPr>
            </w:pPr>
            <w:r w:rsidRPr="00795599">
              <w:rPr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44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F89" w:rsidRPr="00795599" w:rsidRDefault="00D51F89" w:rsidP="00CE6434">
            <w:pPr>
              <w:rPr>
                <w:sz w:val="24"/>
                <w:szCs w:val="24"/>
                <w:lang w:eastAsia="lv-LV"/>
              </w:rPr>
            </w:pPr>
            <w:r w:rsidRPr="00795599">
              <w:rPr>
                <w:sz w:val="24"/>
                <w:szCs w:val="24"/>
                <w:lang w:eastAsia="lv-LV"/>
              </w:rPr>
              <w:t> Nepieciešamie saistītie tiesību aktu projekti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F89" w:rsidRPr="00795599" w:rsidRDefault="00D51F89" w:rsidP="00CE6434">
            <w:pPr>
              <w:rPr>
                <w:bCs/>
                <w:sz w:val="24"/>
                <w:szCs w:val="24"/>
              </w:rPr>
            </w:pPr>
            <w:r w:rsidRPr="00795599">
              <w:rPr>
                <w:sz w:val="24"/>
                <w:szCs w:val="24"/>
                <w:lang w:eastAsia="lv-LV"/>
              </w:rPr>
              <w:t> </w:t>
            </w:r>
            <w:r w:rsidRPr="00795599">
              <w:rPr>
                <w:bCs/>
                <w:sz w:val="24"/>
                <w:szCs w:val="24"/>
              </w:rPr>
              <w:t>Nav</w:t>
            </w:r>
          </w:p>
        </w:tc>
      </w:tr>
      <w:tr w:rsidR="00D51F89" w:rsidRPr="00795599" w:rsidTr="00C41D50">
        <w:tblPrEx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F89" w:rsidRPr="00795599" w:rsidRDefault="00D51F89" w:rsidP="00CE6434">
            <w:pPr>
              <w:rPr>
                <w:sz w:val="24"/>
                <w:szCs w:val="24"/>
                <w:lang w:eastAsia="lv-LV"/>
              </w:rPr>
            </w:pPr>
            <w:r w:rsidRPr="00795599">
              <w:rPr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44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F89" w:rsidRPr="00795599" w:rsidRDefault="00D51F89" w:rsidP="00CE6434">
            <w:pPr>
              <w:rPr>
                <w:sz w:val="24"/>
                <w:szCs w:val="24"/>
                <w:lang w:eastAsia="lv-LV"/>
              </w:rPr>
            </w:pPr>
            <w:r w:rsidRPr="00795599">
              <w:rPr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F89" w:rsidRPr="00795599" w:rsidRDefault="00D51F89" w:rsidP="00CE6434">
            <w:pPr>
              <w:rPr>
                <w:sz w:val="24"/>
                <w:szCs w:val="24"/>
                <w:lang w:eastAsia="lv-LV"/>
              </w:rPr>
            </w:pPr>
            <w:r w:rsidRPr="00795599">
              <w:rPr>
                <w:sz w:val="24"/>
                <w:szCs w:val="24"/>
                <w:lang w:eastAsia="lv-LV"/>
              </w:rPr>
              <w:t>Nav</w:t>
            </w:r>
          </w:p>
        </w:tc>
      </w:tr>
      <w:tr w:rsidR="00D51F89" w:rsidRPr="00795599" w:rsidTr="00786DB3">
        <w:tblPrEx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91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434" w:rsidRDefault="00CE6434" w:rsidP="00CE6434">
            <w:pPr>
              <w:jc w:val="center"/>
              <w:rPr>
                <w:b/>
                <w:sz w:val="24"/>
                <w:szCs w:val="24"/>
                <w:lang w:eastAsia="lv-LV"/>
              </w:rPr>
            </w:pPr>
          </w:p>
          <w:p w:rsidR="005C1B70" w:rsidRPr="00795599" w:rsidRDefault="00D51F89" w:rsidP="00CE6434">
            <w:pPr>
              <w:jc w:val="center"/>
              <w:rPr>
                <w:b/>
                <w:sz w:val="24"/>
                <w:szCs w:val="24"/>
                <w:lang w:eastAsia="lv-LV"/>
              </w:rPr>
            </w:pPr>
            <w:r w:rsidRPr="00795599">
              <w:rPr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D51F89" w:rsidRPr="00795599" w:rsidTr="00786DB3">
        <w:tblPrEx>
          <w:tblLook w:val="0000" w:firstRow="0" w:lastRow="0" w:firstColumn="0" w:lastColumn="0" w:noHBand="0" w:noVBand="0"/>
        </w:tblPrEx>
        <w:trPr>
          <w:trHeight w:val="280"/>
          <w:tblCellSpacing w:w="0" w:type="dxa"/>
        </w:trPr>
        <w:tc>
          <w:tcPr>
            <w:tcW w:w="91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F89" w:rsidRPr="00A2088F" w:rsidRDefault="00A2088F" w:rsidP="00CE6434">
            <w:pPr>
              <w:jc w:val="center"/>
              <w:rPr>
                <w:sz w:val="24"/>
                <w:szCs w:val="24"/>
                <w:lang w:eastAsia="lv-LV"/>
              </w:rPr>
            </w:pPr>
            <w:r w:rsidRPr="00A2088F">
              <w:rPr>
                <w:iCs/>
                <w:sz w:val="24"/>
                <w:szCs w:val="24"/>
              </w:rPr>
              <w:t>Projekts šo jomu neskar</w:t>
            </w:r>
          </w:p>
        </w:tc>
      </w:tr>
      <w:tr w:rsidR="00D51F89" w:rsidRPr="00795599" w:rsidTr="00786DB3">
        <w:tblPrEx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91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434" w:rsidRDefault="00CE6434" w:rsidP="00CE6434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  <w:p w:rsidR="005C1B70" w:rsidRPr="003557D1" w:rsidRDefault="00D51F89" w:rsidP="00CE6434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795599">
              <w:rPr>
                <w:b/>
                <w:bCs/>
                <w:sz w:val="24"/>
                <w:szCs w:val="24"/>
                <w:lang w:eastAsia="lv-LV"/>
              </w:rPr>
              <w:t>VI. Sabiedrības līdzdalība un šīs līdzdalības rezultāti</w:t>
            </w:r>
          </w:p>
        </w:tc>
      </w:tr>
      <w:tr w:rsidR="00D51F89" w:rsidRPr="00795599" w:rsidTr="008D75D8">
        <w:tblPrEx>
          <w:tblLook w:val="0000" w:firstRow="0" w:lastRow="0" w:firstColumn="0" w:lastColumn="0" w:noHBand="0" w:noVBand="0"/>
        </w:tblPrEx>
        <w:trPr>
          <w:trHeight w:val="258"/>
          <w:tblCellSpacing w:w="0" w:type="dxa"/>
        </w:trPr>
        <w:tc>
          <w:tcPr>
            <w:tcW w:w="91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F89" w:rsidRPr="00A2088F" w:rsidRDefault="00A2088F" w:rsidP="00CE6434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A2088F">
              <w:rPr>
                <w:iCs/>
                <w:sz w:val="24"/>
                <w:szCs w:val="24"/>
              </w:rPr>
              <w:t>Projekts šo jomu neskar</w:t>
            </w:r>
          </w:p>
        </w:tc>
      </w:tr>
      <w:tr w:rsidR="00D51F89" w:rsidRPr="00795599" w:rsidTr="00786DB3">
        <w:tblPrEx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91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434" w:rsidRDefault="00CE6434" w:rsidP="00CE6434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</w:p>
          <w:p w:rsidR="005C1B70" w:rsidRPr="003557D1" w:rsidRDefault="00D51F89" w:rsidP="00CE6434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795599">
              <w:rPr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D51F89" w:rsidRPr="00795599" w:rsidTr="008D75D8">
        <w:tblPrEx>
          <w:tblLook w:val="0000" w:firstRow="0" w:lastRow="0" w:firstColumn="0" w:lastColumn="0" w:noHBand="0" w:noVBand="0"/>
        </w:tblPrEx>
        <w:trPr>
          <w:trHeight w:val="352"/>
          <w:tblCellSpacing w:w="0" w:type="dxa"/>
        </w:trPr>
        <w:tc>
          <w:tcPr>
            <w:tcW w:w="91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F89" w:rsidRPr="00A2088F" w:rsidRDefault="00A2088F" w:rsidP="00CE6434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A2088F">
              <w:rPr>
                <w:iCs/>
                <w:sz w:val="24"/>
                <w:szCs w:val="24"/>
              </w:rPr>
              <w:t>Projekts šo jomu neskar</w:t>
            </w:r>
          </w:p>
        </w:tc>
      </w:tr>
    </w:tbl>
    <w:p w:rsidR="00B649B7" w:rsidRDefault="00B649B7" w:rsidP="00115E82">
      <w:pPr>
        <w:rPr>
          <w:rFonts w:eastAsia="Times New Roman" w:cs="Times New Roman"/>
          <w:sz w:val="24"/>
          <w:szCs w:val="24"/>
          <w:lang w:eastAsia="lv-LV"/>
        </w:rPr>
      </w:pPr>
    </w:p>
    <w:p w:rsidR="00245A0E" w:rsidRPr="001513F9" w:rsidRDefault="00245A0E" w:rsidP="00115E82">
      <w:pPr>
        <w:rPr>
          <w:rFonts w:eastAsia="Times New Roman" w:cs="Times New Roman"/>
          <w:sz w:val="24"/>
          <w:szCs w:val="24"/>
          <w:lang w:eastAsia="lv-LV"/>
        </w:rPr>
      </w:pPr>
    </w:p>
    <w:p w:rsidR="00935378" w:rsidRPr="001513F9" w:rsidRDefault="0070526D" w:rsidP="00935378">
      <w:pPr>
        <w:rPr>
          <w:rFonts w:cs="Times New Roman"/>
          <w:sz w:val="24"/>
          <w:szCs w:val="24"/>
        </w:rPr>
      </w:pPr>
      <w:r w:rsidRPr="001513F9">
        <w:rPr>
          <w:rFonts w:eastAsia="Times New Roman" w:cs="Times New Roman"/>
          <w:sz w:val="24"/>
          <w:szCs w:val="24"/>
          <w:lang w:eastAsia="lv-LV"/>
        </w:rPr>
        <w:t>  </w:t>
      </w:r>
    </w:p>
    <w:p w:rsidR="00935378" w:rsidRPr="00B862F9" w:rsidRDefault="00935378" w:rsidP="00935378">
      <w:pPr>
        <w:rPr>
          <w:rFonts w:cs="Times New Roman"/>
          <w:sz w:val="26"/>
          <w:szCs w:val="26"/>
        </w:rPr>
      </w:pPr>
      <w:r w:rsidRPr="00B862F9">
        <w:rPr>
          <w:rFonts w:cs="Times New Roman"/>
          <w:sz w:val="26"/>
          <w:szCs w:val="26"/>
        </w:rPr>
        <w:t xml:space="preserve">Finanšu ministrs </w:t>
      </w:r>
      <w:r w:rsidRPr="00B862F9">
        <w:rPr>
          <w:rFonts w:cs="Times New Roman"/>
          <w:sz w:val="26"/>
          <w:szCs w:val="26"/>
        </w:rPr>
        <w:tab/>
      </w:r>
      <w:r w:rsidRPr="00B862F9">
        <w:rPr>
          <w:rFonts w:cs="Times New Roman"/>
          <w:sz w:val="26"/>
          <w:szCs w:val="26"/>
        </w:rPr>
        <w:tab/>
      </w:r>
      <w:r w:rsidRPr="00B862F9">
        <w:rPr>
          <w:rFonts w:cs="Times New Roman"/>
          <w:sz w:val="26"/>
          <w:szCs w:val="26"/>
        </w:rPr>
        <w:tab/>
      </w:r>
      <w:r w:rsidRPr="00B862F9">
        <w:rPr>
          <w:rFonts w:cs="Times New Roman"/>
          <w:sz w:val="26"/>
          <w:szCs w:val="26"/>
        </w:rPr>
        <w:tab/>
      </w:r>
      <w:r w:rsidRPr="00B862F9">
        <w:rPr>
          <w:rFonts w:cs="Times New Roman"/>
          <w:sz w:val="26"/>
          <w:szCs w:val="26"/>
        </w:rPr>
        <w:tab/>
      </w:r>
      <w:r w:rsidRPr="00B862F9">
        <w:rPr>
          <w:rFonts w:cs="Times New Roman"/>
          <w:sz w:val="26"/>
          <w:szCs w:val="26"/>
        </w:rPr>
        <w:tab/>
      </w:r>
      <w:r w:rsidR="00637066" w:rsidRPr="00B862F9">
        <w:rPr>
          <w:rFonts w:cs="Times New Roman"/>
          <w:sz w:val="26"/>
          <w:szCs w:val="26"/>
        </w:rPr>
        <w:tab/>
      </w:r>
      <w:r w:rsidRPr="00B862F9">
        <w:rPr>
          <w:rFonts w:cs="Times New Roman"/>
          <w:sz w:val="26"/>
          <w:szCs w:val="26"/>
        </w:rPr>
        <w:tab/>
      </w:r>
      <w:r w:rsidRPr="00B862F9">
        <w:rPr>
          <w:rFonts w:cs="Times New Roman"/>
          <w:sz w:val="26"/>
          <w:szCs w:val="26"/>
        </w:rPr>
        <w:tab/>
      </w:r>
      <w:r w:rsidR="00554904">
        <w:rPr>
          <w:rFonts w:cs="Times New Roman"/>
          <w:sz w:val="26"/>
          <w:szCs w:val="26"/>
        </w:rPr>
        <w:t>A.Vilks</w:t>
      </w:r>
    </w:p>
    <w:p w:rsidR="00095CD7" w:rsidRDefault="00095CD7" w:rsidP="002A429F">
      <w:pPr>
        <w:tabs>
          <w:tab w:val="left" w:pos="6840"/>
        </w:tabs>
        <w:jc w:val="both"/>
        <w:rPr>
          <w:rFonts w:cs="Times New Roman"/>
          <w:sz w:val="24"/>
          <w:szCs w:val="24"/>
        </w:rPr>
      </w:pPr>
    </w:p>
    <w:p w:rsidR="008D75D8" w:rsidRDefault="008D75D8" w:rsidP="002A429F">
      <w:pPr>
        <w:tabs>
          <w:tab w:val="left" w:pos="6840"/>
        </w:tabs>
        <w:jc w:val="both"/>
        <w:rPr>
          <w:rFonts w:cs="Times New Roman"/>
          <w:sz w:val="24"/>
          <w:szCs w:val="24"/>
        </w:rPr>
      </w:pPr>
    </w:p>
    <w:p w:rsidR="008C74CC" w:rsidRDefault="008C74CC" w:rsidP="002A429F">
      <w:pPr>
        <w:tabs>
          <w:tab w:val="left" w:pos="6840"/>
        </w:tabs>
        <w:jc w:val="both"/>
        <w:rPr>
          <w:rFonts w:cs="Times New Roman"/>
          <w:sz w:val="24"/>
          <w:szCs w:val="24"/>
        </w:rPr>
      </w:pPr>
    </w:p>
    <w:p w:rsidR="008C74CC" w:rsidRDefault="008C74CC" w:rsidP="002A429F">
      <w:pPr>
        <w:tabs>
          <w:tab w:val="left" w:pos="6840"/>
        </w:tabs>
        <w:jc w:val="both"/>
        <w:rPr>
          <w:rFonts w:cs="Times New Roman"/>
          <w:sz w:val="24"/>
          <w:szCs w:val="24"/>
        </w:rPr>
      </w:pPr>
    </w:p>
    <w:p w:rsidR="008C74CC" w:rsidRDefault="008C74CC" w:rsidP="002A429F">
      <w:pPr>
        <w:tabs>
          <w:tab w:val="left" w:pos="6840"/>
        </w:tabs>
        <w:jc w:val="both"/>
        <w:rPr>
          <w:rFonts w:cs="Times New Roman"/>
          <w:sz w:val="24"/>
          <w:szCs w:val="24"/>
        </w:rPr>
      </w:pPr>
      <w:bookmarkStart w:id="3" w:name="_GoBack"/>
      <w:bookmarkEnd w:id="3"/>
    </w:p>
    <w:p w:rsidR="003557D1" w:rsidRDefault="003557D1" w:rsidP="002A429F">
      <w:pPr>
        <w:tabs>
          <w:tab w:val="left" w:pos="6840"/>
        </w:tabs>
        <w:jc w:val="both"/>
        <w:rPr>
          <w:rFonts w:cs="Times New Roman"/>
          <w:sz w:val="24"/>
          <w:szCs w:val="24"/>
        </w:rPr>
      </w:pPr>
    </w:p>
    <w:p w:rsidR="003557D1" w:rsidRDefault="003557D1" w:rsidP="002A429F">
      <w:pPr>
        <w:tabs>
          <w:tab w:val="left" w:pos="6840"/>
        </w:tabs>
        <w:jc w:val="both"/>
        <w:rPr>
          <w:rFonts w:cs="Times New Roman"/>
          <w:sz w:val="24"/>
          <w:szCs w:val="24"/>
        </w:rPr>
      </w:pPr>
    </w:p>
    <w:p w:rsidR="002E6035" w:rsidRDefault="002E6035" w:rsidP="002A429F">
      <w:pPr>
        <w:pStyle w:val="naisc"/>
        <w:spacing w:before="0" w:beforeAutospacing="0" w:after="0" w:afterAutospacing="0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2011.11.17. 10:41</w:t>
      </w:r>
    </w:p>
    <w:p w:rsidR="002A429F" w:rsidRPr="008D19E8" w:rsidRDefault="001054FD" w:rsidP="002A429F">
      <w:pPr>
        <w:pStyle w:val="naisc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813</w:t>
      </w:r>
    </w:p>
    <w:p w:rsidR="002A429F" w:rsidRPr="008D19E8" w:rsidRDefault="002A429F" w:rsidP="002A429F">
      <w:pPr>
        <w:pStyle w:val="naisc"/>
        <w:spacing w:before="0" w:beforeAutospacing="0" w:after="0" w:afterAutospacing="0"/>
        <w:rPr>
          <w:sz w:val="20"/>
          <w:szCs w:val="20"/>
        </w:rPr>
      </w:pPr>
      <w:r w:rsidRPr="008D19E8">
        <w:rPr>
          <w:sz w:val="20"/>
          <w:szCs w:val="20"/>
        </w:rPr>
        <w:t xml:space="preserve">Artemjeva; </w:t>
      </w:r>
    </w:p>
    <w:p w:rsidR="00DF219A" w:rsidRPr="008D19E8" w:rsidRDefault="002A429F" w:rsidP="001F67C8">
      <w:pPr>
        <w:pStyle w:val="naislab"/>
        <w:spacing w:before="0" w:beforeAutospacing="0" w:after="0" w:afterAutospacing="0"/>
        <w:jc w:val="both"/>
        <w:rPr>
          <w:sz w:val="20"/>
          <w:szCs w:val="20"/>
          <w:lang w:val="en-GB"/>
        </w:rPr>
      </w:pPr>
      <w:r w:rsidRPr="008D19E8">
        <w:rPr>
          <w:sz w:val="20"/>
          <w:szCs w:val="20"/>
        </w:rPr>
        <w:t xml:space="preserve">67095599; </w:t>
      </w:r>
      <w:hyperlink r:id="rId8" w:history="1">
        <w:r w:rsidRPr="008D19E8">
          <w:rPr>
            <w:rStyle w:val="Hyperlink"/>
            <w:sz w:val="20"/>
            <w:szCs w:val="20"/>
          </w:rPr>
          <w:t>Ineta.Artemjeva@fm.gov.lv</w:t>
        </w:r>
      </w:hyperlink>
    </w:p>
    <w:sectPr w:rsidR="00DF219A" w:rsidRPr="008D19E8" w:rsidSect="001D267D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3D" w:rsidRDefault="00F41F3D" w:rsidP="00E91F5C">
      <w:r>
        <w:separator/>
      </w:r>
    </w:p>
  </w:endnote>
  <w:endnote w:type="continuationSeparator" w:id="0">
    <w:p w:rsidR="00F41F3D" w:rsidRDefault="00F41F3D" w:rsidP="00E9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2" w:rsidRPr="0024663F" w:rsidRDefault="0024663F" w:rsidP="0024663F">
    <w:pPr>
      <w:pStyle w:val="Footer"/>
    </w:pPr>
    <w:r w:rsidRPr="0024663F">
      <w:rPr>
        <w:rFonts w:eastAsia="Times New Roman" w:cs="Times New Roman"/>
        <w:sz w:val="18"/>
        <w:szCs w:val="18"/>
        <w:lang w:eastAsia="lv-LV"/>
      </w:rPr>
      <w:t>FMAnot_011111_AL; Likumprojekta „Grozījumi Valsts un pašvaldību institūciju amatpersonu un darbinieku atlīdzības likumā”  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22" w:rsidRPr="001E0844" w:rsidRDefault="001A7922" w:rsidP="0024663F">
    <w:pPr>
      <w:pStyle w:val="BodyText3"/>
      <w:rPr>
        <w:b w:val="0"/>
        <w:i w:val="0"/>
        <w:sz w:val="18"/>
        <w:szCs w:val="18"/>
      </w:rPr>
    </w:pPr>
    <w:r w:rsidRPr="001E0844">
      <w:rPr>
        <w:b w:val="0"/>
        <w:i w:val="0"/>
        <w:sz w:val="18"/>
        <w:szCs w:val="18"/>
      </w:rPr>
      <w:t>FMAnot</w:t>
    </w:r>
    <w:r w:rsidR="0024663F">
      <w:rPr>
        <w:b w:val="0"/>
        <w:i w:val="0"/>
        <w:sz w:val="18"/>
        <w:szCs w:val="18"/>
      </w:rPr>
      <w:t>_</w:t>
    </w:r>
    <w:r>
      <w:rPr>
        <w:b w:val="0"/>
        <w:i w:val="0"/>
        <w:sz w:val="18"/>
        <w:szCs w:val="18"/>
      </w:rPr>
      <w:t>011111</w:t>
    </w:r>
    <w:r w:rsidR="0024663F">
      <w:rPr>
        <w:b w:val="0"/>
        <w:i w:val="0"/>
        <w:sz w:val="18"/>
        <w:szCs w:val="18"/>
      </w:rPr>
      <w:t>_AL</w:t>
    </w:r>
    <w:r w:rsidRPr="001E0844">
      <w:rPr>
        <w:b w:val="0"/>
        <w:i w:val="0"/>
        <w:sz w:val="18"/>
        <w:szCs w:val="18"/>
      </w:rPr>
      <w:t>; Likumprojekt</w:t>
    </w:r>
    <w:r>
      <w:rPr>
        <w:b w:val="0"/>
        <w:i w:val="0"/>
        <w:sz w:val="18"/>
        <w:szCs w:val="18"/>
      </w:rPr>
      <w:t>a</w:t>
    </w:r>
    <w:r w:rsidRPr="001E0844">
      <w:rPr>
        <w:b w:val="0"/>
        <w:i w:val="0"/>
        <w:sz w:val="18"/>
        <w:szCs w:val="18"/>
      </w:rPr>
      <w:t xml:space="preserve"> „Grozījumi</w:t>
    </w:r>
    <w:r w:rsidR="0024663F" w:rsidRPr="0024663F">
      <w:t xml:space="preserve"> </w:t>
    </w:r>
    <w:r w:rsidR="0024663F" w:rsidRPr="0024663F">
      <w:rPr>
        <w:b w:val="0"/>
        <w:i w:val="0"/>
        <w:sz w:val="18"/>
        <w:szCs w:val="18"/>
      </w:rPr>
      <w:t xml:space="preserve">Valsts un pašvaldību institūciju amatpersonu un darbinieku atlīdzības </w:t>
    </w:r>
    <w:r w:rsidR="0024663F">
      <w:rPr>
        <w:b w:val="0"/>
        <w:i w:val="0"/>
        <w:sz w:val="18"/>
        <w:szCs w:val="18"/>
      </w:rPr>
      <w:t xml:space="preserve">likumā” </w:t>
    </w:r>
    <w:r w:rsidRPr="001E0844">
      <w:rPr>
        <w:b w:val="0"/>
        <w:i w:val="0"/>
        <w:sz w:val="18"/>
        <w:szCs w:val="18"/>
      </w:rPr>
      <w:t xml:space="preserve"> </w:t>
    </w:r>
    <w:r w:rsidRPr="001E0844">
      <w:rPr>
        <w:b w:val="0"/>
        <w:bCs/>
        <w:i w:val="0"/>
        <w:sz w:val="18"/>
        <w:szCs w:val="18"/>
      </w:rPr>
      <w:t>anotācija</w:t>
    </w:r>
  </w:p>
  <w:p w:rsidR="001A7922" w:rsidRPr="00E91F5C" w:rsidRDefault="001A7922" w:rsidP="00295790">
    <w:pPr>
      <w:pStyle w:val="Footer"/>
      <w:rPr>
        <w:sz w:val="18"/>
        <w:szCs w:val="18"/>
      </w:rPr>
    </w:pPr>
  </w:p>
  <w:p w:rsidR="001A7922" w:rsidRDefault="001A7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3D" w:rsidRDefault="00F41F3D" w:rsidP="00E91F5C">
      <w:r>
        <w:separator/>
      </w:r>
    </w:p>
  </w:footnote>
  <w:footnote w:type="continuationSeparator" w:id="0">
    <w:p w:rsidR="00F41F3D" w:rsidRDefault="00F41F3D" w:rsidP="00E91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3877"/>
      <w:docPartObj>
        <w:docPartGallery w:val="Page Numbers (Top of Page)"/>
        <w:docPartUnique/>
      </w:docPartObj>
    </w:sdtPr>
    <w:sdtEndPr/>
    <w:sdtContent>
      <w:p w:rsidR="001A7922" w:rsidRDefault="001A79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4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7922" w:rsidRDefault="001A7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6D"/>
    <w:rsid w:val="000072F6"/>
    <w:rsid w:val="00020CBC"/>
    <w:rsid w:val="000457EA"/>
    <w:rsid w:val="00046C78"/>
    <w:rsid w:val="00052E43"/>
    <w:rsid w:val="0007161B"/>
    <w:rsid w:val="00076A9C"/>
    <w:rsid w:val="00095CD7"/>
    <w:rsid w:val="000A5888"/>
    <w:rsid w:val="000C5257"/>
    <w:rsid w:val="001054FD"/>
    <w:rsid w:val="00115E82"/>
    <w:rsid w:val="00120B50"/>
    <w:rsid w:val="00122D09"/>
    <w:rsid w:val="001326C5"/>
    <w:rsid w:val="00142C62"/>
    <w:rsid w:val="001513F9"/>
    <w:rsid w:val="00192B03"/>
    <w:rsid w:val="001A623F"/>
    <w:rsid w:val="001A6A3B"/>
    <w:rsid w:val="001A7922"/>
    <w:rsid w:val="001B1296"/>
    <w:rsid w:val="001B4047"/>
    <w:rsid w:val="001C3BAB"/>
    <w:rsid w:val="001C4093"/>
    <w:rsid w:val="001D267D"/>
    <w:rsid w:val="001D2E3F"/>
    <w:rsid w:val="001E0844"/>
    <w:rsid w:val="001F2578"/>
    <w:rsid w:val="001F67C8"/>
    <w:rsid w:val="00202310"/>
    <w:rsid w:val="00206DEB"/>
    <w:rsid w:val="002129AB"/>
    <w:rsid w:val="00220C0A"/>
    <w:rsid w:val="00227194"/>
    <w:rsid w:val="00243E11"/>
    <w:rsid w:val="00245A0E"/>
    <w:rsid w:val="0024663F"/>
    <w:rsid w:val="00276F0F"/>
    <w:rsid w:val="00295790"/>
    <w:rsid w:val="002A3DAE"/>
    <w:rsid w:val="002A429F"/>
    <w:rsid w:val="002B5BA9"/>
    <w:rsid w:val="002E4745"/>
    <w:rsid w:val="002E6035"/>
    <w:rsid w:val="002F170C"/>
    <w:rsid w:val="00305EA9"/>
    <w:rsid w:val="00324CF7"/>
    <w:rsid w:val="00325216"/>
    <w:rsid w:val="00351EDD"/>
    <w:rsid w:val="003557D1"/>
    <w:rsid w:val="003649A9"/>
    <w:rsid w:val="00371830"/>
    <w:rsid w:val="003726F1"/>
    <w:rsid w:val="003813CE"/>
    <w:rsid w:val="003A16FD"/>
    <w:rsid w:val="003A6BE5"/>
    <w:rsid w:val="003E3A45"/>
    <w:rsid w:val="004110D4"/>
    <w:rsid w:val="004124FD"/>
    <w:rsid w:val="004326F4"/>
    <w:rsid w:val="00460F34"/>
    <w:rsid w:val="00465B50"/>
    <w:rsid w:val="004750D4"/>
    <w:rsid w:val="0049083C"/>
    <w:rsid w:val="00496AD3"/>
    <w:rsid w:val="004C1FF3"/>
    <w:rsid w:val="00513388"/>
    <w:rsid w:val="00515332"/>
    <w:rsid w:val="00554904"/>
    <w:rsid w:val="005577A2"/>
    <w:rsid w:val="0056301D"/>
    <w:rsid w:val="00570CBE"/>
    <w:rsid w:val="00583E91"/>
    <w:rsid w:val="00595256"/>
    <w:rsid w:val="005A78CF"/>
    <w:rsid w:val="005B57BA"/>
    <w:rsid w:val="005C1B70"/>
    <w:rsid w:val="005C3F1D"/>
    <w:rsid w:val="005D4341"/>
    <w:rsid w:val="005D52D4"/>
    <w:rsid w:val="00606F04"/>
    <w:rsid w:val="0063487E"/>
    <w:rsid w:val="00637066"/>
    <w:rsid w:val="00646BA9"/>
    <w:rsid w:val="00647FBE"/>
    <w:rsid w:val="0065266A"/>
    <w:rsid w:val="00672F87"/>
    <w:rsid w:val="006832C6"/>
    <w:rsid w:val="00683DDD"/>
    <w:rsid w:val="00684105"/>
    <w:rsid w:val="006B7A79"/>
    <w:rsid w:val="006C23B4"/>
    <w:rsid w:val="006D081A"/>
    <w:rsid w:val="006D1FA7"/>
    <w:rsid w:val="006D3226"/>
    <w:rsid w:val="006D3764"/>
    <w:rsid w:val="006F037E"/>
    <w:rsid w:val="0070526D"/>
    <w:rsid w:val="007159E8"/>
    <w:rsid w:val="0073729B"/>
    <w:rsid w:val="007445BF"/>
    <w:rsid w:val="00744BF8"/>
    <w:rsid w:val="00757EFF"/>
    <w:rsid w:val="007822E0"/>
    <w:rsid w:val="00786DB3"/>
    <w:rsid w:val="007A17C6"/>
    <w:rsid w:val="007A3315"/>
    <w:rsid w:val="007D790C"/>
    <w:rsid w:val="007D791F"/>
    <w:rsid w:val="007E5F4E"/>
    <w:rsid w:val="007F1998"/>
    <w:rsid w:val="00803856"/>
    <w:rsid w:val="008232DE"/>
    <w:rsid w:val="00835068"/>
    <w:rsid w:val="00840983"/>
    <w:rsid w:val="00862EB1"/>
    <w:rsid w:val="00894CB6"/>
    <w:rsid w:val="00896087"/>
    <w:rsid w:val="00896241"/>
    <w:rsid w:val="008C14A5"/>
    <w:rsid w:val="008C6955"/>
    <w:rsid w:val="008C6C7D"/>
    <w:rsid w:val="008C74CC"/>
    <w:rsid w:val="008D19E8"/>
    <w:rsid w:val="008D33D9"/>
    <w:rsid w:val="008D75D8"/>
    <w:rsid w:val="008E1522"/>
    <w:rsid w:val="008E6AFB"/>
    <w:rsid w:val="00905E6A"/>
    <w:rsid w:val="00910FC5"/>
    <w:rsid w:val="009323A2"/>
    <w:rsid w:val="00933EB8"/>
    <w:rsid w:val="0093409E"/>
    <w:rsid w:val="00935378"/>
    <w:rsid w:val="009620AF"/>
    <w:rsid w:val="0096662B"/>
    <w:rsid w:val="009B1D4A"/>
    <w:rsid w:val="009C0C5F"/>
    <w:rsid w:val="009D48FA"/>
    <w:rsid w:val="009E0A7B"/>
    <w:rsid w:val="009F49A6"/>
    <w:rsid w:val="00A13CF4"/>
    <w:rsid w:val="00A2088F"/>
    <w:rsid w:val="00A25FA6"/>
    <w:rsid w:val="00A30BA9"/>
    <w:rsid w:val="00A56EEB"/>
    <w:rsid w:val="00A77496"/>
    <w:rsid w:val="00A923DC"/>
    <w:rsid w:val="00A9567D"/>
    <w:rsid w:val="00AA0E82"/>
    <w:rsid w:val="00AA5A9B"/>
    <w:rsid w:val="00AB7BCD"/>
    <w:rsid w:val="00AE0323"/>
    <w:rsid w:val="00AE281C"/>
    <w:rsid w:val="00B042D3"/>
    <w:rsid w:val="00B11958"/>
    <w:rsid w:val="00B27C10"/>
    <w:rsid w:val="00B3383F"/>
    <w:rsid w:val="00B347A2"/>
    <w:rsid w:val="00B41E99"/>
    <w:rsid w:val="00B47953"/>
    <w:rsid w:val="00B54BFC"/>
    <w:rsid w:val="00B649B7"/>
    <w:rsid w:val="00B71BCE"/>
    <w:rsid w:val="00B771F7"/>
    <w:rsid w:val="00B81679"/>
    <w:rsid w:val="00B862F9"/>
    <w:rsid w:val="00BA0537"/>
    <w:rsid w:val="00BA3D85"/>
    <w:rsid w:val="00BA6A1D"/>
    <w:rsid w:val="00BB617C"/>
    <w:rsid w:val="00BC4140"/>
    <w:rsid w:val="00BC6D4D"/>
    <w:rsid w:val="00BD5136"/>
    <w:rsid w:val="00BE181C"/>
    <w:rsid w:val="00BE6409"/>
    <w:rsid w:val="00C10817"/>
    <w:rsid w:val="00C2791C"/>
    <w:rsid w:val="00C41080"/>
    <w:rsid w:val="00C41D50"/>
    <w:rsid w:val="00C7692F"/>
    <w:rsid w:val="00C84F1F"/>
    <w:rsid w:val="00C90C03"/>
    <w:rsid w:val="00CB67AC"/>
    <w:rsid w:val="00CC20FC"/>
    <w:rsid w:val="00CC3A66"/>
    <w:rsid w:val="00CD5DB4"/>
    <w:rsid w:val="00CE2F5A"/>
    <w:rsid w:val="00CE6434"/>
    <w:rsid w:val="00CF7CF7"/>
    <w:rsid w:val="00D05F28"/>
    <w:rsid w:val="00D07C37"/>
    <w:rsid w:val="00D3091E"/>
    <w:rsid w:val="00D35AE5"/>
    <w:rsid w:val="00D51F89"/>
    <w:rsid w:val="00D62636"/>
    <w:rsid w:val="00D72D11"/>
    <w:rsid w:val="00D8563C"/>
    <w:rsid w:val="00D90AC4"/>
    <w:rsid w:val="00DA599E"/>
    <w:rsid w:val="00DC453A"/>
    <w:rsid w:val="00DD7AE3"/>
    <w:rsid w:val="00DF219A"/>
    <w:rsid w:val="00DF27CD"/>
    <w:rsid w:val="00E2035E"/>
    <w:rsid w:val="00E21CC0"/>
    <w:rsid w:val="00E222EA"/>
    <w:rsid w:val="00E476D0"/>
    <w:rsid w:val="00E53FD0"/>
    <w:rsid w:val="00E67636"/>
    <w:rsid w:val="00E91F5C"/>
    <w:rsid w:val="00EB39A0"/>
    <w:rsid w:val="00EC7EB6"/>
    <w:rsid w:val="00EF3296"/>
    <w:rsid w:val="00F020D9"/>
    <w:rsid w:val="00F07B8D"/>
    <w:rsid w:val="00F1560E"/>
    <w:rsid w:val="00F3682F"/>
    <w:rsid w:val="00F41F3D"/>
    <w:rsid w:val="00F605F5"/>
    <w:rsid w:val="00F93E80"/>
    <w:rsid w:val="00F94342"/>
    <w:rsid w:val="00FA1D5D"/>
    <w:rsid w:val="00FA28F7"/>
    <w:rsid w:val="00FA5C3C"/>
    <w:rsid w:val="00FA5FBF"/>
    <w:rsid w:val="00FA76CA"/>
    <w:rsid w:val="00FC0D21"/>
    <w:rsid w:val="00FE5D0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9A"/>
  </w:style>
  <w:style w:type="paragraph" w:styleId="Heading2">
    <w:name w:val="heading 2"/>
    <w:basedOn w:val="Normal"/>
    <w:next w:val="Normal"/>
    <w:link w:val="Heading2Char"/>
    <w:qFormat/>
    <w:rsid w:val="00D35AE5"/>
    <w:pPr>
      <w:keepNext/>
      <w:jc w:val="center"/>
      <w:outlineLvl w:val="1"/>
    </w:pPr>
    <w:rPr>
      <w:rFonts w:eastAsia="Times New Roman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customStyle="1" w:styleId="BodyText3Char">
    <w:name w:val="Body Text 3 Char"/>
    <w:basedOn w:val="DefaultParagraphFont"/>
    <w:link w:val="BodyText3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styleId="Hyperlink">
    <w:name w:val="Hyperlink"/>
    <w:basedOn w:val="DefaultParagraphFont"/>
    <w:rsid w:val="002A4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1F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F5C"/>
  </w:style>
  <w:style w:type="paragraph" w:styleId="Footer">
    <w:name w:val="footer"/>
    <w:basedOn w:val="Normal"/>
    <w:link w:val="FooterChar"/>
    <w:uiPriority w:val="99"/>
    <w:unhideWhenUsed/>
    <w:rsid w:val="00E91F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F5C"/>
  </w:style>
  <w:style w:type="character" w:customStyle="1" w:styleId="Heading2Char">
    <w:name w:val="Heading 2 Char"/>
    <w:basedOn w:val="DefaultParagraphFont"/>
    <w:link w:val="Heading2"/>
    <w:rsid w:val="00D35AE5"/>
    <w:rPr>
      <w:rFonts w:eastAsia="Times New Roman" w:cs="Times New Roman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5C1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9A"/>
  </w:style>
  <w:style w:type="paragraph" w:styleId="Heading2">
    <w:name w:val="heading 2"/>
    <w:basedOn w:val="Normal"/>
    <w:next w:val="Normal"/>
    <w:link w:val="Heading2Char"/>
    <w:qFormat/>
    <w:rsid w:val="00D35AE5"/>
    <w:pPr>
      <w:keepNext/>
      <w:jc w:val="center"/>
      <w:outlineLvl w:val="1"/>
    </w:pPr>
    <w:rPr>
      <w:rFonts w:eastAsia="Times New Roman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customStyle="1" w:styleId="BodyText3Char">
    <w:name w:val="Body Text 3 Char"/>
    <w:basedOn w:val="DefaultParagraphFont"/>
    <w:link w:val="BodyText3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styleId="Hyperlink">
    <w:name w:val="Hyperlink"/>
    <w:basedOn w:val="DefaultParagraphFont"/>
    <w:rsid w:val="002A4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1F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F5C"/>
  </w:style>
  <w:style w:type="paragraph" w:styleId="Footer">
    <w:name w:val="footer"/>
    <w:basedOn w:val="Normal"/>
    <w:link w:val="FooterChar"/>
    <w:uiPriority w:val="99"/>
    <w:unhideWhenUsed/>
    <w:rsid w:val="00E91F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F5C"/>
  </w:style>
  <w:style w:type="character" w:customStyle="1" w:styleId="Heading2Char">
    <w:name w:val="Heading 2 Char"/>
    <w:basedOn w:val="DefaultParagraphFont"/>
    <w:link w:val="Heading2"/>
    <w:rsid w:val="00D35AE5"/>
    <w:rPr>
      <w:rFonts w:eastAsia="Times New Roman" w:cs="Times New Roman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5C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Artemjeva@f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42FF-807E-4FB4-B8E8-C0B115DD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834</Words>
  <Characters>6050</Characters>
  <Application>Microsoft Office Word</Application>
  <DocSecurity>0</DocSecurity>
  <Lines>189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Valsts un pašvaldību institūciju amatpersonu un darbinieku atlīdzības likumā”</vt:lpstr>
    </vt:vector>
  </TitlesOfParts>
  <Company>fm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Valsts un pašvaldību institūciju amatpersonu un darbinieku atlīdzības likumā”</dc:title>
  <dc:subject>Anotācija</dc:subject>
  <dc:creator>I.Artemjeva</dc:creator>
  <cp:keywords/>
  <dc:description>t.67095599
Ineta.Artemjeva@fm.gov.lv</dc:description>
  <cp:lastModifiedBy>Windows User</cp:lastModifiedBy>
  <cp:revision>34</cp:revision>
  <cp:lastPrinted>2011-11-17T12:13:00Z</cp:lastPrinted>
  <dcterms:created xsi:type="dcterms:W3CDTF">2011-10-31T12:34:00Z</dcterms:created>
  <dcterms:modified xsi:type="dcterms:W3CDTF">2011-11-21T12:19:00Z</dcterms:modified>
</cp:coreProperties>
</file>