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28" w:rsidRDefault="00863228" w:rsidP="00863228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lang w:eastAsia="lv-LV"/>
        </w:rPr>
      </w:pPr>
      <w:bookmarkStart w:id="0" w:name="_GoBack"/>
      <w:bookmarkEnd w:id="0"/>
      <w:r w:rsidRPr="00570AB5">
        <w:rPr>
          <w:rFonts w:ascii="Times New Roman" w:hAnsi="Times New Roman"/>
          <w:bCs w:val="0"/>
          <w:i w:val="0"/>
          <w:lang w:eastAsia="lv-LV"/>
        </w:rPr>
        <w:t xml:space="preserve">Ministru kabineta noteikumu projekta </w:t>
      </w:r>
      <w:r>
        <w:rPr>
          <w:rFonts w:ascii="Times New Roman" w:hAnsi="Times New Roman"/>
          <w:bCs w:val="0"/>
          <w:i w:val="0"/>
          <w:lang w:eastAsia="lv-LV"/>
        </w:rPr>
        <w:t>„</w:t>
      </w:r>
      <w:r w:rsidRPr="00A200AC">
        <w:rPr>
          <w:rFonts w:ascii="Times New Roman" w:hAnsi="Times New Roman"/>
          <w:bCs w:val="0"/>
          <w:i w:val="0"/>
          <w:lang w:eastAsia="lv-LV"/>
        </w:rPr>
        <w:t>Grozījumi Ministru kabineta 2008.gada 25.mart</w:t>
      </w:r>
      <w:r>
        <w:rPr>
          <w:rFonts w:ascii="Times New Roman" w:hAnsi="Times New Roman"/>
          <w:bCs w:val="0"/>
          <w:i w:val="0"/>
          <w:lang w:eastAsia="lv-LV"/>
        </w:rPr>
        <w:t xml:space="preserve">a noteikumos Nr.196 </w:t>
      </w:r>
    </w:p>
    <w:p w:rsidR="00863228" w:rsidRPr="00570AB5" w:rsidRDefault="00863228" w:rsidP="00863228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lang w:eastAsia="lv-LV"/>
        </w:rPr>
      </w:pPr>
      <w:r>
        <w:rPr>
          <w:rFonts w:ascii="Times New Roman" w:hAnsi="Times New Roman"/>
          <w:bCs w:val="0"/>
          <w:i w:val="0"/>
          <w:lang w:eastAsia="lv-LV"/>
        </w:rPr>
        <w:t>„Noteikumi p</w:t>
      </w:r>
      <w:r w:rsidRPr="00A200AC">
        <w:rPr>
          <w:rFonts w:ascii="Times New Roman" w:hAnsi="Times New Roman"/>
          <w:bCs w:val="0"/>
          <w:i w:val="0"/>
          <w:lang w:eastAsia="lv-LV"/>
        </w:rPr>
        <w:t>ar pašvaldību aizņēmumiem un galvojumiem”</w:t>
      </w:r>
      <w:r>
        <w:rPr>
          <w:rFonts w:ascii="Times New Roman" w:hAnsi="Times New Roman"/>
          <w:bCs w:val="0"/>
          <w:i w:val="0"/>
          <w:lang w:eastAsia="lv-LV"/>
        </w:rPr>
        <w:t>”</w:t>
      </w:r>
    </w:p>
    <w:p w:rsidR="00863228" w:rsidRPr="00570AB5" w:rsidRDefault="00863228" w:rsidP="00863228">
      <w:pPr>
        <w:pStyle w:val="Heading2"/>
        <w:spacing w:before="0" w:after="0"/>
        <w:ind w:right="-108"/>
        <w:jc w:val="center"/>
        <w:rPr>
          <w:rFonts w:ascii="Times New Roman" w:hAnsi="Times New Roman"/>
          <w:i w:val="0"/>
        </w:rPr>
      </w:pPr>
      <w:r w:rsidRPr="00570AB5">
        <w:rPr>
          <w:rFonts w:ascii="Times New Roman" w:hAnsi="Times New Roman"/>
          <w:i w:val="0"/>
        </w:rPr>
        <w:t>sākotnējās ietekmes novērtējuma ziņojums (anotācija)</w:t>
      </w:r>
    </w:p>
    <w:p w:rsidR="00863228" w:rsidRPr="00570AB5" w:rsidRDefault="00863228" w:rsidP="00863228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095"/>
      </w:tblGrid>
      <w:tr w:rsidR="00863228" w:rsidRPr="00570AB5" w:rsidTr="00ED440C">
        <w:tc>
          <w:tcPr>
            <w:tcW w:w="9361" w:type="dxa"/>
            <w:gridSpan w:val="3"/>
            <w:vAlign w:val="center"/>
          </w:tcPr>
          <w:p w:rsidR="00863228" w:rsidRPr="00570AB5" w:rsidRDefault="00863228" w:rsidP="00ED440C">
            <w:pPr>
              <w:pStyle w:val="naisnod"/>
              <w:spacing w:before="240" w:after="0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863228" w:rsidRPr="00C11B2B" w:rsidTr="00ED440C">
        <w:trPr>
          <w:trHeight w:val="630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ind w:left="68" w:hanging="11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Pamatojums</w:t>
            </w:r>
            <w:r w:rsidR="00DF54EF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C11B2B" w:rsidRPr="00C11B2B" w:rsidRDefault="00863228" w:rsidP="0081178C">
            <w:pPr>
              <w:rPr>
                <w:i/>
                <w:sz w:val="28"/>
                <w:szCs w:val="28"/>
              </w:rPr>
            </w:pPr>
            <w:r w:rsidRPr="00C11B2B">
              <w:rPr>
                <w:i/>
              </w:rPr>
              <w:t xml:space="preserve"> </w:t>
            </w:r>
            <w:r w:rsidRPr="00C11B2B">
              <w:rPr>
                <w:i/>
                <w:sz w:val="28"/>
                <w:szCs w:val="28"/>
              </w:rPr>
              <w:t>Izmaiņas pēc būtības</w:t>
            </w:r>
            <w:r w:rsidR="00C11B2B" w:rsidRPr="00C11B2B">
              <w:rPr>
                <w:i/>
                <w:sz w:val="28"/>
                <w:szCs w:val="28"/>
              </w:rPr>
              <w:t>:</w:t>
            </w:r>
          </w:p>
          <w:p w:rsidR="00863228" w:rsidRPr="00C11B2B" w:rsidRDefault="00863228" w:rsidP="0081178C">
            <w:pPr>
              <w:rPr>
                <w:i/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 xml:space="preserve">Ministru kabineta noteikumu projekts „Grozījumi  Ministru kabineta 2008.gada 25.marta noteikumos  Nr.196 „Noteikumi par pašvaldību aizņēmumiem un galvojumiem”” (turpmāk – Noteikumu projekts) izstrādāts, lai uzlabotu pašvaldību aizņēmumu ņemšanas  un galvojumu sniegšanas procesu. </w:t>
            </w:r>
          </w:p>
          <w:p w:rsidR="0081178C" w:rsidRPr="00C11B2B" w:rsidRDefault="0081178C" w:rsidP="0081178C">
            <w:pPr>
              <w:rPr>
                <w:i/>
                <w:sz w:val="28"/>
                <w:szCs w:val="28"/>
              </w:rPr>
            </w:pPr>
          </w:p>
          <w:p w:rsidR="00863228" w:rsidRPr="00C11B2B" w:rsidRDefault="00863228" w:rsidP="0081178C">
            <w:pPr>
              <w:rPr>
                <w:i/>
                <w:sz w:val="28"/>
                <w:szCs w:val="28"/>
              </w:rPr>
            </w:pPr>
            <w:r w:rsidRPr="00C11B2B">
              <w:rPr>
                <w:i/>
                <w:sz w:val="28"/>
                <w:szCs w:val="28"/>
              </w:rPr>
              <w:t xml:space="preserve"> Izmaiņas saistībā ar </w:t>
            </w:r>
            <w:proofErr w:type="spellStart"/>
            <w:r w:rsidRPr="00C11B2B">
              <w:rPr>
                <w:i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sz w:val="28"/>
                <w:szCs w:val="28"/>
              </w:rPr>
              <w:t xml:space="preserve"> ieviešanu:</w:t>
            </w:r>
          </w:p>
          <w:p w:rsidR="00863228" w:rsidRDefault="00863228" w:rsidP="0050371A">
            <w:pPr>
              <w:rPr>
                <w:sz w:val="28"/>
                <w:szCs w:val="28"/>
              </w:rPr>
            </w:pP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iCs/>
                <w:sz w:val="28"/>
                <w:szCs w:val="28"/>
              </w:rPr>
              <w:t xml:space="preserve"> </w:t>
            </w:r>
            <w:r w:rsidRPr="00C11B2B">
              <w:rPr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</w:t>
            </w:r>
            <w:r w:rsidR="0050371A">
              <w:rPr>
                <w:sz w:val="28"/>
                <w:szCs w:val="28"/>
              </w:rPr>
              <w:t xml:space="preserve"> ar eiro ieviešanu Latvijā”” 3.pielikuma 768.punkts.</w:t>
            </w:r>
          </w:p>
          <w:p w:rsidR="00E26982" w:rsidRPr="00C11B2B" w:rsidRDefault="00E26982" w:rsidP="0050371A">
            <w:pPr>
              <w:rPr>
                <w:i/>
                <w:sz w:val="28"/>
                <w:szCs w:val="28"/>
              </w:rPr>
            </w:pPr>
          </w:p>
        </w:tc>
      </w:tr>
      <w:tr w:rsidR="00863228" w:rsidRPr="00C11B2B" w:rsidTr="00300802">
        <w:trPr>
          <w:trHeight w:val="841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tabs>
                <w:tab w:val="left" w:pos="170"/>
              </w:tabs>
              <w:ind w:left="57" w:right="57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Pašreizējā situācija un problēmas</w:t>
            </w:r>
          </w:p>
        </w:tc>
        <w:tc>
          <w:tcPr>
            <w:tcW w:w="6095" w:type="dxa"/>
          </w:tcPr>
          <w:p w:rsidR="00863228" w:rsidRPr="00C11B2B" w:rsidRDefault="00863228" w:rsidP="0081178C">
            <w:pPr>
              <w:pStyle w:val="naiskr"/>
              <w:ind w:right="142"/>
              <w:rPr>
                <w:bCs/>
                <w:i/>
                <w:sz w:val="28"/>
                <w:szCs w:val="28"/>
                <w:lang w:val="lv-LV"/>
              </w:rPr>
            </w:pPr>
            <w:r w:rsidRPr="00C11B2B">
              <w:rPr>
                <w:bCs/>
                <w:i/>
                <w:sz w:val="28"/>
                <w:szCs w:val="28"/>
                <w:lang w:val="lv-LV"/>
              </w:rPr>
              <w:t>Izmaiņas pēc būtības:</w:t>
            </w:r>
          </w:p>
          <w:p w:rsidR="00863228" w:rsidRPr="00C11B2B" w:rsidRDefault="00863228" w:rsidP="0081178C">
            <w:pPr>
              <w:pStyle w:val="naiskr"/>
              <w:ind w:right="142"/>
              <w:jc w:val="both"/>
              <w:rPr>
                <w:sz w:val="28"/>
                <w:szCs w:val="28"/>
                <w:lang w:val="lv-LV" w:eastAsia="lv-LV"/>
              </w:rPr>
            </w:pPr>
            <w:r w:rsidRPr="00C11B2B">
              <w:rPr>
                <w:sz w:val="28"/>
                <w:szCs w:val="28"/>
                <w:lang w:val="lv-LV" w:eastAsia="lv-LV"/>
              </w:rPr>
              <w:t xml:space="preserve">1.Liela daļa pašvaldību aizņēmumu pieprasījumu ir saistīti ar Zemkopības ministrijas kompetencē esošo projektu īstenošanu un šo jautājumu izskatīšanai Pašvaldību aizņēmumu un galvojumu kontroles un pārraudzības padomē (turpmāk - Padome) ir nepieciešama šīs ministrijas pārstāvja dalība. </w:t>
            </w:r>
            <w:r w:rsidR="006F2DC7">
              <w:rPr>
                <w:sz w:val="28"/>
                <w:szCs w:val="28"/>
                <w:lang w:val="lv-LV" w:eastAsia="lv-LV"/>
              </w:rPr>
              <w:t xml:space="preserve">Padomes sastāvu nosaka </w:t>
            </w:r>
            <w:r w:rsidR="006F2DC7" w:rsidRPr="007E4A7A">
              <w:rPr>
                <w:sz w:val="28"/>
                <w:szCs w:val="28"/>
                <w:lang w:val="lv-LV" w:eastAsia="lv-LV"/>
              </w:rPr>
              <w:t xml:space="preserve"> Ministra kabine</w:t>
            </w:r>
            <w:r w:rsidR="00994BCC">
              <w:rPr>
                <w:sz w:val="28"/>
                <w:szCs w:val="28"/>
                <w:lang w:val="lv-LV" w:eastAsia="lv-LV"/>
              </w:rPr>
              <w:t>ta 2008.gada 25.marta  noteikumu</w:t>
            </w:r>
            <w:r w:rsidR="006F2DC7" w:rsidRPr="007E4A7A">
              <w:rPr>
                <w:sz w:val="28"/>
                <w:szCs w:val="28"/>
                <w:lang w:val="lv-LV" w:eastAsia="lv-LV"/>
              </w:rPr>
              <w:t xml:space="preserve"> Nr.196 „Noteikumi par pašvaldību aizņēmumiem un galvojumiem” (turpmāk - Noteikumi)</w:t>
            </w:r>
            <w:r w:rsidR="006F2DC7">
              <w:rPr>
                <w:sz w:val="28"/>
                <w:szCs w:val="28"/>
                <w:lang w:val="lv-LV" w:eastAsia="lv-LV"/>
              </w:rPr>
              <w:t xml:space="preserve"> </w:t>
            </w:r>
            <w:r w:rsidR="007E4A7A">
              <w:rPr>
                <w:sz w:val="28"/>
                <w:szCs w:val="28"/>
                <w:lang w:val="lv-LV" w:eastAsia="lv-LV"/>
              </w:rPr>
              <w:t>5</w:t>
            </w:r>
            <w:r w:rsidR="006F2DC7">
              <w:rPr>
                <w:sz w:val="28"/>
                <w:szCs w:val="28"/>
                <w:lang w:val="lv-LV" w:eastAsia="lv-LV"/>
              </w:rPr>
              <w:t xml:space="preserve">.punkts. </w:t>
            </w:r>
            <w:r w:rsidRPr="00C11B2B">
              <w:rPr>
                <w:sz w:val="28"/>
                <w:szCs w:val="28"/>
                <w:lang w:val="lv-LV" w:eastAsia="lv-LV"/>
              </w:rPr>
              <w:t xml:space="preserve">Līdz ar to </w:t>
            </w:r>
            <w:r w:rsidR="006F2DC7">
              <w:rPr>
                <w:sz w:val="28"/>
                <w:szCs w:val="28"/>
                <w:lang w:val="lv-LV" w:eastAsia="lv-LV"/>
              </w:rPr>
              <w:t xml:space="preserve">nepieciešamas izmaiņas attiecīgajā normā, papildinot to ar </w:t>
            </w:r>
            <w:r w:rsidRPr="00C11B2B">
              <w:rPr>
                <w:sz w:val="28"/>
                <w:szCs w:val="28"/>
                <w:lang w:val="lv-LV" w:eastAsia="lv-LV"/>
              </w:rPr>
              <w:t xml:space="preserve"> Zemkopības ministrijas pārstāvi.</w:t>
            </w:r>
          </w:p>
          <w:p w:rsidR="00E8402C" w:rsidRDefault="00863228" w:rsidP="00E8402C">
            <w:pPr>
              <w:ind w:right="142"/>
              <w:rPr>
                <w:sz w:val="28"/>
                <w:szCs w:val="28"/>
                <w:lang w:eastAsia="lv-LV"/>
              </w:rPr>
            </w:pPr>
            <w:r w:rsidRPr="00C11B2B">
              <w:rPr>
                <w:sz w:val="28"/>
                <w:szCs w:val="28"/>
                <w:lang w:eastAsia="lv-LV"/>
              </w:rPr>
              <w:t xml:space="preserve">2. Saskaņā ar likumu „Par pašvaldību budžetiem” 25.panta pirmo daļu, pašvaldības nedrīkst sniegt galvojumus, ja tās nav samaksājušas nodokļus likumā paredzētajā kārtībā. </w:t>
            </w:r>
            <w:r w:rsidR="006F2DC7">
              <w:rPr>
                <w:sz w:val="28"/>
                <w:szCs w:val="28"/>
                <w:lang w:eastAsia="lv-LV"/>
              </w:rPr>
              <w:t xml:space="preserve">Noteikumi </w:t>
            </w:r>
            <w:r w:rsidRPr="00C11B2B">
              <w:rPr>
                <w:sz w:val="28"/>
                <w:szCs w:val="28"/>
                <w:lang w:eastAsia="lv-LV"/>
              </w:rPr>
              <w:t xml:space="preserve"> ne</w:t>
            </w:r>
            <w:r w:rsidR="00964C30">
              <w:rPr>
                <w:sz w:val="28"/>
                <w:szCs w:val="28"/>
                <w:lang w:eastAsia="lv-LV"/>
              </w:rPr>
              <w:t>paredz, ka pašvaldībām galvojuma</w:t>
            </w:r>
            <w:r w:rsidRPr="00C11B2B">
              <w:rPr>
                <w:sz w:val="28"/>
                <w:szCs w:val="28"/>
                <w:lang w:eastAsia="lv-LV"/>
              </w:rPr>
              <w:t xml:space="preserve"> sniegšanas pieprasījumam ir jāpievieno priekšsēdētajā apliecinājums par nodokļu parādu neesam</w:t>
            </w:r>
            <w:r w:rsidR="007A4F5F">
              <w:rPr>
                <w:sz w:val="28"/>
                <w:szCs w:val="28"/>
                <w:lang w:eastAsia="lv-LV"/>
              </w:rPr>
              <w:t>ību</w:t>
            </w:r>
            <w:r w:rsidR="00C63B32">
              <w:rPr>
                <w:sz w:val="28"/>
                <w:szCs w:val="28"/>
                <w:lang w:eastAsia="lv-LV"/>
              </w:rPr>
              <w:t>,</w:t>
            </w:r>
            <w:r w:rsidR="007A4F5F">
              <w:rPr>
                <w:sz w:val="28"/>
                <w:szCs w:val="28"/>
                <w:lang w:eastAsia="lv-LV"/>
              </w:rPr>
              <w:t xml:space="preserve"> </w:t>
            </w:r>
            <w:r w:rsidR="00C63B32">
              <w:rPr>
                <w:sz w:val="28"/>
                <w:szCs w:val="28"/>
                <w:lang w:eastAsia="lv-LV"/>
              </w:rPr>
              <w:t>t</w:t>
            </w:r>
            <w:r w:rsidR="007A4F5F">
              <w:rPr>
                <w:sz w:val="28"/>
                <w:szCs w:val="28"/>
                <w:lang w:eastAsia="lv-LV"/>
              </w:rPr>
              <w:t>āpat</w:t>
            </w:r>
            <w:r w:rsidR="00C63B32" w:rsidRPr="00C11B2B">
              <w:rPr>
                <w:sz w:val="28"/>
                <w:szCs w:val="28"/>
                <w:lang w:eastAsia="lv-LV"/>
              </w:rPr>
              <w:t xml:space="preserve">  kopējās </w:t>
            </w:r>
            <w:r w:rsidR="00C63B32">
              <w:rPr>
                <w:sz w:val="28"/>
                <w:szCs w:val="28"/>
                <w:lang w:eastAsia="lv-LV"/>
              </w:rPr>
              <w:t xml:space="preserve"> </w:t>
            </w:r>
            <w:r w:rsidR="00C63B32" w:rsidRPr="00C11B2B">
              <w:rPr>
                <w:sz w:val="28"/>
                <w:szCs w:val="28"/>
                <w:lang w:eastAsia="lv-LV"/>
              </w:rPr>
              <w:t>projekta izmaksas un to finansēšanas avotus</w:t>
            </w:r>
            <w:r w:rsidR="007A4F5F">
              <w:rPr>
                <w:sz w:val="28"/>
                <w:szCs w:val="28"/>
                <w:lang w:eastAsia="lv-LV"/>
              </w:rPr>
              <w:t xml:space="preserve">, </w:t>
            </w:r>
            <w:r w:rsidR="00C11B2B" w:rsidRPr="00C11B2B">
              <w:rPr>
                <w:sz w:val="28"/>
                <w:szCs w:val="28"/>
                <w:lang w:eastAsia="lv-LV"/>
              </w:rPr>
              <w:t xml:space="preserve">lai varētu detalizēti </w:t>
            </w:r>
            <w:r w:rsidR="00C11B2B" w:rsidRPr="00C11B2B">
              <w:rPr>
                <w:sz w:val="28"/>
                <w:szCs w:val="28"/>
                <w:lang w:eastAsia="lv-LV"/>
              </w:rPr>
              <w:lastRenderedPageBreak/>
              <w:t>izvērtēt  galvojuma sniegšanas pamatotību</w:t>
            </w:r>
            <w:r w:rsidR="00C63B32">
              <w:rPr>
                <w:sz w:val="28"/>
                <w:szCs w:val="28"/>
                <w:lang w:eastAsia="lv-LV"/>
              </w:rPr>
              <w:t>.</w:t>
            </w:r>
            <w:r w:rsidR="00964C30">
              <w:rPr>
                <w:sz w:val="28"/>
                <w:szCs w:val="28"/>
                <w:lang w:eastAsia="lv-LV"/>
              </w:rPr>
              <w:t xml:space="preserve"> </w:t>
            </w:r>
            <w:r w:rsidR="00C11B2B">
              <w:rPr>
                <w:sz w:val="28"/>
                <w:szCs w:val="28"/>
                <w:lang w:eastAsia="lv-LV"/>
              </w:rPr>
              <w:t>Šobrīd pašvaldības gan priekšsēdētāja apliecinājumu par nodokļu parādu neesamību, gan galvoju</w:t>
            </w:r>
            <w:r w:rsidR="00C002CA">
              <w:rPr>
                <w:sz w:val="28"/>
                <w:szCs w:val="28"/>
                <w:lang w:eastAsia="lv-LV"/>
              </w:rPr>
              <w:t xml:space="preserve">ma ekonomisko pamatojumu padomē </w:t>
            </w:r>
            <w:r w:rsidR="00C11B2B">
              <w:rPr>
                <w:sz w:val="28"/>
                <w:szCs w:val="28"/>
                <w:lang w:eastAsia="lv-LV"/>
              </w:rPr>
              <w:t>iesniedz pē</w:t>
            </w:r>
            <w:r w:rsidR="00C002CA">
              <w:rPr>
                <w:sz w:val="28"/>
                <w:szCs w:val="28"/>
                <w:lang w:eastAsia="lv-LV"/>
              </w:rPr>
              <w:t xml:space="preserve">c padomes lūguma, kas paildzina </w:t>
            </w:r>
            <w:r w:rsidR="00C11B2B">
              <w:rPr>
                <w:sz w:val="28"/>
                <w:szCs w:val="28"/>
                <w:lang w:eastAsia="lv-LV"/>
              </w:rPr>
              <w:t>jautājuma izskatīšanas procesu. Līdz ar to</w:t>
            </w:r>
            <w:r w:rsidR="00964C30">
              <w:rPr>
                <w:sz w:val="28"/>
                <w:szCs w:val="28"/>
                <w:lang w:eastAsia="lv-LV"/>
              </w:rPr>
              <w:t>,</w:t>
            </w:r>
            <w:r w:rsidR="00C11B2B">
              <w:rPr>
                <w:sz w:val="28"/>
                <w:szCs w:val="28"/>
                <w:lang w:eastAsia="lv-LV"/>
              </w:rPr>
              <w:t xml:space="preserve"> l</w:t>
            </w:r>
            <w:r w:rsidR="00C002CA">
              <w:rPr>
                <w:sz w:val="28"/>
                <w:szCs w:val="28"/>
                <w:lang w:eastAsia="lv-LV"/>
              </w:rPr>
              <w:t xml:space="preserve">ai uzlabotu pašvaldību </w:t>
            </w:r>
            <w:r w:rsidRPr="00C11B2B">
              <w:rPr>
                <w:sz w:val="28"/>
                <w:szCs w:val="28"/>
                <w:lang w:eastAsia="lv-LV"/>
              </w:rPr>
              <w:t>galvojumu sniegšanas procesu</w:t>
            </w:r>
            <w:r w:rsidR="00964C30">
              <w:rPr>
                <w:sz w:val="28"/>
                <w:szCs w:val="28"/>
                <w:lang w:eastAsia="lv-LV"/>
              </w:rPr>
              <w:t>,</w:t>
            </w:r>
            <w:r w:rsidRPr="00C11B2B">
              <w:rPr>
                <w:sz w:val="28"/>
                <w:szCs w:val="28"/>
                <w:lang w:eastAsia="lv-LV"/>
              </w:rPr>
              <w:t xml:space="preserve"> </w:t>
            </w:r>
            <w:r w:rsidR="006F2DC7">
              <w:rPr>
                <w:sz w:val="28"/>
                <w:szCs w:val="28"/>
                <w:lang w:eastAsia="lv-LV"/>
              </w:rPr>
              <w:t xml:space="preserve">Noteikumos ir nepieciešams veikt izmaiņas un papildināt ar pienākumu pašvaldībām iesniegt </w:t>
            </w:r>
            <w:r w:rsidRPr="00C11B2B">
              <w:rPr>
                <w:sz w:val="28"/>
                <w:szCs w:val="28"/>
                <w:lang w:eastAsia="lv-LV"/>
              </w:rPr>
              <w:t xml:space="preserve"> </w:t>
            </w:r>
            <w:r w:rsidR="00C63B32">
              <w:rPr>
                <w:sz w:val="28"/>
                <w:szCs w:val="28"/>
                <w:lang w:eastAsia="lv-LV"/>
              </w:rPr>
              <w:t>div</w:t>
            </w:r>
            <w:r w:rsidR="006F2DC7">
              <w:rPr>
                <w:sz w:val="28"/>
                <w:szCs w:val="28"/>
                <w:lang w:eastAsia="lv-LV"/>
              </w:rPr>
              <w:t>us</w:t>
            </w:r>
            <w:r w:rsidR="00C63B32" w:rsidRPr="00C11B2B">
              <w:rPr>
                <w:sz w:val="28"/>
                <w:szCs w:val="28"/>
                <w:lang w:eastAsia="lv-LV"/>
              </w:rPr>
              <w:t xml:space="preserve"> </w:t>
            </w:r>
            <w:r w:rsidR="007E4A7A">
              <w:rPr>
                <w:sz w:val="28"/>
                <w:szCs w:val="28"/>
                <w:lang w:eastAsia="lv-LV"/>
              </w:rPr>
              <w:t xml:space="preserve">papildu </w:t>
            </w:r>
            <w:r w:rsidR="00964C30">
              <w:rPr>
                <w:sz w:val="28"/>
                <w:szCs w:val="28"/>
                <w:lang w:eastAsia="lv-LV"/>
              </w:rPr>
              <w:t>dokument</w:t>
            </w:r>
            <w:r w:rsidR="00693BEC">
              <w:rPr>
                <w:sz w:val="28"/>
                <w:szCs w:val="28"/>
                <w:lang w:eastAsia="lv-LV"/>
              </w:rPr>
              <w:t>us</w:t>
            </w:r>
            <w:r w:rsidR="00964C30">
              <w:rPr>
                <w:sz w:val="28"/>
                <w:szCs w:val="28"/>
                <w:lang w:eastAsia="lv-LV"/>
              </w:rPr>
              <w:t xml:space="preserve"> - </w:t>
            </w:r>
            <w:r w:rsidR="00C11B2B">
              <w:rPr>
                <w:sz w:val="28"/>
                <w:szCs w:val="28"/>
                <w:lang w:eastAsia="lv-LV"/>
              </w:rPr>
              <w:t>p</w:t>
            </w:r>
            <w:r w:rsidRPr="00C11B2B">
              <w:rPr>
                <w:sz w:val="28"/>
                <w:szCs w:val="28"/>
                <w:lang w:eastAsia="lv-LV"/>
              </w:rPr>
              <w:t>ašvaldības domes priekšsēdētāja aplieci</w:t>
            </w:r>
            <w:r w:rsidR="00964C30">
              <w:rPr>
                <w:sz w:val="28"/>
                <w:szCs w:val="28"/>
                <w:lang w:eastAsia="lv-LV"/>
              </w:rPr>
              <w:t>nājum</w:t>
            </w:r>
            <w:r w:rsidR="00693BEC">
              <w:rPr>
                <w:sz w:val="28"/>
                <w:szCs w:val="28"/>
                <w:lang w:eastAsia="lv-LV"/>
              </w:rPr>
              <w:t>u</w:t>
            </w:r>
            <w:r w:rsidR="00964C30">
              <w:rPr>
                <w:sz w:val="28"/>
                <w:szCs w:val="28"/>
                <w:lang w:eastAsia="lv-LV"/>
              </w:rPr>
              <w:t>, ka pašvaldībai galvojuma</w:t>
            </w:r>
            <w:r w:rsidRPr="00C11B2B">
              <w:rPr>
                <w:sz w:val="28"/>
                <w:szCs w:val="28"/>
                <w:lang w:eastAsia="lv-LV"/>
              </w:rPr>
              <w:t xml:space="preserve"> dokumentu iesniegšanas dienā nav nodokļu parādu u</w:t>
            </w:r>
            <w:r w:rsidR="00C002CA">
              <w:rPr>
                <w:sz w:val="28"/>
                <w:szCs w:val="28"/>
                <w:lang w:eastAsia="lv-LV"/>
              </w:rPr>
              <w:t xml:space="preserve">n citu valsts noteikto obligāto maksājumu parādu, </w:t>
            </w:r>
            <w:r w:rsidR="00693BEC">
              <w:rPr>
                <w:sz w:val="28"/>
                <w:szCs w:val="28"/>
                <w:lang w:eastAsia="lv-LV"/>
              </w:rPr>
              <w:t xml:space="preserve"> un </w:t>
            </w:r>
            <w:r w:rsidR="00964C30">
              <w:rPr>
                <w:sz w:val="28"/>
                <w:szCs w:val="28"/>
                <w:lang w:eastAsia="lv-LV"/>
              </w:rPr>
              <w:t>galvojuma</w:t>
            </w:r>
            <w:r w:rsidR="00C11B2B">
              <w:rPr>
                <w:sz w:val="28"/>
                <w:szCs w:val="28"/>
                <w:lang w:eastAsia="lv-LV"/>
              </w:rPr>
              <w:t xml:space="preserve"> ekonomisk</w:t>
            </w:r>
            <w:r w:rsidR="00693BEC">
              <w:rPr>
                <w:sz w:val="28"/>
                <w:szCs w:val="28"/>
                <w:lang w:eastAsia="lv-LV"/>
              </w:rPr>
              <w:t>o</w:t>
            </w:r>
            <w:r w:rsidR="00C11B2B">
              <w:rPr>
                <w:sz w:val="28"/>
                <w:szCs w:val="28"/>
                <w:lang w:eastAsia="lv-LV"/>
              </w:rPr>
              <w:t xml:space="preserve"> pamatojum</w:t>
            </w:r>
            <w:r w:rsidR="00693BEC">
              <w:rPr>
                <w:sz w:val="28"/>
                <w:szCs w:val="28"/>
                <w:lang w:eastAsia="lv-LV"/>
              </w:rPr>
              <w:t>u</w:t>
            </w:r>
            <w:r w:rsidR="00C11B2B">
              <w:rPr>
                <w:sz w:val="28"/>
                <w:szCs w:val="28"/>
                <w:lang w:eastAsia="lv-LV"/>
              </w:rPr>
              <w:t xml:space="preserve">, kas pašvaldībām kopā ar Noteikumu 17.punktā minētajiem dokumentiem ir jāiesniedz Padomē galvojuma sniegšanas  jautājuma izskatīšanai. </w:t>
            </w:r>
          </w:p>
          <w:p w:rsidR="00E26982" w:rsidRDefault="00E26982" w:rsidP="00E8402C">
            <w:pPr>
              <w:ind w:right="142"/>
              <w:rPr>
                <w:sz w:val="28"/>
                <w:szCs w:val="28"/>
                <w:lang w:eastAsia="lv-LV"/>
              </w:rPr>
            </w:pPr>
          </w:p>
          <w:p w:rsidR="00693BEC" w:rsidRDefault="00E8402C" w:rsidP="00E8402C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11B2B" w:rsidRPr="00C11B2B">
              <w:rPr>
                <w:sz w:val="28"/>
                <w:szCs w:val="28"/>
              </w:rPr>
              <w:t>Pašvald</w:t>
            </w:r>
            <w:r>
              <w:rPr>
                <w:sz w:val="28"/>
                <w:szCs w:val="28"/>
              </w:rPr>
              <w:t xml:space="preserve">ības </w:t>
            </w:r>
            <w:r w:rsidR="00C11B2B" w:rsidRPr="00C11B2B">
              <w:rPr>
                <w:sz w:val="28"/>
                <w:szCs w:val="28"/>
              </w:rPr>
              <w:t xml:space="preserve">līdz 2012.gada </w:t>
            </w:r>
            <w:r>
              <w:rPr>
                <w:sz w:val="28"/>
                <w:szCs w:val="28"/>
              </w:rPr>
              <w:t xml:space="preserve">31.decembrim </w:t>
            </w:r>
            <w:r w:rsidR="00C11B2B" w:rsidRPr="00C11B2B">
              <w:rPr>
                <w:sz w:val="28"/>
                <w:szCs w:val="28"/>
              </w:rPr>
              <w:t>aizņ</w:t>
            </w:r>
            <w:r w:rsidR="00C11B2B">
              <w:rPr>
                <w:sz w:val="28"/>
                <w:szCs w:val="28"/>
              </w:rPr>
              <w:t>ēmuma pieteikumus P</w:t>
            </w:r>
            <w:r w:rsidR="00C11B2B" w:rsidRPr="00C11B2B">
              <w:rPr>
                <w:sz w:val="28"/>
                <w:szCs w:val="28"/>
              </w:rPr>
              <w:t xml:space="preserve">adomē varēja iesniegt pēc domes </w:t>
            </w:r>
            <w:r w:rsidR="00C11B2B" w:rsidRPr="00E8402C">
              <w:rPr>
                <w:sz w:val="28"/>
                <w:szCs w:val="28"/>
              </w:rPr>
              <w:t>lēmuma pieņemšanas</w:t>
            </w:r>
            <w:r>
              <w:rPr>
                <w:sz w:val="28"/>
                <w:szCs w:val="28"/>
              </w:rPr>
              <w:t>,</w:t>
            </w:r>
            <w:r w:rsidR="00C11B2B" w:rsidRPr="00E8402C">
              <w:rPr>
                <w:sz w:val="28"/>
                <w:szCs w:val="28"/>
              </w:rPr>
              <w:t xml:space="preserve"> neskatoties uz to, ka iepirkumu procedūra nebija vēl beigusies. Tas radīja situāciju, ka pašvaldības daļu no Padomes piešķirtajām atļaujām neizņēma</w:t>
            </w:r>
            <w:r w:rsidR="00C63B32">
              <w:rPr>
                <w:sz w:val="28"/>
                <w:szCs w:val="28"/>
              </w:rPr>
              <w:t xml:space="preserve"> un</w:t>
            </w:r>
            <w:r w:rsidR="00964C30">
              <w:rPr>
                <w:sz w:val="28"/>
                <w:szCs w:val="28"/>
              </w:rPr>
              <w:t xml:space="preserve"> </w:t>
            </w:r>
            <w:r w:rsidR="00C11B2B" w:rsidRPr="00C63B32">
              <w:rPr>
                <w:rFonts w:eastAsiaTheme="minorHAnsi"/>
                <w:sz w:val="28"/>
                <w:szCs w:val="28"/>
              </w:rPr>
              <w:t>neinformē</w:t>
            </w:r>
            <w:r w:rsidR="00C63B32">
              <w:rPr>
                <w:rFonts w:eastAsiaTheme="minorHAnsi"/>
                <w:sz w:val="28"/>
                <w:szCs w:val="28"/>
              </w:rPr>
              <w:t>ja</w:t>
            </w:r>
            <w:r w:rsidR="00C11B2B" w:rsidRPr="00C63B32">
              <w:rPr>
                <w:rFonts w:eastAsiaTheme="minorHAnsi"/>
                <w:sz w:val="28"/>
                <w:szCs w:val="28"/>
              </w:rPr>
              <w:t xml:space="preserve"> Padomi par piešķirtās atļaujas</w:t>
            </w:r>
            <w:r w:rsidR="00C11B2B" w:rsidRPr="00E8402C">
              <w:rPr>
                <w:rFonts w:eastAsiaTheme="minorHAnsi"/>
                <w:sz w:val="28"/>
                <w:szCs w:val="28"/>
              </w:rPr>
              <w:t xml:space="preserve"> neizņemšanas iemesliem, tādējādi rezervējot piešķirto summu kopējā aizņēmuma limitā.</w:t>
            </w:r>
            <w:r w:rsidR="00C11B2B" w:rsidRPr="00E8402C">
              <w:rPr>
                <w:sz w:val="28"/>
                <w:szCs w:val="28"/>
              </w:rPr>
              <w:t xml:space="preserve"> </w:t>
            </w:r>
            <w:r w:rsidR="00693BEC">
              <w:rPr>
                <w:sz w:val="28"/>
                <w:szCs w:val="28"/>
              </w:rPr>
              <w:t>M</w:t>
            </w:r>
            <w:r w:rsidR="00693BEC" w:rsidRPr="00E8402C">
              <w:rPr>
                <w:sz w:val="28"/>
                <w:szCs w:val="28"/>
              </w:rPr>
              <w:t>inēta</w:t>
            </w:r>
            <w:r w:rsidR="00693BEC">
              <w:rPr>
                <w:sz w:val="28"/>
                <w:szCs w:val="28"/>
              </w:rPr>
              <w:t>i</w:t>
            </w:r>
            <w:r w:rsidR="00693BEC" w:rsidRPr="00E8402C">
              <w:rPr>
                <w:sz w:val="28"/>
                <w:szCs w:val="28"/>
              </w:rPr>
              <w:t xml:space="preserve">s jautājums attiecībā uz 2013.gada pašvaldību aizņēmumu pieteikumiem ir </w:t>
            </w:r>
            <w:r w:rsidR="00693BEC">
              <w:rPr>
                <w:sz w:val="28"/>
                <w:szCs w:val="28"/>
              </w:rPr>
              <w:t>atrisināts</w:t>
            </w:r>
            <w:r w:rsidR="00693BEC" w:rsidRPr="00E8402C">
              <w:rPr>
                <w:sz w:val="28"/>
                <w:szCs w:val="28"/>
              </w:rPr>
              <w:t xml:space="preserve"> </w:t>
            </w:r>
            <w:r w:rsidR="00693BEC" w:rsidRPr="00E8402C">
              <w:rPr>
                <w:sz w:val="28"/>
                <w:szCs w:val="28"/>
                <w:lang w:eastAsia="lv-LV"/>
              </w:rPr>
              <w:t>likuma „Par valsts budžetu 2013.gad</w:t>
            </w:r>
            <w:r w:rsidR="00693BEC">
              <w:rPr>
                <w:sz w:val="28"/>
                <w:szCs w:val="28"/>
                <w:lang w:eastAsia="lv-LV"/>
              </w:rPr>
              <w:t xml:space="preserve">am” 14.panta divpadsmitajā daļā, paredzot, ka </w:t>
            </w:r>
            <w:r w:rsidR="005A57CE">
              <w:rPr>
                <w:sz w:val="28"/>
                <w:szCs w:val="28"/>
                <w:lang w:eastAsia="lv-LV"/>
              </w:rPr>
              <w:t>pašvaldībām ir tiesības sniegt aizņēmuma pieprasījumu Finanšu ministrijā tikai pēc tam, kad atbilstoši publisko iepirkumu normatīvajam regulējumam ir noslēgusies iepirkuma procedūra un izraudzīts piegādātājs ar tiesībām veikt būvdarbus, piegādāt preces</w:t>
            </w:r>
            <w:r w:rsidR="00693BEC">
              <w:rPr>
                <w:sz w:val="28"/>
                <w:szCs w:val="28"/>
                <w:lang w:eastAsia="lv-LV"/>
              </w:rPr>
              <w:t xml:space="preserve"> </w:t>
            </w:r>
            <w:r w:rsidR="005A57CE">
              <w:rPr>
                <w:sz w:val="28"/>
                <w:szCs w:val="28"/>
                <w:lang w:eastAsia="lv-LV"/>
              </w:rPr>
              <w:t>vai sniegt pakalpojumus, ja nepieciešams, paredzot iespēju slēgt līgumu ar piegādātāju tikai pēc</w:t>
            </w:r>
            <w:r w:rsidR="00693BEC" w:rsidRPr="00E8402C">
              <w:rPr>
                <w:sz w:val="28"/>
                <w:szCs w:val="28"/>
                <w:lang w:eastAsia="lv-LV"/>
              </w:rPr>
              <w:t xml:space="preserve"> </w:t>
            </w:r>
            <w:r w:rsidR="005A57CE">
              <w:rPr>
                <w:sz w:val="28"/>
                <w:szCs w:val="28"/>
                <w:lang w:eastAsia="lv-LV"/>
              </w:rPr>
              <w:t xml:space="preserve">aizņēmuma pieprasījuma atbalstīšanas. </w:t>
            </w:r>
            <w:r w:rsidR="00C11B2B" w:rsidRPr="00E8402C">
              <w:rPr>
                <w:sz w:val="28"/>
                <w:szCs w:val="28"/>
              </w:rPr>
              <w:t>Līdz ar to, lai sakārtotu šo situāciju un mazinātu riskus</w:t>
            </w:r>
            <w:r w:rsidR="00964C30">
              <w:rPr>
                <w:sz w:val="28"/>
                <w:szCs w:val="28"/>
              </w:rPr>
              <w:t>,</w:t>
            </w:r>
            <w:r w:rsidR="000B520E">
              <w:rPr>
                <w:sz w:val="28"/>
                <w:szCs w:val="28"/>
                <w:lang w:eastAsia="lv-LV"/>
              </w:rPr>
              <w:t xml:space="preserve"> </w:t>
            </w:r>
            <w:r w:rsidR="00693BEC">
              <w:rPr>
                <w:sz w:val="28"/>
                <w:szCs w:val="28"/>
              </w:rPr>
              <w:t xml:space="preserve">nepieciešams </w:t>
            </w:r>
            <w:r w:rsidR="00660110">
              <w:rPr>
                <w:sz w:val="28"/>
                <w:szCs w:val="28"/>
              </w:rPr>
              <w:t xml:space="preserve">papildināt </w:t>
            </w:r>
            <w:r w:rsidR="00747E2F">
              <w:rPr>
                <w:sz w:val="28"/>
                <w:szCs w:val="28"/>
              </w:rPr>
              <w:t>Noteikumus</w:t>
            </w:r>
            <w:r w:rsidR="00C63B32">
              <w:rPr>
                <w:sz w:val="28"/>
                <w:szCs w:val="28"/>
              </w:rPr>
              <w:t xml:space="preserve"> </w:t>
            </w:r>
            <w:r w:rsidR="00660110">
              <w:rPr>
                <w:sz w:val="28"/>
                <w:szCs w:val="28"/>
              </w:rPr>
              <w:t xml:space="preserve">ar jaunu </w:t>
            </w:r>
            <w:r w:rsidR="00693BEC">
              <w:rPr>
                <w:sz w:val="28"/>
                <w:szCs w:val="28"/>
              </w:rPr>
              <w:t>pastāvīgu regulējumu attiecīgajā jautājumā un paredzēt, ka tas stājas spēkā 2014.gada 1.janvārī.</w:t>
            </w:r>
          </w:p>
          <w:p w:rsidR="000B520E" w:rsidRDefault="000B520E" w:rsidP="00E8402C">
            <w:pPr>
              <w:ind w:right="142"/>
              <w:rPr>
                <w:sz w:val="28"/>
                <w:szCs w:val="28"/>
              </w:rPr>
            </w:pPr>
          </w:p>
          <w:p w:rsidR="00863228" w:rsidRPr="00300802" w:rsidRDefault="00863228" w:rsidP="00300802">
            <w:pPr>
              <w:rPr>
                <w:rFonts w:eastAsiaTheme="minorHAnsi"/>
                <w:sz w:val="28"/>
                <w:szCs w:val="28"/>
              </w:rPr>
            </w:pPr>
            <w:r w:rsidRPr="00300802">
              <w:rPr>
                <w:i/>
                <w:sz w:val="28"/>
                <w:szCs w:val="28"/>
              </w:rPr>
              <w:lastRenderedPageBreak/>
              <w:t xml:space="preserve">Vienlaikus Noteikumos </w:t>
            </w:r>
            <w:r w:rsidR="00693BEC">
              <w:rPr>
                <w:i/>
                <w:sz w:val="28"/>
                <w:szCs w:val="28"/>
              </w:rPr>
              <w:t>nepieciešams  veikt</w:t>
            </w:r>
            <w:r w:rsidRPr="00300802">
              <w:rPr>
                <w:i/>
                <w:sz w:val="28"/>
                <w:szCs w:val="28"/>
              </w:rPr>
              <w:t xml:space="preserve"> tehnisk</w:t>
            </w:r>
            <w:r w:rsidR="00693BEC">
              <w:rPr>
                <w:i/>
                <w:sz w:val="28"/>
                <w:szCs w:val="28"/>
              </w:rPr>
              <w:t>us</w:t>
            </w:r>
            <w:r w:rsidRPr="00300802">
              <w:rPr>
                <w:i/>
                <w:sz w:val="28"/>
                <w:szCs w:val="28"/>
              </w:rPr>
              <w:t xml:space="preserve"> grozījum</w:t>
            </w:r>
            <w:r w:rsidR="00693BEC">
              <w:rPr>
                <w:i/>
                <w:sz w:val="28"/>
                <w:szCs w:val="28"/>
              </w:rPr>
              <w:t>us</w:t>
            </w:r>
            <w:r w:rsidRPr="00300802">
              <w:rPr>
                <w:i/>
                <w:sz w:val="28"/>
                <w:szCs w:val="28"/>
              </w:rPr>
              <w:t>, kuri nemaina pastāvošo tiesisko regulējumu pēc būtības</w:t>
            </w:r>
            <w:r w:rsidR="00693BEC">
              <w:rPr>
                <w:i/>
                <w:sz w:val="28"/>
                <w:szCs w:val="28"/>
              </w:rPr>
              <w:t xml:space="preserve">, proti, </w:t>
            </w:r>
            <w:r w:rsidR="00693BEC">
              <w:rPr>
                <w:sz w:val="28"/>
                <w:szCs w:val="28"/>
              </w:rPr>
              <w:t>p</w:t>
            </w:r>
            <w:r w:rsidRPr="00300802">
              <w:rPr>
                <w:sz w:val="28"/>
                <w:szCs w:val="28"/>
                <w:lang w:eastAsia="lv-LV"/>
              </w:rPr>
              <w:t>recizēt reģionālās attīstības un pašvaldību lietu ministra nosaukum</w:t>
            </w:r>
            <w:r w:rsidR="00693BEC">
              <w:rPr>
                <w:sz w:val="28"/>
                <w:szCs w:val="28"/>
                <w:lang w:eastAsia="lv-LV"/>
              </w:rPr>
              <w:t xml:space="preserve">u, </w:t>
            </w:r>
            <w:r w:rsidRPr="00300802">
              <w:rPr>
                <w:sz w:val="28"/>
                <w:szCs w:val="28"/>
                <w:lang w:eastAsia="lv-LV"/>
              </w:rPr>
              <w:t xml:space="preserve"> </w:t>
            </w:r>
            <w:r w:rsidR="00693BEC">
              <w:rPr>
                <w:sz w:val="28"/>
                <w:szCs w:val="28"/>
                <w:lang w:eastAsia="lv-LV"/>
              </w:rPr>
              <w:t>p</w:t>
            </w:r>
            <w:r w:rsidRPr="00300802">
              <w:rPr>
                <w:sz w:val="28"/>
                <w:szCs w:val="28"/>
              </w:rPr>
              <w:t>recizēt terminoloģij</w:t>
            </w:r>
            <w:r w:rsidR="00693BEC">
              <w:rPr>
                <w:sz w:val="28"/>
                <w:szCs w:val="28"/>
              </w:rPr>
              <w:t xml:space="preserve">u un </w:t>
            </w:r>
            <w:r w:rsidRPr="00300802">
              <w:rPr>
                <w:sz w:val="28"/>
                <w:szCs w:val="28"/>
              </w:rPr>
              <w:t xml:space="preserve"> </w:t>
            </w:r>
            <w:r w:rsidR="00693BEC">
              <w:rPr>
                <w:sz w:val="28"/>
                <w:szCs w:val="28"/>
              </w:rPr>
              <w:t>aizstāt vārdus</w:t>
            </w:r>
            <w:r w:rsidR="00693BEC" w:rsidRPr="00300802">
              <w:rPr>
                <w:sz w:val="28"/>
                <w:szCs w:val="28"/>
              </w:rPr>
              <w:t xml:space="preserve"> </w:t>
            </w:r>
            <w:r w:rsidRPr="00300802">
              <w:rPr>
                <w:sz w:val="28"/>
                <w:szCs w:val="28"/>
              </w:rPr>
              <w:t>„otrā līmeņa starpniekinstitūcija”</w:t>
            </w:r>
            <w:r w:rsidR="00693BEC">
              <w:rPr>
                <w:sz w:val="28"/>
                <w:szCs w:val="28"/>
              </w:rPr>
              <w:t xml:space="preserve"> ar vārdu „</w:t>
            </w:r>
            <w:r w:rsidR="000B520E">
              <w:rPr>
                <w:sz w:val="28"/>
                <w:szCs w:val="28"/>
              </w:rPr>
              <w:t>līgumslēdzēju</w:t>
            </w:r>
            <w:r w:rsidR="00693BEC">
              <w:rPr>
                <w:sz w:val="28"/>
                <w:szCs w:val="28"/>
              </w:rPr>
              <w:t>”</w:t>
            </w:r>
            <w:r w:rsidRPr="00300802">
              <w:rPr>
                <w:sz w:val="28"/>
                <w:szCs w:val="28"/>
              </w:rPr>
              <w:t>, lai nodrošinātu termin</w:t>
            </w:r>
            <w:r w:rsidR="00693BEC">
              <w:rPr>
                <w:sz w:val="28"/>
                <w:szCs w:val="28"/>
              </w:rPr>
              <w:t>u</w:t>
            </w:r>
            <w:r w:rsidRPr="00300802">
              <w:rPr>
                <w:sz w:val="28"/>
                <w:szCs w:val="28"/>
              </w:rPr>
              <w:t xml:space="preserve"> sakritību ar </w:t>
            </w:r>
            <w:r w:rsidR="00300802" w:rsidRPr="00300802">
              <w:rPr>
                <w:sz w:val="28"/>
                <w:szCs w:val="28"/>
              </w:rPr>
              <w:t>Eiropas Savienības struktūrfondu jomu regulējošo</w:t>
            </w:r>
            <w:r w:rsidR="00D11B2C">
              <w:rPr>
                <w:sz w:val="28"/>
                <w:szCs w:val="28"/>
              </w:rPr>
              <w:t>s</w:t>
            </w:r>
            <w:r w:rsidR="00300802" w:rsidRPr="00300802">
              <w:rPr>
                <w:sz w:val="28"/>
                <w:szCs w:val="28"/>
              </w:rPr>
              <w:t xml:space="preserve"> normatīvajos aktos </w:t>
            </w:r>
            <w:r w:rsidRPr="00300802">
              <w:rPr>
                <w:sz w:val="28"/>
                <w:szCs w:val="28"/>
              </w:rPr>
              <w:t>noteikto terminoloģiju.</w:t>
            </w:r>
          </w:p>
          <w:p w:rsidR="00863228" w:rsidRPr="00300802" w:rsidRDefault="00863228" w:rsidP="00ED440C">
            <w:pPr>
              <w:ind w:left="142" w:right="142"/>
              <w:rPr>
                <w:sz w:val="28"/>
                <w:szCs w:val="28"/>
              </w:rPr>
            </w:pPr>
          </w:p>
          <w:p w:rsidR="00863228" w:rsidRPr="00C11B2B" w:rsidRDefault="00863228" w:rsidP="00ED440C">
            <w:pPr>
              <w:ind w:left="142" w:right="142"/>
              <w:rPr>
                <w:i/>
                <w:sz w:val="28"/>
                <w:szCs w:val="28"/>
              </w:rPr>
            </w:pPr>
            <w:r w:rsidRPr="00C11B2B">
              <w:rPr>
                <w:i/>
                <w:sz w:val="28"/>
                <w:szCs w:val="28"/>
              </w:rPr>
              <w:t xml:space="preserve">Izmaiņas saistībā ar </w:t>
            </w:r>
            <w:proofErr w:type="spellStart"/>
            <w:r w:rsidRPr="00C11B2B">
              <w:rPr>
                <w:i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sz w:val="28"/>
                <w:szCs w:val="28"/>
              </w:rPr>
              <w:t xml:space="preserve"> ieviešanu:</w:t>
            </w:r>
          </w:p>
          <w:p w:rsidR="00863228" w:rsidRPr="00C11B2B" w:rsidRDefault="00863228" w:rsidP="00300802">
            <w:pPr>
              <w:ind w:left="142" w:right="142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sz w:val="28"/>
                <w:szCs w:val="28"/>
              </w:rPr>
              <w:t xml:space="preserve">, ir nepieciešams veikt grozījumus Noteikumu pielikumos, aizstājot tajā latus ar </w:t>
            </w: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sz w:val="28"/>
                <w:szCs w:val="28"/>
              </w:rPr>
              <w:t xml:space="preserve">. </w:t>
            </w:r>
          </w:p>
        </w:tc>
      </w:tr>
      <w:tr w:rsidR="00863228" w:rsidRPr="00C11B2B" w:rsidTr="00ED440C">
        <w:trPr>
          <w:trHeight w:val="842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lastRenderedPageBreak/>
              <w:t>3.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ind w:left="57" w:right="57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Saistītie politikas ietekmes novērtējumi un pētījumi</w:t>
            </w:r>
          </w:p>
        </w:tc>
        <w:tc>
          <w:tcPr>
            <w:tcW w:w="6095" w:type="dxa"/>
          </w:tcPr>
          <w:p w:rsidR="00863228" w:rsidRPr="00C11B2B" w:rsidRDefault="00863228" w:rsidP="00ED440C">
            <w:pPr>
              <w:pStyle w:val="FootnoteText"/>
              <w:ind w:left="142" w:right="142"/>
              <w:jc w:val="both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Projekts šo jomu neskar.</w:t>
            </w:r>
          </w:p>
        </w:tc>
      </w:tr>
      <w:tr w:rsidR="00863228" w:rsidRPr="00C11B2B" w:rsidTr="00ED440C">
        <w:trPr>
          <w:trHeight w:val="384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4.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ind w:left="57" w:right="57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Tiesiskā regulējuma mērķis un būtība</w:t>
            </w:r>
          </w:p>
        </w:tc>
        <w:tc>
          <w:tcPr>
            <w:tcW w:w="6095" w:type="dxa"/>
          </w:tcPr>
          <w:p w:rsidR="00863228" w:rsidRPr="00C11B2B" w:rsidRDefault="00863228" w:rsidP="00ED440C">
            <w:pPr>
              <w:pStyle w:val="naiskr"/>
              <w:spacing w:before="0" w:beforeAutospacing="0" w:after="0" w:afterAutospacing="0"/>
              <w:ind w:left="142" w:right="142"/>
              <w:jc w:val="both"/>
              <w:rPr>
                <w:bCs/>
                <w:i/>
                <w:sz w:val="28"/>
                <w:szCs w:val="28"/>
                <w:lang w:val="lv-LV"/>
              </w:rPr>
            </w:pPr>
            <w:r w:rsidRPr="00C11B2B">
              <w:rPr>
                <w:bCs/>
                <w:i/>
                <w:sz w:val="28"/>
                <w:szCs w:val="28"/>
                <w:lang w:val="lv-LV"/>
              </w:rPr>
              <w:t>Izmaiņas pēc būtības:</w:t>
            </w:r>
          </w:p>
          <w:p w:rsidR="00D11B2C" w:rsidRDefault="00863228" w:rsidP="00D11B2C">
            <w:pPr>
              <w:ind w:left="142" w:right="142"/>
              <w:rPr>
                <w:bCs/>
                <w:sz w:val="28"/>
                <w:szCs w:val="28"/>
              </w:rPr>
            </w:pPr>
            <w:r w:rsidRPr="00C11B2B">
              <w:rPr>
                <w:bCs/>
                <w:sz w:val="28"/>
                <w:szCs w:val="28"/>
              </w:rPr>
              <w:t>Noteikuma projekta mērķis ir pilnveidot un uzlabot pašvaldību aizņēmumu ņemšanas un galvojumu sniegšanas kārtību, piesaistot papildu speciālis</w:t>
            </w:r>
            <w:r w:rsidR="000B520E">
              <w:rPr>
                <w:bCs/>
                <w:sz w:val="28"/>
                <w:szCs w:val="28"/>
              </w:rPr>
              <w:t xml:space="preserve">tu no Zemkopības ministrijas, </w:t>
            </w:r>
            <w:r w:rsidR="00D11B2C">
              <w:rPr>
                <w:bCs/>
                <w:sz w:val="28"/>
                <w:szCs w:val="28"/>
              </w:rPr>
              <w:t xml:space="preserve">nosakot papildu iesniedzamos dokumentus </w:t>
            </w:r>
            <w:r w:rsidRPr="00C11B2B">
              <w:rPr>
                <w:bCs/>
                <w:sz w:val="28"/>
                <w:szCs w:val="28"/>
              </w:rPr>
              <w:t>pašvaldību galvojumu sniegšanas</w:t>
            </w:r>
            <w:r w:rsidR="00D11B2C">
              <w:rPr>
                <w:bCs/>
                <w:sz w:val="28"/>
                <w:szCs w:val="28"/>
              </w:rPr>
              <w:t xml:space="preserve"> jautājumu detalizētai izskatīšanai, nodrošinot pašvaldību  aizņēmumu jautājumu izskatīšanu atbilstoši to faktiskajai nepieciešamībai (pēc iepirkumu procedūras</w:t>
            </w:r>
            <w:r w:rsidR="00E8402C">
              <w:rPr>
                <w:bCs/>
                <w:sz w:val="28"/>
                <w:szCs w:val="28"/>
              </w:rPr>
              <w:t xml:space="preserve"> noslēgšanas</w:t>
            </w:r>
            <w:r w:rsidR="00D11B2C">
              <w:rPr>
                <w:bCs/>
                <w:sz w:val="28"/>
                <w:szCs w:val="28"/>
              </w:rPr>
              <w:t>), nevis pl</w:t>
            </w:r>
            <w:r w:rsidR="00E8402C">
              <w:rPr>
                <w:bCs/>
                <w:sz w:val="28"/>
                <w:szCs w:val="28"/>
              </w:rPr>
              <w:t>ānotajai</w:t>
            </w:r>
            <w:r w:rsidR="00D11B2C">
              <w:rPr>
                <w:bCs/>
                <w:sz w:val="28"/>
                <w:szCs w:val="28"/>
              </w:rPr>
              <w:t>. L</w:t>
            </w:r>
            <w:r w:rsidRPr="00C11B2B">
              <w:rPr>
                <w:bCs/>
                <w:sz w:val="28"/>
                <w:szCs w:val="28"/>
              </w:rPr>
              <w:t xml:space="preserve">īdz ar to anotācijas 2.punktā minētās problēmas ir atrisinātas pilnībā. </w:t>
            </w:r>
          </w:p>
          <w:p w:rsidR="00D11B2C" w:rsidRDefault="00D11B2C" w:rsidP="00D11B2C">
            <w:pPr>
              <w:ind w:left="142" w:right="142"/>
              <w:rPr>
                <w:bCs/>
                <w:sz w:val="28"/>
                <w:szCs w:val="28"/>
              </w:rPr>
            </w:pPr>
          </w:p>
          <w:p w:rsidR="00D11B2C" w:rsidRDefault="00863228" w:rsidP="00D11B2C">
            <w:pPr>
              <w:ind w:left="142" w:right="142"/>
              <w:rPr>
                <w:i/>
                <w:sz w:val="28"/>
                <w:szCs w:val="28"/>
              </w:rPr>
            </w:pPr>
            <w:r w:rsidRPr="00C11B2B">
              <w:rPr>
                <w:i/>
                <w:sz w:val="28"/>
                <w:szCs w:val="28"/>
              </w:rPr>
              <w:t xml:space="preserve">Izmaiņas saistībā ar </w:t>
            </w:r>
            <w:proofErr w:type="spellStart"/>
            <w:r w:rsidRPr="00C11B2B">
              <w:rPr>
                <w:i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sz w:val="28"/>
                <w:szCs w:val="28"/>
              </w:rPr>
              <w:t xml:space="preserve"> ieviešanu:</w:t>
            </w:r>
          </w:p>
          <w:p w:rsidR="00863228" w:rsidRPr="00D11B2C" w:rsidRDefault="00863228" w:rsidP="00D11B2C">
            <w:pPr>
              <w:ind w:left="142" w:right="142"/>
              <w:rPr>
                <w:bCs/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 xml:space="preserve">Šā projekta mērķis ir pielāgot Noteikumu </w:t>
            </w: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iCs/>
                <w:sz w:val="28"/>
                <w:szCs w:val="28"/>
              </w:rPr>
              <w:t xml:space="preserve"> </w:t>
            </w:r>
            <w:r w:rsidRPr="00C11B2B">
              <w:rPr>
                <w:sz w:val="28"/>
                <w:szCs w:val="28"/>
              </w:rPr>
              <w:t xml:space="preserve">ieviešanai, aizstājot Noteikuma pielikumos latus ar </w:t>
            </w: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sz w:val="28"/>
                <w:szCs w:val="28"/>
              </w:rPr>
              <w:t xml:space="preserve">, atbilstoši </w:t>
            </w:r>
            <w:proofErr w:type="spellStart"/>
            <w:r w:rsidRPr="00C11B2B">
              <w:rPr>
                <w:i/>
                <w:iCs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iCs/>
                <w:sz w:val="28"/>
                <w:szCs w:val="28"/>
              </w:rPr>
              <w:t xml:space="preserve"> </w:t>
            </w:r>
            <w:r w:rsidRPr="00C11B2B">
              <w:rPr>
                <w:sz w:val="28"/>
                <w:szCs w:val="28"/>
              </w:rPr>
              <w:t xml:space="preserve">ieviešanas kārtības likuma  30.panta pirmajai daļai. </w:t>
            </w:r>
          </w:p>
          <w:p w:rsidR="00863228" w:rsidRPr="00C11B2B" w:rsidRDefault="00863228" w:rsidP="00ED440C">
            <w:pPr>
              <w:ind w:right="142"/>
              <w:rPr>
                <w:bCs/>
                <w:sz w:val="28"/>
                <w:szCs w:val="28"/>
              </w:rPr>
            </w:pPr>
          </w:p>
        </w:tc>
      </w:tr>
      <w:tr w:rsidR="00863228" w:rsidRPr="00C11B2B" w:rsidTr="00ED440C">
        <w:trPr>
          <w:trHeight w:val="476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5.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ind w:left="57" w:right="57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Projekta izstrādē iesaistītās institūcijas</w:t>
            </w:r>
          </w:p>
        </w:tc>
        <w:tc>
          <w:tcPr>
            <w:tcW w:w="6095" w:type="dxa"/>
          </w:tcPr>
          <w:p w:rsidR="00863228" w:rsidRPr="00C11B2B" w:rsidRDefault="00863228" w:rsidP="00D11B2C">
            <w:pPr>
              <w:pStyle w:val="naiskr"/>
              <w:spacing w:before="0" w:after="0"/>
              <w:ind w:right="142"/>
              <w:rPr>
                <w:sz w:val="28"/>
                <w:szCs w:val="28"/>
                <w:lang w:val="lv-LV"/>
              </w:rPr>
            </w:pPr>
            <w:r w:rsidRPr="00C11B2B">
              <w:rPr>
                <w:iCs/>
                <w:sz w:val="28"/>
                <w:szCs w:val="28"/>
                <w:lang w:val="lv-LV"/>
              </w:rPr>
              <w:t>Noteikumu projektu izstrādāja Finanšu ministrija.</w:t>
            </w:r>
          </w:p>
        </w:tc>
      </w:tr>
      <w:tr w:rsidR="00863228" w:rsidRPr="00C11B2B" w:rsidTr="00ED440C">
        <w:trPr>
          <w:trHeight w:val="835"/>
        </w:trPr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6.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pStyle w:val="naiskr"/>
              <w:ind w:left="57" w:right="57"/>
              <w:rPr>
                <w:i/>
                <w:sz w:val="28"/>
                <w:szCs w:val="28"/>
                <w:highlight w:val="yellow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t>Iemesli, kādēļ netika nodrošināta sabiedrības līdzdalība</w:t>
            </w:r>
          </w:p>
        </w:tc>
        <w:tc>
          <w:tcPr>
            <w:tcW w:w="6095" w:type="dxa"/>
          </w:tcPr>
          <w:p w:rsidR="00E8402C" w:rsidRDefault="00E8402C" w:rsidP="00E840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  <w:p w:rsidR="00E8402C" w:rsidRDefault="00E8402C" w:rsidP="00E8402C">
            <w:pPr>
              <w:ind w:right="142"/>
              <w:rPr>
                <w:i/>
                <w:sz w:val="28"/>
                <w:szCs w:val="28"/>
              </w:rPr>
            </w:pPr>
            <w:r w:rsidRPr="00C11B2B">
              <w:rPr>
                <w:i/>
                <w:sz w:val="28"/>
                <w:szCs w:val="28"/>
              </w:rPr>
              <w:t xml:space="preserve">Izmaiņas saistībā ar </w:t>
            </w:r>
            <w:proofErr w:type="spellStart"/>
            <w:r w:rsidRPr="00C11B2B">
              <w:rPr>
                <w:i/>
                <w:sz w:val="28"/>
                <w:szCs w:val="28"/>
              </w:rPr>
              <w:t>euro</w:t>
            </w:r>
            <w:proofErr w:type="spellEnd"/>
            <w:r w:rsidRPr="00C11B2B">
              <w:rPr>
                <w:i/>
                <w:sz w:val="28"/>
                <w:szCs w:val="28"/>
              </w:rPr>
              <w:t xml:space="preserve"> ieviešanu:</w:t>
            </w:r>
          </w:p>
          <w:p w:rsidR="00D11B2C" w:rsidRPr="00E8402C" w:rsidRDefault="00D11B2C" w:rsidP="00E8402C">
            <w:pPr>
              <w:pStyle w:val="Default"/>
              <w:jc w:val="both"/>
              <w:rPr>
                <w:sz w:val="28"/>
                <w:szCs w:val="28"/>
              </w:rPr>
            </w:pPr>
            <w:r w:rsidRPr="00E8402C">
              <w:rPr>
                <w:sz w:val="28"/>
                <w:szCs w:val="28"/>
              </w:rPr>
              <w:t xml:space="preserve">Sabiedrības līdzdalība projekta izstrādē netika nodrošināta, jo projekts nemaina pastāvošo tiesisko regulējumu pēc būtības. </w:t>
            </w:r>
          </w:p>
          <w:p w:rsidR="00863228" w:rsidRPr="00E8402C" w:rsidRDefault="00863228" w:rsidP="00ED440C">
            <w:pPr>
              <w:pStyle w:val="FootnoteText"/>
              <w:ind w:right="142"/>
              <w:rPr>
                <w:sz w:val="28"/>
                <w:szCs w:val="28"/>
              </w:rPr>
            </w:pPr>
          </w:p>
        </w:tc>
      </w:tr>
      <w:tr w:rsidR="00863228" w:rsidRPr="00C11B2B" w:rsidTr="00ED440C">
        <w:tc>
          <w:tcPr>
            <w:tcW w:w="550" w:type="dxa"/>
          </w:tcPr>
          <w:p w:rsidR="00863228" w:rsidRPr="00C11B2B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  <w:lang w:val="lv-LV"/>
              </w:rPr>
            </w:pPr>
            <w:r w:rsidRPr="00C11B2B">
              <w:rPr>
                <w:sz w:val="28"/>
                <w:szCs w:val="28"/>
                <w:lang w:val="lv-LV"/>
              </w:rPr>
              <w:lastRenderedPageBreak/>
              <w:t>7.</w:t>
            </w:r>
          </w:p>
        </w:tc>
        <w:tc>
          <w:tcPr>
            <w:tcW w:w="2716" w:type="dxa"/>
          </w:tcPr>
          <w:p w:rsidR="00863228" w:rsidRPr="00C11B2B" w:rsidRDefault="00863228" w:rsidP="00ED440C">
            <w:pPr>
              <w:spacing w:before="100" w:beforeAutospacing="1" w:after="100" w:afterAutospacing="1"/>
              <w:ind w:left="57" w:right="57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Cita informācija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3"/>
            </w:tblGrid>
            <w:tr w:rsidR="00D11B2C" w:rsidRPr="00D11B2C">
              <w:trPr>
                <w:trHeight w:val="109"/>
              </w:trPr>
              <w:tc>
                <w:tcPr>
                  <w:tcW w:w="0" w:type="auto"/>
                </w:tcPr>
                <w:p w:rsidR="00D11B2C" w:rsidRPr="00D11B2C" w:rsidRDefault="00660110" w:rsidP="009763DE">
                  <w:pPr>
                    <w:pStyle w:val="Default"/>
                    <w:framePr w:hSpace="180" w:wrap="around" w:vAnchor="text" w:hAnchor="margin" w:xAlign="center" w:y="14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Nav.</w:t>
                  </w:r>
                </w:p>
              </w:tc>
            </w:tr>
          </w:tbl>
          <w:p w:rsidR="00863228" w:rsidRPr="00E8402C" w:rsidRDefault="00863228" w:rsidP="00ED440C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</w:p>
        </w:tc>
      </w:tr>
    </w:tbl>
    <w:p w:rsidR="00863228" w:rsidRPr="00C11B2B" w:rsidRDefault="00863228" w:rsidP="00863228">
      <w:pPr>
        <w:rPr>
          <w:sz w:val="28"/>
          <w:szCs w:val="28"/>
        </w:rPr>
      </w:pPr>
    </w:p>
    <w:p w:rsidR="00863228" w:rsidRPr="00C11B2B" w:rsidRDefault="00863228" w:rsidP="008632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663"/>
        <w:gridCol w:w="5869"/>
      </w:tblGrid>
      <w:tr w:rsidR="00863228" w:rsidRPr="00C11B2B" w:rsidTr="00E8402C">
        <w:tc>
          <w:tcPr>
            <w:tcW w:w="9061" w:type="dxa"/>
            <w:gridSpan w:val="3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C11B2B">
              <w:rPr>
                <w:b/>
                <w:sz w:val="28"/>
                <w:szCs w:val="28"/>
              </w:rPr>
              <w:t>II. Tiesību akta projekta ietekme uz sabiedrību</w:t>
            </w:r>
          </w:p>
        </w:tc>
      </w:tr>
      <w:tr w:rsidR="00863228" w:rsidRPr="00C11B2B" w:rsidTr="00E8402C">
        <w:tc>
          <w:tcPr>
            <w:tcW w:w="529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1.</w:t>
            </w:r>
          </w:p>
        </w:tc>
        <w:tc>
          <w:tcPr>
            <w:tcW w:w="2663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 xml:space="preserve">Sabiedrības </w:t>
            </w:r>
            <w:proofErr w:type="spellStart"/>
            <w:r w:rsidRPr="00C11B2B">
              <w:rPr>
                <w:sz w:val="28"/>
                <w:szCs w:val="28"/>
              </w:rPr>
              <w:t>mērķgrupa</w:t>
            </w:r>
            <w:proofErr w:type="spellEnd"/>
          </w:p>
        </w:tc>
        <w:tc>
          <w:tcPr>
            <w:tcW w:w="5869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Pašvaldības (Latvijas Pašvaldību savienība – biedrība, kas pārstāv pašvaldību intereses un aizstāv to tiesības valsts varas un pārvaldes institūcijās.</w:t>
            </w:r>
          </w:p>
          <w:p w:rsidR="00D11B2C" w:rsidRPr="00C11B2B" w:rsidRDefault="00863228" w:rsidP="00ED440C">
            <w:pPr>
              <w:rPr>
                <w:sz w:val="28"/>
                <w:szCs w:val="28"/>
                <w:lang w:eastAsia="lv-LV"/>
              </w:rPr>
            </w:pPr>
            <w:r w:rsidRPr="00C11B2B">
              <w:rPr>
                <w:sz w:val="28"/>
                <w:szCs w:val="28"/>
                <w:lang w:eastAsia="lv-LV"/>
              </w:rPr>
              <w:t>LPS biedri ir 117 pašvaldības no 119 Latvijas pašvaldībām: 8 republikas pilsētu un 109 novadu pašvaldības)</w:t>
            </w:r>
            <w:r w:rsidR="00660110">
              <w:rPr>
                <w:sz w:val="28"/>
                <w:szCs w:val="28"/>
                <w:lang w:eastAsia="lv-LV"/>
              </w:rPr>
              <w:t>.</w:t>
            </w:r>
          </w:p>
        </w:tc>
      </w:tr>
      <w:tr w:rsidR="00863228" w:rsidRPr="00C11B2B" w:rsidTr="00E8402C">
        <w:tc>
          <w:tcPr>
            <w:tcW w:w="529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2.</w:t>
            </w:r>
          </w:p>
        </w:tc>
        <w:tc>
          <w:tcPr>
            <w:tcW w:w="2663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 xml:space="preserve">Citas sabiedrības grupas (bez </w:t>
            </w:r>
            <w:proofErr w:type="spellStart"/>
            <w:r w:rsidRPr="00C11B2B">
              <w:rPr>
                <w:sz w:val="28"/>
                <w:szCs w:val="28"/>
              </w:rPr>
              <w:t>mērķgrupas</w:t>
            </w:r>
            <w:proofErr w:type="spellEnd"/>
            <w:r w:rsidRPr="00C11B2B">
              <w:rPr>
                <w:sz w:val="28"/>
                <w:szCs w:val="28"/>
              </w:rPr>
              <w:t>), kuras tiesiskais regulējums arī ietekmē vai varētu ietekmēt</w:t>
            </w:r>
          </w:p>
        </w:tc>
        <w:tc>
          <w:tcPr>
            <w:tcW w:w="5869" w:type="dxa"/>
            <w:shd w:val="clear" w:color="auto" w:fill="auto"/>
          </w:tcPr>
          <w:p w:rsidR="00E8402C" w:rsidRDefault="00E8402C" w:rsidP="00E840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Projekts šo jomu neskar.</w:t>
            </w:r>
          </w:p>
          <w:p w:rsidR="00863228" w:rsidRPr="00E8402C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8402C" w:rsidRPr="00C11B2B" w:rsidTr="00E8402C">
        <w:tc>
          <w:tcPr>
            <w:tcW w:w="529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3.</w:t>
            </w:r>
          </w:p>
        </w:tc>
        <w:tc>
          <w:tcPr>
            <w:tcW w:w="2663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Tiesiskā regulējuma finansiālā ietekme</w:t>
            </w:r>
          </w:p>
        </w:tc>
        <w:tc>
          <w:tcPr>
            <w:tcW w:w="5869" w:type="dxa"/>
            <w:shd w:val="clear" w:color="auto" w:fill="auto"/>
          </w:tcPr>
          <w:p w:rsidR="00E8402C" w:rsidRDefault="00E8402C" w:rsidP="00E8402C">
            <w:r w:rsidRPr="00525672">
              <w:rPr>
                <w:sz w:val="28"/>
                <w:szCs w:val="28"/>
              </w:rPr>
              <w:t>Projekts šo jomu neskar.</w:t>
            </w:r>
          </w:p>
        </w:tc>
      </w:tr>
      <w:tr w:rsidR="00E8402C" w:rsidRPr="00C11B2B" w:rsidTr="00E8402C">
        <w:tc>
          <w:tcPr>
            <w:tcW w:w="529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4.</w:t>
            </w:r>
          </w:p>
        </w:tc>
        <w:tc>
          <w:tcPr>
            <w:tcW w:w="2663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Tiesiskā regulējuma nefinansiālā ietekme</w:t>
            </w:r>
          </w:p>
        </w:tc>
        <w:tc>
          <w:tcPr>
            <w:tcW w:w="5869" w:type="dxa"/>
            <w:shd w:val="clear" w:color="auto" w:fill="auto"/>
          </w:tcPr>
          <w:p w:rsidR="00E8402C" w:rsidRDefault="00E8402C" w:rsidP="00E8402C">
            <w:r w:rsidRPr="00525672">
              <w:rPr>
                <w:sz w:val="28"/>
                <w:szCs w:val="28"/>
              </w:rPr>
              <w:t>Projekts šo jomu neskar.</w:t>
            </w:r>
          </w:p>
        </w:tc>
      </w:tr>
      <w:tr w:rsidR="00E8402C" w:rsidRPr="00C11B2B" w:rsidTr="00E8402C">
        <w:tc>
          <w:tcPr>
            <w:tcW w:w="529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5.</w:t>
            </w:r>
          </w:p>
        </w:tc>
        <w:tc>
          <w:tcPr>
            <w:tcW w:w="2663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Administratīvās procedūras raksturojums</w:t>
            </w:r>
          </w:p>
        </w:tc>
        <w:tc>
          <w:tcPr>
            <w:tcW w:w="5869" w:type="dxa"/>
            <w:shd w:val="clear" w:color="auto" w:fill="auto"/>
          </w:tcPr>
          <w:p w:rsidR="00E8402C" w:rsidRDefault="00E8402C" w:rsidP="00E8402C">
            <w:r w:rsidRPr="00525672">
              <w:rPr>
                <w:sz w:val="28"/>
                <w:szCs w:val="28"/>
              </w:rPr>
              <w:t>Projekts šo jomu neskar.</w:t>
            </w:r>
          </w:p>
        </w:tc>
      </w:tr>
      <w:tr w:rsidR="00E8402C" w:rsidRPr="00C11B2B" w:rsidTr="00E8402C">
        <w:tc>
          <w:tcPr>
            <w:tcW w:w="529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6.</w:t>
            </w:r>
          </w:p>
        </w:tc>
        <w:tc>
          <w:tcPr>
            <w:tcW w:w="2663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5869" w:type="dxa"/>
            <w:shd w:val="clear" w:color="auto" w:fill="auto"/>
          </w:tcPr>
          <w:p w:rsidR="00E8402C" w:rsidRDefault="00E8402C" w:rsidP="00E8402C">
            <w:r w:rsidRPr="00525672">
              <w:rPr>
                <w:sz w:val="28"/>
                <w:szCs w:val="28"/>
              </w:rPr>
              <w:t>Projekts šo jomu neskar.</w:t>
            </w:r>
          </w:p>
        </w:tc>
      </w:tr>
      <w:tr w:rsidR="00E8402C" w:rsidRPr="00C11B2B" w:rsidTr="00E8402C">
        <w:tc>
          <w:tcPr>
            <w:tcW w:w="529" w:type="dxa"/>
            <w:shd w:val="clear" w:color="auto" w:fill="auto"/>
          </w:tcPr>
          <w:p w:rsidR="00E8402C" w:rsidRPr="00C11B2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7.</w:t>
            </w:r>
          </w:p>
        </w:tc>
        <w:tc>
          <w:tcPr>
            <w:tcW w:w="2663" w:type="dxa"/>
            <w:shd w:val="clear" w:color="auto" w:fill="auto"/>
          </w:tcPr>
          <w:p w:rsidR="00E8402C" w:rsidRPr="00C11B2B" w:rsidRDefault="00E8402C" w:rsidP="00E8402C">
            <w:pPr>
              <w:spacing w:before="100" w:beforeAutospacing="1" w:line="360" w:lineRule="auto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Cita informācija</w:t>
            </w:r>
          </w:p>
        </w:tc>
        <w:tc>
          <w:tcPr>
            <w:tcW w:w="5869" w:type="dxa"/>
            <w:shd w:val="clear" w:color="auto" w:fill="auto"/>
          </w:tcPr>
          <w:p w:rsidR="00E8402C" w:rsidRDefault="00660110" w:rsidP="00E8402C">
            <w:r>
              <w:rPr>
                <w:sz w:val="28"/>
                <w:szCs w:val="28"/>
              </w:rPr>
              <w:t>Nav.</w:t>
            </w:r>
          </w:p>
        </w:tc>
      </w:tr>
    </w:tbl>
    <w:p w:rsidR="00863228" w:rsidRPr="00C11B2B" w:rsidRDefault="00863228" w:rsidP="00863228">
      <w:pPr>
        <w:pStyle w:val="naisf"/>
        <w:tabs>
          <w:tab w:val="left" w:pos="5760"/>
        </w:tabs>
        <w:spacing w:before="0" w:after="0"/>
        <w:ind w:firstLine="720"/>
        <w:jc w:val="center"/>
        <w:rPr>
          <w:sz w:val="28"/>
          <w:szCs w:val="28"/>
        </w:rPr>
      </w:pPr>
    </w:p>
    <w:p w:rsidR="00863228" w:rsidRPr="00C11B2B" w:rsidRDefault="00863228" w:rsidP="00863228">
      <w:pPr>
        <w:pStyle w:val="naisf"/>
        <w:tabs>
          <w:tab w:val="left" w:pos="5760"/>
        </w:tabs>
        <w:spacing w:before="0" w:after="0"/>
        <w:ind w:firstLine="720"/>
        <w:jc w:val="center"/>
        <w:rPr>
          <w:sz w:val="28"/>
          <w:szCs w:val="28"/>
        </w:rPr>
      </w:pPr>
      <w:r w:rsidRPr="00C11B2B">
        <w:rPr>
          <w:i/>
          <w:sz w:val="28"/>
          <w:szCs w:val="28"/>
        </w:rPr>
        <w:t>Anotācijas  III, IV un V sadaļa – projekts šīs jomas neskar.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784"/>
        <w:gridCol w:w="5748"/>
      </w:tblGrid>
      <w:tr w:rsidR="00863228" w:rsidRPr="00C11B2B" w:rsidTr="00E8402C">
        <w:tc>
          <w:tcPr>
            <w:tcW w:w="9061" w:type="dxa"/>
            <w:gridSpan w:val="3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C11B2B">
              <w:rPr>
                <w:b/>
                <w:sz w:val="28"/>
                <w:szCs w:val="28"/>
              </w:rPr>
              <w:t>VI. Sabiedrības līdzdalība un šīs līdzdalības rezultāti</w:t>
            </w:r>
          </w:p>
        </w:tc>
      </w:tr>
      <w:tr w:rsidR="00863228" w:rsidRPr="00C11B2B" w:rsidTr="00E8402C">
        <w:tc>
          <w:tcPr>
            <w:tcW w:w="529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1.</w:t>
            </w:r>
          </w:p>
        </w:tc>
        <w:tc>
          <w:tcPr>
            <w:tcW w:w="2784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Sabiedrības informēšana par projekta izstrādes uzsākšanu</w:t>
            </w:r>
          </w:p>
        </w:tc>
        <w:tc>
          <w:tcPr>
            <w:tcW w:w="5748" w:type="dxa"/>
            <w:shd w:val="clear" w:color="auto" w:fill="auto"/>
          </w:tcPr>
          <w:p w:rsidR="00863228" w:rsidRPr="00C11B2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C11B2B">
              <w:rPr>
                <w:sz w:val="28"/>
                <w:szCs w:val="28"/>
              </w:rPr>
              <w:t>Noteikumu projekts tika izsludināts Valsts sekretāru sanāksmē (saskaņā ar VSS 23.05.2013 protokolu Nr.20 6§)</w:t>
            </w:r>
            <w:r w:rsidR="00660110">
              <w:rPr>
                <w:sz w:val="28"/>
                <w:szCs w:val="28"/>
              </w:rPr>
              <w:t>.</w:t>
            </w:r>
          </w:p>
        </w:tc>
      </w:tr>
      <w:tr w:rsidR="00863228" w:rsidRPr="00AB56FB" w:rsidTr="00E8402C">
        <w:tc>
          <w:tcPr>
            <w:tcW w:w="529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2.</w:t>
            </w:r>
          </w:p>
        </w:tc>
        <w:tc>
          <w:tcPr>
            <w:tcW w:w="2784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748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Noteikumu projekts tika nosūtīts saskaņošanai un atzinuma sniegšanai Latvijas Pašvaldību savienībai kā pašvaldību deleģētam pārstāvim</w:t>
            </w:r>
            <w:r w:rsidR="00660110">
              <w:rPr>
                <w:sz w:val="28"/>
                <w:szCs w:val="28"/>
              </w:rPr>
              <w:t>.</w:t>
            </w:r>
          </w:p>
        </w:tc>
      </w:tr>
      <w:tr w:rsidR="00863228" w:rsidRPr="00AB56FB" w:rsidTr="00E8402C">
        <w:tc>
          <w:tcPr>
            <w:tcW w:w="529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3.</w:t>
            </w:r>
          </w:p>
        </w:tc>
        <w:tc>
          <w:tcPr>
            <w:tcW w:w="2784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748" w:type="dxa"/>
            <w:shd w:val="clear" w:color="auto" w:fill="auto"/>
          </w:tcPr>
          <w:p w:rsidR="00863228" w:rsidRPr="00AB56FB" w:rsidRDefault="00863228" w:rsidP="00ED440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LPS sniegusi pašvaldību priekšlikumus un iebildumus, kas tika ņemti vērā</w:t>
            </w:r>
            <w:r w:rsidR="00660110">
              <w:rPr>
                <w:sz w:val="28"/>
                <w:szCs w:val="28"/>
              </w:rPr>
              <w:t xml:space="preserve"> un iekļauti noteikumu projektā.</w:t>
            </w:r>
          </w:p>
        </w:tc>
      </w:tr>
      <w:tr w:rsidR="00E8402C" w:rsidRPr="00AB56FB" w:rsidTr="00E8402C">
        <w:tc>
          <w:tcPr>
            <w:tcW w:w="529" w:type="dxa"/>
            <w:shd w:val="clear" w:color="auto" w:fill="auto"/>
          </w:tcPr>
          <w:p w:rsidR="00E8402C" w:rsidRPr="00AB56F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784" w:type="dxa"/>
            <w:shd w:val="clear" w:color="auto" w:fill="auto"/>
          </w:tcPr>
          <w:p w:rsidR="00E8402C" w:rsidRPr="00AB56F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Saeimas un ekspertu līdzdalība</w:t>
            </w:r>
          </w:p>
        </w:tc>
        <w:tc>
          <w:tcPr>
            <w:tcW w:w="5748" w:type="dxa"/>
            <w:shd w:val="clear" w:color="auto" w:fill="auto"/>
          </w:tcPr>
          <w:p w:rsidR="00E8402C" w:rsidRDefault="00E8402C" w:rsidP="00E8402C">
            <w:r w:rsidRPr="004A34FC">
              <w:rPr>
                <w:sz w:val="28"/>
                <w:szCs w:val="28"/>
              </w:rPr>
              <w:t>Projekts šo jomu neskar.</w:t>
            </w:r>
          </w:p>
        </w:tc>
      </w:tr>
      <w:tr w:rsidR="00E8402C" w:rsidRPr="00AB56FB" w:rsidTr="00E8402C">
        <w:tc>
          <w:tcPr>
            <w:tcW w:w="529" w:type="dxa"/>
            <w:shd w:val="clear" w:color="auto" w:fill="auto"/>
          </w:tcPr>
          <w:p w:rsidR="00E8402C" w:rsidRPr="00AB56F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5.</w:t>
            </w:r>
          </w:p>
        </w:tc>
        <w:tc>
          <w:tcPr>
            <w:tcW w:w="2784" w:type="dxa"/>
            <w:shd w:val="clear" w:color="auto" w:fill="auto"/>
          </w:tcPr>
          <w:p w:rsidR="00E8402C" w:rsidRPr="00AB56FB" w:rsidRDefault="00E8402C" w:rsidP="00E8402C">
            <w:pPr>
              <w:pStyle w:val="naisf"/>
              <w:tabs>
                <w:tab w:val="left" w:pos="5760"/>
              </w:tabs>
              <w:spacing w:before="0" w:after="0"/>
              <w:ind w:firstLine="0"/>
              <w:jc w:val="left"/>
              <w:rPr>
                <w:sz w:val="28"/>
                <w:szCs w:val="28"/>
              </w:rPr>
            </w:pPr>
            <w:r w:rsidRPr="00AB56FB">
              <w:rPr>
                <w:sz w:val="28"/>
                <w:szCs w:val="28"/>
              </w:rPr>
              <w:t>Cita informācija</w:t>
            </w:r>
          </w:p>
        </w:tc>
        <w:tc>
          <w:tcPr>
            <w:tcW w:w="5748" w:type="dxa"/>
            <w:shd w:val="clear" w:color="auto" w:fill="auto"/>
          </w:tcPr>
          <w:p w:rsidR="00E8402C" w:rsidRDefault="00660110" w:rsidP="00E8402C">
            <w:r>
              <w:rPr>
                <w:sz w:val="28"/>
                <w:szCs w:val="28"/>
              </w:rPr>
              <w:t>Nav.</w:t>
            </w:r>
          </w:p>
        </w:tc>
      </w:tr>
    </w:tbl>
    <w:p w:rsidR="00863228" w:rsidRPr="00B72D5A" w:rsidRDefault="00863228" w:rsidP="00863228">
      <w:pPr>
        <w:pStyle w:val="naisf"/>
        <w:tabs>
          <w:tab w:val="left" w:pos="5760"/>
        </w:tabs>
        <w:spacing w:before="0" w:after="0"/>
        <w:ind w:firstLine="720"/>
        <w:jc w:val="center"/>
        <w:rPr>
          <w:sz w:val="28"/>
          <w:szCs w:val="28"/>
        </w:rPr>
      </w:pPr>
    </w:p>
    <w:p w:rsidR="00863228" w:rsidRPr="00570AB5" w:rsidRDefault="00863228" w:rsidP="00863228">
      <w:pPr>
        <w:pStyle w:val="naisf"/>
        <w:tabs>
          <w:tab w:val="left" w:pos="5760"/>
        </w:tabs>
        <w:spacing w:before="0" w:after="0"/>
        <w:ind w:firstLine="720"/>
        <w:rPr>
          <w:i/>
          <w:sz w:val="28"/>
          <w:szCs w:val="28"/>
        </w:rPr>
      </w:pPr>
    </w:p>
    <w:p w:rsidR="00863228" w:rsidRPr="00570AB5" w:rsidRDefault="00863228" w:rsidP="00863228">
      <w:pPr>
        <w:pStyle w:val="naisf"/>
        <w:tabs>
          <w:tab w:val="left" w:pos="5760"/>
        </w:tabs>
        <w:spacing w:before="0" w:after="0"/>
        <w:ind w:firstLine="720"/>
        <w:rPr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857"/>
        <w:gridCol w:w="6096"/>
      </w:tblGrid>
      <w:tr w:rsidR="00863228" w:rsidRPr="00570AB5" w:rsidTr="00ED440C">
        <w:tc>
          <w:tcPr>
            <w:tcW w:w="9503" w:type="dxa"/>
            <w:gridSpan w:val="3"/>
            <w:vAlign w:val="center"/>
          </w:tcPr>
          <w:p w:rsidR="00863228" w:rsidRPr="00570AB5" w:rsidRDefault="00863228" w:rsidP="00ED440C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570AB5">
              <w:rPr>
                <w:bCs w:val="0"/>
                <w:sz w:val="28"/>
                <w:szCs w:val="28"/>
              </w:rPr>
              <w:t> VII. Tiesību akta projekta izpildes nodrošināšana un tās ietekme uz institūcijām</w:t>
            </w:r>
          </w:p>
        </w:tc>
      </w:tr>
      <w:tr w:rsidR="00863228" w:rsidRPr="00570AB5" w:rsidTr="00ED440C">
        <w:trPr>
          <w:trHeight w:val="630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1.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pStyle w:val="naiskr"/>
              <w:ind w:left="68" w:right="57" w:hanging="11"/>
              <w:rPr>
                <w:sz w:val="28"/>
                <w:szCs w:val="28"/>
                <w:lang w:val="lv-LV"/>
              </w:rPr>
            </w:pPr>
            <w:r w:rsidRPr="00570AB5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6096" w:type="dxa"/>
          </w:tcPr>
          <w:p w:rsidR="00863228" w:rsidRPr="00570AB5" w:rsidRDefault="00863228" w:rsidP="00ED440C">
            <w:pPr>
              <w:pStyle w:val="naiskr"/>
              <w:spacing w:before="0" w:beforeAutospacing="0" w:after="0" w:afterAutospacing="0"/>
              <w:ind w:left="142" w:right="142"/>
              <w:jc w:val="both"/>
              <w:rPr>
                <w:sz w:val="28"/>
                <w:szCs w:val="28"/>
                <w:lang w:val="lv-LV"/>
              </w:rPr>
            </w:pPr>
            <w:r w:rsidRPr="00570AB5">
              <w:rPr>
                <w:sz w:val="28"/>
                <w:szCs w:val="28"/>
                <w:lang w:val="lv-LV"/>
              </w:rPr>
              <w:t xml:space="preserve">Finanšu ministrija, </w:t>
            </w:r>
            <w:r>
              <w:rPr>
                <w:sz w:val="28"/>
                <w:szCs w:val="28"/>
                <w:lang w:val="lv-LV"/>
              </w:rPr>
              <w:t xml:space="preserve">Ekonomikas ministrija, </w:t>
            </w:r>
            <w:r w:rsidRPr="00BC3E92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BC3E92">
              <w:rPr>
                <w:sz w:val="28"/>
                <w:szCs w:val="28"/>
                <w:lang w:val="lv-LV"/>
              </w:rPr>
              <w:t>Vides aizsardzības un reģionālās attīstības</w:t>
            </w:r>
            <w:r>
              <w:rPr>
                <w:sz w:val="28"/>
                <w:szCs w:val="28"/>
                <w:lang w:val="lv-LV"/>
              </w:rPr>
              <w:t xml:space="preserve"> ministrija, Zemkopības ministrija, Latvijas Banka, Latvijas Pašvaldību savienība , Valsts kase un pašvaldības. </w:t>
            </w:r>
          </w:p>
        </w:tc>
      </w:tr>
      <w:tr w:rsidR="00863228" w:rsidRPr="00570AB5" w:rsidTr="00ED440C">
        <w:trPr>
          <w:trHeight w:val="1618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2.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rPr>
                <w:sz w:val="28"/>
                <w:szCs w:val="28"/>
                <w:lang w:val="lv-LV"/>
              </w:rPr>
            </w:pPr>
            <w:r w:rsidRPr="00570AB5">
              <w:rPr>
                <w:sz w:val="28"/>
                <w:szCs w:val="28"/>
                <w:lang w:val="lv-LV"/>
              </w:rPr>
              <w:t>Projekta izpildes ietekme uz pārvaldes funkcijām</w:t>
            </w:r>
          </w:p>
        </w:tc>
        <w:tc>
          <w:tcPr>
            <w:tcW w:w="6096" w:type="dxa"/>
          </w:tcPr>
          <w:p w:rsidR="00863228" w:rsidRPr="00570AB5" w:rsidRDefault="00863228" w:rsidP="00ED440C">
            <w:pPr>
              <w:pStyle w:val="Heading2"/>
              <w:spacing w:before="0" w:after="0"/>
              <w:ind w:left="142" w:right="142"/>
              <w:rPr>
                <w:rFonts w:ascii="Times New Roman" w:hAnsi="Times New Roman"/>
                <w:b w:val="0"/>
                <w:i w:val="0"/>
              </w:rPr>
            </w:pPr>
            <w:r w:rsidRPr="00570AB5">
              <w:rPr>
                <w:rFonts w:ascii="Times New Roman" w:hAnsi="Times New Roman"/>
                <w:b w:val="0"/>
                <w:i w:val="0"/>
              </w:rPr>
              <w:t>Iesaistītās institūcijas projekta izpildi nodrošina to esošo funkciju un uzdevumus ietvaros.</w:t>
            </w:r>
          </w:p>
        </w:tc>
      </w:tr>
      <w:tr w:rsidR="00863228" w:rsidRPr="00570AB5" w:rsidTr="00ED440C">
        <w:trPr>
          <w:trHeight w:val="842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3.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ind w:left="57" w:right="57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Projekta izpildes ietekme uz pārvaldes institucionālo struktūru.</w:t>
            </w:r>
          </w:p>
          <w:p w:rsidR="00863228" w:rsidRPr="00570AB5" w:rsidRDefault="00863228" w:rsidP="00ED440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570AB5">
              <w:rPr>
                <w:sz w:val="28"/>
                <w:szCs w:val="28"/>
                <w:lang w:val="lv-LV"/>
              </w:rPr>
              <w:t>Jaunu institūciju izveide</w:t>
            </w:r>
          </w:p>
        </w:tc>
        <w:tc>
          <w:tcPr>
            <w:tcW w:w="6096" w:type="dxa"/>
          </w:tcPr>
          <w:p w:rsidR="00863228" w:rsidRPr="00570AB5" w:rsidRDefault="00863228" w:rsidP="00ED440C">
            <w:pPr>
              <w:pStyle w:val="FootnoteText"/>
              <w:ind w:left="142" w:right="142"/>
              <w:jc w:val="both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Projekts šo jomu neskar.</w:t>
            </w:r>
          </w:p>
        </w:tc>
      </w:tr>
      <w:tr w:rsidR="00863228" w:rsidRPr="00570AB5" w:rsidTr="00ED440C">
        <w:trPr>
          <w:trHeight w:val="384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4.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ind w:left="57" w:right="57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Projekta izpildes ietekme uz pārvaldes institucionālo struktūru.</w:t>
            </w:r>
          </w:p>
          <w:p w:rsidR="00863228" w:rsidRPr="00570AB5" w:rsidRDefault="00863228" w:rsidP="00ED440C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 w:val="28"/>
                <w:szCs w:val="28"/>
                <w:lang w:val="lv-LV"/>
              </w:rPr>
            </w:pPr>
            <w:r w:rsidRPr="00570AB5">
              <w:rPr>
                <w:sz w:val="28"/>
                <w:szCs w:val="28"/>
                <w:lang w:val="lv-LV"/>
              </w:rPr>
              <w:t>Esošu institūciju likvidācija</w:t>
            </w:r>
          </w:p>
        </w:tc>
        <w:tc>
          <w:tcPr>
            <w:tcW w:w="6096" w:type="dxa"/>
          </w:tcPr>
          <w:p w:rsidR="00863228" w:rsidRPr="00570AB5" w:rsidRDefault="00863228" w:rsidP="00ED440C">
            <w:pPr>
              <w:pStyle w:val="Heading2"/>
              <w:spacing w:before="0"/>
              <w:ind w:left="142" w:right="142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570AB5">
              <w:rPr>
                <w:rFonts w:ascii="Times New Roman" w:hAnsi="Times New Roman"/>
                <w:b w:val="0"/>
                <w:i w:val="0"/>
              </w:rPr>
              <w:t>Noteikumu projekta izpildei nav nepieciešams radīt jaunas vai likvidēt esošās institūcijas.</w:t>
            </w:r>
          </w:p>
        </w:tc>
      </w:tr>
      <w:tr w:rsidR="00863228" w:rsidRPr="00570AB5" w:rsidTr="00ED440C">
        <w:trPr>
          <w:trHeight w:val="476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5.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ind w:left="57" w:right="57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Projekta izpildes ietekme uz pārvaldes institucionālo struktūru.</w:t>
            </w:r>
          </w:p>
          <w:p w:rsidR="00863228" w:rsidRPr="00570AB5" w:rsidRDefault="00863228" w:rsidP="00ED440C">
            <w:pPr>
              <w:ind w:left="57" w:right="57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Esošu institūciju reorganizācija</w:t>
            </w:r>
          </w:p>
        </w:tc>
        <w:tc>
          <w:tcPr>
            <w:tcW w:w="6096" w:type="dxa"/>
          </w:tcPr>
          <w:p w:rsidR="00863228" w:rsidRPr="00570AB5" w:rsidRDefault="00863228" w:rsidP="00ED440C">
            <w:pPr>
              <w:spacing w:before="100" w:beforeAutospacing="1" w:after="100" w:afterAutospacing="1"/>
              <w:ind w:left="142" w:right="142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Noteikumu projekta izpildei nav nepieciešams reorganizēt esošās institūcijas.</w:t>
            </w:r>
          </w:p>
        </w:tc>
      </w:tr>
      <w:tr w:rsidR="00863228" w:rsidRPr="00570AB5" w:rsidTr="00ED440C">
        <w:trPr>
          <w:trHeight w:val="835"/>
        </w:trPr>
        <w:tc>
          <w:tcPr>
            <w:tcW w:w="550" w:type="dxa"/>
          </w:tcPr>
          <w:p w:rsidR="00863228" w:rsidRPr="00570AB5" w:rsidRDefault="00863228" w:rsidP="00ED440C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6.</w:t>
            </w:r>
          </w:p>
        </w:tc>
        <w:tc>
          <w:tcPr>
            <w:tcW w:w="2857" w:type="dxa"/>
          </w:tcPr>
          <w:p w:rsidR="00863228" w:rsidRPr="00570AB5" w:rsidRDefault="00863228" w:rsidP="00ED440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70AB5">
              <w:rPr>
                <w:sz w:val="28"/>
                <w:szCs w:val="28"/>
              </w:rPr>
              <w:t> Cita informācija</w:t>
            </w:r>
          </w:p>
        </w:tc>
        <w:tc>
          <w:tcPr>
            <w:tcW w:w="6096" w:type="dxa"/>
          </w:tcPr>
          <w:p w:rsidR="00863228" w:rsidRPr="00570AB5" w:rsidRDefault="00660110" w:rsidP="00E8402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  <w:r w:rsidR="00E8402C">
              <w:rPr>
                <w:sz w:val="28"/>
                <w:szCs w:val="28"/>
              </w:rPr>
              <w:t>.</w:t>
            </w:r>
          </w:p>
        </w:tc>
      </w:tr>
    </w:tbl>
    <w:p w:rsidR="00E8402C" w:rsidRDefault="00E8402C" w:rsidP="00863228">
      <w:pPr>
        <w:rPr>
          <w:sz w:val="28"/>
          <w:szCs w:val="28"/>
        </w:rPr>
      </w:pPr>
    </w:p>
    <w:p w:rsidR="00863228" w:rsidRPr="00570AB5" w:rsidRDefault="00863228" w:rsidP="00863228">
      <w:pPr>
        <w:rPr>
          <w:sz w:val="28"/>
          <w:szCs w:val="28"/>
        </w:rPr>
      </w:pPr>
      <w:r w:rsidRPr="00570AB5">
        <w:rPr>
          <w:sz w:val="28"/>
          <w:szCs w:val="28"/>
        </w:rPr>
        <w:t>Finanšu ministrs</w:t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</w:r>
      <w:r w:rsidRPr="00570AB5">
        <w:rPr>
          <w:sz w:val="28"/>
          <w:szCs w:val="28"/>
        </w:rPr>
        <w:tab/>
        <w:t>A.Vilks</w:t>
      </w:r>
    </w:p>
    <w:p w:rsidR="00863228" w:rsidRDefault="00863228" w:rsidP="00863228">
      <w:pPr>
        <w:rPr>
          <w:sz w:val="16"/>
          <w:szCs w:val="16"/>
        </w:rPr>
      </w:pPr>
    </w:p>
    <w:p w:rsidR="00863228" w:rsidRDefault="00863228" w:rsidP="00863228">
      <w:pPr>
        <w:rPr>
          <w:sz w:val="16"/>
          <w:szCs w:val="16"/>
        </w:rPr>
      </w:pPr>
    </w:p>
    <w:p w:rsidR="00863228" w:rsidRDefault="00863228" w:rsidP="00863228">
      <w:pPr>
        <w:rPr>
          <w:sz w:val="16"/>
          <w:szCs w:val="16"/>
        </w:rPr>
      </w:pPr>
    </w:p>
    <w:p w:rsidR="00863228" w:rsidRDefault="00863228" w:rsidP="00863228">
      <w:pPr>
        <w:rPr>
          <w:sz w:val="16"/>
          <w:szCs w:val="16"/>
        </w:rPr>
      </w:pPr>
    </w:p>
    <w:p w:rsidR="00E26982" w:rsidRDefault="00E26982" w:rsidP="00863228">
      <w:pPr>
        <w:rPr>
          <w:sz w:val="16"/>
          <w:szCs w:val="16"/>
        </w:rPr>
      </w:pPr>
    </w:p>
    <w:p w:rsidR="00E26982" w:rsidRDefault="00E26982" w:rsidP="00863228">
      <w:pPr>
        <w:rPr>
          <w:sz w:val="16"/>
          <w:szCs w:val="16"/>
        </w:rPr>
      </w:pPr>
    </w:p>
    <w:p w:rsidR="00863228" w:rsidRDefault="00863228" w:rsidP="00863228">
      <w:pPr>
        <w:rPr>
          <w:sz w:val="16"/>
          <w:szCs w:val="16"/>
        </w:rPr>
      </w:pPr>
    </w:p>
    <w:p w:rsidR="00863228" w:rsidRPr="00C50060" w:rsidRDefault="00535835" w:rsidP="008632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05</w:t>
      </w:r>
      <w:r w:rsidR="00863228" w:rsidRPr="00C50060">
        <w:rPr>
          <w:sz w:val="20"/>
          <w:szCs w:val="20"/>
        </w:rPr>
        <w:t>.0</w:t>
      </w:r>
      <w:r w:rsidR="00660110">
        <w:rPr>
          <w:sz w:val="20"/>
          <w:szCs w:val="20"/>
        </w:rPr>
        <w:t>7</w:t>
      </w:r>
      <w:r w:rsidR="00863228" w:rsidRPr="00C50060">
        <w:rPr>
          <w:sz w:val="20"/>
          <w:szCs w:val="20"/>
        </w:rPr>
        <w:t>.</w:t>
      </w:r>
      <w:r>
        <w:rPr>
          <w:sz w:val="20"/>
          <w:szCs w:val="20"/>
        </w:rPr>
        <w:t>2013  10:38</w:t>
      </w:r>
    </w:p>
    <w:p w:rsidR="00863228" w:rsidRPr="00C50060" w:rsidRDefault="00A40A5E" w:rsidP="00863228">
      <w:pPr>
        <w:pStyle w:val="NoSpacing"/>
        <w:ind w:left="0"/>
        <w:rPr>
          <w:sz w:val="20"/>
          <w:szCs w:val="20"/>
        </w:rPr>
      </w:pPr>
      <w:r w:rsidRPr="00C63B32">
        <w:rPr>
          <w:sz w:val="20"/>
          <w:szCs w:val="20"/>
        </w:rPr>
        <w:t>9</w:t>
      </w:r>
      <w:r w:rsidR="000B520E">
        <w:rPr>
          <w:sz w:val="20"/>
          <w:szCs w:val="20"/>
        </w:rPr>
        <w:t>82</w:t>
      </w:r>
    </w:p>
    <w:p w:rsidR="00863228" w:rsidRDefault="00660110" w:rsidP="008632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Zandare</w:t>
      </w:r>
    </w:p>
    <w:p w:rsidR="00863228" w:rsidRDefault="00863228" w:rsidP="008632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670</w:t>
      </w:r>
      <w:r w:rsidR="00660110">
        <w:rPr>
          <w:sz w:val="20"/>
          <w:szCs w:val="20"/>
        </w:rPr>
        <w:t>95646</w:t>
      </w:r>
    </w:p>
    <w:p w:rsidR="00863228" w:rsidRDefault="00660110" w:rsidP="00863228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Lolita.Zandare</w:t>
      </w:r>
      <w:r w:rsidR="00863228">
        <w:rPr>
          <w:sz w:val="20"/>
          <w:szCs w:val="20"/>
        </w:rPr>
        <w:t>@fm.gov.lv</w:t>
      </w:r>
    </w:p>
    <w:p w:rsidR="000C6F94" w:rsidRDefault="000C6F94"/>
    <w:sectPr w:rsidR="000C6F94" w:rsidSect="00414B0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5E" w:rsidRDefault="00DD4B5E">
      <w:r>
        <w:separator/>
      </w:r>
    </w:p>
  </w:endnote>
  <w:endnote w:type="continuationSeparator" w:id="0">
    <w:p w:rsidR="00DD4B5E" w:rsidRDefault="00DD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1E" w:rsidRPr="00EA4772" w:rsidRDefault="00863228" w:rsidP="00EA4772">
    <w:pPr>
      <w:pStyle w:val="Footer"/>
    </w:pPr>
    <w:r>
      <w:rPr>
        <w:bCs/>
        <w:lang w:eastAsia="lv-LV"/>
      </w:rPr>
      <w:t>FMAnot_</w:t>
    </w:r>
    <w:r w:rsidR="00E26982">
      <w:rPr>
        <w:bCs/>
        <w:lang w:eastAsia="lv-LV"/>
      </w:rPr>
      <w:t>0507</w:t>
    </w:r>
    <w:r w:rsidR="00350F4B">
      <w:rPr>
        <w:bCs/>
        <w:lang w:eastAsia="lv-LV"/>
      </w:rPr>
      <w:t>13_VSS_498</w:t>
    </w:r>
    <w:r w:rsidRPr="00EA4772">
      <w:rPr>
        <w:bCs/>
        <w:lang w:eastAsia="lv-LV"/>
      </w:rPr>
      <w:t>; Anotācija Ministru kabineta noteikumu projektam „Grozījumi Ministru kabineta 2008.gada 25.marta noteikumos Nr.196„Noteikumi par pašvaldību aizņēmumiem un galvojumiem</w:t>
    </w:r>
    <w:r>
      <w:rPr>
        <w:bCs/>
        <w:lang w:eastAsia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1E" w:rsidRDefault="00863228" w:rsidP="00DD0CE2">
    <w:r w:rsidRPr="00DD0CE2">
      <w:rPr>
        <w:bCs/>
        <w:sz w:val="20"/>
        <w:lang w:eastAsia="lv-LV"/>
      </w:rPr>
      <w:t>FMAnot_</w:t>
    </w:r>
    <w:r w:rsidR="00E26982">
      <w:rPr>
        <w:bCs/>
        <w:sz w:val="20"/>
        <w:lang w:eastAsia="lv-LV"/>
      </w:rPr>
      <w:t>0507</w:t>
    </w:r>
    <w:r w:rsidR="00350F4B">
      <w:rPr>
        <w:bCs/>
        <w:sz w:val="20"/>
        <w:lang w:eastAsia="lv-LV"/>
      </w:rPr>
      <w:t>13_VSS_498</w:t>
    </w:r>
    <w:r w:rsidRPr="00DD0CE2">
      <w:rPr>
        <w:bCs/>
        <w:sz w:val="20"/>
        <w:lang w:eastAsia="lv-LV"/>
      </w:rPr>
      <w:t xml:space="preserve">; Anotācija Ministru kabineta noteikumu projektam </w:t>
    </w:r>
    <w:r w:rsidRPr="00EB6734">
      <w:rPr>
        <w:bCs/>
        <w:sz w:val="20"/>
        <w:lang w:eastAsia="lv-LV"/>
      </w:rPr>
      <w:t>„</w:t>
    </w:r>
    <w:r w:rsidRPr="008D7708">
      <w:rPr>
        <w:sz w:val="20"/>
      </w:rPr>
      <w:t>Grozījum</w:t>
    </w:r>
    <w:r>
      <w:rPr>
        <w:sz w:val="20"/>
      </w:rPr>
      <w:t>i Ministru kabineta 2008.gada 25.marta noteikumos Nr.196</w:t>
    </w:r>
    <w:r w:rsidRPr="008D7708">
      <w:rPr>
        <w:sz w:val="20"/>
      </w:rPr>
      <w:t>„</w:t>
    </w:r>
    <w:r w:rsidRPr="008D7708">
      <w:rPr>
        <w:bCs/>
        <w:sz w:val="20"/>
        <w:lang w:eastAsia="lv-LV"/>
      </w:rPr>
      <w:t xml:space="preserve">Noteikumi par </w:t>
    </w:r>
    <w:r>
      <w:rPr>
        <w:bCs/>
        <w:sz w:val="20"/>
        <w:lang w:eastAsia="lv-LV"/>
      </w:rPr>
      <w:t>pašvaldību aizņēmumiem un galvojumiem</w:t>
    </w:r>
    <w:r w:rsidRPr="008D7708">
      <w:rPr>
        <w:sz w:val="20"/>
      </w:rPr>
      <w:t>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5E" w:rsidRDefault="00DD4B5E">
      <w:r>
        <w:separator/>
      </w:r>
    </w:p>
  </w:footnote>
  <w:footnote w:type="continuationSeparator" w:id="0">
    <w:p w:rsidR="00DD4B5E" w:rsidRDefault="00DD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1E" w:rsidRDefault="00863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A1E" w:rsidRDefault="009763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1E" w:rsidRDefault="0086322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3DE">
      <w:rPr>
        <w:rStyle w:val="PageNumber"/>
        <w:noProof/>
      </w:rPr>
      <w:t>2</w:t>
    </w:r>
    <w:r>
      <w:rPr>
        <w:rStyle w:val="PageNumber"/>
      </w:rPr>
      <w:fldChar w:fldCharType="end"/>
    </w:r>
  </w:p>
  <w:p w:rsidR="00500A1E" w:rsidRDefault="009763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28"/>
    <w:rsid w:val="000B520E"/>
    <w:rsid w:val="000C6F94"/>
    <w:rsid w:val="00171A7B"/>
    <w:rsid w:val="001B27E2"/>
    <w:rsid w:val="00300802"/>
    <w:rsid w:val="00350F4B"/>
    <w:rsid w:val="004C7DF0"/>
    <w:rsid w:val="004F259C"/>
    <w:rsid w:val="0050371A"/>
    <w:rsid w:val="00531B8B"/>
    <w:rsid w:val="00535835"/>
    <w:rsid w:val="005A57CE"/>
    <w:rsid w:val="00660110"/>
    <w:rsid w:val="00693BEC"/>
    <w:rsid w:val="006F2DC7"/>
    <w:rsid w:val="00713C1B"/>
    <w:rsid w:val="00747E2F"/>
    <w:rsid w:val="007A4F5F"/>
    <w:rsid w:val="007E4A7A"/>
    <w:rsid w:val="0081178C"/>
    <w:rsid w:val="00831659"/>
    <w:rsid w:val="00863228"/>
    <w:rsid w:val="00964C30"/>
    <w:rsid w:val="009763DE"/>
    <w:rsid w:val="00994BCC"/>
    <w:rsid w:val="009B2BD2"/>
    <w:rsid w:val="00A40A5E"/>
    <w:rsid w:val="00A816EB"/>
    <w:rsid w:val="00B954BE"/>
    <w:rsid w:val="00C002CA"/>
    <w:rsid w:val="00C11B2B"/>
    <w:rsid w:val="00C63B32"/>
    <w:rsid w:val="00D11B2C"/>
    <w:rsid w:val="00DD4B5E"/>
    <w:rsid w:val="00DF54EF"/>
    <w:rsid w:val="00E26982"/>
    <w:rsid w:val="00E8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28"/>
    <w:pPr>
      <w:jc w:val="both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3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2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6322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63228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863228"/>
  </w:style>
  <w:style w:type="paragraph" w:styleId="Header">
    <w:name w:val="header"/>
    <w:basedOn w:val="Normal"/>
    <w:link w:val="HeaderChar"/>
    <w:rsid w:val="00863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3228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rsid w:val="00863228"/>
    <w:pPr>
      <w:jc w:val="left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63228"/>
    <w:rPr>
      <w:rFonts w:eastAsia="Times New Roman" w:cs="Times New Roman"/>
      <w:sz w:val="20"/>
      <w:szCs w:val="20"/>
      <w:lang w:val="en-GB"/>
    </w:rPr>
  </w:style>
  <w:style w:type="paragraph" w:customStyle="1" w:styleId="naiskr">
    <w:name w:val="naiskr"/>
    <w:basedOn w:val="Normal"/>
    <w:rsid w:val="00863228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naisnod">
    <w:name w:val="naisnod"/>
    <w:basedOn w:val="Normal"/>
    <w:rsid w:val="00863228"/>
    <w:pPr>
      <w:spacing w:before="150" w:after="150"/>
      <w:jc w:val="center"/>
    </w:pPr>
    <w:rPr>
      <w:b/>
      <w:bCs/>
      <w:szCs w:val="24"/>
      <w:lang w:eastAsia="lv-LV"/>
    </w:rPr>
  </w:style>
  <w:style w:type="paragraph" w:styleId="FootnoteText">
    <w:name w:val="footnote text"/>
    <w:basedOn w:val="Normal"/>
    <w:link w:val="FootnoteTextChar"/>
    <w:rsid w:val="00863228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863228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863228"/>
    <w:pPr>
      <w:spacing w:before="75" w:after="75"/>
      <w:ind w:firstLine="375"/>
    </w:pPr>
    <w:rPr>
      <w:szCs w:val="24"/>
      <w:lang w:eastAsia="lv-LV"/>
    </w:rPr>
  </w:style>
  <w:style w:type="paragraph" w:styleId="NoSpacing">
    <w:name w:val="No Spacing"/>
    <w:uiPriority w:val="99"/>
    <w:qFormat/>
    <w:rsid w:val="00863228"/>
    <w:pPr>
      <w:ind w:left="720"/>
      <w:jc w:val="both"/>
    </w:pPr>
    <w:rPr>
      <w:rFonts w:eastAsia="Calibri" w:cs="Times New Roman"/>
      <w:sz w:val="28"/>
    </w:rPr>
  </w:style>
  <w:style w:type="character" w:styleId="CommentReference">
    <w:name w:val="annotation reference"/>
    <w:rsid w:val="00863228"/>
    <w:rPr>
      <w:sz w:val="16"/>
      <w:szCs w:val="16"/>
    </w:rPr>
  </w:style>
  <w:style w:type="paragraph" w:customStyle="1" w:styleId="Default">
    <w:name w:val="Default"/>
    <w:rsid w:val="0086322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B2B"/>
    <w:pPr>
      <w:ind w:left="720"/>
      <w:contextualSpacing/>
      <w:jc w:val="left"/>
    </w:pPr>
    <w:rPr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28"/>
    <w:pPr>
      <w:jc w:val="both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32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2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6322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63228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863228"/>
  </w:style>
  <w:style w:type="paragraph" w:styleId="Header">
    <w:name w:val="header"/>
    <w:basedOn w:val="Normal"/>
    <w:link w:val="HeaderChar"/>
    <w:rsid w:val="00863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3228"/>
    <w:rPr>
      <w:rFonts w:eastAsia="Times New Roman" w:cs="Times New Roman"/>
      <w:szCs w:val="20"/>
    </w:rPr>
  </w:style>
  <w:style w:type="paragraph" w:styleId="CommentText">
    <w:name w:val="annotation text"/>
    <w:basedOn w:val="Normal"/>
    <w:link w:val="CommentTextChar"/>
    <w:rsid w:val="00863228"/>
    <w:pPr>
      <w:jc w:val="left"/>
    </w:pPr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63228"/>
    <w:rPr>
      <w:rFonts w:eastAsia="Times New Roman" w:cs="Times New Roman"/>
      <w:sz w:val="20"/>
      <w:szCs w:val="20"/>
      <w:lang w:val="en-GB"/>
    </w:rPr>
  </w:style>
  <w:style w:type="paragraph" w:customStyle="1" w:styleId="naiskr">
    <w:name w:val="naiskr"/>
    <w:basedOn w:val="Normal"/>
    <w:rsid w:val="00863228"/>
    <w:pPr>
      <w:spacing w:before="100" w:beforeAutospacing="1" w:after="100" w:afterAutospacing="1"/>
      <w:jc w:val="left"/>
    </w:pPr>
    <w:rPr>
      <w:szCs w:val="24"/>
      <w:lang w:val="en-US"/>
    </w:rPr>
  </w:style>
  <w:style w:type="paragraph" w:customStyle="1" w:styleId="naisnod">
    <w:name w:val="naisnod"/>
    <w:basedOn w:val="Normal"/>
    <w:rsid w:val="00863228"/>
    <w:pPr>
      <w:spacing w:before="150" w:after="150"/>
      <w:jc w:val="center"/>
    </w:pPr>
    <w:rPr>
      <w:b/>
      <w:bCs/>
      <w:szCs w:val="24"/>
      <w:lang w:eastAsia="lv-LV"/>
    </w:rPr>
  </w:style>
  <w:style w:type="paragraph" w:styleId="FootnoteText">
    <w:name w:val="footnote text"/>
    <w:basedOn w:val="Normal"/>
    <w:link w:val="FootnoteTextChar"/>
    <w:rsid w:val="00863228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863228"/>
    <w:rPr>
      <w:rFonts w:eastAsia="Times New Roman" w:cs="Times New Roman"/>
      <w:sz w:val="20"/>
      <w:szCs w:val="20"/>
      <w:lang w:eastAsia="lv-LV"/>
    </w:rPr>
  </w:style>
  <w:style w:type="paragraph" w:customStyle="1" w:styleId="naisf">
    <w:name w:val="naisf"/>
    <w:basedOn w:val="Normal"/>
    <w:rsid w:val="00863228"/>
    <w:pPr>
      <w:spacing w:before="75" w:after="75"/>
      <w:ind w:firstLine="375"/>
    </w:pPr>
    <w:rPr>
      <w:szCs w:val="24"/>
      <w:lang w:eastAsia="lv-LV"/>
    </w:rPr>
  </w:style>
  <w:style w:type="paragraph" w:styleId="NoSpacing">
    <w:name w:val="No Spacing"/>
    <w:uiPriority w:val="99"/>
    <w:qFormat/>
    <w:rsid w:val="00863228"/>
    <w:pPr>
      <w:ind w:left="720"/>
      <w:jc w:val="both"/>
    </w:pPr>
    <w:rPr>
      <w:rFonts w:eastAsia="Calibri" w:cs="Times New Roman"/>
      <w:sz w:val="28"/>
    </w:rPr>
  </w:style>
  <w:style w:type="character" w:styleId="CommentReference">
    <w:name w:val="annotation reference"/>
    <w:rsid w:val="00863228"/>
    <w:rPr>
      <w:sz w:val="16"/>
      <w:szCs w:val="16"/>
    </w:rPr>
  </w:style>
  <w:style w:type="paragraph" w:customStyle="1" w:styleId="Default">
    <w:name w:val="Default"/>
    <w:rsid w:val="00863228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1B2B"/>
    <w:pPr>
      <w:ind w:left="720"/>
      <w:contextualSpacing/>
      <w:jc w:val="left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AB29A-AD47-4BE2-AD1C-33FEB27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5236</Words>
  <Characters>2985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Sākotnējās ietekmes novērtējuma ziņojums(anotācija)</vt:lpstr>
      <vt:lpstr>Sākotnējās ietekmes novērtējuma ziņojums(anotācija)</vt:lpstr>
    </vt:vector>
  </TitlesOfParts>
  <Manager>Baiba Tisenkopfa</Manager>
  <Company>FM</Company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ziņojums(anotācija)</dc:title>
  <dc:subject>MK noteikumu projekts „Grozījumi Ministru kabineta 2008.gada 25.marta noteikumos Nr.196 "Noteikumi par pašvaldību aizņēmumiem un galvojumiem"</dc:subject>
  <dc:creator>Lolita Zandare</dc:creator>
  <dc:description>lolita.zandare@fm.gov.lv</dc:description>
  <cp:lastModifiedBy>Finanšu Ministrija</cp:lastModifiedBy>
  <cp:revision>7</cp:revision>
  <cp:lastPrinted>2013-07-08T09:33:00Z</cp:lastPrinted>
  <dcterms:created xsi:type="dcterms:W3CDTF">2013-07-05T10:41:00Z</dcterms:created>
  <dcterms:modified xsi:type="dcterms:W3CDTF">2013-07-15T06:37:00Z</dcterms:modified>
</cp:coreProperties>
</file>