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51" w:rsidRPr="0041608E" w:rsidRDefault="00826E51" w:rsidP="00826E51">
      <w:pPr>
        <w:jc w:val="center"/>
        <w:rPr>
          <w:b/>
          <w:bCs/>
          <w:color w:val="000000"/>
          <w:sz w:val="28"/>
          <w:szCs w:val="28"/>
        </w:rPr>
      </w:pPr>
      <w:bookmarkStart w:id="0" w:name="_GoBack"/>
      <w:bookmarkEnd w:id="0"/>
      <w:r w:rsidRPr="0041608E">
        <w:rPr>
          <w:b/>
          <w:bCs/>
          <w:color w:val="000000"/>
          <w:sz w:val="28"/>
          <w:szCs w:val="28"/>
        </w:rPr>
        <w:t>Ministru kabineta instrukcijas projekta</w:t>
      </w:r>
    </w:p>
    <w:p w:rsidR="00826E51" w:rsidRPr="0041608E" w:rsidRDefault="00826E51" w:rsidP="00826E51">
      <w:pPr>
        <w:jc w:val="center"/>
        <w:rPr>
          <w:b/>
          <w:spacing w:val="2"/>
          <w:position w:val="-12"/>
          <w:sz w:val="28"/>
          <w:szCs w:val="28"/>
        </w:rPr>
      </w:pPr>
      <w:r w:rsidRPr="0041608E">
        <w:rPr>
          <w:b/>
          <w:color w:val="000000"/>
          <w:spacing w:val="2"/>
          <w:position w:val="-12"/>
          <w:sz w:val="28"/>
          <w:szCs w:val="28"/>
        </w:rPr>
        <w:t>„</w:t>
      </w:r>
      <w:bookmarkStart w:id="1" w:name="OLE_LINK1"/>
      <w:bookmarkStart w:id="2" w:name="OLE_LINK2"/>
      <w:r w:rsidRPr="0041608E">
        <w:rPr>
          <w:b/>
          <w:spacing w:val="2"/>
          <w:position w:val="-12"/>
          <w:sz w:val="28"/>
          <w:szCs w:val="28"/>
        </w:rPr>
        <w:t xml:space="preserve">Grozījumi Ministru kabineta 2009.gada 20.janvāra instrukcijā Nr.2 </w:t>
      </w:r>
      <w:bookmarkEnd w:id="1"/>
      <w:bookmarkEnd w:id="2"/>
    </w:p>
    <w:p w:rsidR="00826E51" w:rsidRPr="0041608E" w:rsidRDefault="00826E51" w:rsidP="00826E51">
      <w:pPr>
        <w:jc w:val="center"/>
        <w:rPr>
          <w:b/>
          <w:spacing w:val="2"/>
          <w:position w:val="-12"/>
          <w:sz w:val="28"/>
          <w:szCs w:val="28"/>
        </w:rPr>
      </w:pPr>
      <w:r w:rsidRPr="0041608E">
        <w:rPr>
          <w:b/>
          <w:bCs/>
          <w:sz w:val="28"/>
          <w:szCs w:val="28"/>
        </w:rPr>
        <w:t xml:space="preserve">„Kārtība, kādā valsts budžeta iestādes sagatavo un apstiprina valsts budžeta programmu, apakšprogrammu un pasākumu tāmes kārtējam gadam”” sākotnējās ietekmes novērtējuma </w:t>
      </w:r>
      <w:smartTag w:uri="schemas-tilde-lv/tildestengine" w:element="veidnes">
        <w:smartTagPr>
          <w:attr w:name="text" w:val="ziņojums"/>
          <w:attr w:name="baseform" w:val="ziņojums"/>
          <w:attr w:name="id" w:val="-1"/>
        </w:smartTagPr>
        <w:r w:rsidRPr="0041608E">
          <w:rPr>
            <w:b/>
            <w:bCs/>
            <w:sz w:val="28"/>
            <w:szCs w:val="28"/>
          </w:rPr>
          <w:t>ziņojums</w:t>
        </w:r>
      </w:smartTag>
      <w:r w:rsidRPr="0041608E">
        <w:rPr>
          <w:b/>
          <w:bCs/>
          <w:sz w:val="28"/>
          <w:szCs w:val="28"/>
        </w:rPr>
        <w:t xml:space="preserve"> (</w:t>
      </w:r>
      <w:r w:rsidRPr="0041608E">
        <w:rPr>
          <w:b/>
          <w:color w:val="000000"/>
          <w:sz w:val="28"/>
          <w:szCs w:val="28"/>
        </w:rPr>
        <w:t>anotācija)</w:t>
      </w:r>
    </w:p>
    <w:p w:rsidR="0034725C" w:rsidRDefault="0034725C"/>
    <w:tbl>
      <w:tblPr>
        <w:tblW w:w="0" w:type="auto"/>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20"/>
        <w:gridCol w:w="1953"/>
        <w:gridCol w:w="6908"/>
      </w:tblGrid>
      <w:tr w:rsidR="000A6C5D" w:rsidRPr="0041608E" w:rsidTr="002F3492">
        <w:tc>
          <w:tcPr>
            <w:tcW w:w="9281" w:type="dxa"/>
            <w:gridSpan w:val="3"/>
            <w:tcBorders>
              <w:top w:val="outset" w:sz="6" w:space="0" w:color="auto"/>
              <w:bottom w:val="outset" w:sz="6" w:space="0" w:color="auto"/>
            </w:tcBorders>
          </w:tcPr>
          <w:p w:rsidR="000A6C5D" w:rsidRPr="0041608E" w:rsidRDefault="000A6C5D" w:rsidP="00F15474">
            <w:pPr>
              <w:jc w:val="center"/>
              <w:rPr>
                <w:b/>
                <w:sz w:val="28"/>
                <w:szCs w:val="28"/>
              </w:rPr>
            </w:pPr>
            <w:r w:rsidRPr="0041608E">
              <w:rPr>
                <w:b/>
                <w:bCs/>
                <w:sz w:val="28"/>
                <w:szCs w:val="28"/>
              </w:rPr>
              <w:t>I. Tiesību akta projekta izstrādes nepieciešamība</w:t>
            </w:r>
          </w:p>
        </w:tc>
      </w:tr>
      <w:tr w:rsidR="002F3492" w:rsidRPr="0041608E" w:rsidTr="00FC3C98">
        <w:trPr>
          <w:trHeight w:val="2119"/>
        </w:trPr>
        <w:tc>
          <w:tcPr>
            <w:tcW w:w="420" w:type="dxa"/>
            <w:tcBorders>
              <w:top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1.</w:t>
            </w:r>
          </w:p>
        </w:tc>
        <w:tc>
          <w:tcPr>
            <w:tcW w:w="1953" w:type="dxa"/>
            <w:tcBorders>
              <w:top w:val="outset" w:sz="6" w:space="0" w:color="auto"/>
              <w:left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Pamatojums</w:t>
            </w:r>
          </w:p>
        </w:tc>
        <w:tc>
          <w:tcPr>
            <w:tcW w:w="6908" w:type="dxa"/>
            <w:tcBorders>
              <w:top w:val="outset" w:sz="6" w:space="0" w:color="auto"/>
              <w:left w:val="outset" w:sz="6" w:space="0" w:color="auto"/>
              <w:bottom w:val="outset" w:sz="6" w:space="0" w:color="auto"/>
            </w:tcBorders>
          </w:tcPr>
          <w:p w:rsidR="00826E51" w:rsidRPr="0041608E" w:rsidRDefault="00EB486D" w:rsidP="00FC3C98">
            <w:pPr>
              <w:jc w:val="both"/>
              <w:rPr>
                <w:sz w:val="28"/>
                <w:szCs w:val="28"/>
              </w:rPr>
            </w:pPr>
            <w:r>
              <w:rPr>
                <w:sz w:val="28"/>
                <w:szCs w:val="28"/>
              </w:rPr>
              <w:t>Ministru kabineta i</w:t>
            </w:r>
            <w:r w:rsidR="0041608E" w:rsidRPr="0041608E">
              <w:rPr>
                <w:sz w:val="28"/>
                <w:szCs w:val="28"/>
              </w:rPr>
              <w:t xml:space="preserve">nstrukcijas </w:t>
            </w:r>
            <w:r w:rsidR="00FE5F20" w:rsidRPr="0041608E">
              <w:rPr>
                <w:sz w:val="28"/>
                <w:szCs w:val="28"/>
              </w:rPr>
              <w:t xml:space="preserve">projekts </w:t>
            </w:r>
            <w:r w:rsidRPr="00EB486D">
              <w:rPr>
                <w:sz w:val="28"/>
                <w:szCs w:val="28"/>
              </w:rPr>
              <w:t>„Grozījumi Ministru kabineta 2009.gada 20.janvāra instrukcijā Nr.2 „Kārtība, kādā valsts budžeta iestādes sagatavo un apstiprina valsts budžeta programmu, apakšprogrammu un pasākumu tāmes kārtējam gadam””</w:t>
            </w:r>
            <w:r>
              <w:rPr>
                <w:sz w:val="28"/>
                <w:szCs w:val="28"/>
              </w:rPr>
              <w:t xml:space="preserve"> (turpmāk – instrukcijas projekts) </w:t>
            </w:r>
            <w:r w:rsidR="00FE5F20" w:rsidRPr="0041608E">
              <w:rPr>
                <w:sz w:val="28"/>
                <w:szCs w:val="28"/>
              </w:rPr>
              <w:t>sagatavots pēc Finanšu ministrijas iniciatīvas.</w:t>
            </w:r>
          </w:p>
        </w:tc>
      </w:tr>
      <w:tr w:rsidR="002F3492" w:rsidRPr="0041608E" w:rsidTr="00FC3C98">
        <w:trPr>
          <w:trHeight w:val="725"/>
        </w:trPr>
        <w:tc>
          <w:tcPr>
            <w:tcW w:w="420" w:type="dxa"/>
            <w:tcBorders>
              <w:top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2.</w:t>
            </w:r>
          </w:p>
        </w:tc>
        <w:tc>
          <w:tcPr>
            <w:tcW w:w="1953" w:type="dxa"/>
            <w:tcBorders>
              <w:top w:val="outset" w:sz="6" w:space="0" w:color="auto"/>
              <w:left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Pašreizējā situācija un problēmas</w:t>
            </w:r>
          </w:p>
        </w:tc>
        <w:tc>
          <w:tcPr>
            <w:tcW w:w="6908" w:type="dxa"/>
            <w:tcBorders>
              <w:top w:val="outset" w:sz="6" w:space="0" w:color="auto"/>
              <w:left w:val="outset" w:sz="6" w:space="0" w:color="auto"/>
              <w:bottom w:val="outset" w:sz="6" w:space="0" w:color="auto"/>
            </w:tcBorders>
          </w:tcPr>
          <w:p w:rsidR="00171FB0" w:rsidRPr="00171FB0" w:rsidRDefault="00171FB0" w:rsidP="00BF7FCA">
            <w:pPr>
              <w:spacing w:after="120"/>
              <w:jc w:val="both"/>
              <w:rPr>
                <w:sz w:val="28"/>
                <w:szCs w:val="28"/>
              </w:rPr>
            </w:pPr>
            <w:r>
              <w:rPr>
                <w:sz w:val="28"/>
                <w:szCs w:val="28"/>
              </w:rPr>
              <w:t>1. </w:t>
            </w:r>
            <w:r w:rsidRPr="00171FB0">
              <w:rPr>
                <w:sz w:val="28"/>
                <w:szCs w:val="28"/>
              </w:rPr>
              <w:t>Ministru kabineta 2009.gada 20.janvāra instrukcij</w:t>
            </w:r>
            <w:r w:rsidR="00243BC9">
              <w:rPr>
                <w:sz w:val="28"/>
                <w:szCs w:val="28"/>
              </w:rPr>
              <w:t>ā</w:t>
            </w:r>
            <w:r w:rsidRPr="00171FB0">
              <w:rPr>
                <w:sz w:val="28"/>
                <w:szCs w:val="28"/>
              </w:rPr>
              <w:t xml:space="preserve"> Nr.2 „Kārtība, kādā valsts budžeta iestādes sagatavo un apstiprina valsts budžeta programmu, apakšprogrammu un pasākumu tāmes kārtējam gadam” (turpmāk – instrukcija Nr.2)</w:t>
            </w:r>
            <w:r w:rsidR="00243BC9">
              <w:rPr>
                <w:sz w:val="28"/>
                <w:szCs w:val="28"/>
              </w:rPr>
              <w:t xml:space="preserve"> teksta daļā, kā arī </w:t>
            </w:r>
            <w:r w:rsidR="00F65345">
              <w:rPr>
                <w:sz w:val="28"/>
                <w:szCs w:val="28"/>
              </w:rPr>
              <w:t>1., 2. un 3.pielikumā tiek lietota terminoloģija „Resursi izdevumu segšanai (ieņēmumi)”</w:t>
            </w:r>
            <w:r w:rsidR="00A1271A">
              <w:rPr>
                <w:sz w:val="28"/>
                <w:szCs w:val="28"/>
              </w:rPr>
              <w:t>, kas neatbilst citiem normatīvajiem aktiem</w:t>
            </w:r>
            <w:r w:rsidR="00F65345">
              <w:rPr>
                <w:sz w:val="28"/>
                <w:szCs w:val="28"/>
              </w:rPr>
              <w:t xml:space="preserve">. </w:t>
            </w:r>
            <w:r w:rsidR="00A1271A">
              <w:rPr>
                <w:sz w:val="28"/>
                <w:szCs w:val="28"/>
              </w:rPr>
              <w:t xml:space="preserve">Piemēram, atbilstoši </w:t>
            </w:r>
            <w:r w:rsidR="00F65345">
              <w:rPr>
                <w:sz w:val="28"/>
                <w:szCs w:val="28"/>
              </w:rPr>
              <w:t>Ministru kabineta 2012.gada 31.jūlija noteikum</w:t>
            </w:r>
            <w:r w:rsidR="00A1271A">
              <w:rPr>
                <w:sz w:val="28"/>
                <w:szCs w:val="28"/>
              </w:rPr>
              <w:t>u</w:t>
            </w:r>
            <w:r w:rsidR="00F65345">
              <w:rPr>
                <w:sz w:val="28"/>
                <w:szCs w:val="28"/>
              </w:rPr>
              <w:t xml:space="preserve"> Nr.</w:t>
            </w:r>
            <w:r w:rsidR="00A1271A">
              <w:rPr>
                <w:sz w:val="28"/>
                <w:szCs w:val="28"/>
              </w:rPr>
              <w:t>523</w:t>
            </w:r>
            <w:r w:rsidR="00F65345">
              <w:rPr>
                <w:sz w:val="28"/>
                <w:szCs w:val="28"/>
              </w:rPr>
              <w:t xml:space="preserve"> </w:t>
            </w:r>
            <w:r>
              <w:rPr>
                <w:sz w:val="28"/>
                <w:szCs w:val="28"/>
              </w:rPr>
              <w:t xml:space="preserve"> </w:t>
            </w:r>
            <w:r w:rsidR="00F65345">
              <w:rPr>
                <w:sz w:val="28"/>
                <w:szCs w:val="28"/>
              </w:rPr>
              <w:t>„</w:t>
            </w:r>
            <w:r w:rsidR="00F65345" w:rsidRPr="00F65345">
              <w:rPr>
                <w:sz w:val="28"/>
                <w:szCs w:val="28"/>
              </w:rPr>
              <w:t>Noteikumi par budžeta pieprasījumu izstrādāšanas un iesniegšanas pamatprincipiem</w:t>
            </w:r>
            <w:r w:rsidR="00F65345">
              <w:rPr>
                <w:sz w:val="28"/>
                <w:szCs w:val="28"/>
              </w:rPr>
              <w:t>”</w:t>
            </w:r>
            <w:r w:rsidR="00A1271A">
              <w:rPr>
                <w:sz w:val="28"/>
                <w:szCs w:val="28"/>
              </w:rPr>
              <w:t xml:space="preserve">  24. un 39.punktam attiecībā uz valsts pamatbudžetu tiek lietots termins „resursi izdevumu segšanai”, bet valsts sociālās apdrošināšanas speciālā budžeta gadījumā </w:t>
            </w:r>
            <w:r w:rsidR="00243BC9">
              <w:rPr>
                <w:sz w:val="28"/>
                <w:szCs w:val="28"/>
              </w:rPr>
              <w:t xml:space="preserve">piemērojams </w:t>
            </w:r>
            <w:r w:rsidR="00A1271A">
              <w:rPr>
                <w:sz w:val="28"/>
                <w:szCs w:val="28"/>
              </w:rPr>
              <w:t>termins „ieņēmumi”.</w:t>
            </w:r>
          </w:p>
          <w:p w:rsidR="00386531" w:rsidRDefault="00171FB0" w:rsidP="00386531">
            <w:pPr>
              <w:jc w:val="both"/>
              <w:rPr>
                <w:sz w:val="28"/>
                <w:szCs w:val="28"/>
              </w:rPr>
            </w:pPr>
            <w:r>
              <w:rPr>
                <w:sz w:val="28"/>
                <w:szCs w:val="28"/>
              </w:rPr>
              <w:t>2</w:t>
            </w:r>
            <w:r w:rsidR="005B48D4">
              <w:rPr>
                <w:sz w:val="28"/>
                <w:szCs w:val="28"/>
              </w:rPr>
              <w:t>. </w:t>
            </w:r>
            <w:r w:rsidR="007E4052">
              <w:rPr>
                <w:sz w:val="28"/>
                <w:szCs w:val="28"/>
              </w:rPr>
              <w:t>I</w:t>
            </w:r>
            <w:r w:rsidR="00227BC7">
              <w:rPr>
                <w:sz w:val="28"/>
                <w:szCs w:val="28"/>
              </w:rPr>
              <w:t>nstrukcija</w:t>
            </w:r>
            <w:r w:rsidR="007E4052">
              <w:rPr>
                <w:sz w:val="28"/>
                <w:szCs w:val="28"/>
              </w:rPr>
              <w:t>s</w:t>
            </w:r>
            <w:r w:rsidR="00227BC7">
              <w:rPr>
                <w:sz w:val="28"/>
                <w:szCs w:val="28"/>
              </w:rPr>
              <w:t xml:space="preserve"> Nr.2</w:t>
            </w:r>
            <w:r w:rsidR="007E4052">
              <w:rPr>
                <w:sz w:val="28"/>
                <w:szCs w:val="28"/>
              </w:rPr>
              <w:t xml:space="preserve"> </w:t>
            </w:r>
            <w:r w:rsidR="00227BC7" w:rsidRPr="00227BC7">
              <w:rPr>
                <w:sz w:val="28"/>
                <w:szCs w:val="28"/>
              </w:rPr>
              <w:t xml:space="preserve"> </w:t>
            </w:r>
            <w:r w:rsidR="00C23CA4" w:rsidRPr="0041608E">
              <w:rPr>
                <w:sz w:val="28"/>
                <w:szCs w:val="28"/>
              </w:rPr>
              <w:t>4.punkts nosaka</w:t>
            </w:r>
            <w:r w:rsidR="00FE5F20" w:rsidRPr="0041608E">
              <w:rPr>
                <w:sz w:val="28"/>
                <w:szCs w:val="28"/>
              </w:rPr>
              <w:t>: „</w:t>
            </w:r>
            <w:r w:rsidR="00FE5F20" w:rsidRPr="00571F35">
              <w:rPr>
                <w:i/>
                <w:sz w:val="28"/>
                <w:szCs w:val="28"/>
              </w:rPr>
              <w:t>T</w:t>
            </w:r>
            <w:r w:rsidR="00C23CA4" w:rsidRPr="00571F35">
              <w:rPr>
                <w:i/>
                <w:sz w:val="28"/>
                <w:szCs w:val="28"/>
              </w:rPr>
              <w:t xml:space="preserve">āmes kodus un kodu nosaukumus piemēro saskaņā ar normatīvajiem aktiem par budžeta ieņēmumu, izdevumu (atbilstoši ekonomiskajām kategorijām) un finansēšanas klasifikācijām. </w:t>
            </w:r>
            <w:r w:rsidR="00FE5F20" w:rsidRPr="00571F35">
              <w:rPr>
                <w:i/>
                <w:sz w:val="28"/>
                <w:szCs w:val="28"/>
              </w:rPr>
              <w:t>Ja nepieciešams, tāmi var papildināt ar kodiem un kodu nosaukumiem, kas nepieciešami ieņēmumu un izdevumu plānošanas un uzskaites nodrošināšanai.</w:t>
            </w:r>
            <w:r w:rsidR="00FE5F20" w:rsidRPr="0041608E">
              <w:rPr>
                <w:sz w:val="28"/>
                <w:szCs w:val="28"/>
              </w:rPr>
              <w:t>”.</w:t>
            </w:r>
            <w:r w:rsidR="00571F35">
              <w:rPr>
                <w:sz w:val="28"/>
                <w:szCs w:val="28"/>
              </w:rPr>
              <w:t xml:space="preserve"> </w:t>
            </w:r>
            <w:r w:rsidR="00C23CA4" w:rsidRPr="0041608E">
              <w:rPr>
                <w:sz w:val="28"/>
                <w:szCs w:val="28"/>
              </w:rPr>
              <w:t xml:space="preserve">Līdz ar to </w:t>
            </w:r>
            <w:r w:rsidR="00FA08E8">
              <w:rPr>
                <w:sz w:val="28"/>
                <w:szCs w:val="28"/>
              </w:rPr>
              <w:t xml:space="preserve">valsts </w:t>
            </w:r>
            <w:r w:rsidR="00C23CA4" w:rsidRPr="0041608E">
              <w:rPr>
                <w:sz w:val="28"/>
                <w:szCs w:val="28"/>
              </w:rPr>
              <w:t xml:space="preserve">budžeta iestādēm tāmju sagatavošanā tāmju kodu nosaukumiem ir </w:t>
            </w:r>
            <w:r w:rsidR="00FA08E8">
              <w:rPr>
                <w:sz w:val="28"/>
                <w:szCs w:val="28"/>
              </w:rPr>
              <w:t>jā</w:t>
            </w:r>
            <w:r w:rsidR="00C23CA4" w:rsidRPr="0041608E">
              <w:rPr>
                <w:sz w:val="28"/>
                <w:szCs w:val="28"/>
              </w:rPr>
              <w:t>piemēro spēkā esoš</w:t>
            </w:r>
            <w:r w:rsidR="000743CB">
              <w:rPr>
                <w:sz w:val="28"/>
                <w:szCs w:val="28"/>
              </w:rPr>
              <w:t>ā</w:t>
            </w:r>
            <w:r w:rsidR="00C23CA4" w:rsidRPr="0041608E">
              <w:rPr>
                <w:sz w:val="28"/>
                <w:szCs w:val="28"/>
              </w:rPr>
              <w:t>s budžet</w:t>
            </w:r>
            <w:r w:rsidR="00EB486D">
              <w:rPr>
                <w:sz w:val="28"/>
                <w:szCs w:val="28"/>
              </w:rPr>
              <w:t>u</w:t>
            </w:r>
            <w:r w:rsidR="00C23CA4" w:rsidRPr="0041608E">
              <w:rPr>
                <w:sz w:val="28"/>
                <w:szCs w:val="28"/>
              </w:rPr>
              <w:t xml:space="preserve"> ieņēmumu, </w:t>
            </w:r>
            <w:r w:rsidR="00B8534B">
              <w:rPr>
                <w:sz w:val="28"/>
                <w:szCs w:val="28"/>
              </w:rPr>
              <w:t xml:space="preserve">budžetu </w:t>
            </w:r>
            <w:r w:rsidR="00C23CA4" w:rsidRPr="0041608E">
              <w:rPr>
                <w:sz w:val="28"/>
                <w:szCs w:val="28"/>
              </w:rPr>
              <w:t>izdevumu ekonomisk</w:t>
            </w:r>
            <w:r w:rsidR="00B8534B">
              <w:rPr>
                <w:sz w:val="28"/>
                <w:szCs w:val="28"/>
              </w:rPr>
              <w:t>o</w:t>
            </w:r>
            <w:r w:rsidR="00C23CA4" w:rsidRPr="0041608E">
              <w:rPr>
                <w:sz w:val="28"/>
                <w:szCs w:val="28"/>
              </w:rPr>
              <w:t xml:space="preserve"> kategorij</w:t>
            </w:r>
            <w:r w:rsidR="00B8534B">
              <w:rPr>
                <w:sz w:val="28"/>
                <w:szCs w:val="28"/>
              </w:rPr>
              <w:t>u</w:t>
            </w:r>
            <w:r w:rsidR="00C23CA4" w:rsidRPr="0041608E">
              <w:rPr>
                <w:sz w:val="28"/>
                <w:szCs w:val="28"/>
              </w:rPr>
              <w:t xml:space="preserve"> un </w:t>
            </w:r>
            <w:r w:rsidR="00B8534B">
              <w:rPr>
                <w:sz w:val="28"/>
                <w:szCs w:val="28"/>
              </w:rPr>
              <w:t xml:space="preserve">budžetu </w:t>
            </w:r>
            <w:r w:rsidR="00C23CA4" w:rsidRPr="0041608E">
              <w:rPr>
                <w:sz w:val="28"/>
                <w:szCs w:val="28"/>
              </w:rPr>
              <w:t>finansēšanas klasifikācijā noteiktās</w:t>
            </w:r>
            <w:r w:rsidR="00227BC7">
              <w:rPr>
                <w:sz w:val="28"/>
                <w:szCs w:val="28"/>
              </w:rPr>
              <w:t xml:space="preserve"> klasifikācijas kodu</w:t>
            </w:r>
            <w:r w:rsidR="00C23CA4" w:rsidRPr="0041608E">
              <w:rPr>
                <w:sz w:val="28"/>
                <w:szCs w:val="28"/>
              </w:rPr>
              <w:t xml:space="preserve"> redakcijas</w:t>
            </w:r>
            <w:r w:rsidR="00C151AB">
              <w:rPr>
                <w:sz w:val="28"/>
                <w:szCs w:val="28"/>
              </w:rPr>
              <w:t>, taču instrukcijā Nr.2 nav pietiekami skaidri noteikts piemērojamais minēto klasifikāciju kodu detalizācijas līmenis</w:t>
            </w:r>
            <w:r w:rsidR="00C23CA4" w:rsidRPr="0041608E">
              <w:rPr>
                <w:sz w:val="28"/>
                <w:szCs w:val="28"/>
              </w:rPr>
              <w:t>.</w:t>
            </w:r>
            <w:r w:rsidR="00BF60A3">
              <w:rPr>
                <w:sz w:val="28"/>
                <w:szCs w:val="28"/>
              </w:rPr>
              <w:t xml:space="preserve"> </w:t>
            </w:r>
            <w:r w:rsidR="00C23CA4" w:rsidRPr="0041608E">
              <w:rPr>
                <w:sz w:val="28"/>
                <w:szCs w:val="28"/>
              </w:rPr>
              <w:t xml:space="preserve"> </w:t>
            </w:r>
          </w:p>
          <w:p w:rsidR="00817D67" w:rsidRDefault="00C151AB" w:rsidP="00817D67">
            <w:pPr>
              <w:spacing w:after="120"/>
              <w:jc w:val="both"/>
              <w:rPr>
                <w:sz w:val="28"/>
                <w:szCs w:val="28"/>
              </w:rPr>
            </w:pPr>
            <w:r>
              <w:rPr>
                <w:sz w:val="28"/>
                <w:szCs w:val="28"/>
              </w:rPr>
              <w:lastRenderedPageBreak/>
              <w:t xml:space="preserve">Tāpat </w:t>
            </w:r>
            <w:r w:rsidR="001C7C63">
              <w:rPr>
                <w:sz w:val="28"/>
                <w:szCs w:val="28"/>
              </w:rPr>
              <w:t xml:space="preserve">regulāri </w:t>
            </w:r>
            <w:r w:rsidR="005B48D4">
              <w:rPr>
                <w:sz w:val="28"/>
                <w:szCs w:val="28"/>
              </w:rPr>
              <w:t>v</w:t>
            </w:r>
            <w:r w:rsidR="00D83A41" w:rsidRPr="005B48D4">
              <w:rPr>
                <w:sz w:val="28"/>
                <w:szCs w:val="28"/>
              </w:rPr>
              <w:t xml:space="preserve">eicot grozījumus </w:t>
            </w:r>
            <w:r w:rsidR="00FA08E8" w:rsidRPr="005B48D4">
              <w:rPr>
                <w:sz w:val="28"/>
                <w:szCs w:val="28"/>
              </w:rPr>
              <w:t>Ministru kabineta 2005.gada 27.decembra noteikumu Nr.1032 "Noteikumu par budžetu ieņēmumu klasifikāciju"</w:t>
            </w:r>
            <w:r w:rsidR="00FA08E8">
              <w:rPr>
                <w:sz w:val="28"/>
                <w:szCs w:val="28"/>
              </w:rPr>
              <w:t xml:space="preserve">, </w:t>
            </w:r>
            <w:r w:rsidR="00D83A41" w:rsidRPr="005B48D4">
              <w:rPr>
                <w:sz w:val="28"/>
                <w:szCs w:val="28"/>
              </w:rPr>
              <w:t xml:space="preserve">Ministru kabineta 2005.gada 27.decembra noteikumu Nr.1031 "Noteikumi par budžetu izdevumu klasifikāciju atbilstoši ekonomiskajām kategorijām" </w:t>
            </w:r>
            <w:r w:rsidR="00DE2EC6">
              <w:rPr>
                <w:sz w:val="28"/>
                <w:szCs w:val="28"/>
              </w:rPr>
              <w:t>un Ministru kabineta 2005.gada 22.novembra noteikumu Nr.875 „Noteikumi par budžetu finansēšanas klasifikāciju”</w:t>
            </w:r>
            <w:r w:rsidR="00D83A41" w:rsidRPr="005B48D4">
              <w:rPr>
                <w:sz w:val="28"/>
                <w:szCs w:val="28"/>
              </w:rPr>
              <w:t xml:space="preserve"> klasifikācijas kodos, </w:t>
            </w:r>
            <w:r w:rsidR="00AF3644">
              <w:rPr>
                <w:sz w:val="28"/>
                <w:szCs w:val="28"/>
              </w:rPr>
              <w:t>var būt</w:t>
            </w:r>
            <w:r w:rsidR="00D83A41" w:rsidRPr="005B48D4">
              <w:rPr>
                <w:sz w:val="28"/>
                <w:szCs w:val="28"/>
              </w:rPr>
              <w:t xml:space="preserve"> nepieciešams vienlaicīgi veikt </w:t>
            </w:r>
            <w:r w:rsidR="001C7C63">
              <w:rPr>
                <w:sz w:val="28"/>
                <w:szCs w:val="28"/>
              </w:rPr>
              <w:t xml:space="preserve">arī </w:t>
            </w:r>
            <w:r w:rsidR="00D83A41" w:rsidRPr="005B48D4">
              <w:rPr>
                <w:sz w:val="28"/>
                <w:szCs w:val="28"/>
              </w:rPr>
              <w:t>tehniskos grozījumus instrukcijas Nr.2 pielikumos</w:t>
            </w:r>
            <w:r w:rsidR="00386531">
              <w:rPr>
                <w:sz w:val="28"/>
                <w:szCs w:val="28"/>
              </w:rPr>
              <w:t>, ņemot vērā, ka tajos ir ietverti noteikti minēto klasifikāciju kodi un to nosaukumi</w:t>
            </w:r>
            <w:r w:rsidR="00AC04BE">
              <w:rPr>
                <w:sz w:val="28"/>
                <w:szCs w:val="28"/>
              </w:rPr>
              <w:t xml:space="preserve">, kurus nepieciešams </w:t>
            </w:r>
            <w:r w:rsidR="00817D67">
              <w:rPr>
                <w:sz w:val="28"/>
                <w:szCs w:val="28"/>
              </w:rPr>
              <w:t xml:space="preserve">savstarpēji </w:t>
            </w:r>
            <w:r w:rsidR="00AC04BE">
              <w:rPr>
                <w:sz w:val="28"/>
                <w:szCs w:val="28"/>
              </w:rPr>
              <w:t>saskaņot</w:t>
            </w:r>
            <w:r w:rsidR="00D83A41" w:rsidRPr="005B48D4">
              <w:rPr>
                <w:sz w:val="28"/>
                <w:szCs w:val="28"/>
              </w:rPr>
              <w:t>.</w:t>
            </w:r>
            <w:r w:rsidR="00386531">
              <w:rPr>
                <w:sz w:val="28"/>
                <w:szCs w:val="28"/>
              </w:rPr>
              <w:t xml:space="preserve"> </w:t>
            </w:r>
            <w:r w:rsidR="00B8534B">
              <w:rPr>
                <w:sz w:val="28"/>
                <w:szCs w:val="28"/>
              </w:rPr>
              <w:t>Līdz ar to</w:t>
            </w:r>
            <w:r w:rsidR="00386531">
              <w:rPr>
                <w:sz w:val="28"/>
                <w:szCs w:val="28"/>
              </w:rPr>
              <w:t>, lai mazinātu  administratīvo slogu</w:t>
            </w:r>
            <w:r w:rsidR="00BF60A3">
              <w:rPr>
                <w:sz w:val="28"/>
                <w:szCs w:val="28"/>
              </w:rPr>
              <w:t xml:space="preserve"> turpmāk</w:t>
            </w:r>
            <w:r w:rsidR="00386531">
              <w:rPr>
                <w:sz w:val="28"/>
                <w:szCs w:val="28"/>
              </w:rPr>
              <w:t xml:space="preserve">, </w:t>
            </w:r>
            <w:r w:rsidR="0088618A">
              <w:rPr>
                <w:sz w:val="28"/>
                <w:szCs w:val="28"/>
              </w:rPr>
              <w:t xml:space="preserve">kā arī vienlaicīgi novērstu </w:t>
            </w:r>
            <w:r w:rsidR="007D45EC">
              <w:rPr>
                <w:sz w:val="28"/>
                <w:szCs w:val="28"/>
              </w:rPr>
              <w:t xml:space="preserve">atsevišķas </w:t>
            </w:r>
            <w:r w:rsidR="0088618A">
              <w:rPr>
                <w:sz w:val="28"/>
                <w:szCs w:val="28"/>
              </w:rPr>
              <w:t>pašreizējās neatbilstības instrukcijas nr.2 pielikumos</w:t>
            </w:r>
            <w:r w:rsidR="00BF60A3">
              <w:rPr>
                <w:sz w:val="28"/>
                <w:szCs w:val="28"/>
              </w:rPr>
              <w:t xml:space="preserve"> saistībā ar klasifikācijas kod</w:t>
            </w:r>
            <w:r>
              <w:rPr>
                <w:sz w:val="28"/>
                <w:szCs w:val="28"/>
              </w:rPr>
              <w:t>u redakcijām</w:t>
            </w:r>
            <w:r w:rsidR="0088618A">
              <w:rPr>
                <w:sz w:val="28"/>
                <w:szCs w:val="28"/>
              </w:rPr>
              <w:t xml:space="preserve">, </w:t>
            </w:r>
            <w:r w:rsidR="00386531">
              <w:rPr>
                <w:sz w:val="28"/>
                <w:szCs w:val="28"/>
              </w:rPr>
              <w:t>nepieciešams uzlabot instrukcijas Nr.2 pielikumus</w:t>
            </w:r>
            <w:r w:rsidR="0088618A">
              <w:rPr>
                <w:sz w:val="28"/>
                <w:szCs w:val="28"/>
              </w:rPr>
              <w:t xml:space="preserve">. </w:t>
            </w:r>
          </w:p>
          <w:p w:rsidR="004A2F94" w:rsidRPr="0041608E" w:rsidRDefault="00171FB0" w:rsidP="00B8534B">
            <w:pPr>
              <w:jc w:val="both"/>
              <w:rPr>
                <w:sz w:val="28"/>
                <w:szCs w:val="28"/>
              </w:rPr>
            </w:pPr>
            <w:r>
              <w:rPr>
                <w:sz w:val="28"/>
                <w:szCs w:val="28"/>
              </w:rPr>
              <w:t>3</w:t>
            </w:r>
            <w:r w:rsidR="005B48D4">
              <w:rPr>
                <w:sz w:val="28"/>
                <w:szCs w:val="28"/>
              </w:rPr>
              <w:t>. Instrukcijas Nr.2</w:t>
            </w:r>
            <w:r w:rsidR="003F4D03">
              <w:rPr>
                <w:sz w:val="28"/>
                <w:szCs w:val="28"/>
              </w:rPr>
              <w:t xml:space="preserve"> </w:t>
            </w:r>
            <w:r w:rsidR="00655059">
              <w:rPr>
                <w:sz w:val="28"/>
                <w:szCs w:val="28"/>
              </w:rPr>
              <w:t xml:space="preserve"> 10.punkt</w:t>
            </w:r>
            <w:r w:rsidR="00BF38F8">
              <w:rPr>
                <w:sz w:val="28"/>
                <w:szCs w:val="28"/>
              </w:rPr>
              <w:t>a pirmais teikums</w:t>
            </w:r>
            <w:r w:rsidR="005B48D4">
              <w:rPr>
                <w:sz w:val="28"/>
                <w:szCs w:val="28"/>
              </w:rPr>
              <w:t xml:space="preserve"> </w:t>
            </w:r>
            <w:r w:rsidR="00655059">
              <w:rPr>
                <w:sz w:val="28"/>
                <w:szCs w:val="28"/>
              </w:rPr>
              <w:t>nosaka: „</w:t>
            </w:r>
            <w:r w:rsidR="005B48D4" w:rsidRPr="00655059">
              <w:rPr>
                <w:i/>
                <w:sz w:val="28"/>
                <w:szCs w:val="28"/>
              </w:rPr>
              <w:t>Valsts budžeta likuma programmai "Apropriācijas rezerve", programmai "Līdzekļi neparedzētiem gadījumiem" un programmai "Nesadalītais finansējums Eiropas Savienības politiku instrumentu un pārējās ārvalstu finanšu palīdzības līdzfinansēto projektu un pasākumu īstenošanai" tāmi nesagatavo</w:t>
            </w:r>
            <w:r w:rsidR="005B48D4">
              <w:rPr>
                <w:sz w:val="28"/>
                <w:szCs w:val="28"/>
              </w:rPr>
              <w:t>.</w:t>
            </w:r>
            <w:r w:rsidR="00655059">
              <w:rPr>
                <w:sz w:val="28"/>
                <w:szCs w:val="28"/>
              </w:rPr>
              <w:t>”.</w:t>
            </w:r>
            <w:r w:rsidR="005B48D4">
              <w:rPr>
                <w:sz w:val="28"/>
                <w:szCs w:val="28"/>
              </w:rPr>
              <w:t xml:space="preserve"> </w:t>
            </w:r>
            <w:r w:rsidR="00655059">
              <w:rPr>
                <w:sz w:val="28"/>
                <w:szCs w:val="28"/>
              </w:rPr>
              <w:t xml:space="preserve">Minētās </w:t>
            </w:r>
            <w:r w:rsidR="005B48D4">
              <w:rPr>
                <w:sz w:val="28"/>
                <w:szCs w:val="28"/>
              </w:rPr>
              <w:t xml:space="preserve">budžeta programmas tiek ietvertas </w:t>
            </w:r>
            <w:r w:rsidR="005B48D4" w:rsidRPr="005B48D4">
              <w:rPr>
                <w:sz w:val="28"/>
                <w:szCs w:val="28"/>
              </w:rPr>
              <w:t>74.budžeta resorā “Gadskārtējā valsts budžeta izpildes procesā pārdalāmais finansējums”</w:t>
            </w:r>
            <w:r w:rsidR="00655059">
              <w:rPr>
                <w:sz w:val="28"/>
                <w:szCs w:val="28"/>
              </w:rPr>
              <w:t xml:space="preserve"> (turpmāk – 74.budžeta resors)</w:t>
            </w:r>
            <w:r w:rsidR="005B48D4">
              <w:rPr>
                <w:sz w:val="28"/>
                <w:szCs w:val="28"/>
              </w:rPr>
              <w:t xml:space="preserve">. Ievērojot, ka </w:t>
            </w:r>
            <w:r w:rsidR="00655059">
              <w:rPr>
                <w:sz w:val="28"/>
                <w:szCs w:val="28"/>
              </w:rPr>
              <w:t xml:space="preserve">74.budžeta </w:t>
            </w:r>
            <w:r w:rsidR="005B48D4">
              <w:rPr>
                <w:sz w:val="28"/>
                <w:szCs w:val="28"/>
              </w:rPr>
              <w:t>resor</w:t>
            </w:r>
            <w:r w:rsidR="00B8534B">
              <w:rPr>
                <w:sz w:val="28"/>
                <w:szCs w:val="28"/>
              </w:rPr>
              <w:t>s</w:t>
            </w:r>
            <w:r w:rsidR="005B48D4">
              <w:rPr>
                <w:sz w:val="28"/>
                <w:szCs w:val="28"/>
              </w:rPr>
              <w:t xml:space="preserve"> ir </w:t>
            </w:r>
            <w:r w:rsidR="000743CB">
              <w:rPr>
                <w:sz w:val="28"/>
                <w:szCs w:val="28"/>
              </w:rPr>
              <w:t>papildināt</w:t>
            </w:r>
            <w:r w:rsidR="00B8534B">
              <w:rPr>
                <w:sz w:val="28"/>
                <w:szCs w:val="28"/>
              </w:rPr>
              <w:t>s</w:t>
            </w:r>
            <w:r w:rsidR="000743CB">
              <w:rPr>
                <w:sz w:val="28"/>
                <w:szCs w:val="28"/>
              </w:rPr>
              <w:t xml:space="preserve"> ar </w:t>
            </w:r>
            <w:r w:rsidR="005B48D4">
              <w:rPr>
                <w:sz w:val="28"/>
                <w:szCs w:val="28"/>
              </w:rPr>
              <w:t xml:space="preserve"> jaun</w:t>
            </w:r>
            <w:r w:rsidR="000743CB">
              <w:rPr>
                <w:sz w:val="28"/>
                <w:szCs w:val="28"/>
              </w:rPr>
              <w:t>u</w:t>
            </w:r>
            <w:r w:rsidR="005B48D4">
              <w:rPr>
                <w:sz w:val="28"/>
                <w:szCs w:val="28"/>
              </w:rPr>
              <w:t xml:space="preserve"> </w:t>
            </w:r>
            <w:r w:rsidR="00BF38F8">
              <w:rPr>
                <w:sz w:val="28"/>
                <w:szCs w:val="28"/>
              </w:rPr>
              <w:t xml:space="preserve">budžeta </w:t>
            </w:r>
            <w:r w:rsidR="005B48D4">
              <w:rPr>
                <w:sz w:val="28"/>
                <w:szCs w:val="28"/>
              </w:rPr>
              <w:t>programm</w:t>
            </w:r>
            <w:r w:rsidR="000743CB">
              <w:rPr>
                <w:sz w:val="28"/>
                <w:szCs w:val="28"/>
              </w:rPr>
              <w:t>u</w:t>
            </w:r>
            <w:r w:rsidR="005B48D4">
              <w:rPr>
                <w:sz w:val="28"/>
                <w:szCs w:val="28"/>
              </w:rPr>
              <w:t xml:space="preserve"> </w:t>
            </w:r>
            <w:r w:rsidR="005B48D4" w:rsidRPr="005B48D4">
              <w:rPr>
                <w:sz w:val="28"/>
                <w:szCs w:val="28"/>
              </w:rPr>
              <w:t>03.00.00  “Latvijas Nacionālā euro ieviešanas plāna pasākumi”</w:t>
            </w:r>
            <w:r w:rsidR="005B48D4">
              <w:rPr>
                <w:sz w:val="28"/>
                <w:szCs w:val="28"/>
              </w:rPr>
              <w:t>,</w:t>
            </w:r>
            <w:r w:rsidR="0056142C">
              <w:rPr>
                <w:sz w:val="28"/>
                <w:szCs w:val="28"/>
              </w:rPr>
              <w:t xml:space="preserve"> kurā paredzētie līdzek</w:t>
            </w:r>
            <w:r w:rsidR="00D63A7C">
              <w:rPr>
                <w:sz w:val="28"/>
                <w:szCs w:val="28"/>
              </w:rPr>
              <w:t>ļi</w:t>
            </w:r>
            <w:r w:rsidR="0056142C">
              <w:rPr>
                <w:sz w:val="28"/>
                <w:szCs w:val="28"/>
              </w:rPr>
              <w:t xml:space="preserve"> </w:t>
            </w:r>
            <w:r w:rsidR="00D63A7C">
              <w:rPr>
                <w:sz w:val="28"/>
                <w:szCs w:val="28"/>
              </w:rPr>
              <w:t xml:space="preserve">budžeta izpildes procesā </w:t>
            </w:r>
            <w:r w:rsidR="0056142C">
              <w:rPr>
                <w:sz w:val="28"/>
                <w:szCs w:val="28"/>
              </w:rPr>
              <w:t>vispirms tik</w:t>
            </w:r>
            <w:r w:rsidR="00D63A7C">
              <w:rPr>
                <w:sz w:val="28"/>
                <w:szCs w:val="28"/>
              </w:rPr>
              <w:t xml:space="preserve">s pārdalīti </w:t>
            </w:r>
            <w:r w:rsidR="0056142C">
              <w:rPr>
                <w:sz w:val="28"/>
                <w:szCs w:val="28"/>
              </w:rPr>
              <w:t xml:space="preserve"> </w:t>
            </w:r>
            <w:r w:rsidR="0056142C" w:rsidRPr="0056142C">
              <w:rPr>
                <w:sz w:val="28"/>
                <w:szCs w:val="28"/>
              </w:rPr>
              <w:t>attiecīgajai ministrijai vai citai centrālajai valsts iestādei</w:t>
            </w:r>
            <w:r w:rsidR="00C151AB">
              <w:rPr>
                <w:sz w:val="28"/>
                <w:szCs w:val="28"/>
              </w:rPr>
              <w:t xml:space="preserve"> uz citu budžeta programmu (apakšprogrammu)</w:t>
            </w:r>
            <w:r w:rsidR="0056142C" w:rsidRPr="0056142C">
              <w:rPr>
                <w:sz w:val="28"/>
                <w:szCs w:val="28"/>
              </w:rPr>
              <w:t>, lai segtu ar Eiropas Savienības vienotās valūtas ieviešanu saistīto pasākumu izdevumus atbilstoši Ministru kabineta lēmumiem</w:t>
            </w:r>
            <w:r w:rsidR="00D63A7C">
              <w:rPr>
                <w:sz w:val="28"/>
                <w:szCs w:val="28"/>
              </w:rPr>
              <w:t xml:space="preserve">, </w:t>
            </w:r>
            <w:r w:rsidR="003F4D03">
              <w:rPr>
                <w:sz w:val="28"/>
                <w:szCs w:val="28"/>
              </w:rPr>
              <w:t xml:space="preserve"> </w:t>
            </w:r>
            <w:r w:rsidR="005B48D4">
              <w:rPr>
                <w:sz w:val="28"/>
                <w:szCs w:val="28"/>
              </w:rPr>
              <w:t xml:space="preserve">nepieciešams precizēt instrukcijas Nr.2 </w:t>
            </w:r>
            <w:r w:rsidR="00655059">
              <w:rPr>
                <w:sz w:val="28"/>
                <w:szCs w:val="28"/>
              </w:rPr>
              <w:t xml:space="preserve"> </w:t>
            </w:r>
            <w:r w:rsidR="005B48D4">
              <w:rPr>
                <w:sz w:val="28"/>
                <w:szCs w:val="28"/>
              </w:rPr>
              <w:t>10.punktu</w:t>
            </w:r>
            <w:r w:rsidR="00D63A7C">
              <w:rPr>
                <w:sz w:val="28"/>
                <w:szCs w:val="28"/>
              </w:rPr>
              <w:t>, lai tā regulējums aptvertu visu 74.budžeta resoru</w:t>
            </w:r>
            <w:r w:rsidR="005B48D4">
              <w:rPr>
                <w:sz w:val="28"/>
                <w:szCs w:val="28"/>
              </w:rPr>
              <w:t>.</w:t>
            </w:r>
          </w:p>
        </w:tc>
      </w:tr>
      <w:tr w:rsidR="002F3492" w:rsidRPr="0041608E" w:rsidTr="00FC3C98">
        <w:trPr>
          <w:trHeight w:val="1292"/>
        </w:trPr>
        <w:tc>
          <w:tcPr>
            <w:tcW w:w="420" w:type="dxa"/>
            <w:tcBorders>
              <w:top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lastRenderedPageBreak/>
              <w:t>3.</w:t>
            </w:r>
          </w:p>
        </w:tc>
        <w:tc>
          <w:tcPr>
            <w:tcW w:w="1953" w:type="dxa"/>
            <w:tcBorders>
              <w:top w:val="outset" w:sz="6" w:space="0" w:color="auto"/>
              <w:left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Saistītie politikas ietekmes novērtējumi un pētījumi</w:t>
            </w:r>
          </w:p>
        </w:tc>
        <w:tc>
          <w:tcPr>
            <w:tcW w:w="6908" w:type="dxa"/>
            <w:tcBorders>
              <w:top w:val="outset" w:sz="6" w:space="0" w:color="auto"/>
              <w:left w:val="outset" w:sz="6" w:space="0" w:color="auto"/>
              <w:bottom w:val="outset" w:sz="6" w:space="0" w:color="auto"/>
            </w:tcBorders>
          </w:tcPr>
          <w:p w:rsidR="00826E51" w:rsidRPr="0041608E" w:rsidRDefault="0041608E" w:rsidP="00EB486D">
            <w:pPr>
              <w:jc w:val="both"/>
              <w:rPr>
                <w:bCs/>
                <w:sz w:val="28"/>
                <w:szCs w:val="28"/>
              </w:rPr>
            </w:pPr>
            <w:r w:rsidRPr="0041608E">
              <w:rPr>
                <w:sz w:val="28"/>
                <w:szCs w:val="28"/>
              </w:rPr>
              <w:t>Projekts šo jomu neskar.</w:t>
            </w:r>
          </w:p>
        </w:tc>
      </w:tr>
      <w:tr w:rsidR="002F3492" w:rsidRPr="0041608E" w:rsidTr="007E4052">
        <w:trPr>
          <w:trHeight w:val="1009"/>
        </w:trPr>
        <w:tc>
          <w:tcPr>
            <w:tcW w:w="420" w:type="dxa"/>
            <w:tcBorders>
              <w:top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lastRenderedPageBreak/>
              <w:t>4.</w:t>
            </w:r>
          </w:p>
        </w:tc>
        <w:tc>
          <w:tcPr>
            <w:tcW w:w="1953" w:type="dxa"/>
            <w:tcBorders>
              <w:top w:val="outset" w:sz="6" w:space="0" w:color="auto"/>
              <w:left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Tiesiskā regulējuma mērķis un būtība</w:t>
            </w:r>
          </w:p>
        </w:tc>
        <w:tc>
          <w:tcPr>
            <w:tcW w:w="6908" w:type="dxa"/>
            <w:tcBorders>
              <w:top w:val="outset" w:sz="6" w:space="0" w:color="auto"/>
              <w:left w:val="outset" w:sz="6" w:space="0" w:color="auto"/>
              <w:bottom w:val="outset" w:sz="6" w:space="0" w:color="auto"/>
            </w:tcBorders>
          </w:tcPr>
          <w:p w:rsidR="003577C8" w:rsidRDefault="00EB486D" w:rsidP="005B48D4">
            <w:pPr>
              <w:jc w:val="both"/>
              <w:rPr>
                <w:sz w:val="28"/>
                <w:szCs w:val="28"/>
              </w:rPr>
            </w:pPr>
            <w:r>
              <w:rPr>
                <w:sz w:val="28"/>
                <w:szCs w:val="28"/>
              </w:rPr>
              <w:t xml:space="preserve">Instrukcijas projekts paredz veikt </w:t>
            </w:r>
            <w:r w:rsidR="006F4EFD">
              <w:rPr>
                <w:sz w:val="28"/>
                <w:szCs w:val="28"/>
              </w:rPr>
              <w:t xml:space="preserve">tehniskus </w:t>
            </w:r>
            <w:r>
              <w:rPr>
                <w:sz w:val="28"/>
                <w:szCs w:val="28"/>
              </w:rPr>
              <w:t>precizējumus</w:t>
            </w:r>
            <w:r w:rsidR="005B48D4">
              <w:rPr>
                <w:sz w:val="28"/>
                <w:szCs w:val="28"/>
              </w:rPr>
              <w:t>:</w:t>
            </w:r>
          </w:p>
          <w:p w:rsidR="00A1271A" w:rsidRPr="00A1271A" w:rsidRDefault="00BF7FCA" w:rsidP="00BF7FCA">
            <w:pPr>
              <w:spacing w:after="120"/>
              <w:jc w:val="both"/>
              <w:rPr>
                <w:sz w:val="28"/>
                <w:szCs w:val="28"/>
                <w:lang w:eastAsia="en-US"/>
              </w:rPr>
            </w:pPr>
            <w:r>
              <w:rPr>
                <w:sz w:val="28"/>
                <w:szCs w:val="28"/>
                <w:lang w:eastAsia="en-US"/>
              </w:rPr>
              <w:t xml:space="preserve">1. Visā instrukcijā Nr.2 piemērot vienoti terminu „resursi izdevumu segšanai” pamatbudžeta gadījumā un terminu „ieņēmumi” </w:t>
            </w:r>
            <w:r w:rsidRPr="00BF7FCA">
              <w:rPr>
                <w:sz w:val="28"/>
                <w:szCs w:val="28"/>
                <w:lang w:eastAsia="en-US"/>
              </w:rPr>
              <w:t>valsts sociālās apdrošināšanas speciālā budžeta gadījumā</w:t>
            </w:r>
            <w:r>
              <w:rPr>
                <w:sz w:val="28"/>
                <w:szCs w:val="28"/>
                <w:lang w:eastAsia="en-US"/>
              </w:rPr>
              <w:t xml:space="preserve">, lai nodrošinātu terminoloģijas saskaņotību ar citiem normatīvajiem aktiem.  </w:t>
            </w:r>
          </w:p>
          <w:p w:rsidR="00F029CC" w:rsidRDefault="00BF7FCA" w:rsidP="00BF7FCA">
            <w:pPr>
              <w:spacing w:after="120"/>
              <w:jc w:val="both"/>
              <w:rPr>
                <w:sz w:val="28"/>
                <w:szCs w:val="28"/>
                <w:lang w:eastAsia="en-US"/>
              </w:rPr>
            </w:pPr>
            <w:r>
              <w:rPr>
                <w:sz w:val="28"/>
                <w:szCs w:val="28"/>
                <w:lang w:eastAsia="en-US"/>
              </w:rPr>
              <w:t>2</w:t>
            </w:r>
            <w:r w:rsidR="00227BC7">
              <w:rPr>
                <w:sz w:val="28"/>
                <w:szCs w:val="28"/>
                <w:lang w:eastAsia="en-US"/>
              </w:rPr>
              <w:t>.</w:t>
            </w:r>
            <w:r w:rsidR="005B48D4" w:rsidRPr="005B48D4">
              <w:rPr>
                <w:sz w:val="28"/>
                <w:szCs w:val="28"/>
                <w:lang w:eastAsia="en-US"/>
              </w:rPr>
              <w:t> </w:t>
            </w:r>
            <w:r w:rsidR="00227BC7">
              <w:rPr>
                <w:sz w:val="28"/>
                <w:szCs w:val="28"/>
                <w:lang w:eastAsia="en-US"/>
              </w:rPr>
              <w:t>I</w:t>
            </w:r>
            <w:r w:rsidR="003419AC">
              <w:rPr>
                <w:sz w:val="28"/>
                <w:szCs w:val="28"/>
                <w:lang w:eastAsia="en-US"/>
              </w:rPr>
              <w:t xml:space="preserve">zteikt </w:t>
            </w:r>
            <w:r w:rsidR="005B48D4" w:rsidRPr="005B48D4">
              <w:rPr>
                <w:sz w:val="28"/>
                <w:szCs w:val="28"/>
                <w:lang w:eastAsia="en-US"/>
              </w:rPr>
              <w:t>instrukcijas Nr.2 pielikum</w:t>
            </w:r>
            <w:r w:rsidR="003419AC">
              <w:rPr>
                <w:sz w:val="28"/>
                <w:szCs w:val="28"/>
                <w:lang w:eastAsia="en-US"/>
              </w:rPr>
              <w:t>u</w:t>
            </w:r>
            <w:r w:rsidR="005B48D4" w:rsidRPr="005B48D4">
              <w:rPr>
                <w:sz w:val="28"/>
                <w:szCs w:val="28"/>
                <w:lang w:eastAsia="en-US"/>
              </w:rPr>
              <w:t>s</w:t>
            </w:r>
            <w:r w:rsidR="003419AC">
              <w:rPr>
                <w:sz w:val="28"/>
                <w:szCs w:val="28"/>
                <w:lang w:eastAsia="en-US"/>
              </w:rPr>
              <w:t xml:space="preserve"> jaunā vispārīgā redakcijā, </w:t>
            </w:r>
            <w:r w:rsidR="005B48D4" w:rsidRPr="005B48D4">
              <w:rPr>
                <w:sz w:val="28"/>
                <w:szCs w:val="28"/>
                <w:lang w:eastAsia="en-US"/>
              </w:rPr>
              <w:t xml:space="preserve"> neuzskait</w:t>
            </w:r>
            <w:r w:rsidR="003419AC">
              <w:rPr>
                <w:sz w:val="28"/>
                <w:szCs w:val="28"/>
                <w:lang w:eastAsia="en-US"/>
              </w:rPr>
              <w:t>o</w:t>
            </w:r>
            <w:r w:rsidR="005B48D4" w:rsidRPr="005B48D4">
              <w:rPr>
                <w:sz w:val="28"/>
                <w:szCs w:val="28"/>
                <w:lang w:eastAsia="en-US"/>
              </w:rPr>
              <w:t>t budžet</w:t>
            </w:r>
            <w:r w:rsidR="00817D67">
              <w:rPr>
                <w:sz w:val="28"/>
                <w:szCs w:val="28"/>
                <w:lang w:eastAsia="en-US"/>
              </w:rPr>
              <w:t>u</w:t>
            </w:r>
            <w:r w:rsidR="005B48D4" w:rsidRPr="005B48D4">
              <w:rPr>
                <w:sz w:val="28"/>
                <w:szCs w:val="28"/>
                <w:lang w:eastAsia="en-US"/>
              </w:rPr>
              <w:t xml:space="preserve"> ieņēmumu</w:t>
            </w:r>
            <w:r w:rsidR="00E3548C">
              <w:rPr>
                <w:sz w:val="28"/>
                <w:szCs w:val="28"/>
                <w:lang w:eastAsia="en-US"/>
              </w:rPr>
              <w:t>,</w:t>
            </w:r>
            <w:r w:rsidR="005B48D4" w:rsidRPr="005B48D4">
              <w:rPr>
                <w:sz w:val="28"/>
                <w:szCs w:val="28"/>
                <w:lang w:eastAsia="en-US"/>
              </w:rPr>
              <w:t xml:space="preserve"> </w:t>
            </w:r>
            <w:r w:rsidR="00817D67">
              <w:rPr>
                <w:sz w:val="28"/>
                <w:szCs w:val="28"/>
                <w:lang w:eastAsia="en-US"/>
              </w:rPr>
              <w:t xml:space="preserve">budžetu </w:t>
            </w:r>
            <w:r w:rsidR="005B48D4" w:rsidRPr="005B48D4">
              <w:rPr>
                <w:sz w:val="28"/>
                <w:szCs w:val="28"/>
                <w:lang w:eastAsia="en-US"/>
              </w:rPr>
              <w:t>izdevumu</w:t>
            </w:r>
            <w:r w:rsidR="00E3548C">
              <w:rPr>
                <w:sz w:val="28"/>
                <w:szCs w:val="28"/>
                <w:lang w:eastAsia="en-US"/>
              </w:rPr>
              <w:t xml:space="preserve"> </w:t>
            </w:r>
            <w:r w:rsidR="00E3548C" w:rsidRPr="00E3548C">
              <w:rPr>
                <w:sz w:val="28"/>
                <w:szCs w:val="28"/>
                <w:lang w:eastAsia="en-US"/>
              </w:rPr>
              <w:t>ekonomisk</w:t>
            </w:r>
            <w:r w:rsidR="00817D67">
              <w:rPr>
                <w:sz w:val="28"/>
                <w:szCs w:val="28"/>
                <w:lang w:eastAsia="en-US"/>
              </w:rPr>
              <w:t>o</w:t>
            </w:r>
            <w:r w:rsidR="00E3548C" w:rsidRPr="00E3548C">
              <w:rPr>
                <w:sz w:val="28"/>
                <w:szCs w:val="28"/>
                <w:lang w:eastAsia="en-US"/>
              </w:rPr>
              <w:t xml:space="preserve"> kategorij</w:t>
            </w:r>
            <w:r w:rsidR="00817D67">
              <w:rPr>
                <w:sz w:val="28"/>
                <w:szCs w:val="28"/>
                <w:lang w:eastAsia="en-US"/>
              </w:rPr>
              <w:t>u</w:t>
            </w:r>
            <w:r w:rsidR="00E3548C">
              <w:rPr>
                <w:sz w:val="28"/>
                <w:szCs w:val="28"/>
                <w:lang w:eastAsia="en-US"/>
              </w:rPr>
              <w:t xml:space="preserve"> un </w:t>
            </w:r>
            <w:r w:rsidR="00817D67">
              <w:rPr>
                <w:sz w:val="28"/>
                <w:szCs w:val="28"/>
                <w:lang w:eastAsia="en-US"/>
              </w:rPr>
              <w:t xml:space="preserve">budžetu </w:t>
            </w:r>
            <w:r w:rsidR="00E3548C">
              <w:rPr>
                <w:sz w:val="28"/>
                <w:szCs w:val="28"/>
                <w:lang w:eastAsia="en-US"/>
              </w:rPr>
              <w:t>finansēšanas</w:t>
            </w:r>
            <w:r w:rsidR="00E3548C" w:rsidRPr="00E3548C">
              <w:rPr>
                <w:sz w:val="28"/>
                <w:szCs w:val="28"/>
                <w:lang w:eastAsia="en-US"/>
              </w:rPr>
              <w:t xml:space="preserve"> </w:t>
            </w:r>
            <w:r w:rsidR="005B48D4" w:rsidRPr="005B48D4">
              <w:rPr>
                <w:sz w:val="28"/>
                <w:szCs w:val="28"/>
                <w:lang w:eastAsia="en-US"/>
              </w:rPr>
              <w:t xml:space="preserve"> klasifikācijas kodus plašā detalizācijas pakāpē</w:t>
            </w:r>
            <w:r w:rsidR="0088618A" w:rsidRPr="0088618A">
              <w:rPr>
                <w:sz w:val="28"/>
                <w:szCs w:val="28"/>
                <w:lang w:eastAsia="en-US"/>
              </w:rPr>
              <w:t xml:space="preserve">, lai izmaiņas </w:t>
            </w:r>
            <w:r w:rsidR="00C151AB" w:rsidRPr="00C151AB">
              <w:rPr>
                <w:sz w:val="28"/>
                <w:szCs w:val="28"/>
                <w:lang w:eastAsia="en-US"/>
              </w:rPr>
              <w:t>instrukcijas Nr.2 pielikum</w:t>
            </w:r>
            <w:r w:rsidR="00C151AB">
              <w:rPr>
                <w:sz w:val="28"/>
                <w:szCs w:val="28"/>
                <w:lang w:eastAsia="en-US"/>
              </w:rPr>
              <w:t>o</w:t>
            </w:r>
            <w:r w:rsidR="00C151AB" w:rsidRPr="00C151AB">
              <w:rPr>
                <w:sz w:val="28"/>
                <w:szCs w:val="28"/>
                <w:lang w:eastAsia="en-US"/>
              </w:rPr>
              <w:t xml:space="preserve">s </w:t>
            </w:r>
            <w:r w:rsidR="0088618A" w:rsidRPr="0088618A">
              <w:rPr>
                <w:sz w:val="28"/>
                <w:szCs w:val="28"/>
                <w:lang w:eastAsia="en-US"/>
              </w:rPr>
              <w:t xml:space="preserve">nebūtu veicamas, piemēram, gadījumos, kad mainās tikai </w:t>
            </w:r>
            <w:r w:rsidR="00C151AB">
              <w:rPr>
                <w:sz w:val="28"/>
                <w:szCs w:val="28"/>
                <w:lang w:eastAsia="en-US"/>
              </w:rPr>
              <w:t xml:space="preserve">minēto </w:t>
            </w:r>
            <w:r w:rsidR="0088618A" w:rsidRPr="0088618A">
              <w:rPr>
                <w:sz w:val="28"/>
                <w:szCs w:val="28"/>
                <w:lang w:eastAsia="en-US"/>
              </w:rPr>
              <w:t>klasifikāciju kodu redakcijas</w:t>
            </w:r>
            <w:r w:rsidR="00AF3644">
              <w:rPr>
                <w:sz w:val="28"/>
                <w:szCs w:val="28"/>
                <w:lang w:eastAsia="en-US"/>
              </w:rPr>
              <w:t xml:space="preserve">. Vienlaikus </w:t>
            </w:r>
            <w:r w:rsidR="0088618A">
              <w:rPr>
                <w:sz w:val="28"/>
                <w:szCs w:val="28"/>
                <w:lang w:eastAsia="en-US"/>
              </w:rPr>
              <w:t xml:space="preserve">instrukcijā Nr.2 </w:t>
            </w:r>
            <w:r w:rsidR="00C151AB">
              <w:rPr>
                <w:sz w:val="28"/>
                <w:szCs w:val="28"/>
                <w:lang w:eastAsia="en-US"/>
              </w:rPr>
              <w:t xml:space="preserve">tiek </w:t>
            </w:r>
            <w:r w:rsidR="00817D67">
              <w:rPr>
                <w:sz w:val="28"/>
                <w:szCs w:val="28"/>
                <w:lang w:eastAsia="en-US"/>
              </w:rPr>
              <w:t xml:space="preserve">skaidrāk </w:t>
            </w:r>
            <w:r w:rsidR="00AF3644">
              <w:rPr>
                <w:sz w:val="28"/>
                <w:szCs w:val="28"/>
                <w:lang w:eastAsia="en-US"/>
              </w:rPr>
              <w:t>noteikt</w:t>
            </w:r>
            <w:r w:rsidR="00C151AB">
              <w:rPr>
                <w:sz w:val="28"/>
                <w:szCs w:val="28"/>
                <w:lang w:eastAsia="en-US"/>
              </w:rPr>
              <w:t>s</w:t>
            </w:r>
            <w:r w:rsidR="00AF3644">
              <w:rPr>
                <w:sz w:val="28"/>
                <w:szCs w:val="28"/>
                <w:lang w:eastAsia="en-US"/>
              </w:rPr>
              <w:t xml:space="preserve">, ka </w:t>
            </w:r>
            <w:r w:rsidR="003D1784">
              <w:rPr>
                <w:sz w:val="28"/>
                <w:szCs w:val="28"/>
                <w:lang w:eastAsia="en-US"/>
              </w:rPr>
              <w:t>valsts budžeta i</w:t>
            </w:r>
            <w:r w:rsidR="003D1784" w:rsidRPr="003D1784">
              <w:rPr>
                <w:sz w:val="28"/>
                <w:szCs w:val="28"/>
                <w:lang w:eastAsia="en-US"/>
              </w:rPr>
              <w:t>estādes tāmes kodus un kodu nosaukumus piemēro saskaņā ar normatīvajiem aktiem par budžeta ieņēmumu klasifikāciju (</w:t>
            </w:r>
            <w:r w:rsidR="00F029CC" w:rsidRPr="00F029CC">
              <w:rPr>
                <w:sz w:val="28"/>
                <w:szCs w:val="28"/>
                <w:lang w:eastAsia="en-US"/>
              </w:rPr>
              <w:t>kodu zemākajā detalizācijas pakāpē – piecas zīmes</w:t>
            </w:r>
            <w:r w:rsidR="003D1784" w:rsidRPr="003D1784">
              <w:rPr>
                <w:sz w:val="28"/>
                <w:szCs w:val="28"/>
                <w:lang w:eastAsia="en-US"/>
              </w:rPr>
              <w:t>), izdevumu atbilstoši ekonomiskajām kategorijām klasifikāciju (</w:t>
            </w:r>
            <w:r w:rsidR="00F029CC" w:rsidRPr="00F029CC">
              <w:rPr>
                <w:sz w:val="28"/>
                <w:szCs w:val="28"/>
                <w:lang w:eastAsia="en-US"/>
              </w:rPr>
              <w:t>kodu zemākajā detalizācijas pakāpē – četras zīmes</w:t>
            </w:r>
            <w:r w:rsidR="003D1784" w:rsidRPr="003D1784">
              <w:rPr>
                <w:sz w:val="28"/>
                <w:szCs w:val="28"/>
                <w:lang w:eastAsia="en-US"/>
              </w:rPr>
              <w:t xml:space="preserve">) un </w:t>
            </w:r>
            <w:r w:rsidR="00AD40FF">
              <w:rPr>
                <w:sz w:val="28"/>
                <w:szCs w:val="28"/>
                <w:lang w:eastAsia="en-US"/>
              </w:rPr>
              <w:t xml:space="preserve">budžetu </w:t>
            </w:r>
            <w:r w:rsidR="003D1784" w:rsidRPr="003D1784">
              <w:rPr>
                <w:sz w:val="28"/>
                <w:szCs w:val="28"/>
                <w:lang w:eastAsia="en-US"/>
              </w:rPr>
              <w:t xml:space="preserve">finansēšanas klasifikāciju (gadskārtējā valsts budžeta likumā noteiktajā detalizācijas līmenī). Ja nepieciešams, </w:t>
            </w:r>
            <w:r w:rsidR="003D1784">
              <w:rPr>
                <w:sz w:val="28"/>
                <w:szCs w:val="28"/>
                <w:lang w:eastAsia="en-US"/>
              </w:rPr>
              <w:t xml:space="preserve">valsts budžeta </w:t>
            </w:r>
            <w:r w:rsidR="003D1784" w:rsidRPr="003D1784">
              <w:rPr>
                <w:sz w:val="28"/>
                <w:szCs w:val="28"/>
                <w:lang w:eastAsia="en-US"/>
              </w:rPr>
              <w:t xml:space="preserve">iestāde tāmi var papildināt ar kodiem un kodu nosaukumiem </w:t>
            </w:r>
            <w:r w:rsidR="00C151AB">
              <w:rPr>
                <w:sz w:val="28"/>
                <w:szCs w:val="28"/>
                <w:lang w:eastAsia="en-US"/>
              </w:rPr>
              <w:t xml:space="preserve">vēl </w:t>
            </w:r>
            <w:r w:rsidR="003D1784" w:rsidRPr="003D1784">
              <w:rPr>
                <w:sz w:val="28"/>
                <w:szCs w:val="28"/>
                <w:lang w:eastAsia="en-US"/>
              </w:rPr>
              <w:t>sīkākā sadalījumā, kas nepieciešami ieņēmumu</w:t>
            </w:r>
            <w:r w:rsidR="001043A2">
              <w:rPr>
                <w:sz w:val="28"/>
                <w:szCs w:val="28"/>
                <w:lang w:eastAsia="en-US"/>
              </w:rPr>
              <w:t xml:space="preserve"> vai resursu izdevumu segšanai</w:t>
            </w:r>
            <w:r w:rsidR="003D1784" w:rsidRPr="003D1784">
              <w:rPr>
                <w:sz w:val="28"/>
                <w:szCs w:val="28"/>
                <w:lang w:eastAsia="en-US"/>
              </w:rPr>
              <w:t>, izdevumu un finansēšanas sadaļas plānošanas un uzskaites nodrošināšanai.</w:t>
            </w:r>
            <w:r w:rsidR="00F862B1">
              <w:rPr>
                <w:sz w:val="28"/>
                <w:szCs w:val="28"/>
                <w:lang w:eastAsia="en-US"/>
              </w:rPr>
              <w:t xml:space="preserve"> Tāpat noteikumu projekts paredz noteikt, ka</w:t>
            </w:r>
            <w:r w:rsidR="00F029CC">
              <w:rPr>
                <w:sz w:val="28"/>
                <w:szCs w:val="28"/>
                <w:lang w:eastAsia="en-US"/>
              </w:rPr>
              <w:t xml:space="preserve"> </w:t>
            </w:r>
            <w:r w:rsidR="00F029CC" w:rsidRPr="00F029CC">
              <w:rPr>
                <w:sz w:val="28"/>
                <w:szCs w:val="28"/>
                <w:lang w:eastAsia="en-US"/>
              </w:rPr>
              <w:t>Finanšu ministrija savā tīmekļa vietnē publicē atbilstoši spēkā esošai budžetu ieņēmumu klasifikācijai, budžetu izdevumu klasifikācijai atbilstoši ekonomiskajām kategorijām un budžetu finansēšanas klasifikācijai aktualizētas tāmju veidlapas MS Excel vidē</w:t>
            </w:r>
            <w:r w:rsidR="00F862B1">
              <w:rPr>
                <w:sz w:val="28"/>
                <w:szCs w:val="28"/>
                <w:lang w:eastAsia="en-US"/>
              </w:rPr>
              <w:t>.</w:t>
            </w:r>
            <w:r w:rsidR="00F862B1" w:rsidRPr="00F862B1">
              <w:rPr>
                <w:sz w:val="28"/>
                <w:szCs w:val="28"/>
                <w:lang w:eastAsia="en-US"/>
              </w:rPr>
              <w:t xml:space="preserve"> </w:t>
            </w:r>
            <w:r w:rsidR="00F029CC">
              <w:rPr>
                <w:sz w:val="28"/>
                <w:szCs w:val="28"/>
                <w:lang w:eastAsia="en-US"/>
              </w:rPr>
              <w:t xml:space="preserve"> </w:t>
            </w:r>
            <w:r w:rsidR="00AD40FF">
              <w:rPr>
                <w:sz w:val="28"/>
                <w:szCs w:val="28"/>
                <w:lang w:eastAsia="en-US"/>
              </w:rPr>
              <w:t>Viss i</w:t>
            </w:r>
            <w:r w:rsidR="00F029CC">
              <w:rPr>
                <w:sz w:val="28"/>
                <w:szCs w:val="28"/>
                <w:lang w:eastAsia="en-US"/>
              </w:rPr>
              <w:t>epriekš minētais kopumā</w:t>
            </w:r>
            <w:r w:rsidR="003419AC">
              <w:rPr>
                <w:sz w:val="28"/>
                <w:szCs w:val="28"/>
                <w:lang w:eastAsia="en-US"/>
              </w:rPr>
              <w:t xml:space="preserve"> novērsīs nepieciešamību veikt tehniskos grozījumus instrukcijā </w:t>
            </w:r>
            <w:r w:rsidR="007E4052">
              <w:rPr>
                <w:sz w:val="28"/>
                <w:szCs w:val="28"/>
                <w:lang w:eastAsia="en-US"/>
              </w:rPr>
              <w:t>N</w:t>
            </w:r>
            <w:r w:rsidR="003419AC">
              <w:rPr>
                <w:sz w:val="28"/>
                <w:szCs w:val="28"/>
                <w:lang w:eastAsia="en-US"/>
              </w:rPr>
              <w:t>r.2 ikreiz, kad tiek veiktas</w:t>
            </w:r>
            <w:r w:rsidR="00BF38F8">
              <w:rPr>
                <w:sz w:val="28"/>
                <w:szCs w:val="28"/>
                <w:lang w:eastAsia="en-US"/>
              </w:rPr>
              <w:t xml:space="preserve"> </w:t>
            </w:r>
            <w:r w:rsidR="00F029CC">
              <w:rPr>
                <w:sz w:val="28"/>
                <w:szCs w:val="28"/>
                <w:lang w:eastAsia="en-US"/>
              </w:rPr>
              <w:t xml:space="preserve">būtiskākas </w:t>
            </w:r>
            <w:r w:rsidR="003419AC">
              <w:rPr>
                <w:sz w:val="28"/>
                <w:szCs w:val="28"/>
                <w:lang w:eastAsia="en-US"/>
              </w:rPr>
              <w:t>izmaiņas budžetu ieņēmumu</w:t>
            </w:r>
            <w:r w:rsidR="00D63A7C">
              <w:rPr>
                <w:sz w:val="28"/>
                <w:szCs w:val="28"/>
                <w:lang w:eastAsia="en-US"/>
              </w:rPr>
              <w:t>,</w:t>
            </w:r>
            <w:r w:rsidR="00BF38F8">
              <w:rPr>
                <w:sz w:val="28"/>
                <w:szCs w:val="28"/>
                <w:lang w:eastAsia="en-US"/>
              </w:rPr>
              <w:t xml:space="preserve"> </w:t>
            </w:r>
            <w:r w:rsidR="003419AC">
              <w:rPr>
                <w:sz w:val="28"/>
                <w:szCs w:val="28"/>
                <w:lang w:eastAsia="en-US"/>
              </w:rPr>
              <w:t>izdevumu</w:t>
            </w:r>
            <w:r w:rsidR="00E3548C">
              <w:rPr>
                <w:sz w:val="28"/>
                <w:szCs w:val="28"/>
                <w:lang w:eastAsia="en-US"/>
              </w:rPr>
              <w:t xml:space="preserve"> </w:t>
            </w:r>
            <w:r w:rsidR="00E3548C" w:rsidRPr="00E3548C">
              <w:rPr>
                <w:sz w:val="28"/>
                <w:szCs w:val="28"/>
                <w:lang w:eastAsia="en-US"/>
              </w:rPr>
              <w:t>atbilstoši ekonomiskajām kategorijām</w:t>
            </w:r>
            <w:r w:rsidR="00D63A7C">
              <w:rPr>
                <w:sz w:val="28"/>
                <w:szCs w:val="28"/>
                <w:lang w:eastAsia="en-US"/>
              </w:rPr>
              <w:t xml:space="preserve"> un finansēšanas</w:t>
            </w:r>
            <w:r w:rsidR="00E3548C" w:rsidRPr="00E3548C">
              <w:rPr>
                <w:sz w:val="28"/>
                <w:szCs w:val="28"/>
                <w:lang w:eastAsia="en-US"/>
              </w:rPr>
              <w:t xml:space="preserve"> </w:t>
            </w:r>
            <w:r w:rsidR="003419AC">
              <w:rPr>
                <w:sz w:val="28"/>
                <w:szCs w:val="28"/>
                <w:lang w:eastAsia="en-US"/>
              </w:rPr>
              <w:t xml:space="preserve"> klasifikācijas.</w:t>
            </w:r>
            <w:r w:rsidR="00430B4A">
              <w:rPr>
                <w:sz w:val="28"/>
                <w:szCs w:val="28"/>
                <w:lang w:eastAsia="en-US"/>
              </w:rPr>
              <w:t xml:space="preserve"> Tajā pat laikā, iestādēm būs pieejamas vienotas tāmju veidlapas MS Excel vidē, kur būs iekļauts tāmju kodu un kodu nosaukumu izvērsums tā nepieciešamajā detalizācija pakāpē. </w:t>
            </w:r>
          </w:p>
          <w:p w:rsidR="005B48D4" w:rsidRPr="005B48D4" w:rsidRDefault="00BF7FCA" w:rsidP="007E4052">
            <w:pPr>
              <w:jc w:val="both"/>
              <w:rPr>
                <w:sz w:val="28"/>
                <w:szCs w:val="28"/>
              </w:rPr>
            </w:pPr>
            <w:r>
              <w:rPr>
                <w:sz w:val="28"/>
                <w:szCs w:val="28"/>
                <w:lang w:eastAsia="en-US"/>
              </w:rPr>
              <w:t>3</w:t>
            </w:r>
            <w:r w:rsidR="00227BC7">
              <w:rPr>
                <w:sz w:val="28"/>
                <w:szCs w:val="28"/>
                <w:lang w:eastAsia="en-US"/>
              </w:rPr>
              <w:t>.</w:t>
            </w:r>
            <w:r w:rsidR="005B48D4" w:rsidRPr="00CE1AFB">
              <w:rPr>
                <w:sz w:val="28"/>
                <w:szCs w:val="28"/>
                <w:lang w:eastAsia="en-US"/>
              </w:rPr>
              <w:t xml:space="preserve"> </w:t>
            </w:r>
            <w:r w:rsidR="0088618A">
              <w:rPr>
                <w:sz w:val="28"/>
                <w:szCs w:val="28"/>
                <w:lang w:eastAsia="en-US"/>
              </w:rPr>
              <w:t xml:space="preserve">Papildināt instrukcijas  Nr.2 </w:t>
            </w:r>
            <w:r w:rsidR="00FC3C98">
              <w:rPr>
                <w:sz w:val="28"/>
                <w:szCs w:val="28"/>
                <w:lang w:eastAsia="en-US"/>
              </w:rPr>
              <w:t xml:space="preserve"> </w:t>
            </w:r>
            <w:r w:rsidR="0088618A">
              <w:rPr>
                <w:sz w:val="28"/>
                <w:szCs w:val="28"/>
                <w:lang w:eastAsia="en-US"/>
              </w:rPr>
              <w:t xml:space="preserve">10.punktā uzskaitīto </w:t>
            </w:r>
            <w:r w:rsidR="003D1784">
              <w:rPr>
                <w:sz w:val="28"/>
                <w:szCs w:val="28"/>
                <w:lang w:eastAsia="en-US"/>
              </w:rPr>
              <w:t>74. budžeta resora programm</w:t>
            </w:r>
            <w:r w:rsidR="0088618A">
              <w:rPr>
                <w:sz w:val="28"/>
                <w:szCs w:val="28"/>
                <w:lang w:eastAsia="en-US"/>
              </w:rPr>
              <w:t>u sarakstu</w:t>
            </w:r>
            <w:r w:rsidR="003D1784">
              <w:rPr>
                <w:sz w:val="28"/>
                <w:szCs w:val="28"/>
                <w:lang w:eastAsia="en-US"/>
              </w:rPr>
              <w:t xml:space="preserve"> </w:t>
            </w:r>
            <w:r w:rsidR="0088618A">
              <w:rPr>
                <w:sz w:val="28"/>
                <w:szCs w:val="28"/>
                <w:lang w:eastAsia="en-US"/>
              </w:rPr>
              <w:t xml:space="preserve">ar jaunu programmu </w:t>
            </w:r>
            <w:r w:rsidR="003D1784">
              <w:rPr>
                <w:sz w:val="28"/>
                <w:szCs w:val="28"/>
                <w:lang w:eastAsia="en-US"/>
              </w:rPr>
              <w:t>„</w:t>
            </w:r>
            <w:r w:rsidR="003D1784" w:rsidRPr="003D1784">
              <w:rPr>
                <w:sz w:val="28"/>
                <w:szCs w:val="28"/>
                <w:lang w:eastAsia="en-US"/>
              </w:rPr>
              <w:t>Latvijas Nacionālā euro ieviešanas plāna pasākumi</w:t>
            </w:r>
            <w:r w:rsidR="003D1784">
              <w:rPr>
                <w:sz w:val="28"/>
                <w:szCs w:val="28"/>
                <w:lang w:eastAsia="en-US"/>
              </w:rPr>
              <w:t>”</w:t>
            </w:r>
            <w:r w:rsidR="00E53770">
              <w:rPr>
                <w:sz w:val="28"/>
                <w:szCs w:val="28"/>
                <w:lang w:eastAsia="en-US"/>
              </w:rPr>
              <w:t>, kurai līdzīgi kā pārējām 74.budžeta resora programmām</w:t>
            </w:r>
            <w:r w:rsidR="003D1784">
              <w:rPr>
                <w:sz w:val="28"/>
                <w:szCs w:val="28"/>
                <w:lang w:eastAsia="en-US"/>
              </w:rPr>
              <w:t xml:space="preserve"> tāmi nesagatavo</w:t>
            </w:r>
            <w:r w:rsidR="00FC3C98">
              <w:rPr>
                <w:sz w:val="28"/>
                <w:szCs w:val="28"/>
                <w:lang w:eastAsia="en-US"/>
              </w:rPr>
              <w:t>, jo līdzekļi tiek pārdalīti uz citām budžeta programmām (apakšprogrammām)</w:t>
            </w:r>
            <w:r w:rsidR="003D1784">
              <w:rPr>
                <w:sz w:val="28"/>
                <w:szCs w:val="28"/>
                <w:lang w:eastAsia="en-US"/>
              </w:rPr>
              <w:t xml:space="preserve">. </w:t>
            </w:r>
          </w:p>
        </w:tc>
      </w:tr>
      <w:tr w:rsidR="002F3492" w:rsidRPr="0041608E" w:rsidTr="00FC3C98">
        <w:tc>
          <w:tcPr>
            <w:tcW w:w="420" w:type="dxa"/>
            <w:tcBorders>
              <w:top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5.</w:t>
            </w:r>
          </w:p>
        </w:tc>
        <w:tc>
          <w:tcPr>
            <w:tcW w:w="1953" w:type="dxa"/>
            <w:tcBorders>
              <w:top w:val="outset" w:sz="6" w:space="0" w:color="auto"/>
              <w:left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Projekta izstrādē iesaistītās institūcijas</w:t>
            </w:r>
          </w:p>
        </w:tc>
        <w:tc>
          <w:tcPr>
            <w:tcW w:w="6908" w:type="dxa"/>
            <w:tcBorders>
              <w:top w:val="outset" w:sz="6" w:space="0" w:color="auto"/>
              <w:left w:val="outset" w:sz="6" w:space="0" w:color="auto"/>
              <w:bottom w:val="outset" w:sz="6" w:space="0" w:color="auto"/>
            </w:tcBorders>
          </w:tcPr>
          <w:p w:rsidR="00826E51" w:rsidRPr="0041608E" w:rsidRDefault="009A4297" w:rsidP="002F3492">
            <w:pPr>
              <w:rPr>
                <w:sz w:val="28"/>
                <w:szCs w:val="28"/>
              </w:rPr>
            </w:pPr>
            <w:r w:rsidRPr="0041608E">
              <w:rPr>
                <w:sz w:val="28"/>
                <w:szCs w:val="28"/>
              </w:rPr>
              <w:t>Projekts šo jomu neskar.</w:t>
            </w:r>
          </w:p>
        </w:tc>
      </w:tr>
      <w:tr w:rsidR="002F3492" w:rsidRPr="0041608E" w:rsidTr="00FC3C98">
        <w:tc>
          <w:tcPr>
            <w:tcW w:w="420" w:type="dxa"/>
            <w:tcBorders>
              <w:top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6.</w:t>
            </w:r>
          </w:p>
        </w:tc>
        <w:tc>
          <w:tcPr>
            <w:tcW w:w="1953" w:type="dxa"/>
            <w:tcBorders>
              <w:top w:val="outset" w:sz="6" w:space="0" w:color="auto"/>
              <w:left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Iemesli, kādēļ netika nodrošināta sabiedrības līdzdalība</w:t>
            </w:r>
          </w:p>
        </w:tc>
        <w:tc>
          <w:tcPr>
            <w:tcW w:w="6908" w:type="dxa"/>
            <w:tcBorders>
              <w:top w:val="outset" w:sz="6" w:space="0" w:color="auto"/>
              <w:left w:val="outset" w:sz="6" w:space="0" w:color="auto"/>
              <w:bottom w:val="outset" w:sz="6" w:space="0" w:color="auto"/>
            </w:tcBorders>
          </w:tcPr>
          <w:p w:rsidR="00826E51" w:rsidRPr="0041608E" w:rsidRDefault="0041608E" w:rsidP="002F3492">
            <w:pPr>
              <w:jc w:val="both"/>
              <w:rPr>
                <w:sz w:val="28"/>
                <w:szCs w:val="28"/>
              </w:rPr>
            </w:pPr>
            <w:r w:rsidRPr="0041608E">
              <w:rPr>
                <w:sz w:val="28"/>
                <w:szCs w:val="28"/>
              </w:rPr>
              <w:t xml:space="preserve">Sabiedrības pārstāvji projekta izstrādes procesā netika iesaistīti, jo projekts </w:t>
            </w:r>
            <w:r w:rsidR="00FC3C98">
              <w:rPr>
                <w:sz w:val="28"/>
                <w:szCs w:val="28"/>
              </w:rPr>
              <w:t xml:space="preserve">pamatā </w:t>
            </w:r>
            <w:r w:rsidRPr="0041608E">
              <w:rPr>
                <w:sz w:val="28"/>
                <w:szCs w:val="28"/>
              </w:rPr>
              <w:t>ir tehniska rakstura un tiešā veidā neskar sabiedrības intereses.</w:t>
            </w:r>
          </w:p>
        </w:tc>
      </w:tr>
      <w:tr w:rsidR="002F3492" w:rsidRPr="0041608E" w:rsidTr="00FC3C98">
        <w:tc>
          <w:tcPr>
            <w:tcW w:w="420" w:type="dxa"/>
            <w:tcBorders>
              <w:top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7.</w:t>
            </w:r>
          </w:p>
        </w:tc>
        <w:tc>
          <w:tcPr>
            <w:tcW w:w="1953" w:type="dxa"/>
            <w:tcBorders>
              <w:top w:val="outset" w:sz="6" w:space="0" w:color="auto"/>
              <w:left w:val="outset" w:sz="6" w:space="0" w:color="auto"/>
              <w:bottom w:val="outset" w:sz="6" w:space="0" w:color="auto"/>
              <w:right w:val="outset" w:sz="6" w:space="0" w:color="auto"/>
            </w:tcBorders>
          </w:tcPr>
          <w:p w:rsidR="00826E51" w:rsidRPr="0041608E" w:rsidRDefault="00826E51" w:rsidP="00826E51">
            <w:pPr>
              <w:rPr>
                <w:sz w:val="28"/>
                <w:szCs w:val="28"/>
              </w:rPr>
            </w:pPr>
            <w:r w:rsidRPr="0041608E">
              <w:rPr>
                <w:sz w:val="28"/>
                <w:szCs w:val="28"/>
              </w:rPr>
              <w:t xml:space="preserve"> Cita informācija</w:t>
            </w:r>
          </w:p>
        </w:tc>
        <w:tc>
          <w:tcPr>
            <w:tcW w:w="6908" w:type="dxa"/>
            <w:tcBorders>
              <w:top w:val="outset" w:sz="6" w:space="0" w:color="auto"/>
              <w:left w:val="outset" w:sz="6" w:space="0" w:color="auto"/>
              <w:bottom w:val="outset" w:sz="6" w:space="0" w:color="auto"/>
            </w:tcBorders>
          </w:tcPr>
          <w:p w:rsidR="00826E51" w:rsidRPr="0041608E" w:rsidRDefault="00826E51" w:rsidP="009A4297">
            <w:pPr>
              <w:ind w:firstLine="422"/>
              <w:rPr>
                <w:sz w:val="28"/>
                <w:szCs w:val="28"/>
              </w:rPr>
            </w:pPr>
            <w:r w:rsidRPr="0041608E">
              <w:rPr>
                <w:sz w:val="28"/>
                <w:szCs w:val="28"/>
              </w:rPr>
              <w:t>Nav.</w:t>
            </w:r>
          </w:p>
        </w:tc>
      </w:tr>
    </w:tbl>
    <w:p w:rsidR="00826E51" w:rsidRDefault="00687863">
      <w:r>
        <w:t xml:space="preserve"> </w:t>
      </w:r>
    </w:p>
    <w:tbl>
      <w:tblPr>
        <w:tblStyle w:val="TableGrid"/>
        <w:tblW w:w="9322" w:type="dxa"/>
        <w:tblLook w:val="04A0" w:firstRow="1" w:lastRow="0" w:firstColumn="1" w:lastColumn="0" w:noHBand="0" w:noVBand="1"/>
      </w:tblPr>
      <w:tblGrid>
        <w:gridCol w:w="426"/>
        <w:gridCol w:w="2943"/>
        <w:gridCol w:w="5953"/>
      </w:tblGrid>
      <w:tr w:rsidR="006319D2" w:rsidRPr="0041608E" w:rsidTr="00B52A79">
        <w:trPr>
          <w:trHeight w:val="441"/>
        </w:trPr>
        <w:tc>
          <w:tcPr>
            <w:tcW w:w="9322" w:type="dxa"/>
            <w:gridSpan w:val="3"/>
            <w:vAlign w:val="center"/>
          </w:tcPr>
          <w:p w:rsidR="006319D2" w:rsidRPr="0041608E" w:rsidRDefault="006319D2" w:rsidP="00F15474">
            <w:pPr>
              <w:jc w:val="center"/>
              <w:rPr>
                <w:b/>
                <w:sz w:val="28"/>
                <w:szCs w:val="28"/>
              </w:rPr>
            </w:pPr>
            <w:r w:rsidRPr="0041608E">
              <w:rPr>
                <w:b/>
                <w:sz w:val="28"/>
                <w:szCs w:val="28"/>
              </w:rPr>
              <w:t>II. Tiesību akta projekta ietekme uz sabiedrību</w:t>
            </w:r>
          </w:p>
        </w:tc>
      </w:tr>
      <w:tr w:rsidR="00687863" w:rsidRPr="0041608E" w:rsidTr="003F4D03">
        <w:tc>
          <w:tcPr>
            <w:tcW w:w="426" w:type="dxa"/>
            <w:vAlign w:val="center"/>
          </w:tcPr>
          <w:p w:rsidR="000A6C5D" w:rsidRPr="0041608E" w:rsidRDefault="000A6C5D" w:rsidP="000A6C5D">
            <w:pPr>
              <w:rPr>
                <w:sz w:val="28"/>
                <w:szCs w:val="28"/>
              </w:rPr>
            </w:pPr>
            <w:r w:rsidRPr="0041608E">
              <w:rPr>
                <w:sz w:val="28"/>
                <w:szCs w:val="28"/>
              </w:rPr>
              <w:t>1.</w:t>
            </w:r>
          </w:p>
        </w:tc>
        <w:tc>
          <w:tcPr>
            <w:tcW w:w="2943" w:type="dxa"/>
            <w:vAlign w:val="center"/>
          </w:tcPr>
          <w:p w:rsidR="00687863" w:rsidRPr="0041608E" w:rsidRDefault="000A6C5D" w:rsidP="000A6C5D">
            <w:pPr>
              <w:rPr>
                <w:sz w:val="28"/>
                <w:szCs w:val="28"/>
              </w:rPr>
            </w:pPr>
            <w:r w:rsidRPr="0041608E">
              <w:rPr>
                <w:sz w:val="28"/>
                <w:szCs w:val="28"/>
              </w:rPr>
              <w:t>Sabiedrības mērķgrupa</w:t>
            </w:r>
          </w:p>
        </w:tc>
        <w:tc>
          <w:tcPr>
            <w:tcW w:w="5953" w:type="dxa"/>
          </w:tcPr>
          <w:p w:rsidR="00687863" w:rsidRPr="0041608E" w:rsidRDefault="000A6C5D" w:rsidP="002F3492">
            <w:pPr>
              <w:rPr>
                <w:sz w:val="28"/>
                <w:szCs w:val="28"/>
              </w:rPr>
            </w:pPr>
            <w:r w:rsidRPr="0041608E">
              <w:rPr>
                <w:sz w:val="28"/>
                <w:szCs w:val="28"/>
              </w:rPr>
              <w:t>Valsts budžeta iestādēs nodarbinātie</w:t>
            </w:r>
            <w:r w:rsidR="003577C8" w:rsidRPr="0041608E">
              <w:rPr>
                <w:sz w:val="28"/>
                <w:szCs w:val="28"/>
              </w:rPr>
              <w:t>.</w:t>
            </w:r>
          </w:p>
        </w:tc>
      </w:tr>
      <w:tr w:rsidR="00687863" w:rsidRPr="0041608E" w:rsidTr="003F4D03">
        <w:tc>
          <w:tcPr>
            <w:tcW w:w="426" w:type="dxa"/>
            <w:vAlign w:val="center"/>
          </w:tcPr>
          <w:p w:rsidR="00687863" w:rsidRPr="0041608E" w:rsidRDefault="000A6C5D" w:rsidP="000A6C5D">
            <w:pPr>
              <w:rPr>
                <w:sz w:val="28"/>
                <w:szCs w:val="28"/>
              </w:rPr>
            </w:pPr>
            <w:r w:rsidRPr="0041608E">
              <w:rPr>
                <w:sz w:val="28"/>
                <w:szCs w:val="28"/>
              </w:rPr>
              <w:t>2.</w:t>
            </w:r>
          </w:p>
        </w:tc>
        <w:tc>
          <w:tcPr>
            <w:tcW w:w="2943" w:type="dxa"/>
            <w:vAlign w:val="center"/>
          </w:tcPr>
          <w:p w:rsidR="00687863" w:rsidRPr="0041608E" w:rsidRDefault="000A6C5D" w:rsidP="000A6C5D">
            <w:pPr>
              <w:rPr>
                <w:sz w:val="28"/>
                <w:szCs w:val="28"/>
              </w:rPr>
            </w:pPr>
            <w:r w:rsidRPr="0041608E">
              <w:rPr>
                <w:sz w:val="28"/>
                <w:szCs w:val="28"/>
              </w:rPr>
              <w:t>Citas sabiedrības grupas (bez mērķgrupas), kuras tiesiskais regulējums arī ietekmē vai varētu ietekmēt</w:t>
            </w:r>
          </w:p>
        </w:tc>
        <w:tc>
          <w:tcPr>
            <w:tcW w:w="5953" w:type="dxa"/>
          </w:tcPr>
          <w:p w:rsidR="00687863" w:rsidRPr="0041608E" w:rsidRDefault="000A6C5D" w:rsidP="002F3492">
            <w:pPr>
              <w:rPr>
                <w:sz w:val="28"/>
                <w:szCs w:val="28"/>
              </w:rPr>
            </w:pPr>
            <w:r w:rsidRPr="0041608E">
              <w:rPr>
                <w:sz w:val="28"/>
                <w:szCs w:val="28"/>
              </w:rPr>
              <w:t>Projekts šo jomu neskar.</w:t>
            </w:r>
          </w:p>
        </w:tc>
      </w:tr>
      <w:tr w:rsidR="00687863" w:rsidRPr="0041608E" w:rsidTr="003F4D03">
        <w:tc>
          <w:tcPr>
            <w:tcW w:w="426" w:type="dxa"/>
            <w:vAlign w:val="center"/>
          </w:tcPr>
          <w:p w:rsidR="00687863" w:rsidRPr="0041608E" w:rsidRDefault="000A6C5D" w:rsidP="000A6C5D">
            <w:pPr>
              <w:rPr>
                <w:sz w:val="28"/>
                <w:szCs w:val="28"/>
              </w:rPr>
            </w:pPr>
            <w:r w:rsidRPr="0041608E">
              <w:rPr>
                <w:sz w:val="28"/>
                <w:szCs w:val="28"/>
              </w:rPr>
              <w:t>3.</w:t>
            </w:r>
          </w:p>
        </w:tc>
        <w:tc>
          <w:tcPr>
            <w:tcW w:w="2943" w:type="dxa"/>
            <w:vAlign w:val="center"/>
          </w:tcPr>
          <w:p w:rsidR="00687863" w:rsidRPr="0041608E" w:rsidRDefault="000A6C5D" w:rsidP="000A6C5D">
            <w:pPr>
              <w:rPr>
                <w:sz w:val="28"/>
                <w:szCs w:val="28"/>
              </w:rPr>
            </w:pPr>
            <w:r w:rsidRPr="0041608E">
              <w:rPr>
                <w:sz w:val="28"/>
                <w:szCs w:val="28"/>
              </w:rPr>
              <w:t>Tiesiskā regulējuma finansiālā ietekme</w:t>
            </w:r>
          </w:p>
        </w:tc>
        <w:tc>
          <w:tcPr>
            <w:tcW w:w="5953" w:type="dxa"/>
          </w:tcPr>
          <w:p w:rsidR="00687863" w:rsidRPr="0041608E" w:rsidRDefault="000A6C5D" w:rsidP="002F3492">
            <w:pPr>
              <w:rPr>
                <w:sz w:val="28"/>
                <w:szCs w:val="28"/>
              </w:rPr>
            </w:pPr>
            <w:r w:rsidRPr="0041608E">
              <w:rPr>
                <w:sz w:val="28"/>
                <w:szCs w:val="28"/>
              </w:rPr>
              <w:t>Projekts šo jomu neskar.</w:t>
            </w:r>
          </w:p>
        </w:tc>
      </w:tr>
      <w:tr w:rsidR="00687863" w:rsidRPr="0041608E" w:rsidTr="003F4D03">
        <w:tc>
          <w:tcPr>
            <w:tcW w:w="426" w:type="dxa"/>
            <w:vAlign w:val="center"/>
          </w:tcPr>
          <w:p w:rsidR="00687863" w:rsidRPr="0041608E" w:rsidRDefault="000A6C5D" w:rsidP="000A6C5D">
            <w:pPr>
              <w:rPr>
                <w:sz w:val="28"/>
                <w:szCs w:val="28"/>
              </w:rPr>
            </w:pPr>
            <w:r w:rsidRPr="0041608E">
              <w:rPr>
                <w:sz w:val="28"/>
                <w:szCs w:val="28"/>
              </w:rPr>
              <w:t>4.</w:t>
            </w:r>
          </w:p>
        </w:tc>
        <w:tc>
          <w:tcPr>
            <w:tcW w:w="2943" w:type="dxa"/>
            <w:vAlign w:val="center"/>
          </w:tcPr>
          <w:p w:rsidR="00687863" w:rsidRPr="0041608E" w:rsidRDefault="000A6C5D" w:rsidP="000A6C5D">
            <w:pPr>
              <w:rPr>
                <w:sz w:val="28"/>
                <w:szCs w:val="28"/>
              </w:rPr>
            </w:pPr>
            <w:r w:rsidRPr="0041608E">
              <w:rPr>
                <w:sz w:val="28"/>
                <w:szCs w:val="28"/>
              </w:rPr>
              <w:t>Tiesiskā regulējuma nefinansiālā ietekme</w:t>
            </w:r>
          </w:p>
        </w:tc>
        <w:tc>
          <w:tcPr>
            <w:tcW w:w="5953" w:type="dxa"/>
          </w:tcPr>
          <w:p w:rsidR="00687863" w:rsidRPr="0041608E" w:rsidRDefault="000A6C5D" w:rsidP="002F3492">
            <w:pPr>
              <w:rPr>
                <w:sz w:val="28"/>
                <w:szCs w:val="28"/>
              </w:rPr>
            </w:pPr>
            <w:r w:rsidRPr="0041608E">
              <w:rPr>
                <w:sz w:val="28"/>
                <w:szCs w:val="28"/>
              </w:rPr>
              <w:t>Projekts šo jomu neskar.</w:t>
            </w:r>
          </w:p>
        </w:tc>
      </w:tr>
      <w:tr w:rsidR="00687863" w:rsidRPr="0041608E" w:rsidTr="003F4D03">
        <w:tc>
          <w:tcPr>
            <w:tcW w:w="426" w:type="dxa"/>
            <w:vAlign w:val="center"/>
          </w:tcPr>
          <w:p w:rsidR="00687863" w:rsidRPr="0041608E" w:rsidRDefault="000A6C5D" w:rsidP="000A6C5D">
            <w:pPr>
              <w:rPr>
                <w:sz w:val="28"/>
                <w:szCs w:val="28"/>
              </w:rPr>
            </w:pPr>
            <w:r w:rsidRPr="0041608E">
              <w:rPr>
                <w:sz w:val="28"/>
                <w:szCs w:val="28"/>
              </w:rPr>
              <w:t>5.</w:t>
            </w:r>
          </w:p>
        </w:tc>
        <w:tc>
          <w:tcPr>
            <w:tcW w:w="2943" w:type="dxa"/>
            <w:vAlign w:val="center"/>
          </w:tcPr>
          <w:p w:rsidR="00687863" w:rsidRPr="0041608E" w:rsidRDefault="000A6C5D" w:rsidP="000A6C5D">
            <w:pPr>
              <w:rPr>
                <w:sz w:val="28"/>
                <w:szCs w:val="28"/>
              </w:rPr>
            </w:pPr>
            <w:r w:rsidRPr="0041608E">
              <w:rPr>
                <w:sz w:val="28"/>
                <w:szCs w:val="28"/>
              </w:rPr>
              <w:t>Administratīvās procedūras raksturojums</w:t>
            </w:r>
          </w:p>
        </w:tc>
        <w:tc>
          <w:tcPr>
            <w:tcW w:w="5953" w:type="dxa"/>
          </w:tcPr>
          <w:p w:rsidR="00687863" w:rsidRPr="0041608E" w:rsidRDefault="000A6C5D" w:rsidP="002F3492">
            <w:pPr>
              <w:jc w:val="both"/>
              <w:rPr>
                <w:sz w:val="28"/>
                <w:szCs w:val="28"/>
              </w:rPr>
            </w:pPr>
            <w:r w:rsidRPr="0041608E">
              <w:rPr>
                <w:sz w:val="28"/>
                <w:szCs w:val="28"/>
              </w:rPr>
              <w:t>Administratīvā procedūra nemainās, jo netiek mainīta tāmju izstrādāšanas un apstiprināšanas kārtība.</w:t>
            </w:r>
          </w:p>
        </w:tc>
      </w:tr>
      <w:tr w:rsidR="00687863" w:rsidRPr="0041608E" w:rsidTr="003F4D03">
        <w:tc>
          <w:tcPr>
            <w:tcW w:w="426" w:type="dxa"/>
            <w:vAlign w:val="center"/>
          </w:tcPr>
          <w:p w:rsidR="00687863" w:rsidRPr="0041608E" w:rsidRDefault="000A6C5D" w:rsidP="000A6C5D">
            <w:pPr>
              <w:rPr>
                <w:sz w:val="28"/>
                <w:szCs w:val="28"/>
              </w:rPr>
            </w:pPr>
            <w:r w:rsidRPr="0041608E">
              <w:rPr>
                <w:sz w:val="28"/>
                <w:szCs w:val="28"/>
              </w:rPr>
              <w:t>6.</w:t>
            </w:r>
          </w:p>
        </w:tc>
        <w:tc>
          <w:tcPr>
            <w:tcW w:w="2943" w:type="dxa"/>
            <w:vAlign w:val="center"/>
          </w:tcPr>
          <w:p w:rsidR="00687863" w:rsidRPr="0041608E" w:rsidRDefault="000A6C5D" w:rsidP="000A6C5D">
            <w:pPr>
              <w:rPr>
                <w:sz w:val="28"/>
                <w:szCs w:val="28"/>
              </w:rPr>
            </w:pPr>
            <w:r w:rsidRPr="0041608E">
              <w:rPr>
                <w:sz w:val="28"/>
                <w:szCs w:val="28"/>
              </w:rPr>
              <w:t>Administratīvo izmaksu monetārs novērtējums</w:t>
            </w:r>
          </w:p>
        </w:tc>
        <w:tc>
          <w:tcPr>
            <w:tcW w:w="5953" w:type="dxa"/>
          </w:tcPr>
          <w:p w:rsidR="00687863" w:rsidRPr="0041608E" w:rsidRDefault="000A6C5D">
            <w:pPr>
              <w:rPr>
                <w:sz w:val="28"/>
                <w:szCs w:val="28"/>
              </w:rPr>
            </w:pPr>
            <w:r w:rsidRPr="0041608E">
              <w:rPr>
                <w:sz w:val="28"/>
                <w:szCs w:val="28"/>
              </w:rPr>
              <w:t>Projekts šo jomu neskar.</w:t>
            </w:r>
          </w:p>
        </w:tc>
      </w:tr>
      <w:tr w:rsidR="00687863" w:rsidRPr="0041608E" w:rsidTr="003F4D03">
        <w:tc>
          <w:tcPr>
            <w:tcW w:w="426" w:type="dxa"/>
            <w:vAlign w:val="center"/>
          </w:tcPr>
          <w:p w:rsidR="00687863" w:rsidRPr="0041608E" w:rsidRDefault="000A6C5D" w:rsidP="000A6C5D">
            <w:pPr>
              <w:rPr>
                <w:sz w:val="28"/>
                <w:szCs w:val="28"/>
              </w:rPr>
            </w:pPr>
            <w:r w:rsidRPr="0041608E">
              <w:rPr>
                <w:sz w:val="28"/>
                <w:szCs w:val="28"/>
              </w:rPr>
              <w:t>7.</w:t>
            </w:r>
          </w:p>
        </w:tc>
        <w:tc>
          <w:tcPr>
            <w:tcW w:w="2943" w:type="dxa"/>
            <w:vAlign w:val="center"/>
          </w:tcPr>
          <w:p w:rsidR="00687863" w:rsidRPr="0041608E" w:rsidRDefault="000A6C5D" w:rsidP="000A6C5D">
            <w:pPr>
              <w:rPr>
                <w:sz w:val="28"/>
                <w:szCs w:val="28"/>
              </w:rPr>
            </w:pPr>
            <w:r w:rsidRPr="0041608E">
              <w:rPr>
                <w:sz w:val="28"/>
                <w:szCs w:val="28"/>
              </w:rPr>
              <w:t>Cita informācija</w:t>
            </w:r>
          </w:p>
        </w:tc>
        <w:tc>
          <w:tcPr>
            <w:tcW w:w="5953" w:type="dxa"/>
          </w:tcPr>
          <w:p w:rsidR="00687863" w:rsidRPr="0041608E" w:rsidRDefault="000A6C5D" w:rsidP="002F3492">
            <w:pPr>
              <w:rPr>
                <w:sz w:val="28"/>
                <w:szCs w:val="28"/>
              </w:rPr>
            </w:pPr>
            <w:r w:rsidRPr="0041608E">
              <w:rPr>
                <w:sz w:val="28"/>
                <w:szCs w:val="28"/>
              </w:rPr>
              <w:t>Nav.</w:t>
            </w:r>
          </w:p>
        </w:tc>
      </w:tr>
    </w:tbl>
    <w:p w:rsidR="00F15474" w:rsidRDefault="00F15474"/>
    <w:p w:rsidR="00F15474" w:rsidRDefault="00F15474"/>
    <w:tbl>
      <w:tblPr>
        <w:tblStyle w:val="TableGrid"/>
        <w:tblW w:w="9322" w:type="dxa"/>
        <w:tblLook w:val="04A0" w:firstRow="1" w:lastRow="0" w:firstColumn="1" w:lastColumn="0" w:noHBand="0" w:noVBand="1"/>
      </w:tblPr>
      <w:tblGrid>
        <w:gridCol w:w="426"/>
        <w:gridCol w:w="5069"/>
        <w:gridCol w:w="3827"/>
      </w:tblGrid>
      <w:tr w:rsidR="00F15474" w:rsidRPr="0041608E" w:rsidTr="00B52A79">
        <w:trPr>
          <w:trHeight w:val="428"/>
        </w:trPr>
        <w:tc>
          <w:tcPr>
            <w:tcW w:w="9322" w:type="dxa"/>
            <w:gridSpan w:val="3"/>
            <w:vAlign w:val="center"/>
          </w:tcPr>
          <w:p w:rsidR="00F15474" w:rsidRPr="0041608E" w:rsidRDefault="00F15474" w:rsidP="002F3492">
            <w:pPr>
              <w:jc w:val="center"/>
              <w:rPr>
                <w:b/>
                <w:sz w:val="28"/>
                <w:szCs w:val="28"/>
              </w:rPr>
            </w:pPr>
            <w:r w:rsidRPr="0041608E">
              <w:rPr>
                <w:b/>
                <w:sz w:val="28"/>
                <w:szCs w:val="28"/>
              </w:rPr>
              <w:t>VII. Tiesību akta projekta izpildes nodrošināšana un tās ietekme uz institūcijām</w:t>
            </w:r>
          </w:p>
        </w:tc>
      </w:tr>
      <w:tr w:rsidR="00F15474" w:rsidRPr="0041608E" w:rsidTr="003F4D03">
        <w:tc>
          <w:tcPr>
            <w:tcW w:w="426" w:type="dxa"/>
            <w:vAlign w:val="center"/>
          </w:tcPr>
          <w:p w:rsidR="00F15474" w:rsidRPr="0041608E" w:rsidRDefault="00F15474" w:rsidP="00FF0AFC">
            <w:pPr>
              <w:pStyle w:val="naiskr"/>
              <w:spacing w:line="360" w:lineRule="auto"/>
              <w:rPr>
                <w:sz w:val="28"/>
                <w:szCs w:val="28"/>
              </w:rPr>
            </w:pPr>
            <w:r w:rsidRPr="0041608E">
              <w:rPr>
                <w:sz w:val="28"/>
                <w:szCs w:val="28"/>
              </w:rPr>
              <w:t>1.</w:t>
            </w:r>
          </w:p>
        </w:tc>
        <w:tc>
          <w:tcPr>
            <w:tcW w:w="5069" w:type="dxa"/>
            <w:vAlign w:val="center"/>
          </w:tcPr>
          <w:p w:rsidR="00F15474" w:rsidRPr="0041608E" w:rsidRDefault="00F15474" w:rsidP="002F3492">
            <w:pPr>
              <w:pStyle w:val="naiskr"/>
              <w:spacing w:before="0" w:beforeAutospacing="0" w:after="0" w:afterAutospacing="0"/>
              <w:rPr>
                <w:sz w:val="28"/>
                <w:szCs w:val="28"/>
              </w:rPr>
            </w:pPr>
            <w:r w:rsidRPr="0041608E">
              <w:rPr>
                <w:sz w:val="28"/>
                <w:szCs w:val="28"/>
              </w:rPr>
              <w:t>Projekta izpildē iesaistītās institūcijas</w:t>
            </w:r>
          </w:p>
        </w:tc>
        <w:tc>
          <w:tcPr>
            <w:tcW w:w="3827" w:type="dxa"/>
          </w:tcPr>
          <w:p w:rsidR="00F15474" w:rsidRPr="0041608E" w:rsidRDefault="00FF0AFC" w:rsidP="00FF0AFC">
            <w:pPr>
              <w:pStyle w:val="naiskr"/>
              <w:spacing w:line="360" w:lineRule="auto"/>
              <w:rPr>
                <w:sz w:val="28"/>
                <w:szCs w:val="28"/>
              </w:rPr>
            </w:pPr>
            <w:r w:rsidRPr="0041608E">
              <w:rPr>
                <w:sz w:val="28"/>
                <w:szCs w:val="28"/>
              </w:rPr>
              <w:t>Valsts budžeta iestādes.</w:t>
            </w:r>
          </w:p>
        </w:tc>
      </w:tr>
      <w:tr w:rsidR="00F15474" w:rsidRPr="0041608E" w:rsidTr="003F4D03">
        <w:tc>
          <w:tcPr>
            <w:tcW w:w="426" w:type="dxa"/>
            <w:vAlign w:val="center"/>
          </w:tcPr>
          <w:p w:rsidR="00F15474" w:rsidRPr="0041608E" w:rsidRDefault="00F15474" w:rsidP="00FF0AFC">
            <w:pPr>
              <w:pStyle w:val="naiskr"/>
              <w:spacing w:line="360" w:lineRule="auto"/>
              <w:rPr>
                <w:sz w:val="28"/>
                <w:szCs w:val="28"/>
              </w:rPr>
            </w:pPr>
            <w:r w:rsidRPr="0041608E">
              <w:rPr>
                <w:sz w:val="28"/>
                <w:szCs w:val="28"/>
              </w:rPr>
              <w:t>2.</w:t>
            </w:r>
          </w:p>
        </w:tc>
        <w:tc>
          <w:tcPr>
            <w:tcW w:w="5069" w:type="dxa"/>
            <w:vAlign w:val="center"/>
          </w:tcPr>
          <w:p w:rsidR="00F15474" w:rsidRPr="0041608E" w:rsidRDefault="00F15474" w:rsidP="002F3492">
            <w:pPr>
              <w:pStyle w:val="naiskr"/>
              <w:spacing w:before="0" w:beforeAutospacing="0" w:after="0" w:afterAutospacing="0"/>
              <w:rPr>
                <w:sz w:val="28"/>
                <w:szCs w:val="28"/>
              </w:rPr>
            </w:pPr>
            <w:r w:rsidRPr="0041608E">
              <w:rPr>
                <w:sz w:val="28"/>
                <w:szCs w:val="28"/>
              </w:rPr>
              <w:t>Projekta izpildes ietekme uz pārvaldes funkcijām</w:t>
            </w:r>
          </w:p>
        </w:tc>
        <w:tc>
          <w:tcPr>
            <w:tcW w:w="3827" w:type="dxa"/>
          </w:tcPr>
          <w:p w:rsidR="00F15474" w:rsidRPr="0041608E" w:rsidRDefault="00FF0AFC" w:rsidP="00FF0AFC">
            <w:pPr>
              <w:pStyle w:val="naiskr"/>
              <w:spacing w:line="360" w:lineRule="auto"/>
              <w:rPr>
                <w:sz w:val="28"/>
                <w:szCs w:val="28"/>
              </w:rPr>
            </w:pPr>
            <w:r w:rsidRPr="0041608E">
              <w:rPr>
                <w:sz w:val="28"/>
                <w:szCs w:val="28"/>
              </w:rPr>
              <w:t>Projekts šo jomu neskar.</w:t>
            </w:r>
          </w:p>
        </w:tc>
      </w:tr>
      <w:tr w:rsidR="00F15474" w:rsidRPr="0041608E" w:rsidTr="003F4D03">
        <w:tc>
          <w:tcPr>
            <w:tcW w:w="426" w:type="dxa"/>
            <w:vAlign w:val="center"/>
          </w:tcPr>
          <w:p w:rsidR="00F15474" w:rsidRPr="0041608E" w:rsidRDefault="00F15474" w:rsidP="00FF0AFC">
            <w:pPr>
              <w:pStyle w:val="naiskr"/>
              <w:spacing w:line="360" w:lineRule="auto"/>
              <w:rPr>
                <w:sz w:val="28"/>
                <w:szCs w:val="28"/>
              </w:rPr>
            </w:pPr>
            <w:r w:rsidRPr="0041608E">
              <w:rPr>
                <w:sz w:val="28"/>
                <w:szCs w:val="28"/>
              </w:rPr>
              <w:t>3.</w:t>
            </w:r>
          </w:p>
        </w:tc>
        <w:tc>
          <w:tcPr>
            <w:tcW w:w="5069" w:type="dxa"/>
            <w:vAlign w:val="center"/>
          </w:tcPr>
          <w:p w:rsidR="00F15474" w:rsidRPr="0041608E" w:rsidRDefault="00F15474" w:rsidP="002F3492">
            <w:pPr>
              <w:pStyle w:val="naiskr"/>
              <w:spacing w:before="0" w:beforeAutospacing="0" w:after="0" w:afterAutospacing="0"/>
              <w:rPr>
                <w:sz w:val="28"/>
                <w:szCs w:val="28"/>
              </w:rPr>
            </w:pPr>
            <w:r w:rsidRPr="0041608E">
              <w:rPr>
                <w:sz w:val="28"/>
                <w:szCs w:val="28"/>
              </w:rPr>
              <w:t>Projekta izpildes ietekme uz pārvaldes institucionālo</w:t>
            </w:r>
            <w:r w:rsidR="00FF0AFC" w:rsidRPr="0041608E">
              <w:rPr>
                <w:sz w:val="28"/>
                <w:szCs w:val="28"/>
              </w:rPr>
              <w:t xml:space="preserve"> struktūru. </w:t>
            </w:r>
            <w:r w:rsidRPr="0041608E">
              <w:rPr>
                <w:sz w:val="28"/>
                <w:szCs w:val="28"/>
              </w:rPr>
              <w:t>Jaunu institūciju izveide</w:t>
            </w:r>
            <w:r w:rsidR="00FF0AFC" w:rsidRPr="0041608E">
              <w:rPr>
                <w:sz w:val="28"/>
                <w:szCs w:val="28"/>
              </w:rPr>
              <w:t>.</w:t>
            </w:r>
          </w:p>
        </w:tc>
        <w:tc>
          <w:tcPr>
            <w:tcW w:w="3827" w:type="dxa"/>
          </w:tcPr>
          <w:p w:rsidR="00F15474" w:rsidRPr="0041608E" w:rsidRDefault="00FF0AFC" w:rsidP="00FF0AFC">
            <w:pPr>
              <w:pStyle w:val="naiskr"/>
              <w:spacing w:line="360" w:lineRule="auto"/>
              <w:rPr>
                <w:sz w:val="28"/>
                <w:szCs w:val="28"/>
              </w:rPr>
            </w:pPr>
            <w:r w:rsidRPr="0041608E">
              <w:rPr>
                <w:sz w:val="28"/>
                <w:szCs w:val="28"/>
              </w:rPr>
              <w:t>Projekts šo jomu neskar.</w:t>
            </w:r>
          </w:p>
        </w:tc>
      </w:tr>
      <w:tr w:rsidR="00F15474" w:rsidRPr="0041608E" w:rsidTr="003F4D03">
        <w:tc>
          <w:tcPr>
            <w:tcW w:w="426" w:type="dxa"/>
            <w:vAlign w:val="center"/>
          </w:tcPr>
          <w:p w:rsidR="00F15474" w:rsidRPr="0041608E" w:rsidRDefault="00F15474" w:rsidP="00FF0AFC">
            <w:pPr>
              <w:pStyle w:val="naiskr"/>
              <w:spacing w:line="360" w:lineRule="auto"/>
              <w:rPr>
                <w:sz w:val="28"/>
                <w:szCs w:val="28"/>
              </w:rPr>
            </w:pPr>
            <w:r w:rsidRPr="0041608E">
              <w:rPr>
                <w:sz w:val="28"/>
                <w:szCs w:val="28"/>
              </w:rPr>
              <w:t>4.</w:t>
            </w:r>
          </w:p>
        </w:tc>
        <w:tc>
          <w:tcPr>
            <w:tcW w:w="5069" w:type="dxa"/>
            <w:vAlign w:val="center"/>
          </w:tcPr>
          <w:p w:rsidR="00F15474" w:rsidRPr="0041608E" w:rsidRDefault="00F15474" w:rsidP="002F3492">
            <w:pPr>
              <w:pStyle w:val="naiskr"/>
              <w:spacing w:before="0" w:beforeAutospacing="0" w:after="0" w:afterAutospacing="0"/>
              <w:rPr>
                <w:sz w:val="28"/>
                <w:szCs w:val="28"/>
              </w:rPr>
            </w:pPr>
            <w:r w:rsidRPr="0041608E">
              <w:rPr>
                <w:sz w:val="28"/>
                <w:szCs w:val="28"/>
              </w:rPr>
              <w:t xml:space="preserve">Projekta izpildes ietekme uz pārvaldes institucionālo struktūru. </w:t>
            </w:r>
            <w:r w:rsidRPr="0041608E">
              <w:rPr>
                <w:vanish/>
                <w:sz w:val="28"/>
                <w:szCs w:val="28"/>
              </w:rPr>
              <w:t xml:space="preserve">av, IV, V,stiprinifikāciju)umi </w:t>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vanish/>
                <w:sz w:val="28"/>
                <w:szCs w:val="28"/>
              </w:rPr>
              <w:pgNum/>
            </w:r>
            <w:r w:rsidRPr="0041608E">
              <w:rPr>
                <w:sz w:val="28"/>
                <w:szCs w:val="28"/>
              </w:rPr>
              <w:t>Esošu institūciju likvidācija</w:t>
            </w:r>
            <w:r w:rsidR="00FF0AFC" w:rsidRPr="0041608E">
              <w:rPr>
                <w:sz w:val="28"/>
                <w:szCs w:val="28"/>
              </w:rPr>
              <w:t>.</w:t>
            </w:r>
          </w:p>
        </w:tc>
        <w:tc>
          <w:tcPr>
            <w:tcW w:w="3827" w:type="dxa"/>
          </w:tcPr>
          <w:p w:rsidR="00F15474" w:rsidRPr="0041608E" w:rsidRDefault="00FF0AFC" w:rsidP="00FF0AFC">
            <w:pPr>
              <w:pStyle w:val="naiskr"/>
              <w:spacing w:line="360" w:lineRule="auto"/>
              <w:rPr>
                <w:sz w:val="28"/>
                <w:szCs w:val="28"/>
              </w:rPr>
            </w:pPr>
            <w:r w:rsidRPr="0041608E">
              <w:rPr>
                <w:sz w:val="28"/>
                <w:szCs w:val="28"/>
              </w:rPr>
              <w:t>Projekts šo jomu neskar.</w:t>
            </w:r>
          </w:p>
        </w:tc>
      </w:tr>
      <w:tr w:rsidR="00F15474" w:rsidRPr="0041608E" w:rsidTr="003F4D03">
        <w:tc>
          <w:tcPr>
            <w:tcW w:w="426" w:type="dxa"/>
            <w:vAlign w:val="center"/>
          </w:tcPr>
          <w:p w:rsidR="00F15474" w:rsidRPr="0041608E" w:rsidRDefault="00F15474" w:rsidP="00FF0AFC">
            <w:pPr>
              <w:pStyle w:val="naiskr"/>
              <w:spacing w:line="360" w:lineRule="auto"/>
              <w:rPr>
                <w:sz w:val="28"/>
                <w:szCs w:val="28"/>
              </w:rPr>
            </w:pPr>
            <w:r w:rsidRPr="0041608E">
              <w:rPr>
                <w:sz w:val="28"/>
                <w:szCs w:val="28"/>
              </w:rPr>
              <w:t>5.</w:t>
            </w:r>
          </w:p>
        </w:tc>
        <w:tc>
          <w:tcPr>
            <w:tcW w:w="5069" w:type="dxa"/>
            <w:vAlign w:val="center"/>
          </w:tcPr>
          <w:p w:rsidR="00F15474" w:rsidRPr="0041608E" w:rsidRDefault="00F15474" w:rsidP="002F3492">
            <w:pPr>
              <w:pStyle w:val="naiskr"/>
              <w:spacing w:before="0" w:beforeAutospacing="0" w:after="0" w:afterAutospacing="0"/>
              <w:rPr>
                <w:sz w:val="28"/>
                <w:szCs w:val="28"/>
              </w:rPr>
            </w:pPr>
            <w:r w:rsidRPr="0041608E">
              <w:rPr>
                <w:sz w:val="28"/>
                <w:szCs w:val="28"/>
              </w:rPr>
              <w:t>Projekta izpildes ietekme uz pārvaldes institucionālo struktūru. Esošu institūciju reorganizācija.</w:t>
            </w:r>
          </w:p>
        </w:tc>
        <w:tc>
          <w:tcPr>
            <w:tcW w:w="3827" w:type="dxa"/>
          </w:tcPr>
          <w:p w:rsidR="00F15474" w:rsidRPr="0041608E" w:rsidRDefault="00FF0AFC" w:rsidP="00FF0AFC">
            <w:pPr>
              <w:pStyle w:val="naiskr"/>
              <w:spacing w:line="360" w:lineRule="auto"/>
              <w:rPr>
                <w:sz w:val="28"/>
                <w:szCs w:val="28"/>
              </w:rPr>
            </w:pPr>
            <w:r w:rsidRPr="0041608E">
              <w:rPr>
                <w:sz w:val="28"/>
                <w:szCs w:val="28"/>
              </w:rPr>
              <w:t>Projekts šo jomu neskar.</w:t>
            </w:r>
          </w:p>
        </w:tc>
      </w:tr>
      <w:tr w:rsidR="00F15474" w:rsidRPr="0041608E" w:rsidTr="003F4D03">
        <w:tc>
          <w:tcPr>
            <w:tcW w:w="426" w:type="dxa"/>
            <w:vAlign w:val="center"/>
          </w:tcPr>
          <w:p w:rsidR="00F15474" w:rsidRPr="0041608E" w:rsidRDefault="00F15474" w:rsidP="00FF0AFC">
            <w:pPr>
              <w:pStyle w:val="naiskr"/>
              <w:spacing w:line="360" w:lineRule="auto"/>
              <w:rPr>
                <w:sz w:val="28"/>
                <w:szCs w:val="28"/>
              </w:rPr>
            </w:pPr>
            <w:r w:rsidRPr="0041608E">
              <w:rPr>
                <w:sz w:val="28"/>
                <w:szCs w:val="28"/>
              </w:rPr>
              <w:t>6.</w:t>
            </w:r>
          </w:p>
        </w:tc>
        <w:tc>
          <w:tcPr>
            <w:tcW w:w="5069" w:type="dxa"/>
            <w:vAlign w:val="center"/>
          </w:tcPr>
          <w:p w:rsidR="00F15474" w:rsidRPr="0041608E" w:rsidRDefault="00F15474" w:rsidP="002F3492">
            <w:pPr>
              <w:pStyle w:val="naiskr"/>
              <w:spacing w:before="0" w:beforeAutospacing="0" w:after="0" w:afterAutospacing="0"/>
              <w:rPr>
                <w:sz w:val="28"/>
                <w:szCs w:val="28"/>
              </w:rPr>
            </w:pPr>
            <w:r w:rsidRPr="0041608E">
              <w:rPr>
                <w:sz w:val="28"/>
                <w:szCs w:val="28"/>
              </w:rPr>
              <w:t>Cita informācija</w:t>
            </w:r>
          </w:p>
        </w:tc>
        <w:tc>
          <w:tcPr>
            <w:tcW w:w="3827" w:type="dxa"/>
          </w:tcPr>
          <w:p w:rsidR="00F15474" w:rsidRPr="0041608E" w:rsidRDefault="00F15474" w:rsidP="00FF0AFC">
            <w:pPr>
              <w:pStyle w:val="naiskr"/>
              <w:spacing w:line="360" w:lineRule="auto"/>
              <w:rPr>
                <w:sz w:val="28"/>
                <w:szCs w:val="28"/>
              </w:rPr>
            </w:pPr>
            <w:r w:rsidRPr="0041608E">
              <w:rPr>
                <w:sz w:val="28"/>
                <w:szCs w:val="28"/>
              </w:rPr>
              <w:t>Nav.</w:t>
            </w:r>
          </w:p>
        </w:tc>
      </w:tr>
    </w:tbl>
    <w:p w:rsidR="008732D4" w:rsidRDefault="008732D4">
      <w:r>
        <w:t xml:space="preserve"> </w:t>
      </w:r>
    </w:p>
    <w:p w:rsidR="00F15474" w:rsidRPr="0041608E" w:rsidRDefault="008732D4">
      <w:pPr>
        <w:rPr>
          <w:sz w:val="28"/>
          <w:szCs w:val="28"/>
        </w:rPr>
      </w:pPr>
      <w:r w:rsidRPr="0041608E">
        <w:rPr>
          <w:sz w:val="28"/>
          <w:szCs w:val="28"/>
        </w:rPr>
        <w:t>Anotācijas III, IV, V un VI sadaļa – Projekts šīs jomas neskar.</w:t>
      </w:r>
    </w:p>
    <w:p w:rsidR="000931A3" w:rsidRPr="0041608E" w:rsidRDefault="000931A3">
      <w:pPr>
        <w:rPr>
          <w:sz w:val="28"/>
          <w:szCs w:val="28"/>
        </w:rPr>
      </w:pPr>
      <w:r w:rsidRPr="0041608E">
        <w:rPr>
          <w:sz w:val="28"/>
          <w:szCs w:val="28"/>
        </w:rPr>
        <w:t xml:space="preserve"> </w:t>
      </w:r>
    </w:p>
    <w:p w:rsidR="00243BC9" w:rsidRDefault="00243BC9" w:rsidP="000931A3">
      <w:pPr>
        <w:rPr>
          <w:sz w:val="28"/>
          <w:szCs w:val="28"/>
        </w:rPr>
      </w:pPr>
    </w:p>
    <w:p w:rsidR="00243BC9" w:rsidRDefault="00243BC9" w:rsidP="000931A3">
      <w:pPr>
        <w:rPr>
          <w:sz w:val="28"/>
          <w:szCs w:val="28"/>
        </w:rPr>
      </w:pPr>
    </w:p>
    <w:p w:rsidR="00243BC9" w:rsidRDefault="00243BC9" w:rsidP="000931A3">
      <w:pPr>
        <w:rPr>
          <w:sz w:val="28"/>
          <w:szCs w:val="28"/>
        </w:rPr>
      </w:pPr>
    </w:p>
    <w:p w:rsidR="00243BC9" w:rsidRDefault="00243BC9" w:rsidP="000931A3">
      <w:pPr>
        <w:rPr>
          <w:sz w:val="28"/>
          <w:szCs w:val="28"/>
        </w:rPr>
      </w:pPr>
    </w:p>
    <w:p w:rsidR="00243BC9" w:rsidRDefault="00243BC9" w:rsidP="000931A3">
      <w:pPr>
        <w:rPr>
          <w:sz w:val="28"/>
          <w:szCs w:val="28"/>
        </w:rPr>
      </w:pPr>
    </w:p>
    <w:p w:rsidR="000931A3" w:rsidRPr="0041608E" w:rsidRDefault="000931A3" w:rsidP="000931A3">
      <w:pPr>
        <w:rPr>
          <w:sz w:val="28"/>
          <w:szCs w:val="28"/>
        </w:rPr>
      </w:pPr>
      <w:r w:rsidRPr="0041608E">
        <w:rPr>
          <w:sz w:val="28"/>
          <w:szCs w:val="28"/>
        </w:rPr>
        <w:t xml:space="preserve">Finanšu ministrs </w:t>
      </w:r>
      <w:r w:rsidRPr="0041608E">
        <w:rPr>
          <w:sz w:val="28"/>
          <w:szCs w:val="28"/>
        </w:rPr>
        <w:tab/>
        <w:t xml:space="preserve">  </w:t>
      </w:r>
      <w:r w:rsidRPr="0041608E">
        <w:rPr>
          <w:sz w:val="28"/>
          <w:szCs w:val="28"/>
        </w:rPr>
        <w:tab/>
      </w:r>
      <w:r w:rsidRPr="0041608E">
        <w:rPr>
          <w:sz w:val="28"/>
          <w:szCs w:val="28"/>
        </w:rPr>
        <w:tab/>
      </w:r>
      <w:r w:rsidRPr="0041608E">
        <w:rPr>
          <w:sz w:val="28"/>
          <w:szCs w:val="28"/>
        </w:rPr>
        <w:tab/>
      </w:r>
      <w:r w:rsidRPr="0041608E">
        <w:rPr>
          <w:sz w:val="28"/>
          <w:szCs w:val="28"/>
        </w:rPr>
        <w:tab/>
      </w:r>
      <w:r w:rsidRPr="0041608E">
        <w:rPr>
          <w:sz w:val="28"/>
          <w:szCs w:val="28"/>
        </w:rPr>
        <w:tab/>
      </w:r>
      <w:r w:rsidRPr="0041608E">
        <w:rPr>
          <w:sz w:val="28"/>
          <w:szCs w:val="28"/>
        </w:rPr>
        <w:tab/>
        <w:t>A.Vilks</w:t>
      </w:r>
    </w:p>
    <w:p w:rsidR="000931A3" w:rsidRDefault="000931A3" w:rsidP="000931A3"/>
    <w:p w:rsidR="00243BC9" w:rsidRDefault="00243BC9" w:rsidP="00E53770">
      <w:pPr>
        <w:jc w:val="both"/>
        <w:rPr>
          <w:rFonts w:eastAsia="Times New Roman"/>
          <w:sz w:val="18"/>
          <w:szCs w:val="18"/>
          <w:lang w:val="en-GB" w:eastAsia="en-US"/>
        </w:rPr>
      </w:pPr>
    </w:p>
    <w:p w:rsidR="00243BC9" w:rsidRDefault="00243BC9" w:rsidP="00E53770">
      <w:pPr>
        <w:jc w:val="both"/>
        <w:rPr>
          <w:rFonts w:eastAsia="Times New Roman"/>
          <w:sz w:val="18"/>
          <w:szCs w:val="18"/>
          <w:lang w:val="en-GB" w:eastAsia="en-US"/>
        </w:rPr>
      </w:pPr>
    </w:p>
    <w:p w:rsidR="00243BC9" w:rsidRDefault="00243BC9" w:rsidP="00E53770">
      <w:pPr>
        <w:jc w:val="both"/>
        <w:rPr>
          <w:rFonts w:eastAsia="Times New Roman"/>
          <w:sz w:val="18"/>
          <w:szCs w:val="18"/>
          <w:lang w:val="en-GB" w:eastAsia="en-US"/>
        </w:rPr>
      </w:pPr>
    </w:p>
    <w:p w:rsidR="00243BC9" w:rsidRDefault="00243BC9" w:rsidP="00E53770">
      <w:pPr>
        <w:jc w:val="both"/>
        <w:rPr>
          <w:rFonts w:eastAsia="Times New Roman"/>
          <w:sz w:val="18"/>
          <w:szCs w:val="18"/>
          <w:lang w:val="en-GB" w:eastAsia="en-US"/>
        </w:rPr>
      </w:pPr>
    </w:p>
    <w:p w:rsidR="00243BC9" w:rsidRDefault="00243BC9" w:rsidP="00E53770">
      <w:pPr>
        <w:jc w:val="both"/>
        <w:rPr>
          <w:rFonts w:eastAsia="Times New Roman"/>
          <w:sz w:val="18"/>
          <w:szCs w:val="18"/>
          <w:lang w:val="en-GB" w:eastAsia="en-US"/>
        </w:rPr>
      </w:pPr>
    </w:p>
    <w:p w:rsidR="00243BC9" w:rsidRDefault="00243BC9" w:rsidP="00E53770">
      <w:pPr>
        <w:jc w:val="both"/>
        <w:rPr>
          <w:rFonts w:eastAsia="Times New Roman"/>
          <w:sz w:val="18"/>
          <w:szCs w:val="18"/>
          <w:lang w:val="en-GB" w:eastAsia="en-US"/>
        </w:rPr>
      </w:pPr>
    </w:p>
    <w:p w:rsidR="00243BC9" w:rsidRDefault="00243BC9" w:rsidP="00E53770">
      <w:pPr>
        <w:jc w:val="both"/>
        <w:rPr>
          <w:rFonts w:eastAsia="Times New Roman"/>
          <w:sz w:val="18"/>
          <w:szCs w:val="18"/>
          <w:lang w:val="en-GB" w:eastAsia="en-US"/>
        </w:rPr>
      </w:pPr>
    </w:p>
    <w:p w:rsidR="00243BC9" w:rsidRDefault="00243BC9" w:rsidP="00E53770">
      <w:pPr>
        <w:jc w:val="both"/>
        <w:rPr>
          <w:rFonts w:eastAsia="Times New Roman"/>
          <w:sz w:val="18"/>
          <w:szCs w:val="18"/>
          <w:lang w:val="en-GB" w:eastAsia="en-US"/>
        </w:rPr>
      </w:pPr>
    </w:p>
    <w:p w:rsidR="00E53770" w:rsidRPr="00E53770" w:rsidRDefault="00E53770" w:rsidP="00E53770">
      <w:pPr>
        <w:jc w:val="both"/>
        <w:rPr>
          <w:rFonts w:eastAsia="Times New Roman"/>
          <w:sz w:val="18"/>
          <w:szCs w:val="18"/>
          <w:lang w:val="en-GB" w:eastAsia="en-US"/>
        </w:rPr>
      </w:pPr>
      <w:r w:rsidRPr="00E53770">
        <w:rPr>
          <w:rFonts w:eastAsia="Times New Roman"/>
          <w:sz w:val="18"/>
          <w:szCs w:val="18"/>
          <w:lang w:val="en-GB" w:eastAsia="en-US"/>
        </w:rPr>
        <w:t>1</w:t>
      </w:r>
      <w:r w:rsidR="00DD482C">
        <w:rPr>
          <w:rFonts w:eastAsia="Times New Roman"/>
          <w:sz w:val="18"/>
          <w:szCs w:val="18"/>
          <w:lang w:val="en-GB" w:eastAsia="en-US"/>
        </w:rPr>
        <w:t>0</w:t>
      </w:r>
      <w:r w:rsidRPr="00E53770">
        <w:rPr>
          <w:rFonts w:eastAsia="Times New Roman"/>
          <w:sz w:val="18"/>
          <w:szCs w:val="18"/>
          <w:lang w:val="en-GB" w:eastAsia="en-US"/>
        </w:rPr>
        <w:t>.</w:t>
      </w:r>
      <w:r w:rsidR="00DD482C">
        <w:rPr>
          <w:rFonts w:eastAsia="Times New Roman"/>
          <w:sz w:val="18"/>
          <w:szCs w:val="18"/>
          <w:lang w:val="en-GB" w:eastAsia="en-US"/>
        </w:rPr>
        <w:t>01</w:t>
      </w:r>
      <w:r w:rsidRPr="00E53770">
        <w:rPr>
          <w:rFonts w:eastAsia="Times New Roman"/>
          <w:sz w:val="18"/>
          <w:szCs w:val="18"/>
          <w:lang w:val="en-GB" w:eastAsia="en-US"/>
        </w:rPr>
        <w:t>.201</w:t>
      </w:r>
      <w:r w:rsidR="00DD482C">
        <w:rPr>
          <w:rFonts w:eastAsia="Times New Roman"/>
          <w:sz w:val="18"/>
          <w:szCs w:val="18"/>
          <w:lang w:val="en-GB" w:eastAsia="en-US"/>
        </w:rPr>
        <w:t>3</w:t>
      </w:r>
      <w:r w:rsidRPr="00E53770">
        <w:rPr>
          <w:rFonts w:eastAsia="Times New Roman"/>
          <w:sz w:val="18"/>
          <w:szCs w:val="18"/>
          <w:lang w:val="en-GB" w:eastAsia="en-US"/>
        </w:rPr>
        <w:t>. 13:47</w:t>
      </w:r>
    </w:p>
    <w:p w:rsidR="00E53770" w:rsidRPr="00E53770" w:rsidRDefault="00E53770" w:rsidP="00E53770">
      <w:pPr>
        <w:jc w:val="both"/>
        <w:rPr>
          <w:rFonts w:eastAsia="Times New Roman"/>
          <w:sz w:val="18"/>
          <w:szCs w:val="18"/>
          <w:lang w:val="en-GB" w:eastAsia="en-US"/>
        </w:rPr>
      </w:pPr>
      <w:r w:rsidRPr="00E53770">
        <w:rPr>
          <w:rFonts w:eastAsia="Times New Roman"/>
          <w:sz w:val="18"/>
          <w:szCs w:val="18"/>
          <w:lang w:val="en-GB" w:eastAsia="en-US"/>
        </w:rPr>
        <w:fldChar w:fldCharType="begin"/>
      </w:r>
      <w:r w:rsidRPr="00E53770">
        <w:rPr>
          <w:rFonts w:eastAsia="Times New Roman"/>
          <w:sz w:val="18"/>
          <w:szCs w:val="18"/>
          <w:lang w:val="en-GB" w:eastAsia="en-US"/>
        </w:rPr>
        <w:instrText xml:space="preserve"> NUMWORDS   \* MERGEFORMAT </w:instrText>
      </w:r>
      <w:r w:rsidRPr="00E53770">
        <w:rPr>
          <w:rFonts w:eastAsia="Times New Roman"/>
          <w:sz w:val="18"/>
          <w:szCs w:val="18"/>
          <w:lang w:val="en-GB" w:eastAsia="en-US"/>
        </w:rPr>
        <w:fldChar w:fldCharType="separate"/>
      </w:r>
      <w:r w:rsidR="007E4052">
        <w:rPr>
          <w:rFonts w:eastAsia="Times New Roman"/>
          <w:noProof/>
          <w:sz w:val="18"/>
          <w:szCs w:val="18"/>
          <w:lang w:val="en-GB" w:eastAsia="en-US"/>
        </w:rPr>
        <w:t>985</w:t>
      </w:r>
      <w:r w:rsidRPr="00E53770">
        <w:rPr>
          <w:rFonts w:eastAsia="Times New Roman"/>
          <w:sz w:val="18"/>
          <w:szCs w:val="18"/>
          <w:lang w:val="en-GB" w:eastAsia="en-US"/>
        </w:rPr>
        <w:fldChar w:fldCharType="end"/>
      </w:r>
    </w:p>
    <w:p w:rsidR="00E53770" w:rsidRPr="00E53770" w:rsidRDefault="00E53770" w:rsidP="00E53770">
      <w:pPr>
        <w:jc w:val="both"/>
        <w:rPr>
          <w:rFonts w:eastAsia="Times New Roman"/>
          <w:sz w:val="18"/>
          <w:szCs w:val="18"/>
          <w:lang w:val="en-GB" w:eastAsia="en-US"/>
        </w:rPr>
      </w:pPr>
      <w:r w:rsidRPr="00E53770">
        <w:rPr>
          <w:rFonts w:eastAsia="Times New Roman"/>
          <w:sz w:val="18"/>
          <w:szCs w:val="18"/>
          <w:lang w:val="en-GB" w:eastAsia="en-US"/>
        </w:rPr>
        <w:t>R.Čablis</w:t>
      </w:r>
    </w:p>
    <w:p w:rsidR="00131ED9" w:rsidRDefault="00E53770" w:rsidP="00FC3C98">
      <w:pPr>
        <w:jc w:val="both"/>
      </w:pPr>
      <w:r w:rsidRPr="00E53770">
        <w:rPr>
          <w:rFonts w:eastAsia="Times New Roman"/>
          <w:sz w:val="18"/>
          <w:szCs w:val="18"/>
          <w:lang w:val="fr-BE" w:eastAsia="en-US"/>
        </w:rPr>
        <w:t>67095498, raivis.cablis@fm.gov.lv</w:t>
      </w:r>
    </w:p>
    <w:sectPr w:rsidR="00131ED9" w:rsidSect="00145618">
      <w:headerReference w:type="default" r:id="rId12"/>
      <w:footerReference w:type="default" r:id="rId13"/>
      <w:footerReference w:type="first" r:id="rId14"/>
      <w:pgSz w:w="11906" w:h="16838"/>
      <w:pgMar w:top="1418" w:right="1134" w:bottom="1134" w:left="1701" w:header="709"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AE" w:rsidRDefault="007A49AE" w:rsidP="00B52A79">
      <w:r>
        <w:separator/>
      </w:r>
    </w:p>
  </w:endnote>
  <w:endnote w:type="continuationSeparator" w:id="0">
    <w:p w:rsidR="007A49AE" w:rsidRDefault="007A49AE" w:rsidP="00B5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D9" w:rsidRPr="00131ED9" w:rsidRDefault="00131ED9" w:rsidP="00131ED9">
    <w:pPr>
      <w:pStyle w:val="Footer"/>
      <w:jc w:val="both"/>
      <w:rPr>
        <w:sz w:val="20"/>
        <w:szCs w:val="20"/>
      </w:rPr>
    </w:pPr>
    <w:r w:rsidRPr="00131ED9">
      <w:rPr>
        <w:sz w:val="20"/>
        <w:szCs w:val="20"/>
      </w:rPr>
      <w:fldChar w:fldCharType="begin"/>
    </w:r>
    <w:r w:rsidRPr="00131ED9">
      <w:rPr>
        <w:sz w:val="20"/>
        <w:szCs w:val="20"/>
      </w:rPr>
      <w:instrText xml:space="preserve"> FILENAME   \* MERGEFORMAT </w:instrText>
    </w:r>
    <w:r w:rsidRPr="00131ED9">
      <w:rPr>
        <w:sz w:val="20"/>
        <w:szCs w:val="20"/>
      </w:rPr>
      <w:fldChar w:fldCharType="separate"/>
    </w:r>
    <w:r w:rsidR="00227BC7">
      <w:rPr>
        <w:noProof/>
        <w:sz w:val="20"/>
        <w:szCs w:val="20"/>
      </w:rPr>
      <w:t>FMAnot_051212</w:t>
    </w:r>
    <w:r w:rsidRPr="00131ED9">
      <w:rPr>
        <w:sz w:val="20"/>
        <w:szCs w:val="20"/>
      </w:rPr>
      <w:fldChar w:fldCharType="end"/>
    </w:r>
    <w:r w:rsidRPr="00131ED9">
      <w:rPr>
        <w:sz w:val="20"/>
        <w:szCs w:val="20"/>
      </w:rPr>
      <w:t>; Ministru kabineta instrukcijas projekta „Grozījumi Ministru kabineta 2009. gada 20. janvāra instrukcijā Nr.2 „Kārtība, kādā valsts budžeta iestādes sagatavo un apstiprina valsts budžeta programmu, apakšprogrammu un pasākumu tāmes kārtējam gadam””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D9" w:rsidRPr="00131ED9" w:rsidRDefault="00131ED9" w:rsidP="00BE064B">
    <w:pPr>
      <w:pStyle w:val="Footer"/>
      <w:jc w:val="both"/>
      <w:rPr>
        <w:sz w:val="20"/>
        <w:szCs w:val="20"/>
      </w:rPr>
    </w:pPr>
    <w:r w:rsidRPr="00131ED9">
      <w:rPr>
        <w:sz w:val="20"/>
        <w:szCs w:val="20"/>
      </w:rPr>
      <w:fldChar w:fldCharType="begin"/>
    </w:r>
    <w:r w:rsidRPr="00131ED9">
      <w:rPr>
        <w:sz w:val="20"/>
        <w:szCs w:val="20"/>
      </w:rPr>
      <w:instrText xml:space="preserve"> FILENAME   \* MERGEFORMAT </w:instrText>
    </w:r>
    <w:r w:rsidRPr="00131ED9">
      <w:rPr>
        <w:sz w:val="20"/>
        <w:szCs w:val="20"/>
      </w:rPr>
      <w:fldChar w:fldCharType="separate"/>
    </w:r>
    <w:r w:rsidR="00227BC7">
      <w:rPr>
        <w:noProof/>
        <w:sz w:val="20"/>
        <w:szCs w:val="20"/>
      </w:rPr>
      <w:t>FMAnot_051212</w:t>
    </w:r>
    <w:r w:rsidRPr="00131ED9">
      <w:rPr>
        <w:sz w:val="20"/>
        <w:szCs w:val="20"/>
      </w:rPr>
      <w:fldChar w:fldCharType="end"/>
    </w:r>
    <w:r w:rsidRPr="00131ED9">
      <w:rPr>
        <w:sz w:val="20"/>
        <w:szCs w:val="20"/>
      </w:rPr>
      <w:t>; Ministru</w:t>
    </w:r>
    <w:r>
      <w:rPr>
        <w:sz w:val="20"/>
        <w:szCs w:val="20"/>
      </w:rPr>
      <w:t xml:space="preserve"> kabineta instrukcijas projekta </w:t>
    </w:r>
    <w:r w:rsidRPr="00131ED9">
      <w:rPr>
        <w:sz w:val="20"/>
        <w:szCs w:val="20"/>
      </w:rPr>
      <w:t>„Grozījumi Ministru kabineta 2009. gad</w:t>
    </w:r>
    <w:r>
      <w:rPr>
        <w:sz w:val="20"/>
        <w:szCs w:val="20"/>
      </w:rPr>
      <w:t xml:space="preserve">a 20. janvāra instrukcijā Nr.2 </w:t>
    </w:r>
    <w:r w:rsidRPr="00131ED9">
      <w:rPr>
        <w:sz w:val="20"/>
        <w:szCs w:val="20"/>
      </w:rPr>
      <w:t>„Kārtība, kādā valsts budžeta iestādes sagatavo un apstiprina valsts budžeta programmu, apakšprogrammu un pasākumu tāmes kārtējam gadam””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AE" w:rsidRDefault="007A49AE" w:rsidP="00B52A79">
      <w:r>
        <w:separator/>
      </w:r>
    </w:p>
  </w:footnote>
  <w:footnote w:type="continuationSeparator" w:id="0">
    <w:p w:rsidR="007A49AE" w:rsidRDefault="007A49AE" w:rsidP="00B52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78934"/>
      <w:docPartObj>
        <w:docPartGallery w:val="Page Numbers (Top of Page)"/>
        <w:docPartUnique/>
      </w:docPartObj>
    </w:sdtPr>
    <w:sdtEndPr>
      <w:rPr>
        <w:noProof/>
      </w:rPr>
    </w:sdtEndPr>
    <w:sdtContent>
      <w:p w:rsidR="00B52A79" w:rsidRDefault="00B52A79">
        <w:pPr>
          <w:pStyle w:val="Header"/>
          <w:jc w:val="center"/>
        </w:pPr>
        <w:r>
          <w:fldChar w:fldCharType="begin"/>
        </w:r>
        <w:r>
          <w:instrText xml:space="preserve"> PAGE   \* MERGEFORMAT </w:instrText>
        </w:r>
        <w:r>
          <w:fldChar w:fldCharType="separate"/>
        </w:r>
        <w:r w:rsidR="008A7843">
          <w:rPr>
            <w:noProof/>
          </w:rPr>
          <w:t>2</w:t>
        </w:r>
        <w:r>
          <w:rPr>
            <w:noProof/>
          </w:rPr>
          <w:fldChar w:fldCharType="end"/>
        </w:r>
      </w:p>
    </w:sdtContent>
  </w:sdt>
  <w:p w:rsidR="00B52A79" w:rsidRDefault="00B52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4FA"/>
    <w:multiLevelType w:val="hybridMultilevel"/>
    <w:tmpl w:val="E826C0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380DAB"/>
    <w:multiLevelType w:val="hybridMultilevel"/>
    <w:tmpl w:val="EAFA1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8861774"/>
    <w:multiLevelType w:val="hybridMultilevel"/>
    <w:tmpl w:val="73F05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00"/>
    <w:rsid w:val="00006F8F"/>
    <w:rsid w:val="00045018"/>
    <w:rsid w:val="0006221B"/>
    <w:rsid w:val="00063E36"/>
    <w:rsid w:val="000743CB"/>
    <w:rsid w:val="000931A3"/>
    <w:rsid w:val="000A6C5D"/>
    <w:rsid w:val="000C67AA"/>
    <w:rsid w:val="000D1EA1"/>
    <w:rsid w:val="00101BED"/>
    <w:rsid w:val="001043A2"/>
    <w:rsid w:val="00131ED9"/>
    <w:rsid w:val="00137943"/>
    <w:rsid w:val="00145618"/>
    <w:rsid w:val="00171FB0"/>
    <w:rsid w:val="001C08DE"/>
    <w:rsid w:val="001C7C63"/>
    <w:rsid w:val="00227BC7"/>
    <w:rsid w:val="00243BC9"/>
    <w:rsid w:val="0025291D"/>
    <w:rsid w:val="002B1400"/>
    <w:rsid w:val="002F3492"/>
    <w:rsid w:val="003419AC"/>
    <w:rsid w:val="0034725C"/>
    <w:rsid w:val="003577C8"/>
    <w:rsid w:val="00370A72"/>
    <w:rsid w:val="00386531"/>
    <w:rsid w:val="00393998"/>
    <w:rsid w:val="003D1784"/>
    <w:rsid w:val="003F4D03"/>
    <w:rsid w:val="0041608E"/>
    <w:rsid w:val="00430B4A"/>
    <w:rsid w:val="00432F6E"/>
    <w:rsid w:val="00433F26"/>
    <w:rsid w:val="00463C9C"/>
    <w:rsid w:val="00475704"/>
    <w:rsid w:val="004A11CD"/>
    <w:rsid w:val="004A2F94"/>
    <w:rsid w:val="004B2386"/>
    <w:rsid w:val="004D4966"/>
    <w:rsid w:val="004F70B9"/>
    <w:rsid w:val="00525890"/>
    <w:rsid w:val="0056142C"/>
    <w:rsid w:val="00571F35"/>
    <w:rsid w:val="00577D0A"/>
    <w:rsid w:val="00590F7F"/>
    <w:rsid w:val="00594C2F"/>
    <w:rsid w:val="005963A8"/>
    <w:rsid w:val="005A200F"/>
    <w:rsid w:val="005A7262"/>
    <w:rsid w:val="005B48D4"/>
    <w:rsid w:val="005B545D"/>
    <w:rsid w:val="006319D2"/>
    <w:rsid w:val="00644A42"/>
    <w:rsid w:val="00655059"/>
    <w:rsid w:val="00686AB6"/>
    <w:rsid w:val="00687863"/>
    <w:rsid w:val="006C27AF"/>
    <w:rsid w:val="006F4EFD"/>
    <w:rsid w:val="00703EA0"/>
    <w:rsid w:val="00721561"/>
    <w:rsid w:val="00742723"/>
    <w:rsid w:val="007474AA"/>
    <w:rsid w:val="007642DE"/>
    <w:rsid w:val="007A49AE"/>
    <w:rsid w:val="007C39D9"/>
    <w:rsid w:val="007D2CA4"/>
    <w:rsid w:val="007D45EC"/>
    <w:rsid w:val="007E4052"/>
    <w:rsid w:val="007E47C0"/>
    <w:rsid w:val="007E4B12"/>
    <w:rsid w:val="00817D67"/>
    <w:rsid w:val="00826E51"/>
    <w:rsid w:val="0085216C"/>
    <w:rsid w:val="00860DC0"/>
    <w:rsid w:val="008732D4"/>
    <w:rsid w:val="0088618A"/>
    <w:rsid w:val="008A7843"/>
    <w:rsid w:val="008E363E"/>
    <w:rsid w:val="00935222"/>
    <w:rsid w:val="009864FB"/>
    <w:rsid w:val="00992C8B"/>
    <w:rsid w:val="009A4297"/>
    <w:rsid w:val="00A1271A"/>
    <w:rsid w:val="00A36569"/>
    <w:rsid w:val="00A441F3"/>
    <w:rsid w:val="00A8527F"/>
    <w:rsid w:val="00AA07F7"/>
    <w:rsid w:val="00AA5036"/>
    <w:rsid w:val="00AC04BE"/>
    <w:rsid w:val="00AC2D31"/>
    <w:rsid w:val="00AD3E63"/>
    <w:rsid w:val="00AD40FF"/>
    <w:rsid w:val="00AF3644"/>
    <w:rsid w:val="00B2484F"/>
    <w:rsid w:val="00B52A79"/>
    <w:rsid w:val="00B8534B"/>
    <w:rsid w:val="00B867E6"/>
    <w:rsid w:val="00BA7BB8"/>
    <w:rsid w:val="00BC4844"/>
    <w:rsid w:val="00BE064B"/>
    <w:rsid w:val="00BF38F8"/>
    <w:rsid w:val="00BF60A3"/>
    <w:rsid w:val="00BF7FCA"/>
    <w:rsid w:val="00C151AB"/>
    <w:rsid w:val="00C23CA4"/>
    <w:rsid w:val="00C35088"/>
    <w:rsid w:val="00C812E8"/>
    <w:rsid w:val="00CA7622"/>
    <w:rsid w:val="00CE1AFB"/>
    <w:rsid w:val="00D1767D"/>
    <w:rsid w:val="00D41474"/>
    <w:rsid w:val="00D63A7C"/>
    <w:rsid w:val="00D83A41"/>
    <w:rsid w:val="00D94DFC"/>
    <w:rsid w:val="00DA03C4"/>
    <w:rsid w:val="00DD482C"/>
    <w:rsid w:val="00DE2EC6"/>
    <w:rsid w:val="00E1762A"/>
    <w:rsid w:val="00E3548C"/>
    <w:rsid w:val="00E3554B"/>
    <w:rsid w:val="00E40F0B"/>
    <w:rsid w:val="00E53770"/>
    <w:rsid w:val="00EB486D"/>
    <w:rsid w:val="00EE6D1A"/>
    <w:rsid w:val="00F029CC"/>
    <w:rsid w:val="00F15474"/>
    <w:rsid w:val="00F37027"/>
    <w:rsid w:val="00F50C22"/>
    <w:rsid w:val="00F65345"/>
    <w:rsid w:val="00F65549"/>
    <w:rsid w:val="00F862B1"/>
    <w:rsid w:val="00FA08E8"/>
    <w:rsid w:val="00FC3C98"/>
    <w:rsid w:val="00FE5F20"/>
    <w:rsid w:val="00FF0AFC"/>
    <w:rsid w:val="00FF3EE9"/>
    <w:rsid w:val="00FF6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51"/>
    <w:rPr>
      <w:rFonts w:eastAsia="Calibri"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297"/>
    <w:rPr>
      <w:color w:val="0000FF" w:themeColor="hyperlink"/>
      <w:u w:val="single"/>
    </w:rPr>
  </w:style>
  <w:style w:type="table" w:styleId="TableGrid">
    <w:name w:val="Table Grid"/>
    <w:basedOn w:val="TableNormal"/>
    <w:uiPriority w:val="59"/>
    <w:rsid w:val="00687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F1547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577C8"/>
    <w:rPr>
      <w:rFonts w:ascii="Tahoma" w:hAnsi="Tahoma" w:cs="Tahoma"/>
      <w:sz w:val="16"/>
      <w:szCs w:val="16"/>
    </w:rPr>
  </w:style>
  <w:style w:type="character" w:customStyle="1" w:styleId="BalloonTextChar">
    <w:name w:val="Balloon Text Char"/>
    <w:basedOn w:val="DefaultParagraphFont"/>
    <w:link w:val="BalloonText"/>
    <w:uiPriority w:val="99"/>
    <w:semiHidden/>
    <w:rsid w:val="003577C8"/>
    <w:rPr>
      <w:rFonts w:ascii="Tahoma" w:eastAsia="Calibri" w:hAnsi="Tahoma" w:cs="Tahoma"/>
      <w:sz w:val="16"/>
      <w:szCs w:val="16"/>
      <w:lang w:eastAsia="lv-LV"/>
    </w:rPr>
  </w:style>
  <w:style w:type="paragraph" w:styleId="Header">
    <w:name w:val="header"/>
    <w:basedOn w:val="Normal"/>
    <w:link w:val="HeaderChar"/>
    <w:uiPriority w:val="99"/>
    <w:unhideWhenUsed/>
    <w:rsid w:val="00B52A79"/>
    <w:pPr>
      <w:tabs>
        <w:tab w:val="center" w:pos="4513"/>
        <w:tab w:val="right" w:pos="9026"/>
      </w:tabs>
    </w:pPr>
  </w:style>
  <w:style w:type="character" w:customStyle="1" w:styleId="HeaderChar">
    <w:name w:val="Header Char"/>
    <w:basedOn w:val="DefaultParagraphFont"/>
    <w:link w:val="Header"/>
    <w:uiPriority w:val="99"/>
    <w:rsid w:val="00B52A79"/>
    <w:rPr>
      <w:rFonts w:eastAsia="Calibri" w:cs="Times New Roman"/>
      <w:szCs w:val="24"/>
      <w:lang w:eastAsia="lv-LV"/>
    </w:rPr>
  </w:style>
  <w:style w:type="paragraph" w:styleId="Footer">
    <w:name w:val="footer"/>
    <w:basedOn w:val="Normal"/>
    <w:link w:val="FooterChar"/>
    <w:uiPriority w:val="99"/>
    <w:unhideWhenUsed/>
    <w:rsid w:val="00B52A79"/>
    <w:pPr>
      <w:tabs>
        <w:tab w:val="center" w:pos="4513"/>
        <w:tab w:val="right" w:pos="9026"/>
      </w:tabs>
    </w:pPr>
  </w:style>
  <w:style w:type="character" w:customStyle="1" w:styleId="FooterChar">
    <w:name w:val="Footer Char"/>
    <w:basedOn w:val="DefaultParagraphFont"/>
    <w:link w:val="Footer"/>
    <w:uiPriority w:val="99"/>
    <w:rsid w:val="00B52A79"/>
    <w:rPr>
      <w:rFonts w:eastAsia="Calibri" w:cs="Times New Roman"/>
      <w:szCs w:val="24"/>
      <w:lang w:eastAsia="lv-LV"/>
    </w:rPr>
  </w:style>
  <w:style w:type="paragraph" w:styleId="ListParagraph">
    <w:name w:val="List Paragraph"/>
    <w:basedOn w:val="Normal"/>
    <w:uiPriority w:val="34"/>
    <w:qFormat/>
    <w:rsid w:val="005B48D4"/>
    <w:pPr>
      <w:ind w:left="720"/>
      <w:contextualSpacing/>
    </w:pPr>
  </w:style>
  <w:style w:type="character" w:styleId="CommentReference">
    <w:name w:val="annotation reference"/>
    <w:uiPriority w:val="99"/>
    <w:semiHidden/>
    <w:unhideWhenUsed/>
    <w:rsid w:val="005B48D4"/>
    <w:rPr>
      <w:sz w:val="16"/>
      <w:szCs w:val="16"/>
    </w:rPr>
  </w:style>
  <w:style w:type="paragraph" w:styleId="CommentText">
    <w:name w:val="annotation text"/>
    <w:basedOn w:val="Normal"/>
    <w:link w:val="CommentTextChar"/>
    <w:uiPriority w:val="99"/>
    <w:semiHidden/>
    <w:unhideWhenUsed/>
    <w:rsid w:val="007D2CA4"/>
    <w:rPr>
      <w:sz w:val="20"/>
      <w:szCs w:val="20"/>
    </w:rPr>
  </w:style>
  <w:style w:type="character" w:customStyle="1" w:styleId="CommentTextChar">
    <w:name w:val="Comment Text Char"/>
    <w:basedOn w:val="DefaultParagraphFont"/>
    <w:link w:val="CommentText"/>
    <w:uiPriority w:val="99"/>
    <w:semiHidden/>
    <w:rsid w:val="007D2CA4"/>
    <w:rPr>
      <w:rFonts w:eastAsia="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D2CA4"/>
    <w:rPr>
      <w:b/>
      <w:bCs/>
    </w:rPr>
  </w:style>
  <w:style w:type="character" w:customStyle="1" w:styleId="CommentSubjectChar">
    <w:name w:val="Comment Subject Char"/>
    <w:basedOn w:val="CommentTextChar"/>
    <w:link w:val="CommentSubject"/>
    <w:uiPriority w:val="99"/>
    <w:semiHidden/>
    <w:rsid w:val="007D2CA4"/>
    <w:rPr>
      <w:rFonts w:eastAsia="Calibri"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51"/>
    <w:rPr>
      <w:rFonts w:eastAsia="Calibri"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297"/>
    <w:rPr>
      <w:color w:val="0000FF" w:themeColor="hyperlink"/>
      <w:u w:val="single"/>
    </w:rPr>
  </w:style>
  <w:style w:type="table" w:styleId="TableGrid">
    <w:name w:val="Table Grid"/>
    <w:basedOn w:val="TableNormal"/>
    <w:uiPriority w:val="59"/>
    <w:rsid w:val="00687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F1547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577C8"/>
    <w:rPr>
      <w:rFonts w:ascii="Tahoma" w:hAnsi="Tahoma" w:cs="Tahoma"/>
      <w:sz w:val="16"/>
      <w:szCs w:val="16"/>
    </w:rPr>
  </w:style>
  <w:style w:type="character" w:customStyle="1" w:styleId="BalloonTextChar">
    <w:name w:val="Balloon Text Char"/>
    <w:basedOn w:val="DefaultParagraphFont"/>
    <w:link w:val="BalloonText"/>
    <w:uiPriority w:val="99"/>
    <w:semiHidden/>
    <w:rsid w:val="003577C8"/>
    <w:rPr>
      <w:rFonts w:ascii="Tahoma" w:eastAsia="Calibri" w:hAnsi="Tahoma" w:cs="Tahoma"/>
      <w:sz w:val="16"/>
      <w:szCs w:val="16"/>
      <w:lang w:eastAsia="lv-LV"/>
    </w:rPr>
  </w:style>
  <w:style w:type="paragraph" w:styleId="Header">
    <w:name w:val="header"/>
    <w:basedOn w:val="Normal"/>
    <w:link w:val="HeaderChar"/>
    <w:uiPriority w:val="99"/>
    <w:unhideWhenUsed/>
    <w:rsid w:val="00B52A79"/>
    <w:pPr>
      <w:tabs>
        <w:tab w:val="center" w:pos="4513"/>
        <w:tab w:val="right" w:pos="9026"/>
      </w:tabs>
    </w:pPr>
  </w:style>
  <w:style w:type="character" w:customStyle="1" w:styleId="HeaderChar">
    <w:name w:val="Header Char"/>
    <w:basedOn w:val="DefaultParagraphFont"/>
    <w:link w:val="Header"/>
    <w:uiPriority w:val="99"/>
    <w:rsid w:val="00B52A79"/>
    <w:rPr>
      <w:rFonts w:eastAsia="Calibri" w:cs="Times New Roman"/>
      <w:szCs w:val="24"/>
      <w:lang w:eastAsia="lv-LV"/>
    </w:rPr>
  </w:style>
  <w:style w:type="paragraph" w:styleId="Footer">
    <w:name w:val="footer"/>
    <w:basedOn w:val="Normal"/>
    <w:link w:val="FooterChar"/>
    <w:uiPriority w:val="99"/>
    <w:unhideWhenUsed/>
    <w:rsid w:val="00B52A79"/>
    <w:pPr>
      <w:tabs>
        <w:tab w:val="center" w:pos="4513"/>
        <w:tab w:val="right" w:pos="9026"/>
      </w:tabs>
    </w:pPr>
  </w:style>
  <w:style w:type="character" w:customStyle="1" w:styleId="FooterChar">
    <w:name w:val="Footer Char"/>
    <w:basedOn w:val="DefaultParagraphFont"/>
    <w:link w:val="Footer"/>
    <w:uiPriority w:val="99"/>
    <w:rsid w:val="00B52A79"/>
    <w:rPr>
      <w:rFonts w:eastAsia="Calibri" w:cs="Times New Roman"/>
      <w:szCs w:val="24"/>
      <w:lang w:eastAsia="lv-LV"/>
    </w:rPr>
  </w:style>
  <w:style w:type="paragraph" w:styleId="ListParagraph">
    <w:name w:val="List Paragraph"/>
    <w:basedOn w:val="Normal"/>
    <w:uiPriority w:val="34"/>
    <w:qFormat/>
    <w:rsid w:val="005B48D4"/>
    <w:pPr>
      <w:ind w:left="720"/>
      <w:contextualSpacing/>
    </w:pPr>
  </w:style>
  <w:style w:type="character" w:styleId="CommentReference">
    <w:name w:val="annotation reference"/>
    <w:uiPriority w:val="99"/>
    <w:semiHidden/>
    <w:unhideWhenUsed/>
    <w:rsid w:val="005B48D4"/>
    <w:rPr>
      <w:sz w:val="16"/>
      <w:szCs w:val="16"/>
    </w:rPr>
  </w:style>
  <w:style w:type="paragraph" w:styleId="CommentText">
    <w:name w:val="annotation text"/>
    <w:basedOn w:val="Normal"/>
    <w:link w:val="CommentTextChar"/>
    <w:uiPriority w:val="99"/>
    <w:semiHidden/>
    <w:unhideWhenUsed/>
    <w:rsid w:val="007D2CA4"/>
    <w:rPr>
      <w:sz w:val="20"/>
      <w:szCs w:val="20"/>
    </w:rPr>
  </w:style>
  <w:style w:type="character" w:customStyle="1" w:styleId="CommentTextChar">
    <w:name w:val="Comment Text Char"/>
    <w:basedOn w:val="DefaultParagraphFont"/>
    <w:link w:val="CommentText"/>
    <w:uiPriority w:val="99"/>
    <w:semiHidden/>
    <w:rsid w:val="007D2CA4"/>
    <w:rPr>
      <w:rFonts w:eastAsia="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D2CA4"/>
    <w:rPr>
      <w:b/>
      <w:bCs/>
    </w:rPr>
  </w:style>
  <w:style w:type="character" w:customStyle="1" w:styleId="CommentSubjectChar">
    <w:name w:val="Comment Subject Char"/>
    <w:basedOn w:val="CommentTextChar"/>
    <w:link w:val="CommentSubject"/>
    <w:uiPriority w:val="99"/>
    <w:semiHidden/>
    <w:rsid w:val="007D2CA4"/>
    <w:rPr>
      <w:rFonts w:eastAsia="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5399">
      <w:bodyDiv w:val="1"/>
      <w:marLeft w:val="0"/>
      <w:marRight w:val="0"/>
      <w:marTop w:val="0"/>
      <w:marBottom w:val="0"/>
      <w:divBdr>
        <w:top w:val="none" w:sz="0" w:space="0" w:color="auto"/>
        <w:left w:val="none" w:sz="0" w:space="0" w:color="auto"/>
        <w:bottom w:val="none" w:sz="0" w:space="0" w:color="auto"/>
        <w:right w:val="none" w:sz="0" w:space="0" w:color="auto"/>
      </w:divBdr>
    </w:div>
    <w:div w:id="12886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9</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5ACA-9FAC-4AA2-BBDA-BF189AD41274}">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2E6E2071-DFFA-417B-B618-281D13669BA4}">
  <ds:schemaRefs>
    <ds:schemaRef ds:uri="http://schemas.microsoft.com/sharepoint/v3/contenttype/forms"/>
  </ds:schemaRefs>
</ds:datastoreItem>
</file>

<file path=customXml/itemProps3.xml><?xml version="1.0" encoding="utf-8"?>
<ds:datastoreItem xmlns:ds="http://schemas.openxmlformats.org/officeDocument/2006/customXml" ds:itemID="{26A1342B-89E5-4F4B-92B4-8E710BC4A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52660E-7363-4D79-82DB-A4D279D6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5443</Words>
  <Characters>3104</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instrukcijas projekta „Grozījumi Ministru kabineta 2009. gada 20. janvāra instrukcijā Nr.2 „Kārtība, kādā valsts budžeta iestādes sagatavo un apstiprina valsts budžeta programmu, apakšprogrammu un pasākumu tāmes kārtējam gadam””sākotnējā</vt:lpstr>
    </vt:vector>
  </TitlesOfParts>
  <Company>Finanšu ministrija</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„Grozījumi Ministru kabineta 2009. gada 20. janvāra instrukcijā Nr.2 „Kārtība, kādā valsts budžeta iestādes sagatavo un apstiprina valsts budžeta programmu, apakšprogrammu un pasākumu tāmes kārtējam gadam””</dc:title>
  <dc:subject>Anotācija</dc:subject>
  <dc:creator>R.Čablis</dc:creator>
  <dc:description>raivis.cablis@fm.gov.lv; 67095498</dc:description>
  <cp:lastModifiedBy>Windows User</cp:lastModifiedBy>
  <cp:revision>2</cp:revision>
  <cp:lastPrinted>2012-12-17T06:42:00Z</cp:lastPrinted>
  <dcterms:created xsi:type="dcterms:W3CDTF">2013-01-31T11:35:00Z</dcterms:created>
  <dcterms:modified xsi:type="dcterms:W3CDTF">2013-01-31T11:35:00Z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