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54" w:rsidRPr="00EB6915" w:rsidRDefault="003E614C" w:rsidP="00276C54">
      <w:pPr>
        <w:pStyle w:val="Title"/>
        <w:spacing w:line="240" w:lineRule="auto"/>
        <w:ind w:left="0"/>
        <w:outlineLvl w:val="0"/>
        <w:rPr>
          <w:bCs w:val="0"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bCs w:val="0"/>
          <w:sz w:val="24"/>
          <w:szCs w:val="24"/>
        </w:rPr>
        <w:t>Ministru kabineta rīkojuma projekta</w:t>
      </w:r>
      <w:r w:rsidR="00276C54" w:rsidRPr="00EB6915">
        <w:rPr>
          <w:bCs w:val="0"/>
          <w:sz w:val="24"/>
          <w:szCs w:val="24"/>
        </w:rPr>
        <w:t xml:space="preserve"> </w:t>
      </w:r>
    </w:p>
    <w:p w:rsidR="00E515EC" w:rsidRDefault="003E614C" w:rsidP="003E614C">
      <w:pPr>
        <w:pStyle w:val="Head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</w:t>
      </w:r>
      <w:r w:rsidRPr="003E614C">
        <w:rPr>
          <w:b/>
          <w:bCs/>
          <w:sz w:val="24"/>
          <w:szCs w:val="24"/>
        </w:rPr>
        <w:t xml:space="preserve">Par finansējuma piešķiršanu ministrijām (centrālajām valsts iestādēm) </w:t>
      </w:r>
      <w:proofErr w:type="spellStart"/>
      <w:r w:rsidRPr="003E614C">
        <w:rPr>
          <w:b/>
          <w:bCs/>
          <w:i/>
          <w:sz w:val="24"/>
          <w:szCs w:val="24"/>
        </w:rPr>
        <w:t>euro</w:t>
      </w:r>
      <w:proofErr w:type="spellEnd"/>
      <w:r w:rsidRPr="003E614C">
        <w:rPr>
          <w:b/>
          <w:bCs/>
          <w:sz w:val="24"/>
          <w:szCs w:val="24"/>
        </w:rPr>
        <w:t xml:space="preserve"> ieviešanas izdevumu segšanai</w:t>
      </w:r>
      <w:r w:rsidR="00644B99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 xml:space="preserve"> </w:t>
      </w:r>
      <w:r w:rsidR="00E515EC" w:rsidRPr="00EB6915">
        <w:rPr>
          <w:b/>
          <w:bCs/>
          <w:sz w:val="24"/>
          <w:szCs w:val="24"/>
        </w:rPr>
        <w:t>sākotnējās ietekmes novērtējuma ziņojums</w:t>
      </w:r>
      <w:bookmarkEnd w:id="0"/>
      <w:bookmarkEnd w:id="1"/>
      <w:r w:rsidR="00E515EC" w:rsidRPr="00EB6915">
        <w:rPr>
          <w:b/>
          <w:bCs/>
          <w:sz w:val="24"/>
          <w:szCs w:val="24"/>
        </w:rPr>
        <w:t xml:space="preserve"> (anotācija)</w:t>
      </w:r>
    </w:p>
    <w:bookmarkEnd w:id="2"/>
    <w:bookmarkEnd w:id="3"/>
    <w:p w:rsidR="002672B4" w:rsidRPr="00EB6915" w:rsidRDefault="002672B4" w:rsidP="00E515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924"/>
        <w:gridCol w:w="45"/>
        <w:gridCol w:w="4691"/>
      </w:tblGrid>
      <w:tr w:rsidR="00E515EC" w:rsidRPr="00EB6915" w:rsidTr="001240B6">
        <w:trPr>
          <w:tblCellSpacing w:w="0" w:type="dxa"/>
        </w:trPr>
        <w:tc>
          <w:tcPr>
            <w:tcW w:w="9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5EC" w:rsidRPr="00EB6915" w:rsidRDefault="00E515EC" w:rsidP="006817E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6915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E515EC" w:rsidRPr="00EB6915" w:rsidTr="001240B6">
        <w:trPr>
          <w:trHeight w:val="40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Pamatojums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97A" w:rsidRPr="00612DD1" w:rsidRDefault="0091342F" w:rsidP="008D597A">
            <w:pPr>
              <w:widowControl/>
              <w:tabs>
                <w:tab w:val="left" w:pos="426"/>
              </w:tabs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597A" w:rsidRPr="00612DD1">
              <w:rPr>
                <w:sz w:val="24"/>
                <w:szCs w:val="24"/>
              </w:rPr>
              <w:t xml:space="preserve">Saskaņā ar </w:t>
            </w:r>
            <w:r w:rsidR="008D597A" w:rsidRPr="00612DD1">
              <w:rPr>
                <w:bCs/>
                <w:sz w:val="24"/>
                <w:szCs w:val="24"/>
              </w:rPr>
              <w:t xml:space="preserve">Informatīvā ziņojuma </w:t>
            </w:r>
            <w:r w:rsidR="00B74D13">
              <w:rPr>
                <w:bCs/>
                <w:sz w:val="24"/>
                <w:szCs w:val="24"/>
              </w:rPr>
              <w:t>"</w:t>
            </w:r>
            <w:r w:rsidR="008D597A" w:rsidRPr="00612DD1">
              <w:rPr>
                <w:bCs/>
                <w:sz w:val="24"/>
                <w:szCs w:val="24"/>
              </w:rPr>
              <w:t xml:space="preserve">Par laika periodā no </w:t>
            </w:r>
            <w:r>
              <w:rPr>
                <w:sz w:val="24"/>
                <w:szCs w:val="24"/>
              </w:rPr>
              <w:t>2011.</w:t>
            </w:r>
            <w:r w:rsidR="008D597A" w:rsidRPr="00612DD1">
              <w:rPr>
                <w:sz w:val="24"/>
                <w:szCs w:val="24"/>
              </w:rPr>
              <w:t>gada 1.</w:t>
            </w:r>
            <w:r>
              <w:rPr>
                <w:sz w:val="24"/>
                <w:szCs w:val="24"/>
              </w:rPr>
              <w:t>augusta līdz 2012.</w:t>
            </w:r>
            <w:r w:rsidR="008D597A" w:rsidRPr="00612DD1">
              <w:rPr>
                <w:sz w:val="24"/>
                <w:szCs w:val="24"/>
              </w:rPr>
              <w:t xml:space="preserve">gada 31.janvārim </w:t>
            </w:r>
            <w:r w:rsidR="008D597A" w:rsidRPr="00612DD1">
              <w:rPr>
                <w:bCs/>
                <w:sz w:val="24"/>
                <w:szCs w:val="24"/>
              </w:rPr>
              <w:t>paveiktajiem un nākošajā atskaites periodā plānotajiem uzdevumiem Eiropas vienotās valūtas ieviešanai Latvijā</w:t>
            </w:r>
            <w:r w:rsidR="00B74D13">
              <w:rPr>
                <w:bCs/>
                <w:sz w:val="24"/>
                <w:szCs w:val="24"/>
              </w:rPr>
              <w:t>"</w:t>
            </w:r>
            <w:r w:rsidR="008D597A" w:rsidRPr="00612DD1">
              <w:rPr>
                <w:bCs/>
                <w:sz w:val="24"/>
                <w:szCs w:val="24"/>
              </w:rPr>
              <w:t xml:space="preserve"> II sadaļā </w:t>
            </w:r>
            <w:r w:rsidR="00B74D13">
              <w:rPr>
                <w:bCs/>
                <w:sz w:val="24"/>
                <w:szCs w:val="24"/>
              </w:rPr>
              <w:t>"</w:t>
            </w:r>
            <w:r w:rsidR="008D597A" w:rsidRPr="00612DD1">
              <w:rPr>
                <w:sz w:val="24"/>
                <w:szCs w:val="24"/>
              </w:rPr>
              <w:t>Nākamajā pārskata periodā plānotie uzdevumi</w:t>
            </w:r>
            <w:r w:rsidR="00B74D13">
              <w:rPr>
                <w:sz w:val="24"/>
                <w:szCs w:val="24"/>
              </w:rPr>
              <w:t>"</w:t>
            </w:r>
            <w:r w:rsidR="008D597A" w:rsidRPr="00612DD1">
              <w:rPr>
                <w:sz w:val="24"/>
                <w:szCs w:val="24"/>
              </w:rPr>
              <w:t xml:space="preserve"> </w:t>
            </w:r>
            <w:r w:rsidR="008D597A" w:rsidRPr="00612DD1">
              <w:rPr>
                <w:bCs/>
                <w:sz w:val="24"/>
                <w:szCs w:val="24"/>
              </w:rPr>
              <w:t xml:space="preserve">4.punktā noteikto, Eiro projekta vadības komitejai dots uzdevums </w:t>
            </w:r>
            <w:r w:rsidR="008D597A" w:rsidRPr="00612DD1">
              <w:rPr>
                <w:sz w:val="24"/>
                <w:szCs w:val="24"/>
              </w:rPr>
              <w:t>pārskata periodā (no 20</w:t>
            </w:r>
            <w:r>
              <w:rPr>
                <w:sz w:val="24"/>
                <w:szCs w:val="24"/>
              </w:rPr>
              <w:t>12.</w:t>
            </w:r>
            <w:r w:rsidR="008D597A" w:rsidRPr="00612DD1">
              <w:rPr>
                <w:sz w:val="24"/>
                <w:szCs w:val="24"/>
              </w:rPr>
              <w:t xml:space="preserve">gada 1.februāra līdz 2012.gada 31.jūlijam) 2013.gada budžeta izveides procesā aktualizēt uz valsts budžetu attiecināmās </w:t>
            </w:r>
            <w:proofErr w:type="spellStart"/>
            <w:r w:rsidR="00B97D59">
              <w:rPr>
                <w:i/>
                <w:sz w:val="24"/>
                <w:szCs w:val="24"/>
              </w:rPr>
              <w:t>euro</w:t>
            </w:r>
            <w:proofErr w:type="spellEnd"/>
            <w:r w:rsidR="00B97D59" w:rsidRPr="00612D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ieviešanas izmaksas 2013.–</w:t>
            </w:r>
            <w:r w:rsidR="00CD3D02">
              <w:rPr>
                <w:sz w:val="24"/>
                <w:szCs w:val="24"/>
              </w:rPr>
              <w:t>2014.gadam.</w:t>
            </w:r>
          </w:p>
          <w:p w:rsidR="00FC0308" w:rsidRPr="00EB6915" w:rsidRDefault="00FC0308" w:rsidP="00FC0308">
            <w:pPr>
              <w:widowControl/>
              <w:autoSpaceDE/>
              <w:autoSpaceDN/>
              <w:adjustRightInd/>
              <w:ind w:left="-19"/>
              <w:jc w:val="both"/>
              <w:rPr>
                <w:sz w:val="24"/>
                <w:szCs w:val="24"/>
              </w:rPr>
            </w:pPr>
          </w:p>
        </w:tc>
      </w:tr>
      <w:tr w:rsidR="00E515EC" w:rsidRPr="00EB6915" w:rsidTr="001240B6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Pašreizējā situācija un problēmas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2F" w:rsidRDefault="0091342F" w:rsidP="0091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 2006.</w:t>
            </w:r>
            <w:r w:rsidRPr="009D4AED">
              <w:rPr>
                <w:sz w:val="24"/>
                <w:szCs w:val="24"/>
              </w:rPr>
              <w:t>gada 6.marta</w:t>
            </w:r>
            <w:r>
              <w:rPr>
                <w:sz w:val="24"/>
                <w:szCs w:val="24"/>
              </w:rPr>
              <w:t xml:space="preserve"> Ministru kabineta rīkojumu Nr.</w:t>
            </w:r>
            <w:r w:rsidRPr="009D4AED">
              <w:rPr>
                <w:sz w:val="24"/>
                <w:szCs w:val="24"/>
              </w:rPr>
              <w:t xml:space="preserve">148 </w:t>
            </w:r>
            <w:r w:rsidR="00B74D13">
              <w:rPr>
                <w:sz w:val="24"/>
                <w:szCs w:val="24"/>
              </w:rPr>
              <w:t xml:space="preserve">"Par Latvijas Nacionālo eiro ieviešanas plānu" </w:t>
            </w:r>
            <w:r w:rsidRPr="009D4AED">
              <w:rPr>
                <w:sz w:val="24"/>
                <w:szCs w:val="24"/>
              </w:rPr>
              <w:t xml:space="preserve">tika apstiprināts Latvijas Nacionālais </w:t>
            </w:r>
            <w:r w:rsidR="00B74D13" w:rsidRPr="00B74D13">
              <w:rPr>
                <w:sz w:val="24"/>
                <w:szCs w:val="24"/>
              </w:rPr>
              <w:t>eiro</w:t>
            </w:r>
            <w:r w:rsidR="00B74D13">
              <w:rPr>
                <w:i/>
                <w:sz w:val="24"/>
                <w:szCs w:val="24"/>
              </w:rPr>
              <w:t xml:space="preserve"> </w:t>
            </w:r>
            <w:r w:rsidRPr="009D4AED">
              <w:rPr>
                <w:sz w:val="24"/>
                <w:szCs w:val="24"/>
              </w:rPr>
              <w:t xml:space="preserve">ieviešanas plāns. Latvijas Nacionālā </w:t>
            </w:r>
            <w:r w:rsidR="00B74D13">
              <w:rPr>
                <w:sz w:val="24"/>
                <w:szCs w:val="24"/>
              </w:rPr>
              <w:t xml:space="preserve">eiro </w:t>
            </w:r>
            <w:r w:rsidRPr="009D4AED">
              <w:rPr>
                <w:sz w:val="24"/>
                <w:szCs w:val="24"/>
              </w:rPr>
              <w:t xml:space="preserve">ieviešanas plāna 1.pielikumā "Pasākumu plāns Eiropas vienotās valūtas ieviešanai Latvijā" </w:t>
            </w:r>
            <w:r>
              <w:rPr>
                <w:sz w:val="24"/>
                <w:szCs w:val="24"/>
              </w:rPr>
              <w:t xml:space="preserve">(turpmāk – Pasākumu plāns) </w:t>
            </w:r>
            <w:r w:rsidRPr="009D4AED">
              <w:rPr>
                <w:sz w:val="24"/>
                <w:szCs w:val="24"/>
              </w:rPr>
              <w:t>Valsts administrācijas darba grupai Juridisko jautājumu sadaļā viens no uzdotajiem pasākumiem ir  izstrādāt likumprojektu "</w:t>
            </w:r>
            <w:proofErr w:type="spellStart"/>
            <w:r w:rsidRPr="009D4AED">
              <w:rPr>
                <w:i/>
                <w:sz w:val="24"/>
                <w:szCs w:val="24"/>
              </w:rPr>
              <w:t>Euro</w:t>
            </w:r>
            <w:proofErr w:type="spellEnd"/>
            <w:r w:rsidRPr="009D4AED">
              <w:rPr>
                <w:color w:val="00B050"/>
                <w:sz w:val="24"/>
                <w:szCs w:val="24"/>
              </w:rPr>
              <w:t xml:space="preserve"> </w:t>
            </w:r>
            <w:r w:rsidRPr="009D4AED">
              <w:rPr>
                <w:sz w:val="24"/>
                <w:szCs w:val="24"/>
              </w:rPr>
              <w:t>ieviešanas likums"</w:t>
            </w:r>
            <w:r>
              <w:rPr>
                <w:sz w:val="24"/>
                <w:szCs w:val="24"/>
              </w:rPr>
              <w:t xml:space="preserve"> (turpmāk –</w:t>
            </w:r>
            <w:r w:rsidRPr="009D4AED">
              <w:rPr>
                <w:sz w:val="24"/>
                <w:szCs w:val="24"/>
              </w:rPr>
              <w:t xml:space="preserve"> likumprojekts), lai regulētu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 w:rsidRPr="009D4AED">
              <w:rPr>
                <w:sz w:val="24"/>
                <w:szCs w:val="24"/>
              </w:rPr>
              <w:t xml:space="preserve"> ieviešanu saistītos vispārīgos jautājumus.</w:t>
            </w:r>
          </w:p>
          <w:p w:rsidR="0091342F" w:rsidRPr="009D4AED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1342F" w:rsidRDefault="0091342F" w:rsidP="0091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2011.gadā tika apkopoti indikatīvie izdevumi saistībā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ieviešanu Latvijā un apstiprināti </w:t>
            </w:r>
            <w:r w:rsidRPr="009D4AED">
              <w:rPr>
                <w:sz w:val="24"/>
                <w:szCs w:val="24"/>
              </w:rPr>
              <w:t xml:space="preserve">ar Ministru kabineta  2011.gada 7.novembra rīkojumu Nr.579 (protokols Nr.62 56.§) "Par ilgtermiņa saistību uzņemšanos 2013.-2014.gadam Latvijas Nacionālā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9D4AED">
              <w:rPr>
                <w:sz w:val="24"/>
                <w:szCs w:val="24"/>
              </w:rPr>
              <w:t>ieviešanas plānā paredzēto pasākumu finansēšanai un to ieļaušanu likumprojektā "Par valsts budžetu 2012.gadam""</w:t>
            </w:r>
            <w:r>
              <w:rPr>
                <w:sz w:val="24"/>
                <w:szCs w:val="24"/>
              </w:rPr>
              <w:t xml:space="preserve">, plānojot finansējumu 74.resora 03.00.00 programmā "Latvijas Nacionālā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ieviešanas plāna pasākumi" 8 713 381 latu apmērā, </w:t>
            </w:r>
            <w:proofErr w:type="spellStart"/>
            <w:r>
              <w:rPr>
                <w:sz w:val="24"/>
                <w:szCs w:val="24"/>
              </w:rPr>
              <w:t>t.i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91342F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2013.gadam – 5 787 995 lati un</w:t>
            </w:r>
          </w:p>
          <w:p w:rsidR="0091342F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2014.gadam – 2 925 386 lati.</w:t>
            </w:r>
            <w:r w:rsidRPr="009D4AED">
              <w:rPr>
                <w:sz w:val="24"/>
                <w:szCs w:val="24"/>
              </w:rPr>
              <w:t xml:space="preserve"> </w:t>
            </w:r>
          </w:p>
          <w:p w:rsidR="0091342F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91342F" w:rsidRDefault="0091342F" w:rsidP="0091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Atbilstoši Ministru kabineta 2012.gada 20.marta sēdē nolemtajam (protokols Nr.16, 32.</w:t>
            </w:r>
            <w:r w:rsidRPr="00EB212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) un saskaņā ar Pasākumu plānā un likumprojekta noteikto tika atkārtoti izvērtētas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ieviešanu saistītās izmaksas 2013.-2014.gadam. Atbilstoši ministriju (centrālo valsts iestāžu) iesniegtajiem precizētajiem aprēķiniem, kopējais nepieciešamais finansējums ir 8 </w:t>
            </w:r>
            <w:r w:rsidR="00375A9C">
              <w:rPr>
                <w:sz w:val="24"/>
                <w:szCs w:val="24"/>
              </w:rPr>
              <w:t>39</w:t>
            </w:r>
            <w:r w:rsidR="00801D87">
              <w:rPr>
                <w:sz w:val="24"/>
                <w:szCs w:val="24"/>
              </w:rPr>
              <w:t>1</w:t>
            </w:r>
            <w:r w:rsidR="00375A9C">
              <w:rPr>
                <w:sz w:val="24"/>
                <w:szCs w:val="24"/>
              </w:rPr>
              <w:t xml:space="preserve"> </w:t>
            </w:r>
            <w:r w:rsidR="00801D87">
              <w:rPr>
                <w:sz w:val="24"/>
                <w:szCs w:val="24"/>
              </w:rPr>
              <w:t>528</w:t>
            </w:r>
            <w:r w:rsidR="00375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lati, </w:t>
            </w:r>
            <w:proofErr w:type="spellStart"/>
            <w:r>
              <w:rPr>
                <w:sz w:val="24"/>
                <w:szCs w:val="24"/>
              </w:rPr>
              <w:t>t.sk</w:t>
            </w:r>
            <w:proofErr w:type="spellEnd"/>
            <w:r>
              <w:rPr>
                <w:sz w:val="24"/>
                <w:szCs w:val="24"/>
              </w:rPr>
              <w:t>. pa gadiem,</w:t>
            </w:r>
          </w:p>
          <w:p w:rsidR="0091342F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2013.gadam – 7 </w:t>
            </w:r>
            <w:r w:rsidR="00375A9C">
              <w:rPr>
                <w:sz w:val="24"/>
                <w:szCs w:val="24"/>
              </w:rPr>
              <w:t xml:space="preserve">114 </w:t>
            </w:r>
            <w:r w:rsidR="00801D87">
              <w:rPr>
                <w:sz w:val="24"/>
                <w:szCs w:val="24"/>
              </w:rPr>
              <w:t>254</w:t>
            </w:r>
            <w:r w:rsidR="00375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lati un</w:t>
            </w:r>
          </w:p>
          <w:p w:rsidR="0091342F" w:rsidRDefault="0091342F" w:rsidP="0091342F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2014.gadam – 1 </w:t>
            </w:r>
            <w:r w:rsidR="00375A9C">
              <w:rPr>
                <w:sz w:val="24"/>
                <w:szCs w:val="24"/>
              </w:rPr>
              <w:t xml:space="preserve">277 274 </w:t>
            </w:r>
            <w:r>
              <w:rPr>
                <w:sz w:val="24"/>
                <w:szCs w:val="24"/>
              </w:rPr>
              <w:t>lati.</w:t>
            </w:r>
          </w:p>
          <w:p w:rsidR="00A84109" w:rsidRPr="00A84109" w:rsidRDefault="00A84109" w:rsidP="00190057">
            <w:pPr>
              <w:pStyle w:val="Header"/>
              <w:jc w:val="both"/>
              <w:rPr>
                <w:bCs/>
                <w:sz w:val="24"/>
                <w:szCs w:val="24"/>
              </w:rPr>
            </w:pPr>
          </w:p>
        </w:tc>
      </w:tr>
      <w:tr w:rsidR="00E515EC" w:rsidRPr="00EB6915" w:rsidTr="001240B6">
        <w:trPr>
          <w:trHeight w:val="6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3.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Saistītie politikas ietekmes novērtējumi un pētījumi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3B48B5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18C" w:rsidRPr="00EB6915">
              <w:rPr>
                <w:sz w:val="24"/>
                <w:szCs w:val="24"/>
              </w:rPr>
              <w:t>Šo jomu neskar.</w:t>
            </w:r>
          </w:p>
        </w:tc>
      </w:tr>
      <w:tr w:rsidR="006463E0" w:rsidRPr="00EB6915" w:rsidTr="006463E0">
        <w:trPr>
          <w:trHeight w:val="83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3E0" w:rsidRPr="00EB6915" w:rsidRDefault="006463E0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4.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63E0" w:rsidRDefault="006463E0" w:rsidP="007364B1">
            <w:pPr>
              <w:jc w:val="both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Tiesiskā regulējuma mērķis un būtība</w:t>
            </w:r>
            <w:r>
              <w:rPr>
                <w:sz w:val="24"/>
                <w:szCs w:val="24"/>
              </w:rPr>
              <w:t>:</w:t>
            </w:r>
          </w:p>
          <w:p w:rsidR="006463E0" w:rsidRDefault="006463E0" w:rsidP="007364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342F" w:rsidRPr="009B1796" w:rsidRDefault="006463E0" w:rsidP="0091342F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4" w:name="_MailAutoSig"/>
            <w:r w:rsidR="0091342F">
              <w:rPr>
                <w:sz w:val="24"/>
                <w:szCs w:val="24"/>
              </w:rPr>
              <w:t>Finanšu ministrija</w:t>
            </w:r>
            <w:r w:rsidR="00022DC1">
              <w:rPr>
                <w:sz w:val="24"/>
                <w:szCs w:val="24"/>
              </w:rPr>
              <w:t>,</w:t>
            </w:r>
            <w:r w:rsidR="0091342F">
              <w:rPr>
                <w:sz w:val="24"/>
                <w:szCs w:val="24"/>
              </w:rPr>
              <w:t xml:space="preserve"> </w:t>
            </w:r>
            <w:r w:rsidR="003B48B5">
              <w:rPr>
                <w:sz w:val="24"/>
                <w:szCs w:val="24"/>
              </w:rPr>
              <w:t xml:space="preserve">aktualizējot </w:t>
            </w:r>
            <w:proofErr w:type="spellStart"/>
            <w:r w:rsidR="003B48B5">
              <w:rPr>
                <w:i/>
                <w:sz w:val="24"/>
                <w:szCs w:val="24"/>
              </w:rPr>
              <w:t>euro</w:t>
            </w:r>
            <w:proofErr w:type="spellEnd"/>
            <w:r w:rsidR="003B48B5">
              <w:rPr>
                <w:i/>
                <w:sz w:val="24"/>
                <w:szCs w:val="24"/>
              </w:rPr>
              <w:t xml:space="preserve"> </w:t>
            </w:r>
            <w:r w:rsidR="003B48B5">
              <w:rPr>
                <w:sz w:val="24"/>
                <w:szCs w:val="24"/>
              </w:rPr>
              <w:t xml:space="preserve">ieviešanas izdevumu apjomu </w:t>
            </w:r>
            <w:r w:rsidR="0091342F">
              <w:rPr>
                <w:sz w:val="24"/>
                <w:szCs w:val="24"/>
              </w:rPr>
              <w:t xml:space="preserve">no </w:t>
            </w:r>
            <w:proofErr w:type="spellStart"/>
            <w:r w:rsidR="00022DC1">
              <w:rPr>
                <w:i/>
                <w:sz w:val="24"/>
                <w:szCs w:val="24"/>
              </w:rPr>
              <w:t>Euro</w:t>
            </w:r>
            <w:proofErr w:type="spellEnd"/>
            <w:r w:rsidR="00022DC1">
              <w:rPr>
                <w:i/>
                <w:sz w:val="24"/>
                <w:szCs w:val="24"/>
              </w:rPr>
              <w:t xml:space="preserve"> </w:t>
            </w:r>
            <w:r w:rsidR="0091342F">
              <w:rPr>
                <w:sz w:val="24"/>
                <w:szCs w:val="24"/>
              </w:rPr>
              <w:t>projekta darba grupām</w:t>
            </w:r>
            <w:r w:rsidR="003B48B5">
              <w:rPr>
                <w:sz w:val="24"/>
                <w:szCs w:val="24"/>
              </w:rPr>
              <w:t xml:space="preserve">, kā arī pamatojoties uz </w:t>
            </w:r>
            <w:r w:rsidR="0091342F">
              <w:rPr>
                <w:sz w:val="24"/>
                <w:szCs w:val="24"/>
              </w:rPr>
              <w:t>likumprojekta izstrādes  procesā saņemto informāciju</w:t>
            </w:r>
            <w:r w:rsidR="00022DC1">
              <w:rPr>
                <w:sz w:val="24"/>
                <w:szCs w:val="24"/>
              </w:rPr>
              <w:t>,</w:t>
            </w:r>
            <w:r w:rsidR="0091342F">
              <w:rPr>
                <w:sz w:val="24"/>
                <w:szCs w:val="24"/>
              </w:rPr>
              <w:t xml:space="preserve"> </w:t>
            </w:r>
            <w:r w:rsidR="00022DC1">
              <w:rPr>
                <w:sz w:val="24"/>
                <w:szCs w:val="24"/>
              </w:rPr>
              <w:t xml:space="preserve">ir </w:t>
            </w:r>
            <w:r w:rsidR="0091342F" w:rsidRPr="009B1796">
              <w:rPr>
                <w:sz w:val="24"/>
                <w:szCs w:val="24"/>
              </w:rPr>
              <w:t xml:space="preserve">izstrādājusi Ministru kabineta rīkojuma projektu „Par finansējuma piešķiršanu ministrijām (centrālajām valsts iestādēm) </w:t>
            </w:r>
            <w:proofErr w:type="spellStart"/>
            <w:r w:rsidR="0091342F" w:rsidRPr="009B1796">
              <w:rPr>
                <w:i/>
                <w:sz w:val="24"/>
                <w:szCs w:val="24"/>
              </w:rPr>
              <w:t>euro</w:t>
            </w:r>
            <w:proofErr w:type="spellEnd"/>
            <w:r w:rsidR="0091342F" w:rsidRPr="009B1796">
              <w:rPr>
                <w:sz w:val="24"/>
                <w:szCs w:val="24"/>
              </w:rPr>
              <w:t xml:space="preserve"> ieviešanas izdevumu segšanai” (turpmāk – rīkojuma projekts).</w:t>
            </w:r>
            <w:r w:rsidR="003B48B5">
              <w:rPr>
                <w:sz w:val="24"/>
                <w:szCs w:val="24"/>
              </w:rPr>
              <w:t xml:space="preserve"> Rīkojuma projekts paredz 2013.</w:t>
            </w:r>
            <w:r w:rsidR="0091342F" w:rsidRPr="009B1796">
              <w:rPr>
                <w:sz w:val="24"/>
                <w:szCs w:val="24"/>
              </w:rPr>
              <w:t xml:space="preserve">gada budžeta izveides procesā aktualizēt uz valsts budžetu attiecināmās </w:t>
            </w:r>
            <w:proofErr w:type="spellStart"/>
            <w:r w:rsidR="0091342F" w:rsidRPr="009B1796">
              <w:rPr>
                <w:i/>
                <w:sz w:val="24"/>
                <w:szCs w:val="24"/>
              </w:rPr>
              <w:t>euro</w:t>
            </w:r>
            <w:proofErr w:type="spellEnd"/>
            <w:r w:rsidR="0091342F" w:rsidRPr="009B1796">
              <w:rPr>
                <w:sz w:val="24"/>
                <w:szCs w:val="24"/>
              </w:rPr>
              <w:t xml:space="preserve"> ieviešanas izmaksas 2013.</w:t>
            </w:r>
            <w:r w:rsidR="003B48B5">
              <w:rPr>
                <w:sz w:val="24"/>
                <w:szCs w:val="24"/>
              </w:rPr>
              <w:t>-</w:t>
            </w:r>
            <w:r w:rsidR="0091342F" w:rsidRPr="009B1796">
              <w:rPr>
                <w:sz w:val="24"/>
                <w:szCs w:val="24"/>
              </w:rPr>
              <w:t xml:space="preserve">2014. gadam, lai </w:t>
            </w:r>
            <w:proofErr w:type="spellStart"/>
            <w:r w:rsidR="0091342F" w:rsidRPr="009B1796">
              <w:rPr>
                <w:i/>
                <w:sz w:val="24"/>
                <w:szCs w:val="24"/>
              </w:rPr>
              <w:t>euro</w:t>
            </w:r>
            <w:proofErr w:type="spellEnd"/>
            <w:r w:rsidR="0091342F" w:rsidRPr="009B1796">
              <w:rPr>
                <w:sz w:val="24"/>
                <w:szCs w:val="24"/>
              </w:rPr>
              <w:t xml:space="preserve"> ieviešanas procesā nepieļautu </w:t>
            </w:r>
            <w:r w:rsidR="0091342F">
              <w:rPr>
                <w:sz w:val="24"/>
                <w:szCs w:val="24"/>
              </w:rPr>
              <w:t xml:space="preserve">ar </w:t>
            </w:r>
            <w:proofErr w:type="spellStart"/>
            <w:r w:rsidR="0091342F" w:rsidRPr="00022DC1">
              <w:rPr>
                <w:i/>
                <w:sz w:val="24"/>
                <w:szCs w:val="24"/>
              </w:rPr>
              <w:t>euro</w:t>
            </w:r>
            <w:proofErr w:type="spellEnd"/>
            <w:r w:rsidR="0091342F">
              <w:rPr>
                <w:sz w:val="24"/>
                <w:szCs w:val="24"/>
              </w:rPr>
              <w:t xml:space="preserve"> ieviešanu nesaistītu</w:t>
            </w:r>
            <w:r w:rsidR="0091342F" w:rsidRPr="009B1796">
              <w:rPr>
                <w:sz w:val="24"/>
                <w:szCs w:val="24"/>
              </w:rPr>
              <w:t xml:space="preserve"> izmaksu finansēšanu.</w:t>
            </w:r>
            <w:bookmarkEnd w:id="4"/>
          </w:p>
          <w:p w:rsidR="006463E0" w:rsidRPr="00907C7C" w:rsidRDefault="006463E0" w:rsidP="00907C7C">
            <w:pPr>
              <w:pStyle w:val="PlainText"/>
              <w:tabs>
                <w:tab w:val="righ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5EC" w:rsidRPr="00F71143" w:rsidTr="001240B6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993377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93377">
              <w:rPr>
                <w:sz w:val="24"/>
                <w:szCs w:val="24"/>
              </w:rPr>
              <w:t> Projekta izstrādē iesaistītās institūcijas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B99" w:rsidRDefault="003B48B5" w:rsidP="00644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44B99">
              <w:rPr>
                <w:color w:val="000000"/>
                <w:sz w:val="24"/>
                <w:szCs w:val="24"/>
              </w:rPr>
              <w:t>Ar mērķi nodrošināt efektīvu eiro ieviešanas procesu Latvijā 2005.gada 18.jūlijā ar MK rīkojumu Nr.308 "Par vadības komitejas izveidošanu" tika izveidota Vadības komiteja, kuras pakļautībā strādā piecas darba grupas:</w:t>
            </w:r>
          </w:p>
          <w:p w:rsidR="00644B99" w:rsidRDefault="00644B99" w:rsidP="00644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Valsts administrācijas darba grupa (atjaunotais sastāvs apstiprināts 2012.gada 29.maijā ar Finanšu ministrijas rīkojumu Nr.273 "</w:t>
            </w:r>
            <w:r w:rsidRPr="0058620E">
              <w:rPr>
                <w:color w:val="000000"/>
                <w:sz w:val="24"/>
                <w:szCs w:val="24"/>
              </w:rPr>
              <w:t>Par Valsts administrācijas darba grupas izveidošanu</w:t>
            </w:r>
            <w:r>
              <w:rPr>
                <w:color w:val="000000"/>
                <w:sz w:val="24"/>
                <w:szCs w:val="24"/>
              </w:rPr>
              <w:t>");</w:t>
            </w:r>
          </w:p>
          <w:p w:rsidR="00644B99" w:rsidRDefault="00644B99" w:rsidP="00644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Naudas un maksājumu darba grupa (atjaunotais sastāvs apstiprināts 2012.gada 21.maija ar Finanšu ministrijas rīkojumu Nr.255 "</w:t>
            </w:r>
            <w:r w:rsidRPr="0058620E">
              <w:rPr>
                <w:color w:val="000000"/>
                <w:sz w:val="24"/>
                <w:szCs w:val="24"/>
              </w:rPr>
              <w:t>Par Naudas un maksājumu sistēmu darba grupas izveidošanu</w:t>
            </w:r>
            <w:r>
              <w:rPr>
                <w:color w:val="000000"/>
                <w:sz w:val="24"/>
                <w:szCs w:val="24"/>
              </w:rPr>
              <w:t>");</w:t>
            </w:r>
          </w:p>
          <w:p w:rsidR="00B97D59" w:rsidRPr="00B97D59" w:rsidRDefault="00B97D59" w:rsidP="00644B9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3) Finanšu sistēmas darba grupa (atjaunotais sastāvs apstiprināts 2012.gada 21.maija ar Finanšu ministrijas rīkojumu Nr.254 "</w:t>
            </w:r>
            <w:r w:rsidRPr="0058620E">
              <w:rPr>
                <w:color w:val="000000" w:themeColor="text1"/>
                <w:sz w:val="24"/>
                <w:szCs w:val="24"/>
              </w:rPr>
              <w:t>Par Finanšu sistēmas darba grupas izveidošanu</w:t>
            </w:r>
            <w:r>
              <w:rPr>
                <w:color w:val="000000" w:themeColor="text1"/>
                <w:sz w:val="24"/>
                <w:szCs w:val="24"/>
              </w:rPr>
              <w:t>";</w:t>
            </w:r>
          </w:p>
          <w:p w:rsidR="00644B99" w:rsidRDefault="00B97D59" w:rsidP="00644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44B99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644B99">
              <w:rPr>
                <w:color w:val="000000"/>
                <w:sz w:val="24"/>
                <w:szCs w:val="24"/>
              </w:rPr>
              <w:t>Nefinanšu</w:t>
            </w:r>
            <w:proofErr w:type="spellEnd"/>
            <w:r w:rsidR="00644B99">
              <w:rPr>
                <w:color w:val="000000"/>
                <w:sz w:val="24"/>
                <w:szCs w:val="24"/>
              </w:rPr>
              <w:t xml:space="preserve"> uzņēmumu un patērētāju darba grupa (atjaunotais sastāvs ir apstiprināts ar 2012.gada 19.jūnija Ekonomikas ministrijas rīkojumu Nr.104. "Par grozījumiem Ekonomikas ministrijas 20.02.2012. rīkojumā Nr.35 "Par darba grupas "</w:t>
            </w:r>
            <w:proofErr w:type="spellStart"/>
            <w:r w:rsidR="00644B99">
              <w:rPr>
                <w:color w:val="000000"/>
                <w:sz w:val="24"/>
                <w:szCs w:val="24"/>
              </w:rPr>
              <w:t>Nefinanšu</w:t>
            </w:r>
            <w:proofErr w:type="spellEnd"/>
            <w:r w:rsidR="00644B99">
              <w:rPr>
                <w:color w:val="000000"/>
                <w:sz w:val="24"/>
                <w:szCs w:val="24"/>
              </w:rPr>
              <w:t xml:space="preserve"> uzņēmumi un patērētāji" izveidi"")</w:t>
            </w:r>
            <w:r w:rsidR="00A969BF">
              <w:rPr>
                <w:color w:val="000000"/>
                <w:sz w:val="24"/>
                <w:szCs w:val="24"/>
              </w:rPr>
              <w:t>;</w:t>
            </w:r>
          </w:p>
          <w:p w:rsidR="00644B99" w:rsidRDefault="00B97D59" w:rsidP="00644B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44B99">
              <w:rPr>
                <w:color w:val="000000"/>
                <w:sz w:val="24"/>
                <w:szCs w:val="24"/>
              </w:rPr>
              <w:t>) Sabiedrības informēšanas un komunikācijas darba grupa   (atjaunotais sastāvs apstiprināts 2012.gada 16.maijā ar Finanšu ministrijas rīkojumu Nr.231 "</w:t>
            </w:r>
            <w:r w:rsidR="00644B99" w:rsidRPr="0058620E">
              <w:rPr>
                <w:color w:val="000000"/>
                <w:sz w:val="24"/>
                <w:szCs w:val="24"/>
              </w:rPr>
              <w:t>Par Sabiedrības informēšanas un komunikācijas darba grupas izveidošanu</w:t>
            </w:r>
            <w:r w:rsidR="00644B99">
              <w:rPr>
                <w:color w:val="000000"/>
                <w:sz w:val="24"/>
                <w:szCs w:val="24"/>
              </w:rPr>
              <w:t>").</w:t>
            </w:r>
          </w:p>
          <w:p w:rsidR="007E39C2" w:rsidRPr="00644B99" w:rsidRDefault="0095495A" w:rsidP="003B48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Papildus minētajā</w:t>
            </w:r>
            <w:r w:rsidR="00B97D59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44B99">
              <w:rPr>
                <w:color w:val="000000"/>
                <w:sz w:val="24"/>
                <w:szCs w:val="24"/>
              </w:rPr>
              <w:t>Eiro projekta darba grup</w:t>
            </w:r>
            <w:r>
              <w:rPr>
                <w:color w:val="000000"/>
                <w:sz w:val="24"/>
                <w:szCs w:val="24"/>
              </w:rPr>
              <w:t>ā</w:t>
            </w:r>
            <w:r w:rsidR="00B97D59">
              <w:rPr>
                <w:color w:val="000000"/>
                <w:sz w:val="24"/>
                <w:szCs w:val="24"/>
              </w:rPr>
              <w:t>s pārstāvētajām ministrijām</w:t>
            </w:r>
            <w:r w:rsidR="003B48B5">
              <w:rPr>
                <w:color w:val="000000"/>
                <w:sz w:val="24"/>
                <w:szCs w:val="24"/>
              </w:rPr>
              <w:t xml:space="preserve"> un</w:t>
            </w:r>
            <w:r w:rsidR="00B97D59">
              <w:rPr>
                <w:color w:val="000000"/>
                <w:sz w:val="24"/>
                <w:szCs w:val="24"/>
              </w:rPr>
              <w:t xml:space="preserve"> to padotības iestādēm,</w:t>
            </w:r>
            <w:r w:rsidR="00644B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izmaksas tika apkopotas </w:t>
            </w:r>
            <w:r w:rsidR="00B97D59">
              <w:rPr>
                <w:color w:val="000000"/>
                <w:sz w:val="24"/>
                <w:szCs w:val="24"/>
              </w:rPr>
              <w:t xml:space="preserve">arī </w:t>
            </w:r>
            <w:r>
              <w:rPr>
                <w:color w:val="000000"/>
                <w:sz w:val="24"/>
                <w:szCs w:val="24"/>
              </w:rPr>
              <w:t>no pārējām ministrijām</w:t>
            </w:r>
            <w:r w:rsidR="001B3B69">
              <w:rPr>
                <w:color w:val="000000"/>
                <w:sz w:val="24"/>
                <w:szCs w:val="24"/>
              </w:rPr>
              <w:t xml:space="preserve"> un to padotības iestādēm</w:t>
            </w:r>
            <w:r w:rsidR="003B48B5">
              <w:rPr>
                <w:color w:val="000000"/>
                <w:sz w:val="24"/>
                <w:szCs w:val="24"/>
              </w:rPr>
              <w:t>, kā arī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B48B5">
              <w:rPr>
                <w:color w:val="000000"/>
                <w:sz w:val="24"/>
                <w:szCs w:val="24"/>
              </w:rPr>
              <w:t xml:space="preserve">no pārējām </w:t>
            </w:r>
            <w:r>
              <w:rPr>
                <w:color w:val="000000"/>
                <w:sz w:val="24"/>
                <w:szCs w:val="24"/>
              </w:rPr>
              <w:t xml:space="preserve">centrālajām valsts iestādēm, </w:t>
            </w:r>
            <w:proofErr w:type="spellStart"/>
            <w:r w:rsidR="001B3B69">
              <w:rPr>
                <w:color w:val="000000"/>
                <w:sz w:val="24"/>
                <w:szCs w:val="24"/>
              </w:rPr>
              <w:t>t.</w:t>
            </w:r>
            <w:r w:rsidR="003B48B5">
              <w:rPr>
                <w:color w:val="000000"/>
                <w:sz w:val="24"/>
                <w:szCs w:val="24"/>
              </w:rPr>
              <w:t>i</w:t>
            </w:r>
            <w:proofErr w:type="spellEnd"/>
            <w:r w:rsidR="001B3B69">
              <w:rPr>
                <w:color w:val="000000"/>
                <w:sz w:val="24"/>
                <w:szCs w:val="24"/>
              </w:rPr>
              <w:t xml:space="preserve">., </w:t>
            </w:r>
            <w:r w:rsidR="003B48B5">
              <w:rPr>
                <w:color w:val="000000" w:themeColor="text1"/>
                <w:sz w:val="24"/>
                <w:szCs w:val="24"/>
              </w:rPr>
              <w:t>Augstākās tiesas, Centrālās vēlēšanu komisijas,  K</w:t>
            </w:r>
            <w:r w:rsidR="003B48B5" w:rsidRPr="009557E1">
              <w:rPr>
                <w:color w:val="000000" w:themeColor="text1"/>
                <w:sz w:val="24"/>
                <w:szCs w:val="24"/>
              </w:rPr>
              <w:t>orupcijas novēršanas un apkarošanas biroj</w:t>
            </w:r>
            <w:r w:rsidR="003B48B5">
              <w:rPr>
                <w:color w:val="000000" w:themeColor="text1"/>
                <w:sz w:val="24"/>
                <w:szCs w:val="24"/>
              </w:rPr>
              <w:t>a, Nacionālās</w:t>
            </w:r>
            <w:r w:rsidR="003B48B5" w:rsidRPr="009557E1">
              <w:rPr>
                <w:color w:val="000000" w:themeColor="text1"/>
                <w:sz w:val="24"/>
                <w:szCs w:val="24"/>
              </w:rPr>
              <w:t xml:space="preserve"> elektronisko plašsaziņas līdzekļu padome</w:t>
            </w:r>
            <w:r w:rsidR="003B48B5">
              <w:rPr>
                <w:color w:val="000000" w:themeColor="text1"/>
                <w:sz w:val="24"/>
                <w:szCs w:val="24"/>
              </w:rPr>
              <w:t xml:space="preserve">s, </w:t>
            </w:r>
            <w:proofErr w:type="spellStart"/>
            <w:r w:rsidR="003B48B5">
              <w:rPr>
                <w:color w:val="000000" w:themeColor="text1"/>
                <w:sz w:val="24"/>
                <w:szCs w:val="24"/>
              </w:rPr>
              <w:t>Pārresoru</w:t>
            </w:r>
            <w:proofErr w:type="spellEnd"/>
            <w:r w:rsidR="003B48B5">
              <w:rPr>
                <w:color w:val="000000" w:themeColor="text1"/>
                <w:sz w:val="24"/>
                <w:szCs w:val="24"/>
              </w:rPr>
              <w:t xml:space="preserve"> koordinācijas centra,  Prokuratūras, </w:t>
            </w:r>
            <w:r w:rsidR="001B3B69">
              <w:rPr>
                <w:color w:val="000000" w:themeColor="text1"/>
                <w:sz w:val="24"/>
                <w:szCs w:val="24"/>
              </w:rPr>
              <w:t xml:space="preserve">Saeimas kancelejas, </w:t>
            </w:r>
            <w:r w:rsidR="003B48B5">
              <w:rPr>
                <w:color w:val="000000" w:themeColor="text1"/>
                <w:sz w:val="24"/>
                <w:szCs w:val="24"/>
              </w:rPr>
              <w:t xml:space="preserve">Satversmes tiesas, </w:t>
            </w:r>
            <w:proofErr w:type="spellStart"/>
            <w:r w:rsidR="001B3B69">
              <w:rPr>
                <w:color w:val="000000" w:themeColor="text1"/>
                <w:sz w:val="24"/>
                <w:szCs w:val="24"/>
              </w:rPr>
              <w:t>Tiesībsarga</w:t>
            </w:r>
            <w:proofErr w:type="spellEnd"/>
            <w:r w:rsidR="001B3B69">
              <w:rPr>
                <w:color w:val="000000" w:themeColor="text1"/>
                <w:sz w:val="24"/>
                <w:szCs w:val="24"/>
              </w:rPr>
              <w:t xml:space="preserve"> biroja,  </w:t>
            </w:r>
            <w:r w:rsidR="003B48B5">
              <w:rPr>
                <w:color w:val="000000" w:themeColor="text1"/>
                <w:sz w:val="24"/>
                <w:szCs w:val="24"/>
              </w:rPr>
              <w:t xml:space="preserve">Valsts kancelejas, </w:t>
            </w:r>
            <w:r w:rsidR="001B3B69">
              <w:rPr>
                <w:color w:val="000000" w:themeColor="text1"/>
                <w:sz w:val="24"/>
                <w:szCs w:val="24"/>
              </w:rPr>
              <w:t xml:space="preserve">Valsts kontroles, </w:t>
            </w:r>
            <w:r w:rsidR="003B48B5">
              <w:rPr>
                <w:color w:val="000000" w:themeColor="text1"/>
                <w:sz w:val="24"/>
                <w:szCs w:val="24"/>
              </w:rPr>
              <w:t xml:space="preserve">Valsts prezidenta kancelejas, </w:t>
            </w:r>
            <w:r w:rsidR="00B97D59">
              <w:rPr>
                <w:color w:val="000000" w:themeColor="text1"/>
                <w:sz w:val="24"/>
                <w:szCs w:val="24"/>
              </w:rPr>
              <w:t>kā arī no valsts akciju sabiedrības "Latvijas Pasts"</w:t>
            </w:r>
            <w:r w:rsidR="00644B99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15EC" w:rsidRPr="00EB6915" w:rsidTr="001240B6">
        <w:trPr>
          <w:trHeight w:val="5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6.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Iemesli, kādēļ netika nodrošināta sabiedrības līdzdalība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644B99" w:rsidRDefault="003B48B5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B99">
              <w:rPr>
                <w:sz w:val="24"/>
                <w:szCs w:val="24"/>
              </w:rPr>
              <w:t>Nav attiecināms.</w:t>
            </w:r>
          </w:p>
        </w:tc>
      </w:tr>
      <w:tr w:rsidR="00E515EC" w:rsidRPr="00EB6915" w:rsidTr="001240B6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7.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Cita informācija</w:t>
            </w:r>
          </w:p>
        </w:tc>
        <w:tc>
          <w:tcPr>
            <w:tcW w:w="4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</w:t>
            </w:r>
            <w:r w:rsidR="00A70F7A" w:rsidRPr="00EB6915">
              <w:rPr>
                <w:sz w:val="24"/>
                <w:szCs w:val="24"/>
              </w:rPr>
              <w:t>Nav</w:t>
            </w:r>
            <w:r w:rsidR="00644B99">
              <w:rPr>
                <w:sz w:val="24"/>
                <w:szCs w:val="24"/>
              </w:rPr>
              <w:t>.</w:t>
            </w:r>
          </w:p>
        </w:tc>
      </w:tr>
    </w:tbl>
    <w:p w:rsidR="005752D7" w:rsidRPr="006817E4" w:rsidRDefault="005752D7" w:rsidP="005752D7">
      <w:pPr>
        <w:widowControl/>
        <w:autoSpaceDE/>
        <w:autoSpaceDN/>
        <w:adjustRightInd/>
        <w:spacing w:before="100" w:beforeAutospacing="1" w:after="100" w:afterAutospacing="1"/>
        <w:rPr>
          <w:i/>
          <w:sz w:val="24"/>
          <w:szCs w:val="24"/>
        </w:rPr>
      </w:pPr>
      <w:r w:rsidRPr="006817E4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>otācijas II</w:t>
      </w:r>
      <w:r w:rsidR="001A6E0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sadaļa </w:t>
      </w:r>
      <w:r w:rsidR="001A6E00">
        <w:rPr>
          <w:i/>
          <w:sz w:val="24"/>
          <w:szCs w:val="24"/>
        </w:rPr>
        <w:t>nav attiecināma</w:t>
      </w:r>
      <w:r>
        <w:rPr>
          <w:i/>
          <w:sz w:val="24"/>
          <w:szCs w:val="24"/>
        </w:rPr>
        <w:t>.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"/>
        <w:gridCol w:w="1149"/>
        <w:gridCol w:w="1247"/>
        <w:gridCol w:w="1470"/>
        <w:gridCol w:w="1470"/>
        <w:gridCol w:w="1037"/>
      </w:tblGrid>
      <w:tr w:rsidR="005752D7" w:rsidRPr="00F107F4" w:rsidTr="005752D7">
        <w:trPr>
          <w:trHeight w:val="652"/>
          <w:tblCellSpacing w:w="0" w:type="dxa"/>
        </w:trPr>
        <w:tc>
          <w:tcPr>
            <w:tcW w:w="908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752D7" w:rsidRPr="00F107F4" w:rsidTr="00666431">
        <w:trPr>
          <w:tblCellSpacing w:w="0" w:type="dxa"/>
        </w:trPr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</w:t>
            </w:r>
            <w:r w:rsidRPr="00F107F4">
              <w:rPr>
                <w:b/>
                <w:bCs/>
                <w:sz w:val="24"/>
                <w:szCs w:val="24"/>
              </w:rPr>
              <w:t>Rādītāji</w:t>
            </w:r>
          </w:p>
        </w:tc>
        <w:tc>
          <w:tcPr>
            <w:tcW w:w="242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F67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</w:t>
            </w:r>
            <w:r w:rsidR="00F6730E">
              <w:rPr>
                <w:b/>
                <w:bCs/>
                <w:sz w:val="24"/>
                <w:szCs w:val="24"/>
              </w:rPr>
              <w:t>2012.</w:t>
            </w:r>
            <w:r w:rsidRPr="00F107F4">
              <w:rPr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3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Turpmākie trīs gadi (</w:t>
            </w:r>
            <w:proofErr w:type="spellStart"/>
            <w:r w:rsidRPr="00F107F4">
              <w:rPr>
                <w:sz w:val="24"/>
                <w:szCs w:val="24"/>
              </w:rPr>
              <w:t>tūkst</w:t>
            </w:r>
            <w:proofErr w:type="spellEnd"/>
            <w:r w:rsidRPr="00F107F4">
              <w:rPr>
                <w:sz w:val="24"/>
                <w:szCs w:val="24"/>
              </w:rPr>
              <w:t>. latu)</w:t>
            </w:r>
          </w:p>
        </w:tc>
      </w:tr>
      <w:tr w:rsidR="005752D7" w:rsidRPr="00F107F4" w:rsidTr="006664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F67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</w:t>
            </w:r>
            <w:r w:rsidR="00F6730E">
              <w:rPr>
                <w:sz w:val="24"/>
                <w:szCs w:val="24"/>
              </w:rPr>
              <w:t>2013.gads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F6730E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2014.gads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F6730E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2015.gads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Saskaņā ar valsts budžetu kārtējam gadam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Izmaiņas kārtējā gadā, salīdzinot ar budžetu kārtējam gadam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F67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 xml:space="preserve"> Izmaiņas, salīdzinot ar kārtējo </w:t>
            </w:r>
            <w:r w:rsidR="00F6730E">
              <w:rPr>
                <w:sz w:val="24"/>
                <w:szCs w:val="24"/>
              </w:rPr>
              <w:t>2012.</w:t>
            </w:r>
            <w:r w:rsidRPr="00F107F4">
              <w:rPr>
                <w:sz w:val="24"/>
                <w:szCs w:val="24"/>
              </w:rPr>
              <w:t>gadu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F67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Izmaiņas, salīdzinot ar kārtējo</w:t>
            </w:r>
            <w:r w:rsidR="00F6730E">
              <w:rPr>
                <w:sz w:val="24"/>
                <w:szCs w:val="24"/>
              </w:rPr>
              <w:t xml:space="preserve"> 2012.</w:t>
            </w:r>
            <w:r w:rsidRPr="00F107F4">
              <w:rPr>
                <w:sz w:val="24"/>
                <w:szCs w:val="24"/>
              </w:rPr>
              <w:t>gadu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F673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 xml:space="preserve"> Izmaiņas, salīdzinot ar kārtējo </w:t>
            </w:r>
            <w:r w:rsidR="00F6730E">
              <w:rPr>
                <w:sz w:val="24"/>
                <w:szCs w:val="24"/>
              </w:rPr>
              <w:t>2012.</w:t>
            </w:r>
            <w:r w:rsidRPr="00F107F4">
              <w:rPr>
                <w:sz w:val="24"/>
                <w:szCs w:val="24"/>
              </w:rPr>
              <w:t>gadu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1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5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6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1. Budžeta ieņēmumi: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 w:rsidR="00F6730E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 w:rsidR="00F6730E"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5752D7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 w:rsidR="00774530"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52D7" w:rsidRPr="00F107F4">
              <w:rPr>
                <w:sz w:val="24"/>
                <w:szCs w:val="24"/>
              </w:rPr>
              <w:t>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52D7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52D7"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 xml:space="preserve"> 1.1. valsts pamatbudžets, tai skaitā ieņēmumi no maksas </w:t>
            </w:r>
            <w:r w:rsidR="003B48B5">
              <w:rPr>
                <w:sz w:val="24"/>
                <w:szCs w:val="24"/>
              </w:rPr>
              <w:t>pakalpo</w:t>
            </w:r>
            <w:r w:rsidRPr="00F107F4">
              <w:rPr>
                <w:sz w:val="24"/>
                <w:szCs w:val="24"/>
              </w:rPr>
              <w:t>jumiem un citi pašu ieņēmumi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1.2. valsts speciālais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1.3. pašvaldību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2. Budžeta izdevumi: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666431" w:rsidRDefault="001A6E00" w:rsidP="003331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2.1. valsts pamatbudžets</w:t>
            </w:r>
            <w:r w:rsidR="00333103" w:rsidRPr="00666431">
              <w:rPr>
                <w:sz w:val="24"/>
                <w:szCs w:val="24"/>
              </w:rPr>
              <w:t>, ņemot vērā bāzē 2013.gadam ieplānotos izdevumus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F107F4" w:rsidRDefault="001A6E0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F107F4" w:rsidRDefault="001A6E0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F107F4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–</w:t>
            </w:r>
            <w:r w:rsidR="00333103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F107F4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  <w:r w:rsidR="001A6E00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E00" w:rsidRPr="00F107F4" w:rsidRDefault="001A6E0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1A6E00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666431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2.2. valsts speciālais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530" w:rsidRPr="00F107F4" w:rsidRDefault="00774530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666431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2.3. pašvaldību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6664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3. Finansiālā ietekme: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</w:t>
            </w:r>
            <w:r w:rsidR="00437B8F">
              <w:rPr>
                <w:sz w:val="24"/>
                <w:szCs w:val="24"/>
              </w:rPr>
              <w:t>+</w:t>
            </w:r>
            <w:r w:rsidR="00666431" w:rsidRPr="00666431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666431" w:rsidP="00375A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+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A969B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3.1. valsts pamatbudžets, ņemot vērā bāzē ieplānotos izdevumus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375A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</w:t>
            </w:r>
            <w:r w:rsidR="00437B8F">
              <w:rPr>
                <w:sz w:val="24"/>
                <w:szCs w:val="24"/>
              </w:rPr>
              <w:t>+</w:t>
            </w:r>
            <w:r w:rsidRPr="00666431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+</w:t>
            </w:r>
            <w:r w:rsidR="00A969BF" w:rsidRPr="00666431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3.2. speciālais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0  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666431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3.3. pašvaldību budžets</w:t>
            </w:r>
          </w:p>
        </w:tc>
        <w:tc>
          <w:tcPr>
            <w:tcW w:w="1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4. Finanšu līdzekļi papildu izde</w:t>
            </w:r>
            <w:r w:rsidRPr="00F107F4">
              <w:rPr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1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X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 w:rsidRPr="00666431">
              <w:rPr>
                <w:sz w:val="24"/>
                <w:szCs w:val="24"/>
              </w:rPr>
              <w:t>0  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>
              <w:rPr>
                <w:sz w:val="24"/>
                <w:szCs w:val="24"/>
              </w:rPr>
              <w:t>0</w:t>
            </w:r>
            <w:r w:rsidR="00A969BF"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 w:rsidRPr="00666431">
              <w:rPr>
                <w:sz w:val="24"/>
                <w:szCs w:val="24"/>
              </w:rPr>
              <w:t>0  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>
              <w:rPr>
                <w:sz w:val="24"/>
                <w:szCs w:val="24"/>
              </w:rPr>
              <w:t>0</w:t>
            </w:r>
            <w:r w:rsidR="00A969BF"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 w:rsidRPr="00666431">
              <w:rPr>
                <w:sz w:val="24"/>
                <w:szCs w:val="24"/>
              </w:rPr>
              <w:t>0  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>
              <w:rPr>
                <w:sz w:val="24"/>
                <w:szCs w:val="24"/>
              </w:rPr>
              <w:t>0</w:t>
            </w:r>
            <w:r w:rsidR="00A969BF" w:rsidRPr="00F107F4">
              <w:rPr>
                <w:sz w:val="24"/>
                <w:szCs w:val="24"/>
              </w:rPr>
              <w:t>  </w:t>
            </w:r>
          </w:p>
        </w:tc>
      </w:tr>
      <w:tr w:rsidR="00666431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5. Precizēta finansiālā ietekme:</w:t>
            </w:r>
          </w:p>
        </w:tc>
        <w:tc>
          <w:tcPr>
            <w:tcW w:w="117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X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C539AC" w:rsidP="00C539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</w:t>
            </w:r>
            <w:r w:rsidR="00666431" w:rsidRPr="00666431">
              <w:rPr>
                <w:sz w:val="24"/>
                <w:szCs w:val="24"/>
              </w:rPr>
              <w:t> 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375A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+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6431">
              <w:rPr>
                <w:sz w:val="24"/>
                <w:szCs w:val="24"/>
              </w:rPr>
              <w:t>0</w:t>
            </w:r>
            <w:r w:rsidR="00666431" w:rsidRPr="00F107F4">
              <w:rPr>
                <w:sz w:val="24"/>
                <w:szCs w:val="24"/>
              </w:rPr>
              <w:t>  </w:t>
            </w:r>
          </w:p>
        </w:tc>
      </w:tr>
      <w:tr w:rsidR="00666431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5.1. valsts pamatbudžets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431" w:rsidRPr="00F107F4" w:rsidRDefault="00666431" w:rsidP="005752D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C539AC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7B8F">
              <w:rPr>
                <w:sz w:val="24"/>
                <w:szCs w:val="24"/>
              </w:rPr>
              <w:t xml:space="preserve">+ </w:t>
            </w:r>
            <w:r w:rsidR="00437B8F">
              <w:rPr>
                <w:sz w:val="24"/>
                <w:szCs w:val="24"/>
              </w:rPr>
              <w:t>4 034,0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437B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+ </w:t>
            </w:r>
            <w:r w:rsidR="00437B8F">
              <w:rPr>
                <w:sz w:val="24"/>
                <w:szCs w:val="24"/>
              </w:rPr>
              <w:t>1 835,0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6431">
              <w:rPr>
                <w:sz w:val="24"/>
                <w:szCs w:val="24"/>
              </w:rPr>
              <w:t>0</w:t>
            </w:r>
            <w:r w:rsidR="00666431"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5.2. speciālais 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5752D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A969BF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>  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666431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 w:rsidRPr="00666431">
              <w:rPr>
                <w:sz w:val="24"/>
                <w:szCs w:val="24"/>
              </w:rPr>
              <w:t>0  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69BF">
              <w:rPr>
                <w:sz w:val="24"/>
                <w:szCs w:val="24"/>
              </w:rPr>
              <w:t>0</w:t>
            </w:r>
            <w:r w:rsidR="00A969BF" w:rsidRPr="00F107F4">
              <w:rPr>
                <w:sz w:val="24"/>
                <w:szCs w:val="24"/>
              </w:rPr>
              <w:t>  </w:t>
            </w:r>
          </w:p>
        </w:tc>
      </w:tr>
      <w:tr w:rsidR="00666431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5.3. pašvaldību budžets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431" w:rsidRPr="00F107F4" w:rsidRDefault="00666431" w:rsidP="005752D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666431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666431" w:rsidRDefault="00666431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64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Jautājums par pašvaldību budžetu tiks skatīts atsevišķā jautājumā MK 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6431" w:rsidRPr="00F107F4" w:rsidRDefault="00C539AC" w:rsidP="00126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6431">
              <w:rPr>
                <w:sz w:val="24"/>
                <w:szCs w:val="24"/>
              </w:rPr>
              <w:t>0</w:t>
            </w:r>
            <w:r w:rsidR="00666431" w:rsidRPr="00F107F4">
              <w:rPr>
                <w:sz w:val="24"/>
                <w:szCs w:val="24"/>
              </w:rPr>
              <w:t>  </w:t>
            </w:r>
          </w:p>
        </w:tc>
      </w:tr>
      <w:tr w:rsidR="00A969BF" w:rsidRPr="00F107F4" w:rsidTr="00666431">
        <w:trPr>
          <w:tblCellSpacing w:w="0" w:type="dxa"/>
        </w:trPr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6. Detalizēts ieņēmumu un izdevu</w:t>
            </w:r>
            <w:r w:rsidRPr="00F107F4">
              <w:rPr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37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103" w:rsidRDefault="00A969BF" w:rsidP="00A969BF">
            <w:pPr>
              <w:jc w:val="both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 </w:t>
            </w:r>
          </w:p>
          <w:p w:rsidR="00FF13E0" w:rsidRDefault="00FF13E0" w:rsidP="00FF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2011.gadā tika apkopoti indikatīvie izdevumi saistībā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ieviešanu Latvijā un apstiprināti </w:t>
            </w:r>
            <w:r w:rsidRPr="009D4AED">
              <w:rPr>
                <w:sz w:val="24"/>
                <w:szCs w:val="24"/>
              </w:rPr>
              <w:t xml:space="preserve">ar Ministru kabineta  2011.gada 7.novembra rīkojumu Nr.579 (protokols Nr.62 56.§) "Par ilgtermiņa saistību uzņemšanos 2013.-2014.gadam Latvijas Nacionālā </w:t>
            </w:r>
            <w:r w:rsidR="00B74D13" w:rsidRPr="00B74D13">
              <w:rPr>
                <w:sz w:val="24"/>
                <w:szCs w:val="24"/>
              </w:rPr>
              <w:t>eiro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D4AED">
              <w:rPr>
                <w:sz w:val="24"/>
                <w:szCs w:val="24"/>
              </w:rPr>
              <w:t>ieviešanas plānā paredzēto pasākumu finansēšanai un to ieļaušanu likumprojektā "Par valsts budžetu 2012.gadam""</w:t>
            </w:r>
            <w:r>
              <w:rPr>
                <w:sz w:val="24"/>
                <w:szCs w:val="24"/>
              </w:rPr>
              <w:t xml:space="preserve">, plānojot finansējumu 74.resora 03.00.00 programmā "Latvijas Nacionālā </w:t>
            </w:r>
            <w:r w:rsidR="00B74D13">
              <w:rPr>
                <w:sz w:val="24"/>
                <w:szCs w:val="24"/>
              </w:rPr>
              <w:t xml:space="preserve">eiro </w:t>
            </w:r>
            <w:r>
              <w:rPr>
                <w:sz w:val="24"/>
                <w:szCs w:val="24"/>
              </w:rPr>
              <w:t xml:space="preserve">ieviešanas plāna pasākumi" 8 713 381 latu apmērā, </w:t>
            </w:r>
            <w:proofErr w:type="spellStart"/>
            <w:r>
              <w:rPr>
                <w:sz w:val="24"/>
                <w:szCs w:val="24"/>
              </w:rPr>
              <w:t>t.i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FF13E0" w:rsidRDefault="00FF13E0" w:rsidP="00FF13E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2013.gadam – 5 787 995 lati un</w:t>
            </w:r>
          </w:p>
          <w:p w:rsidR="00FF13E0" w:rsidRDefault="00FF13E0" w:rsidP="00FF13E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2014.gadam – 2 925 386 lati.</w:t>
            </w:r>
            <w:r w:rsidRPr="009D4AED">
              <w:rPr>
                <w:sz w:val="24"/>
                <w:szCs w:val="24"/>
              </w:rPr>
              <w:t xml:space="preserve"> </w:t>
            </w:r>
          </w:p>
          <w:p w:rsidR="00FF13E0" w:rsidRDefault="00FF13E0" w:rsidP="00FF13E0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FF13E0" w:rsidRDefault="00FF13E0" w:rsidP="00FF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Atbilstoši Ministru kabineta 2012.gada 20.marta sēdē nolemtajam (protokols Nr.16, 32.</w:t>
            </w:r>
            <w:r w:rsidRPr="00EB2125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) un saskaņā ar Pasākumu plānā un likumprojekta noteikto tika atkārtoti izvērtētas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ieviešanu saistītās izmaksas 2013.-2014.gadam. Atbilstoši ministriju (centrālo valsts iestāžu) iesniegtajiem precizētajiem aprēķiniem, kopējais nepieciešamais finansējums ir 8 </w:t>
            </w:r>
            <w:r w:rsidR="00375A9C">
              <w:rPr>
                <w:sz w:val="24"/>
                <w:szCs w:val="24"/>
              </w:rPr>
              <w:t>39</w:t>
            </w:r>
            <w:r w:rsidR="00801D87">
              <w:rPr>
                <w:sz w:val="24"/>
                <w:szCs w:val="24"/>
              </w:rPr>
              <w:t xml:space="preserve">1 528 </w:t>
            </w:r>
            <w:r>
              <w:rPr>
                <w:sz w:val="24"/>
                <w:szCs w:val="24"/>
              </w:rPr>
              <w:t xml:space="preserve">lati, </w:t>
            </w:r>
            <w:proofErr w:type="spellStart"/>
            <w:r>
              <w:rPr>
                <w:sz w:val="24"/>
                <w:szCs w:val="24"/>
              </w:rPr>
              <w:t>t.sk</w:t>
            </w:r>
            <w:proofErr w:type="spellEnd"/>
            <w:r>
              <w:rPr>
                <w:sz w:val="24"/>
                <w:szCs w:val="24"/>
              </w:rPr>
              <w:t>. pa gadiem,</w:t>
            </w:r>
          </w:p>
          <w:p w:rsidR="00FF13E0" w:rsidRDefault="00FF13E0" w:rsidP="00FF13E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2013.gadam – 7 </w:t>
            </w:r>
            <w:r w:rsidR="00375A9C">
              <w:rPr>
                <w:sz w:val="24"/>
                <w:szCs w:val="24"/>
              </w:rPr>
              <w:t>114</w:t>
            </w:r>
            <w:r w:rsidR="00801D87">
              <w:rPr>
                <w:sz w:val="24"/>
                <w:szCs w:val="24"/>
              </w:rPr>
              <w:t xml:space="preserve"> 254 </w:t>
            </w:r>
            <w:r>
              <w:rPr>
                <w:sz w:val="24"/>
                <w:szCs w:val="24"/>
              </w:rPr>
              <w:t>lati un</w:t>
            </w:r>
          </w:p>
          <w:p w:rsidR="00FF13E0" w:rsidRDefault="00FF13E0" w:rsidP="00FF13E0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2014.gadam – 1 </w:t>
            </w:r>
            <w:r w:rsidR="00375A9C">
              <w:rPr>
                <w:sz w:val="24"/>
                <w:szCs w:val="24"/>
              </w:rPr>
              <w:t xml:space="preserve">277 274 </w:t>
            </w:r>
            <w:r>
              <w:rPr>
                <w:sz w:val="24"/>
                <w:szCs w:val="24"/>
              </w:rPr>
              <w:t>lati.</w:t>
            </w:r>
          </w:p>
          <w:p w:rsidR="00FF13E0" w:rsidRDefault="00FF13E0" w:rsidP="00CC0DC1">
            <w:pPr>
              <w:jc w:val="both"/>
              <w:rPr>
                <w:sz w:val="24"/>
                <w:szCs w:val="24"/>
              </w:rPr>
            </w:pPr>
          </w:p>
          <w:p w:rsidR="00A969BF" w:rsidRDefault="00A969BF" w:rsidP="00A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Vienlaicīgi ir plānota visu ar</w:t>
            </w:r>
            <w:r w:rsidRPr="003057E1">
              <w:t xml:space="preserve"> </w:t>
            </w:r>
            <w:r w:rsidRPr="00060609">
              <w:rPr>
                <w:sz w:val="24"/>
                <w:szCs w:val="24"/>
              </w:rPr>
              <w:t>ministriju un citu centrālo valsts iestāžu informācijas sistēmu pielāgošan</w:t>
            </w:r>
            <w:r>
              <w:rPr>
                <w:sz w:val="24"/>
                <w:szCs w:val="24"/>
              </w:rPr>
              <w:t>u</w:t>
            </w:r>
            <w:r w:rsidRPr="00060609">
              <w:rPr>
                <w:sz w:val="24"/>
                <w:szCs w:val="24"/>
              </w:rPr>
              <w:t xml:space="preserve"> </w:t>
            </w:r>
            <w:proofErr w:type="spellStart"/>
            <w:r w:rsidRPr="001C4561">
              <w:rPr>
                <w:i/>
                <w:sz w:val="24"/>
                <w:szCs w:val="24"/>
              </w:rPr>
              <w:t>euro</w:t>
            </w:r>
            <w:proofErr w:type="spellEnd"/>
            <w:r w:rsidRPr="00060609">
              <w:rPr>
                <w:sz w:val="24"/>
                <w:szCs w:val="24"/>
              </w:rPr>
              <w:t xml:space="preserve"> valūtai </w:t>
            </w:r>
            <w:r>
              <w:rPr>
                <w:sz w:val="24"/>
                <w:szCs w:val="24"/>
              </w:rPr>
              <w:t xml:space="preserve">izmaksu  4 257 301 latu apmērā segšana  </w:t>
            </w:r>
            <w:r w:rsidRPr="00060609">
              <w:rPr>
                <w:sz w:val="24"/>
                <w:szCs w:val="24"/>
              </w:rPr>
              <w:t>no Eiropas Reģionālā attīstības fo</w:t>
            </w:r>
            <w:r>
              <w:rPr>
                <w:sz w:val="24"/>
                <w:szCs w:val="24"/>
              </w:rPr>
              <w:t xml:space="preserve">nda (turpmāk – ERAF) līdzekļiem, papildus uzņemoties </w:t>
            </w:r>
            <w:proofErr w:type="spellStart"/>
            <w:r>
              <w:rPr>
                <w:sz w:val="24"/>
                <w:szCs w:val="24"/>
              </w:rPr>
              <w:t>virssaistības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703976">
              <w:rPr>
                <w:sz w:val="24"/>
                <w:szCs w:val="24"/>
              </w:rPr>
              <w:t xml:space="preserve">657 584 </w:t>
            </w:r>
            <w:r>
              <w:rPr>
                <w:sz w:val="24"/>
                <w:szCs w:val="24"/>
              </w:rPr>
              <w:t xml:space="preserve">latu apmērā.  Papildus ir plānota arī 50% ar komunikācijas pasākumu īstenošanu saistīto izmaksu (kopējie plānotie izdevumi 1 400 000 lati) segšana </w:t>
            </w:r>
            <w:r w:rsidRPr="00242939">
              <w:rPr>
                <w:sz w:val="24"/>
                <w:szCs w:val="24"/>
              </w:rPr>
              <w:t xml:space="preserve">no Eiropas Komisijas Granta līguma </w:t>
            </w:r>
            <w:proofErr w:type="spellStart"/>
            <w:r w:rsidRPr="001C4561">
              <w:rPr>
                <w:i/>
                <w:sz w:val="24"/>
                <w:szCs w:val="24"/>
              </w:rPr>
              <w:t>euro</w:t>
            </w:r>
            <w:proofErr w:type="spellEnd"/>
            <w:r w:rsidRPr="00242939">
              <w:rPr>
                <w:sz w:val="24"/>
                <w:szCs w:val="24"/>
              </w:rPr>
              <w:t xml:space="preserve"> komunikācijas pasākumiem.</w:t>
            </w:r>
            <w:r w:rsidDel="00242939">
              <w:rPr>
                <w:sz w:val="24"/>
                <w:szCs w:val="24"/>
              </w:rPr>
              <w:t xml:space="preserve"> </w:t>
            </w:r>
          </w:p>
          <w:p w:rsidR="00565239" w:rsidRDefault="00565239" w:rsidP="00A969BF">
            <w:pPr>
              <w:jc w:val="both"/>
              <w:rPr>
                <w:sz w:val="24"/>
                <w:szCs w:val="24"/>
              </w:rPr>
            </w:pPr>
          </w:p>
          <w:p w:rsidR="00565239" w:rsidRDefault="00565239" w:rsidP="0056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Precizētie aprēķini liecina, ka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ieviešanu saistīto izmaksu kopējais apjoms atbilstoši budžeta bāzē ieplānotajam ir nepieciešams par </w:t>
            </w:r>
            <w:r>
              <w:rPr>
                <w:sz w:val="24"/>
                <w:szCs w:val="24"/>
              </w:rPr>
              <w:t xml:space="preserve">5 868 997 </w:t>
            </w:r>
            <w:r>
              <w:rPr>
                <w:sz w:val="24"/>
                <w:szCs w:val="24"/>
              </w:rPr>
              <w:t>latiem mazāks nekā sākotnēji plānots.</w:t>
            </w:r>
          </w:p>
          <w:p w:rsidR="00565239" w:rsidRDefault="00565239" w:rsidP="00A969BF">
            <w:pPr>
              <w:jc w:val="both"/>
              <w:rPr>
                <w:sz w:val="24"/>
                <w:szCs w:val="24"/>
              </w:rPr>
            </w:pPr>
          </w:p>
          <w:p w:rsidR="00A969BF" w:rsidRDefault="00A969BF" w:rsidP="00A969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107F4">
              <w:rPr>
                <w:sz w:val="24"/>
                <w:szCs w:val="24"/>
              </w:rPr>
              <w:t xml:space="preserve">etalizētu ieņēmumu un izdevumu aprēķinu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B48B5">
              <w:rPr>
                <w:sz w:val="24"/>
                <w:szCs w:val="24"/>
              </w:rPr>
              <w:t>rīkojuma projekta 1.</w:t>
            </w:r>
            <w:r w:rsidRPr="00F107F4">
              <w:rPr>
                <w:sz w:val="24"/>
                <w:szCs w:val="24"/>
              </w:rPr>
              <w:t>pielikumā</w:t>
            </w:r>
            <w:r>
              <w:rPr>
                <w:sz w:val="24"/>
                <w:szCs w:val="24"/>
              </w:rPr>
              <w:t>.</w:t>
            </w:r>
          </w:p>
          <w:p w:rsidR="00A969BF" w:rsidRPr="00F107F4" w:rsidRDefault="00A969BF" w:rsidP="00A969BF">
            <w:pPr>
              <w:jc w:val="both"/>
              <w:rPr>
                <w:sz w:val="24"/>
                <w:szCs w:val="24"/>
              </w:rPr>
            </w:pPr>
          </w:p>
        </w:tc>
      </w:tr>
      <w:tr w:rsidR="00A969BF" w:rsidRPr="00F107F4" w:rsidTr="00666431">
        <w:trPr>
          <w:tblCellSpacing w:w="0" w:type="dxa"/>
        </w:trPr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6.1. detalizēts ieņēmumu aprēķins</w:t>
            </w:r>
          </w:p>
        </w:tc>
        <w:tc>
          <w:tcPr>
            <w:tcW w:w="637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91342F">
            <w:pPr>
              <w:rPr>
                <w:sz w:val="24"/>
                <w:szCs w:val="24"/>
              </w:rPr>
            </w:pPr>
          </w:p>
        </w:tc>
      </w:tr>
      <w:tr w:rsidR="00A969BF" w:rsidRPr="00F107F4" w:rsidTr="00666431">
        <w:trPr>
          <w:tblCellSpacing w:w="0" w:type="dxa"/>
        </w:trPr>
        <w:tc>
          <w:tcPr>
            <w:tcW w:w="2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9134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6.2. detalizēts izdevumu aprēķins</w:t>
            </w:r>
          </w:p>
        </w:tc>
        <w:tc>
          <w:tcPr>
            <w:tcW w:w="6373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BF" w:rsidRPr="00F107F4" w:rsidRDefault="00A969BF" w:rsidP="0091342F">
            <w:pPr>
              <w:rPr>
                <w:sz w:val="24"/>
                <w:szCs w:val="24"/>
              </w:rPr>
            </w:pPr>
          </w:p>
        </w:tc>
      </w:tr>
      <w:tr w:rsidR="00A969BF" w:rsidRPr="00F107F4" w:rsidTr="00666431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5752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7. Cita informācija</w:t>
            </w:r>
          </w:p>
        </w:tc>
        <w:tc>
          <w:tcPr>
            <w:tcW w:w="64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9BF" w:rsidRPr="00F107F4" w:rsidRDefault="00A969BF" w:rsidP="001A6E00">
            <w:pPr>
              <w:jc w:val="both"/>
              <w:rPr>
                <w:sz w:val="24"/>
                <w:szCs w:val="24"/>
              </w:rPr>
            </w:pPr>
            <w:r w:rsidRPr="00F107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Pašvaldību izmaksas saistībā ar </w:t>
            </w:r>
            <w:proofErr w:type="spellStart"/>
            <w:r>
              <w:rPr>
                <w:i/>
                <w:sz w:val="24"/>
                <w:szCs w:val="24"/>
              </w:rPr>
              <w:t>euro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ieviešanu, </w:t>
            </w:r>
            <w:proofErr w:type="spellStart"/>
            <w:r>
              <w:rPr>
                <w:sz w:val="24"/>
                <w:szCs w:val="24"/>
              </w:rPr>
              <w:t>t.i</w:t>
            </w:r>
            <w:proofErr w:type="spellEnd"/>
            <w:r>
              <w:rPr>
                <w:sz w:val="24"/>
                <w:szCs w:val="24"/>
              </w:rPr>
              <w:t xml:space="preserve">. informācijas sistēmu pielāgošanu, tiks apkopotas līdz </w:t>
            </w:r>
            <w:proofErr w:type="spellStart"/>
            <w:r>
              <w:rPr>
                <w:sz w:val="24"/>
                <w:szCs w:val="24"/>
              </w:rPr>
              <w:t>š.g</w:t>
            </w:r>
            <w:proofErr w:type="spellEnd"/>
            <w:r>
              <w:rPr>
                <w:sz w:val="24"/>
                <w:szCs w:val="24"/>
              </w:rPr>
              <w:t>. 16.augustam.</w:t>
            </w:r>
          </w:p>
        </w:tc>
      </w:tr>
    </w:tbl>
    <w:p w:rsidR="00E515EC" w:rsidRDefault="006817E4" w:rsidP="00E515EC">
      <w:pPr>
        <w:widowControl/>
        <w:autoSpaceDE/>
        <w:autoSpaceDN/>
        <w:adjustRightInd/>
        <w:spacing w:before="100" w:beforeAutospacing="1" w:after="100" w:afterAutospacing="1"/>
        <w:rPr>
          <w:i/>
          <w:sz w:val="24"/>
          <w:szCs w:val="24"/>
        </w:rPr>
      </w:pPr>
      <w:r w:rsidRPr="006817E4">
        <w:rPr>
          <w:i/>
          <w:sz w:val="24"/>
          <w:szCs w:val="24"/>
        </w:rPr>
        <w:t>An</w:t>
      </w:r>
      <w:r>
        <w:rPr>
          <w:i/>
          <w:sz w:val="24"/>
          <w:szCs w:val="24"/>
        </w:rPr>
        <w:t>otācijas</w:t>
      </w:r>
      <w:r w:rsidR="00126F51">
        <w:rPr>
          <w:i/>
          <w:sz w:val="24"/>
          <w:szCs w:val="24"/>
        </w:rPr>
        <w:t xml:space="preserve"> </w:t>
      </w:r>
      <w:r w:rsidR="00644B99">
        <w:rPr>
          <w:i/>
          <w:sz w:val="24"/>
          <w:szCs w:val="24"/>
        </w:rPr>
        <w:t xml:space="preserve">IV, </w:t>
      </w:r>
      <w:r>
        <w:rPr>
          <w:i/>
          <w:sz w:val="24"/>
          <w:szCs w:val="24"/>
        </w:rPr>
        <w:t>V un VI sadaļa</w:t>
      </w:r>
      <w:r w:rsidR="00644B99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 nav attiecinām</w:t>
      </w:r>
      <w:r w:rsidR="00644B99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 w:rsidR="00644B99">
        <w:rPr>
          <w:i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929"/>
        <w:gridCol w:w="4668"/>
      </w:tblGrid>
      <w:tr w:rsidR="00E515EC" w:rsidRPr="00EB6915" w:rsidTr="00A969B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6817E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6915"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E515EC" w:rsidRPr="00EB6915" w:rsidTr="00A969BF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1.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izpildē iesaistītās institūcijas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051" w:rsidRPr="00EB6915" w:rsidRDefault="005E7DCC" w:rsidP="005E7DCC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847DF" w:rsidRPr="00EB6915">
              <w:rPr>
                <w:sz w:val="24"/>
                <w:szCs w:val="24"/>
              </w:rPr>
              <w:t>lāna</w:t>
            </w:r>
            <w:r w:rsidR="00E17ED8" w:rsidRPr="00EB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projekta </w:t>
            </w:r>
            <w:r w:rsidR="00E17ED8" w:rsidRPr="00EB6915">
              <w:rPr>
                <w:sz w:val="24"/>
                <w:szCs w:val="24"/>
              </w:rPr>
              <w:t>izpildi nodrošinās iesaistītās institūcijas atbilstoši deleģētajiem uzdevumiem.</w:t>
            </w:r>
          </w:p>
        </w:tc>
      </w:tr>
      <w:tr w:rsidR="00E515EC" w:rsidRPr="00EB6915" w:rsidTr="00A969BF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2.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funkcijām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7051" w:rsidRPr="00EB6915" w:rsidRDefault="005E7DCC" w:rsidP="005E7DCC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Plāna</w:t>
            </w:r>
            <w:r w:rsidR="00E17ED8" w:rsidRPr="00EB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projekta </w:t>
            </w:r>
            <w:r w:rsidR="00E17ED8" w:rsidRPr="00EB6915">
              <w:rPr>
                <w:sz w:val="24"/>
                <w:szCs w:val="24"/>
              </w:rPr>
              <w:t>izpilde neietekmēs iesaistīto institūciju funkcijas, iesaistītās iestādes tām deleģē</w:t>
            </w:r>
            <w:r w:rsidR="009B29D2" w:rsidRPr="00EB6915">
              <w:rPr>
                <w:sz w:val="24"/>
                <w:szCs w:val="24"/>
              </w:rPr>
              <w:t>tos uzdevumus veiks</w:t>
            </w:r>
            <w:r w:rsidR="00E17ED8" w:rsidRPr="00EB6915">
              <w:rPr>
                <w:sz w:val="24"/>
                <w:szCs w:val="24"/>
              </w:rPr>
              <w:t xml:space="preserve"> savu funkciju ietvaros.</w:t>
            </w:r>
          </w:p>
        </w:tc>
      </w:tr>
      <w:tr w:rsidR="00E515EC" w:rsidRPr="00EB6915" w:rsidTr="00A969BF">
        <w:trPr>
          <w:trHeight w:val="725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3.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Jaunu institūciju izveide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658" w:rsidRPr="00EB6915" w:rsidRDefault="003C3873" w:rsidP="003C3873">
            <w:pPr>
              <w:pStyle w:val="ListParagraph"/>
              <w:ind w:left="0"/>
            </w:pPr>
            <w:r w:rsidRPr="00EB6915">
              <w:t>Šo jomu neskar.</w:t>
            </w:r>
          </w:p>
        </w:tc>
      </w:tr>
      <w:tr w:rsidR="00E515EC" w:rsidRPr="00EB6915" w:rsidTr="00A969BF">
        <w:trPr>
          <w:trHeight w:val="780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4.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Esošu institūciju likvidācija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9276D2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38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</w:t>
            </w:r>
            <w:r w:rsidR="00E17ED8" w:rsidRPr="00EB6915">
              <w:rPr>
                <w:sz w:val="24"/>
                <w:szCs w:val="24"/>
              </w:rPr>
              <w:t>Šo jomu neskar.</w:t>
            </w:r>
          </w:p>
        </w:tc>
      </w:tr>
      <w:tr w:rsidR="00E515EC" w:rsidRPr="00EB6915" w:rsidTr="00A969BF">
        <w:trPr>
          <w:trHeight w:val="70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5.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Esošu institūciju reorganizācija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3C3873" w:rsidP="00936E88">
            <w:pPr>
              <w:pStyle w:val="ListParagraph"/>
              <w:spacing w:before="40" w:after="40"/>
              <w:ind w:left="0"/>
            </w:pPr>
            <w:r w:rsidRPr="00EB6915">
              <w:t>Šo jomu neskar.</w:t>
            </w:r>
          </w:p>
        </w:tc>
      </w:tr>
      <w:tr w:rsidR="00E515EC" w:rsidRPr="00EB6915" w:rsidTr="00A969BF">
        <w:trPr>
          <w:trHeight w:val="476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6.</w:t>
            </w:r>
          </w:p>
        </w:tc>
        <w:tc>
          <w:tcPr>
            <w:tcW w:w="3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Cita informācija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5EC" w:rsidRPr="00EB6915" w:rsidRDefault="009B29D2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Nav.</w:t>
            </w:r>
          </w:p>
        </w:tc>
      </w:tr>
    </w:tbl>
    <w:p w:rsidR="00E515EC" w:rsidRPr="00EB6915" w:rsidRDefault="00E515EC" w:rsidP="00C96112">
      <w:pPr>
        <w:pStyle w:val="naisc"/>
        <w:spacing w:before="0" w:after="0"/>
        <w:rPr>
          <w:rFonts w:eastAsia="Arial Unicode MS"/>
          <w:b/>
          <w:bCs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C96112" w:rsidRPr="00EB6915" w:rsidRDefault="006D7C02" w:rsidP="003037F7">
      <w:pPr>
        <w:tabs>
          <w:tab w:val="left" w:pos="7513"/>
        </w:tabs>
        <w:jc w:val="both"/>
        <w:rPr>
          <w:sz w:val="24"/>
          <w:szCs w:val="24"/>
        </w:rPr>
      </w:pPr>
      <w:r w:rsidRPr="00EB6915">
        <w:rPr>
          <w:sz w:val="24"/>
          <w:szCs w:val="24"/>
        </w:rPr>
        <w:t>Finanšu ministr</w:t>
      </w:r>
      <w:r w:rsidR="00644B99">
        <w:rPr>
          <w:sz w:val="24"/>
          <w:szCs w:val="24"/>
        </w:rPr>
        <w:t>s</w:t>
      </w:r>
      <w:r w:rsidR="00C64904">
        <w:rPr>
          <w:sz w:val="24"/>
          <w:szCs w:val="24"/>
        </w:rPr>
        <w:t xml:space="preserve"> </w:t>
      </w:r>
      <w:r w:rsidRPr="00EB6915">
        <w:rPr>
          <w:sz w:val="24"/>
          <w:szCs w:val="24"/>
        </w:rPr>
        <w:tab/>
      </w:r>
      <w:r w:rsidR="00644B99">
        <w:rPr>
          <w:sz w:val="24"/>
          <w:szCs w:val="24"/>
        </w:rPr>
        <w:t>A</w:t>
      </w:r>
      <w:r w:rsidR="00C64904">
        <w:rPr>
          <w:sz w:val="24"/>
          <w:szCs w:val="24"/>
        </w:rPr>
        <w:t xml:space="preserve">. </w:t>
      </w:r>
      <w:r w:rsidR="00644B99">
        <w:rPr>
          <w:sz w:val="24"/>
          <w:szCs w:val="24"/>
        </w:rPr>
        <w:t>Vilks</w:t>
      </w:r>
    </w:p>
    <w:p w:rsidR="00C96112" w:rsidRDefault="00C96112" w:rsidP="00C96112">
      <w:pPr>
        <w:pStyle w:val="BodyText"/>
        <w:jc w:val="both"/>
        <w:rPr>
          <w:b w:val="0"/>
          <w:sz w:val="24"/>
          <w:szCs w:val="24"/>
        </w:rPr>
      </w:pPr>
    </w:p>
    <w:p w:rsidR="00876B26" w:rsidRDefault="00876B26" w:rsidP="00ED2551"/>
    <w:p w:rsidR="00876B26" w:rsidRDefault="00876B26" w:rsidP="00ED2551"/>
    <w:p w:rsidR="00907C7C" w:rsidRPr="00B2796B" w:rsidRDefault="00B74D13" w:rsidP="00907C7C">
      <w:r>
        <w:t>06</w:t>
      </w:r>
      <w:r w:rsidR="00907C7C" w:rsidRPr="00B16E53">
        <w:t>.0</w:t>
      </w:r>
      <w:r>
        <w:t>8</w:t>
      </w:r>
      <w:r w:rsidR="00907C7C" w:rsidRPr="00B16E53">
        <w:t xml:space="preserve">.2012. </w:t>
      </w:r>
      <w:r w:rsidR="00907C7C">
        <w:t>1</w:t>
      </w:r>
      <w:r w:rsidR="0009089E">
        <w:t>0</w:t>
      </w:r>
      <w:r w:rsidR="00907C7C" w:rsidRPr="00B16E53">
        <w:t>:05</w:t>
      </w:r>
    </w:p>
    <w:p w:rsidR="00907C7C" w:rsidRPr="00761EF6" w:rsidRDefault="0009089E" w:rsidP="00907C7C">
      <w:r>
        <w:t>13</w:t>
      </w:r>
      <w:r w:rsidR="00232621">
        <w:t>03</w:t>
      </w:r>
    </w:p>
    <w:p w:rsidR="00907C7C" w:rsidRDefault="00907C7C" w:rsidP="00907C7C">
      <w:r>
        <w:t>I. Jermacāne</w:t>
      </w:r>
    </w:p>
    <w:p w:rsidR="00907C7C" w:rsidRPr="00761EF6" w:rsidRDefault="00907C7C" w:rsidP="00907C7C">
      <w:pPr>
        <w:tabs>
          <w:tab w:val="center" w:pos="4536"/>
        </w:tabs>
      </w:pPr>
      <w:bookmarkStart w:id="5" w:name="OLE_LINK1"/>
      <w:bookmarkStart w:id="6" w:name="OLE_LINK2"/>
      <w:proofErr w:type="spellStart"/>
      <w:r w:rsidRPr="00761EF6">
        <w:t>tālr</w:t>
      </w:r>
      <w:proofErr w:type="spellEnd"/>
      <w:r w:rsidRPr="00761EF6">
        <w:t>.: 670</w:t>
      </w:r>
      <w:bookmarkEnd w:id="5"/>
      <w:bookmarkEnd w:id="6"/>
      <w:r>
        <w:t>95429</w:t>
      </w:r>
      <w:r w:rsidRPr="00761EF6">
        <w:t>, fakss: 67083830</w:t>
      </w:r>
    </w:p>
    <w:p w:rsidR="00907C7C" w:rsidRDefault="00785D2F" w:rsidP="00907C7C">
      <w:pPr>
        <w:tabs>
          <w:tab w:val="center" w:pos="4536"/>
        </w:tabs>
      </w:pPr>
      <w:hyperlink r:id="rId9" w:history="1">
        <w:r w:rsidR="00907C7C" w:rsidRPr="00CC6581">
          <w:rPr>
            <w:rStyle w:val="Hyperlink"/>
          </w:rPr>
          <w:t>Ilga.Jermacane@fm.gov.lv</w:t>
        </w:r>
      </w:hyperlink>
    </w:p>
    <w:p w:rsidR="00907C7C" w:rsidRPr="00EC1773" w:rsidRDefault="00907C7C" w:rsidP="00907C7C"/>
    <w:p w:rsidR="00876B26" w:rsidRDefault="00876B26" w:rsidP="00ED2551"/>
    <w:sectPr w:rsidR="00876B26" w:rsidSect="00904919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2F" w:rsidRDefault="00785D2F">
      <w:r>
        <w:separator/>
      </w:r>
    </w:p>
  </w:endnote>
  <w:endnote w:type="continuationSeparator" w:id="0">
    <w:p w:rsidR="00785D2F" w:rsidRDefault="007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7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42F" w:rsidRDefault="00070D15">
        <w:pPr>
          <w:pStyle w:val="Footer"/>
          <w:jc w:val="center"/>
          <w:rPr>
            <w:noProof/>
          </w:rPr>
        </w:pPr>
        <w:r>
          <w:fldChar w:fldCharType="begin"/>
        </w:r>
        <w:r w:rsidR="0091342F">
          <w:instrText xml:space="preserve"> PAGE   \* MERGEFORMAT </w:instrText>
        </w:r>
        <w:r>
          <w:fldChar w:fldCharType="separate"/>
        </w:r>
        <w:r w:rsidR="00232621">
          <w:rPr>
            <w:noProof/>
          </w:rPr>
          <w:t>6</w:t>
        </w:r>
        <w:r>
          <w:rPr>
            <w:noProof/>
          </w:rPr>
          <w:fldChar w:fldCharType="end"/>
        </w:r>
      </w:p>
      <w:p w:rsidR="0091342F" w:rsidRDefault="0091342F" w:rsidP="00907C7C">
        <w:pPr>
          <w:pStyle w:val="Header"/>
          <w:jc w:val="both"/>
        </w:pPr>
        <w:r>
          <w:t>FMAnot_</w:t>
        </w:r>
        <w:r w:rsidR="00B74D13">
          <w:t>06</w:t>
        </w:r>
        <w:r>
          <w:t>0</w:t>
        </w:r>
        <w:r w:rsidR="00B74D13">
          <w:t>8</w:t>
        </w:r>
        <w:r w:rsidRPr="009542A2">
          <w:t>12_</w:t>
        </w:r>
        <w:r>
          <w:t>Euro</w:t>
        </w:r>
        <w:r w:rsidR="005C4642">
          <w:t>_izm</w:t>
        </w:r>
        <w:r w:rsidRPr="005056F6">
          <w:t xml:space="preserve">; </w:t>
        </w:r>
        <w:r>
          <w:rPr>
            <w:szCs w:val="24"/>
          </w:rPr>
          <w:t>Ministru kabineta rīkojuma projekts</w:t>
        </w:r>
        <w:r w:rsidRPr="00AD6CB2">
          <w:rPr>
            <w:szCs w:val="24"/>
          </w:rPr>
          <w:t xml:space="preserve"> „Par </w:t>
        </w:r>
        <w:r>
          <w:rPr>
            <w:szCs w:val="24"/>
          </w:rPr>
          <w:t xml:space="preserve">finansējuma piešķiršanu ministrijām (centrālajām valsts iestādēm) </w:t>
        </w:r>
        <w:proofErr w:type="spellStart"/>
        <w:r w:rsidRPr="002E1448">
          <w:rPr>
            <w:i/>
            <w:szCs w:val="24"/>
          </w:rPr>
          <w:t>euro</w:t>
        </w:r>
        <w:proofErr w:type="spellEnd"/>
        <w:r w:rsidRPr="002E1448">
          <w:rPr>
            <w:i/>
            <w:szCs w:val="24"/>
          </w:rPr>
          <w:t xml:space="preserve"> </w:t>
        </w:r>
        <w:r>
          <w:rPr>
            <w:szCs w:val="24"/>
          </w:rPr>
          <w:t>ieviešanas izdevumu segšanai</w:t>
        </w:r>
        <w:r w:rsidRPr="00AD6CB2">
          <w:rPr>
            <w:szCs w:val="24"/>
          </w:rPr>
          <w:t>”</w:t>
        </w:r>
      </w:p>
    </w:sdtContent>
  </w:sdt>
  <w:p w:rsidR="0091342F" w:rsidRPr="00907C7C" w:rsidRDefault="0091342F" w:rsidP="00907C7C">
    <w:pPr>
      <w:pStyle w:val="Head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46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42F" w:rsidRDefault="00070D15" w:rsidP="00907C7C">
        <w:pPr>
          <w:pStyle w:val="Footer"/>
          <w:jc w:val="center"/>
          <w:rPr>
            <w:noProof/>
          </w:rPr>
        </w:pPr>
        <w:r>
          <w:fldChar w:fldCharType="begin"/>
        </w:r>
        <w:r w:rsidR="0091342F">
          <w:instrText xml:space="preserve"> PAGE   \* MERGEFORMAT </w:instrText>
        </w:r>
        <w:r>
          <w:fldChar w:fldCharType="separate"/>
        </w:r>
        <w:r w:rsidR="00437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42F" w:rsidRPr="001B0398" w:rsidRDefault="0091342F" w:rsidP="001B0398">
    <w:pPr>
      <w:pStyle w:val="Header"/>
      <w:jc w:val="both"/>
    </w:pPr>
    <w:r>
      <w:t>FMAnot_</w:t>
    </w:r>
    <w:r w:rsidR="009937A0">
      <w:t>0</w:t>
    </w:r>
    <w:r w:rsidR="00B74D13">
      <w:t>6</w:t>
    </w:r>
    <w:r>
      <w:t>0</w:t>
    </w:r>
    <w:r w:rsidR="00B74D13">
      <w:t>8</w:t>
    </w:r>
    <w:r w:rsidRPr="009542A2">
      <w:t>12_</w:t>
    </w:r>
    <w:r>
      <w:t>Euro</w:t>
    </w:r>
    <w:r w:rsidR="005C4642">
      <w:t>_izm</w:t>
    </w:r>
    <w:r w:rsidRPr="005056F6">
      <w:t xml:space="preserve">; </w:t>
    </w:r>
    <w:r>
      <w:rPr>
        <w:szCs w:val="24"/>
      </w:rPr>
      <w:t>Ministru kabineta rīkojuma projekts</w:t>
    </w:r>
    <w:r w:rsidRPr="00AD6CB2">
      <w:rPr>
        <w:szCs w:val="24"/>
      </w:rPr>
      <w:t xml:space="preserve"> „Par </w:t>
    </w:r>
    <w:r>
      <w:rPr>
        <w:szCs w:val="24"/>
      </w:rPr>
      <w:t xml:space="preserve">finansējuma piešķiršanu ministrijām (centrālajām valsts iestādēm) </w:t>
    </w:r>
    <w:proofErr w:type="spellStart"/>
    <w:r w:rsidRPr="002E1448">
      <w:rPr>
        <w:i/>
        <w:szCs w:val="24"/>
      </w:rPr>
      <w:t>euro</w:t>
    </w:r>
    <w:proofErr w:type="spellEnd"/>
    <w:r w:rsidRPr="002E1448">
      <w:rPr>
        <w:i/>
        <w:szCs w:val="24"/>
      </w:rPr>
      <w:t xml:space="preserve"> </w:t>
    </w:r>
    <w:r>
      <w:rPr>
        <w:szCs w:val="24"/>
      </w:rPr>
      <w:t>ieviešanas izdevumu segšanai</w:t>
    </w:r>
    <w:r w:rsidRPr="00AD6CB2">
      <w:rPr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2F" w:rsidRDefault="00785D2F">
      <w:r>
        <w:separator/>
      </w:r>
    </w:p>
  </w:footnote>
  <w:footnote w:type="continuationSeparator" w:id="0">
    <w:p w:rsidR="00785D2F" w:rsidRDefault="0078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2F" w:rsidRDefault="00070D15" w:rsidP="00E516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34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42F" w:rsidRDefault="00913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2F" w:rsidRDefault="0091342F" w:rsidP="00E516E2">
    <w:pPr>
      <w:pStyle w:val="Header"/>
      <w:framePr w:wrap="around" w:vAnchor="text" w:hAnchor="margin" w:xAlign="center" w:y="1"/>
      <w:rPr>
        <w:rStyle w:val="PageNumber"/>
      </w:rPr>
    </w:pPr>
  </w:p>
  <w:p w:rsidR="0091342F" w:rsidRDefault="00913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7D"/>
    <w:multiLevelType w:val="hybridMultilevel"/>
    <w:tmpl w:val="A9C22D1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4452A7"/>
    <w:multiLevelType w:val="hybridMultilevel"/>
    <w:tmpl w:val="F1C0FAA2"/>
    <w:lvl w:ilvl="0" w:tplc="E7D218F0">
      <w:start w:val="2012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15F10"/>
    <w:multiLevelType w:val="hybridMultilevel"/>
    <w:tmpl w:val="7D7C634A"/>
    <w:lvl w:ilvl="0" w:tplc="56A68C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31AF9"/>
    <w:multiLevelType w:val="hybridMultilevel"/>
    <w:tmpl w:val="0A1AC900"/>
    <w:lvl w:ilvl="0" w:tplc="0426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">
    <w:nsid w:val="1721027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8A22CAC"/>
    <w:multiLevelType w:val="hybridMultilevel"/>
    <w:tmpl w:val="BA8C2F78"/>
    <w:lvl w:ilvl="0" w:tplc="4C1E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C6F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B1344C3"/>
    <w:multiLevelType w:val="hybridMultilevel"/>
    <w:tmpl w:val="960A82C4"/>
    <w:lvl w:ilvl="0" w:tplc="E904E2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C104A"/>
    <w:multiLevelType w:val="hybridMultilevel"/>
    <w:tmpl w:val="2C589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12C6E"/>
    <w:multiLevelType w:val="hybridMultilevel"/>
    <w:tmpl w:val="88CEA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67D69"/>
    <w:multiLevelType w:val="hybridMultilevel"/>
    <w:tmpl w:val="D14AAB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7AD2"/>
    <w:multiLevelType w:val="hybridMultilevel"/>
    <w:tmpl w:val="3AE250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55C60"/>
    <w:multiLevelType w:val="hybridMultilevel"/>
    <w:tmpl w:val="40464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7107A"/>
    <w:multiLevelType w:val="hybridMultilevel"/>
    <w:tmpl w:val="EB8A8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C56AA"/>
    <w:multiLevelType w:val="hybridMultilevel"/>
    <w:tmpl w:val="310056B6"/>
    <w:lvl w:ilvl="0" w:tplc="307E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A611FE"/>
    <w:multiLevelType w:val="hybridMultilevel"/>
    <w:tmpl w:val="30849158"/>
    <w:lvl w:ilvl="0" w:tplc="1B96B2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B835FF6"/>
    <w:multiLevelType w:val="hybridMultilevel"/>
    <w:tmpl w:val="545E0B48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CDD18F2"/>
    <w:multiLevelType w:val="hybridMultilevel"/>
    <w:tmpl w:val="5BC28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C012BE"/>
    <w:multiLevelType w:val="hybridMultilevel"/>
    <w:tmpl w:val="84FAE9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7"/>
  </w:num>
  <w:num w:numId="5">
    <w:abstractNumId w:val="15"/>
  </w:num>
  <w:num w:numId="6">
    <w:abstractNumId w:val="11"/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9"/>
  </w:num>
  <w:num w:numId="15">
    <w:abstractNumId w:val="1"/>
  </w:num>
  <w:num w:numId="16">
    <w:abstractNumId w:val="6"/>
  </w:num>
  <w:num w:numId="17">
    <w:abstractNumId w:val="4"/>
  </w:num>
  <w:num w:numId="18">
    <w:abstractNumId w:val="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6"/>
    <w:rsid w:val="00000837"/>
    <w:rsid w:val="00006BE1"/>
    <w:rsid w:val="000110D1"/>
    <w:rsid w:val="00013410"/>
    <w:rsid w:val="00022DC1"/>
    <w:rsid w:val="000255E2"/>
    <w:rsid w:val="000272F8"/>
    <w:rsid w:val="000301D5"/>
    <w:rsid w:val="00033868"/>
    <w:rsid w:val="000405DC"/>
    <w:rsid w:val="00044DFF"/>
    <w:rsid w:val="00047208"/>
    <w:rsid w:val="00047943"/>
    <w:rsid w:val="000479A0"/>
    <w:rsid w:val="00051B2A"/>
    <w:rsid w:val="00053981"/>
    <w:rsid w:val="00060FAF"/>
    <w:rsid w:val="0006538A"/>
    <w:rsid w:val="00070B1C"/>
    <w:rsid w:val="00070D15"/>
    <w:rsid w:val="000714BB"/>
    <w:rsid w:val="00077469"/>
    <w:rsid w:val="00081B4F"/>
    <w:rsid w:val="00085727"/>
    <w:rsid w:val="0009089E"/>
    <w:rsid w:val="00092FFF"/>
    <w:rsid w:val="000A0FA1"/>
    <w:rsid w:val="000A26D7"/>
    <w:rsid w:val="000A622D"/>
    <w:rsid w:val="000B01B2"/>
    <w:rsid w:val="000C00AF"/>
    <w:rsid w:val="000C2AFD"/>
    <w:rsid w:val="000C6184"/>
    <w:rsid w:val="000C6332"/>
    <w:rsid w:val="000D2777"/>
    <w:rsid w:val="000D3ED2"/>
    <w:rsid w:val="000E1725"/>
    <w:rsid w:val="000E47DE"/>
    <w:rsid w:val="000E517E"/>
    <w:rsid w:val="000F38E8"/>
    <w:rsid w:val="000F6586"/>
    <w:rsid w:val="000F66B8"/>
    <w:rsid w:val="000F7B15"/>
    <w:rsid w:val="001022CB"/>
    <w:rsid w:val="0010520A"/>
    <w:rsid w:val="001071E9"/>
    <w:rsid w:val="00114F55"/>
    <w:rsid w:val="001240B6"/>
    <w:rsid w:val="0012661E"/>
    <w:rsid w:val="00126F51"/>
    <w:rsid w:val="001276DC"/>
    <w:rsid w:val="00133164"/>
    <w:rsid w:val="00137AD7"/>
    <w:rsid w:val="0014063D"/>
    <w:rsid w:val="00140B66"/>
    <w:rsid w:val="00146D22"/>
    <w:rsid w:val="00157ADD"/>
    <w:rsid w:val="001658C8"/>
    <w:rsid w:val="00170FC8"/>
    <w:rsid w:val="00171662"/>
    <w:rsid w:val="00171E8A"/>
    <w:rsid w:val="001827E2"/>
    <w:rsid w:val="00190057"/>
    <w:rsid w:val="00195E9A"/>
    <w:rsid w:val="001963C1"/>
    <w:rsid w:val="001A10D3"/>
    <w:rsid w:val="001A18B0"/>
    <w:rsid w:val="001A59C1"/>
    <w:rsid w:val="001A6E00"/>
    <w:rsid w:val="001A7AED"/>
    <w:rsid w:val="001A7D1E"/>
    <w:rsid w:val="001B0398"/>
    <w:rsid w:val="001B29E4"/>
    <w:rsid w:val="001B3B69"/>
    <w:rsid w:val="001C778E"/>
    <w:rsid w:val="001C7A27"/>
    <w:rsid w:val="001D082F"/>
    <w:rsid w:val="001D3327"/>
    <w:rsid w:val="001D4092"/>
    <w:rsid w:val="001D6F67"/>
    <w:rsid w:val="001E5FCC"/>
    <w:rsid w:val="001E7FA9"/>
    <w:rsid w:val="001F494F"/>
    <w:rsid w:val="001F5FC9"/>
    <w:rsid w:val="00205C95"/>
    <w:rsid w:val="00207456"/>
    <w:rsid w:val="00215C20"/>
    <w:rsid w:val="0021790F"/>
    <w:rsid w:val="0022185F"/>
    <w:rsid w:val="00231F6B"/>
    <w:rsid w:val="00232621"/>
    <w:rsid w:val="002338D0"/>
    <w:rsid w:val="00234D18"/>
    <w:rsid w:val="0023597D"/>
    <w:rsid w:val="00236FBC"/>
    <w:rsid w:val="00237DB0"/>
    <w:rsid w:val="00242C23"/>
    <w:rsid w:val="00243B6A"/>
    <w:rsid w:val="002445FF"/>
    <w:rsid w:val="00246368"/>
    <w:rsid w:val="00247436"/>
    <w:rsid w:val="00253111"/>
    <w:rsid w:val="00260F45"/>
    <w:rsid w:val="002672B4"/>
    <w:rsid w:val="0027142A"/>
    <w:rsid w:val="002756DB"/>
    <w:rsid w:val="00276C54"/>
    <w:rsid w:val="00276FFF"/>
    <w:rsid w:val="00277381"/>
    <w:rsid w:val="002840AC"/>
    <w:rsid w:val="0028533D"/>
    <w:rsid w:val="002928E5"/>
    <w:rsid w:val="00295617"/>
    <w:rsid w:val="00297658"/>
    <w:rsid w:val="002A6EEC"/>
    <w:rsid w:val="002B0976"/>
    <w:rsid w:val="002B3485"/>
    <w:rsid w:val="002B6602"/>
    <w:rsid w:val="002C142A"/>
    <w:rsid w:val="002C37E3"/>
    <w:rsid w:val="002C4050"/>
    <w:rsid w:val="002C7691"/>
    <w:rsid w:val="002D0122"/>
    <w:rsid w:val="002D28DA"/>
    <w:rsid w:val="002E4CDE"/>
    <w:rsid w:val="002F0216"/>
    <w:rsid w:val="002F5DD3"/>
    <w:rsid w:val="002F6487"/>
    <w:rsid w:val="00301045"/>
    <w:rsid w:val="003037F7"/>
    <w:rsid w:val="00304EEE"/>
    <w:rsid w:val="00305248"/>
    <w:rsid w:val="003056D3"/>
    <w:rsid w:val="00313A1D"/>
    <w:rsid w:val="00313E84"/>
    <w:rsid w:val="00317EEF"/>
    <w:rsid w:val="003227CC"/>
    <w:rsid w:val="00324672"/>
    <w:rsid w:val="00325E35"/>
    <w:rsid w:val="00332739"/>
    <w:rsid w:val="00333103"/>
    <w:rsid w:val="00334136"/>
    <w:rsid w:val="0033449F"/>
    <w:rsid w:val="0034546B"/>
    <w:rsid w:val="00360E09"/>
    <w:rsid w:val="0036474E"/>
    <w:rsid w:val="00365632"/>
    <w:rsid w:val="00366FE1"/>
    <w:rsid w:val="0036771A"/>
    <w:rsid w:val="0037352C"/>
    <w:rsid w:val="00373D5F"/>
    <w:rsid w:val="00375A9C"/>
    <w:rsid w:val="00375F5F"/>
    <w:rsid w:val="00377609"/>
    <w:rsid w:val="0038379C"/>
    <w:rsid w:val="003847DF"/>
    <w:rsid w:val="003848E3"/>
    <w:rsid w:val="00386709"/>
    <w:rsid w:val="003877CF"/>
    <w:rsid w:val="003A032F"/>
    <w:rsid w:val="003A1529"/>
    <w:rsid w:val="003A2825"/>
    <w:rsid w:val="003A403A"/>
    <w:rsid w:val="003A584F"/>
    <w:rsid w:val="003A69BE"/>
    <w:rsid w:val="003A7815"/>
    <w:rsid w:val="003B0B7E"/>
    <w:rsid w:val="003B2EE7"/>
    <w:rsid w:val="003B48B5"/>
    <w:rsid w:val="003B6487"/>
    <w:rsid w:val="003C3873"/>
    <w:rsid w:val="003C4BE3"/>
    <w:rsid w:val="003C6E87"/>
    <w:rsid w:val="003D05E0"/>
    <w:rsid w:val="003D0BA2"/>
    <w:rsid w:val="003D31F1"/>
    <w:rsid w:val="003E051E"/>
    <w:rsid w:val="003E156D"/>
    <w:rsid w:val="003E27FB"/>
    <w:rsid w:val="003E52FD"/>
    <w:rsid w:val="003E614C"/>
    <w:rsid w:val="003E6625"/>
    <w:rsid w:val="003E6C97"/>
    <w:rsid w:val="003E705E"/>
    <w:rsid w:val="003E7BA4"/>
    <w:rsid w:val="00406F6B"/>
    <w:rsid w:val="0040777E"/>
    <w:rsid w:val="00407B8F"/>
    <w:rsid w:val="004104A2"/>
    <w:rsid w:val="004116DD"/>
    <w:rsid w:val="004125FC"/>
    <w:rsid w:val="00414886"/>
    <w:rsid w:val="00415A93"/>
    <w:rsid w:val="00415B84"/>
    <w:rsid w:val="00417EF8"/>
    <w:rsid w:val="00423971"/>
    <w:rsid w:val="00425560"/>
    <w:rsid w:val="00427C0C"/>
    <w:rsid w:val="004341C8"/>
    <w:rsid w:val="00434C48"/>
    <w:rsid w:val="00434DDB"/>
    <w:rsid w:val="00437B8F"/>
    <w:rsid w:val="00453CD7"/>
    <w:rsid w:val="0046380B"/>
    <w:rsid w:val="00463F04"/>
    <w:rsid w:val="00466D0A"/>
    <w:rsid w:val="004842C8"/>
    <w:rsid w:val="00485DCC"/>
    <w:rsid w:val="00492479"/>
    <w:rsid w:val="004A288E"/>
    <w:rsid w:val="004A4931"/>
    <w:rsid w:val="004A7C2E"/>
    <w:rsid w:val="004B54F1"/>
    <w:rsid w:val="004C45FB"/>
    <w:rsid w:val="004D1E42"/>
    <w:rsid w:val="004E094A"/>
    <w:rsid w:val="004F2639"/>
    <w:rsid w:val="004F50DF"/>
    <w:rsid w:val="005009AF"/>
    <w:rsid w:val="005016CD"/>
    <w:rsid w:val="00505B37"/>
    <w:rsid w:val="005075B1"/>
    <w:rsid w:val="005109CE"/>
    <w:rsid w:val="00512608"/>
    <w:rsid w:val="00514692"/>
    <w:rsid w:val="00515B28"/>
    <w:rsid w:val="00520747"/>
    <w:rsid w:val="0052543B"/>
    <w:rsid w:val="00533AFE"/>
    <w:rsid w:val="005534AF"/>
    <w:rsid w:val="00562BCE"/>
    <w:rsid w:val="00562EBC"/>
    <w:rsid w:val="00565239"/>
    <w:rsid w:val="00567FBF"/>
    <w:rsid w:val="0057099D"/>
    <w:rsid w:val="00570DCC"/>
    <w:rsid w:val="00572E1B"/>
    <w:rsid w:val="00574E0A"/>
    <w:rsid w:val="005752D7"/>
    <w:rsid w:val="005756DD"/>
    <w:rsid w:val="00577B72"/>
    <w:rsid w:val="005A2983"/>
    <w:rsid w:val="005A4B80"/>
    <w:rsid w:val="005A79A0"/>
    <w:rsid w:val="005B5FFB"/>
    <w:rsid w:val="005C2758"/>
    <w:rsid w:val="005C3F9F"/>
    <w:rsid w:val="005C4642"/>
    <w:rsid w:val="005C4957"/>
    <w:rsid w:val="005C4BD7"/>
    <w:rsid w:val="005C5D3C"/>
    <w:rsid w:val="005C6548"/>
    <w:rsid w:val="005D72C0"/>
    <w:rsid w:val="005E1857"/>
    <w:rsid w:val="005E58C0"/>
    <w:rsid w:val="005E7DCC"/>
    <w:rsid w:val="005E7FDC"/>
    <w:rsid w:val="005F1D97"/>
    <w:rsid w:val="005F2EF0"/>
    <w:rsid w:val="005F33A2"/>
    <w:rsid w:val="005F7062"/>
    <w:rsid w:val="0060208B"/>
    <w:rsid w:val="00610DF2"/>
    <w:rsid w:val="00612DD1"/>
    <w:rsid w:val="0061581A"/>
    <w:rsid w:val="00620125"/>
    <w:rsid w:val="006267E6"/>
    <w:rsid w:val="006312E0"/>
    <w:rsid w:val="00632B2B"/>
    <w:rsid w:val="006340F9"/>
    <w:rsid w:val="00641874"/>
    <w:rsid w:val="00643AD0"/>
    <w:rsid w:val="0064432E"/>
    <w:rsid w:val="00644B99"/>
    <w:rsid w:val="006463E0"/>
    <w:rsid w:val="00655F94"/>
    <w:rsid w:val="006568E6"/>
    <w:rsid w:val="00663758"/>
    <w:rsid w:val="00663E37"/>
    <w:rsid w:val="00665B98"/>
    <w:rsid w:val="00666431"/>
    <w:rsid w:val="00667768"/>
    <w:rsid w:val="0067189D"/>
    <w:rsid w:val="0067198F"/>
    <w:rsid w:val="00671AF7"/>
    <w:rsid w:val="00672F65"/>
    <w:rsid w:val="006774F9"/>
    <w:rsid w:val="0068122C"/>
    <w:rsid w:val="006817E4"/>
    <w:rsid w:val="0068738E"/>
    <w:rsid w:val="006A0A20"/>
    <w:rsid w:val="006A2CB8"/>
    <w:rsid w:val="006A3608"/>
    <w:rsid w:val="006B7B53"/>
    <w:rsid w:val="006C1ECE"/>
    <w:rsid w:val="006C1FAB"/>
    <w:rsid w:val="006C24FE"/>
    <w:rsid w:val="006C38B0"/>
    <w:rsid w:val="006D091A"/>
    <w:rsid w:val="006D718C"/>
    <w:rsid w:val="006D7C02"/>
    <w:rsid w:val="006F109F"/>
    <w:rsid w:val="006F43E3"/>
    <w:rsid w:val="006F4CD3"/>
    <w:rsid w:val="006F70F8"/>
    <w:rsid w:val="00701CAB"/>
    <w:rsid w:val="00703976"/>
    <w:rsid w:val="007107AB"/>
    <w:rsid w:val="007156DC"/>
    <w:rsid w:val="00715DD2"/>
    <w:rsid w:val="007255A2"/>
    <w:rsid w:val="00727D5B"/>
    <w:rsid w:val="00730F78"/>
    <w:rsid w:val="007364B1"/>
    <w:rsid w:val="00742434"/>
    <w:rsid w:val="0075695C"/>
    <w:rsid w:val="00764904"/>
    <w:rsid w:val="00772587"/>
    <w:rsid w:val="00774530"/>
    <w:rsid w:val="00774B83"/>
    <w:rsid w:val="00777F81"/>
    <w:rsid w:val="00781F26"/>
    <w:rsid w:val="007832F1"/>
    <w:rsid w:val="00785D2F"/>
    <w:rsid w:val="007878A4"/>
    <w:rsid w:val="00787962"/>
    <w:rsid w:val="007912BC"/>
    <w:rsid w:val="007927D3"/>
    <w:rsid w:val="00794161"/>
    <w:rsid w:val="00797A7A"/>
    <w:rsid w:val="007A17FD"/>
    <w:rsid w:val="007A3A1E"/>
    <w:rsid w:val="007A5A7F"/>
    <w:rsid w:val="007A6276"/>
    <w:rsid w:val="007B1323"/>
    <w:rsid w:val="007B3A31"/>
    <w:rsid w:val="007C17BB"/>
    <w:rsid w:val="007C68D8"/>
    <w:rsid w:val="007C74EA"/>
    <w:rsid w:val="007D052C"/>
    <w:rsid w:val="007D12E4"/>
    <w:rsid w:val="007E15CB"/>
    <w:rsid w:val="007E39C2"/>
    <w:rsid w:val="00801D87"/>
    <w:rsid w:val="008121B3"/>
    <w:rsid w:val="00814365"/>
    <w:rsid w:val="00814975"/>
    <w:rsid w:val="00817D73"/>
    <w:rsid w:val="008200E6"/>
    <w:rsid w:val="00820760"/>
    <w:rsid w:val="008226AA"/>
    <w:rsid w:val="00830C38"/>
    <w:rsid w:val="008323CB"/>
    <w:rsid w:val="008329B7"/>
    <w:rsid w:val="00833FD1"/>
    <w:rsid w:val="00836C5D"/>
    <w:rsid w:val="00840213"/>
    <w:rsid w:val="00841A12"/>
    <w:rsid w:val="00855675"/>
    <w:rsid w:val="0085706D"/>
    <w:rsid w:val="00863949"/>
    <w:rsid w:val="00876B26"/>
    <w:rsid w:val="00876C78"/>
    <w:rsid w:val="00876F59"/>
    <w:rsid w:val="00881435"/>
    <w:rsid w:val="00894283"/>
    <w:rsid w:val="00895096"/>
    <w:rsid w:val="008965D7"/>
    <w:rsid w:val="008A4DE6"/>
    <w:rsid w:val="008A57A2"/>
    <w:rsid w:val="008A74A0"/>
    <w:rsid w:val="008B3D9B"/>
    <w:rsid w:val="008B686A"/>
    <w:rsid w:val="008C0FD9"/>
    <w:rsid w:val="008C21A2"/>
    <w:rsid w:val="008C25CC"/>
    <w:rsid w:val="008D184F"/>
    <w:rsid w:val="008D597A"/>
    <w:rsid w:val="008E1258"/>
    <w:rsid w:val="008E1408"/>
    <w:rsid w:val="008E3453"/>
    <w:rsid w:val="008E3B16"/>
    <w:rsid w:val="008E52F3"/>
    <w:rsid w:val="008E6A72"/>
    <w:rsid w:val="008F2158"/>
    <w:rsid w:val="008F726A"/>
    <w:rsid w:val="00900E8B"/>
    <w:rsid w:val="00904919"/>
    <w:rsid w:val="00905DFF"/>
    <w:rsid w:val="009075C1"/>
    <w:rsid w:val="00907C7C"/>
    <w:rsid w:val="0091342F"/>
    <w:rsid w:val="00920232"/>
    <w:rsid w:val="00924D00"/>
    <w:rsid w:val="0092685A"/>
    <w:rsid w:val="009276D2"/>
    <w:rsid w:val="0093285C"/>
    <w:rsid w:val="00936E88"/>
    <w:rsid w:val="009379D0"/>
    <w:rsid w:val="00940EEB"/>
    <w:rsid w:val="00946901"/>
    <w:rsid w:val="00947051"/>
    <w:rsid w:val="009526D9"/>
    <w:rsid w:val="009527ED"/>
    <w:rsid w:val="009542A2"/>
    <w:rsid w:val="0095495A"/>
    <w:rsid w:val="00955EF3"/>
    <w:rsid w:val="009615CB"/>
    <w:rsid w:val="00962449"/>
    <w:rsid w:val="00967E58"/>
    <w:rsid w:val="00970CF6"/>
    <w:rsid w:val="00974A87"/>
    <w:rsid w:val="009755F2"/>
    <w:rsid w:val="00976233"/>
    <w:rsid w:val="00983356"/>
    <w:rsid w:val="009863F5"/>
    <w:rsid w:val="00990601"/>
    <w:rsid w:val="00993377"/>
    <w:rsid w:val="009937A0"/>
    <w:rsid w:val="00996DD5"/>
    <w:rsid w:val="009979A9"/>
    <w:rsid w:val="009A723A"/>
    <w:rsid w:val="009A76DE"/>
    <w:rsid w:val="009B22C4"/>
    <w:rsid w:val="009B29D2"/>
    <w:rsid w:val="009B3E73"/>
    <w:rsid w:val="009C100D"/>
    <w:rsid w:val="009C179A"/>
    <w:rsid w:val="009D38C9"/>
    <w:rsid w:val="009D40A4"/>
    <w:rsid w:val="009D7D87"/>
    <w:rsid w:val="009E1A0B"/>
    <w:rsid w:val="009E386D"/>
    <w:rsid w:val="009E44B2"/>
    <w:rsid w:val="009E5209"/>
    <w:rsid w:val="009F2D27"/>
    <w:rsid w:val="009F76BA"/>
    <w:rsid w:val="009F7DC8"/>
    <w:rsid w:val="00A00C5B"/>
    <w:rsid w:val="00A02D45"/>
    <w:rsid w:val="00A05F96"/>
    <w:rsid w:val="00A10125"/>
    <w:rsid w:val="00A12DE5"/>
    <w:rsid w:val="00A12EAD"/>
    <w:rsid w:val="00A141BD"/>
    <w:rsid w:val="00A14552"/>
    <w:rsid w:val="00A213EE"/>
    <w:rsid w:val="00A26B66"/>
    <w:rsid w:val="00A30009"/>
    <w:rsid w:val="00A30643"/>
    <w:rsid w:val="00A30919"/>
    <w:rsid w:val="00A311EB"/>
    <w:rsid w:val="00A33D16"/>
    <w:rsid w:val="00A347CD"/>
    <w:rsid w:val="00A4373C"/>
    <w:rsid w:val="00A46371"/>
    <w:rsid w:val="00A46CC1"/>
    <w:rsid w:val="00A52FCC"/>
    <w:rsid w:val="00A55AC6"/>
    <w:rsid w:val="00A62006"/>
    <w:rsid w:val="00A64B60"/>
    <w:rsid w:val="00A64CF8"/>
    <w:rsid w:val="00A65978"/>
    <w:rsid w:val="00A6667B"/>
    <w:rsid w:val="00A676CF"/>
    <w:rsid w:val="00A678C5"/>
    <w:rsid w:val="00A67D7D"/>
    <w:rsid w:val="00A70F7A"/>
    <w:rsid w:val="00A71697"/>
    <w:rsid w:val="00A72042"/>
    <w:rsid w:val="00A7334A"/>
    <w:rsid w:val="00A75BAB"/>
    <w:rsid w:val="00A7678F"/>
    <w:rsid w:val="00A82C42"/>
    <w:rsid w:val="00A84109"/>
    <w:rsid w:val="00A91D9A"/>
    <w:rsid w:val="00A969BF"/>
    <w:rsid w:val="00AA4298"/>
    <w:rsid w:val="00AA4B14"/>
    <w:rsid w:val="00AA5878"/>
    <w:rsid w:val="00AA742C"/>
    <w:rsid w:val="00AA7DF9"/>
    <w:rsid w:val="00AB24D9"/>
    <w:rsid w:val="00AB7114"/>
    <w:rsid w:val="00AD2B4B"/>
    <w:rsid w:val="00AE4237"/>
    <w:rsid w:val="00AE5394"/>
    <w:rsid w:val="00AF1159"/>
    <w:rsid w:val="00AF2498"/>
    <w:rsid w:val="00AF4589"/>
    <w:rsid w:val="00B0165D"/>
    <w:rsid w:val="00B01D17"/>
    <w:rsid w:val="00B05DB2"/>
    <w:rsid w:val="00B10830"/>
    <w:rsid w:val="00B12A11"/>
    <w:rsid w:val="00B17FBF"/>
    <w:rsid w:val="00B249FC"/>
    <w:rsid w:val="00B3009E"/>
    <w:rsid w:val="00B32C2C"/>
    <w:rsid w:val="00B35118"/>
    <w:rsid w:val="00B360FE"/>
    <w:rsid w:val="00B40DDB"/>
    <w:rsid w:val="00B472E9"/>
    <w:rsid w:val="00B57544"/>
    <w:rsid w:val="00B60945"/>
    <w:rsid w:val="00B62E48"/>
    <w:rsid w:val="00B66859"/>
    <w:rsid w:val="00B7410A"/>
    <w:rsid w:val="00B74D13"/>
    <w:rsid w:val="00B77B7F"/>
    <w:rsid w:val="00B864DE"/>
    <w:rsid w:val="00B95CD6"/>
    <w:rsid w:val="00B96273"/>
    <w:rsid w:val="00B97D59"/>
    <w:rsid w:val="00BA0F92"/>
    <w:rsid w:val="00BB0030"/>
    <w:rsid w:val="00BB0BA9"/>
    <w:rsid w:val="00BB3963"/>
    <w:rsid w:val="00BC07E5"/>
    <w:rsid w:val="00BC4FDB"/>
    <w:rsid w:val="00BD65A6"/>
    <w:rsid w:val="00BE2049"/>
    <w:rsid w:val="00BE4629"/>
    <w:rsid w:val="00BE56BF"/>
    <w:rsid w:val="00BE7738"/>
    <w:rsid w:val="00BF486B"/>
    <w:rsid w:val="00C07706"/>
    <w:rsid w:val="00C17C05"/>
    <w:rsid w:val="00C17CC9"/>
    <w:rsid w:val="00C21C00"/>
    <w:rsid w:val="00C22065"/>
    <w:rsid w:val="00C220D0"/>
    <w:rsid w:val="00C221D8"/>
    <w:rsid w:val="00C3734A"/>
    <w:rsid w:val="00C40127"/>
    <w:rsid w:val="00C418EC"/>
    <w:rsid w:val="00C41E49"/>
    <w:rsid w:val="00C45801"/>
    <w:rsid w:val="00C539AC"/>
    <w:rsid w:val="00C5780C"/>
    <w:rsid w:val="00C57BDF"/>
    <w:rsid w:val="00C62D53"/>
    <w:rsid w:val="00C63036"/>
    <w:rsid w:val="00C64904"/>
    <w:rsid w:val="00C70852"/>
    <w:rsid w:val="00C70C81"/>
    <w:rsid w:val="00C72D05"/>
    <w:rsid w:val="00C73670"/>
    <w:rsid w:val="00C75B72"/>
    <w:rsid w:val="00C75DAD"/>
    <w:rsid w:val="00C94BC1"/>
    <w:rsid w:val="00C94E7D"/>
    <w:rsid w:val="00C95D02"/>
    <w:rsid w:val="00C96112"/>
    <w:rsid w:val="00CA5285"/>
    <w:rsid w:val="00CA6614"/>
    <w:rsid w:val="00CA6ACF"/>
    <w:rsid w:val="00CB759F"/>
    <w:rsid w:val="00CC0DC1"/>
    <w:rsid w:val="00CC20A1"/>
    <w:rsid w:val="00CC40C2"/>
    <w:rsid w:val="00CC49BB"/>
    <w:rsid w:val="00CD1C64"/>
    <w:rsid w:val="00CD298B"/>
    <w:rsid w:val="00CD3D02"/>
    <w:rsid w:val="00CE1428"/>
    <w:rsid w:val="00CE4DED"/>
    <w:rsid w:val="00CF3D83"/>
    <w:rsid w:val="00D00677"/>
    <w:rsid w:val="00D033E0"/>
    <w:rsid w:val="00D220D8"/>
    <w:rsid w:val="00D23F50"/>
    <w:rsid w:val="00D25B00"/>
    <w:rsid w:val="00D26A02"/>
    <w:rsid w:val="00D31049"/>
    <w:rsid w:val="00D3442B"/>
    <w:rsid w:val="00D43E08"/>
    <w:rsid w:val="00D46914"/>
    <w:rsid w:val="00D50628"/>
    <w:rsid w:val="00D53C12"/>
    <w:rsid w:val="00D54EB0"/>
    <w:rsid w:val="00D56072"/>
    <w:rsid w:val="00D568CA"/>
    <w:rsid w:val="00D57B07"/>
    <w:rsid w:val="00D602FC"/>
    <w:rsid w:val="00D628D9"/>
    <w:rsid w:val="00D64E61"/>
    <w:rsid w:val="00D709E1"/>
    <w:rsid w:val="00D70A25"/>
    <w:rsid w:val="00D72CC3"/>
    <w:rsid w:val="00D8454A"/>
    <w:rsid w:val="00D938E5"/>
    <w:rsid w:val="00D93E51"/>
    <w:rsid w:val="00D9726C"/>
    <w:rsid w:val="00DA4F2E"/>
    <w:rsid w:val="00DA58BA"/>
    <w:rsid w:val="00DA5C75"/>
    <w:rsid w:val="00DA7590"/>
    <w:rsid w:val="00DA763D"/>
    <w:rsid w:val="00DB2682"/>
    <w:rsid w:val="00DB4B21"/>
    <w:rsid w:val="00DB4D7F"/>
    <w:rsid w:val="00DC0391"/>
    <w:rsid w:val="00DC4BED"/>
    <w:rsid w:val="00DC6285"/>
    <w:rsid w:val="00DD374A"/>
    <w:rsid w:val="00DE30FD"/>
    <w:rsid w:val="00DE576D"/>
    <w:rsid w:val="00E0156A"/>
    <w:rsid w:val="00E065E7"/>
    <w:rsid w:val="00E11566"/>
    <w:rsid w:val="00E15E7D"/>
    <w:rsid w:val="00E17ED8"/>
    <w:rsid w:val="00E23547"/>
    <w:rsid w:val="00E24589"/>
    <w:rsid w:val="00E26A76"/>
    <w:rsid w:val="00E30443"/>
    <w:rsid w:val="00E31374"/>
    <w:rsid w:val="00E36387"/>
    <w:rsid w:val="00E46C8A"/>
    <w:rsid w:val="00E515EC"/>
    <w:rsid w:val="00E516E2"/>
    <w:rsid w:val="00E52E22"/>
    <w:rsid w:val="00E54DDB"/>
    <w:rsid w:val="00E63043"/>
    <w:rsid w:val="00E647DD"/>
    <w:rsid w:val="00E652D3"/>
    <w:rsid w:val="00E7053F"/>
    <w:rsid w:val="00E75569"/>
    <w:rsid w:val="00E763EA"/>
    <w:rsid w:val="00E95269"/>
    <w:rsid w:val="00E96E61"/>
    <w:rsid w:val="00EA16C3"/>
    <w:rsid w:val="00EA36E2"/>
    <w:rsid w:val="00EA5D3A"/>
    <w:rsid w:val="00EA6AF6"/>
    <w:rsid w:val="00EA7E15"/>
    <w:rsid w:val="00EB02EB"/>
    <w:rsid w:val="00EB0434"/>
    <w:rsid w:val="00EB18E1"/>
    <w:rsid w:val="00EB410D"/>
    <w:rsid w:val="00EB5A65"/>
    <w:rsid w:val="00EB6915"/>
    <w:rsid w:val="00EB71A1"/>
    <w:rsid w:val="00EC29CC"/>
    <w:rsid w:val="00EC3031"/>
    <w:rsid w:val="00EC35C7"/>
    <w:rsid w:val="00EC3BBE"/>
    <w:rsid w:val="00EC42A7"/>
    <w:rsid w:val="00EC6129"/>
    <w:rsid w:val="00ED2551"/>
    <w:rsid w:val="00ED299F"/>
    <w:rsid w:val="00ED5439"/>
    <w:rsid w:val="00EE1F4D"/>
    <w:rsid w:val="00EE70D0"/>
    <w:rsid w:val="00EF56E0"/>
    <w:rsid w:val="00F07CA8"/>
    <w:rsid w:val="00F126A6"/>
    <w:rsid w:val="00F1519A"/>
    <w:rsid w:val="00F23643"/>
    <w:rsid w:val="00F26938"/>
    <w:rsid w:val="00F26F86"/>
    <w:rsid w:val="00F307A5"/>
    <w:rsid w:val="00F3108B"/>
    <w:rsid w:val="00F32509"/>
    <w:rsid w:val="00F32CBE"/>
    <w:rsid w:val="00F33933"/>
    <w:rsid w:val="00F40977"/>
    <w:rsid w:val="00F40BEB"/>
    <w:rsid w:val="00F41EC5"/>
    <w:rsid w:val="00F41FAD"/>
    <w:rsid w:val="00F425CF"/>
    <w:rsid w:val="00F435E3"/>
    <w:rsid w:val="00F53E6D"/>
    <w:rsid w:val="00F55026"/>
    <w:rsid w:val="00F56847"/>
    <w:rsid w:val="00F6730E"/>
    <w:rsid w:val="00F71143"/>
    <w:rsid w:val="00F73565"/>
    <w:rsid w:val="00F74AAF"/>
    <w:rsid w:val="00F76A88"/>
    <w:rsid w:val="00F8439E"/>
    <w:rsid w:val="00F84F4D"/>
    <w:rsid w:val="00F85630"/>
    <w:rsid w:val="00F8596D"/>
    <w:rsid w:val="00F900A3"/>
    <w:rsid w:val="00F91A9C"/>
    <w:rsid w:val="00F91BDC"/>
    <w:rsid w:val="00F91F7C"/>
    <w:rsid w:val="00F93697"/>
    <w:rsid w:val="00FA5B46"/>
    <w:rsid w:val="00FB1244"/>
    <w:rsid w:val="00FB35D7"/>
    <w:rsid w:val="00FB756D"/>
    <w:rsid w:val="00FC0308"/>
    <w:rsid w:val="00FC2865"/>
    <w:rsid w:val="00FC3C2F"/>
    <w:rsid w:val="00FC4520"/>
    <w:rsid w:val="00FC52DE"/>
    <w:rsid w:val="00FD16AF"/>
    <w:rsid w:val="00FD584B"/>
    <w:rsid w:val="00FE6C72"/>
    <w:rsid w:val="00FF13E0"/>
    <w:rsid w:val="00FF3088"/>
    <w:rsid w:val="00FF62A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16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0B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B16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paragraph" w:styleId="BodyText">
    <w:name w:val="Body Text"/>
    <w:basedOn w:val="Normal"/>
    <w:rsid w:val="008E3B16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paragraph" w:styleId="BodyTextIndent2">
    <w:name w:val="Body Text Indent 2"/>
    <w:basedOn w:val="Normal"/>
    <w:rsid w:val="008E3B16"/>
    <w:pPr>
      <w:shd w:val="clear" w:color="auto" w:fill="FFFFFF"/>
      <w:spacing w:line="317" w:lineRule="exact"/>
      <w:ind w:left="10" w:firstLine="850"/>
      <w:jc w:val="both"/>
    </w:pPr>
    <w:rPr>
      <w:sz w:val="28"/>
      <w:szCs w:val="28"/>
    </w:rPr>
  </w:style>
  <w:style w:type="character" w:styleId="Hyperlink">
    <w:name w:val="Hyperlink"/>
    <w:rsid w:val="008E3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3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3F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47DE"/>
  </w:style>
  <w:style w:type="paragraph" w:styleId="BalloonText">
    <w:name w:val="Balloon Text"/>
    <w:basedOn w:val="Normal"/>
    <w:link w:val="BalloonTextChar"/>
    <w:uiPriority w:val="99"/>
    <w:semiHidden/>
    <w:rsid w:val="00360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c">
    <w:name w:val="naisc"/>
    <w:basedOn w:val="Normal"/>
    <w:rsid w:val="00C96112"/>
    <w:pPr>
      <w:widowControl/>
      <w:autoSpaceDE/>
      <w:autoSpaceDN/>
      <w:adjustRightInd/>
      <w:spacing w:before="450" w:after="300"/>
      <w:jc w:val="center"/>
    </w:pPr>
    <w:rPr>
      <w:sz w:val="26"/>
      <w:szCs w:val="26"/>
    </w:rPr>
  </w:style>
  <w:style w:type="paragraph" w:customStyle="1" w:styleId="naiskr">
    <w:name w:val="naiskr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96112"/>
  </w:style>
  <w:style w:type="character" w:customStyle="1" w:styleId="HeaderChar">
    <w:name w:val="Header Char"/>
    <w:link w:val="Header"/>
    <w:uiPriority w:val="99"/>
    <w:rsid w:val="00C96112"/>
    <w:rPr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E7053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uiPriority w:val="99"/>
    <w:rsid w:val="0061581A"/>
    <w:rPr>
      <w:sz w:val="16"/>
      <w:szCs w:val="16"/>
    </w:rPr>
  </w:style>
  <w:style w:type="paragraph" w:customStyle="1" w:styleId="naisnod">
    <w:name w:val="naisnod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lab">
    <w:name w:val="naislab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184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</w:rPr>
  </w:style>
  <w:style w:type="paragraph" w:customStyle="1" w:styleId="Titreobjet">
    <w:name w:val="Titre objet"/>
    <w:basedOn w:val="Normal"/>
    <w:next w:val="Normal"/>
    <w:rsid w:val="00EB6915"/>
    <w:pPr>
      <w:widowControl/>
      <w:autoSpaceDE/>
      <w:autoSpaceDN/>
      <w:adjustRightInd/>
      <w:spacing w:before="360" w:after="360"/>
      <w:jc w:val="center"/>
    </w:pPr>
    <w:rPr>
      <w:b/>
      <w:sz w:val="24"/>
      <w:lang w:val="en-GB" w:eastAsia="de-DE"/>
    </w:rPr>
  </w:style>
  <w:style w:type="paragraph" w:styleId="CommentText">
    <w:name w:val="annotation text"/>
    <w:basedOn w:val="Normal"/>
    <w:link w:val="CommentTextChar"/>
    <w:uiPriority w:val="99"/>
    <w:rsid w:val="00033868"/>
  </w:style>
  <w:style w:type="character" w:customStyle="1" w:styleId="CommentTextChar">
    <w:name w:val="Comment Text Char"/>
    <w:basedOn w:val="DefaultParagraphFont"/>
    <w:link w:val="CommentText"/>
    <w:uiPriority w:val="99"/>
    <w:rsid w:val="0003386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38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0338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40B6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FooterChar">
    <w:name w:val="Footer Char"/>
    <w:link w:val="Footer"/>
    <w:uiPriority w:val="99"/>
    <w:rsid w:val="001240B6"/>
  </w:style>
  <w:style w:type="character" w:customStyle="1" w:styleId="BalloonTextChar">
    <w:name w:val="Balloon Text Char"/>
    <w:link w:val="BalloonText"/>
    <w:uiPriority w:val="99"/>
    <w:semiHidden/>
    <w:rsid w:val="001240B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240B6"/>
    <w:pPr>
      <w:widowControl/>
      <w:autoSpaceDE/>
      <w:autoSpaceDN/>
      <w:adjustRightInd/>
      <w:ind w:left="851"/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240B6"/>
    <w:rPr>
      <w:sz w:val="28"/>
    </w:rPr>
  </w:style>
  <w:style w:type="paragraph" w:styleId="PlainText">
    <w:name w:val="Plain Text"/>
    <w:basedOn w:val="Normal"/>
    <w:link w:val="PlainTextChar"/>
    <w:uiPriority w:val="99"/>
    <w:rsid w:val="001240B6"/>
    <w:pPr>
      <w:widowControl/>
      <w:autoSpaceDE/>
      <w:autoSpaceDN/>
      <w:adjustRightInd/>
      <w:snapToGrid w:val="0"/>
    </w:pPr>
    <w:rPr>
      <w:rFonts w:ascii="Courier New" w:hAnsi="Courier New"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0B6"/>
    <w:rPr>
      <w:rFonts w:ascii="Courier New" w:hAnsi="Courier New"/>
      <w:sz w:val="28"/>
      <w:lang w:eastAsia="en-US"/>
    </w:rPr>
  </w:style>
  <w:style w:type="paragraph" w:customStyle="1" w:styleId="Default">
    <w:name w:val="Default"/>
    <w:rsid w:val="008D59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16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0B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B16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paragraph" w:styleId="BodyText">
    <w:name w:val="Body Text"/>
    <w:basedOn w:val="Normal"/>
    <w:rsid w:val="008E3B16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paragraph" w:styleId="BodyTextIndent2">
    <w:name w:val="Body Text Indent 2"/>
    <w:basedOn w:val="Normal"/>
    <w:rsid w:val="008E3B16"/>
    <w:pPr>
      <w:shd w:val="clear" w:color="auto" w:fill="FFFFFF"/>
      <w:spacing w:line="317" w:lineRule="exact"/>
      <w:ind w:left="10" w:firstLine="850"/>
      <w:jc w:val="both"/>
    </w:pPr>
    <w:rPr>
      <w:sz w:val="28"/>
      <w:szCs w:val="28"/>
    </w:rPr>
  </w:style>
  <w:style w:type="character" w:styleId="Hyperlink">
    <w:name w:val="Hyperlink"/>
    <w:rsid w:val="008E3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3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3F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47DE"/>
  </w:style>
  <w:style w:type="paragraph" w:styleId="BalloonText">
    <w:name w:val="Balloon Text"/>
    <w:basedOn w:val="Normal"/>
    <w:link w:val="BalloonTextChar"/>
    <w:uiPriority w:val="99"/>
    <w:semiHidden/>
    <w:rsid w:val="00360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c">
    <w:name w:val="naisc"/>
    <w:basedOn w:val="Normal"/>
    <w:rsid w:val="00C96112"/>
    <w:pPr>
      <w:widowControl/>
      <w:autoSpaceDE/>
      <w:autoSpaceDN/>
      <w:adjustRightInd/>
      <w:spacing w:before="450" w:after="300"/>
      <w:jc w:val="center"/>
    </w:pPr>
    <w:rPr>
      <w:sz w:val="26"/>
      <w:szCs w:val="26"/>
    </w:rPr>
  </w:style>
  <w:style w:type="paragraph" w:customStyle="1" w:styleId="naiskr">
    <w:name w:val="naiskr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96112"/>
  </w:style>
  <w:style w:type="character" w:customStyle="1" w:styleId="HeaderChar">
    <w:name w:val="Header Char"/>
    <w:link w:val="Header"/>
    <w:uiPriority w:val="99"/>
    <w:rsid w:val="00C96112"/>
    <w:rPr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E7053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uiPriority w:val="99"/>
    <w:rsid w:val="0061581A"/>
    <w:rPr>
      <w:sz w:val="16"/>
      <w:szCs w:val="16"/>
    </w:rPr>
  </w:style>
  <w:style w:type="paragraph" w:customStyle="1" w:styleId="naisnod">
    <w:name w:val="naisnod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lab">
    <w:name w:val="naislab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uiPriority w:val="99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184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</w:rPr>
  </w:style>
  <w:style w:type="paragraph" w:customStyle="1" w:styleId="Titreobjet">
    <w:name w:val="Titre objet"/>
    <w:basedOn w:val="Normal"/>
    <w:next w:val="Normal"/>
    <w:rsid w:val="00EB6915"/>
    <w:pPr>
      <w:widowControl/>
      <w:autoSpaceDE/>
      <w:autoSpaceDN/>
      <w:adjustRightInd/>
      <w:spacing w:before="360" w:after="360"/>
      <w:jc w:val="center"/>
    </w:pPr>
    <w:rPr>
      <w:b/>
      <w:sz w:val="24"/>
      <w:lang w:val="en-GB" w:eastAsia="de-DE"/>
    </w:rPr>
  </w:style>
  <w:style w:type="paragraph" w:styleId="CommentText">
    <w:name w:val="annotation text"/>
    <w:basedOn w:val="Normal"/>
    <w:link w:val="CommentTextChar"/>
    <w:uiPriority w:val="99"/>
    <w:rsid w:val="00033868"/>
  </w:style>
  <w:style w:type="character" w:customStyle="1" w:styleId="CommentTextChar">
    <w:name w:val="Comment Text Char"/>
    <w:basedOn w:val="DefaultParagraphFont"/>
    <w:link w:val="CommentText"/>
    <w:uiPriority w:val="99"/>
    <w:rsid w:val="0003386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38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rsid w:val="0003386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240B6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FooterChar">
    <w:name w:val="Footer Char"/>
    <w:link w:val="Footer"/>
    <w:uiPriority w:val="99"/>
    <w:rsid w:val="001240B6"/>
  </w:style>
  <w:style w:type="character" w:customStyle="1" w:styleId="BalloonTextChar">
    <w:name w:val="Balloon Text Char"/>
    <w:link w:val="BalloonText"/>
    <w:uiPriority w:val="99"/>
    <w:semiHidden/>
    <w:rsid w:val="001240B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1240B6"/>
    <w:pPr>
      <w:widowControl/>
      <w:autoSpaceDE/>
      <w:autoSpaceDN/>
      <w:adjustRightInd/>
      <w:ind w:left="851"/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240B6"/>
    <w:rPr>
      <w:sz w:val="28"/>
    </w:rPr>
  </w:style>
  <w:style w:type="paragraph" w:styleId="PlainText">
    <w:name w:val="Plain Text"/>
    <w:basedOn w:val="Normal"/>
    <w:link w:val="PlainTextChar"/>
    <w:uiPriority w:val="99"/>
    <w:rsid w:val="001240B6"/>
    <w:pPr>
      <w:widowControl/>
      <w:autoSpaceDE/>
      <w:autoSpaceDN/>
      <w:adjustRightInd/>
      <w:snapToGrid w:val="0"/>
    </w:pPr>
    <w:rPr>
      <w:rFonts w:ascii="Courier New" w:hAnsi="Courier New"/>
      <w:sz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0B6"/>
    <w:rPr>
      <w:rFonts w:ascii="Courier New" w:hAnsi="Courier New"/>
      <w:sz w:val="28"/>
      <w:lang w:eastAsia="en-US"/>
    </w:rPr>
  </w:style>
  <w:style w:type="paragraph" w:customStyle="1" w:styleId="Default">
    <w:name w:val="Default"/>
    <w:rsid w:val="008D597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ga.Jermaca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BB23-F242-48BB-BD67-64B0EFED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6577</Words>
  <Characters>3750</Characters>
  <Application>Microsoft Office Word</Application>
  <DocSecurity>0</DocSecurity>
  <Lines>31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Par finansējuma piešķiršanu ministrijām (centrālajām valsts iestādēm) euro ieviešanas izdevumu segšanai</vt:lpstr>
      <vt:lpstr>Par Ministru kabineta rīkojuma projekta „Grozījumi Latvijas Stratēģiskās attīstības plānā 2010. – 2013. gadam”sākotnējās ietekmes novērtējuma ziņojumu</vt:lpstr>
      <vt:lpstr>Par nekustamā īpašuma Tvaikoņu ielā 3, Rīgā, saglabāšanu valsts īpašumā un nodošanu Tieslietu ministrijas valdījumā</vt:lpstr>
    </vt:vector>
  </TitlesOfParts>
  <Manager>V.Puķīte</Manager>
  <Company>Tieslietu ministrija, Ieslodzījuma vietu pārvalde</Company>
  <LinksUpToDate>false</LinksUpToDate>
  <CharactersWithSpaces>10307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mailto:dace.kalsone@fm.gov.lv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ministrijām (centrālajām valsts iestādēm) euro ieviešanas izdevumu segšanai</dc:title>
  <dc:subject>Anotācija</dc:subject>
  <dc:creator>Ilga Jermacāne</dc:creator>
  <dc:description>I.Jermacāne
67095429, Ilga.Jermacane@fm.gov.lv</dc:description>
  <cp:lastModifiedBy>Finanšu ministrija</cp:lastModifiedBy>
  <cp:revision>10</cp:revision>
  <cp:lastPrinted>2012-07-31T05:51:00Z</cp:lastPrinted>
  <dcterms:created xsi:type="dcterms:W3CDTF">2012-08-06T11:02:00Z</dcterms:created>
  <dcterms:modified xsi:type="dcterms:W3CDTF">2012-08-06T13:17:00Z</dcterms:modified>
</cp:coreProperties>
</file>