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87" w:rsidRPr="009C3264" w:rsidRDefault="00160037" w:rsidP="00317E36">
      <w:pPr>
        <w:pStyle w:val="BodyText3"/>
        <w:jc w:val="center"/>
        <w:rPr>
          <w:sz w:val="26"/>
          <w:szCs w:val="26"/>
        </w:rPr>
      </w:pPr>
      <w:r w:rsidRPr="009C3264">
        <w:rPr>
          <w:sz w:val="26"/>
          <w:szCs w:val="26"/>
        </w:rPr>
        <w:t xml:space="preserve">Ministru kabineta noteikumu </w:t>
      </w:r>
      <w:r w:rsidR="00317E36" w:rsidRPr="009C3264">
        <w:rPr>
          <w:sz w:val="26"/>
          <w:szCs w:val="26"/>
        </w:rPr>
        <w:t>„</w:t>
      </w:r>
      <w:r w:rsidR="007276E9" w:rsidRPr="009C3264">
        <w:rPr>
          <w:sz w:val="26"/>
          <w:szCs w:val="26"/>
          <w:lang w:eastAsia="lv-LV"/>
        </w:rPr>
        <w:t>Grozījumi Ministru kabineta</w:t>
      </w:r>
      <w:r w:rsidR="007276E9" w:rsidRPr="009C3264">
        <w:rPr>
          <w:i/>
          <w:sz w:val="26"/>
          <w:szCs w:val="26"/>
          <w:lang w:eastAsia="lv-LV"/>
        </w:rPr>
        <w:t xml:space="preserve"> </w:t>
      </w:r>
      <w:r w:rsidR="007276E9" w:rsidRPr="009C3264">
        <w:rPr>
          <w:sz w:val="26"/>
          <w:szCs w:val="26"/>
          <w:lang w:eastAsia="lv-LV"/>
        </w:rPr>
        <w:t>2010.gada 21.jūnija noteikumos</w:t>
      </w:r>
      <w:r w:rsidR="007276E9" w:rsidRPr="009C3264">
        <w:rPr>
          <w:i/>
          <w:sz w:val="26"/>
          <w:szCs w:val="26"/>
          <w:lang w:eastAsia="lv-LV"/>
        </w:rPr>
        <w:t xml:space="preserve"> </w:t>
      </w:r>
      <w:r w:rsidR="007276E9" w:rsidRPr="009C3264">
        <w:rPr>
          <w:sz w:val="26"/>
          <w:szCs w:val="26"/>
          <w:lang w:eastAsia="lv-LV"/>
        </w:rPr>
        <w:t>Nr.565</w:t>
      </w:r>
      <w:r w:rsidR="007276E9" w:rsidRPr="009C3264">
        <w:rPr>
          <w:i/>
          <w:sz w:val="26"/>
          <w:szCs w:val="26"/>
          <w:lang w:eastAsia="lv-LV"/>
        </w:rPr>
        <w:t xml:space="preserve"> „</w:t>
      </w:r>
      <w:r w:rsidR="007276E9" w:rsidRPr="009C3264">
        <w:rPr>
          <w:sz w:val="26"/>
          <w:szCs w:val="26"/>
          <w:lang w:eastAsia="lv-LV"/>
        </w:rPr>
        <w:t>Noteikumi par valsts un pašvaldību institūciju amatpersonu un darbinieku sociālajām garantijām””</w:t>
      </w:r>
      <w:r w:rsidR="00317E36" w:rsidRPr="009C3264">
        <w:rPr>
          <w:sz w:val="26"/>
          <w:szCs w:val="26"/>
        </w:rPr>
        <w:t xml:space="preserve"> </w:t>
      </w:r>
      <w:r w:rsidR="00107A3C" w:rsidRPr="009C3264">
        <w:rPr>
          <w:sz w:val="26"/>
          <w:szCs w:val="26"/>
        </w:rPr>
        <w:t>projekta sākotnējās</w:t>
      </w:r>
    </w:p>
    <w:p w:rsidR="00160037" w:rsidRPr="009C3264" w:rsidRDefault="00C2479E" w:rsidP="00317E36">
      <w:pPr>
        <w:pStyle w:val="BodyText3"/>
        <w:jc w:val="center"/>
        <w:rPr>
          <w:sz w:val="26"/>
          <w:szCs w:val="26"/>
        </w:rPr>
      </w:pPr>
      <w:r w:rsidRPr="009C3264">
        <w:rPr>
          <w:sz w:val="26"/>
          <w:szCs w:val="26"/>
        </w:rPr>
        <w:t>ietekmes novērtējuma ziņojums (</w:t>
      </w:r>
      <w:r w:rsidR="00317E36" w:rsidRPr="009C3264">
        <w:rPr>
          <w:sz w:val="26"/>
          <w:szCs w:val="26"/>
        </w:rPr>
        <w:t>anotācija</w:t>
      </w:r>
      <w:r w:rsidRPr="009C3264">
        <w:rPr>
          <w:sz w:val="26"/>
          <w:szCs w:val="26"/>
        </w:rPr>
        <w:t>)</w:t>
      </w:r>
    </w:p>
    <w:p w:rsidR="00504EF9" w:rsidRDefault="00504EF9" w:rsidP="00317E36">
      <w:pPr>
        <w:pStyle w:val="BodyText3"/>
        <w:jc w:val="center"/>
        <w:rPr>
          <w:sz w:val="28"/>
          <w:szCs w:val="28"/>
        </w:rPr>
      </w:pPr>
    </w:p>
    <w:p w:rsidR="00504EF9" w:rsidRDefault="00504EF9" w:rsidP="00317E36">
      <w:pPr>
        <w:pStyle w:val="BodyText3"/>
        <w:jc w:val="center"/>
        <w:rPr>
          <w:sz w:val="28"/>
          <w:szCs w:val="28"/>
        </w:rPr>
      </w:pPr>
    </w:p>
    <w:tbl>
      <w:tblPr>
        <w:tblW w:w="5114" w:type="pct"/>
        <w:tblInd w:w="-96"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66"/>
        <w:gridCol w:w="2091"/>
        <w:gridCol w:w="6806"/>
      </w:tblGrid>
      <w:tr w:rsidR="00504EF9" w:rsidRPr="009C3264" w:rsidTr="00626862">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504EF9" w:rsidRPr="009C3264" w:rsidRDefault="00504EF9" w:rsidP="0029409C">
            <w:pPr>
              <w:pStyle w:val="NormalWeb"/>
              <w:spacing w:before="0" w:after="0"/>
              <w:jc w:val="center"/>
              <w:rPr>
                <w:b/>
                <w:bCs/>
                <w:sz w:val="26"/>
                <w:szCs w:val="26"/>
              </w:rPr>
            </w:pPr>
            <w:r w:rsidRPr="009C3264">
              <w:rPr>
                <w:b/>
                <w:bCs/>
                <w:sz w:val="26"/>
                <w:szCs w:val="26"/>
              </w:rPr>
              <w:t>I. Tiesību akta projekta izstrādes nepieciešamība</w:t>
            </w:r>
          </w:p>
          <w:p w:rsidR="00143790" w:rsidRPr="009C3264" w:rsidRDefault="00143790" w:rsidP="0029409C">
            <w:pPr>
              <w:pStyle w:val="NormalWeb"/>
              <w:spacing w:before="0" w:after="0"/>
              <w:jc w:val="center"/>
              <w:rPr>
                <w:b/>
                <w:bCs/>
                <w:sz w:val="26"/>
                <w:szCs w:val="26"/>
              </w:rPr>
            </w:pPr>
          </w:p>
        </w:tc>
      </w:tr>
      <w:tr w:rsidR="00504EF9" w:rsidRPr="009C3264" w:rsidTr="00626862">
        <w:tc>
          <w:tcPr>
            <w:tcW w:w="145"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jc w:val="center"/>
              <w:rPr>
                <w:sz w:val="26"/>
                <w:szCs w:val="26"/>
              </w:rPr>
            </w:pPr>
            <w:r w:rsidRPr="009C3264">
              <w:rPr>
                <w:sz w:val="26"/>
                <w:szCs w:val="26"/>
              </w:rPr>
              <w:t>1.</w:t>
            </w:r>
          </w:p>
        </w:tc>
        <w:tc>
          <w:tcPr>
            <w:tcW w:w="1141"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rPr>
                <w:sz w:val="26"/>
                <w:szCs w:val="26"/>
              </w:rPr>
            </w:pPr>
            <w:r w:rsidRPr="009C3264">
              <w:rPr>
                <w:sz w:val="26"/>
                <w:szCs w:val="26"/>
              </w:rPr>
              <w:t>Pamatojums</w:t>
            </w:r>
          </w:p>
        </w:tc>
        <w:tc>
          <w:tcPr>
            <w:tcW w:w="3714" w:type="pct"/>
            <w:tcBorders>
              <w:top w:val="outset" w:sz="6" w:space="0" w:color="000000"/>
              <w:left w:val="outset" w:sz="6" w:space="0" w:color="000000"/>
              <w:bottom w:val="outset" w:sz="6" w:space="0" w:color="000000"/>
              <w:right w:val="outset" w:sz="6" w:space="0" w:color="000000"/>
            </w:tcBorders>
          </w:tcPr>
          <w:p w:rsidR="00504EF9" w:rsidRPr="009C3264" w:rsidRDefault="00504EF9" w:rsidP="0029409C">
            <w:pPr>
              <w:jc w:val="both"/>
              <w:rPr>
                <w:sz w:val="26"/>
                <w:szCs w:val="26"/>
                <w:highlight w:val="yellow"/>
              </w:rPr>
            </w:pPr>
            <w:r w:rsidRPr="009C3264">
              <w:rPr>
                <w:sz w:val="26"/>
                <w:szCs w:val="26"/>
              </w:rPr>
              <w:t>Finanšu ministrijas iniciatīva.</w:t>
            </w:r>
          </w:p>
        </w:tc>
      </w:tr>
      <w:tr w:rsidR="00504EF9" w:rsidRPr="009C3264" w:rsidTr="00626862">
        <w:tc>
          <w:tcPr>
            <w:tcW w:w="145"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jc w:val="center"/>
              <w:rPr>
                <w:sz w:val="26"/>
                <w:szCs w:val="26"/>
              </w:rPr>
            </w:pPr>
            <w:r w:rsidRPr="009C3264">
              <w:rPr>
                <w:sz w:val="26"/>
                <w:szCs w:val="26"/>
              </w:rPr>
              <w:t>2.</w:t>
            </w:r>
          </w:p>
        </w:tc>
        <w:tc>
          <w:tcPr>
            <w:tcW w:w="1141"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rPr>
                <w:sz w:val="26"/>
                <w:szCs w:val="26"/>
              </w:rPr>
            </w:pPr>
            <w:r w:rsidRPr="009C3264">
              <w:rPr>
                <w:sz w:val="26"/>
                <w:szCs w:val="26"/>
              </w:rPr>
              <w:t>Pašreizējā situācija un problēmas</w:t>
            </w:r>
          </w:p>
        </w:tc>
        <w:tc>
          <w:tcPr>
            <w:tcW w:w="3714" w:type="pct"/>
            <w:tcBorders>
              <w:top w:val="outset" w:sz="6" w:space="0" w:color="000000"/>
              <w:left w:val="outset" w:sz="6" w:space="0" w:color="000000"/>
              <w:bottom w:val="outset" w:sz="6" w:space="0" w:color="000000"/>
              <w:right w:val="outset" w:sz="6" w:space="0" w:color="000000"/>
            </w:tcBorders>
          </w:tcPr>
          <w:p w:rsidR="006048B9" w:rsidRPr="009C3264" w:rsidRDefault="00504EF9" w:rsidP="006048B9">
            <w:pPr>
              <w:tabs>
                <w:tab w:val="left" w:pos="6521"/>
              </w:tabs>
              <w:jc w:val="both"/>
              <w:rPr>
                <w:sz w:val="26"/>
                <w:szCs w:val="26"/>
              </w:rPr>
            </w:pPr>
            <w:r w:rsidRPr="009C3264">
              <w:rPr>
                <w:sz w:val="26"/>
                <w:szCs w:val="26"/>
              </w:rPr>
              <w:t xml:space="preserve">   </w:t>
            </w:r>
            <w:r w:rsidR="000B26CA" w:rsidRPr="009C3264">
              <w:rPr>
                <w:sz w:val="26"/>
                <w:szCs w:val="26"/>
              </w:rPr>
              <w:t xml:space="preserve">    </w:t>
            </w:r>
            <w:r w:rsidRPr="009C3264">
              <w:rPr>
                <w:sz w:val="26"/>
                <w:szCs w:val="26"/>
              </w:rPr>
              <w:t>Šobrīd, piemērojot praksē Ministru kabineta 2010.gada 21.jūnija noteikumus Nr.565 „Noteikumi par valsts un pašvaldību institūciju amatpersonu un darbinieku sociālajām garantijām”, ir konstatētas dažādas interpretācijas saistībā ar nelaimes gadījuma pabalsta pieprasīšanu</w:t>
            </w:r>
            <w:r w:rsidR="003E0D05" w:rsidRPr="009C3264">
              <w:rPr>
                <w:sz w:val="26"/>
                <w:szCs w:val="26"/>
              </w:rPr>
              <w:t>, piemēram, ciešot ceļu satiksmes nelaimes gadījumā pārvietojoties no vienas institūcijas uz citu</w:t>
            </w:r>
            <w:r w:rsidR="001A45D7" w:rsidRPr="009C3264">
              <w:rPr>
                <w:sz w:val="26"/>
                <w:szCs w:val="26"/>
              </w:rPr>
              <w:t xml:space="preserve">, </w:t>
            </w:r>
            <w:r w:rsidR="009A4094" w:rsidRPr="009C3264">
              <w:rPr>
                <w:sz w:val="26"/>
                <w:szCs w:val="26"/>
              </w:rPr>
              <w:t xml:space="preserve">arī </w:t>
            </w:r>
            <w:r w:rsidR="001A45D7" w:rsidRPr="009C3264">
              <w:rPr>
                <w:sz w:val="26"/>
                <w:szCs w:val="26"/>
              </w:rPr>
              <w:t>pārvietošanās</w:t>
            </w:r>
            <w:r w:rsidR="003537F2" w:rsidRPr="009C3264">
              <w:rPr>
                <w:sz w:val="26"/>
                <w:szCs w:val="26"/>
              </w:rPr>
              <w:t xml:space="preserve"> institūcijai piederīgā transporta līdzeklī </w:t>
            </w:r>
            <w:r w:rsidR="001A45D7" w:rsidRPr="009C3264">
              <w:rPr>
                <w:sz w:val="26"/>
                <w:szCs w:val="26"/>
              </w:rPr>
              <w:t xml:space="preserve">vai pārvietošanās sabiedriskajā transportā </w:t>
            </w:r>
            <w:r w:rsidR="003537F2" w:rsidRPr="009C3264">
              <w:rPr>
                <w:sz w:val="26"/>
                <w:szCs w:val="26"/>
              </w:rPr>
              <w:t>tiek saistīt</w:t>
            </w:r>
            <w:r w:rsidR="009A4094" w:rsidRPr="009C3264">
              <w:rPr>
                <w:sz w:val="26"/>
                <w:szCs w:val="26"/>
              </w:rPr>
              <w:t>a</w:t>
            </w:r>
            <w:r w:rsidR="003537F2" w:rsidRPr="009C3264">
              <w:rPr>
                <w:sz w:val="26"/>
                <w:szCs w:val="26"/>
              </w:rPr>
              <w:t xml:space="preserve"> ar bīstam</w:t>
            </w:r>
            <w:r w:rsidR="001A45D7" w:rsidRPr="009C3264">
              <w:rPr>
                <w:sz w:val="26"/>
                <w:szCs w:val="26"/>
              </w:rPr>
              <w:t xml:space="preserve">ību </w:t>
            </w:r>
            <w:r w:rsidR="003537F2" w:rsidRPr="009C3264">
              <w:rPr>
                <w:sz w:val="26"/>
                <w:szCs w:val="26"/>
              </w:rPr>
              <w:t xml:space="preserve">darba </w:t>
            </w:r>
            <w:r w:rsidR="001A45D7" w:rsidRPr="009C3264">
              <w:rPr>
                <w:sz w:val="26"/>
                <w:szCs w:val="26"/>
              </w:rPr>
              <w:t>pienākumu izpildē</w:t>
            </w:r>
            <w:r w:rsidRPr="009C3264">
              <w:rPr>
                <w:sz w:val="26"/>
                <w:szCs w:val="26"/>
              </w:rPr>
              <w:t xml:space="preserve">. Līdz ar to </w:t>
            </w:r>
            <w:r w:rsidR="00030C65" w:rsidRPr="009C3264">
              <w:rPr>
                <w:sz w:val="26"/>
                <w:szCs w:val="26"/>
              </w:rPr>
              <w:t>Valsts un pašvaldību institūciju amatpersonu un darbinieku atlīdzības likumā (turpmāk – atlīdzības likums) tika veikti grozījumi paredzot uzdevumu Ministru kabinetam noteikt tos</w:t>
            </w:r>
            <w:r w:rsidRPr="009C3264">
              <w:rPr>
                <w:sz w:val="26"/>
                <w:szCs w:val="26"/>
              </w:rPr>
              <w:t xml:space="preserve"> gadījumus</w:t>
            </w:r>
            <w:r w:rsidR="00283AE4" w:rsidRPr="009C3264">
              <w:rPr>
                <w:sz w:val="26"/>
                <w:szCs w:val="26"/>
              </w:rPr>
              <w:t>,</w:t>
            </w:r>
            <w:r w:rsidR="009672C9" w:rsidRPr="009C3264">
              <w:rPr>
                <w:sz w:val="26"/>
                <w:szCs w:val="26"/>
              </w:rPr>
              <w:t xml:space="preserve"> </w:t>
            </w:r>
            <w:r w:rsidR="002F42E6" w:rsidRPr="009C3264">
              <w:rPr>
                <w:sz w:val="26"/>
                <w:szCs w:val="26"/>
              </w:rPr>
              <w:t xml:space="preserve">tas ir </w:t>
            </w:r>
            <w:r w:rsidR="009672C9" w:rsidRPr="009C3264">
              <w:rPr>
                <w:sz w:val="26"/>
                <w:szCs w:val="26"/>
              </w:rPr>
              <w:t xml:space="preserve"> </w:t>
            </w:r>
            <w:r w:rsidR="003434DF" w:rsidRPr="009C3264">
              <w:rPr>
                <w:sz w:val="26"/>
                <w:szCs w:val="26"/>
              </w:rPr>
              <w:t xml:space="preserve">atrunāt </w:t>
            </w:r>
            <w:r w:rsidR="009672C9" w:rsidRPr="009C3264">
              <w:rPr>
                <w:sz w:val="26"/>
                <w:szCs w:val="26"/>
              </w:rPr>
              <w:t>precīzus nosacījumus</w:t>
            </w:r>
            <w:r w:rsidRPr="009C3264">
              <w:rPr>
                <w:sz w:val="26"/>
                <w:szCs w:val="26"/>
              </w:rPr>
              <w:t>, kuros amatpersonai (darbiniekam) ir tiesības pretendēt uz šo pabalstu</w:t>
            </w:r>
            <w:r w:rsidR="00030C65" w:rsidRPr="009C3264">
              <w:rPr>
                <w:sz w:val="26"/>
                <w:szCs w:val="26"/>
              </w:rPr>
              <w:t>.</w:t>
            </w:r>
            <w:r w:rsidR="009672C9" w:rsidRPr="009C3264">
              <w:rPr>
                <w:sz w:val="26"/>
                <w:szCs w:val="26"/>
              </w:rPr>
              <w:t xml:space="preserve"> Līdz ar to </w:t>
            </w:r>
            <w:r w:rsidR="00117192" w:rsidRPr="009C3264">
              <w:rPr>
                <w:sz w:val="26"/>
                <w:szCs w:val="26"/>
              </w:rPr>
              <w:t xml:space="preserve">Finanšu ministrija lūdza nozaru ministrijas sniegt informāciju, par to resorā esošo institūciju amatiem, kuru pienākumu izpilde </w:t>
            </w:r>
            <w:r w:rsidR="00030C65" w:rsidRPr="009C3264">
              <w:rPr>
                <w:sz w:val="26"/>
                <w:szCs w:val="26"/>
              </w:rPr>
              <w:t>ir</w:t>
            </w:r>
            <w:r w:rsidR="00117192" w:rsidRPr="009C3264">
              <w:rPr>
                <w:sz w:val="26"/>
                <w:szCs w:val="26"/>
              </w:rPr>
              <w:t xml:space="preserve"> saistīta ar risku dzīvībai un veselībai</w:t>
            </w:r>
            <w:r w:rsidR="00263108" w:rsidRPr="009C3264">
              <w:rPr>
                <w:sz w:val="26"/>
                <w:szCs w:val="26"/>
              </w:rPr>
              <w:t>,</w:t>
            </w:r>
            <w:r w:rsidR="003D751B" w:rsidRPr="009C3264">
              <w:rPr>
                <w:sz w:val="26"/>
                <w:szCs w:val="26"/>
              </w:rPr>
              <w:t xml:space="preserve"> </w:t>
            </w:r>
            <w:r w:rsidR="00263108" w:rsidRPr="009C3264">
              <w:rPr>
                <w:sz w:val="26"/>
                <w:szCs w:val="26"/>
              </w:rPr>
              <w:t>kā arī</w:t>
            </w:r>
            <w:r w:rsidR="003D751B" w:rsidRPr="009C3264">
              <w:rPr>
                <w:sz w:val="26"/>
                <w:szCs w:val="26"/>
              </w:rPr>
              <w:t xml:space="preserve"> </w:t>
            </w:r>
            <w:r w:rsidR="00263108" w:rsidRPr="009C3264">
              <w:rPr>
                <w:sz w:val="26"/>
                <w:szCs w:val="26"/>
              </w:rPr>
              <w:t xml:space="preserve">izteikt viedokli par </w:t>
            </w:r>
            <w:r w:rsidR="00283AE4" w:rsidRPr="009C3264">
              <w:rPr>
                <w:sz w:val="26"/>
                <w:szCs w:val="26"/>
              </w:rPr>
              <w:t>gadījumiem, kad</w:t>
            </w:r>
            <w:r w:rsidR="003D751B" w:rsidRPr="009C3264">
              <w:rPr>
                <w:sz w:val="26"/>
                <w:szCs w:val="26"/>
              </w:rPr>
              <w:t xml:space="preserve"> institūciju ieskatā būtu izmaksājams nelaimes gadījuma pabalsts</w:t>
            </w:r>
            <w:r w:rsidR="00BF153A" w:rsidRPr="009C3264">
              <w:rPr>
                <w:sz w:val="26"/>
                <w:szCs w:val="26"/>
              </w:rPr>
              <w:t>, iestājoties konkrētiem apstākļiem</w:t>
            </w:r>
            <w:r w:rsidR="00117192" w:rsidRPr="009C3264">
              <w:rPr>
                <w:sz w:val="26"/>
                <w:szCs w:val="26"/>
              </w:rPr>
              <w:t>. Ministriju iesniegtie vērtējumi ir ņemti par pamatu noteikumu projekta 6.</w:t>
            </w:r>
            <w:r w:rsidR="00117192" w:rsidRPr="009C3264">
              <w:rPr>
                <w:sz w:val="26"/>
                <w:szCs w:val="26"/>
                <w:vertAlign w:val="superscript"/>
              </w:rPr>
              <w:t>1</w:t>
            </w:r>
            <w:r w:rsidR="00030C65" w:rsidRPr="009C3264">
              <w:rPr>
                <w:sz w:val="26"/>
                <w:szCs w:val="26"/>
              </w:rPr>
              <w:t xml:space="preserve">punkta izstrādei, atrunājot tajā, ka </w:t>
            </w:r>
            <w:r w:rsidR="009672C9" w:rsidRPr="009C3264">
              <w:rPr>
                <w:sz w:val="26"/>
                <w:szCs w:val="26"/>
              </w:rPr>
              <w:t>pabalstu izmaksā tikai gadījumos, kad amatpersona (darbinieks) ir cietusi pildot konkrētus ar dzīvības vai veselības apdraudējumu (risku) saistītus amata (dienesta, darba) pienākumus</w:t>
            </w:r>
            <w:r w:rsidR="00030C65" w:rsidRPr="009C3264">
              <w:rPr>
                <w:sz w:val="26"/>
                <w:szCs w:val="26"/>
              </w:rPr>
              <w:t>.</w:t>
            </w:r>
            <w:r w:rsidR="00263108" w:rsidRPr="009C3264">
              <w:rPr>
                <w:sz w:val="26"/>
                <w:szCs w:val="26"/>
              </w:rPr>
              <w:t xml:space="preserve"> Ministriju ieskatā </w:t>
            </w:r>
            <w:r w:rsidR="006048B9" w:rsidRPr="009C3264">
              <w:rPr>
                <w:sz w:val="26"/>
                <w:szCs w:val="26"/>
              </w:rPr>
              <w:t>šādam regulējumam ir jābūt noteiktam ar Ministru kabineta noteikumiem, jo tas novērš dažādas interpretācijas iespējas.</w:t>
            </w:r>
          </w:p>
          <w:p w:rsidR="00504EF9" w:rsidRPr="009C3264" w:rsidRDefault="000B26CA" w:rsidP="006048B9">
            <w:pPr>
              <w:tabs>
                <w:tab w:val="left" w:pos="6521"/>
              </w:tabs>
              <w:jc w:val="both"/>
              <w:rPr>
                <w:sz w:val="26"/>
                <w:szCs w:val="26"/>
              </w:rPr>
            </w:pPr>
            <w:r w:rsidRPr="009C3264">
              <w:rPr>
                <w:sz w:val="26"/>
                <w:szCs w:val="26"/>
              </w:rPr>
              <w:t xml:space="preserve">         </w:t>
            </w:r>
            <w:r w:rsidR="00504EF9" w:rsidRPr="009C3264">
              <w:rPr>
                <w:sz w:val="26"/>
                <w:szCs w:val="26"/>
              </w:rPr>
              <w:t>Finanšu ministrija saņēma arī Labklājības ministrijas vēstuli, kurā tā lūdza Finanšu ministriju risināt jautājumu par iespēju Veselības un darbspēju ārstu valsts komisiju (turpmāk –</w:t>
            </w:r>
            <w:r w:rsidR="00A27AE0" w:rsidRPr="009C3264">
              <w:rPr>
                <w:sz w:val="26"/>
                <w:szCs w:val="26"/>
              </w:rPr>
              <w:t xml:space="preserve"> Valsts</w:t>
            </w:r>
            <w:r w:rsidR="00504EF9" w:rsidRPr="009C3264">
              <w:rPr>
                <w:sz w:val="26"/>
                <w:szCs w:val="26"/>
              </w:rPr>
              <w:t xml:space="preserve"> komisija) atbrīvot no funkcijas - nelaimes gadījumā gūtā veselības bojājuma smaguma pakāpes noteikšana, vēršot uzmanību, ka tas nav šīs komisijas kompetences jautājums, jo komisijas funkcijās ietilpst invaliditātes noteikšana.</w:t>
            </w:r>
            <w:r w:rsidR="000D7263" w:rsidRPr="009C3264">
              <w:rPr>
                <w:sz w:val="26"/>
                <w:szCs w:val="26"/>
              </w:rPr>
              <w:t xml:space="preserve"> Labklājības ministrija vērsa uzmanību arī uz apstākli, ka šobrīd normatīvie akti nosaka, ka amatpersonai pabalsta saņemšanai izvērtējama veselības bojājumu smaguma pakāpe, kas rada problēmas Valsts </w:t>
            </w:r>
            <w:r w:rsidR="000D7263" w:rsidRPr="009C3264">
              <w:rPr>
                <w:sz w:val="26"/>
                <w:szCs w:val="26"/>
              </w:rPr>
              <w:lastRenderedPageBreak/>
              <w:t>komisijas darbā, jo tā pilnībā neatbilst ekspertīzes veikšanas nosacījumiem.</w:t>
            </w:r>
            <w:r w:rsidR="00504EF9" w:rsidRPr="009C3264">
              <w:rPr>
                <w:sz w:val="26"/>
                <w:szCs w:val="26"/>
              </w:rPr>
              <w:t xml:space="preserve"> Finanšu ministrija ierosināja </w:t>
            </w:r>
            <w:proofErr w:type="spellStart"/>
            <w:r w:rsidR="00504EF9" w:rsidRPr="009C3264">
              <w:rPr>
                <w:sz w:val="26"/>
                <w:szCs w:val="26"/>
              </w:rPr>
              <w:t>Iekšlietu</w:t>
            </w:r>
            <w:proofErr w:type="spellEnd"/>
            <w:r w:rsidR="00504EF9" w:rsidRPr="009C3264">
              <w:rPr>
                <w:sz w:val="26"/>
                <w:szCs w:val="26"/>
              </w:rPr>
              <w:t xml:space="preserve"> ministrijai izvērtēt iespēju </w:t>
            </w:r>
            <w:proofErr w:type="spellStart"/>
            <w:r w:rsidR="00504EF9" w:rsidRPr="009C3264">
              <w:rPr>
                <w:sz w:val="26"/>
                <w:szCs w:val="26"/>
              </w:rPr>
              <w:t>Iekšlietu</w:t>
            </w:r>
            <w:proofErr w:type="spellEnd"/>
            <w:r w:rsidR="00504EF9" w:rsidRPr="009C3264">
              <w:rPr>
                <w:sz w:val="26"/>
                <w:szCs w:val="26"/>
              </w:rPr>
              <w:t xml:space="preserve"> ministrijas Centrālajai medicīnas ekspertīzes komisijai </w:t>
            </w:r>
            <w:r w:rsidR="00A27AE0" w:rsidRPr="009C3264">
              <w:rPr>
                <w:sz w:val="26"/>
                <w:szCs w:val="26"/>
              </w:rPr>
              <w:t>(VSIA „</w:t>
            </w:r>
            <w:proofErr w:type="spellStart"/>
            <w:r w:rsidR="00A27AE0" w:rsidRPr="009C3264">
              <w:rPr>
                <w:sz w:val="26"/>
                <w:szCs w:val="26"/>
              </w:rPr>
              <w:t>Iekšlietu</w:t>
            </w:r>
            <w:proofErr w:type="spellEnd"/>
            <w:r w:rsidR="00A27AE0" w:rsidRPr="009C3264">
              <w:rPr>
                <w:sz w:val="26"/>
                <w:szCs w:val="26"/>
              </w:rPr>
              <w:t xml:space="preserve"> ministrijas poliklīnika” struktūrvienība) (turpmāk – CMEK) </w:t>
            </w:r>
            <w:r w:rsidR="00504EF9" w:rsidRPr="009C3264">
              <w:rPr>
                <w:sz w:val="26"/>
                <w:szCs w:val="26"/>
              </w:rPr>
              <w:t xml:space="preserve">turpmāk noteikt nelaimes gadījumā gūtā veselības bojājuma smaguma pakāpi ne tikai </w:t>
            </w:r>
            <w:proofErr w:type="spellStart"/>
            <w:r w:rsidR="00504EF9" w:rsidRPr="009C3264">
              <w:rPr>
                <w:sz w:val="26"/>
                <w:szCs w:val="26"/>
              </w:rPr>
              <w:t>Iekšlietu</w:t>
            </w:r>
            <w:proofErr w:type="spellEnd"/>
            <w:r w:rsidR="00504EF9" w:rsidRPr="009C3264">
              <w:rPr>
                <w:sz w:val="26"/>
                <w:szCs w:val="26"/>
              </w:rPr>
              <w:t xml:space="preserve"> ministrijas sistēmas </w:t>
            </w:r>
            <w:r w:rsidR="00A27AE0" w:rsidRPr="009C3264">
              <w:rPr>
                <w:sz w:val="26"/>
                <w:szCs w:val="26"/>
              </w:rPr>
              <w:t>iestāžu un Ieslodzījuma vietu pārvaldes amatpersonām ar speciālo dienesta pakāpi</w:t>
            </w:r>
            <w:r w:rsidR="00504EF9" w:rsidRPr="009C3264">
              <w:rPr>
                <w:sz w:val="26"/>
                <w:szCs w:val="26"/>
              </w:rPr>
              <w:t>, bet arī pārējām valsts un pašvaldību institūciju amatpersonām un darbiniekiem, par ko arī tika panākta vienošanās starpinstitūciju sanāksmē.</w:t>
            </w:r>
            <w:r w:rsidR="00840F84" w:rsidRPr="009C3264">
              <w:rPr>
                <w:sz w:val="26"/>
                <w:szCs w:val="26"/>
              </w:rPr>
              <w:t xml:space="preserve"> Tādējādi tiktu novērsta arī funkciju dublēšanās</w:t>
            </w:r>
            <w:r w:rsidR="00636937" w:rsidRPr="009C3264">
              <w:rPr>
                <w:sz w:val="26"/>
                <w:szCs w:val="26"/>
              </w:rPr>
              <w:t>,</w:t>
            </w:r>
            <w:r w:rsidR="00840F84" w:rsidRPr="009C3264">
              <w:rPr>
                <w:sz w:val="26"/>
                <w:szCs w:val="26"/>
              </w:rPr>
              <w:t xml:space="preserve"> divām iestādēm veicot veselības bojājumu smaguma pakāpes noteikšanu. </w:t>
            </w:r>
            <w:r w:rsidR="00504EF9" w:rsidRPr="009C3264">
              <w:rPr>
                <w:sz w:val="26"/>
                <w:szCs w:val="26"/>
              </w:rPr>
              <w:t>Līdz ar to ir nepieciešams sakārtot normatīvo regulējumu</w:t>
            </w:r>
            <w:r w:rsidR="00636937" w:rsidRPr="009C3264">
              <w:rPr>
                <w:sz w:val="26"/>
                <w:szCs w:val="26"/>
              </w:rPr>
              <w:t>,</w:t>
            </w:r>
            <w:r w:rsidR="00504EF9" w:rsidRPr="009C3264">
              <w:rPr>
                <w:sz w:val="26"/>
                <w:szCs w:val="26"/>
              </w:rPr>
              <w:t xml:space="preserve"> paredzot, ka nelaimes gadījumā gūtā veselības bojājuma smaguma pakāpi amatpersonai (darbiniekam) nosaka </w:t>
            </w:r>
            <w:r w:rsidR="003C33B2" w:rsidRPr="009C3264">
              <w:rPr>
                <w:sz w:val="26"/>
                <w:szCs w:val="26"/>
              </w:rPr>
              <w:t>CMEK</w:t>
            </w:r>
            <w:r w:rsidR="00504EF9" w:rsidRPr="009C3264">
              <w:rPr>
                <w:sz w:val="26"/>
                <w:szCs w:val="26"/>
              </w:rPr>
              <w:t>, pamatojoties uz institūcijas nosūtījumu.</w:t>
            </w:r>
          </w:p>
        </w:tc>
      </w:tr>
      <w:tr w:rsidR="00504EF9" w:rsidRPr="009C3264" w:rsidTr="00626862">
        <w:tc>
          <w:tcPr>
            <w:tcW w:w="145"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jc w:val="center"/>
              <w:rPr>
                <w:sz w:val="26"/>
                <w:szCs w:val="26"/>
              </w:rPr>
            </w:pPr>
            <w:r w:rsidRPr="009C3264">
              <w:rPr>
                <w:sz w:val="26"/>
                <w:szCs w:val="26"/>
              </w:rPr>
              <w:lastRenderedPageBreak/>
              <w:t>3.</w:t>
            </w:r>
          </w:p>
        </w:tc>
        <w:tc>
          <w:tcPr>
            <w:tcW w:w="1141"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rPr>
                <w:sz w:val="26"/>
                <w:szCs w:val="26"/>
              </w:rPr>
            </w:pPr>
            <w:r w:rsidRPr="009C3264">
              <w:rPr>
                <w:sz w:val="26"/>
                <w:szCs w:val="26"/>
              </w:rPr>
              <w:t>Saistītie politikas ietekmes novērtējumi un pētījumi</w:t>
            </w:r>
          </w:p>
        </w:tc>
        <w:tc>
          <w:tcPr>
            <w:tcW w:w="3714" w:type="pct"/>
            <w:tcBorders>
              <w:top w:val="outset" w:sz="6" w:space="0" w:color="000000"/>
              <w:left w:val="outset" w:sz="6" w:space="0" w:color="000000"/>
              <w:bottom w:val="outset" w:sz="6" w:space="0" w:color="000000"/>
              <w:right w:val="outset" w:sz="6" w:space="0" w:color="000000"/>
            </w:tcBorders>
          </w:tcPr>
          <w:p w:rsidR="00504EF9" w:rsidRPr="009C3264" w:rsidRDefault="00504EF9" w:rsidP="0029409C">
            <w:pPr>
              <w:pStyle w:val="NormalWeb"/>
              <w:spacing w:before="0" w:after="0"/>
              <w:jc w:val="both"/>
              <w:rPr>
                <w:sz w:val="26"/>
                <w:szCs w:val="26"/>
              </w:rPr>
            </w:pPr>
            <w:r w:rsidRPr="009C3264">
              <w:rPr>
                <w:sz w:val="26"/>
                <w:szCs w:val="26"/>
              </w:rPr>
              <w:t>Projekts šo jomu neskar.</w:t>
            </w:r>
          </w:p>
        </w:tc>
      </w:tr>
      <w:tr w:rsidR="00504EF9" w:rsidRPr="009C3264" w:rsidTr="00626862">
        <w:tc>
          <w:tcPr>
            <w:tcW w:w="145"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jc w:val="center"/>
              <w:rPr>
                <w:sz w:val="26"/>
                <w:szCs w:val="26"/>
              </w:rPr>
            </w:pPr>
            <w:r w:rsidRPr="009C3264">
              <w:rPr>
                <w:sz w:val="26"/>
                <w:szCs w:val="26"/>
              </w:rPr>
              <w:t>4.</w:t>
            </w:r>
          </w:p>
        </w:tc>
        <w:tc>
          <w:tcPr>
            <w:tcW w:w="1141"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rPr>
                <w:sz w:val="26"/>
                <w:szCs w:val="26"/>
              </w:rPr>
            </w:pPr>
            <w:r w:rsidRPr="009C3264">
              <w:rPr>
                <w:sz w:val="26"/>
                <w:szCs w:val="26"/>
              </w:rPr>
              <w:t>Tiesiskā regulējuma mērķis un būtība</w:t>
            </w:r>
          </w:p>
        </w:tc>
        <w:tc>
          <w:tcPr>
            <w:tcW w:w="3714" w:type="pct"/>
            <w:tcBorders>
              <w:top w:val="outset" w:sz="6" w:space="0" w:color="000000"/>
              <w:left w:val="outset" w:sz="6" w:space="0" w:color="000000"/>
              <w:bottom w:val="outset" w:sz="6" w:space="0" w:color="000000"/>
              <w:right w:val="outset" w:sz="6" w:space="0" w:color="000000"/>
            </w:tcBorders>
          </w:tcPr>
          <w:p w:rsidR="000C6DCC" w:rsidRPr="005909C8" w:rsidRDefault="000B26CA" w:rsidP="00504EF9">
            <w:pPr>
              <w:jc w:val="both"/>
              <w:rPr>
                <w:b/>
                <w:sz w:val="26"/>
                <w:szCs w:val="26"/>
              </w:rPr>
            </w:pPr>
            <w:r w:rsidRPr="005909C8">
              <w:rPr>
                <w:b/>
                <w:sz w:val="26"/>
                <w:szCs w:val="26"/>
              </w:rPr>
              <w:t xml:space="preserve">       </w:t>
            </w:r>
            <w:r w:rsidR="00504EF9" w:rsidRPr="005909C8">
              <w:rPr>
                <w:b/>
                <w:sz w:val="26"/>
                <w:szCs w:val="26"/>
              </w:rPr>
              <w:t xml:space="preserve">Ministru kabineta noteikumu projekts </w:t>
            </w:r>
            <w:r w:rsidR="006048B9" w:rsidRPr="005909C8">
              <w:rPr>
                <w:b/>
                <w:sz w:val="26"/>
                <w:szCs w:val="26"/>
              </w:rPr>
              <w:t>nosaka</w:t>
            </w:r>
            <w:r w:rsidR="00504D7C" w:rsidRPr="005909C8">
              <w:rPr>
                <w:b/>
                <w:sz w:val="26"/>
                <w:szCs w:val="26"/>
              </w:rPr>
              <w:t xml:space="preserve">, ka </w:t>
            </w:r>
            <w:r w:rsidR="000C6DCC" w:rsidRPr="005909C8">
              <w:rPr>
                <w:b/>
                <w:sz w:val="26"/>
                <w:szCs w:val="26"/>
              </w:rPr>
              <w:t>nelaimes gadījuma</w:t>
            </w:r>
            <w:r w:rsidR="00504D7C" w:rsidRPr="005909C8">
              <w:rPr>
                <w:b/>
                <w:sz w:val="26"/>
                <w:szCs w:val="26"/>
              </w:rPr>
              <w:t xml:space="preserve"> </w:t>
            </w:r>
            <w:r w:rsidR="000C6DCC" w:rsidRPr="005909C8">
              <w:rPr>
                <w:b/>
                <w:sz w:val="26"/>
                <w:szCs w:val="26"/>
              </w:rPr>
              <w:t xml:space="preserve">pabalstu izmaksā tikai gadījumos, ja </w:t>
            </w:r>
            <w:r w:rsidR="00504D7C" w:rsidRPr="005909C8">
              <w:rPr>
                <w:b/>
                <w:sz w:val="26"/>
                <w:szCs w:val="26"/>
              </w:rPr>
              <w:t>amatpersona (darbiniek</w:t>
            </w:r>
            <w:r w:rsidR="000C6DCC" w:rsidRPr="005909C8">
              <w:rPr>
                <w:b/>
                <w:sz w:val="26"/>
                <w:szCs w:val="26"/>
              </w:rPr>
              <w:t>s</w:t>
            </w:r>
            <w:r w:rsidR="00504D7C" w:rsidRPr="005909C8">
              <w:rPr>
                <w:b/>
                <w:sz w:val="26"/>
                <w:szCs w:val="26"/>
              </w:rPr>
              <w:t>)</w:t>
            </w:r>
            <w:r w:rsidR="000C6DCC" w:rsidRPr="005909C8">
              <w:rPr>
                <w:b/>
                <w:sz w:val="26"/>
                <w:szCs w:val="26"/>
              </w:rPr>
              <w:t>,</w:t>
            </w:r>
            <w:r w:rsidR="00504D7C" w:rsidRPr="005909C8">
              <w:rPr>
                <w:b/>
                <w:sz w:val="26"/>
                <w:szCs w:val="26"/>
              </w:rPr>
              <w:t xml:space="preserve"> </w:t>
            </w:r>
            <w:r w:rsidR="000C6DCC" w:rsidRPr="005909C8">
              <w:rPr>
                <w:b/>
                <w:sz w:val="26"/>
                <w:szCs w:val="26"/>
              </w:rPr>
              <w:t>kuras amata (dienesta, darba) pienākumu izpilde ir saistīta ar dzīvības vai veselības apdraudējumu (risku), ir cietusi veicot konkrētas darbības.</w:t>
            </w:r>
          </w:p>
          <w:p w:rsidR="00504EF9" w:rsidRPr="009C3264" w:rsidRDefault="000B26CA" w:rsidP="00504EF9">
            <w:pPr>
              <w:jc w:val="both"/>
              <w:rPr>
                <w:sz w:val="26"/>
                <w:szCs w:val="26"/>
              </w:rPr>
            </w:pPr>
            <w:r w:rsidRPr="009C3264">
              <w:rPr>
                <w:sz w:val="26"/>
                <w:szCs w:val="26"/>
              </w:rPr>
              <w:t xml:space="preserve">       </w:t>
            </w:r>
            <w:r w:rsidR="00504EF9" w:rsidRPr="009C3264">
              <w:rPr>
                <w:sz w:val="26"/>
                <w:szCs w:val="26"/>
              </w:rPr>
              <w:t xml:space="preserve">Turpmāk paredzēts, ka nelaimes gadījumā gūtā veselības bojājuma smaguma pakāpi amatpersonai (darbiniekam) noteiks tikai viena institūcija </w:t>
            </w:r>
            <w:r w:rsidR="00A27AE0" w:rsidRPr="009C3264">
              <w:rPr>
                <w:sz w:val="26"/>
                <w:szCs w:val="26"/>
              </w:rPr>
              <w:t>–</w:t>
            </w:r>
            <w:r w:rsidR="00504EF9" w:rsidRPr="009C3264">
              <w:rPr>
                <w:sz w:val="26"/>
                <w:szCs w:val="26"/>
              </w:rPr>
              <w:t xml:space="preserve"> </w:t>
            </w:r>
            <w:r w:rsidR="00A27AE0" w:rsidRPr="009C3264">
              <w:rPr>
                <w:sz w:val="26"/>
                <w:szCs w:val="26"/>
              </w:rPr>
              <w:t>CMEK</w:t>
            </w:r>
            <w:r w:rsidR="00504EF9" w:rsidRPr="009C3264">
              <w:rPr>
                <w:sz w:val="26"/>
                <w:szCs w:val="26"/>
              </w:rPr>
              <w:t xml:space="preserve">, </w:t>
            </w:r>
            <w:r w:rsidR="00DA0485" w:rsidRPr="009C3264">
              <w:rPr>
                <w:sz w:val="26"/>
                <w:szCs w:val="26"/>
              </w:rPr>
              <w:t>kura</w:t>
            </w:r>
            <w:r w:rsidR="00504EF9" w:rsidRPr="009C3264">
              <w:rPr>
                <w:sz w:val="26"/>
                <w:szCs w:val="26"/>
              </w:rPr>
              <w:t xml:space="preserve"> šobrīd nosaka veselības bojājuma smaguma pakāpi </w:t>
            </w:r>
            <w:proofErr w:type="spellStart"/>
            <w:r w:rsidR="00504EF9" w:rsidRPr="009C3264">
              <w:rPr>
                <w:sz w:val="26"/>
                <w:szCs w:val="26"/>
              </w:rPr>
              <w:t>Iekšlietu</w:t>
            </w:r>
            <w:proofErr w:type="spellEnd"/>
            <w:r w:rsidR="00504EF9" w:rsidRPr="009C3264">
              <w:rPr>
                <w:sz w:val="26"/>
                <w:szCs w:val="26"/>
              </w:rPr>
              <w:t xml:space="preserve"> ministrijas sistēmas</w:t>
            </w:r>
            <w:r w:rsidR="00B35F0E" w:rsidRPr="009C3264">
              <w:rPr>
                <w:sz w:val="26"/>
                <w:szCs w:val="26"/>
              </w:rPr>
              <w:t xml:space="preserve"> iestāžu un Ieslodzījuma vietu pārvaldes</w:t>
            </w:r>
            <w:r w:rsidR="00504EF9" w:rsidRPr="009C3264">
              <w:rPr>
                <w:sz w:val="26"/>
                <w:szCs w:val="26"/>
              </w:rPr>
              <w:t xml:space="preserve"> amatpersonām ar speciālo dienesta pakāpi. Savukārt Veselības un darbspēju ekspertīzes ārstu valsts komisija, kura šobrīd </w:t>
            </w:r>
            <w:r w:rsidR="0058733E" w:rsidRPr="009C3264">
              <w:rPr>
                <w:sz w:val="26"/>
                <w:szCs w:val="26"/>
              </w:rPr>
              <w:t xml:space="preserve">arī </w:t>
            </w:r>
            <w:r w:rsidR="00504EF9" w:rsidRPr="009C3264">
              <w:rPr>
                <w:sz w:val="26"/>
                <w:szCs w:val="26"/>
              </w:rPr>
              <w:t>ir iesaistīta veselības bojājumu noteikšanā, noteiks tikai invaliditāti.</w:t>
            </w:r>
          </w:p>
          <w:p w:rsidR="00F2011F" w:rsidRPr="009C3264" w:rsidRDefault="000B26CA" w:rsidP="002753C1">
            <w:pPr>
              <w:jc w:val="both"/>
              <w:rPr>
                <w:sz w:val="26"/>
                <w:szCs w:val="26"/>
              </w:rPr>
            </w:pPr>
            <w:r w:rsidRPr="009C3264">
              <w:rPr>
                <w:sz w:val="26"/>
                <w:szCs w:val="26"/>
              </w:rPr>
              <w:t xml:space="preserve">     </w:t>
            </w:r>
            <w:r w:rsidR="00A95651" w:rsidRPr="009C3264">
              <w:rPr>
                <w:sz w:val="26"/>
                <w:szCs w:val="26"/>
              </w:rPr>
              <w:t xml:space="preserve"> </w:t>
            </w:r>
            <w:r w:rsidRPr="009C3264">
              <w:rPr>
                <w:sz w:val="26"/>
                <w:szCs w:val="26"/>
              </w:rPr>
              <w:t xml:space="preserve">  </w:t>
            </w:r>
            <w:r w:rsidR="00F2011F" w:rsidRPr="009C3264">
              <w:rPr>
                <w:sz w:val="26"/>
                <w:szCs w:val="26"/>
              </w:rPr>
              <w:t xml:space="preserve">Saskaņā ar 2010.gada 28.decembra Ministru kabineta noteikumu Nr.1209 "'Noteikumi par prognozējamas invaliditātes, invaliditātes un darbspēju zaudējuma noteikšanas kritērijiem, termiņiem un kārtību"' 10.1.5.punktu darbnespējas lapa var turpināties 52. nedēļas. Ņemot vērā iepriekš minēto atbilstoši precizēts noteikumu nr.565  17.punkts, nosakot, ka amatpersonai (darbiniekam) 12 mēnešu laikā pēc nelaimes gadījuma </w:t>
            </w:r>
            <w:r w:rsidR="001F00D9" w:rsidRPr="009C3264">
              <w:rPr>
                <w:sz w:val="26"/>
                <w:szCs w:val="26"/>
              </w:rPr>
              <w:t xml:space="preserve">Valsts komisija </w:t>
            </w:r>
            <w:r w:rsidR="00F2011F" w:rsidRPr="009C3264">
              <w:rPr>
                <w:sz w:val="26"/>
                <w:szCs w:val="26"/>
              </w:rPr>
              <w:t>no</w:t>
            </w:r>
            <w:r w:rsidR="0027589E" w:rsidRPr="009C3264">
              <w:rPr>
                <w:sz w:val="26"/>
                <w:szCs w:val="26"/>
              </w:rPr>
              <w:t>saka</w:t>
            </w:r>
            <w:r w:rsidR="00F2011F" w:rsidRPr="009C3264">
              <w:rPr>
                <w:sz w:val="26"/>
                <w:szCs w:val="26"/>
              </w:rPr>
              <w:t xml:space="preserve"> invaliditāti.</w:t>
            </w:r>
            <w:r w:rsidR="001D0B12" w:rsidRPr="009C3264">
              <w:rPr>
                <w:sz w:val="26"/>
                <w:szCs w:val="26"/>
              </w:rPr>
              <w:t xml:space="preserve"> 2001.gada 3.aprīļa noteikumi Nr.152 „Darbnespējas lapas izsniegšanas kārtība” tika saīsināts darbnespējas periods no 52 uz 26 nedēļām līdz ar to iespējama ātrāka invaliditātes noteikšana. Šo noteikumu 17.</w:t>
            </w:r>
            <w:r w:rsidR="001D0B12" w:rsidRPr="009C3264">
              <w:rPr>
                <w:sz w:val="26"/>
                <w:szCs w:val="26"/>
                <w:vertAlign w:val="superscript"/>
              </w:rPr>
              <w:t>1</w:t>
            </w:r>
            <w:r w:rsidR="001D0B12" w:rsidRPr="009C3264">
              <w:rPr>
                <w:sz w:val="26"/>
                <w:szCs w:val="26"/>
              </w:rPr>
              <w:t xml:space="preserve">punkts paredz, </w:t>
            </w:r>
            <w:r w:rsidR="001D0B12" w:rsidRPr="009C3264">
              <w:rPr>
                <w:sz w:val="26"/>
                <w:szCs w:val="26"/>
              </w:rPr>
              <w:lastRenderedPageBreak/>
              <w:t xml:space="preserve">ka, ja darbnespēja turpinās ilgāk par 26 nedēļām, ārstējošajam ārstam vai ārsta palīgam ir pienākums nosūtīt darbnespējīgo personu uz </w:t>
            </w:r>
            <w:r w:rsidR="001F00D9" w:rsidRPr="009C3264">
              <w:rPr>
                <w:sz w:val="26"/>
                <w:szCs w:val="26"/>
              </w:rPr>
              <w:t xml:space="preserve">Valsts </w:t>
            </w:r>
            <w:r w:rsidR="001D0B12" w:rsidRPr="009C3264">
              <w:rPr>
                <w:sz w:val="26"/>
                <w:szCs w:val="26"/>
              </w:rPr>
              <w:t xml:space="preserve">komisiju. </w:t>
            </w:r>
            <w:r w:rsidR="001F00D9" w:rsidRPr="009C3264">
              <w:rPr>
                <w:sz w:val="26"/>
                <w:szCs w:val="26"/>
              </w:rPr>
              <w:t>Valsts k</w:t>
            </w:r>
            <w:r w:rsidR="001D0B12" w:rsidRPr="009C3264">
              <w:rPr>
                <w:sz w:val="26"/>
                <w:szCs w:val="26"/>
              </w:rPr>
              <w:t>omisija sniedz atzinumu par darbnespējas lapas pagarināšanu pārejošas darbnespējas periodā, kas turpinās ilgāk par 26 nedēļām, bet ne ilgāk par 52 nedēļām (skaitot no darbnespējas pirmās dienas), ja tas nepieciešams pilnvērtīgas ārstēšanas, tai skaitā rehabilitācijas nodrošināšanai, vai nosaka invaliditāti. Dokumentus, kas nepieciešami atzinuma saņemšanai (iesniegumu, darbnespējas lapu B un veidlapu Nr.088/u "Nosūtījums uz Veselības un darbspēju ekspertīzes ārstu komisiju"), persona iesniedz V</w:t>
            </w:r>
            <w:r w:rsidR="001F00D9" w:rsidRPr="009C3264">
              <w:rPr>
                <w:sz w:val="26"/>
                <w:szCs w:val="26"/>
              </w:rPr>
              <w:t>alsts</w:t>
            </w:r>
            <w:r w:rsidR="001D0B12" w:rsidRPr="009C3264">
              <w:rPr>
                <w:sz w:val="26"/>
                <w:szCs w:val="26"/>
              </w:rPr>
              <w:t xml:space="preserve"> komisijā ne vēlāk kā piecas darbdienas pirms 26 nedēļu nepārtrauktas darbnespējas perioda beigām.</w:t>
            </w:r>
            <w:r w:rsidR="002753C1" w:rsidRPr="009C3264">
              <w:rPr>
                <w:sz w:val="26"/>
                <w:szCs w:val="26"/>
              </w:rPr>
              <w:t xml:space="preserve"> Analogiem  nelaimes gadījumiem  (traumām) konstatējamās  sekas  (funkcionēšanas ierobežojums) pēc  26 nedēļu  vai  52 nedēļu   ārstēšanās būs  atšķirīgas (dažāda smaguma),   līdz ar to ir būtiski noteikt vienotu konkrētu termiņu veselības stāvokļa izvērtēšanai. Ja vienots laiks netiek noteikts, analoģiskos gadījumos (vienādos apstākļos cietušiem) var pieļaut atšķirīgas situācijas atkarībā no tā, kādā  periodā pēc nelaimes gadījuma veic ekspertīzi un  cietušo izmeklē.  </w:t>
            </w:r>
          </w:p>
          <w:p w:rsidR="00D80D39" w:rsidRPr="009C3264" w:rsidRDefault="002753C1" w:rsidP="00504EF9">
            <w:pPr>
              <w:jc w:val="both"/>
              <w:rPr>
                <w:sz w:val="26"/>
                <w:szCs w:val="26"/>
              </w:rPr>
            </w:pPr>
            <w:r w:rsidRPr="009C3264">
              <w:rPr>
                <w:sz w:val="26"/>
                <w:szCs w:val="26"/>
              </w:rPr>
              <w:t xml:space="preserve">        </w:t>
            </w:r>
            <w:r w:rsidR="000B26CA" w:rsidRPr="009C3264">
              <w:rPr>
                <w:sz w:val="26"/>
                <w:szCs w:val="26"/>
              </w:rPr>
              <w:t xml:space="preserve"> </w:t>
            </w:r>
            <w:r w:rsidR="00D80D39" w:rsidRPr="009C3264">
              <w:rPr>
                <w:sz w:val="26"/>
                <w:szCs w:val="26"/>
              </w:rPr>
              <w:t>Noteikumu projekta 11.punkts groza spēkā esošo noteikumu 19.punkta redakciju, paredzot tiesības amatpersonai (darbiniekam) pieteikties uz pabalsta izmaksu tikai tajā gadījumā, ja invaliditāte ir piešķirta uz laiku ne mazāku par vienu gadu. Šādā norma projektā iekļauta ņemot vērā, ka faktiski gads ir tas periods, kura laikā vai nu nelaimes gadījumā gūtās traumas sekas izzūd vai saglabājas stabilas izmaiņas. Gada termiņš ir noteikts arī vairāku apdrošinātāju noteikumos nosakot, ka risks „Invaliditāte” ir apdrošinātā fiziskās veselības traucējumi, kuri ir tiešas nelaimes gadījuma sekas, kuru dēļ apdrošinātajam Latvijas Republikas normatīvajos aktos noteiktajā kārtībā tiek noteikta invaliditāte vismaz uz vienu gadu.</w:t>
            </w:r>
            <w:r w:rsidR="006048B9" w:rsidRPr="009C3264">
              <w:rPr>
                <w:sz w:val="26"/>
                <w:szCs w:val="26"/>
              </w:rPr>
              <w:t xml:space="preserve"> </w:t>
            </w:r>
            <w:r w:rsidR="007538C4" w:rsidRPr="009C3264">
              <w:rPr>
                <w:sz w:val="26"/>
                <w:szCs w:val="26"/>
              </w:rPr>
              <w:t>Tādējādi amatpersonai (darbiniekam) tiek nodrošinātas tiesības kā papildu bonusu saņemt vienreizēju pabalstu invaliditātes noteikšanas gadījumā, kā arī atbilstoši likumam „Par obligāto sociālo apdrošināšanu pret nelaimes gadījumiem darbā un arodslimībām” tai ti</w:t>
            </w:r>
            <w:r w:rsidR="00DA0485" w:rsidRPr="009C3264">
              <w:rPr>
                <w:sz w:val="26"/>
                <w:szCs w:val="26"/>
              </w:rPr>
              <w:t>e</w:t>
            </w:r>
            <w:r w:rsidR="007538C4" w:rsidRPr="009C3264">
              <w:rPr>
                <w:sz w:val="26"/>
                <w:szCs w:val="26"/>
              </w:rPr>
              <w:t xml:space="preserve">k segta apdrošināšanas atlīdzība, </w:t>
            </w:r>
            <w:r w:rsidR="00FA31B4" w:rsidRPr="009C3264">
              <w:rPr>
                <w:sz w:val="26"/>
                <w:szCs w:val="26"/>
              </w:rPr>
              <w:t>kas saistīta ar</w:t>
            </w:r>
            <w:r w:rsidR="007538C4" w:rsidRPr="009C3264">
              <w:rPr>
                <w:sz w:val="26"/>
                <w:szCs w:val="26"/>
              </w:rPr>
              <w:t xml:space="preserve"> atveseļošanos, darbspēju atgūšanu un integrāciju sabiedrībā.</w:t>
            </w:r>
          </w:p>
          <w:p w:rsidR="002753C1" w:rsidRPr="009C3264" w:rsidRDefault="00D80D39" w:rsidP="002753C1">
            <w:pPr>
              <w:jc w:val="both"/>
              <w:rPr>
                <w:sz w:val="26"/>
                <w:szCs w:val="26"/>
              </w:rPr>
            </w:pPr>
            <w:r w:rsidRPr="009C3264">
              <w:rPr>
                <w:sz w:val="26"/>
                <w:szCs w:val="26"/>
              </w:rPr>
              <w:t xml:space="preserve">       </w:t>
            </w:r>
            <w:r w:rsidR="002753C1" w:rsidRPr="009C3264">
              <w:rPr>
                <w:sz w:val="26"/>
                <w:szCs w:val="26"/>
              </w:rPr>
              <w:t>Noteikumu projekts precizē terminoloģiju aizstājot vārdus 'VDEĀK izsniegto izziņu"' ar vārdiem "' Valsts komisijas lēmumu"'. Šāds precizējums nepieciešams, jo saskaņā ar Invaliditātes likumu Valsts komisija pieņem lēmumu un izdod administratīvo aktu.</w:t>
            </w:r>
          </w:p>
          <w:p w:rsidR="002753C1" w:rsidRPr="009C3264" w:rsidRDefault="002753C1" w:rsidP="002753C1">
            <w:pPr>
              <w:jc w:val="both"/>
              <w:rPr>
                <w:sz w:val="26"/>
                <w:szCs w:val="26"/>
              </w:rPr>
            </w:pPr>
            <w:r w:rsidRPr="009C3264">
              <w:rPr>
                <w:sz w:val="26"/>
                <w:szCs w:val="26"/>
              </w:rPr>
              <w:t xml:space="preserve">        Noteikumu projekta 7.punkts paredz svītrot no MK noteikumu Nr.565 11.punkta vārdus „bet ne agrāk kā pēc </w:t>
            </w:r>
            <w:r w:rsidRPr="009C3264">
              <w:rPr>
                <w:sz w:val="26"/>
                <w:szCs w:val="26"/>
              </w:rPr>
              <w:lastRenderedPageBreak/>
              <w:t>nelaimes gadījuma izmeklēšanas pabeigšanas”. Šī atruna nav nepieciešama, jo akts, kuru nepieciešams iesniegt CMEK veselības bojājuma smaguma pakāpes noteikšanai, tiek sastādīts, tikai tad, kad ir pabeigta nelaimes gadījuma izmeklēšana.</w:t>
            </w:r>
          </w:p>
          <w:p w:rsidR="00504EF9" w:rsidRDefault="002753C1" w:rsidP="00FA31B4">
            <w:pPr>
              <w:jc w:val="both"/>
              <w:rPr>
                <w:sz w:val="26"/>
                <w:szCs w:val="26"/>
              </w:rPr>
            </w:pPr>
            <w:r w:rsidRPr="009C3264">
              <w:rPr>
                <w:sz w:val="26"/>
                <w:szCs w:val="26"/>
              </w:rPr>
              <w:t xml:space="preserve">         </w:t>
            </w:r>
            <w:r w:rsidR="00504EF9" w:rsidRPr="009C3264">
              <w:rPr>
                <w:sz w:val="26"/>
                <w:szCs w:val="26"/>
              </w:rPr>
              <w:t>Noteikumu projekts paredz svītrot normas par bērnu piedzimšanas pabalsta piešķiršanu, ņemot vērā, ka atlīdzības likums bērna piedzimšanas pabalsta piešķiršanu turpmāk vairs neparedz.</w:t>
            </w:r>
          </w:p>
          <w:p w:rsidR="00504D7C" w:rsidRPr="005909C8" w:rsidRDefault="00847117" w:rsidP="005909C8">
            <w:pPr>
              <w:jc w:val="both"/>
              <w:rPr>
                <w:b/>
                <w:sz w:val="26"/>
                <w:szCs w:val="26"/>
              </w:rPr>
            </w:pPr>
            <w:r w:rsidRPr="005909C8">
              <w:rPr>
                <w:b/>
                <w:sz w:val="26"/>
                <w:szCs w:val="26"/>
              </w:rPr>
              <w:t xml:space="preserve">         </w:t>
            </w:r>
            <w:r w:rsidR="005909C8" w:rsidRPr="005909C8">
              <w:rPr>
                <w:b/>
                <w:sz w:val="26"/>
                <w:szCs w:val="26"/>
              </w:rPr>
              <w:t>Lai saskaņotu normu piemērošanu, n</w:t>
            </w:r>
            <w:r w:rsidR="00504D7C" w:rsidRPr="005909C8">
              <w:rPr>
                <w:b/>
                <w:sz w:val="26"/>
                <w:szCs w:val="26"/>
              </w:rPr>
              <w:t>oteikumu projekts paredz, ka šo noteikumu 6.</w:t>
            </w:r>
            <w:r w:rsidR="00504D7C" w:rsidRPr="005909C8">
              <w:rPr>
                <w:b/>
                <w:sz w:val="26"/>
                <w:szCs w:val="26"/>
                <w:vertAlign w:val="superscript"/>
              </w:rPr>
              <w:t>1</w:t>
            </w:r>
            <w:r w:rsidR="00504D7C" w:rsidRPr="005909C8">
              <w:rPr>
                <w:b/>
                <w:sz w:val="26"/>
                <w:szCs w:val="26"/>
              </w:rPr>
              <w:t xml:space="preserve">punktu </w:t>
            </w:r>
            <w:proofErr w:type="spellStart"/>
            <w:r w:rsidR="00504D7C" w:rsidRPr="005909C8">
              <w:rPr>
                <w:b/>
                <w:sz w:val="26"/>
                <w:szCs w:val="26"/>
              </w:rPr>
              <w:t>Iekšlietu</w:t>
            </w:r>
            <w:proofErr w:type="spellEnd"/>
            <w:r w:rsidR="00504D7C" w:rsidRPr="005909C8">
              <w:rPr>
                <w:b/>
                <w:sz w:val="26"/>
                <w:szCs w:val="26"/>
              </w:rPr>
              <w:t xml:space="preserve"> ministrijas sistēmas iestādes un Ieslodzījuma vietu pārvalde uzsāk piemērot pēc grozījumu Valsts un pašvaldību institūciju amatpersonu un darbinieku atlīdzības likumā, kas attiecas uz 19.panta piektās daļas izslēgšanu, spēkā stāšanās.</w:t>
            </w:r>
          </w:p>
        </w:tc>
      </w:tr>
      <w:tr w:rsidR="00504EF9" w:rsidRPr="009C3264" w:rsidTr="00626862">
        <w:tc>
          <w:tcPr>
            <w:tcW w:w="145"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jc w:val="center"/>
              <w:rPr>
                <w:sz w:val="26"/>
                <w:szCs w:val="26"/>
              </w:rPr>
            </w:pPr>
            <w:r w:rsidRPr="009C3264">
              <w:rPr>
                <w:sz w:val="26"/>
                <w:szCs w:val="26"/>
              </w:rPr>
              <w:lastRenderedPageBreak/>
              <w:t>5.</w:t>
            </w:r>
          </w:p>
        </w:tc>
        <w:tc>
          <w:tcPr>
            <w:tcW w:w="1141"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rPr>
                <w:sz w:val="26"/>
                <w:szCs w:val="26"/>
              </w:rPr>
            </w:pPr>
            <w:r w:rsidRPr="009C3264">
              <w:rPr>
                <w:sz w:val="26"/>
                <w:szCs w:val="26"/>
              </w:rPr>
              <w:t>Projekta izstrādē iesaistītās institūcijas</w:t>
            </w:r>
          </w:p>
        </w:tc>
        <w:tc>
          <w:tcPr>
            <w:tcW w:w="3714"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6978DA">
            <w:pPr>
              <w:pStyle w:val="NormalWeb"/>
              <w:spacing w:before="0" w:after="0"/>
              <w:jc w:val="both"/>
              <w:rPr>
                <w:sz w:val="26"/>
                <w:szCs w:val="26"/>
              </w:rPr>
            </w:pPr>
            <w:proofErr w:type="spellStart"/>
            <w:r w:rsidRPr="009C3264">
              <w:rPr>
                <w:sz w:val="26"/>
                <w:szCs w:val="26"/>
              </w:rPr>
              <w:t>Iekšlietu</w:t>
            </w:r>
            <w:proofErr w:type="spellEnd"/>
            <w:r w:rsidRPr="009C3264">
              <w:rPr>
                <w:sz w:val="26"/>
                <w:szCs w:val="26"/>
              </w:rPr>
              <w:t xml:space="preserve"> ministrija, </w:t>
            </w:r>
            <w:r w:rsidR="006978DA" w:rsidRPr="009C3264">
              <w:rPr>
                <w:sz w:val="26"/>
                <w:szCs w:val="26"/>
              </w:rPr>
              <w:t>Centrālā medicīnas ekspertīzes komisija (VSIA „</w:t>
            </w:r>
            <w:proofErr w:type="spellStart"/>
            <w:r w:rsidR="006978DA" w:rsidRPr="009C3264">
              <w:rPr>
                <w:sz w:val="26"/>
                <w:szCs w:val="26"/>
              </w:rPr>
              <w:t>Iekšlietu</w:t>
            </w:r>
            <w:proofErr w:type="spellEnd"/>
            <w:r w:rsidR="006978DA" w:rsidRPr="009C3264">
              <w:rPr>
                <w:sz w:val="26"/>
                <w:szCs w:val="26"/>
              </w:rPr>
              <w:t xml:space="preserve"> ministrijas poliklīnika” struktūrvienība)</w:t>
            </w:r>
            <w:r w:rsidRPr="009C3264">
              <w:rPr>
                <w:sz w:val="26"/>
                <w:szCs w:val="26"/>
              </w:rPr>
              <w:t>, Veselības un darbspēju ekspertīzes ārstu valsts komisija.</w:t>
            </w:r>
          </w:p>
        </w:tc>
      </w:tr>
      <w:tr w:rsidR="00504EF9" w:rsidRPr="009C3264" w:rsidTr="00626862">
        <w:tc>
          <w:tcPr>
            <w:tcW w:w="145"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jc w:val="center"/>
              <w:rPr>
                <w:sz w:val="26"/>
                <w:szCs w:val="26"/>
              </w:rPr>
            </w:pPr>
            <w:r w:rsidRPr="009C3264">
              <w:rPr>
                <w:sz w:val="26"/>
                <w:szCs w:val="26"/>
              </w:rPr>
              <w:t>6.</w:t>
            </w:r>
          </w:p>
        </w:tc>
        <w:tc>
          <w:tcPr>
            <w:tcW w:w="1141"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rPr>
                <w:sz w:val="26"/>
                <w:szCs w:val="26"/>
              </w:rPr>
            </w:pPr>
            <w:r w:rsidRPr="009C3264">
              <w:rPr>
                <w:sz w:val="26"/>
                <w:szCs w:val="26"/>
              </w:rPr>
              <w:t>Iemesli, kādēļ netika nodrošināta sabiedrības līdzdalība</w:t>
            </w:r>
          </w:p>
        </w:tc>
        <w:tc>
          <w:tcPr>
            <w:tcW w:w="3714"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jc w:val="both"/>
              <w:rPr>
                <w:sz w:val="26"/>
                <w:szCs w:val="26"/>
              </w:rPr>
            </w:pPr>
            <w:r w:rsidRPr="009C3264">
              <w:rPr>
                <w:sz w:val="26"/>
                <w:szCs w:val="26"/>
              </w:rPr>
              <w:t>Ņemot vērā, ka noteikumu projekts attiecas tikai uz valsts un pašvaldību institūcijām, sabiedrības līdzdalība nav nepieciešama.</w:t>
            </w:r>
          </w:p>
        </w:tc>
      </w:tr>
      <w:tr w:rsidR="00504EF9" w:rsidRPr="009C3264" w:rsidTr="00626862">
        <w:tc>
          <w:tcPr>
            <w:tcW w:w="145"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jc w:val="center"/>
              <w:rPr>
                <w:sz w:val="26"/>
                <w:szCs w:val="26"/>
              </w:rPr>
            </w:pPr>
            <w:r w:rsidRPr="009C3264">
              <w:rPr>
                <w:sz w:val="26"/>
                <w:szCs w:val="26"/>
              </w:rPr>
              <w:t>7.</w:t>
            </w:r>
          </w:p>
        </w:tc>
        <w:tc>
          <w:tcPr>
            <w:tcW w:w="1141" w:type="pct"/>
            <w:tcBorders>
              <w:top w:val="outset" w:sz="6" w:space="0" w:color="000000"/>
              <w:left w:val="outset" w:sz="6" w:space="0" w:color="000000"/>
              <w:bottom w:val="outset" w:sz="6" w:space="0" w:color="000000"/>
              <w:right w:val="outset" w:sz="6" w:space="0" w:color="000000"/>
            </w:tcBorders>
            <w:hideMark/>
          </w:tcPr>
          <w:p w:rsidR="00504EF9" w:rsidRPr="009C3264" w:rsidRDefault="00504EF9" w:rsidP="0029409C">
            <w:pPr>
              <w:pStyle w:val="NormalWeb"/>
              <w:spacing w:before="0" w:after="0"/>
              <w:rPr>
                <w:sz w:val="26"/>
                <w:szCs w:val="26"/>
              </w:rPr>
            </w:pPr>
            <w:r w:rsidRPr="009C3264">
              <w:rPr>
                <w:sz w:val="26"/>
                <w:szCs w:val="26"/>
              </w:rPr>
              <w:t>Cita informācija</w:t>
            </w:r>
          </w:p>
        </w:tc>
        <w:tc>
          <w:tcPr>
            <w:tcW w:w="3714" w:type="pct"/>
            <w:tcBorders>
              <w:top w:val="outset" w:sz="6" w:space="0" w:color="000000"/>
              <w:left w:val="outset" w:sz="6" w:space="0" w:color="000000"/>
              <w:bottom w:val="outset" w:sz="6" w:space="0" w:color="000000"/>
              <w:right w:val="outset" w:sz="6" w:space="0" w:color="000000"/>
            </w:tcBorders>
            <w:hideMark/>
          </w:tcPr>
          <w:tbl>
            <w:tblPr>
              <w:tblStyle w:val="TableGrid1"/>
              <w:tblW w:w="6928" w:type="dxa"/>
              <w:jc w:val="center"/>
              <w:tblLayout w:type="fixed"/>
              <w:tblLook w:val="04A0" w:firstRow="1" w:lastRow="0" w:firstColumn="1" w:lastColumn="0" w:noHBand="0" w:noVBand="1"/>
            </w:tblPr>
            <w:tblGrid>
              <w:gridCol w:w="3558"/>
              <w:gridCol w:w="2127"/>
              <w:gridCol w:w="1243"/>
            </w:tblGrid>
            <w:tr w:rsidR="007D5018" w:rsidRPr="009C3264" w:rsidTr="00626862">
              <w:trPr>
                <w:trHeight w:val="70"/>
                <w:jc w:val="center"/>
              </w:trPr>
              <w:tc>
                <w:tcPr>
                  <w:tcW w:w="3558" w:type="dxa"/>
                </w:tcPr>
                <w:p w:rsidR="007D5018" w:rsidRPr="009C3264" w:rsidRDefault="007D5018" w:rsidP="007D5018">
                  <w:pPr>
                    <w:jc w:val="center"/>
                    <w:rPr>
                      <w:rFonts w:ascii="Times New Roman" w:hAnsi="Times New Roman" w:cs="Times New Roman"/>
                      <w:sz w:val="26"/>
                      <w:szCs w:val="26"/>
                    </w:rPr>
                  </w:pPr>
                </w:p>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Institūcija</w:t>
                  </w:r>
                </w:p>
              </w:tc>
              <w:tc>
                <w:tcPr>
                  <w:tcW w:w="2127" w:type="dxa"/>
                </w:tcPr>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2010. un 2011.gadā notikušie nelaimes</w:t>
                  </w:r>
                </w:p>
                <w:p w:rsidR="007D5018" w:rsidRPr="009C3264" w:rsidRDefault="000447B8" w:rsidP="007D5018">
                  <w:pPr>
                    <w:jc w:val="center"/>
                    <w:rPr>
                      <w:rFonts w:ascii="Times New Roman" w:hAnsi="Times New Roman" w:cs="Times New Roman"/>
                      <w:sz w:val="26"/>
                      <w:szCs w:val="26"/>
                    </w:rPr>
                  </w:pPr>
                  <w:r w:rsidRPr="009C3264">
                    <w:rPr>
                      <w:rFonts w:ascii="Times New Roman" w:hAnsi="Times New Roman" w:cs="Times New Roman"/>
                      <w:sz w:val="26"/>
                      <w:szCs w:val="26"/>
                    </w:rPr>
                    <w:t>g</w:t>
                  </w:r>
                  <w:r w:rsidR="007D5018" w:rsidRPr="009C3264">
                    <w:rPr>
                      <w:rFonts w:ascii="Times New Roman" w:hAnsi="Times New Roman" w:cs="Times New Roman"/>
                      <w:sz w:val="26"/>
                      <w:szCs w:val="26"/>
                    </w:rPr>
                    <w:t>adījumi</w:t>
                  </w:r>
                  <w:r w:rsidRPr="009C3264">
                    <w:rPr>
                      <w:rFonts w:ascii="Times New Roman" w:hAnsi="Times New Roman" w:cs="Times New Roman"/>
                      <w:sz w:val="26"/>
                      <w:szCs w:val="26"/>
                    </w:rPr>
                    <w:t xml:space="preserve"> darbā</w:t>
                  </w:r>
                </w:p>
              </w:tc>
              <w:tc>
                <w:tcPr>
                  <w:tcW w:w="1243" w:type="dxa"/>
                </w:tcPr>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Pabalsta izmaksa</w:t>
                  </w:r>
                </w:p>
              </w:tc>
            </w:tr>
            <w:tr w:rsidR="007D5018" w:rsidRPr="009C3264" w:rsidTr="00626862">
              <w:trPr>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Aizsardzības ministrija</w:t>
                  </w:r>
                </w:p>
              </w:tc>
              <w:tc>
                <w:tcPr>
                  <w:tcW w:w="2127" w:type="dxa"/>
                </w:tcPr>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1</w:t>
                  </w:r>
                </w:p>
              </w:tc>
              <w:tc>
                <w:tcPr>
                  <w:tcW w:w="1243" w:type="dxa"/>
                </w:tcPr>
                <w:p w:rsidR="007D5018" w:rsidRPr="009C3264" w:rsidRDefault="007D5018" w:rsidP="00883439">
                  <w:pPr>
                    <w:jc w:val="center"/>
                    <w:rPr>
                      <w:rFonts w:ascii="Times New Roman" w:hAnsi="Times New Roman" w:cs="Times New Roman"/>
                      <w:sz w:val="26"/>
                      <w:szCs w:val="26"/>
                    </w:rPr>
                  </w:pPr>
                  <w:r w:rsidRPr="009C3264">
                    <w:rPr>
                      <w:rFonts w:ascii="Times New Roman" w:hAnsi="Times New Roman" w:cs="Times New Roman"/>
                      <w:sz w:val="26"/>
                      <w:szCs w:val="26"/>
                    </w:rPr>
                    <w:t>N</w:t>
                  </w:r>
                  <w:r w:rsidR="00883439" w:rsidRPr="009C3264">
                    <w:rPr>
                      <w:rFonts w:ascii="Times New Roman" w:hAnsi="Times New Roman" w:cs="Times New Roman"/>
                      <w:sz w:val="26"/>
                      <w:szCs w:val="26"/>
                    </w:rPr>
                    <w:t>av</w:t>
                  </w:r>
                  <w:r w:rsidRPr="009C3264">
                    <w:rPr>
                      <w:rFonts w:ascii="Times New Roman" w:hAnsi="Times New Roman" w:cs="Times New Roman"/>
                      <w:sz w:val="26"/>
                      <w:szCs w:val="26"/>
                    </w:rPr>
                    <w:t xml:space="preserve"> </w:t>
                  </w:r>
                  <w:r w:rsidR="00883439" w:rsidRPr="009C3264">
                    <w:rPr>
                      <w:rFonts w:ascii="Times New Roman" w:hAnsi="Times New Roman" w:cs="Times New Roman"/>
                      <w:sz w:val="26"/>
                      <w:szCs w:val="26"/>
                    </w:rPr>
                    <w:t>izmaksāts</w:t>
                  </w:r>
                </w:p>
              </w:tc>
            </w:tr>
            <w:tr w:rsidR="007D5018" w:rsidRPr="009C3264" w:rsidTr="00626862">
              <w:trPr>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Ārlietu ministrija</w:t>
                  </w:r>
                </w:p>
              </w:tc>
              <w:tc>
                <w:tcPr>
                  <w:tcW w:w="2127" w:type="dxa"/>
                </w:tcPr>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w:t>
                  </w:r>
                </w:p>
              </w:tc>
              <w:tc>
                <w:tcPr>
                  <w:tcW w:w="1243" w:type="dxa"/>
                </w:tcPr>
                <w:p w:rsidR="007D5018" w:rsidRPr="009C3264" w:rsidRDefault="00883439" w:rsidP="007D5018">
                  <w:pPr>
                    <w:jc w:val="center"/>
                    <w:rPr>
                      <w:sz w:val="26"/>
                      <w:szCs w:val="26"/>
                    </w:rPr>
                  </w:pPr>
                  <w:r w:rsidRPr="009C3264">
                    <w:rPr>
                      <w:sz w:val="26"/>
                      <w:szCs w:val="26"/>
                    </w:rPr>
                    <w:t>-</w:t>
                  </w:r>
                </w:p>
              </w:tc>
            </w:tr>
            <w:tr w:rsidR="007D5018" w:rsidRPr="009C3264" w:rsidTr="00626862">
              <w:trPr>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Ekonomikas ministrija</w:t>
                  </w:r>
                </w:p>
              </w:tc>
              <w:tc>
                <w:tcPr>
                  <w:tcW w:w="2127" w:type="dxa"/>
                </w:tcPr>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w:t>
                  </w:r>
                </w:p>
              </w:tc>
              <w:tc>
                <w:tcPr>
                  <w:tcW w:w="1243" w:type="dxa"/>
                </w:tcPr>
                <w:p w:rsidR="007D5018" w:rsidRPr="009C3264" w:rsidRDefault="00883439" w:rsidP="007D5018">
                  <w:pPr>
                    <w:jc w:val="center"/>
                    <w:rPr>
                      <w:sz w:val="26"/>
                      <w:szCs w:val="26"/>
                    </w:rPr>
                  </w:pPr>
                  <w:r w:rsidRPr="009C3264">
                    <w:rPr>
                      <w:sz w:val="26"/>
                      <w:szCs w:val="26"/>
                    </w:rPr>
                    <w:t>-</w:t>
                  </w:r>
                </w:p>
              </w:tc>
            </w:tr>
            <w:tr w:rsidR="007D5018" w:rsidRPr="009C3264" w:rsidTr="00626862">
              <w:trPr>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Finanšu ministrijas padotības iestāde:</w:t>
                  </w:r>
                </w:p>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Valsts ieņēmumu dienests</w:t>
                  </w:r>
                </w:p>
              </w:tc>
              <w:tc>
                <w:tcPr>
                  <w:tcW w:w="2127" w:type="dxa"/>
                </w:tcPr>
                <w:p w:rsidR="007D5018" w:rsidRPr="009C3264" w:rsidRDefault="007D5018" w:rsidP="007D5018">
                  <w:pPr>
                    <w:jc w:val="center"/>
                    <w:rPr>
                      <w:rFonts w:ascii="Times New Roman" w:hAnsi="Times New Roman" w:cs="Times New Roman"/>
                      <w:sz w:val="26"/>
                      <w:szCs w:val="26"/>
                    </w:rPr>
                  </w:pPr>
                </w:p>
                <w:p w:rsidR="000B0445" w:rsidRPr="009C3264" w:rsidRDefault="000B0445" w:rsidP="007D5018">
                  <w:pPr>
                    <w:jc w:val="center"/>
                    <w:rPr>
                      <w:rFonts w:ascii="Times New Roman" w:hAnsi="Times New Roman" w:cs="Times New Roman"/>
                      <w:sz w:val="26"/>
                      <w:szCs w:val="26"/>
                    </w:rPr>
                  </w:pPr>
                </w:p>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14</w:t>
                  </w:r>
                </w:p>
              </w:tc>
              <w:tc>
                <w:tcPr>
                  <w:tcW w:w="1243" w:type="dxa"/>
                </w:tcPr>
                <w:p w:rsidR="00883439" w:rsidRPr="009C3264" w:rsidRDefault="00883439" w:rsidP="007D5018">
                  <w:pPr>
                    <w:jc w:val="center"/>
                    <w:rPr>
                      <w:rFonts w:ascii="Times New Roman" w:hAnsi="Times New Roman" w:cs="Times New Roman"/>
                      <w:sz w:val="26"/>
                      <w:szCs w:val="26"/>
                    </w:rPr>
                  </w:pPr>
                </w:p>
                <w:p w:rsidR="007D5018" w:rsidRPr="009C3264" w:rsidRDefault="00883439" w:rsidP="007D5018">
                  <w:pPr>
                    <w:jc w:val="center"/>
                    <w:rPr>
                      <w:sz w:val="26"/>
                      <w:szCs w:val="26"/>
                    </w:rPr>
                  </w:pPr>
                  <w:r w:rsidRPr="009C3264">
                    <w:rPr>
                      <w:rFonts w:ascii="Times New Roman" w:hAnsi="Times New Roman" w:cs="Times New Roman"/>
                      <w:sz w:val="26"/>
                      <w:szCs w:val="26"/>
                    </w:rPr>
                    <w:t>Nav izmaksāts</w:t>
                  </w:r>
                </w:p>
              </w:tc>
            </w:tr>
            <w:tr w:rsidR="007D5018" w:rsidRPr="009C3264" w:rsidTr="00626862">
              <w:trPr>
                <w:jc w:val="center"/>
              </w:trPr>
              <w:tc>
                <w:tcPr>
                  <w:tcW w:w="3558" w:type="dxa"/>
                </w:tcPr>
                <w:p w:rsidR="007D5018" w:rsidRPr="009C3264" w:rsidRDefault="007D5018" w:rsidP="007D5018">
                  <w:pPr>
                    <w:rPr>
                      <w:rFonts w:ascii="Times New Roman" w:hAnsi="Times New Roman" w:cs="Times New Roman"/>
                      <w:sz w:val="26"/>
                      <w:szCs w:val="26"/>
                    </w:rPr>
                  </w:pPr>
                  <w:proofErr w:type="spellStart"/>
                  <w:r w:rsidRPr="009C3264">
                    <w:rPr>
                      <w:rFonts w:ascii="Times New Roman" w:hAnsi="Times New Roman" w:cs="Times New Roman"/>
                      <w:sz w:val="26"/>
                      <w:szCs w:val="26"/>
                    </w:rPr>
                    <w:t>Iekšlietu</w:t>
                  </w:r>
                  <w:proofErr w:type="spellEnd"/>
                  <w:r w:rsidRPr="009C3264">
                    <w:rPr>
                      <w:rFonts w:ascii="Times New Roman" w:hAnsi="Times New Roman" w:cs="Times New Roman"/>
                      <w:sz w:val="26"/>
                      <w:szCs w:val="26"/>
                    </w:rPr>
                    <w:t xml:space="preserve"> ministrija</w:t>
                  </w:r>
                </w:p>
              </w:tc>
              <w:tc>
                <w:tcPr>
                  <w:tcW w:w="2127" w:type="dxa"/>
                </w:tcPr>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195</w:t>
                  </w:r>
                </w:p>
              </w:tc>
              <w:tc>
                <w:tcPr>
                  <w:tcW w:w="1243" w:type="dxa"/>
                </w:tcPr>
                <w:p w:rsidR="007D5018" w:rsidRPr="009C3264" w:rsidRDefault="007D5018" w:rsidP="007D5018">
                  <w:pPr>
                    <w:jc w:val="center"/>
                    <w:rPr>
                      <w:sz w:val="26"/>
                      <w:szCs w:val="26"/>
                    </w:rPr>
                  </w:pPr>
                  <w:r w:rsidRPr="009C3264">
                    <w:rPr>
                      <w:sz w:val="26"/>
                      <w:szCs w:val="26"/>
                    </w:rPr>
                    <w:t>195</w:t>
                  </w:r>
                </w:p>
              </w:tc>
            </w:tr>
            <w:tr w:rsidR="007D5018" w:rsidRPr="009C3264" w:rsidTr="00626862">
              <w:trPr>
                <w:trHeight w:val="321"/>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Izglītības un zinātnes ministrija</w:t>
                  </w:r>
                </w:p>
              </w:tc>
              <w:tc>
                <w:tcPr>
                  <w:tcW w:w="2127" w:type="dxa"/>
                </w:tcPr>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w:t>
                  </w:r>
                </w:p>
              </w:tc>
              <w:tc>
                <w:tcPr>
                  <w:tcW w:w="1243" w:type="dxa"/>
                </w:tcPr>
                <w:p w:rsidR="007D5018" w:rsidRPr="009C3264" w:rsidRDefault="00883439" w:rsidP="007D5018">
                  <w:pPr>
                    <w:jc w:val="center"/>
                    <w:rPr>
                      <w:sz w:val="26"/>
                      <w:szCs w:val="26"/>
                    </w:rPr>
                  </w:pPr>
                  <w:r w:rsidRPr="009C3264">
                    <w:rPr>
                      <w:sz w:val="26"/>
                      <w:szCs w:val="26"/>
                    </w:rPr>
                    <w:t>-</w:t>
                  </w:r>
                </w:p>
              </w:tc>
            </w:tr>
            <w:tr w:rsidR="007D5018" w:rsidRPr="009C3264" w:rsidTr="00626862">
              <w:trPr>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Labklājības ministrija</w:t>
                  </w:r>
                </w:p>
              </w:tc>
              <w:tc>
                <w:tcPr>
                  <w:tcW w:w="2127" w:type="dxa"/>
                </w:tcPr>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w:t>
                  </w:r>
                </w:p>
              </w:tc>
              <w:tc>
                <w:tcPr>
                  <w:tcW w:w="1243" w:type="dxa"/>
                </w:tcPr>
                <w:p w:rsidR="007D5018" w:rsidRPr="009C3264" w:rsidRDefault="00883439" w:rsidP="007D5018">
                  <w:pPr>
                    <w:jc w:val="center"/>
                    <w:rPr>
                      <w:sz w:val="26"/>
                      <w:szCs w:val="26"/>
                    </w:rPr>
                  </w:pPr>
                  <w:r w:rsidRPr="009C3264">
                    <w:rPr>
                      <w:sz w:val="26"/>
                      <w:szCs w:val="26"/>
                    </w:rPr>
                    <w:t>-</w:t>
                  </w:r>
                </w:p>
              </w:tc>
            </w:tr>
            <w:tr w:rsidR="007D5018" w:rsidRPr="009C3264" w:rsidTr="00626862">
              <w:trPr>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Satiksmes ministrija</w:t>
                  </w:r>
                </w:p>
              </w:tc>
              <w:tc>
                <w:tcPr>
                  <w:tcW w:w="2127" w:type="dxa"/>
                </w:tcPr>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w:t>
                  </w:r>
                </w:p>
              </w:tc>
              <w:tc>
                <w:tcPr>
                  <w:tcW w:w="1243" w:type="dxa"/>
                </w:tcPr>
                <w:p w:rsidR="007D5018" w:rsidRPr="009C3264" w:rsidRDefault="00883439" w:rsidP="007D5018">
                  <w:pPr>
                    <w:jc w:val="center"/>
                    <w:rPr>
                      <w:sz w:val="26"/>
                      <w:szCs w:val="26"/>
                    </w:rPr>
                  </w:pPr>
                  <w:r w:rsidRPr="009C3264">
                    <w:rPr>
                      <w:sz w:val="26"/>
                      <w:szCs w:val="26"/>
                    </w:rPr>
                    <w:t>-</w:t>
                  </w:r>
                </w:p>
              </w:tc>
            </w:tr>
            <w:tr w:rsidR="007D5018" w:rsidRPr="009C3264" w:rsidTr="00626862">
              <w:trPr>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Tieslietu ministrijas padotības iestāde:</w:t>
                  </w:r>
                </w:p>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Ieslodzījumu vietu pārvalde</w:t>
                  </w:r>
                </w:p>
              </w:tc>
              <w:tc>
                <w:tcPr>
                  <w:tcW w:w="2127" w:type="dxa"/>
                </w:tcPr>
                <w:p w:rsidR="007D5018" w:rsidRPr="009C3264" w:rsidRDefault="007D5018" w:rsidP="007D5018">
                  <w:pPr>
                    <w:jc w:val="center"/>
                    <w:rPr>
                      <w:rFonts w:ascii="Times New Roman" w:hAnsi="Times New Roman" w:cs="Times New Roman"/>
                      <w:sz w:val="26"/>
                      <w:szCs w:val="26"/>
                    </w:rPr>
                  </w:pPr>
                </w:p>
                <w:p w:rsidR="003F008B" w:rsidRPr="009C3264" w:rsidRDefault="003F008B" w:rsidP="007D5018">
                  <w:pPr>
                    <w:jc w:val="center"/>
                    <w:rPr>
                      <w:rFonts w:ascii="Times New Roman" w:hAnsi="Times New Roman" w:cs="Times New Roman"/>
                      <w:sz w:val="26"/>
                      <w:szCs w:val="26"/>
                    </w:rPr>
                  </w:pPr>
                </w:p>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12</w:t>
                  </w:r>
                </w:p>
              </w:tc>
              <w:tc>
                <w:tcPr>
                  <w:tcW w:w="1243" w:type="dxa"/>
                </w:tcPr>
                <w:p w:rsidR="007D5018" w:rsidRPr="009C3264" w:rsidRDefault="007D5018" w:rsidP="007D5018">
                  <w:pPr>
                    <w:jc w:val="center"/>
                    <w:rPr>
                      <w:sz w:val="26"/>
                      <w:szCs w:val="26"/>
                    </w:rPr>
                  </w:pPr>
                </w:p>
                <w:p w:rsidR="003F008B" w:rsidRPr="009C3264" w:rsidRDefault="003F008B" w:rsidP="007D5018">
                  <w:pPr>
                    <w:jc w:val="center"/>
                    <w:rPr>
                      <w:sz w:val="26"/>
                      <w:szCs w:val="26"/>
                    </w:rPr>
                  </w:pPr>
                </w:p>
                <w:p w:rsidR="007D5018" w:rsidRPr="009C3264" w:rsidRDefault="007D5018" w:rsidP="007D5018">
                  <w:pPr>
                    <w:jc w:val="center"/>
                    <w:rPr>
                      <w:sz w:val="26"/>
                      <w:szCs w:val="26"/>
                    </w:rPr>
                  </w:pPr>
                  <w:r w:rsidRPr="009C3264">
                    <w:rPr>
                      <w:sz w:val="26"/>
                      <w:szCs w:val="26"/>
                    </w:rPr>
                    <w:t>4</w:t>
                  </w:r>
                </w:p>
              </w:tc>
            </w:tr>
            <w:tr w:rsidR="007D5018" w:rsidRPr="009C3264" w:rsidTr="00626862">
              <w:trPr>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Veselības ministrijas padotības iestāde:</w:t>
                  </w:r>
                </w:p>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lastRenderedPageBreak/>
                    <w:t>Neatliekamās medicīniskās palīdzības dienests</w:t>
                  </w:r>
                </w:p>
              </w:tc>
              <w:tc>
                <w:tcPr>
                  <w:tcW w:w="2127" w:type="dxa"/>
                </w:tcPr>
                <w:p w:rsidR="007D5018" w:rsidRPr="009C3264" w:rsidRDefault="007D5018" w:rsidP="007D5018">
                  <w:pPr>
                    <w:jc w:val="center"/>
                    <w:rPr>
                      <w:rFonts w:ascii="Times New Roman" w:hAnsi="Times New Roman" w:cs="Times New Roman"/>
                      <w:sz w:val="26"/>
                      <w:szCs w:val="26"/>
                    </w:rPr>
                  </w:pPr>
                </w:p>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108</w:t>
                  </w:r>
                </w:p>
              </w:tc>
              <w:tc>
                <w:tcPr>
                  <w:tcW w:w="1243" w:type="dxa"/>
                </w:tcPr>
                <w:p w:rsidR="007D5018" w:rsidRPr="009C3264" w:rsidRDefault="007D5018" w:rsidP="007D5018">
                  <w:pPr>
                    <w:jc w:val="center"/>
                    <w:rPr>
                      <w:rFonts w:ascii="Times New Roman" w:hAnsi="Times New Roman" w:cs="Times New Roman"/>
                      <w:sz w:val="26"/>
                      <w:szCs w:val="26"/>
                    </w:rPr>
                  </w:pPr>
                </w:p>
                <w:p w:rsidR="007D5018" w:rsidRPr="009C3264" w:rsidRDefault="00883439" w:rsidP="007D5018">
                  <w:pPr>
                    <w:jc w:val="center"/>
                    <w:rPr>
                      <w:sz w:val="26"/>
                      <w:szCs w:val="26"/>
                    </w:rPr>
                  </w:pPr>
                  <w:r w:rsidRPr="009C3264">
                    <w:rPr>
                      <w:rFonts w:ascii="Times New Roman" w:hAnsi="Times New Roman" w:cs="Times New Roman"/>
                      <w:sz w:val="26"/>
                      <w:szCs w:val="26"/>
                    </w:rPr>
                    <w:t>Nav izmaksāts</w:t>
                  </w:r>
                </w:p>
              </w:tc>
            </w:tr>
            <w:tr w:rsidR="007D5018" w:rsidRPr="009C3264" w:rsidTr="00626862">
              <w:trPr>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lastRenderedPageBreak/>
                    <w:t>Vides aizsardzības un reģionālās attīstības ministrija</w:t>
                  </w:r>
                </w:p>
              </w:tc>
              <w:tc>
                <w:tcPr>
                  <w:tcW w:w="2127" w:type="dxa"/>
                </w:tcPr>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w:t>
                  </w:r>
                </w:p>
              </w:tc>
              <w:tc>
                <w:tcPr>
                  <w:tcW w:w="1243" w:type="dxa"/>
                </w:tcPr>
                <w:p w:rsidR="007D5018" w:rsidRPr="009C3264" w:rsidRDefault="00883439" w:rsidP="007D5018">
                  <w:pPr>
                    <w:jc w:val="center"/>
                    <w:rPr>
                      <w:sz w:val="26"/>
                      <w:szCs w:val="26"/>
                    </w:rPr>
                  </w:pPr>
                  <w:r w:rsidRPr="009C3264">
                    <w:rPr>
                      <w:sz w:val="26"/>
                      <w:szCs w:val="26"/>
                    </w:rPr>
                    <w:t>-</w:t>
                  </w:r>
                </w:p>
              </w:tc>
            </w:tr>
            <w:tr w:rsidR="007D5018" w:rsidRPr="009C3264" w:rsidTr="00626862">
              <w:trPr>
                <w:trHeight w:val="432"/>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Zemkopības ministrijas padotības iestādes:</w:t>
                  </w:r>
                </w:p>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 xml:space="preserve">Valsts meža dienests </w:t>
                  </w:r>
                </w:p>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Pārtikas veterinārais dienests</w:t>
                  </w:r>
                </w:p>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Lauku atbalsta dienests</w:t>
                  </w:r>
                </w:p>
              </w:tc>
              <w:tc>
                <w:tcPr>
                  <w:tcW w:w="2127" w:type="dxa"/>
                </w:tcPr>
                <w:p w:rsidR="007D5018" w:rsidRPr="009C3264" w:rsidRDefault="007D5018" w:rsidP="007D5018">
                  <w:pPr>
                    <w:jc w:val="center"/>
                    <w:rPr>
                      <w:rFonts w:ascii="Times New Roman" w:hAnsi="Times New Roman" w:cs="Times New Roman"/>
                      <w:sz w:val="26"/>
                      <w:szCs w:val="26"/>
                    </w:rPr>
                  </w:pPr>
                </w:p>
                <w:p w:rsidR="003F008B" w:rsidRPr="009C3264" w:rsidRDefault="003F008B" w:rsidP="007D5018">
                  <w:pPr>
                    <w:jc w:val="center"/>
                    <w:rPr>
                      <w:rFonts w:ascii="Times New Roman" w:hAnsi="Times New Roman" w:cs="Times New Roman"/>
                      <w:sz w:val="26"/>
                      <w:szCs w:val="26"/>
                    </w:rPr>
                  </w:pPr>
                </w:p>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3</w:t>
                  </w:r>
                </w:p>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1</w:t>
                  </w:r>
                </w:p>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2</w:t>
                  </w:r>
                </w:p>
              </w:tc>
              <w:tc>
                <w:tcPr>
                  <w:tcW w:w="1243" w:type="dxa"/>
                </w:tcPr>
                <w:p w:rsidR="007D5018" w:rsidRPr="009C3264" w:rsidRDefault="007D5018" w:rsidP="007D5018">
                  <w:pPr>
                    <w:jc w:val="center"/>
                    <w:rPr>
                      <w:sz w:val="26"/>
                      <w:szCs w:val="26"/>
                    </w:rPr>
                  </w:pPr>
                </w:p>
                <w:p w:rsidR="00883439" w:rsidRPr="009C3264" w:rsidRDefault="00883439" w:rsidP="007D5018">
                  <w:pPr>
                    <w:jc w:val="center"/>
                    <w:rPr>
                      <w:rFonts w:ascii="Times New Roman" w:hAnsi="Times New Roman" w:cs="Times New Roman"/>
                      <w:sz w:val="26"/>
                      <w:szCs w:val="26"/>
                    </w:rPr>
                  </w:pPr>
                  <w:r w:rsidRPr="009C3264">
                    <w:rPr>
                      <w:rFonts w:ascii="Times New Roman" w:hAnsi="Times New Roman" w:cs="Times New Roman"/>
                      <w:sz w:val="26"/>
                      <w:szCs w:val="26"/>
                    </w:rPr>
                    <w:t xml:space="preserve">Nav </w:t>
                  </w:r>
                  <w:r w:rsidR="00373A47" w:rsidRPr="009C3264">
                    <w:rPr>
                      <w:rFonts w:ascii="Times New Roman" w:hAnsi="Times New Roman" w:cs="Times New Roman"/>
                      <w:sz w:val="26"/>
                      <w:szCs w:val="26"/>
                    </w:rPr>
                    <w:t>izmaksāts</w:t>
                  </w:r>
                </w:p>
              </w:tc>
            </w:tr>
            <w:tr w:rsidR="007D5018" w:rsidRPr="009C3264" w:rsidTr="00626862">
              <w:trPr>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Korupcijas novēršanas un apkarošanas birojs</w:t>
                  </w:r>
                </w:p>
              </w:tc>
              <w:tc>
                <w:tcPr>
                  <w:tcW w:w="2127" w:type="dxa"/>
                </w:tcPr>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w:t>
                  </w:r>
                </w:p>
              </w:tc>
              <w:tc>
                <w:tcPr>
                  <w:tcW w:w="1243" w:type="dxa"/>
                </w:tcPr>
                <w:p w:rsidR="007D5018" w:rsidRPr="009C3264" w:rsidRDefault="00883439" w:rsidP="007D5018">
                  <w:pPr>
                    <w:jc w:val="center"/>
                    <w:rPr>
                      <w:sz w:val="26"/>
                      <w:szCs w:val="26"/>
                    </w:rPr>
                  </w:pPr>
                  <w:r w:rsidRPr="009C3264">
                    <w:rPr>
                      <w:sz w:val="26"/>
                      <w:szCs w:val="26"/>
                    </w:rPr>
                    <w:t>-</w:t>
                  </w:r>
                </w:p>
              </w:tc>
            </w:tr>
            <w:tr w:rsidR="007D5018" w:rsidRPr="009C3264" w:rsidTr="00626862">
              <w:trPr>
                <w:jc w:val="center"/>
              </w:trPr>
              <w:tc>
                <w:tcPr>
                  <w:tcW w:w="3558" w:type="dxa"/>
                </w:tcPr>
                <w:p w:rsidR="007D5018" w:rsidRPr="009C3264" w:rsidRDefault="007D5018" w:rsidP="007D5018">
                  <w:pPr>
                    <w:rPr>
                      <w:rFonts w:ascii="Times New Roman" w:hAnsi="Times New Roman" w:cs="Times New Roman"/>
                      <w:sz w:val="26"/>
                      <w:szCs w:val="26"/>
                    </w:rPr>
                  </w:pPr>
                  <w:r w:rsidRPr="009C3264">
                    <w:rPr>
                      <w:rFonts w:ascii="Times New Roman" w:hAnsi="Times New Roman" w:cs="Times New Roman"/>
                      <w:sz w:val="26"/>
                      <w:szCs w:val="26"/>
                    </w:rPr>
                    <w:t>Kopā</w:t>
                  </w:r>
                </w:p>
              </w:tc>
              <w:tc>
                <w:tcPr>
                  <w:tcW w:w="2127" w:type="dxa"/>
                </w:tcPr>
                <w:p w:rsidR="007D5018" w:rsidRPr="009C3264" w:rsidRDefault="007D5018" w:rsidP="007D5018">
                  <w:pPr>
                    <w:jc w:val="center"/>
                    <w:rPr>
                      <w:rFonts w:ascii="Times New Roman" w:hAnsi="Times New Roman" w:cs="Times New Roman"/>
                      <w:sz w:val="26"/>
                      <w:szCs w:val="26"/>
                    </w:rPr>
                  </w:pPr>
                  <w:r w:rsidRPr="009C3264">
                    <w:rPr>
                      <w:rFonts w:ascii="Times New Roman" w:hAnsi="Times New Roman" w:cs="Times New Roman"/>
                      <w:sz w:val="26"/>
                      <w:szCs w:val="26"/>
                    </w:rPr>
                    <w:t>336</w:t>
                  </w:r>
                </w:p>
              </w:tc>
              <w:tc>
                <w:tcPr>
                  <w:tcW w:w="1243" w:type="dxa"/>
                </w:tcPr>
                <w:p w:rsidR="007D5018" w:rsidRPr="009C3264" w:rsidRDefault="007D5018" w:rsidP="007D5018">
                  <w:pPr>
                    <w:jc w:val="center"/>
                    <w:rPr>
                      <w:sz w:val="26"/>
                      <w:szCs w:val="26"/>
                    </w:rPr>
                  </w:pPr>
                </w:p>
              </w:tc>
            </w:tr>
          </w:tbl>
          <w:p w:rsidR="00FA31B4" w:rsidRPr="009C3264" w:rsidRDefault="00504EF9" w:rsidP="00E45015">
            <w:pPr>
              <w:pStyle w:val="NormalWeb"/>
              <w:spacing w:before="0" w:after="0"/>
              <w:jc w:val="both"/>
              <w:rPr>
                <w:sz w:val="26"/>
                <w:szCs w:val="26"/>
              </w:rPr>
            </w:pPr>
            <w:r w:rsidRPr="009C3264">
              <w:rPr>
                <w:sz w:val="26"/>
                <w:szCs w:val="26"/>
              </w:rPr>
              <w:t xml:space="preserve">Papildus finanšu līdzekļi </w:t>
            </w:r>
            <w:proofErr w:type="spellStart"/>
            <w:r w:rsidR="00A54562" w:rsidRPr="009C3264">
              <w:rPr>
                <w:sz w:val="26"/>
                <w:szCs w:val="26"/>
              </w:rPr>
              <w:t>Iekšlietu</w:t>
            </w:r>
            <w:proofErr w:type="spellEnd"/>
            <w:r w:rsidR="00A54562" w:rsidRPr="009C3264">
              <w:rPr>
                <w:sz w:val="26"/>
                <w:szCs w:val="26"/>
              </w:rPr>
              <w:t xml:space="preserve"> ministrijas </w:t>
            </w:r>
            <w:r w:rsidR="003C33B2" w:rsidRPr="009C3264">
              <w:rPr>
                <w:sz w:val="26"/>
                <w:szCs w:val="26"/>
              </w:rPr>
              <w:t>CMEK</w:t>
            </w:r>
            <w:r w:rsidRPr="009C3264">
              <w:rPr>
                <w:sz w:val="26"/>
                <w:szCs w:val="26"/>
              </w:rPr>
              <w:t xml:space="preserve"> šim mērķim nav nepieciešami.</w:t>
            </w:r>
            <w:r w:rsidR="001F00D9" w:rsidRPr="009C3264">
              <w:rPr>
                <w:sz w:val="26"/>
                <w:szCs w:val="26"/>
              </w:rPr>
              <w:t xml:space="preserve"> </w:t>
            </w:r>
          </w:p>
          <w:p w:rsidR="00504EF9" w:rsidRPr="009C3264" w:rsidRDefault="000C02E2" w:rsidP="009C3264">
            <w:pPr>
              <w:pStyle w:val="NormalWeb"/>
              <w:spacing w:before="0" w:after="0"/>
              <w:jc w:val="both"/>
              <w:rPr>
                <w:sz w:val="26"/>
                <w:szCs w:val="26"/>
              </w:rPr>
            </w:pPr>
            <w:r w:rsidRPr="009C3264">
              <w:rPr>
                <w:sz w:val="26"/>
                <w:szCs w:val="26"/>
              </w:rPr>
              <w:t xml:space="preserve">Saskaņā ar atlīdzības </w:t>
            </w:r>
            <w:r w:rsidR="009C3264" w:rsidRPr="009C3264">
              <w:rPr>
                <w:sz w:val="26"/>
                <w:szCs w:val="26"/>
              </w:rPr>
              <w:t xml:space="preserve">likuma 37.pantu </w:t>
            </w:r>
            <w:r w:rsidRPr="009C3264">
              <w:rPr>
                <w:sz w:val="26"/>
                <w:szCs w:val="26"/>
              </w:rPr>
              <w:t xml:space="preserve">valsts vai pašvaldības institūcijai ir pienākums obligāti </w:t>
            </w:r>
            <w:r w:rsidR="001D364B" w:rsidRPr="009C3264">
              <w:rPr>
                <w:sz w:val="26"/>
                <w:szCs w:val="26"/>
              </w:rPr>
              <w:t>apdrošināt amatpersonu veselību</w:t>
            </w:r>
            <w:r w:rsidRPr="009C3264">
              <w:rPr>
                <w:sz w:val="26"/>
                <w:szCs w:val="26"/>
              </w:rPr>
              <w:t xml:space="preserve"> vai apdrošināt pret nelaimes gadījumiem, ja šo amatpersonu (darbinieku) amata (darba, dienesta) pienākumu izpilde ir saistīt</w:t>
            </w:r>
            <w:r w:rsidR="00940995" w:rsidRPr="009C3264">
              <w:rPr>
                <w:sz w:val="26"/>
                <w:szCs w:val="26"/>
              </w:rPr>
              <w:t>a</w:t>
            </w:r>
            <w:r w:rsidRPr="009C3264">
              <w:rPr>
                <w:sz w:val="26"/>
                <w:szCs w:val="26"/>
              </w:rPr>
              <w:t xml:space="preserve"> ar reālu risku dzīvībai vai veselībai. Savukārt </w:t>
            </w:r>
            <w:proofErr w:type="spellStart"/>
            <w:r w:rsidRPr="009C3264">
              <w:rPr>
                <w:sz w:val="26"/>
                <w:szCs w:val="26"/>
              </w:rPr>
              <w:t>Iekšlietu</w:t>
            </w:r>
            <w:proofErr w:type="spellEnd"/>
            <w:r w:rsidRPr="009C3264">
              <w:rPr>
                <w:sz w:val="26"/>
                <w:szCs w:val="26"/>
              </w:rPr>
              <w:t xml:space="preserve"> ministrijas sistēmas iestāžu un Ieslodzījuma vietu pārvaldes amatpersonām ar speciālajām dienesta pakāpēm, valsts drošības iestāžu amatpersonām (darbiniekiem), neatliekamās medicīniskās palīdzības dienesta darbiniekiem un karavīriem ir nodrošināta apmaksāta veselibas aprūpe. </w:t>
            </w:r>
            <w:r w:rsidR="00543E69" w:rsidRPr="009C3264">
              <w:rPr>
                <w:sz w:val="26"/>
                <w:szCs w:val="26"/>
              </w:rPr>
              <w:t>Līdz ar to a</w:t>
            </w:r>
            <w:r w:rsidR="001F00D9" w:rsidRPr="009C3264">
              <w:rPr>
                <w:sz w:val="26"/>
                <w:szCs w:val="26"/>
              </w:rPr>
              <w:t xml:space="preserve">ttiecīgās </w:t>
            </w:r>
            <w:r w:rsidR="00E45015" w:rsidRPr="009C3264">
              <w:rPr>
                <w:sz w:val="26"/>
                <w:szCs w:val="26"/>
              </w:rPr>
              <w:t>institūcijas</w:t>
            </w:r>
            <w:r w:rsidR="001F00D9" w:rsidRPr="009C3264">
              <w:rPr>
                <w:sz w:val="26"/>
                <w:szCs w:val="26"/>
              </w:rPr>
              <w:t xml:space="preserve"> se</w:t>
            </w:r>
            <w:r w:rsidR="00543E69" w:rsidRPr="009C3264">
              <w:rPr>
                <w:sz w:val="26"/>
                <w:szCs w:val="26"/>
              </w:rPr>
              <w:t>dz</w:t>
            </w:r>
            <w:r w:rsidR="001F00D9" w:rsidRPr="009C3264">
              <w:rPr>
                <w:sz w:val="26"/>
                <w:szCs w:val="26"/>
              </w:rPr>
              <w:t xml:space="preserve"> izdevu</w:t>
            </w:r>
            <w:r w:rsidR="009C3264" w:rsidRPr="009C3264">
              <w:rPr>
                <w:sz w:val="26"/>
                <w:szCs w:val="26"/>
              </w:rPr>
              <w:t>mus, kas saistīti ar amatpersonu</w:t>
            </w:r>
            <w:r w:rsidR="001F00D9" w:rsidRPr="009C3264">
              <w:rPr>
                <w:sz w:val="26"/>
                <w:szCs w:val="26"/>
              </w:rPr>
              <w:t xml:space="preserve"> (darbiniek</w:t>
            </w:r>
            <w:r w:rsidR="009C3264" w:rsidRPr="009C3264">
              <w:rPr>
                <w:sz w:val="26"/>
                <w:szCs w:val="26"/>
              </w:rPr>
              <w:t>u</w:t>
            </w:r>
            <w:r w:rsidR="001F00D9" w:rsidRPr="009C3264">
              <w:rPr>
                <w:sz w:val="26"/>
                <w:szCs w:val="26"/>
              </w:rPr>
              <w:t xml:space="preserve">) veselības </w:t>
            </w:r>
            <w:r w:rsidR="00543E69" w:rsidRPr="009C3264">
              <w:rPr>
                <w:sz w:val="26"/>
                <w:szCs w:val="26"/>
              </w:rPr>
              <w:t xml:space="preserve">apdrošināšanas polišu iegādi vai nodrošina apmaksātu veselības aprūpi, </w:t>
            </w:r>
            <w:r w:rsidR="009C3264" w:rsidRPr="009C3264">
              <w:rPr>
                <w:sz w:val="26"/>
                <w:szCs w:val="26"/>
              </w:rPr>
              <w:t>tā rezultātā</w:t>
            </w:r>
            <w:r w:rsidR="00543E69" w:rsidRPr="009C3264">
              <w:rPr>
                <w:sz w:val="26"/>
                <w:szCs w:val="26"/>
              </w:rPr>
              <w:t xml:space="preserve"> veselības </w:t>
            </w:r>
            <w:r w:rsidR="001F00D9" w:rsidRPr="009C3264">
              <w:rPr>
                <w:sz w:val="26"/>
                <w:szCs w:val="26"/>
              </w:rPr>
              <w:t>bojājuma smaguma pakāpes noteikšan</w:t>
            </w:r>
            <w:r w:rsidR="00543E69" w:rsidRPr="009C3264">
              <w:rPr>
                <w:sz w:val="26"/>
                <w:szCs w:val="26"/>
              </w:rPr>
              <w:t>a tiek nodrošināta</w:t>
            </w:r>
            <w:r w:rsidR="001F00D9" w:rsidRPr="009C3264">
              <w:rPr>
                <w:sz w:val="26"/>
                <w:szCs w:val="26"/>
              </w:rPr>
              <w:t xml:space="preserve"> </w:t>
            </w:r>
            <w:r w:rsidR="00543E69" w:rsidRPr="009C3264">
              <w:rPr>
                <w:sz w:val="26"/>
                <w:szCs w:val="26"/>
              </w:rPr>
              <w:t>institūcijām</w:t>
            </w:r>
            <w:r w:rsidR="001F00D9" w:rsidRPr="009C3264">
              <w:rPr>
                <w:sz w:val="26"/>
                <w:szCs w:val="26"/>
              </w:rPr>
              <w:t xml:space="preserve"> piešķirto valsts budžeta līdzekļu ietvaros.</w:t>
            </w:r>
          </w:p>
        </w:tc>
      </w:tr>
    </w:tbl>
    <w:p w:rsidR="00504EF9" w:rsidRPr="005D5A7E" w:rsidRDefault="00504EF9" w:rsidP="00504EF9">
      <w:pPr>
        <w:pStyle w:val="NormalWeb"/>
        <w:spacing w:before="0" w:after="0"/>
      </w:pPr>
    </w:p>
    <w:tbl>
      <w:tblPr>
        <w:tblpPr w:leftFromText="180" w:rightFromText="180" w:vertAnchor="text" w:horzAnchor="margin" w:tblpX="-132" w:tblpY="179"/>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116"/>
        <w:gridCol w:w="6814"/>
      </w:tblGrid>
      <w:tr w:rsidR="00504EF9" w:rsidRPr="009C3264" w:rsidTr="0029409C">
        <w:tc>
          <w:tcPr>
            <w:tcW w:w="9361" w:type="dxa"/>
            <w:gridSpan w:val="3"/>
            <w:vAlign w:val="center"/>
          </w:tcPr>
          <w:p w:rsidR="00504EF9" w:rsidRPr="009C3264" w:rsidRDefault="00504EF9" w:rsidP="0029409C">
            <w:pPr>
              <w:pStyle w:val="naisnod"/>
              <w:spacing w:before="0" w:after="0"/>
              <w:rPr>
                <w:sz w:val="26"/>
                <w:szCs w:val="26"/>
              </w:rPr>
            </w:pPr>
            <w:r w:rsidRPr="009C3264">
              <w:rPr>
                <w:sz w:val="26"/>
                <w:szCs w:val="26"/>
              </w:rPr>
              <w:t>II. Tiesību akta projekta ietekme uz sabiedrību</w:t>
            </w:r>
          </w:p>
          <w:p w:rsidR="00143790" w:rsidRPr="009C3264" w:rsidRDefault="00143790" w:rsidP="0029409C">
            <w:pPr>
              <w:pStyle w:val="naisnod"/>
              <w:spacing w:before="0" w:after="0"/>
              <w:rPr>
                <w:b w:val="0"/>
                <w:sz w:val="26"/>
                <w:szCs w:val="26"/>
              </w:rPr>
            </w:pPr>
          </w:p>
        </w:tc>
      </w:tr>
      <w:tr w:rsidR="00504EF9" w:rsidRPr="009C3264" w:rsidTr="00626862">
        <w:trPr>
          <w:trHeight w:val="341"/>
        </w:trPr>
        <w:tc>
          <w:tcPr>
            <w:tcW w:w="431" w:type="dxa"/>
          </w:tcPr>
          <w:p w:rsidR="00504EF9" w:rsidRPr="009C3264" w:rsidRDefault="00504EF9" w:rsidP="0029409C">
            <w:pPr>
              <w:pStyle w:val="naiskr"/>
              <w:spacing w:before="0" w:beforeAutospacing="0" w:after="0" w:afterAutospacing="0"/>
              <w:jc w:val="center"/>
              <w:rPr>
                <w:sz w:val="26"/>
                <w:szCs w:val="26"/>
              </w:rPr>
            </w:pPr>
            <w:r w:rsidRPr="009C3264">
              <w:rPr>
                <w:sz w:val="26"/>
                <w:szCs w:val="26"/>
              </w:rPr>
              <w:t>1.</w:t>
            </w:r>
          </w:p>
        </w:tc>
        <w:tc>
          <w:tcPr>
            <w:tcW w:w="2116" w:type="dxa"/>
          </w:tcPr>
          <w:p w:rsidR="00504EF9" w:rsidRPr="009C3264" w:rsidRDefault="00504EF9" w:rsidP="0029409C">
            <w:pPr>
              <w:pStyle w:val="naiskr"/>
              <w:spacing w:before="0" w:beforeAutospacing="0" w:after="0" w:afterAutospacing="0"/>
              <w:rPr>
                <w:sz w:val="26"/>
                <w:szCs w:val="26"/>
              </w:rPr>
            </w:pPr>
            <w:r w:rsidRPr="009C3264">
              <w:rPr>
                <w:sz w:val="26"/>
                <w:szCs w:val="26"/>
              </w:rPr>
              <w:t xml:space="preserve">Sabiedrības </w:t>
            </w:r>
            <w:proofErr w:type="spellStart"/>
            <w:r w:rsidRPr="009C3264">
              <w:rPr>
                <w:sz w:val="26"/>
                <w:szCs w:val="26"/>
              </w:rPr>
              <w:t>mērķgrupa</w:t>
            </w:r>
            <w:proofErr w:type="spellEnd"/>
          </w:p>
        </w:tc>
        <w:tc>
          <w:tcPr>
            <w:tcW w:w="6814" w:type="dxa"/>
          </w:tcPr>
          <w:p w:rsidR="00504EF9" w:rsidRPr="009C3264" w:rsidRDefault="00504EF9" w:rsidP="0029409C">
            <w:pPr>
              <w:pStyle w:val="naiskr"/>
              <w:spacing w:before="0" w:beforeAutospacing="0" w:after="0" w:afterAutospacing="0"/>
              <w:jc w:val="both"/>
              <w:rPr>
                <w:sz w:val="26"/>
                <w:szCs w:val="26"/>
              </w:rPr>
            </w:pPr>
            <w:r w:rsidRPr="009C3264">
              <w:rPr>
                <w:sz w:val="26"/>
                <w:szCs w:val="26"/>
              </w:rPr>
              <w:t>Valsts un pašvaldību institūciju amatpersonas un darbinieki.</w:t>
            </w:r>
          </w:p>
        </w:tc>
      </w:tr>
      <w:tr w:rsidR="00504EF9" w:rsidRPr="009C3264" w:rsidTr="00626862">
        <w:trPr>
          <w:trHeight w:val="341"/>
        </w:trPr>
        <w:tc>
          <w:tcPr>
            <w:tcW w:w="431" w:type="dxa"/>
          </w:tcPr>
          <w:p w:rsidR="00504EF9" w:rsidRPr="009C3264" w:rsidRDefault="00504EF9" w:rsidP="0029409C">
            <w:pPr>
              <w:pStyle w:val="naiskr"/>
              <w:spacing w:before="0" w:beforeAutospacing="0" w:after="0" w:afterAutospacing="0"/>
              <w:jc w:val="center"/>
              <w:rPr>
                <w:sz w:val="26"/>
                <w:szCs w:val="26"/>
              </w:rPr>
            </w:pPr>
            <w:r w:rsidRPr="009C3264">
              <w:rPr>
                <w:sz w:val="26"/>
                <w:szCs w:val="26"/>
              </w:rPr>
              <w:t>2.</w:t>
            </w:r>
          </w:p>
        </w:tc>
        <w:tc>
          <w:tcPr>
            <w:tcW w:w="2116" w:type="dxa"/>
          </w:tcPr>
          <w:p w:rsidR="00504EF9" w:rsidRPr="009C3264" w:rsidRDefault="00504EF9" w:rsidP="0029409C">
            <w:pPr>
              <w:pStyle w:val="naiskr"/>
              <w:spacing w:before="0" w:beforeAutospacing="0" w:after="0" w:afterAutospacing="0"/>
              <w:rPr>
                <w:sz w:val="26"/>
                <w:szCs w:val="26"/>
              </w:rPr>
            </w:pPr>
            <w:r w:rsidRPr="009C3264">
              <w:rPr>
                <w:sz w:val="26"/>
                <w:szCs w:val="26"/>
              </w:rPr>
              <w:t xml:space="preserve">Citas sabiedrības grupas (bez </w:t>
            </w:r>
            <w:proofErr w:type="spellStart"/>
            <w:r w:rsidRPr="009C3264">
              <w:rPr>
                <w:sz w:val="26"/>
                <w:szCs w:val="26"/>
              </w:rPr>
              <w:t>mērķgrupas</w:t>
            </w:r>
            <w:proofErr w:type="spellEnd"/>
            <w:r w:rsidRPr="009C3264">
              <w:rPr>
                <w:sz w:val="26"/>
                <w:szCs w:val="26"/>
              </w:rPr>
              <w:t>), kuras tiesiskais regulējums arī ietekmē vai varētu ietekmēt</w:t>
            </w:r>
          </w:p>
        </w:tc>
        <w:tc>
          <w:tcPr>
            <w:tcW w:w="6814" w:type="dxa"/>
          </w:tcPr>
          <w:p w:rsidR="00504EF9" w:rsidRPr="009C3264" w:rsidRDefault="00504EF9" w:rsidP="0029409C">
            <w:pPr>
              <w:pStyle w:val="naiskr"/>
              <w:spacing w:before="0" w:beforeAutospacing="0" w:after="0" w:afterAutospacing="0"/>
              <w:rPr>
                <w:sz w:val="26"/>
                <w:szCs w:val="26"/>
              </w:rPr>
            </w:pPr>
            <w:r w:rsidRPr="009C3264">
              <w:rPr>
                <w:sz w:val="26"/>
                <w:szCs w:val="26"/>
              </w:rPr>
              <w:t>Projekts šo jomu neskar</w:t>
            </w:r>
          </w:p>
        </w:tc>
      </w:tr>
      <w:tr w:rsidR="00504EF9" w:rsidRPr="009C3264" w:rsidTr="00626862">
        <w:trPr>
          <w:trHeight w:val="341"/>
        </w:trPr>
        <w:tc>
          <w:tcPr>
            <w:tcW w:w="431" w:type="dxa"/>
          </w:tcPr>
          <w:p w:rsidR="00504EF9" w:rsidRPr="009C3264" w:rsidRDefault="00504EF9" w:rsidP="0029409C">
            <w:pPr>
              <w:pStyle w:val="naiskr"/>
              <w:spacing w:before="0" w:beforeAutospacing="0" w:after="0" w:afterAutospacing="0"/>
              <w:jc w:val="center"/>
              <w:rPr>
                <w:sz w:val="26"/>
                <w:szCs w:val="26"/>
              </w:rPr>
            </w:pPr>
            <w:r w:rsidRPr="009C3264">
              <w:rPr>
                <w:sz w:val="26"/>
                <w:szCs w:val="26"/>
              </w:rPr>
              <w:t>3.</w:t>
            </w:r>
          </w:p>
        </w:tc>
        <w:tc>
          <w:tcPr>
            <w:tcW w:w="2116" w:type="dxa"/>
          </w:tcPr>
          <w:p w:rsidR="00504EF9" w:rsidRPr="009C3264" w:rsidRDefault="00504EF9" w:rsidP="0029409C">
            <w:pPr>
              <w:pStyle w:val="naiskr"/>
              <w:spacing w:before="0" w:beforeAutospacing="0" w:after="0" w:afterAutospacing="0"/>
              <w:rPr>
                <w:sz w:val="26"/>
                <w:szCs w:val="26"/>
              </w:rPr>
            </w:pPr>
            <w:r w:rsidRPr="009C3264">
              <w:rPr>
                <w:sz w:val="26"/>
                <w:szCs w:val="26"/>
              </w:rPr>
              <w:t>Tiesiskā regulējuma finansiālā ietekme</w:t>
            </w:r>
          </w:p>
        </w:tc>
        <w:tc>
          <w:tcPr>
            <w:tcW w:w="6814" w:type="dxa"/>
          </w:tcPr>
          <w:p w:rsidR="00504EF9" w:rsidRPr="009C3264" w:rsidRDefault="009C3264" w:rsidP="00EE6C2C">
            <w:pPr>
              <w:pStyle w:val="naiskr"/>
              <w:spacing w:before="0" w:beforeAutospacing="0" w:after="0" w:afterAutospacing="0"/>
              <w:jc w:val="both"/>
              <w:rPr>
                <w:sz w:val="26"/>
                <w:szCs w:val="26"/>
              </w:rPr>
            </w:pPr>
            <w:r w:rsidRPr="009C3264">
              <w:rPr>
                <w:sz w:val="26"/>
                <w:szCs w:val="26"/>
              </w:rPr>
              <w:t>Projekts šo jomu neskar</w:t>
            </w:r>
          </w:p>
        </w:tc>
      </w:tr>
      <w:tr w:rsidR="00504EF9" w:rsidRPr="009C3264" w:rsidTr="00626862">
        <w:trPr>
          <w:trHeight w:val="341"/>
        </w:trPr>
        <w:tc>
          <w:tcPr>
            <w:tcW w:w="431" w:type="dxa"/>
          </w:tcPr>
          <w:p w:rsidR="00504EF9" w:rsidRPr="009C3264" w:rsidRDefault="00504EF9" w:rsidP="0029409C">
            <w:pPr>
              <w:pStyle w:val="naiskr"/>
              <w:spacing w:before="0" w:beforeAutospacing="0" w:after="0" w:afterAutospacing="0"/>
              <w:jc w:val="center"/>
              <w:rPr>
                <w:sz w:val="26"/>
                <w:szCs w:val="26"/>
              </w:rPr>
            </w:pPr>
            <w:r w:rsidRPr="009C3264">
              <w:rPr>
                <w:sz w:val="26"/>
                <w:szCs w:val="26"/>
              </w:rPr>
              <w:lastRenderedPageBreak/>
              <w:t>4.</w:t>
            </w:r>
          </w:p>
        </w:tc>
        <w:tc>
          <w:tcPr>
            <w:tcW w:w="2116" w:type="dxa"/>
          </w:tcPr>
          <w:p w:rsidR="00504EF9" w:rsidRPr="009C3264" w:rsidRDefault="00504EF9" w:rsidP="0029409C">
            <w:pPr>
              <w:pStyle w:val="naiskr"/>
              <w:spacing w:before="0" w:beforeAutospacing="0" w:after="0" w:afterAutospacing="0"/>
              <w:rPr>
                <w:sz w:val="26"/>
                <w:szCs w:val="26"/>
              </w:rPr>
            </w:pPr>
            <w:r w:rsidRPr="009C3264">
              <w:rPr>
                <w:sz w:val="26"/>
                <w:szCs w:val="26"/>
              </w:rPr>
              <w:t>Tiesiskā regulējuma nefinansiālā ietekme</w:t>
            </w:r>
          </w:p>
        </w:tc>
        <w:tc>
          <w:tcPr>
            <w:tcW w:w="6814" w:type="dxa"/>
          </w:tcPr>
          <w:p w:rsidR="00504EF9" w:rsidRPr="009C3264" w:rsidRDefault="00504EF9" w:rsidP="0029409C">
            <w:pPr>
              <w:pStyle w:val="naiskr"/>
              <w:spacing w:before="0" w:beforeAutospacing="0" w:after="0" w:afterAutospacing="0"/>
              <w:rPr>
                <w:sz w:val="26"/>
                <w:szCs w:val="26"/>
              </w:rPr>
            </w:pPr>
            <w:r w:rsidRPr="009C3264">
              <w:rPr>
                <w:sz w:val="26"/>
                <w:szCs w:val="26"/>
              </w:rPr>
              <w:t>Projekts šo jomu neskar</w:t>
            </w:r>
          </w:p>
        </w:tc>
      </w:tr>
      <w:tr w:rsidR="00504EF9" w:rsidRPr="009C3264" w:rsidTr="00626862">
        <w:trPr>
          <w:trHeight w:val="341"/>
        </w:trPr>
        <w:tc>
          <w:tcPr>
            <w:tcW w:w="431" w:type="dxa"/>
          </w:tcPr>
          <w:p w:rsidR="00504EF9" w:rsidRPr="009C3264" w:rsidRDefault="00504EF9" w:rsidP="0029409C">
            <w:pPr>
              <w:pStyle w:val="naiskr"/>
              <w:spacing w:before="0" w:beforeAutospacing="0" w:after="0" w:afterAutospacing="0"/>
              <w:jc w:val="center"/>
              <w:rPr>
                <w:sz w:val="26"/>
                <w:szCs w:val="26"/>
              </w:rPr>
            </w:pPr>
            <w:r w:rsidRPr="009C3264">
              <w:rPr>
                <w:sz w:val="26"/>
                <w:szCs w:val="26"/>
              </w:rPr>
              <w:t>5.</w:t>
            </w:r>
          </w:p>
        </w:tc>
        <w:tc>
          <w:tcPr>
            <w:tcW w:w="2116" w:type="dxa"/>
          </w:tcPr>
          <w:p w:rsidR="00504EF9" w:rsidRPr="009C3264" w:rsidRDefault="00504EF9" w:rsidP="0029409C">
            <w:pPr>
              <w:pStyle w:val="naiskr"/>
              <w:spacing w:before="0" w:beforeAutospacing="0" w:after="0" w:afterAutospacing="0"/>
              <w:rPr>
                <w:sz w:val="26"/>
                <w:szCs w:val="26"/>
              </w:rPr>
            </w:pPr>
            <w:r w:rsidRPr="009C3264">
              <w:rPr>
                <w:sz w:val="26"/>
                <w:szCs w:val="26"/>
              </w:rPr>
              <w:t>Administratīvās procedūras raksturojums</w:t>
            </w:r>
          </w:p>
        </w:tc>
        <w:tc>
          <w:tcPr>
            <w:tcW w:w="6814" w:type="dxa"/>
          </w:tcPr>
          <w:p w:rsidR="00504EF9" w:rsidRPr="009C3264" w:rsidRDefault="00504EF9" w:rsidP="0029409C">
            <w:pPr>
              <w:pStyle w:val="naiskr"/>
              <w:spacing w:before="0" w:beforeAutospacing="0" w:after="0" w:afterAutospacing="0"/>
              <w:rPr>
                <w:sz w:val="26"/>
                <w:szCs w:val="26"/>
              </w:rPr>
            </w:pPr>
            <w:r w:rsidRPr="009C3264">
              <w:rPr>
                <w:sz w:val="26"/>
                <w:szCs w:val="26"/>
              </w:rPr>
              <w:t>Projekts šo jomu neskar</w:t>
            </w:r>
          </w:p>
        </w:tc>
      </w:tr>
      <w:tr w:rsidR="00504EF9" w:rsidRPr="009C3264" w:rsidTr="00626862">
        <w:trPr>
          <w:trHeight w:val="341"/>
        </w:trPr>
        <w:tc>
          <w:tcPr>
            <w:tcW w:w="431" w:type="dxa"/>
          </w:tcPr>
          <w:p w:rsidR="00504EF9" w:rsidRPr="009C3264" w:rsidRDefault="00504EF9" w:rsidP="0029409C">
            <w:pPr>
              <w:pStyle w:val="naiskr"/>
              <w:spacing w:before="0" w:beforeAutospacing="0" w:after="0" w:afterAutospacing="0"/>
              <w:jc w:val="center"/>
              <w:rPr>
                <w:sz w:val="26"/>
                <w:szCs w:val="26"/>
              </w:rPr>
            </w:pPr>
            <w:r w:rsidRPr="009C3264">
              <w:rPr>
                <w:sz w:val="26"/>
                <w:szCs w:val="26"/>
              </w:rPr>
              <w:t>6.</w:t>
            </w:r>
          </w:p>
        </w:tc>
        <w:tc>
          <w:tcPr>
            <w:tcW w:w="2116" w:type="dxa"/>
          </w:tcPr>
          <w:p w:rsidR="00504EF9" w:rsidRPr="009C3264" w:rsidRDefault="00504EF9" w:rsidP="0029409C">
            <w:pPr>
              <w:pStyle w:val="naiskr"/>
              <w:spacing w:before="0" w:beforeAutospacing="0" w:after="0" w:afterAutospacing="0"/>
              <w:rPr>
                <w:sz w:val="26"/>
                <w:szCs w:val="26"/>
              </w:rPr>
            </w:pPr>
            <w:r w:rsidRPr="009C3264">
              <w:rPr>
                <w:sz w:val="26"/>
                <w:szCs w:val="26"/>
              </w:rPr>
              <w:t>Administratīvo izmaksu monetārs novērtējums</w:t>
            </w:r>
          </w:p>
        </w:tc>
        <w:tc>
          <w:tcPr>
            <w:tcW w:w="6814" w:type="dxa"/>
          </w:tcPr>
          <w:p w:rsidR="00504EF9" w:rsidRPr="009C3264" w:rsidRDefault="00504EF9" w:rsidP="0029409C">
            <w:pPr>
              <w:pStyle w:val="naiskr"/>
              <w:spacing w:before="0" w:beforeAutospacing="0" w:after="0" w:afterAutospacing="0"/>
              <w:rPr>
                <w:sz w:val="26"/>
                <w:szCs w:val="26"/>
              </w:rPr>
            </w:pPr>
            <w:r w:rsidRPr="009C3264">
              <w:rPr>
                <w:sz w:val="26"/>
                <w:szCs w:val="26"/>
              </w:rPr>
              <w:t>Projekts šo jomu neskar</w:t>
            </w:r>
          </w:p>
        </w:tc>
      </w:tr>
      <w:tr w:rsidR="00504EF9" w:rsidRPr="009C3264" w:rsidTr="00626862">
        <w:trPr>
          <w:trHeight w:val="341"/>
        </w:trPr>
        <w:tc>
          <w:tcPr>
            <w:tcW w:w="431" w:type="dxa"/>
          </w:tcPr>
          <w:p w:rsidR="00504EF9" w:rsidRPr="009C3264" w:rsidRDefault="00504EF9" w:rsidP="0029409C">
            <w:pPr>
              <w:pStyle w:val="naiskr"/>
              <w:spacing w:before="0" w:beforeAutospacing="0" w:after="0" w:afterAutospacing="0"/>
              <w:jc w:val="center"/>
              <w:rPr>
                <w:sz w:val="26"/>
                <w:szCs w:val="26"/>
              </w:rPr>
            </w:pPr>
            <w:r w:rsidRPr="009C3264">
              <w:rPr>
                <w:sz w:val="26"/>
                <w:szCs w:val="26"/>
              </w:rPr>
              <w:t>7.</w:t>
            </w:r>
          </w:p>
        </w:tc>
        <w:tc>
          <w:tcPr>
            <w:tcW w:w="2116" w:type="dxa"/>
          </w:tcPr>
          <w:p w:rsidR="00504EF9" w:rsidRPr="009C3264" w:rsidRDefault="00504EF9" w:rsidP="0029409C">
            <w:pPr>
              <w:pStyle w:val="naiskr"/>
              <w:spacing w:before="0" w:beforeAutospacing="0" w:after="0" w:afterAutospacing="0"/>
              <w:rPr>
                <w:sz w:val="26"/>
                <w:szCs w:val="26"/>
              </w:rPr>
            </w:pPr>
            <w:r w:rsidRPr="009C3264">
              <w:rPr>
                <w:sz w:val="26"/>
                <w:szCs w:val="26"/>
              </w:rPr>
              <w:t>Cita informācija</w:t>
            </w:r>
          </w:p>
        </w:tc>
        <w:tc>
          <w:tcPr>
            <w:tcW w:w="6814" w:type="dxa"/>
          </w:tcPr>
          <w:p w:rsidR="00504EF9" w:rsidRPr="009C3264" w:rsidRDefault="00504EF9" w:rsidP="0029409C">
            <w:pPr>
              <w:pStyle w:val="naiskr"/>
              <w:spacing w:before="0" w:beforeAutospacing="0" w:after="0" w:afterAutospacing="0"/>
              <w:rPr>
                <w:sz w:val="26"/>
                <w:szCs w:val="26"/>
              </w:rPr>
            </w:pPr>
            <w:r w:rsidRPr="009C3264">
              <w:rPr>
                <w:sz w:val="26"/>
                <w:szCs w:val="26"/>
              </w:rPr>
              <w:t>Nav</w:t>
            </w:r>
          </w:p>
        </w:tc>
      </w:tr>
      <w:tr w:rsidR="00C431F9" w:rsidRPr="009C3264" w:rsidTr="00626862">
        <w:trPr>
          <w:trHeight w:val="341"/>
        </w:trPr>
        <w:tc>
          <w:tcPr>
            <w:tcW w:w="431" w:type="dxa"/>
          </w:tcPr>
          <w:p w:rsidR="00C431F9" w:rsidRPr="009C3264" w:rsidRDefault="00C431F9" w:rsidP="0029409C">
            <w:pPr>
              <w:pStyle w:val="naiskr"/>
              <w:spacing w:before="0" w:beforeAutospacing="0" w:after="0" w:afterAutospacing="0"/>
              <w:jc w:val="center"/>
              <w:rPr>
                <w:sz w:val="26"/>
                <w:szCs w:val="26"/>
              </w:rPr>
            </w:pPr>
          </w:p>
        </w:tc>
        <w:tc>
          <w:tcPr>
            <w:tcW w:w="2116" w:type="dxa"/>
          </w:tcPr>
          <w:p w:rsidR="00C431F9" w:rsidRPr="009C3264" w:rsidRDefault="00C431F9" w:rsidP="0029409C">
            <w:pPr>
              <w:pStyle w:val="naiskr"/>
              <w:spacing w:before="0" w:beforeAutospacing="0" w:after="0" w:afterAutospacing="0"/>
              <w:rPr>
                <w:sz w:val="26"/>
                <w:szCs w:val="26"/>
              </w:rPr>
            </w:pPr>
          </w:p>
        </w:tc>
        <w:tc>
          <w:tcPr>
            <w:tcW w:w="6814" w:type="dxa"/>
          </w:tcPr>
          <w:p w:rsidR="00C431F9" w:rsidRPr="009C3264" w:rsidRDefault="00C431F9" w:rsidP="0029409C">
            <w:pPr>
              <w:pStyle w:val="naiskr"/>
              <w:spacing w:before="0" w:beforeAutospacing="0" w:after="0" w:afterAutospacing="0"/>
              <w:rPr>
                <w:sz w:val="26"/>
                <w:szCs w:val="26"/>
              </w:rPr>
            </w:pPr>
          </w:p>
        </w:tc>
      </w:tr>
    </w:tbl>
    <w:p w:rsidR="00504EF9" w:rsidRPr="009C3264" w:rsidRDefault="00504EF9" w:rsidP="00317E36">
      <w:pPr>
        <w:pStyle w:val="BodyText3"/>
        <w:jc w:val="center"/>
        <w:rPr>
          <w:sz w:val="26"/>
          <w:szCs w:val="26"/>
        </w:rPr>
      </w:pPr>
    </w:p>
    <w:tbl>
      <w:tblPr>
        <w:tblW w:w="93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92"/>
        <w:gridCol w:w="3963"/>
        <w:gridCol w:w="4819"/>
      </w:tblGrid>
      <w:tr w:rsidR="004A2C4A" w:rsidRPr="009C3264" w:rsidTr="00500FA5">
        <w:trPr>
          <w:trHeight w:val="603"/>
        </w:trPr>
        <w:tc>
          <w:tcPr>
            <w:tcW w:w="9374" w:type="dxa"/>
            <w:gridSpan w:val="3"/>
          </w:tcPr>
          <w:p w:rsidR="004A2C4A" w:rsidRPr="009C3264" w:rsidRDefault="004A2C4A" w:rsidP="00504EF9">
            <w:pPr>
              <w:pStyle w:val="NormalWeb"/>
              <w:spacing w:before="0" w:after="0"/>
              <w:rPr>
                <w:b/>
                <w:sz w:val="26"/>
                <w:szCs w:val="26"/>
              </w:rPr>
            </w:pPr>
            <w:r w:rsidRPr="009C3264">
              <w:rPr>
                <w:b/>
                <w:sz w:val="26"/>
                <w:szCs w:val="26"/>
              </w:rPr>
              <w:lastRenderedPageBreak/>
              <w:t>VII. Tiesību akta projekta izpildes nodrošināšana un tās ietekme uz institūcijām</w:t>
            </w:r>
          </w:p>
        </w:tc>
      </w:tr>
      <w:tr w:rsidR="004A2C4A" w:rsidRPr="009C3264" w:rsidTr="00500FA5">
        <w:trPr>
          <w:trHeight w:val="427"/>
        </w:trPr>
        <w:tc>
          <w:tcPr>
            <w:tcW w:w="592" w:type="dxa"/>
          </w:tcPr>
          <w:p w:rsidR="004A2C4A" w:rsidRPr="009C3264" w:rsidRDefault="004A2C4A" w:rsidP="00504EF9">
            <w:pPr>
              <w:pStyle w:val="NormalWeb"/>
              <w:spacing w:before="0" w:after="0"/>
              <w:rPr>
                <w:sz w:val="26"/>
                <w:szCs w:val="26"/>
              </w:rPr>
            </w:pPr>
            <w:r w:rsidRPr="009C3264">
              <w:rPr>
                <w:sz w:val="26"/>
                <w:szCs w:val="26"/>
              </w:rPr>
              <w:t>1.</w:t>
            </w:r>
          </w:p>
        </w:tc>
        <w:tc>
          <w:tcPr>
            <w:tcW w:w="3963" w:type="dxa"/>
          </w:tcPr>
          <w:p w:rsidR="004A2C4A" w:rsidRPr="009C3264" w:rsidRDefault="004A2C4A" w:rsidP="00504EF9">
            <w:pPr>
              <w:pStyle w:val="NormalWeb"/>
              <w:spacing w:before="0" w:after="0"/>
              <w:rPr>
                <w:sz w:val="26"/>
                <w:szCs w:val="26"/>
              </w:rPr>
            </w:pPr>
            <w:r w:rsidRPr="009C3264">
              <w:rPr>
                <w:sz w:val="26"/>
                <w:szCs w:val="26"/>
              </w:rPr>
              <w:t xml:space="preserve">Projekta izpildē iesaistītās institūcijas </w:t>
            </w:r>
          </w:p>
        </w:tc>
        <w:tc>
          <w:tcPr>
            <w:tcW w:w="4819" w:type="dxa"/>
          </w:tcPr>
          <w:p w:rsidR="004A2C4A" w:rsidRPr="009C3264" w:rsidRDefault="004A2C4A" w:rsidP="00966822">
            <w:pPr>
              <w:pStyle w:val="NormalWeb"/>
              <w:spacing w:before="0" w:after="0"/>
              <w:jc w:val="both"/>
              <w:rPr>
                <w:sz w:val="26"/>
                <w:szCs w:val="26"/>
              </w:rPr>
            </w:pPr>
            <w:r w:rsidRPr="009C3264">
              <w:rPr>
                <w:sz w:val="26"/>
                <w:szCs w:val="26"/>
              </w:rPr>
              <w:t xml:space="preserve">Projekta izpildi nodrošinās </w:t>
            </w:r>
            <w:proofErr w:type="spellStart"/>
            <w:r w:rsidRPr="009C3264">
              <w:rPr>
                <w:sz w:val="26"/>
                <w:szCs w:val="26"/>
              </w:rPr>
              <w:t>Iekšlietu</w:t>
            </w:r>
            <w:proofErr w:type="spellEnd"/>
            <w:r w:rsidRPr="009C3264">
              <w:rPr>
                <w:sz w:val="26"/>
                <w:szCs w:val="26"/>
              </w:rPr>
              <w:t xml:space="preserve"> ministrijas Centrāl</w:t>
            </w:r>
            <w:r w:rsidR="002D2F71" w:rsidRPr="009C3264">
              <w:rPr>
                <w:sz w:val="26"/>
                <w:szCs w:val="26"/>
              </w:rPr>
              <w:t>ā</w:t>
            </w:r>
            <w:r w:rsidRPr="009C3264">
              <w:rPr>
                <w:sz w:val="26"/>
                <w:szCs w:val="26"/>
              </w:rPr>
              <w:t xml:space="preserve"> medicīnas ekspertīzes komisija, kā arī valsts un pašvaldību institūcijas normatīvajos aktos noteiktajā kārtībā.</w:t>
            </w:r>
          </w:p>
        </w:tc>
      </w:tr>
      <w:tr w:rsidR="004A2C4A" w:rsidRPr="009C3264" w:rsidTr="00500FA5">
        <w:trPr>
          <w:trHeight w:val="463"/>
        </w:trPr>
        <w:tc>
          <w:tcPr>
            <w:tcW w:w="592" w:type="dxa"/>
          </w:tcPr>
          <w:p w:rsidR="004A2C4A" w:rsidRPr="009C3264" w:rsidRDefault="004A2C4A" w:rsidP="00504EF9">
            <w:pPr>
              <w:pStyle w:val="NormalWeb"/>
              <w:spacing w:before="0" w:after="0"/>
              <w:rPr>
                <w:sz w:val="26"/>
                <w:szCs w:val="26"/>
              </w:rPr>
            </w:pPr>
            <w:r w:rsidRPr="009C3264">
              <w:rPr>
                <w:sz w:val="26"/>
                <w:szCs w:val="26"/>
              </w:rPr>
              <w:t>2.</w:t>
            </w:r>
          </w:p>
        </w:tc>
        <w:tc>
          <w:tcPr>
            <w:tcW w:w="3963" w:type="dxa"/>
          </w:tcPr>
          <w:p w:rsidR="004A2C4A" w:rsidRPr="009C3264" w:rsidRDefault="004A2C4A" w:rsidP="00504EF9">
            <w:pPr>
              <w:pStyle w:val="NormalWeb"/>
              <w:spacing w:before="0" w:after="0"/>
              <w:rPr>
                <w:sz w:val="26"/>
                <w:szCs w:val="26"/>
              </w:rPr>
            </w:pPr>
            <w:r w:rsidRPr="009C3264">
              <w:rPr>
                <w:sz w:val="26"/>
                <w:szCs w:val="26"/>
              </w:rPr>
              <w:t xml:space="preserve">Projekta izpildes ietekme uz pārvaldes funkcijām </w:t>
            </w:r>
          </w:p>
        </w:tc>
        <w:tc>
          <w:tcPr>
            <w:tcW w:w="4819" w:type="dxa"/>
          </w:tcPr>
          <w:p w:rsidR="004A2C4A" w:rsidRPr="009C3264" w:rsidRDefault="00707361" w:rsidP="00341321">
            <w:pPr>
              <w:pStyle w:val="NormalWeb"/>
              <w:spacing w:before="0" w:after="0"/>
              <w:jc w:val="both"/>
              <w:rPr>
                <w:sz w:val="26"/>
                <w:szCs w:val="26"/>
              </w:rPr>
            </w:pPr>
            <w:proofErr w:type="spellStart"/>
            <w:r w:rsidRPr="009C3264">
              <w:rPr>
                <w:sz w:val="26"/>
                <w:szCs w:val="26"/>
              </w:rPr>
              <w:t>Iekšlietu</w:t>
            </w:r>
            <w:proofErr w:type="spellEnd"/>
            <w:r w:rsidRPr="009C3264">
              <w:rPr>
                <w:sz w:val="26"/>
                <w:szCs w:val="26"/>
              </w:rPr>
              <w:t xml:space="preserve"> ministrijas </w:t>
            </w:r>
            <w:r w:rsidR="003C33B2" w:rsidRPr="009C3264">
              <w:rPr>
                <w:sz w:val="26"/>
                <w:szCs w:val="26"/>
              </w:rPr>
              <w:t xml:space="preserve">CMEK </w:t>
            </w:r>
            <w:r w:rsidRPr="009C3264">
              <w:rPr>
                <w:sz w:val="26"/>
                <w:szCs w:val="26"/>
              </w:rPr>
              <w:t xml:space="preserve">funkcija: veikt veselības pārbaudes pēc darbā notikuša nelaimes gadījuma - netiek ne paplašināta, ne sašaurināta. Projekts paplašina to personu loku, kuras varēs vērsties </w:t>
            </w:r>
            <w:r w:rsidR="003C33B2" w:rsidRPr="009C3264">
              <w:rPr>
                <w:sz w:val="26"/>
                <w:szCs w:val="26"/>
              </w:rPr>
              <w:t>CMEK</w:t>
            </w:r>
            <w:r w:rsidRPr="009C3264">
              <w:rPr>
                <w:sz w:val="26"/>
                <w:szCs w:val="26"/>
              </w:rPr>
              <w:t xml:space="preserve"> veselības </w:t>
            </w:r>
            <w:r w:rsidR="00341321" w:rsidRPr="009C3264">
              <w:rPr>
                <w:sz w:val="26"/>
                <w:szCs w:val="26"/>
              </w:rPr>
              <w:t>bojājumu</w:t>
            </w:r>
            <w:r w:rsidRPr="009C3264">
              <w:rPr>
                <w:sz w:val="26"/>
                <w:szCs w:val="26"/>
              </w:rPr>
              <w:t xml:space="preserve"> smaguma pakāpes noteikšanai.</w:t>
            </w:r>
          </w:p>
        </w:tc>
      </w:tr>
      <w:tr w:rsidR="004A2C4A" w:rsidRPr="009C3264" w:rsidTr="00500FA5">
        <w:trPr>
          <w:trHeight w:val="725"/>
        </w:trPr>
        <w:tc>
          <w:tcPr>
            <w:tcW w:w="592" w:type="dxa"/>
          </w:tcPr>
          <w:p w:rsidR="004A2C4A" w:rsidRPr="009C3264" w:rsidRDefault="004A2C4A" w:rsidP="00504EF9">
            <w:pPr>
              <w:pStyle w:val="NormalWeb"/>
              <w:spacing w:before="0" w:after="0"/>
              <w:rPr>
                <w:sz w:val="26"/>
                <w:szCs w:val="26"/>
              </w:rPr>
            </w:pPr>
            <w:r w:rsidRPr="009C3264">
              <w:rPr>
                <w:sz w:val="26"/>
                <w:szCs w:val="26"/>
              </w:rPr>
              <w:t>3.</w:t>
            </w:r>
          </w:p>
        </w:tc>
        <w:tc>
          <w:tcPr>
            <w:tcW w:w="3963" w:type="dxa"/>
          </w:tcPr>
          <w:p w:rsidR="004A2C4A" w:rsidRPr="009C3264" w:rsidRDefault="004A2C4A" w:rsidP="00504EF9">
            <w:pPr>
              <w:pStyle w:val="NormalWeb"/>
              <w:spacing w:before="0" w:after="0"/>
              <w:rPr>
                <w:sz w:val="26"/>
                <w:szCs w:val="26"/>
              </w:rPr>
            </w:pPr>
            <w:r w:rsidRPr="009C3264">
              <w:rPr>
                <w:sz w:val="26"/>
                <w:szCs w:val="26"/>
              </w:rPr>
              <w:t>Projekta izpildes ietekme uz pārvaldes institucionālo struktūru.</w:t>
            </w:r>
          </w:p>
          <w:p w:rsidR="004A2C4A" w:rsidRPr="009C3264" w:rsidRDefault="004A2C4A" w:rsidP="00504EF9">
            <w:pPr>
              <w:pStyle w:val="NormalWeb"/>
              <w:spacing w:before="0" w:after="0"/>
              <w:rPr>
                <w:sz w:val="26"/>
                <w:szCs w:val="26"/>
              </w:rPr>
            </w:pPr>
            <w:r w:rsidRPr="009C3264">
              <w:rPr>
                <w:sz w:val="26"/>
                <w:szCs w:val="26"/>
              </w:rPr>
              <w:t>Jaunu institūciju izveide</w:t>
            </w:r>
          </w:p>
        </w:tc>
        <w:tc>
          <w:tcPr>
            <w:tcW w:w="4819" w:type="dxa"/>
          </w:tcPr>
          <w:p w:rsidR="004A2C4A" w:rsidRPr="009C3264" w:rsidRDefault="004A2C4A" w:rsidP="00504EF9">
            <w:pPr>
              <w:pStyle w:val="NormalWeb"/>
              <w:spacing w:before="0" w:after="0"/>
              <w:rPr>
                <w:sz w:val="26"/>
                <w:szCs w:val="26"/>
              </w:rPr>
            </w:pPr>
            <w:r w:rsidRPr="009C3264">
              <w:rPr>
                <w:sz w:val="26"/>
                <w:szCs w:val="26"/>
              </w:rPr>
              <w:t>Projekts šo jomu neskar.</w:t>
            </w:r>
          </w:p>
        </w:tc>
      </w:tr>
      <w:tr w:rsidR="004A2C4A" w:rsidRPr="009C3264" w:rsidTr="00500FA5">
        <w:trPr>
          <w:trHeight w:val="780"/>
        </w:trPr>
        <w:tc>
          <w:tcPr>
            <w:tcW w:w="592" w:type="dxa"/>
          </w:tcPr>
          <w:p w:rsidR="004A2C4A" w:rsidRPr="009C3264" w:rsidRDefault="004A2C4A" w:rsidP="00504EF9">
            <w:pPr>
              <w:pStyle w:val="NormalWeb"/>
              <w:spacing w:before="0" w:after="0"/>
              <w:rPr>
                <w:sz w:val="26"/>
                <w:szCs w:val="26"/>
              </w:rPr>
            </w:pPr>
            <w:r w:rsidRPr="009C3264">
              <w:rPr>
                <w:sz w:val="26"/>
                <w:szCs w:val="26"/>
              </w:rPr>
              <w:t>4.</w:t>
            </w:r>
          </w:p>
        </w:tc>
        <w:tc>
          <w:tcPr>
            <w:tcW w:w="3963" w:type="dxa"/>
          </w:tcPr>
          <w:p w:rsidR="004A2C4A" w:rsidRPr="009C3264" w:rsidRDefault="004A2C4A" w:rsidP="00504EF9">
            <w:pPr>
              <w:pStyle w:val="NormalWeb"/>
              <w:spacing w:before="0" w:after="0"/>
              <w:rPr>
                <w:sz w:val="26"/>
                <w:szCs w:val="26"/>
              </w:rPr>
            </w:pPr>
            <w:r w:rsidRPr="009C3264">
              <w:rPr>
                <w:sz w:val="26"/>
                <w:szCs w:val="26"/>
              </w:rPr>
              <w:t>Projekta izpildes ietekme uz pārvaldes institucionālo struktūru.</w:t>
            </w:r>
          </w:p>
          <w:p w:rsidR="004A2C4A" w:rsidRPr="009C3264" w:rsidRDefault="004A2C4A" w:rsidP="00504EF9">
            <w:pPr>
              <w:pStyle w:val="NormalWeb"/>
              <w:spacing w:before="0" w:after="0"/>
              <w:rPr>
                <w:sz w:val="26"/>
                <w:szCs w:val="26"/>
              </w:rPr>
            </w:pPr>
            <w:r w:rsidRPr="009C3264">
              <w:rPr>
                <w:sz w:val="26"/>
                <w:szCs w:val="26"/>
              </w:rPr>
              <w:t>Esošu institūciju likvidācija</w:t>
            </w:r>
          </w:p>
        </w:tc>
        <w:tc>
          <w:tcPr>
            <w:tcW w:w="4819" w:type="dxa"/>
          </w:tcPr>
          <w:p w:rsidR="004A2C4A" w:rsidRPr="009C3264" w:rsidRDefault="004A2C4A" w:rsidP="00504EF9">
            <w:pPr>
              <w:pStyle w:val="NormalWeb"/>
              <w:spacing w:before="0" w:after="0"/>
              <w:rPr>
                <w:sz w:val="26"/>
                <w:szCs w:val="26"/>
              </w:rPr>
            </w:pPr>
            <w:r w:rsidRPr="009C3264">
              <w:rPr>
                <w:sz w:val="26"/>
                <w:szCs w:val="26"/>
              </w:rPr>
              <w:t>Projekts šo jomu neskar.</w:t>
            </w:r>
          </w:p>
        </w:tc>
      </w:tr>
      <w:tr w:rsidR="004A2C4A" w:rsidRPr="009C3264" w:rsidTr="00500FA5">
        <w:trPr>
          <w:trHeight w:val="703"/>
        </w:trPr>
        <w:tc>
          <w:tcPr>
            <w:tcW w:w="592" w:type="dxa"/>
          </w:tcPr>
          <w:p w:rsidR="004A2C4A" w:rsidRPr="009C3264" w:rsidRDefault="004A2C4A" w:rsidP="00504EF9">
            <w:pPr>
              <w:pStyle w:val="NormalWeb"/>
              <w:spacing w:before="0" w:after="0"/>
              <w:rPr>
                <w:sz w:val="26"/>
                <w:szCs w:val="26"/>
              </w:rPr>
            </w:pPr>
            <w:r w:rsidRPr="009C3264">
              <w:rPr>
                <w:sz w:val="26"/>
                <w:szCs w:val="26"/>
              </w:rPr>
              <w:t>5.</w:t>
            </w:r>
          </w:p>
        </w:tc>
        <w:tc>
          <w:tcPr>
            <w:tcW w:w="3963" w:type="dxa"/>
          </w:tcPr>
          <w:p w:rsidR="004A2C4A" w:rsidRPr="009C3264" w:rsidRDefault="004A2C4A" w:rsidP="00504EF9">
            <w:pPr>
              <w:pStyle w:val="NormalWeb"/>
              <w:spacing w:before="0" w:after="0"/>
              <w:rPr>
                <w:sz w:val="26"/>
                <w:szCs w:val="26"/>
              </w:rPr>
            </w:pPr>
            <w:r w:rsidRPr="009C3264">
              <w:rPr>
                <w:sz w:val="26"/>
                <w:szCs w:val="26"/>
              </w:rPr>
              <w:t>Projekta izpildes ietekme uz pārvaldes institucionālo struktūru.</w:t>
            </w:r>
          </w:p>
          <w:p w:rsidR="004A2C4A" w:rsidRPr="009C3264" w:rsidRDefault="004A2C4A" w:rsidP="00504EF9">
            <w:pPr>
              <w:pStyle w:val="NormalWeb"/>
              <w:spacing w:before="0" w:after="0"/>
              <w:rPr>
                <w:sz w:val="26"/>
                <w:szCs w:val="26"/>
              </w:rPr>
            </w:pPr>
            <w:r w:rsidRPr="009C3264">
              <w:rPr>
                <w:sz w:val="26"/>
                <w:szCs w:val="26"/>
              </w:rPr>
              <w:t>Esošu institūciju reorganizācija</w:t>
            </w:r>
          </w:p>
        </w:tc>
        <w:tc>
          <w:tcPr>
            <w:tcW w:w="4819" w:type="dxa"/>
          </w:tcPr>
          <w:p w:rsidR="004A2C4A" w:rsidRPr="009C3264" w:rsidRDefault="004A2C4A" w:rsidP="00504EF9">
            <w:pPr>
              <w:pStyle w:val="NormalWeb"/>
              <w:spacing w:before="0" w:after="0"/>
              <w:rPr>
                <w:sz w:val="26"/>
                <w:szCs w:val="26"/>
              </w:rPr>
            </w:pPr>
            <w:r w:rsidRPr="009C3264">
              <w:rPr>
                <w:sz w:val="26"/>
                <w:szCs w:val="26"/>
              </w:rPr>
              <w:t>Projekts šo jomu neskar.</w:t>
            </w:r>
          </w:p>
        </w:tc>
      </w:tr>
      <w:tr w:rsidR="004A2C4A" w:rsidRPr="009C3264" w:rsidTr="00500FA5">
        <w:trPr>
          <w:trHeight w:val="419"/>
        </w:trPr>
        <w:tc>
          <w:tcPr>
            <w:tcW w:w="592" w:type="dxa"/>
          </w:tcPr>
          <w:p w:rsidR="004A2C4A" w:rsidRPr="009C3264" w:rsidRDefault="004A2C4A" w:rsidP="00504EF9">
            <w:pPr>
              <w:pStyle w:val="NormalWeb"/>
              <w:spacing w:before="0" w:after="0"/>
              <w:rPr>
                <w:sz w:val="26"/>
                <w:szCs w:val="26"/>
              </w:rPr>
            </w:pPr>
            <w:r w:rsidRPr="009C3264">
              <w:rPr>
                <w:sz w:val="26"/>
                <w:szCs w:val="26"/>
              </w:rPr>
              <w:t>6.</w:t>
            </w:r>
          </w:p>
        </w:tc>
        <w:tc>
          <w:tcPr>
            <w:tcW w:w="3963" w:type="dxa"/>
          </w:tcPr>
          <w:p w:rsidR="004A2C4A" w:rsidRPr="009C3264" w:rsidRDefault="004A2C4A" w:rsidP="00504EF9">
            <w:pPr>
              <w:pStyle w:val="NormalWeb"/>
              <w:spacing w:before="0" w:after="0"/>
              <w:rPr>
                <w:sz w:val="26"/>
                <w:szCs w:val="26"/>
              </w:rPr>
            </w:pPr>
            <w:r w:rsidRPr="009C3264">
              <w:rPr>
                <w:sz w:val="26"/>
                <w:szCs w:val="26"/>
              </w:rPr>
              <w:t>Cita informācija</w:t>
            </w:r>
          </w:p>
        </w:tc>
        <w:tc>
          <w:tcPr>
            <w:tcW w:w="4819" w:type="dxa"/>
          </w:tcPr>
          <w:p w:rsidR="004A2C4A" w:rsidRPr="009C3264" w:rsidRDefault="004A2C4A" w:rsidP="00504EF9">
            <w:pPr>
              <w:pStyle w:val="NormalWeb"/>
              <w:spacing w:before="0" w:after="0"/>
              <w:rPr>
                <w:sz w:val="26"/>
                <w:szCs w:val="26"/>
              </w:rPr>
            </w:pPr>
            <w:r w:rsidRPr="009C3264">
              <w:rPr>
                <w:sz w:val="26"/>
                <w:szCs w:val="26"/>
              </w:rPr>
              <w:t>Nav</w:t>
            </w:r>
          </w:p>
        </w:tc>
      </w:tr>
    </w:tbl>
    <w:p w:rsidR="00B26386" w:rsidRPr="009C3264" w:rsidRDefault="00B26386" w:rsidP="00B26386">
      <w:pPr>
        <w:rPr>
          <w:sz w:val="26"/>
          <w:szCs w:val="26"/>
          <w:lang w:eastAsia="lv-LV"/>
        </w:rPr>
      </w:pPr>
      <w:r w:rsidRPr="009C3264">
        <w:rPr>
          <w:iCs/>
          <w:sz w:val="26"/>
          <w:szCs w:val="26"/>
          <w:lang w:eastAsia="lv-LV"/>
        </w:rPr>
        <w:t xml:space="preserve">Anotācijas </w:t>
      </w:r>
      <w:r w:rsidR="00FD01C3" w:rsidRPr="009C3264">
        <w:rPr>
          <w:iCs/>
          <w:sz w:val="26"/>
          <w:szCs w:val="26"/>
          <w:lang w:eastAsia="lv-LV"/>
        </w:rPr>
        <w:t xml:space="preserve">III, </w:t>
      </w:r>
      <w:r w:rsidR="00842704" w:rsidRPr="009C3264">
        <w:rPr>
          <w:iCs/>
          <w:sz w:val="26"/>
          <w:szCs w:val="26"/>
          <w:lang w:eastAsia="lv-LV"/>
        </w:rPr>
        <w:t xml:space="preserve">IV, </w:t>
      </w:r>
      <w:r w:rsidR="00720E87" w:rsidRPr="009C3264">
        <w:rPr>
          <w:iCs/>
          <w:sz w:val="26"/>
          <w:szCs w:val="26"/>
          <w:lang w:eastAsia="lv-LV"/>
        </w:rPr>
        <w:t xml:space="preserve">V, </w:t>
      </w:r>
      <w:r w:rsidR="00DC317E" w:rsidRPr="009C3264">
        <w:rPr>
          <w:iCs/>
          <w:sz w:val="26"/>
          <w:szCs w:val="26"/>
          <w:lang w:eastAsia="lv-LV"/>
        </w:rPr>
        <w:t xml:space="preserve">un </w:t>
      </w:r>
      <w:r w:rsidR="00BD1B98" w:rsidRPr="009C3264">
        <w:rPr>
          <w:iCs/>
          <w:sz w:val="26"/>
          <w:szCs w:val="26"/>
          <w:lang w:eastAsia="lv-LV"/>
        </w:rPr>
        <w:t>VI</w:t>
      </w:r>
      <w:r w:rsidRPr="009C3264">
        <w:rPr>
          <w:iCs/>
          <w:sz w:val="26"/>
          <w:szCs w:val="26"/>
          <w:lang w:eastAsia="lv-LV"/>
        </w:rPr>
        <w:t xml:space="preserve"> sadaļa </w:t>
      </w:r>
      <w:r w:rsidR="00504EF9" w:rsidRPr="009C3264">
        <w:rPr>
          <w:sz w:val="26"/>
          <w:szCs w:val="26"/>
          <w:lang w:eastAsia="lv-LV"/>
        </w:rPr>
        <w:t>– projekts šīs jomas neskar.</w:t>
      </w:r>
      <w:r w:rsidR="00504EF9" w:rsidRPr="009C3264">
        <w:rPr>
          <w:b/>
          <w:bCs/>
          <w:sz w:val="26"/>
          <w:szCs w:val="26"/>
          <w:lang w:eastAsia="lv-LV"/>
        </w:rPr>
        <w:t> </w:t>
      </w:r>
    </w:p>
    <w:p w:rsidR="00682DF5" w:rsidRPr="009C3264" w:rsidRDefault="00B26386" w:rsidP="00C62DC4">
      <w:pPr>
        <w:rPr>
          <w:b/>
          <w:sz w:val="26"/>
          <w:szCs w:val="26"/>
        </w:rPr>
      </w:pPr>
      <w:r w:rsidRPr="009C3264">
        <w:rPr>
          <w:sz w:val="26"/>
          <w:szCs w:val="26"/>
          <w:lang w:eastAsia="lv-LV"/>
        </w:rPr>
        <w:t>  </w:t>
      </w:r>
      <w:r w:rsidR="00504EF9" w:rsidRPr="009C3264">
        <w:rPr>
          <w:sz w:val="26"/>
          <w:szCs w:val="26"/>
          <w:lang w:eastAsia="lv-LV"/>
        </w:rPr>
        <w:t xml:space="preserve"> </w:t>
      </w:r>
    </w:p>
    <w:p w:rsidR="001632AF" w:rsidRPr="009C3264" w:rsidRDefault="001632AF" w:rsidP="001632AF">
      <w:pPr>
        <w:rPr>
          <w:sz w:val="26"/>
          <w:szCs w:val="26"/>
        </w:rPr>
      </w:pPr>
      <w:r w:rsidRPr="009C3264">
        <w:rPr>
          <w:sz w:val="26"/>
          <w:szCs w:val="26"/>
        </w:rPr>
        <w:t xml:space="preserve">Finanšu ministrs </w:t>
      </w:r>
      <w:r w:rsidRPr="009C3264">
        <w:rPr>
          <w:sz w:val="26"/>
          <w:szCs w:val="26"/>
        </w:rPr>
        <w:tab/>
      </w:r>
      <w:r w:rsidRPr="009C3264">
        <w:rPr>
          <w:sz w:val="26"/>
          <w:szCs w:val="26"/>
        </w:rPr>
        <w:tab/>
      </w:r>
      <w:r w:rsidRPr="009C3264">
        <w:rPr>
          <w:sz w:val="26"/>
          <w:szCs w:val="26"/>
        </w:rPr>
        <w:tab/>
      </w:r>
      <w:r w:rsidRPr="009C3264">
        <w:rPr>
          <w:sz w:val="26"/>
          <w:szCs w:val="26"/>
        </w:rPr>
        <w:tab/>
      </w:r>
      <w:r w:rsidRPr="009C3264">
        <w:rPr>
          <w:sz w:val="26"/>
          <w:szCs w:val="26"/>
        </w:rPr>
        <w:tab/>
      </w:r>
      <w:r w:rsidRPr="009C3264">
        <w:rPr>
          <w:sz w:val="26"/>
          <w:szCs w:val="26"/>
        </w:rPr>
        <w:tab/>
      </w:r>
      <w:r w:rsidRPr="009C3264">
        <w:rPr>
          <w:sz w:val="26"/>
          <w:szCs w:val="26"/>
        </w:rPr>
        <w:tab/>
      </w:r>
      <w:r w:rsidRPr="009C3264">
        <w:rPr>
          <w:sz w:val="26"/>
          <w:szCs w:val="26"/>
        </w:rPr>
        <w:tab/>
      </w:r>
      <w:r w:rsidR="00720E87" w:rsidRPr="009C3264">
        <w:rPr>
          <w:sz w:val="26"/>
          <w:szCs w:val="26"/>
        </w:rPr>
        <w:t>A.Vilks</w:t>
      </w:r>
    </w:p>
    <w:p w:rsidR="00A12F74" w:rsidRPr="009C3264" w:rsidRDefault="00A12F74" w:rsidP="001632AF">
      <w:pPr>
        <w:rPr>
          <w:sz w:val="26"/>
          <w:szCs w:val="26"/>
        </w:rPr>
      </w:pPr>
    </w:p>
    <w:p w:rsidR="009C3264" w:rsidRPr="009C3264" w:rsidRDefault="009C3264" w:rsidP="001632AF">
      <w:pPr>
        <w:rPr>
          <w:sz w:val="26"/>
          <w:szCs w:val="26"/>
        </w:rPr>
      </w:pPr>
    </w:p>
    <w:p w:rsidR="00DF4728" w:rsidRDefault="00DF4728" w:rsidP="001632AF">
      <w:pPr>
        <w:pStyle w:val="naisc"/>
        <w:spacing w:before="0" w:after="0"/>
        <w:jc w:val="left"/>
        <w:rPr>
          <w:sz w:val="20"/>
        </w:rPr>
      </w:pPr>
      <w:r>
        <w:rPr>
          <w:sz w:val="20"/>
        </w:rPr>
        <w:t>21.05.2013 15:01</w:t>
      </w:r>
    </w:p>
    <w:p w:rsidR="001632AF" w:rsidRPr="00A12F74" w:rsidRDefault="00260EE5" w:rsidP="001632AF">
      <w:pPr>
        <w:pStyle w:val="naisc"/>
        <w:spacing w:before="0" w:after="0"/>
        <w:jc w:val="left"/>
        <w:rPr>
          <w:sz w:val="20"/>
        </w:rPr>
      </w:pPr>
      <w:r w:rsidRPr="00A12F74">
        <w:rPr>
          <w:sz w:val="20"/>
        </w:rPr>
        <w:fldChar w:fldCharType="begin"/>
      </w:r>
      <w:r w:rsidRPr="00A12F74">
        <w:rPr>
          <w:sz w:val="20"/>
        </w:rPr>
        <w:instrText xml:space="preserve"> NUMWORDS   \* MERGEFORMAT </w:instrText>
      </w:r>
      <w:r w:rsidRPr="00A12F74">
        <w:rPr>
          <w:sz w:val="20"/>
        </w:rPr>
        <w:fldChar w:fldCharType="separate"/>
      </w:r>
      <w:r w:rsidR="005909C8">
        <w:rPr>
          <w:noProof/>
          <w:sz w:val="20"/>
        </w:rPr>
        <w:t>1531</w:t>
      </w:r>
      <w:r w:rsidRPr="00A12F74">
        <w:rPr>
          <w:noProof/>
          <w:sz w:val="20"/>
        </w:rPr>
        <w:fldChar w:fldCharType="end"/>
      </w:r>
      <w:bookmarkStart w:id="0" w:name="_GoBack"/>
      <w:bookmarkEnd w:id="0"/>
    </w:p>
    <w:p w:rsidR="00940995" w:rsidRPr="00A12F74" w:rsidRDefault="00940995" w:rsidP="00940995">
      <w:pPr>
        <w:pStyle w:val="naisc"/>
        <w:spacing w:before="0" w:after="0"/>
        <w:jc w:val="left"/>
        <w:rPr>
          <w:sz w:val="20"/>
        </w:rPr>
      </w:pPr>
      <w:r w:rsidRPr="00A12F74">
        <w:rPr>
          <w:sz w:val="20"/>
        </w:rPr>
        <w:t xml:space="preserve">Artemjeva; </w:t>
      </w:r>
    </w:p>
    <w:p w:rsidR="004A2470" w:rsidRPr="00A12F74" w:rsidRDefault="004A2470" w:rsidP="004A2470">
      <w:pPr>
        <w:rPr>
          <w:sz w:val="20"/>
          <w:szCs w:val="20"/>
          <w:lang w:eastAsia="lv-LV"/>
        </w:rPr>
      </w:pPr>
      <w:r w:rsidRPr="00A12F74">
        <w:rPr>
          <w:sz w:val="20"/>
          <w:szCs w:val="20"/>
          <w:lang w:eastAsia="lv-LV"/>
        </w:rPr>
        <w:t>67095599; fakss 6709554;</w:t>
      </w:r>
    </w:p>
    <w:p w:rsidR="002E49A9" w:rsidRPr="00A12F74" w:rsidRDefault="005909C8" w:rsidP="003500D8">
      <w:pPr>
        <w:pStyle w:val="naislab"/>
        <w:spacing w:before="0" w:after="0"/>
        <w:jc w:val="left"/>
        <w:rPr>
          <w:sz w:val="20"/>
          <w:lang w:val="en-GB"/>
        </w:rPr>
      </w:pPr>
      <w:hyperlink r:id="rId8" w:history="1">
        <w:r w:rsidR="001632AF" w:rsidRPr="00A12F74">
          <w:rPr>
            <w:rStyle w:val="Hyperlink"/>
            <w:sz w:val="20"/>
          </w:rPr>
          <w:t>Ineta.Artemjeva@fm.gov.lv</w:t>
        </w:r>
      </w:hyperlink>
    </w:p>
    <w:sectPr w:rsidR="002E49A9" w:rsidRPr="00A12F74" w:rsidSect="00D12200">
      <w:headerReference w:type="even" r:id="rId9"/>
      <w:headerReference w:type="default" r:id="rId10"/>
      <w:footerReference w:type="even" r:id="rId11"/>
      <w:footerReference w:type="default" r:id="rId12"/>
      <w:footerReference w:type="first" r:id="rId13"/>
      <w:pgSz w:w="11906" w:h="16838"/>
      <w:pgMar w:top="1440" w:right="1134"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1A4" w:rsidRDefault="000231A4">
      <w:r>
        <w:separator/>
      </w:r>
    </w:p>
  </w:endnote>
  <w:endnote w:type="continuationSeparator" w:id="0">
    <w:p w:rsidR="000231A4" w:rsidRDefault="0002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A4" w:rsidRDefault="000231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31A4" w:rsidRDefault="000231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A4" w:rsidRDefault="000231A4">
    <w:pPr>
      <w:pStyle w:val="Footer"/>
      <w:framePr w:wrap="around" w:vAnchor="text" w:hAnchor="margin" w:xAlign="center" w:y="1"/>
      <w:rPr>
        <w:rStyle w:val="PageNumber"/>
      </w:rPr>
    </w:pPr>
  </w:p>
  <w:p w:rsidR="000231A4" w:rsidRPr="00533A74" w:rsidRDefault="000231A4" w:rsidP="00533A74">
    <w:pPr>
      <w:pStyle w:val="BodyText3"/>
      <w:rPr>
        <w:b w:val="0"/>
        <w:sz w:val="18"/>
        <w:szCs w:val="18"/>
      </w:rPr>
    </w:pPr>
    <w:r w:rsidRPr="00533A74">
      <w:rPr>
        <w:b w:val="0"/>
        <w:sz w:val="18"/>
        <w:szCs w:val="18"/>
      </w:rPr>
      <w:t>FMAnot_</w:t>
    </w:r>
    <w:r w:rsidR="009B69C0">
      <w:rPr>
        <w:b w:val="0"/>
        <w:sz w:val="18"/>
        <w:szCs w:val="18"/>
      </w:rPr>
      <w:t>0</w:t>
    </w:r>
    <w:r w:rsidR="00504D7C">
      <w:rPr>
        <w:b w:val="0"/>
        <w:sz w:val="18"/>
        <w:szCs w:val="18"/>
      </w:rPr>
      <w:t>7</w:t>
    </w:r>
    <w:r w:rsidR="009B69C0">
      <w:rPr>
        <w:b w:val="0"/>
        <w:sz w:val="18"/>
        <w:szCs w:val="18"/>
      </w:rPr>
      <w:t>0</w:t>
    </w:r>
    <w:r w:rsidR="00504D7C">
      <w:rPr>
        <w:b w:val="0"/>
        <w:sz w:val="18"/>
        <w:szCs w:val="18"/>
      </w:rPr>
      <w:t>5</w:t>
    </w:r>
    <w:r w:rsidR="008A6EA1">
      <w:rPr>
        <w:b w:val="0"/>
        <w:sz w:val="18"/>
        <w:szCs w:val="18"/>
      </w:rPr>
      <w:t>13</w:t>
    </w:r>
    <w:r>
      <w:rPr>
        <w:b w:val="0"/>
        <w:sz w:val="18"/>
        <w:szCs w:val="18"/>
      </w:rPr>
      <w:t>_565</w:t>
    </w:r>
    <w:r w:rsidRPr="00533A74">
      <w:rPr>
        <w:b w:val="0"/>
        <w:sz w:val="18"/>
        <w:szCs w:val="18"/>
      </w:rPr>
      <w:t>; Ministru kabineta noteikumu projekta „</w:t>
    </w:r>
    <w:r w:rsidRPr="00533A74">
      <w:rPr>
        <w:b w:val="0"/>
        <w:bCs w:val="0"/>
        <w:sz w:val="18"/>
        <w:szCs w:val="18"/>
      </w:rPr>
      <w:t>Grozījumi Ministru kabineta 2010.gada 21.jūnija</w:t>
    </w:r>
    <w:r w:rsidRPr="00533A74">
      <w:rPr>
        <w:b w:val="0"/>
        <w:sz w:val="18"/>
        <w:szCs w:val="18"/>
      </w:rPr>
      <w:t xml:space="preserve"> </w:t>
    </w:r>
    <w:r w:rsidRPr="00533A74">
      <w:rPr>
        <w:b w:val="0"/>
        <w:bCs w:val="0"/>
        <w:sz w:val="18"/>
        <w:szCs w:val="18"/>
      </w:rPr>
      <w:t>noteikumos Nr.565 „</w:t>
    </w:r>
    <w:r w:rsidRPr="00533A74">
      <w:rPr>
        <w:b w:val="0"/>
        <w:sz w:val="18"/>
        <w:szCs w:val="18"/>
      </w:rPr>
      <w:t>Noteikumi par valsts un pašvaldību institūciju amatpersonu un darbinieku sociālajām garantijām”” anotācija</w:t>
    </w:r>
  </w:p>
  <w:p w:rsidR="000231A4" w:rsidRPr="004867A9" w:rsidRDefault="000231A4" w:rsidP="00BD1B98">
    <w:pPr>
      <w:pStyle w:val="naisnod"/>
      <w:spacing w:before="0" w:after="0"/>
      <w:rPr>
        <w:b w:val="0"/>
        <w:sz w:val="18"/>
        <w:szCs w:val="18"/>
      </w:rPr>
    </w:pPr>
  </w:p>
  <w:p w:rsidR="000231A4" w:rsidRPr="005B2E32" w:rsidRDefault="000231A4" w:rsidP="00BD1B98">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A4" w:rsidRPr="00533A74" w:rsidRDefault="000231A4" w:rsidP="004867A9">
    <w:pPr>
      <w:pStyle w:val="BodyText3"/>
      <w:rPr>
        <w:b w:val="0"/>
        <w:sz w:val="18"/>
        <w:szCs w:val="18"/>
      </w:rPr>
    </w:pPr>
    <w:r w:rsidRPr="00533A74">
      <w:rPr>
        <w:b w:val="0"/>
        <w:sz w:val="18"/>
        <w:szCs w:val="18"/>
      </w:rPr>
      <w:t>FMAnot_</w:t>
    </w:r>
    <w:r w:rsidR="009B69C0">
      <w:rPr>
        <w:b w:val="0"/>
        <w:sz w:val="18"/>
        <w:szCs w:val="18"/>
      </w:rPr>
      <w:t>0</w:t>
    </w:r>
    <w:r w:rsidR="00504D7C">
      <w:rPr>
        <w:b w:val="0"/>
        <w:sz w:val="18"/>
        <w:szCs w:val="18"/>
      </w:rPr>
      <w:t>705</w:t>
    </w:r>
    <w:r w:rsidR="008A6EA1">
      <w:rPr>
        <w:b w:val="0"/>
        <w:sz w:val="18"/>
        <w:szCs w:val="18"/>
      </w:rPr>
      <w:t>13</w:t>
    </w:r>
    <w:r>
      <w:rPr>
        <w:b w:val="0"/>
        <w:sz w:val="18"/>
        <w:szCs w:val="18"/>
      </w:rPr>
      <w:t>_565</w:t>
    </w:r>
    <w:r w:rsidRPr="00533A74">
      <w:rPr>
        <w:b w:val="0"/>
        <w:sz w:val="18"/>
        <w:szCs w:val="18"/>
      </w:rPr>
      <w:t>; Ministru kabineta noteikumu projekta „</w:t>
    </w:r>
    <w:r w:rsidRPr="00533A74">
      <w:rPr>
        <w:b w:val="0"/>
        <w:bCs w:val="0"/>
        <w:sz w:val="18"/>
        <w:szCs w:val="18"/>
      </w:rPr>
      <w:t>Grozījumi Ministru kabineta 2010.gada 21.jūnija</w:t>
    </w:r>
    <w:r w:rsidRPr="00533A74">
      <w:rPr>
        <w:b w:val="0"/>
        <w:sz w:val="18"/>
        <w:szCs w:val="18"/>
      </w:rPr>
      <w:t xml:space="preserve"> </w:t>
    </w:r>
    <w:r w:rsidRPr="00533A74">
      <w:rPr>
        <w:b w:val="0"/>
        <w:bCs w:val="0"/>
        <w:sz w:val="18"/>
        <w:szCs w:val="18"/>
      </w:rPr>
      <w:t>noteikumos Nr.565 „</w:t>
    </w:r>
    <w:r w:rsidRPr="00533A74">
      <w:rPr>
        <w:b w:val="0"/>
        <w:sz w:val="18"/>
        <w:szCs w:val="18"/>
      </w:rPr>
      <w:t>Noteikumi par valsts un pašvaldību institūciju amatpersonu un darbinieku sociālajām garantijām”” anotācija</w:t>
    </w:r>
  </w:p>
  <w:p w:rsidR="000231A4" w:rsidRPr="004867A9" w:rsidRDefault="000231A4" w:rsidP="004867A9">
    <w:pPr>
      <w:pStyle w:val="naisnod"/>
      <w:spacing w:before="0" w:after="0"/>
      <w:rPr>
        <w:b w:val="0"/>
        <w:sz w:val="18"/>
        <w:szCs w:val="18"/>
      </w:rPr>
    </w:pPr>
  </w:p>
  <w:p w:rsidR="000231A4" w:rsidRPr="006649E1" w:rsidRDefault="000231A4" w:rsidP="00E03815">
    <w:pPr>
      <w:pStyle w:val="naisnod"/>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1A4" w:rsidRDefault="000231A4">
      <w:r>
        <w:separator/>
      </w:r>
    </w:p>
  </w:footnote>
  <w:footnote w:type="continuationSeparator" w:id="0">
    <w:p w:rsidR="000231A4" w:rsidRDefault="000231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A4" w:rsidRDefault="000231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31A4" w:rsidRDefault="000231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1A4" w:rsidRDefault="000231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09C8">
      <w:rPr>
        <w:rStyle w:val="PageNumber"/>
        <w:noProof/>
      </w:rPr>
      <w:t>6</w:t>
    </w:r>
    <w:r>
      <w:rPr>
        <w:rStyle w:val="PageNumber"/>
      </w:rPr>
      <w:fldChar w:fldCharType="end"/>
    </w:r>
  </w:p>
  <w:p w:rsidR="000231A4" w:rsidRDefault="000231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9140F7A"/>
    <w:lvl w:ilvl="0">
      <w:start w:val="1"/>
      <w:numFmt w:val="decimal"/>
      <w:lvlText w:val="%1."/>
      <w:lvlJc w:val="left"/>
      <w:pPr>
        <w:tabs>
          <w:tab w:val="num" w:pos="1492"/>
        </w:tabs>
        <w:ind w:left="1492" w:hanging="360"/>
      </w:pPr>
    </w:lvl>
  </w:abstractNum>
  <w:abstractNum w:abstractNumId="1">
    <w:nsid w:val="FFFFFF7D"/>
    <w:multiLevelType w:val="singleLevel"/>
    <w:tmpl w:val="F874039C"/>
    <w:lvl w:ilvl="0">
      <w:start w:val="1"/>
      <w:numFmt w:val="decimal"/>
      <w:lvlText w:val="%1."/>
      <w:lvlJc w:val="left"/>
      <w:pPr>
        <w:tabs>
          <w:tab w:val="num" w:pos="1209"/>
        </w:tabs>
        <w:ind w:left="1209" w:hanging="360"/>
      </w:pPr>
    </w:lvl>
  </w:abstractNum>
  <w:abstractNum w:abstractNumId="2">
    <w:nsid w:val="FFFFFF7E"/>
    <w:multiLevelType w:val="singleLevel"/>
    <w:tmpl w:val="B4CEB136"/>
    <w:lvl w:ilvl="0">
      <w:start w:val="1"/>
      <w:numFmt w:val="decimal"/>
      <w:lvlText w:val="%1."/>
      <w:lvlJc w:val="left"/>
      <w:pPr>
        <w:tabs>
          <w:tab w:val="num" w:pos="926"/>
        </w:tabs>
        <w:ind w:left="926" w:hanging="360"/>
      </w:pPr>
    </w:lvl>
  </w:abstractNum>
  <w:abstractNum w:abstractNumId="3">
    <w:nsid w:val="FFFFFF7F"/>
    <w:multiLevelType w:val="singleLevel"/>
    <w:tmpl w:val="552496BE"/>
    <w:lvl w:ilvl="0">
      <w:start w:val="1"/>
      <w:numFmt w:val="decimal"/>
      <w:lvlText w:val="%1."/>
      <w:lvlJc w:val="left"/>
      <w:pPr>
        <w:tabs>
          <w:tab w:val="num" w:pos="643"/>
        </w:tabs>
        <w:ind w:left="643" w:hanging="360"/>
      </w:pPr>
    </w:lvl>
  </w:abstractNum>
  <w:abstractNum w:abstractNumId="4">
    <w:nsid w:val="FFFFFF80"/>
    <w:multiLevelType w:val="singleLevel"/>
    <w:tmpl w:val="0EA2CF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6437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8625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F8B3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78861A"/>
    <w:lvl w:ilvl="0">
      <w:start w:val="1"/>
      <w:numFmt w:val="decimal"/>
      <w:lvlText w:val="%1."/>
      <w:lvlJc w:val="left"/>
      <w:pPr>
        <w:tabs>
          <w:tab w:val="num" w:pos="360"/>
        </w:tabs>
        <w:ind w:left="360" w:hanging="360"/>
      </w:pPr>
    </w:lvl>
  </w:abstractNum>
  <w:abstractNum w:abstractNumId="9">
    <w:nsid w:val="FFFFFF89"/>
    <w:multiLevelType w:val="singleLevel"/>
    <w:tmpl w:val="F62A4EA2"/>
    <w:lvl w:ilvl="0">
      <w:start w:val="1"/>
      <w:numFmt w:val="bullet"/>
      <w:lvlText w:val=""/>
      <w:lvlJc w:val="left"/>
      <w:pPr>
        <w:tabs>
          <w:tab w:val="num" w:pos="360"/>
        </w:tabs>
        <w:ind w:left="360" w:hanging="360"/>
      </w:pPr>
      <w:rPr>
        <w:rFonts w:ascii="Symbol" w:hAnsi="Symbol" w:hint="default"/>
      </w:rPr>
    </w:lvl>
  </w:abstractNum>
  <w:abstractNum w:abstractNumId="10">
    <w:nsid w:val="03771DB2"/>
    <w:multiLevelType w:val="hybridMultilevel"/>
    <w:tmpl w:val="19228E76"/>
    <w:lvl w:ilvl="0" w:tplc="5A2A82C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78B6053"/>
    <w:multiLevelType w:val="hybridMultilevel"/>
    <w:tmpl w:val="7166DD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A7155A"/>
    <w:multiLevelType w:val="hybridMultilevel"/>
    <w:tmpl w:val="2A4E5052"/>
    <w:lvl w:ilvl="0" w:tplc="D98C8D2A">
      <w:start w:val="1"/>
      <w:numFmt w:val="decimal"/>
      <w:lvlText w:val="%1)"/>
      <w:lvlJc w:val="left"/>
      <w:pPr>
        <w:ind w:left="553" w:hanging="360"/>
      </w:pPr>
      <w:rPr>
        <w:rFonts w:hint="default"/>
      </w:rPr>
    </w:lvl>
    <w:lvl w:ilvl="1" w:tplc="04260019" w:tentative="1">
      <w:start w:val="1"/>
      <w:numFmt w:val="lowerLetter"/>
      <w:lvlText w:val="%2."/>
      <w:lvlJc w:val="left"/>
      <w:pPr>
        <w:ind w:left="1273" w:hanging="360"/>
      </w:pPr>
    </w:lvl>
    <w:lvl w:ilvl="2" w:tplc="0426001B" w:tentative="1">
      <w:start w:val="1"/>
      <w:numFmt w:val="lowerRoman"/>
      <w:lvlText w:val="%3."/>
      <w:lvlJc w:val="right"/>
      <w:pPr>
        <w:ind w:left="1993" w:hanging="180"/>
      </w:pPr>
    </w:lvl>
    <w:lvl w:ilvl="3" w:tplc="0426000F" w:tentative="1">
      <w:start w:val="1"/>
      <w:numFmt w:val="decimal"/>
      <w:lvlText w:val="%4."/>
      <w:lvlJc w:val="left"/>
      <w:pPr>
        <w:ind w:left="2713" w:hanging="360"/>
      </w:pPr>
    </w:lvl>
    <w:lvl w:ilvl="4" w:tplc="04260019" w:tentative="1">
      <w:start w:val="1"/>
      <w:numFmt w:val="lowerLetter"/>
      <w:lvlText w:val="%5."/>
      <w:lvlJc w:val="left"/>
      <w:pPr>
        <w:ind w:left="3433" w:hanging="360"/>
      </w:pPr>
    </w:lvl>
    <w:lvl w:ilvl="5" w:tplc="0426001B" w:tentative="1">
      <w:start w:val="1"/>
      <w:numFmt w:val="lowerRoman"/>
      <w:lvlText w:val="%6."/>
      <w:lvlJc w:val="right"/>
      <w:pPr>
        <w:ind w:left="4153" w:hanging="180"/>
      </w:pPr>
    </w:lvl>
    <w:lvl w:ilvl="6" w:tplc="0426000F" w:tentative="1">
      <w:start w:val="1"/>
      <w:numFmt w:val="decimal"/>
      <w:lvlText w:val="%7."/>
      <w:lvlJc w:val="left"/>
      <w:pPr>
        <w:ind w:left="4873" w:hanging="360"/>
      </w:pPr>
    </w:lvl>
    <w:lvl w:ilvl="7" w:tplc="04260019" w:tentative="1">
      <w:start w:val="1"/>
      <w:numFmt w:val="lowerLetter"/>
      <w:lvlText w:val="%8."/>
      <w:lvlJc w:val="left"/>
      <w:pPr>
        <w:ind w:left="5593" w:hanging="360"/>
      </w:pPr>
    </w:lvl>
    <w:lvl w:ilvl="8" w:tplc="0426001B" w:tentative="1">
      <w:start w:val="1"/>
      <w:numFmt w:val="lowerRoman"/>
      <w:lvlText w:val="%9."/>
      <w:lvlJc w:val="right"/>
      <w:pPr>
        <w:ind w:left="6313" w:hanging="180"/>
      </w:pPr>
    </w:lvl>
  </w:abstractNum>
  <w:abstractNum w:abstractNumId="13">
    <w:nsid w:val="5CD36523"/>
    <w:multiLevelType w:val="singleLevel"/>
    <w:tmpl w:val="6DD6459A"/>
    <w:lvl w:ilvl="0">
      <w:start w:val="1"/>
      <w:numFmt w:val="decimal"/>
      <w:lvlText w:val="%1)"/>
      <w:lvlJc w:val="left"/>
      <w:pPr>
        <w:tabs>
          <w:tab w:val="num" w:pos="1211"/>
        </w:tabs>
        <w:ind w:left="1211" w:hanging="360"/>
      </w:pPr>
      <w:rPr>
        <w:rFonts w:hint="default"/>
      </w:rPr>
    </w:lvl>
  </w:abstractNum>
  <w:abstractNum w:abstractNumId="14">
    <w:nsid w:val="63B67E81"/>
    <w:multiLevelType w:val="hybridMultilevel"/>
    <w:tmpl w:val="D36EC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BD7C98"/>
    <w:multiLevelType w:val="hybridMultilevel"/>
    <w:tmpl w:val="190058F2"/>
    <w:lvl w:ilvl="0" w:tplc="574A1C6E">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6">
    <w:nsid w:val="740F3D26"/>
    <w:multiLevelType w:val="hybridMultilevel"/>
    <w:tmpl w:val="29061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11"/>
  </w:num>
  <w:num w:numId="4">
    <w:abstractNumId w:val="10"/>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72C"/>
    <w:rsid w:val="00001AB8"/>
    <w:rsid w:val="0000519C"/>
    <w:rsid w:val="00013281"/>
    <w:rsid w:val="00017665"/>
    <w:rsid w:val="00020847"/>
    <w:rsid w:val="00020C7D"/>
    <w:rsid w:val="000225C4"/>
    <w:rsid w:val="000228B1"/>
    <w:rsid w:val="00023002"/>
    <w:rsid w:val="000231A4"/>
    <w:rsid w:val="00030C65"/>
    <w:rsid w:val="0003204F"/>
    <w:rsid w:val="00033A8E"/>
    <w:rsid w:val="00034C22"/>
    <w:rsid w:val="00035EDD"/>
    <w:rsid w:val="00041EF6"/>
    <w:rsid w:val="00043DD6"/>
    <w:rsid w:val="000447B8"/>
    <w:rsid w:val="000479A0"/>
    <w:rsid w:val="00065BDB"/>
    <w:rsid w:val="00065BE1"/>
    <w:rsid w:val="000661D4"/>
    <w:rsid w:val="0007105A"/>
    <w:rsid w:val="00073FF6"/>
    <w:rsid w:val="00075F48"/>
    <w:rsid w:val="00076BE6"/>
    <w:rsid w:val="00080D14"/>
    <w:rsid w:val="00082750"/>
    <w:rsid w:val="000871D3"/>
    <w:rsid w:val="00092837"/>
    <w:rsid w:val="00096918"/>
    <w:rsid w:val="00096C06"/>
    <w:rsid w:val="00097B68"/>
    <w:rsid w:val="000A0729"/>
    <w:rsid w:val="000A2EA5"/>
    <w:rsid w:val="000A3326"/>
    <w:rsid w:val="000A5D11"/>
    <w:rsid w:val="000A79C1"/>
    <w:rsid w:val="000B0066"/>
    <w:rsid w:val="000B040C"/>
    <w:rsid w:val="000B0445"/>
    <w:rsid w:val="000B2390"/>
    <w:rsid w:val="000B26CA"/>
    <w:rsid w:val="000C02E2"/>
    <w:rsid w:val="000C22CE"/>
    <w:rsid w:val="000C4967"/>
    <w:rsid w:val="000C6DCC"/>
    <w:rsid w:val="000C78A2"/>
    <w:rsid w:val="000C7ACE"/>
    <w:rsid w:val="000D00DE"/>
    <w:rsid w:val="000D1B66"/>
    <w:rsid w:val="000D2626"/>
    <w:rsid w:val="000D5973"/>
    <w:rsid w:val="000D7263"/>
    <w:rsid w:val="000D73A8"/>
    <w:rsid w:val="000E059D"/>
    <w:rsid w:val="000E5FB3"/>
    <w:rsid w:val="000E7062"/>
    <w:rsid w:val="000F072F"/>
    <w:rsid w:val="000F2BF9"/>
    <w:rsid w:val="000F37A7"/>
    <w:rsid w:val="000F5D7A"/>
    <w:rsid w:val="001014C2"/>
    <w:rsid w:val="00101A96"/>
    <w:rsid w:val="00102EDE"/>
    <w:rsid w:val="001052C5"/>
    <w:rsid w:val="0010609B"/>
    <w:rsid w:val="00106251"/>
    <w:rsid w:val="001066F8"/>
    <w:rsid w:val="00106D4E"/>
    <w:rsid w:val="001074E8"/>
    <w:rsid w:val="00107A3C"/>
    <w:rsid w:val="00116397"/>
    <w:rsid w:val="00116B98"/>
    <w:rsid w:val="00117192"/>
    <w:rsid w:val="00125B61"/>
    <w:rsid w:val="00134B84"/>
    <w:rsid w:val="00135CB1"/>
    <w:rsid w:val="00136AB7"/>
    <w:rsid w:val="0013767F"/>
    <w:rsid w:val="00141F1B"/>
    <w:rsid w:val="00143790"/>
    <w:rsid w:val="0014732B"/>
    <w:rsid w:val="001508A3"/>
    <w:rsid w:val="00150E82"/>
    <w:rsid w:val="00160037"/>
    <w:rsid w:val="001632AF"/>
    <w:rsid w:val="0016535F"/>
    <w:rsid w:val="0016583E"/>
    <w:rsid w:val="00166131"/>
    <w:rsid w:val="00171E98"/>
    <w:rsid w:val="0017261F"/>
    <w:rsid w:val="00172857"/>
    <w:rsid w:val="0017424A"/>
    <w:rsid w:val="00174B85"/>
    <w:rsid w:val="00183477"/>
    <w:rsid w:val="0018461B"/>
    <w:rsid w:val="001859FB"/>
    <w:rsid w:val="00193A17"/>
    <w:rsid w:val="00197B80"/>
    <w:rsid w:val="00197B85"/>
    <w:rsid w:val="001A1BCD"/>
    <w:rsid w:val="001A2476"/>
    <w:rsid w:val="001A3EF5"/>
    <w:rsid w:val="001A45D7"/>
    <w:rsid w:val="001B11EB"/>
    <w:rsid w:val="001C1967"/>
    <w:rsid w:val="001C3D85"/>
    <w:rsid w:val="001C3F95"/>
    <w:rsid w:val="001C53D3"/>
    <w:rsid w:val="001C6BB9"/>
    <w:rsid w:val="001D0B12"/>
    <w:rsid w:val="001D3318"/>
    <w:rsid w:val="001D364B"/>
    <w:rsid w:val="001D76AC"/>
    <w:rsid w:val="001E0A77"/>
    <w:rsid w:val="001E126B"/>
    <w:rsid w:val="001E3A43"/>
    <w:rsid w:val="001E595B"/>
    <w:rsid w:val="001E6F86"/>
    <w:rsid w:val="001E7371"/>
    <w:rsid w:val="001F00D9"/>
    <w:rsid w:val="001F2CB4"/>
    <w:rsid w:val="001F31C7"/>
    <w:rsid w:val="001F3ABB"/>
    <w:rsid w:val="001F46BC"/>
    <w:rsid w:val="00205356"/>
    <w:rsid w:val="00205908"/>
    <w:rsid w:val="00207C25"/>
    <w:rsid w:val="002108EC"/>
    <w:rsid w:val="0022172C"/>
    <w:rsid w:val="00224202"/>
    <w:rsid w:val="00235A6B"/>
    <w:rsid w:val="0024052D"/>
    <w:rsid w:val="00242AB1"/>
    <w:rsid w:val="0024446F"/>
    <w:rsid w:val="002476F9"/>
    <w:rsid w:val="002523ED"/>
    <w:rsid w:val="00252D0B"/>
    <w:rsid w:val="0025475A"/>
    <w:rsid w:val="00257009"/>
    <w:rsid w:val="00260EE5"/>
    <w:rsid w:val="00263108"/>
    <w:rsid w:val="00263A12"/>
    <w:rsid w:val="00264739"/>
    <w:rsid w:val="002658DF"/>
    <w:rsid w:val="00272C97"/>
    <w:rsid w:val="002741F1"/>
    <w:rsid w:val="0027519C"/>
    <w:rsid w:val="002753C1"/>
    <w:rsid w:val="0027589E"/>
    <w:rsid w:val="00280189"/>
    <w:rsid w:val="00283AE4"/>
    <w:rsid w:val="0028546C"/>
    <w:rsid w:val="00287A89"/>
    <w:rsid w:val="00293579"/>
    <w:rsid w:val="00295D03"/>
    <w:rsid w:val="002A104D"/>
    <w:rsid w:val="002A3E73"/>
    <w:rsid w:val="002A6CE4"/>
    <w:rsid w:val="002B3E81"/>
    <w:rsid w:val="002B54BA"/>
    <w:rsid w:val="002B7E06"/>
    <w:rsid w:val="002C0E14"/>
    <w:rsid w:val="002C3A5F"/>
    <w:rsid w:val="002C6C96"/>
    <w:rsid w:val="002D1601"/>
    <w:rsid w:val="002D1698"/>
    <w:rsid w:val="002D1E47"/>
    <w:rsid w:val="002D20AB"/>
    <w:rsid w:val="002D2F0B"/>
    <w:rsid w:val="002D2F71"/>
    <w:rsid w:val="002E0B4B"/>
    <w:rsid w:val="002E49A9"/>
    <w:rsid w:val="002E7961"/>
    <w:rsid w:val="002F1524"/>
    <w:rsid w:val="002F42E6"/>
    <w:rsid w:val="002F50E2"/>
    <w:rsid w:val="002F5F03"/>
    <w:rsid w:val="002F7ECF"/>
    <w:rsid w:val="003002B0"/>
    <w:rsid w:val="00300BBB"/>
    <w:rsid w:val="0030114D"/>
    <w:rsid w:val="003029F8"/>
    <w:rsid w:val="00303134"/>
    <w:rsid w:val="00305939"/>
    <w:rsid w:val="003061AB"/>
    <w:rsid w:val="00306D97"/>
    <w:rsid w:val="0031124B"/>
    <w:rsid w:val="00311884"/>
    <w:rsid w:val="00313A38"/>
    <w:rsid w:val="00315E44"/>
    <w:rsid w:val="00317E36"/>
    <w:rsid w:val="00324B01"/>
    <w:rsid w:val="00336D65"/>
    <w:rsid w:val="00336F2F"/>
    <w:rsid w:val="003379F4"/>
    <w:rsid w:val="00341321"/>
    <w:rsid w:val="003417EE"/>
    <w:rsid w:val="003424AE"/>
    <w:rsid w:val="0034298A"/>
    <w:rsid w:val="003434DF"/>
    <w:rsid w:val="003460D2"/>
    <w:rsid w:val="003479AA"/>
    <w:rsid w:val="003500D8"/>
    <w:rsid w:val="00350625"/>
    <w:rsid w:val="003520CD"/>
    <w:rsid w:val="0035276D"/>
    <w:rsid w:val="00352FA5"/>
    <w:rsid w:val="003537F2"/>
    <w:rsid w:val="00355F5A"/>
    <w:rsid w:val="0036244E"/>
    <w:rsid w:val="003637AE"/>
    <w:rsid w:val="00371309"/>
    <w:rsid w:val="00372998"/>
    <w:rsid w:val="00373A47"/>
    <w:rsid w:val="00373EEC"/>
    <w:rsid w:val="0038052B"/>
    <w:rsid w:val="00386096"/>
    <w:rsid w:val="0039209A"/>
    <w:rsid w:val="0039426E"/>
    <w:rsid w:val="0039535D"/>
    <w:rsid w:val="00397F1C"/>
    <w:rsid w:val="003A2108"/>
    <w:rsid w:val="003A4640"/>
    <w:rsid w:val="003B1922"/>
    <w:rsid w:val="003B2558"/>
    <w:rsid w:val="003B7D75"/>
    <w:rsid w:val="003C2CC2"/>
    <w:rsid w:val="003C33B2"/>
    <w:rsid w:val="003C6D19"/>
    <w:rsid w:val="003D1CDF"/>
    <w:rsid w:val="003D553B"/>
    <w:rsid w:val="003D6033"/>
    <w:rsid w:val="003D74F9"/>
    <w:rsid w:val="003D751B"/>
    <w:rsid w:val="003E0D05"/>
    <w:rsid w:val="003E12F1"/>
    <w:rsid w:val="003E187B"/>
    <w:rsid w:val="003F008B"/>
    <w:rsid w:val="003F09E4"/>
    <w:rsid w:val="003F2DE5"/>
    <w:rsid w:val="003F483B"/>
    <w:rsid w:val="003F5CA7"/>
    <w:rsid w:val="003F70D2"/>
    <w:rsid w:val="003F7D63"/>
    <w:rsid w:val="00404057"/>
    <w:rsid w:val="00405D67"/>
    <w:rsid w:val="00406D61"/>
    <w:rsid w:val="00410F0D"/>
    <w:rsid w:val="00411081"/>
    <w:rsid w:val="00413C89"/>
    <w:rsid w:val="00415BA3"/>
    <w:rsid w:val="00420AD5"/>
    <w:rsid w:val="00425A0A"/>
    <w:rsid w:val="0042776D"/>
    <w:rsid w:val="00432285"/>
    <w:rsid w:val="0043396B"/>
    <w:rsid w:val="00434563"/>
    <w:rsid w:val="0043702F"/>
    <w:rsid w:val="00440FBF"/>
    <w:rsid w:val="004437FB"/>
    <w:rsid w:val="0044771C"/>
    <w:rsid w:val="00453B22"/>
    <w:rsid w:val="0045583C"/>
    <w:rsid w:val="00457557"/>
    <w:rsid w:val="00465DBA"/>
    <w:rsid w:val="00473EDF"/>
    <w:rsid w:val="00474C76"/>
    <w:rsid w:val="0047623F"/>
    <w:rsid w:val="00481D75"/>
    <w:rsid w:val="0048241E"/>
    <w:rsid w:val="004867A9"/>
    <w:rsid w:val="00491FC1"/>
    <w:rsid w:val="0049236B"/>
    <w:rsid w:val="00492AD5"/>
    <w:rsid w:val="004A2470"/>
    <w:rsid w:val="004A2C4A"/>
    <w:rsid w:val="004A6FFF"/>
    <w:rsid w:val="004B00B4"/>
    <w:rsid w:val="004B1265"/>
    <w:rsid w:val="004B4E0B"/>
    <w:rsid w:val="004B5923"/>
    <w:rsid w:val="004B6C98"/>
    <w:rsid w:val="004C5A8A"/>
    <w:rsid w:val="004C64D6"/>
    <w:rsid w:val="004C68D1"/>
    <w:rsid w:val="004C6984"/>
    <w:rsid w:val="004C69EA"/>
    <w:rsid w:val="004C7039"/>
    <w:rsid w:val="004D0FF2"/>
    <w:rsid w:val="004D241F"/>
    <w:rsid w:val="004D2CEC"/>
    <w:rsid w:val="004D34B0"/>
    <w:rsid w:val="004E1BA7"/>
    <w:rsid w:val="004E3169"/>
    <w:rsid w:val="004E426A"/>
    <w:rsid w:val="004E4417"/>
    <w:rsid w:val="004E4FC6"/>
    <w:rsid w:val="004E5145"/>
    <w:rsid w:val="004F07D3"/>
    <w:rsid w:val="004F1547"/>
    <w:rsid w:val="004F413A"/>
    <w:rsid w:val="004F5EF6"/>
    <w:rsid w:val="00500FA5"/>
    <w:rsid w:val="00502539"/>
    <w:rsid w:val="00504D7C"/>
    <w:rsid w:val="00504EF9"/>
    <w:rsid w:val="00505513"/>
    <w:rsid w:val="00505DAB"/>
    <w:rsid w:val="00507598"/>
    <w:rsid w:val="00513E0C"/>
    <w:rsid w:val="0051549B"/>
    <w:rsid w:val="00515B51"/>
    <w:rsid w:val="00517CCB"/>
    <w:rsid w:val="00520AF9"/>
    <w:rsid w:val="00530302"/>
    <w:rsid w:val="00532BFD"/>
    <w:rsid w:val="0053319C"/>
    <w:rsid w:val="00533A74"/>
    <w:rsid w:val="00536B9D"/>
    <w:rsid w:val="0054196B"/>
    <w:rsid w:val="00543E69"/>
    <w:rsid w:val="0054494F"/>
    <w:rsid w:val="00544998"/>
    <w:rsid w:val="00544A03"/>
    <w:rsid w:val="005453A3"/>
    <w:rsid w:val="00545764"/>
    <w:rsid w:val="0054678C"/>
    <w:rsid w:val="0055162A"/>
    <w:rsid w:val="00553C58"/>
    <w:rsid w:val="00556E5A"/>
    <w:rsid w:val="0056145E"/>
    <w:rsid w:val="00561E93"/>
    <w:rsid w:val="0056278F"/>
    <w:rsid w:val="00564F99"/>
    <w:rsid w:val="00565892"/>
    <w:rsid w:val="005677A4"/>
    <w:rsid w:val="005724F0"/>
    <w:rsid w:val="005767FC"/>
    <w:rsid w:val="00581BA7"/>
    <w:rsid w:val="005834B8"/>
    <w:rsid w:val="00583587"/>
    <w:rsid w:val="00583631"/>
    <w:rsid w:val="00587256"/>
    <w:rsid w:val="0058733E"/>
    <w:rsid w:val="005909C8"/>
    <w:rsid w:val="005916C1"/>
    <w:rsid w:val="005924C4"/>
    <w:rsid w:val="00595FE5"/>
    <w:rsid w:val="00596D04"/>
    <w:rsid w:val="005A0DCC"/>
    <w:rsid w:val="005A1C61"/>
    <w:rsid w:val="005A452E"/>
    <w:rsid w:val="005B151B"/>
    <w:rsid w:val="005B2E32"/>
    <w:rsid w:val="005B5877"/>
    <w:rsid w:val="005C1E46"/>
    <w:rsid w:val="005C4AF0"/>
    <w:rsid w:val="005D0091"/>
    <w:rsid w:val="005D3F9E"/>
    <w:rsid w:val="005D681A"/>
    <w:rsid w:val="005D6E2D"/>
    <w:rsid w:val="005E10C9"/>
    <w:rsid w:val="005E122D"/>
    <w:rsid w:val="005E1665"/>
    <w:rsid w:val="005E1D56"/>
    <w:rsid w:val="005E25B2"/>
    <w:rsid w:val="005E4982"/>
    <w:rsid w:val="005F0A53"/>
    <w:rsid w:val="005F10FB"/>
    <w:rsid w:val="005F1A81"/>
    <w:rsid w:val="005F2702"/>
    <w:rsid w:val="005F2B21"/>
    <w:rsid w:val="005F2BC0"/>
    <w:rsid w:val="005F6138"/>
    <w:rsid w:val="005F71BA"/>
    <w:rsid w:val="00601518"/>
    <w:rsid w:val="00602E82"/>
    <w:rsid w:val="006036D1"/>
    <w:rsid w:val="006048B9"/>
    <w:rsid w:val="00606DB2"/>
    <w:rsid w:val="00607960"/>
    <w:rsid w:val="006128C7"/>
    <w:rsid w:val="006133C4"/>
    <w:rsid w:val="00617911"/>
    <w:rsid w:val="00621838"/>
    <w:rsid w:val="0062204D"/>
    <w:rsid w:val="00623EF6"/>
    <w:rsid w:val="00625170"/>
    <w:rsid w:val="006254B1"/>
    <w:rsid w:val="00626862"/>
    <w:rsid w:val="00630E51"/>
    <w:rsid w:val="00631FF3"/>
    <w:rsid w:val="00635962"/>
    <w:rsid w:val="00635FC3"/>
    <w:rsid w:val="00636937"/>
    <w:rsid w:val="00636BC5"/>
    <w:rsid w:val="006500EA"/>
    <w:rsid w:val="00650E90"/>
    <w:rsid w:val="00653679"/>
    <w:rsid w:val="006540EA"/>
    <w:rsid w:val="00654ACC"/>
    <w:rsid w:val="00656D5E"/>
    <w:rsid w:val="0065705F"/>
    <w:rsid w:val="006602CB"/>
    <w:rsid w:val="006641E7"/>
    <w:rsid w:val="006649E1"/>
    <w:rsid w:val="006651C7"/>
    <w:rsid w:val="00665BB3"/>
    <w:rsid w:val="00666041"/>
    <w:rsid w:val="00666CD1"/>
    <w:rsid w:val="00667016"/>
    <w:rsid w:val="00671701"/>
    <w:rsid w:val="00673F32"/>
    <w:rsid w:val="006761E4"/>
    <w:rsid w:val="00680009"/>
    <w:rsid w:val="006816CB"/>
    <w:rsid w:val="00682DF5"/>
    <w:rsid w:val="0068327A"/>
    <w:rsid w:val="00684195"/>
    <w:rsid w:val="0068771D"/>
    <w:rsid w:val="006878AA"/>
    <w:rsid w:val="0069102B"/>
    <w:rsid w:val="00697873"/>
    <w:rsid w:val="006978DA"/>
    <w:rsid w:val="006A084F"/>
    <w:rsid w:val="006A1E58"/>
    <w:rsid w:val="006A2005"/>
    <w:rsid w:val="006A6957"/>
    <w:rsid w:val="006A7648"/>
    <w:rsid w:val="006B10C4"/>
    <w:rsid w:val="006B36CD"/>
    <w:rsid w:val="006C3566"/>
    <w:rsid w:val="006C439F"/>
    <w:rsid w:val="006C5B50"/>
    <w:rsid w:val="006C76DE"/>
    <w:rsid w:val="006D4049"/>
    <w:rsid w:val="006D62B7"/>
    <w:rsid w:val="006D6F7B"/>
    <w:rsid w:val="006D7F8C"/>
    <w:rsid w:val="006E0BB2"/>
    <w:rsid w:val="006E4A14"/>
    <w:rsid w:val="006F5FDB"/>
    <w:rsid w:val="006F6A55"/>
    <w:rsid w:val="00701C3A"/>
    <w:rsid w:val="007025F0"/>
    <w:rsid w:val="007042E1"/>
    <w:rsid w:val="0070594E"/>
    <w:rsid w:val="00705F17"/>
    <w:rsid w:val="00707361"/>
    <w:rsid w:val="00713B50"/>
    <w:rsid w:val="00714035"/>
    <w:rsid w:val="00714AA4"/>
    <w:rsid w:val="00716929"/>
    <w:rsid w:val="007205C9"/>
    <w:rsid w:val="00720E87"/>
    <w:rsid w:val="007228B6"/>
    <w:rsid w:val="007232F0"/>
    <w:rsid w:val="007242A5"/>
    <w:rsid w:val="00724357"/>
    <w:rsid w:val="007276E9"/>
    <w:rsid w:val="007301D8"/>
    <w:rsid w:val="00731E60"/>
    <w:rsid w:val="0073214F"/>
    <w:rsid w:val="007356EB"/>
    <w:rsid w:val="00735B24"/>
    <w:rsid w:val="0073639C"/>
    <w:rsid w:val="00737530"/>
    <w:rsid w:val="0073761D"/>
    <w:rsid w:val="00742999"/>
    <w:rsid w:val="00742F73"/>
    <w:rsid w:val="007434AA"/>
    <w:rsid w:val="00744057"/>
    <w:rsid w:val="00747C34"/>
    <w:rsid w:val="007513B7"/>
    <w:rsid w:val="00751D89"/>
    <w:rsid w:val="007524F6"/>
    <w:rsid w:val="007538C4"/>
    <w:rsid w:val="007545C0"/>
    <w:rsid w:val="007548A8"/>
    <w:rsid w:val="00755A7D"/>
    <w:rsid w:val="0075688F"/>
    <w:rsid w:val="0076120E"/>
    <w:rsid w:val="0076143E"/>
    <w:rsid w:val="0076408E"/>
    <w:rsid w:val="00766D34"/>
    <w:rsid w:val="007679D3"/>
    <w:rsid w:val="00771049"/>
    <w:rsid w:val="00771B75"/>
    <w:rsid w:val="0077355B"/>
    <w:rsid w:val="0077600F"/>
    <w:rsid w:val="00784204"/>
    <w:rsid w:val="00784B66"/>
    <w:rsid w:val="0078676E"/>
    <w:rsid w:val="00796B02"/>
    <w:rsid w:val="007A04F6"/>
    <w:rsid w:val="007A052C"/>
    <w:rsid w:val="007A556D"/>
    <w:rsid w:val="007A597F"/>
    <w:rsid w:val="007B2170"/>
    <w:rsid w:val="007B278E"/>
    <w:rsid w:val="007B2C10"/>
    <w:rsid w:val="007B48A2"/>
    <w:rsid w:val="007B542B"/>
    <w:rsid w:val="007B616A"/>
    <w:rsid w:val="007C2403"/>
    <w:rsid w:val="007C3153"/>
    <w:rsid w:val="007D290A"/>
    <w:rsid w:val="007D5018"/>
    <w:rsid w:val="007E3924"/>
    <w:rsid w:val="007E542D"/>
    <w:rsid w:val="007E5A88"/>
    <w:rsid w:val="007E5B0B"/>
    <w:rsid w:val="007E6543"/>
    <w:rsid w:val="007E6C39"/>
    <w:rsid w:val="007E7A15"/>
    <w:rsid w:val="007F0211"/>
    <w:rsid w:val="007F0F11"/>
    <w:rsid w:val="007F2773"/>
    <w:rsid w:val="007F2DCC"/>
    <w:rsid w:val="007F7737"/>
    <w:rsid w:val="00801980"/>
    <w:rsid w:val="008024FE"/>
    <w:rsid w:val="00802C6E"/>
    <w:rsid w:val="008062C4"/>
    <w:rsid w:val="008113B6"/>
    <w:rsid w:val="00811C63"/>
    <w:rsid w:val="008131A5"/>
    <w:rsid w:val="008145BF"/>
    <w:rsid w:val="008145C3"/>
    <w:rsid w:val="008150B0"/>
    <w:rsid w:val="00817EE2"/>
    <w:rsid w:val="00820B1D"/>
    <w:rsid w:val="00821E33"/>
    <w:rsid w:val="00823C5C"/>
    <w:rsid w:val="00824651"/>
    <w:rsid w:val="008258F8"/>
    <w:rsid w:val="00834D53"/>
    <w:rsid w:val="00837914"/>
    <w:rsid w:val="00840F84"/>
    <w:rsid w:val="00842704"/>
    <w:rsid w:val="00847117"/>
    <w:rsid w:val="008573B2"/>
    <w:rsid w:val="00857FB9"/>
    <w:rsid w:val="00860913"/>
    <w:rsid w:val="0086189A"/>
    <w:rsid w:val="00865D2D"/>
    <w:rsid w:val="00871D4D"/>
    <w:rsid w:val="008733E6"/>
    <w:rsid w:val="00873E91"/>
    <w:rsid w:val="008740F9"/>
    <w:rsid w:val="0087773A"/>
    <w:rsid w:val="00882570"/>
    <w:rsid w:val="00883282"/>
    <w:rsid w:val="00883439"/>
    <w:rsid w:val="00883A5E"/>
    <w:rsid w:val="008848C2"/>
    <w:rsid w:val="00893883"/>
    <w:rsid w:val="00895294"/>
    <w:rsid w:val="008A0876"/>
    <w:rsid w:val="008A1DDA"/>
    <w:rsid w:val="008A3C2A"/>
    <w:rsid w:val="008A5B47"/>
    <w:rsid w:val="008A5E96"/>
    <w:rsid w:val="008A6EA1"/>
    <w:rsid w:val="008A7D9A"/>
    <w:rsid w:val="008B3958"/>
    <w:rsid w:val="008B7389"/>
    <w:rsid w:val="008C2535"/>
    <w:rsid w:val="008C5C7D"/>
    <w:rsid w:val="008C6AD5"/>
    <w:rsid w:val="008C70C8"/>
    <w:rsid w:val="008D22FB"/>
    <w:rsid w:val="008E156A"/>
    <w:rsid w:val="008E2246"/>
    <w:rsid w:val="008E2AED"/>
    <w:rsid w:val="008E2C73"/>
    <w:rsid w:val="008E40A3"/>
    <w:rsid w:val="008E545F"/>
    <w:rsid w:val="008E7742"/>
    <w:rsid w:val="008F2114"/>
    <w:rsid w:val="008F5383"/>
    <w:rsid w:val="009050E9"/>
    <w:rsid w:val="0091527D"/>
    <w:rsid w:val="009164BE"/>
    <w:rsid w:val="00923487"/>
    <w:rsid w:val="00931640"/>
    <w:rsid w:val="00931682"/>
    <w:rsid w:val="009345B4"/>
    <w:rsid w:val="00935730"/>
    <w:rsid w:val="00940995"/>
    <w:rsid w:val="00946BF4"/>
    <w:rsid w:val="00946C08"/>
    <w:rsid w:val="00950C2E"/>
    <w:rsid w:val="00950E94"/>
    <w:rsid w:val="00953942"/>
    <w:rsid w:val="00953B30"/>
    <w:rsid w:val="0095488B"/>
    <w:rsid w:val="009553E1"/>
    <w:rsid w:val="009559F0"/>
    <w:rsid w:val="00960888"/>
    <w:rsid w:val="00960E05"/>
    <w:rsid w:val="00961EDA"/>
    <w:rsid w:val="00962B7E"/>
    <w:rsid w:val="00962F69"/>
    <w:rsid w:val="00964115"/>
    <w:rsid w:val="0096537A"/>
    <w:rsid w:val="00965C49"/>
    <w:rsid w:val="00966822"/>
    <w:rsid w:val="00966B8B"/>
    <w:rsid w:val="009672C9"/>
    <w:rsid w:val="00971CC5"/>
    <w:rsid w:val="00972A9C"/>
    <w:rsid w:val="00972DC3"/>
    <w:rsid w:val="00973833"/>
    <w:rsid w:val="009768A1"/>
    <w:rsid w:val="00981034"/>
    <w:rsid w:val="00984B0C"/>
    <w:rsid w:val="00985281"/>
    <w:rsid w:val="0098561D"/>
    <w:rsid w:val="0098651E"/>
    <w:rsid w:val="0098706E"/>
    <w:rsid w:val="0099064D"/>
    <w:rsid w:val="009918D7"/>
    <w:rsid w:val="00996285"/>
    <w:rsid w:val="0099748D"/>
    <w:rsid w:val="00997D0D"/>
    <w:rsid w:val="009A4094"/>
    <w:rsid w:val="009A43DB"/>
    <w:rsid w:val="009A4708"/>
    <w:rsid w:val="009A4EDB"/>
    <w:rsid w:val="009A6C60"/>
    <w:rsid w:val="009B29EA"/>
    <w:rsid w:val="009B36CD"/>
    <w:rsid w:val="009B5346"/>
    <w:rsid w:val="009B69C0"/>
    <w:rsid w:val="009B6DCC"/>
    <w:rsid w:val="009C035E"/>
    <w:rsid w:val="009C1AB6"/>
    <w:rsid w:val="009C3264"/>
    <w:rsid w:val="009C5CEC"/>
    <w:rsid w:val="009C6D69"/>
    <w:rsid w:val="009D6F36"/>
    <w:rsid w:val="009E339B"/>
    <w:rsid w:val="009E5205"/>
    <w:rsid w:val="009E5472"/>
    <w:rsid w:val="009F0481"/>
    <w:rsid w:val="009F1198"/>
    <w:rsid w:val="009F2093"/>
    <w:rsid w:val="009F3128"/>
    <w:rsid w:val="009F78B3"/>
    <w:rsid w:val="00A0063B"/>
    <w:rsid w:val="00A05C4D"/>
    <w:rsid w:val="00A11368"/>
    <w:rsid w:val="00A119E4"/>
    <w:rsid w:val="00A12F74"/>
    <w:rsid w:val="00A14371"/>
    <w:rsid w:val="00A21AC2"/>
    <w:rsid w:val="00A24486"/>
    <w:rsid w:val="00A2604B"/>
    <w:rsid w:val="00A26213"/>
    <w:rsid w:val="00A27AE0"/>
    <w:rsid w:val="00A314B4"/>
    <w:rsid w:val="00A31A06"/>
    <w:rsid w:val="00A3218D"/>
    <w:rsid w:val="00A33B02"/>
    <w:rsid w:val="00A431A1"/>
    <w:rsid w:val="00A47FF2"/>
    <w:rsid w:val="00A5448E"/>
    <w:rsid w:val="00A54562"/>
    <w:rsid w:val="00A55AFF"/>
    <w:rsid w:val="00A564E4"/>
    <w:rsid w:val="00A56606"/>
    <w:rsid w:val="00A568E0"/>
    <w:rsid w:val="00A6570A"/>
    <w:rsid w:val="00A6575B"/>
    <w:rsid w:val="00A665E2"/>
    <w:rsid w:val="00A6687E"/>
    <w:rsid w:val="00A6776A"/>
    <w:rsid w:val="00A67924"/>
    <w:rsid w:val="00A717C4"/>
    <w:rsid w:val="00A73001"/>
    <w:rsid w:val="00A7419B"/>
    <w:rsid w:val="00A74BD2"/>
    <w:rsid w:val="00A74E9F"/>
    <w:rsid w:val="00A764E8"/>
    <w:rsid w:val="00A81CEC"/>
    <w:rsid w:val="00A86037"/>
    <w:rsid w:val="00A86307"/>
    <w:rsid w:val="00A86E3B"/>
    <w:rsid w:val="00A9163A"/>
    <w:rsid w:val="00A91FEB"/>
    <w:rsid w:val="00A92BB5"/>
    <w:rsid w:val="00A93C92"/>
    <w:rsid w:val="00A94347"/>
    <w:rsid w:val="00A95651"/>
    <w:rsid w:val="00A97526"/>
    <w:rsid w:val="00AA1342"/>
    <w:rsid w:val="00AA2645"/>
    <w:rsid w:val="00AA532A"/>
    <w:rsid w:val="00AA5360"/>
    <w:rsid w:val="00AA5836"/>
    <w:rsid w:val="00AA62F1"/>
    <w:rsid w:val="00AB1DFB"/>
    <w:rsid w:val="00AB5A9E"/>
    <w:rsid w:val="00AC087B"/>
    <w:rsid w:val="00AC0DDC"/>
    <w:rsid w:val="00AC50BF"/>
    <w:rsid w:val="00AC7143"/>
    <w:rsid w:val="00AC767F"/>
    <w:rsid w:val="00AD1ACC"/>
    <w:rsid w:val="00AD2941"/>
    <w:rsid w:val="00AD346D"/>
    <w:rsid w:val="00AD65D5"/>
    <w:rsid w:val="00AD7D2F"/>
    <w:rsid w:val="00AE00D5"/>
    <w:rsid w:val="00AE15EE"/>
    <w:rsid w:val="00AE2236"/>
    <w:rsid w:val="00AE22F2"/>
    <w:rsid w:val="00AE360B"/>
    <w:rsid w:val="00AE7BB0"/>
    <w:rsid w:val="00AF0FFE"/>
    <w:rsid w:val="00AF4CAC"/>
    <w:rsid w:val="00AF7970"/>
    <w:rsid w:val="00B01FBE"/>
    <w:rsid w:val="00B059D8"/>
    <w:rsid w:val="00B0672F"/>
    <w:rsid w:val="00B07243"/>
    <w:rsid w:val="00B133D5"/>
    <w:rsid w:val="00B157D1"/>
    <w:rsid w:val="00B162C8"/>
    <w:rsid w:val="00B21777"/>
    <w:rsid w:val="00B22F70"/>
    <w:rsid w:val="00B26386"/>
    <w:rsid w:val="00B3561C"/>
    <w:rsid w:val="00B35F0E"/>
    <w:rsid w:val="00B40995"/>
    <w:rsid w:val="00B463C4"/>
    <w:rsid w:val="00B46EF1"/>
    <w:rsid w:val="00B4766E"/>
    <w:rsid w:val="00B500BE"/>
    <w:rsid w:val="00B50E25"/>
    <w:rsid w:val="00B532AE"/>
    <w:rsid w:val="00B5646D"/>
    <w:rsid w:val="00B60423"/>
    <w:rsid w:val="00B765ED"/>
    <w:rsid w:val="00B77BB8"/>
    <w:rsid w:val="00B82ED0"/>
    <w:rsid w:val="00B83977"/>
    <w:rsid w:val="00B85F75"/>
    <w:rsid w:val="00B90CE5"/>
    <w:rsid w:val="00B91B39"/>
    <w:rsid w:val="00B92904"/>
    <w:rsid w:val="00B93508"/>
    <w:rsid w:val="00B93CAE"/>
    <w:rsid w:val="00B96AA5"/>
    <w:rsid w:val="00B97696"/>
    <w:rsid w:val="00BA0130"/>
    <w:rsid w:val="00BA060B"/>
    <w:rsid w:val="00BA48AE"/>
    <w:rsid w:val="00BB057C"/>
    <w:rsid w:val="00BB25CE"/>
    <w:rsid w:val="00BB2756"/>
    <w:rsid w:val="00BB344E"/>
    <w:rsid w:val="00BB5975"/>
    <w:rsid w:val="00BC11AB"/>
    <w:rsid w:val="00BC40E2"/>
    <w:rsid w:val="00BC6265"/>
    <w:rsid w:val="00BD00A8"/>
    <w:rsid w:val="00BD1B98"/>
    <w:rsid w:val="00BD72BB"/>
    <w:rsid w:val="00BD76FF"/>
    <w:rsid w:val="00BE09B0"/>
    <w:rsid w:val="00BE1C21"/>
    <w:rsid w:val="00BE1EFE"/>
    <w:rsid w:val="00BE2D20"/>
    <w:rsid w:val="00BE3B0D"/>
    <w:rsid w:val="00BE7629"/>
    <w:rsid w:val="00BF0002"/>
    <w:rsid w:val="00BF153A"/>
    <w:rsid w:val="00BF4C3E"/>
    <w:rsid w:val="00BF4E2C"/>
    <w:rsid w:val="00BF528B"/>
    <w:rsid w:val="00BF741D"/>
    <w:rsid w:val="00BF7F61"/>
    <w:rsid w:val="00C02A92"/>
    <w:rsid w:val="00C04502"/>
    <w:rsid w:val="00C04E16"/>
    <w:rsid w:val="00C06EF1"/>
    <w:rsid w:val="00C077CB"/>
    <w:rsid w:val="00C10D71"/>
    <w:rsid w:val="00C125E4"/>
    <w:rsid w:val="00C20618"/>
    <w:rsid w:val="00C23BCF"/>
    <w:rsid w:val="00C2479E"/>
    <w:rsid w:val="00C31070"/>
    <w:rsid w:val="00C32A4E"/>
    <w:rsid w:val="00C431F9"/>
    <w:rsid w:val="00C45688"/>
    <w:rsid w:val="00C47E34"/>
    <w:rsid w:val="00C5330A"/>
    <w:rsid w:val="00C557DD"/>
    <w:rsid w:val="00C55B5A"/>
    <w:rsid w:val="00C60A9F"/>
    <w:rsid w:val="00C60AB8"/>
    <w:rsid w:val="00C62DC4"/>
    <w:rsid w:val="00C6647E"/>
    <w:rsid w:val="00C7551A"/>
    <w:rsid w:val="00C8269E"/>
    <w:rsid w:val="00C84CA2"/>
    <w:rsid w:val="00C85665"/>
    <w:rsid w:val="00C9006F"/>
    <w:rsid w:val="00C944C7"/>
    <w:rsid w:val="00C945D9"/>
    <w:rsid w:val="00C97AA3"/>
    <w:rsid w:val="00CA16C7"/>
    <w:rsid w:val="00CA4CA0"/>
    <w:rsid w:val="00CA7316"/>
    <w:rsid w:val="00CB21CE"/>
    <w:rsid w:val="00CB63E6"/>
    <w:rsid w:val="00CB6892"/>
    <w:rsid w:val="00CC0A8E"/>
    <w:rsid w:val="00CC0F8A"/>
    <w:rsid w:val="00CC209D"/>
    <w:rsid w:val="00CD0167"/>
    <w:rsid w:val="00CD4D41"/>
    <w:rsid w:val="00CD658C"/>
    <w:rsid w:val="00CD7DB0"/>
    <w:rsid w:val="00CE0383"/>
    <w:rsid w:val="00CE0BB9"/>
    <w:rsid w:val="00CE313A"/>
    <w:rsid w:val="00CF3883"/>
    <w:rsid w:val="00CF5F7C"/>
    <w:rsid w:val="00D01C5F"/>
    <w:rsid w:val="00D01E46"/>
    <w:rsid w:val="00D026CC"/>
    <w:rsid w:val="00D03C7A"/>
    <w:rsid w:val="00D10E9D"/>
    <w:rsid w:val="00D11551"/>
    <w:rsid w:val="00D12200"/>
    <w:rsid w:val="00D22030"/>
    <w:rsid w:val="00D22D38"/>
    <w:rsid w:val="00D23095"/>
    <w:rsid w:val="00D23EB6"/>
    <w:rsid w:val="00D33362"/>
    <w:rsid w:val="00D37EB0"/>
    <w:rsid w:val="00D42605"/>
    <w:rsid w:val="00D446A4"/>
    <w:rsid w:val="00D44A77"/>
    <w:rsid w:val="00D44EDE"/>
    <w:rsid w:val="00D47338"/>
    <w:rsid w:val="00D4762D"/>
    <w:rsid w:val="00D52CB3"/>
    <w:rsid w:val="00D54434"/>
    <w:rsid w:val="00D55DDD"/>
    <w:rsid w:val="00D56C84"/>
    <w:rsid w:val="00D60B96"/>
    <w:rsid w:val="00D65643"/>
    <w:rsid w:val="00D70B1B"/>
    <w:rsid w:val="00D7269D"/>
    <w:rsid w:val="00D80D39"/>
    <w:rsid w:val="00D82B2E"/>
    <w:rsid w:val="00D83624"/>
    <w:rsid w:val="00D86608"/>
    <w:rsid w:val="00D86EC0"/>
    <w:rsid w:val="00DA0485"/>
    <w:rsid w:val="00DA1F8C"/>
    <w:rsid w:val="00DA5719"/>
    <w:rsid w:val="00DA6925"/>
    <w:rsid w:val="00DB39DF"/>
    <w:rsid w:val="00DB5432"/>
    <w:rsid w:val="00DB6173"/>
    <w:rsid w:val="00DB66B6"/>
    <w:rsid w:val="00DB768D"/>
    <w:rsid w:val="00DC152C"/>
    <w:rsid w:val="00DC317E"/>
    <w:rsid w:val="00DC36A8"/>
    <w:rsid w:val="00DC3AE0"/>
    <w:rsid w:val="00DC400F"/>
    <w:rsid w:val="00DC573D"/>
    <w:rsid w:val="00DC63CB"/>
    <w:rsid w:val="00DC6C0A"/>
    <w:rsid w:val="00DD0516"/>
    <w:rsid w:val="00DD4485"/>
    <w:rsid w:val="00DD4BF6"/>
    <w:rsid w:val="00DE4214"/>
    <w:rsid w:val="00DE699A"/>
    <w:rsid w:val="00DE7451"/>
    <w:rsid w:val="00DE768F"/>
    <w:rsid w:val="00DF242D"/>
    <w:rsid w:val="00DF4728"/>
    <w:rsid w:val="00DF47E8"/>
    <w:rsid w:val="00DF5AB2"/>
    <w:rsid w:val="00DF7A4C"/>
    <w:rsid w:val="00E001B4"/>
    <w:rsid w:val="00E03815"/>
    <w:rsid w:val="00E03C8F"/>
    <w:rsid w:val="00E05DE0"/>
    <w:rsid w:val="00E072E6"/>
    <w:rsid w:val="00E075C0"/>
    <w:rsid w:val="00E10D3C"/>
    <w:rsid w:val="00E111B4"/>
    <w:rsid w:val="00E16FE6"/>
    <w:rsid w:val="00E1749A"/>
    <w:rsid w:val="00E23ECB"/>
    <w:rsid w:val="00E32C53"/>
    <w:rsid w:val="00E33DDB"/>
    <w:rsid w:val="00E352FF"/>
    <w:rsid w:val="00E4007C"/>
    <w:rsid w:val="00E404A3"/>
    <w:rsid w:val="00E406E9"/>
    <w:rsid w:val="00E415BA"/>
    <w:rsid w:val="00E41D55"/>
    <w:rsid w:val="00E438CF"/>
    <w:rsid w:val="00E45015"/>
    <w:rsid w:val="00E50EE4"/>
    <w:rsid w:val="00E52F4E"/>
    <w:rsid w:val="00E5725D"/>
    <w:rsid w:val="00E632AD"/>
    <w:rsid w:val="00E64FE1"/>
    <w:rsid w:val="00E6530C"/>
    <w:rsid w:val="00E670D7"/>
    <w:rsid w:val="00E673E7"/>
    <w:rsid w:val="00E70293"/>
    <w:rsid w:val="00E70C46"/>
    <w:rsid w:val="00E812FC"/>
    <w:rsid w:val="00E81E09"/>
    <w:rsid w:val="00E82232"/>
    <w:rsid w:val="00E85303"/>
    <w:rsid w:val="00E86CE6"/>
    <w:rsid w:val="00E922B3"/>
    <w:rsid w:val="00E92A75"/>
    <w:rsid w:val="00EA11C9"/>
    <w:rsid w:val="00EA306D"/>
    <w:rsid w:val="00EA6583"/>
    <w:rsid w:val="00EB318C"/>
    <w:rsid w:val="00EB6B21"/>
    <w:rsid w:val="00EB77E6"/>
    <w:rsid w:val="00EC13CB"/>
    <w:rsid w:val="00EC24DC"/>
    <w:rsid w:val="00EC385D"/>
    <w:rsid w:val="00EC484E"/>
    <w:rsid w:val="00ED0B5F"/>
    <w:rsid w:val="00ED25E7"/>
    <w:rsid w:val="00EE00D9"/>
    <w:rsid w:val="00EE1D72"/>
    <w:rsid w:val="00EE4099"/>
    <w:rsid w:val="00EE6C2C"/>
    <w:rsid w:val="00EF1719"/>
    <w:rsid w:val="00EF2E68"/>
    <w:rsid w:val="00EF52E1"/>
    <w:rsid w:val="00F009D6"/>
    <w:rsid w:val="00F020ED"/>
    <w:rsid w:val="00F03204"/>
    <w:rsid w:val="00F0490A"/>
    <w:rsid w:val="00F06ACD"/>
    <w:rsid w:val="00F06DD9"/>
    <w:rsid w:val="00F10090"/>
    <w:rsid w:val="00F11E48"/>
    <w:rsid w:val="00F2011F"/>
    <w:rsid w:val="00F20507"/>
    <w:rsid w:val="00F22A5D"/>
    <w:rsid w:val="00F22EC2"/>
    <w:rsid w:val="00F23D28"/>
    <w:rsid w:val="00F2730E"/>
    <w:rsid w:val="00F3171D"/>
    <w:rsid w:val="00F31D05"/>
    <w:rsid w:val="00F34C16"/>
    <w:rsid w:val="00F37585"/>
    <w:rsid w:val="00F40D20"/>
    <w:rsid w:val="00F41513"/>
    <w:rsid w:val="00F468C7"/>
    <w:rsid w:val="00F54A43"/>
    <w:rsid w:val="00F54CDB"/>
    <w:rsid w:val="00F5690C"/>
    <w:rsid w:val="00F5750F"/>
    <w:rsid w:val="00F61A2B"/>
    <w:rsid w:val="00F6352E"/>
    <w:rsid w:val="00F64508"/>
    <w:rsid w:val="00F70F34"/>
    <w:rsid w:val="00F84637"/>
    <w:rsid w:val="00F90716"/>
    <w:rsid w:val="00F968B6"/>
    <w:rsid w:val="00F96B60"/>
    <w:rsid w:val="00F97A7B"/>
    <w:rsid w:val="00FA2863"/>
    <w:rsid w:val="00FA31B4"/>
    <w:rsid w:val="00FA31DA"/>
    <w:rsid w:val="00FB0FF9"/>
    <w:rsid w:val="00FB6146"/>
    <w:rsid w:val="00FC2C4C"/>
    <w:rsid w:val="00FC3B59"/>
    <w:rsid w:val="00FC63F9"/>
    <w:rsid w:val="00FD01C3"/>
    <w:rsid w:val="00FD127A"/>
    <w:rsid w:val="00FD27BB"/>
    <w:rsid w:val="00FD40C5"/>
    <w:rsid w:val="00FD5BF9"/>
    <w:rsid w:val="00FE1032"/>
    <w:rsid w:val="00FE277D"/>
    <w:rsid w:val="00FE4CCC"/>
    <w:rsid w:val="00FE4E62"/>
    <w:rsid w:val="00FE5F57"/>
    <w:rsid w:val="00FF48E5"/>
    <w:rsid w:val="00FF4F76"/>
    <w:rsid w:val="00FF5A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037DE3-0295-4A29-AB3D-4E5BECB1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right" w:pos="9072"/>
      </w:tabs>
      <w:spacing w:before="120"/>
      <w:jc w:val="center"/>
      <w:outlineLvl w:val="0"/>
    </w:pPr>
    <w:rPr>
      <w:szCs w:val="20"/>
      <w:lang w:val="en-AU"/>
    </w:rPr>
  </w:style>
  <w:style w:type="paragraph" w:styleId="Heading2">
    <w:name w:val="heading 2"/>
    <w:basedOn w:val="Normal"/>
    <w:next w:val="Normal"/>
    <w:qFormat/>
    <w:pPr>
      <w:keepNext/>
      <w:tabs>
        <w:tab w:val="right" w:pos="9072"/>
      </w:tabs>
      <w:spacing w:before="120"/>
      <w:jc w:val="center"/>
      <w:outlineLvl w:val="1"/>
    </w:pPr>
    <w:rPr>
      <w:sz w:val="28"/>
      <w:szCs w:val="26"/>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center"/>
    </w:pPr>
    <w:rPr>
      <w:b/>
      <w:bCs/>
      <w:sz w:val="26"/>
    </w:rPr>
  </w:style>
  <w:style w:type="paragraph" w:styleId="BodyText2">
    <w:name w:val="Body Text 2"/>
    <w:basedOn w:val="Normal"/>
    <w:semiHidden/>
    <w:pPr>
      <w:jc w:val="both"/>
    </w:pPr>
    <w:rPr>
      <w:sz w:val="26"/>
    </w:rPr>
  </w:style>
  <w:style w:type="paragraph" w:customStyle="1" w:styleId="naisf">
    <w:name w:val="naisf"/>
    <w:basedOn w:val="Normal"/>
    <w:pPr>
      <w:spacing w:before="100" w:beforeAutospacing="1" w:after="100" w:afterAutospacing="1"/>
      <w:jc w:val="both"/>
    </w:pPr>
  </w:style>
  <w:style w:type="paragraph" w:customStyle="1" w:styleId="nais1">
    <w:name w:val="nais1"/>
    <w:basedOn w:val="Normal"/>
    <w:pPr>
      <w:spacing w:before="100" w:beforeAutospacing="1" w:after="100" w:afterAutospacing="1"/>
      <w:jc w:val="both"/>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naisc">
    <w:name w:val="naisc"/>
    <w:basedOn w:val="Normal"/>
    <w:pPr>
      <w:spacing w:before="100" w:after="100"/>
      <w:jc w:val="center"/>
    </w:pPr>
    <w:rPr>
      <w:sz w:val="26"/>
      <w:szCs w:val="20"/>
    </w:rPr>
  </w:style>
  <w:style w:type="paragraph" w:styleId="NormalWeb">
    <w:name w:val="Normal (Web)"/>
    <w:basedOn w:val="Normal"/>
    <w:uiPriority w:val="99"/>
    <w:pPr>
      <w:spacing w:before="100" w:after="100"/>
    </w:pPr>
    <w:rPr>
      <w:szCs w:val="20"/>
    </w:rPr>
  </w:style>
  <w:style w:type="paragraph" w:customStyle="1" w:styleId="naislab">
    <w:name w:val="naislab"/>
    <w:basedOn w:val="Normal"/>
    <w:pPr>
      <w:spacing w:before="100" w:after="100"/>
      <w:jc w:val="right"/>
    </w:pPr>
    <w:rPr>
      <w:szCs w:val="20"/>
    </w:rPr>
  </w:style>
  <w:style w:type="paragraph" w:styleId="Header">
    <w:name w:val="header"/>
    <w:basedOn w:val="Normal"/>
    <w:semiHidden/>
    <w:pPr>
      <w:tabs>
        <w:tab w:val="center" w:pos="4153"/>
        <w:tab w:val="right" w:pos="8306"/>
      </w:tabs>
    </w:pPr>
  </w:style>
  <w:style w:type="paragraph" w:styleId="BodyTextIndent2">
    <w:name w:val="Body Text Indent 2"/>
    <w:basedOn w:val="Normal"/>
    <w:semiHidden/>
    <w:pPr>
      <w:ind w:firstLine="720"/>
      <w:jc w:val="both"/>
    </w:pPr>
    <w:rPr>
      <w:sz w:val="28"/>
      <w:szCs w:val="20"/>
      <w:lang w:val="en-AU"/>
    </w:rPr>
  </w:style>
  <w:style w:type="paragraph" w:styleId="BodyText3">
    <w:name w:val="Body Text 3"/>
    <w:basedOn w:val="Normal"/>
    <w:semiHidden/>
    <w:pPr>
      <w:jc w:val="both"/>
    </w:pPr>
    <w:rPr>
      <w:b/>
      <w:bCs/>
    </w:rPr>
  </w:style>
  <w:style w:type="paragraph" w:styleId="BodyTextIndent">
    <w:name w:val="Body Text Indent"/>
    <w:basedOn w:val="Normal"/>
    <w:link w:val="BodyTextIndentChar"/>
    <w:rsid w:val="00923487"/>
    <w:pPr>
      <w:spacing w:after="120"/>
      <w:ind w:left="283"/>
    </w:pPr>
    <w:rPr>
      <w:lang w:val="en-GB"/>
    </w:rPr>
  </w:style>
  <w:style w:type="character" w:customStyle="1" w:styleId="BodyTextIndentChar">
    <w:name w:val="Body Text Indent Char"/>
    <w:link w:val="BodyTextIndent"/>
    <w:rsid w:val="00923487"/>
    <w:rPr>
      <w:sz w:val="24"/>
      <w:szCs w:val="24"/>
      <w:lang w:val="en-GB" w:eastAsia="en-US"/>
    </w:rPr>
  </w:style>
  <w:style w:type="paragraph" w:styleId="Caption">
    <w:name w:val="caption"/>
    <w:basedOn w:val="Normal"/>
    <w:next w:val="Normal"/>
    <w:qFormat/>
    <w:rsid w:val="00D70B1B"/>
    <w:pPr>
      <w:ind w:firstLine="851"/>
    </w:pPr>
    <w:rPr>
      <w:rFonts w:ascii="Times New Roman BaltRim" w:hAnsi="Times New Roman BaltRim"/>
      <w:szCs w:val="20"/>
      <w:lang w:eastAsia="lv-LV"/>
    </w:rPr>
  </w:style>
  <w:style w:type="paragraph" w:styleId="BalloonText">
    <w:name w:val="Balloon Text"/>
    <w:basedOn w:val="Normal"/>
    <w:semiHidden/>
    <w:rsid w:val="005D3F9E"/>
    <w:rPr>
      <w:rFonts w:ascii="Tahoma" w:hAnsi="Tahoma" w:cs="Tahoma"/>
      <w:sz w:val="16"/>
      <w:szCs w:val="16"/>
    </w:rPr>
  </w:style>
  <w:style w:type="table" w:styleId="TableGrid">
    <w:name w:val="Table Grid"/>
    <w:basedOn w:val="TableNormal"/>
    <w:rsid w:val="005D3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RakstzCharChar">
    <w:name w:val="Char Char Char Rakstz. Char Char"/>
    <w:basedOn w:val="Normal"/>
    <w:rsid w:val="005D3F9E"/>
    <w:pPr>
      <w:spacing w:before="40"/>
    </w:pPr>
    <w:rPr>
      <w:lang w:val="pl-PL" w:eastAsia="pl-PL"/>
    </w:rPr>
  </w:style>
  <w:style w:type="paragraph" w:customStyle="1" w:styleId="Char">
    <w:name w:val="Char"/>
    <w:basedOn w:val="Normal"/>
    <w:rsid w:val="005D3F9E"/>
    <w:pPr>
      <w:spacing w:after="160" w:line="240" w:lineRule="exact"/>
    </w:pPr>
    <w:rPr>
      <w:rFonts w:ascii="Tahoma" w:hAnsi="Tahoma"/>
      <w:sz w:val="20"/>
      <w:szCs w:val="20"/>
      <w:lang w:val="en-US"/>
    </w:rPr>
  </w:style>
  <w:style w:type="paragraph" w:customStyle="1" w:styleId="naisvisr">
    <w:name w:val="naisvisr"/>
    <w:basedOn w:val="Normal"/>
    <w:rsid w:val="00B90CE5"/>
    <w:pPr>
      <w:spacing w:before="100" w:after="100"/>
      <w:jc w:val="center"/>
    </w:pPr>
    <w:rPr>
      <w:b/>
      <w:sz w:val="28"/>
      <w:szCs w:val="20"/>
    </w:rPr>
  </w:style>
  <w:style w:type="character" w:styleId="Hyperlink">
    <w:name w:val="Hyperlink"/>
    <w:rsid w:val="00E33DDB"/>
    <w:rPr>
      <w:color w:val="0000FF"/>
      <w:u w:val="single"/>
    </w:rPr>
  </w:style>
  <w:style w:type="character" w:customStyle="1" w:styleId="FontStyle45">
    <w:name w:val="Font Style45"/>
    <w:rsid w:val="001E126B"/>
    <w:rPr>
      <w:rFonts w:ascii="Times New Roman" w:hAnsi="Times New Roman" w:cs="Times New Roman"/>
      <w:b/>
      <w:bCs/>
      <w:i/>
      <w:iCs/>
      <w:sz w:val="22"/>
      <w:szCs w:val="22"/>
    </w:rPr>
  </w:style>
  <w:style w:type="character" w:styleId="CommentReference">
    <w:name w:val="annotation reference"/>
    <w:semiHidden/>
    <w:rsid w:val="00A717C4"/>
    <w:rPr>
      <w:sz w:val="16"/>
      <w:szCs w:val="16"/>
    </w:rPr>
  </w:style>
  <w:style w:type="paragraph" w:styleId="CommentText">
    <w:name w:val="annotation text"/>
    <w:basedOn w:val="Normal"/>
    <w:semiHidden/>
    <w:rsid w:val="00A717C4"/>
    <w:rPr>
      <w:sz w:val="20"/>
      <w:szCs w:val="20"/>
    </w:rPr>
  </w:style>
  <w:style w:type="paragraph" w:styleId="CommentSubject">
    <w:name w:val="annotation subject"/>
    <w:basedOn w:val="CommentText"/>
    <w:next w:val="CommentText"/>
    <w:semiHidden/>
    <w:rsid w:val="00A717C4"/>
    <w:rPr>
      <w:b/>
      <w:bCs/>
    </w:rPr>
  </w:style>
  <w:style w:type="paragraph" w:customStyle="1" w:styleId="naiskr">
    <w:name w:val="naiskr"/>
    <w:basedOn w:val="Normal"/>
    <w:rsid w:val="00AE00D5"/>
    <w:pPr>
      <w:spacing w:before="100" w:beforeAutospacing="1" w:after="100" w:afterAutospacing="1"/>
    </w:pPr>
    <w:rPr>
      <w:lang w:eastAsia="lv-LV"/>
    </w:rPr>
  </w:style>
  <w:style w:type="paragraph" w:customStyle="1" w:styleId="RakstzCharCharRakstzCharCharRakstzCharCharRakstz">
    <w:name w:val="Rakstz. Char Char Rakstz. Char Char Rakstz. Char Char Rakstz."/>
    <w:basedOn w:val="Normal"/>
    <w:rsid w:val="005E25B2"/>
    <w:pPr>
      <w:spacing w:after="160" w:line="240" w:lineRule="exact"/>
    </w:pPr>
    <w:rPr>
      <w:rFonts w:ascii="Tahoma" w:hAnsi="Tahoma"/>
      <w:sz w:val="20"/>
      <w:szCs w:val="20"/>
      <w:lang w:val="en-US"/>
    </w:rPr>
  </w:style>
  <w:style w:type="paragraph" w:customStyle="1" w:styleId="naisnod">
    <w:name w:val="naisnod"/>
    <w:basedOn w:val="Normal"/>
    <w:rsid w:val="00F5690C"/>
    <w:pPr>
      <w:spacing w:before="115" w:after="115"/>
      <w:jc w:val="center"/>
    </w:pPr>
    <w:rPr>
      <w:b/>
      <w:bCs/>
      <w:lang w:eastAsia="lv-LV"/>
    </w:rPr>
  </w:style>
  <w:style w:type="paragraph" w:styleId="BodyTextIndent3">
    <w:name w:val="Body Text Indent 3"/>
    <w:basedOn w:val="Normal"/>
    <w:rsid w:val="00F5690C"/>
    <w:pPr>
      <w:spacing w:after="120"/>
      <w:ind w:left="283"/>
    </w:pPr>
    <w:rPr>
      <w:sz w:val="16"/>
      <w:szCs w:val="16"/>
      <w:lang w:val="en-US" w:eastAsia="lv-LV"/>
    </w:rPr>
  </w:style>
  <w:style w:type="character" w:customStyle="1" w:styleId="apple-style-span">
    <w:name w:val="apple-style-span"/>
    <w:basedOn w:val="DefaultParagraphFont"/>
    <w:rsid w:val="00654ACC"/>
  </w:style>
  <w:style w:type="table" w:customStyle="1" w:styleId="TableGrid1">
    <w:name w:val="Table Grid1"/>
    <w:basedOn w:val="TableNormal"/>
    <w:next w:val="TableGrid"/>
    <w:uiPriority w:val="59"/>
    <w:rsid w:val="007D501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semiHidden/>
    <w:rsid w:val="00504EF9"/>
    <w:rPr>
      <w:b/>
      <w:bCs/>
      <w:sz w:val="2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2809">
      <w:bodyDiv w:val="1"/>
      <w:marLeft w:val="0"/>
      <w:marRight w:val="0"/>
      <w:marTop w:val="0"/>
      <w:marBottom w:val="0"/>
      <w:divBdr>
        <w:top w:val="none" w:sz="0" w:space="0" w:color="auto"/>
        <w:left w:val="none" w:sz="0" w:space="0" w:color="auto"/>
        <w:bottom w:val="none" w:sz="0" w:space="0" w:color="auto"/>
        <w:right w:val="none" w:sz="0" w:space="0" w:color="auto"/>
      </w:divBdr>
    </w:div>
    <w:div w:id="294994315">
      <w:bodyDiv w:val="1"/>
      <w:marLeft w:val="0"/>
      <w:marRight w:val="0"/>
      <w:marTop w:val="0"/>
      <w:marBottom w:val="0"/>
      <w:divBdr>
        <w:top w:val="none" w:sz="0" w:space="0" w:color="auto"/>
        <w:left w:val="none" w:sz="0" w:space="0" w:color="auto"/>
        <w:bottom w:val="none" w:sz="0" w:space="0" w:color="auto"/>
        <w:right w:val="none" w:sz="0" w:space="0" w:color="auto"/>
      </w:divBdr>
    </w:div>
    <w:div w:id="717751092">
      <w:bodyDiv w:val="1"/>
      <w:marLeft w:val="0"/>
      <w:marRight w:val="0"/>
      <w:marTop w:val="0"/>
      <w:marBottom w:val="0"/>
      <w:divBdr>
        <w:top w:val="none" w:sz="0" w:space="0" w:color="auto"/>
        <w:left w:val="none" w:sz="0" w:space="0" w:color="auto"/>
        <w:bottom w:val="none" w:sz="0" w:space="0" w:color="auto"/>
        <w:right w:val="none" w:sz="0" w:space="0" w:color="auto"/>
      </w:divBdr>
    </w:div>
    <w:div w:id="1006859578">
      <w:bodyDiv w:val="1"/>
      <w:marLeft w:val="0"/>
      <w:marRight w:val="0"/>
      <w:marTop w:val="0"/>
      <w:marBottom w:val="0"/>
      <w:divBdr>
        <w:top w:val="none" w:sz="0" w:space="0" w:color="auto"/>
        <w:left w:val="none" w:sz="0" w:space="0" w:color="auto"/>
        <w:bottom w:val="none" w:sz="0" w:space="0" w:color="auto"/>
        <w:right w:val="none" w:sz="0" w:space="0" w:color="auto"/>
      </w:divBdr>
    </w:div>
    <w:div w:id="1093892843">
      <w:bodyDiv w:val="1"/>
      <w:marLeft w:val="0"/>
      <w:marRight w:val="0"/>
      <w:marTop w:val="0"/>
      <w:marBottom w:val="0"/>
      <w:divBdr>
        <w:top w:val="none" w:sz="0" w:space="0" w:color="auto"/>
        <w:left w:val="none" w:sz="0" w:space="0" w:color="auto"/>
        <w:bottom w:val="none" w:sz="0" w:space="0" w:color="auto"/>
        <w:right w:val="none" w:sz="0" w:space="0" w:color="auto"/>
      </w:divBdr>
    </w:div>
    <w:div w:id="1114709124">
      <w:bodyDiv w:val="1"/>
      <w:marLeft w:val="0"/>
      <w:marRight w:val="0"/>
      <w:marTop w:val="0"/>
      <w:marBottom w:val="0"/>
      <w:divBdr>
        <w:top w:val="none" w:sz="0" w:space="0" w:color="auto"/>
        <w:left w:val="none" w:sz="0" w:space="0" w:color="auto"/>
        <w:bottom w:val="none" w:sz="0" w:space="0" w:color="auto"/>
        <w:right w:val="none" w:sz="0" w:space="0" w:color="auto"/>
      </w:divBdr>
    </w:div>
    <w:div w:id="1317225466">
      <w:bodyDiv w:val="1"/>
      <w:marLeft w:val="0"/>
      <w:marRight w:val="0"/>
      <w:marTop w:val="0"/>
      <w:marBottom w:val="0"/>
      <w:divBdr>
        <w:top w:val="none" w:sz="0" w:space="0" w:color="auto"/>
        <w:left w:val="none" w:sz="0" w:space="0" w:color="auto"/>
        <w:bottom w:val="none" w:sz="0" w:space="0" w:color="auto"/>
        <w:right w:val="none" w:sz="0" w:space="0" w:color="auto"/>
      </w:divBdr>
    </w:div>
    <w:div w:id="1616063986">
      <w:bodyDiv w:val="1"/>
      <w:marLeft w:val="0"/>
      <w:marRight w:val="0"/>
      <w:marTop w:val="0"/>
      <w:marBottom w:val="0"/>
      <w:divBdr>
        <w:top w:val="none" w:sz="0" w:space="0" w:color="auto"/>
        <w:left w:val="none" w:sz="0" w:space="0" w:color="auto"/>
        <w:bottom w:val="none" w:sz="0" w:space="0" w:color="auto"/>
        <w:right w:val="none" w:sz="0" w:space="0" w:color="auto"/>
      </w:divBdr>
    </w:div>
    <w:div w:id="1673683144">
      <w:bodyDiv w:val="1"/>
      <w:marLeft w:val="0"/>
      <w:marRight w:val="0"/>
      <w:marTop w:val="0"/>
      <w:marBottom w:val="0"/>
      <w:divBdr>
        <w:top w:val="none" w:sz="0" w:space="0" w:color="auto"/>
        <w:left w:val="none" w:sz="0" w:space="0" w:color="auto"/>
        <w:bottom w:val="none" w:sz="0" w:space="0" w:color="auto"/>
        <w:right w:val="none" w:sz="0" w:space="0" w:color="auto"/>
      </w:divBdr>
    </w:div>
    <w:div w:id="1919553608">
      <w:bodyDiv w:val="1"/>
      <w:marLeft w:val="0"/>
      <w:marRight w:val="0"/>
      <w:marTop w:val="0"/>
      <w:marBottom w:val="0"/>
      <w:divBdr>
        <w:top w:val="none" w:sz="0" w:space="0" w:color="auto"/>
        <w:left w:val="none" w:sz="0" w:space="0" w:color="auto"/>
        <w:bottom w:val="none" w:sz="0" w:space="0" w:color="auto"/>
        <w:right w:val="none" w:sz="0" w:space="0" w:color="auto"/>
      </w:divBdr>
    </w:div>
    <w:div w:id="1955360863">
      <w:bodyDiv w:val="1"/>
      <w:marLeft w:val="0"/>
      <w:marRight w:val="0"/>
      <w:marTop w:val="0"/>
      <w:marBottom w:val="0"/>
      <w:divBdr>
        <w:top w:val="none" w:sz="0" w:space="0" w:color="auto"/>
        <w:left w:val="none" w:sz="0" w:space="0" w:color="auto"/>
        <w:bottom w:val="none" w:sz="0" w:space="0" w:color="auto"/>
        <w:right w:val="none" w:sz="0" w:space="0" w:color="auto"/>
      </w:divBdr>
    </w:div>
    <w:div w:id="2010742516">
      <w:bodyDiv w:val="1"/>
      <w:marLeft w:val="0"/>
      <w:marRight w:val="0"/>
      <w:marTop w:val="0"/>
      <w:marBottom w:val="0"/>
      <w:divBdr>
        <w:top w:val="none" w:sz="0" w:space="0" w:color="auto"/>
        <w:left w:val="none" w:sz="0" w:space="0" w:color="auto"/>
        <w:bottom w:val="none" w:sz="0" w:space="0" w:color="auto"/>
        <w:right w:val="none" w:sz="0" w:space="0" w:color="auto"/>
      </w:divBdr>
    </w:div>
    <w:div w:id="212437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Artemjev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765C1-5346-4239-ADCA-FDA622481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1531</Words>
  <Characters>11168</Characters>
  <Application>Microsoft Office Word</Application>
  <DocSecurity>0</DocSecurity>
  <Lines>385</Lines>
  <Paragraphs>158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Ministru kabineta 2010.gada 21.jūnija noteikumos Nr.565 „Noteikumi par valsts un pašvaldību institūciju amatpersonu un darbinieku sociālajām garantijām”” projekts</vt:lpstr>
      <vt:lpstr>Ministru kabineta noteikumu "Grozījumi Ministru kabineta 2010.gada 21.jūnija noteikumos Nr.565 „Noteikumi par valsts un pašvaldību institūciju amatpersonu un darbinieku sociālajām garantijām”” projekts</vt:lpstr>
    </vt:vector>
  </TitlesOfParts>
  <Company>Finanšu ministrija</Company>
  <LinksUpToDate>false</LinksUpToDate>
  <CharactersWithSpaces>12541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2010.gada 21.jūnija noteikumos Nr.565 „Noteikumi par valsts un pašvaldību institūciju amatpersonu un darbinieku sociālajām garantijām”” projekts</dc:title>
  <dc:subject>Anotācija</dc:subject>
  <dc:creator>I.Artemjeva</dc:creator>
  <dc:description>67095599;
Ineta.Artemjeva@fm.gov.lv</dc:description>
  <cp:lastModifiedBy>Artemjeva Ineta</cp:lastModifiedBy>
  <cp:revision>11</cp:revision>
  <cp:lastPrinted>2012-06-05T08:22:00Z</cp:lastPrinted>
  <dcterms:created xsi:type="dcterms:W3CDTF">2013-05-08T11:05:00Z</dcterms:created>
  <dcterms:modified xsi:type="dcterms:W3CDTF">2013-05-22T10:59:00Z</dcterms:modified>
</cp:coreProperties>
</file>