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EA" w:rsidRPr="00813786" w:rsidRDefault="008F669D" w:rsidP="00CA1BE8">
      <w:pPr>
        <w:spacing w:before="100" w:beforeAutospacing="1" w:after="100" w:afterAutospacing="1"/>
        <w:jc w:val="center"/>
        <w:outlineLvl w:val="2"/>
        <w:rPr>
          <w:b/>
          <w:bCs/>
        </w:rPr>
      </w:pPr>
      <w:r>
        <w:rPr>
          <w:b/>
          <w:bCs/>
        </w:rPr>
        <w:t xml:space="preserve">Grozījumi </w:t>
      </w:r>
      <w:r w:rsidR="00CA1BE8" w:rsidRPr="00CA1BE8">
        <w:rPr>
          <w:rFonts w:eastAsiaTheme="minorHAnsi"/>
          <w:b/>
          <w:bCs/>
          <w:lang w:eastAsia="en-US"/>
        </w:rPr>
        <w:t>Republikas pilsētu un novadu vēlēšanu komisiju un v</w:t>
      </w:r>
      <w:r>
        <w:rPr>
          <w:rFonts w:eastAsiaTheme="minorHAnsi"/>
          <w:b/>
          <w:bCs/>
          <w:lang w:eastAsia="en-US"/>
        </w:rPr>
        <w:t xml:space="preserve">ēlēšanu iecirkņu komisiju likumā </w:t>
      </w:r>
      <w:r w:rsidR="002617EA" w:rsidRPr="00813786">
        <w:rPr>
          <w:b/>
          <w:bCs/>
        </w:rPr>
        <w:t>sākotnējās ietekmes</w:t>
      </w:r>
      <w:r w:rsidR="00CA1BE8">
        <w:rPr>
          <w:b/>
          <w:bCs/>
        </w:rPr>
        <w:t xml:space="preserve"> </w:t>
      </w:r>
      <w:r w:rsidR="002617EA" w:rsidRPr="00813786">
        <w:rPr>
          <w:b/>
          <w:bCs/>
        </w:rPr>
        <w:t xml:space="preserve">novērtējuma </w:t>
      </w:r>
      <w:smartTag w:uri="schemas-tilde-lv/tildestengine" w:element="veidnes">
        <w:smartTagPr>
          <w:attr w:name="text" w:val="ziņojums"/>
          <w:attr w:name="baseform" w:val="ziņojums"/>
          <w:attr w:name="id" w:val="-1"/>
        </w:smartTagPr>
        <w:r w:rsidR="002617EA" w:rsidRPr="00813786">
          <w:rPr>
            <w:b/>
            <w:bCs/>
          </w:rPr>
          <w:t>ziņojums</w:t>
        </w:r>
      </w:smartTag>
      <w:r w:rsidR="002617EA" w:rsidRPr="00813786">
        <w:rPr>
          <w:b/>
          <w:bCs/>
        </w:rPr>
        <w:t xml:space="preserve">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62"/>
      </w:tblGrid>
      <w:tr w:rsidR="002617EA" w:rsidRPr="00813786" w:rsidTr="00402314">
        <w:tc>
          <w:tcPr>
            <w:tcW w:w="9786" w:type="dxa"/>
            <w:gridSpan w:val="3"/>
            <w:vAlign w:val="center"/>
          </w:tcPr>
          <w:p w:rsidR="002617EA" w:rsidRPr="00813786" w:rsidRDefault="002617EA" w:rsidP="002617EA">
            <w:pPr>
              <w:jc w:val="center"/>
              <w:rPr>
                <w:b/>
                <w:bCs/>
              </w:rPr>
            </w:pPr>
            <w:r w:rsidRPr="00813786">
              <w:rPr>
                <w:b/>
                <w:bCs/>
              </w:rPr>
              <w:t>I. Tiesību akta projekta izstrādes nepieciešamība</w:t>
            </w:r>
          </w:p>
        </w:tc>
      </w:tr>
      <w:tr w:rsidR="002617EA" w:rsidRPr="00813786" w:rsidTr="00402314">
        <w:trPr>
          <w:trHeight w:val="630"/>
        </w:trPr>
        <w:tc>
          <w:tcPr>
            <w:tcW w:w="550" w:type="dxa"/>
          </w:tcPr>
          <w:p w:rsidR="002617EA" w:rsidRPr="00813786" w:rsidRDefault="002617EA" w:rsidP="002617EA">
            <w:r w:rsidRPr="00813786">
              <w:t>1.</w:t>
            </w:r>
          </w:p>
        </w:tc>
        <w:tc>
          <w:tcPr>
            <w:tcW w:w="2574" w:type="dxa"/>
          </w:tcPr>
          <w:p w:rsidR="002617EA" w:rsidRPr="00813786" w:rsidRDefault="002617EA" w:rsidP="002617EA">
            <w:pPr>
              <w:ind w:hanging="10"/>
            </w:pPr>
            <w:r w:rsidRPr="00813786">
              <w:t>Pamatojums</w:t>
            </w:r>
          </w:p>
        </w:tc>
        <w:tc>
          <w:tcPr>
            <w:tcW w:w="6662" w:type="dxa"/>
          </w:tcPr>
          <w:p w:rsidR="00E958B7" w:rsidRPr="00813786" w:rsidRDefault="002A1FF7" w:rsidP="00402314">
            <w:pPr>
              <w:ind w:left="142" w:right="142" w:firstLine="425"/>
              <w:jc w:val="both"/>
            </w:pPr>
            <w:r w:rsidRPr="00813786">
              <w:t>Li</w:t>
            </w:r>
            <w:r w:rsidR="008F669D">
              <w:t xml:space="preserve">kumprojekts  „Grozījumi </w:t>
            </w:r>
            <w:r w:rsidR="00CA1BE8" w:rsidRPr="00CA1BE8">
              <w:t>Republikas pilsētu un novadu vēlēšanu komisiju un v</w:t>
            </w:r>
            <w:r w:rsidR="008F669D">
              <w:t>ēlēšanu iecirkņu komisiju likumā”</w:t>
            </w:r>
            <w:r w:rsidR="004E3FBF" w:rsidRPr="00813786">
              <w:t xml:space="preserve"> (turpmāk – likumprojekts)</w:t>
            </w:r>
            <w:r w:rsidRPr="00813786">
              <w:t xml:space="preserve"> ir izstrādāts saskaņā ar Ministra prezidenta 2010. gada 26. augusta rezolūciju Nr.9/13-2n/172-(9/10) un Ministru kabineta 2010. gada 14. septembra protokola Nr.47, 60.§.</w:t>
            </w:r>
          </w:p>
        </w:tc>
      </w:tr>
      <w:tr w:rsidR="002617EA" w:rsidRPr="00813786" w:rsidTr="00402314">
        <w:trPr>
          <w:trHeight w:val="472"/>
        </w:trPr>
        <w:tc>
          <w:tcPr>
            <w:tcW w:w="550" w:type="dxa"/>
          </w:tcPr>
          <w:p w:rsidR="002617EA" w:rsidRPr="00813786" w:rsidRDefault="002617EA" w:rsidP="002617EA">
            <w:r w:rsidRPr="00813786">
              <w:t>2.</w:t>
            </w:r>
          </w:p>
        </w:tc>
        <w:tc>
          <w:tcPr>
            <w:tcW w:w="2574" w:type="dxa"/>
          </w:tcPr>
          <w:p w:rsidR="002617EA" w:rsidRPr="00813786" w:rsidRDefault="002617EA" w:rsidP="00813786">
            <w:pPr>
              <w:tabs>
                <w:tab w:val="left" w:pos="170"/>
              </w:tabs>
              <w:jc w:val="both"/>
            </w:pPr>
            <w:r w:rsidRPr="00813786">
              <w:t>Pašreizējā situācija un problēmas</w:t>
            </w:r>
          </w:p>
        </w:tc>
        <w:tc>
          <w:tcPr>
            <w:tcW w:w="6662" w:type="dxa"/>
          </w:tcPr>
          <w:p w:rsidR="00402314" w:rsidRPr="00813786" w:rsidRDefault="004E3FBF" w:rsidP="00402314">
            <w:pPr>
              <w:ind w:left="142" w:right="142" w:firstLine="425"/>
              <w:jc w:val="both"/>
            </w:pPr>
            <w:r w:rsidRPr="00813786">
              <w:t xml:space="preserve">Šobrīd </w:t>
            </w:r>
            <w:r w:rsidR="00CA1BE8" w:rsidRPr="00CA1BE8">
              <w:t>Republikas pilsētu un novadu vēlēšanu komisiju un v</w:t>
            </w:r>
            <w:r w:rsidR="008F669D">
              <w:t>ēlēšanu iecirkņu komisiju likumā</w:t>
            </w:r>
            <w:r w:rsidR="002D1A23" w:rsidRPr="00813786">
              <w:t xml:space="preserve"> (turpmāk – Komisiju likums)</w:t>
            </w:r>
            <w:r w:rsidRPr="00813786">
              <w:t xml:space="preserve"> nav noteikta kārtība, kādā plānot finansējumu vēlēšanām gadījumā, kad tās </w:t>
            </w:r>
            <w:r w:rsidR="00F6026A">
              <w:t xml:space="preserve">notiek vienlaicīgi un </w:t>
            </w:r>
            <w:r w:rsidRPr="00813786">
              <w:t>tiek finansētas no dažādiem budžetiem, kā arī</w:t>
            </w:r>
            <w:r w:rsidR="002D1A23" w:rsidRPr="00813786">
              <w:t xml:space="preserve"> nav noteikta kārtība,</w:t>
            </w:r>
            <w:r w:rsidRPr="00813786">
              <w:t xml:space="preserve"> kādā nošķirt un atsevišķi uzskaitīt Eiropas </w:t>
            </w:r>
            <w:r w:rsidR="00F6026A">
              <w:t>P</w:t>
            </w:r>
            <w:r w:rsidRPr="00813786">
              <w:t>arlamenta, Pašvaldību vēlēšanu laikā no valsts un pašvaldību budžetiem veiktos izdevumus. Tā rezultātā vēlēšanu komisiju darbiniekiem aprēķināta un izmaksāta atlīdzība no valsts un pašvaldību budžetiem par darba laiku, ka</w:t>
            </w:r>
            <w:r w:rsidR="00D10388">
              <w:t>s pārsniedz 24 stundas diennaktī,</w:t>
            </w:r>
            <w:r w:rsidRPr="00813786">
              <w:t xml:space="preserve"> vai arī </w:t>
            </w:r>
            <w:r w:rsidR="00D10388">
              <w:t xml:space="preserve">tiek </w:t>
            </w:r>
            <w:r w:rsidRPr="00813786">
              <w:t xml:space="preserve">aprēķināta un izmaksāta atlīdzība </w:t>
            </w:r>
            <w:r w:rsidR="00D10388">
              <w:t>no valsts budžeta Eiropas P</w:t>
            </w:r>
            <w:r w:rsidRPr="00813786">
              <w:t>arlamenta vēlēšanām piešķirtajiem līdzekļiem.</w:t>
            </w:r>
            <w:r w:rsidR="002D1A23" w:rsidRPr="00813786">
              <w:t xml:space="preserve"> </w:t>
            </w:r>
          </w:p>
          <w:p w:rsidR="002D1A23" w:rsidRPr="00813786" w:rsidRDefault="00F6026A" w:rsidP="00F6026A">
            <w:pPr>
              <w:ind w:left="142" w:right="142" w:firstLine="425"/>
              <w:jc w:val="both"/>
            </w:pPr>
            <w:r>
              <w:t>Savukārt attiecībā uz Komisiju likuma 3.panta piekto daļu, š</w:t>
            </w:r>
            <w:r w:rsidR="002D1A23" w:rsidRPr="00813786">
              <w:t xml:space="preserve">obrīd pastāv </w:t>
            </w:r>
            <w:r>
              <w:t xml:space="preserve">tās </w:t>
            </w:r>
            <w:r w:rsidR="002D1A23" w:rsidRPr="00813786">
              <w:t>dažāda</w:t>
            </w:r>
            <w:r>
              <w:t>s</w:t>
            </w:r>
            <w:r w:rsidR="002D1A23" w:rsidRPr="00813786">
              <w:t xml:space="preserve"> interpretācija</w:t>
            </w:r>
            <w:r>
              <w:t>s</w:t>
            </w:r>
            <w:r w:rsidR="002D1A23" w:rsidRPr="00813786">
              <w:t>, proti,  Komisiju likuma 3.panta  piektā daļa noteic, ka</w:t>
            </w:r>
            <w:r w:rsidR="002D1A23" w:rsidRPr="00813786">
              <w:rPr>
                <w:rFonts w:ascii="Verdana" w:hAnsi="Verdana"/>
              </w:rPr>
              <w:t xml:space="preserve"> </w:t>
            </w:r>
            <w:r w:rsidR="002D1A23" w:rsidRPr="00813786">
              <w:t xml:space="preserve">vēlēšanu (balsošanas) sarīkošanai nepieciešamās valsts vai pašvaldības īpašumā (valdījumā) esošās telpas ierādāmas bez nomas maksas, taču </w:t>
            </w:r>
            <w:r w:rsidR="00D10388">
              <w:t>ir gadījumi, kad</w:t>
            </w:r>
            <w:r w:rsidR="002D1A23" w:rsidRPr="00813786">
              <w:t xml:space="preserve"> </w:t>
            </w:r>
            <w:r w:rsidR="00D10388">
              <w:t xml:space="preserve">atsevišķas </w:t>
            </w:r>
            <w:r w:rsidR="002D1A23" w:rsidRPr="00813786">
              <w:t>vēlēšan</w:t>
            </w:r>
            <w:r w:rsidR="00D10388">
              <w:t>u</w:t>
            </w:r>
            <w:r w:rsidR="002D1A23" w:rsidRPr="00813786">
              <w:t xml:space="preserve"> komisija</w:t>
            </w:r>
            <w:r w:rsidR="00D10388">
              <w:t>s</w:t>
            </w:r>
            <w:r w:rsidR="002D1A23" w:rsidRPr="00813786">
              <w:t xml:space="preserve"> </w:t>
            </w:r>
            <w:r w:rsidR="00D10388">
              <w:t>ir veikušas</w:t>
            </w:r>
            <w:r w:rsidR="002D1A23" w:rsidRPr="00813786">
              <w:t xml:space="preserve"> samaksu par valsts vai pašvaldības īpašumā (valdījumā) esošām telpām, kurām saskaņā ar iepri</w:t>
            </w:r>
            <w:r w:rsidR="00E958B7" w:rsidRPr="00813786">
              <w:t xml:space="preserve">ekš minēto tiesību normu, </w:t>
            </w:r>
            <w:r w:rsidR="002D1A23" w:rsidRPr="00813786">
              <w:t xml:space="preserve"> būtu jābūt</w:t>
            </w:r>
            <w:r w:rsidR="00E958B7" w:rsidRPr="00813786">
              <w:t xml:space="preserve"> ierādītām bez nomas maksas.</w:t>
            </w:r>
          </w:p>
        </w:tc>
      </w:tr>
      <w:tr w:rsidR="002617EA" w:rsidRPr="00813786" w:rsidTr="00402314">
        <w:trPr>
          <w:trHeight w:val="1071"/>
        </w:trPr>
        <w:tc>
          <w:tcPr>
            <w:tcW w:w="550" w:type="dxa"/>
          </w:tcPr>
          <w:p w:rsidR="002617EA" w:rsidRPr="00813786" w:rsidRDefault="002617EA" w:rsidP="002617EA">
            <w:r w:rsidRPr="00813786">
              <w:t>3.</w:t>
            </w:r>
          </w:p>
        </w:tc>
        <w:tc>
          <w:tcPr>
            <w:tcW w:w="2574" w:type="dxa"/>
          </w:tcPr>
          <w:p w:rsidR="002617EA" w:rsidRPr="00813786" w:rsidRDefault="002617EA" w:rsidP="00813786">
            <w:pPr>
              <w:jc w:val="both"/>
            </w:pPr>
            <w:r w:rsidRPr="00813786">
              <w:t>Saistītie politikas ietekmes novērtējumi un pētījumi</w:t>
            </w:r>
          </w:p>
        </w:tc>
        <w:tc>
          <w:tcPr>
            <w:tcW w:w="6662" w:type="dxa"/>
          </w:tcPr>
          <w:p w:rsidR="002617EA" w:rsidRPr="00813786" w:rsidRDefault="007E1E78" w:rsidP="00402314">
            <w:pPr>
              <w:ind w:left="142" w:right="142" w:firstLine="283"/>
              <w:jc w:val="both"/>
            </w:pPr>
            <w:r w:rsidRPr="00813786">
              <w:t>Grozījumi Komisiju likumā ir jāizstrādā izvērtējot Valsts kontroles</w:t>
            </w:r>
            <w:r w:rsidR="00CA1BE8">
              <w:t xml:space="preserve"> 2010. gada 23. aprīļa</w:t>
            </w:r>
            <w:r w:rsidRPr="00813786">
              <w:t xml:space="preserve"> </w:t>
            </w:r>
            <w:r w:rsidR="00CA1BE8">
              <w:t xml:space="preserve">Revīzijas </w:t>
            </w:r>
            <w:r w:rsidRPr="00813786">
              <w:t>ziņojumu</w:t>
            </w:r>
            <w:r w:rsidR="00CA1BE8">
              <w:t xml:space="preserve"> Nr.</w:t>
            </w:r>
            <w:r w:rsidR="00CA1BE8">
              <w:rPr>
                <w:rFonts w:ascii="TimesNewRomanPSMT" w:eastAsiaTheme="minorHAnsi" w:hAnsi="TimesNewRomanPSMT" w:cs="TimesNewRomanPSMT"/>
                <w:lang w:eastAsia="en-US"/>
              </w:rPr>
              <w:t>5.1-2-36/2009</w:t>
            </w:r>
            <w:r w:rsidR="00CA1BE8" w:rsidRPr="00813786">
              <w:t xml:space="preserve"> </w:t>
            </w:r>
            <w:r w:rsidR="00CA1BE8">
              <w:t xml:space="preserve"> „P</w:t>
            </w:r>
            <w:r w:rsidRPr="00813786">
              <w:t>ar Centrālās vēlēšanu komisijas 2009. gada pārskata pareizību</w:t>
            </w:r>
            <w:r w:rsidR="00CA1BE8">
              <w:t>”</w:t>
            </w:r>
            <w:r w:rsidRPr="00813786">
              <w:t>.</w:t>
            </w:r>
          </w:p>
          <w:p w:rsidR="007E1E78" w:rsidRPr="00813786" w:rsidRDefault="007E1E78" w:rsidP="00402314">
            <w:pPr>
              <w:ind w:left="142" w:right="142" w:firstLine="283"/>
              <w:jc w:val="both"/>
            </w:pPr>
            <w:r w:rsidRPr="00813786">
              <w:t>Valsts kontroles ziņojumā ir norādīts, ka vēlēšanām kopā no valsts un no pašvaldību budžetiem piešķirto finanšu līdzekļu izlietošana nav izsekojam un caurskatāma, un finanšu resursi netiek pārvaldīti efektīvākajā veidā, līdz ar to nepieciešams veikt normatīvā regulējuma uzlabojumus, veicinot finanšu līdzekļu izsekojamību un caurskatāmību.</w:t>
            </w:r>
          </w:p>
        </w:tc>
      </w:tr>
      <w:tr w:rsidR="002617EA" w:rsidRPr="00813786" w:rsidTr="00402314">
        <w:trPr>
          <w:trHeight w:val="384"/>
        </w:trPr>
        <w:tc>
          <w:tcPr>
            <w:tcW w:w="550" w:type="dxa"/>
          </w:tcPr>
          <w:p w:rsidR="002617EA" w:rsidRPr="00813786" w:rsidRDefault="002617EA" w:rsidP="002617EA">
            <w:r w:rsidRPr="00813786">
              <w:t>4.</w:t>
            </w:r>
          </w:p>
        </w:tc>
        <w:tc>
          <w:tcPr>
            <w:tcW w:w="2574" w:type="dxa"/>
          </w:tcPr>
          <w:p w:rsidR="002617EA" w:rsidRPr="00813786" w:rsidRDefault="002617EA" w:rsidP="00813786">
            <w:pPr>
              <w:jc w:val="both"/>
            </w:pPr>
            <w:r w:rsidRPr="00813786">
              <w:t>Tiesiskā regulējuma mērķis un būtība</w:t>
            </w:r>
          </w:p>
        </w:tc>
        <w:tc>
          <w:tcPr>
            <w:tcW w:w="6662" w:type="dxa"/>
          </w:tcPr>
          <w:p w:rsidR="002617EA" w:rsidRPr="00813786" w:rsidRDefault="007E1E78" w:rsidP="00402314">
            <w:pPr>
              <w:ind w:left="142" w:right="81" w:firstLine="425"/>
              <w:jc w:val="both"/>
            </w:pPr>
            <w:r w:rsidRPr="00813786">
              <w:t xml:space="preserve">Lai nodrošinātu efektīvu finanšu resursu plānošanu, pārvaldīšanu un izlietoto līdzekļu izsekojamību gadījumos, kad Eiropas Parlamenta, Saeimas vēlēšanas vai tautas nobalsošanas, kas tiek finansētas no valsts budžeta līdzekļiem, notiek vienlaicīgi ar pašvaldību vēlēšanām, kas pamatā tiek finansētas no pašvaldību budžetiem,  </w:t>
            </w:r>
            <w:r w:rsidR="002F351C" w:rsidRPr="00813786">
              <w:t xml:space="preserve">likumprojekts </w:t>
            </w:r>
            <w:r w:rsidR="00F6026A">
              <w:t xml:space="preserve">paredz </w:t>
            </w:r>
            <w:r w:rsidR="002F351C" w:rsidRPr="00813786">
              <w:t>normu, ka</w:t>
            </w:r>
            <w:r w:rsidR="00D10388">
              <w:t>s noteic, ka</w:t>
            </w:r>
            <w:r w:rsidR="002F351C" w:rsidRPr="00813786">
              <w:t xml:space="preserve"> </w:t>
            </w:r>
            <w:r w:rsidR="00402314" w:rsidRPr="00813786">
              <w:t>k</w:t>
            </w:r>
            <w:r w:rsidR="002F351C" w:rsidRPr="00813786">
              <w:t xml:space="preserve">ārtību, kādā plāno, nošķir un uzskaita valsts budžeta līdzekļus Saeimas </w:t>
            </w:r>
            <w:r w:rsidR="002F351C" w:rsidRPr="00813786">
              <w:lastRenderedPageBreak/>
              <w:t>vēlēšanu, Eiropas Parlamenta vēlēšanu vai tautas nobalsošanas nodrošināšanai, gadījumos, kad tās notiek vienlaicīgi  ar pašvaldību domes vēlēšanām, nosaka Centrālā vēlēšanu komisija</w:t>
            </w:r>
            <w:r w:rsidR="00402314" w:rsidRPr="00813786">
              <w:t>.</w:t>
            </w:r>
          </w:p>
          <w:p w:rsidR="005A6A3B" w:rsidRPr="00813786" w:rsidRDefault="005A6A3B" w:rsidP="00ED3636">
            <w:pPr>
              <w:ind w:left="142" w:right="81" w:firstLine="425"/>
              <w:jc w:val="both"/>
            </w:pPr>
            <w:r w:rsidRPr="00813786">
              <w:t xml:space="preserve">Lai novērstu normatīvā akta normas dažādas interpretācijas iespējamību, </w:t>
            </w:r>
            <w:r w:rsidR="00ED3636" w:rsidRPr="00813786">
              <w:t xml:space="preserve"> likumprojekts noteic  </w:t>
            </w:r>
            <w:r w:rsidR="00ED3636">
              <w:t>Komisiju likuma 3.</w:t>
            </w:r>
            <w:r w:rsidR="00CA1BE8">
              <w:t> </w:t>
            </w:r>
            <w:r w:rsidR="00ED3636">
              <w:t>panta piektajā daļā, kur jau ir norādīts, ka v</w:t>
            </w:r>
            <w:r w:rsidR="00ED3636" w:rsidRPr="00ED3636">
              <w:t>ēlēšanu (balsošanas) sarīkošanai nepieciešamās valsts vai pašvaldības īpašumā (valdījumā) esošās telpas ierādāmas bez nomas maksas</w:t>
            </w:r>
            <w:r w:rsidR="00ED3636">
              <w:t xml:space="preserve">, precīzi atrunāt, ka </w:t>
            </w:r>
            <w:r w:rsidR="00ED3636" w:rsidRPr="00813786">
              <w:t xml:space="preserve"> </w:t>
            </w:r>
            <w:r w:rsidRPr="00813786">
              <w:t>ar telpu uzturēšanu saistītos izdevumus sedz no republikas pilsētas vai novada budžeta.</w:t>
            </w:r>
          </w:p>
        </w:tc>
      </w:tr>
      <w:tr w:rsidR="002617EA" w:rsidRPr="00813786" w:rsidTr="00402314">
        <w:trPr>
          <w:trHeight w:val="476"/>
        </w:trPr>
        <w:tc>
          <w:tcPr>
            <w:tcW w:w="550" w:type="dxa"/>
          </w:tcPr>
          <w:p w:rsidR="002617EA" w:rsidRPr="00813786" w:rsidRDefault="002617EA" w:rsidP="002617EA">
            <w:r w:rsidRPr="00813786">
              <w:lastRenderedPageBreak/>
              <w:t>5.</w:t>
            </w:r>
          </w:p>
        </w:tc>
        <w:tc>
          <w:tcPr>
            <w:tcW w:w="2574" w:type="dxa"/>
          </w:tcPr>
          <w:p w:rsidR="002617EA" w:rsidRPr="00813786" w:rsidRDefault="002617EA" w:rsidP="00813786">
            <w:pPr>
              <w:jc w:val="both"/>
            </w:pPr>
            <w:r w:rsidRPr="00813786">
              <w:t>Projekta izstrādē iesaistītās institūcijas</w:t>
            </w:r>
          </w:p>
        </w:tc>
        <w:tc>
          <w:tcPr>
            <w:tcW w:w="6662" w:type="dxa"/>
          </w:tcPr>
          <w:p w:rsidR="002617EA" w:rsidRPr="00813786" w:rsidRDefault="005A6A3B" w:rsidP="000D69B6">
            <w:pPr>
              <w:ind w:firstLine="142"/>
            </w:pPr>
            <w:r w:rsidRPr="00813786">
              <w:rPr>
                <w:iCs/>
              </w:rPr>
              <w:t>Projekts šo jomu neskar.</w:t>
            </w:r>
          </w:p>
        </w:tc>
      </w:tr>
      <w:tr w:rsidR="002617EA" w:rsidRPr="00813786" w:rsidTr="00402314">
        <w:trPr>
          <w:trHeight w:val="1340"/>
        </w:trPr>
        <w:tc>
          <w:tcPr>
            <w:tcW w:w="550" w:type="dxa"/>
          </w:tcPr>
          <w:p w:rsidR="002617EA" w:rsidRPr="00813786" w:rsidRDefault="002617EA" w:rsidP="002617EA">
            <w:r w:rsidRPr="00813786">
              <w:t>6.</w:t>
            </w:r>
          </w:p>
        </w:tc>
        <w:tc>
          <w:tcPr>
            <w:tcW w:w="2574" w:type="dxa"/>
          </w:tcPr>
          <w:p w:rsidR="002617EA" w:rsidRPr="00813786" w:rsidRDefault="002617EA" w:rsidP="00813786">
            <w:pPr>
              <w:jc w:val="both"/>
              <w:rPr>
                <w:i/>
                <w:highlight w:val="yellow"/>
              </w:rPr>
            </w:pPr>
            <w:r w:rsidRPr="00813786">
              <w:t>Iemesli, kādēļ netika nodrošināta sabiedrības līdzdalība</w:t>
            </w:r>
          </w:p>
        </w:tc>
        <w:tc>
          <w:tcPr>
            <w:tcW w:w="6662" w:type="dxa"/>
          </w:tcPr>
          <w:p w:rsidR="002617EA" w:rsidRPr="00813786" w:rsidRDefault="00A62786" w:rsidP="000D69B6">
            <w:pPr>
              <w:ind w:firstLine="142"/>
            </w:pPr>
            <w:r w:rsidRPr="00813786">
              <w:rPr>
                <w:iCs/>
              </w:rPr>
              <w:t>Projekts šo jomu neskar.</w:t>
            </w:r>
          </w:p>
        </w:tc>
      </w:tr>
      <w:tr w:rsidR="002617EA" w:rsidRPr="00813786" w:rsidTr="00402314">
        <w:tc>
          <w:tcPr>
            <w:tcW w:w="550" w:type="dxa"/>
          </w:tcPr>
          <w:p w:rsidR="002617EA" w:rsidRPr="00813786" w:rsidRDefault="002617EA" w:rsidP="002617EA">
            <w:r w:rsidRPr="00813786">
              <w:t>7.</w:t>
            </w:r>
          </w:p>
        </w:tc>
        <w:tc>
          <w:tcPr>
            <w:tcW w:w="2574" w:type="dxa"/>
          </w:tcPr>
          <w:p w:rsidR="002617EA" w:rsidRPr="00813786" w:rsidRDefault="002617EA" w:rsidP="002617EA">
            <w:r w:rsidRPr="00813786">
              <w:t>Cita informācija</w:t>
            </w:r>
          </w:p>
        </w:tc>
        <w:tc>
          <w:tcPr>
            <w:tcW w:w="6662" w:type="dxa"/>
          </w:tcPr>
          <w:p w:rsidR="009A6F15" w:rsidRPr="00813786" w:rsidRDefault="009A6F15" w:rsidP="000D69B6">
            <w:pPr>
              <w:ind w:firstLine="567"/>
              <w:jc w:val="both"/>
            </w:pPr>
            <w:r>
              <w:t xml:space="preserve"> </w:t>
            </w:r>
            <w:r w:rsidRPr="00E518F4">
              <w:rPr>
                <w:iCs/>
              </w:rPr>
              <w:t>Finanšu ministri</w:t>
            </w:r>
            <w:r w:rsidR="000D69B6">
              <w:rPr>
                <w:iCs/>
              </w:rPr>
              <w:t>ja</w:t>
            </w:r>
            <w:r w:rsidRPr="00E518F4">
              <w:rPr>
                <w:iCs/>
              </w:rPr>
              <w:t xml:space="preserve"> atbilstoši Ministru kabineta 2010. gada 14. septembra sēdes protokola Nr.47, 60.§. 2.punktā </w:t>
            </w:r>
            <w:r w:rsidR="000D69B6">
              <w:rPr>
                <w:iCs/>
              </w:rPr>
              <w:t>dotajam uzdevumam papildināja</w:t>
            </w:r>
            <w:r w:rsidRPr="00E518F4">
              <w:rPr>
                <w:iCs/>
              </w:rPr>
              <w:t xml:space="preserve"> Ministru kabineta vēstules projektu Saeimai „Par Saeimas Publisko izdevumu un revīzijas komisijas </w:t>
            </w:r>
            <w:proofErr w:type="spellStart"/>
            <w:r w:rsidRPr="00E518F4">
              <w:rPr>
                <w:iCs/>
              </w:rPr>
              <w:t>š.g</w:t>
            </w:r>
            <w:proofErr w:type="spellEnd"/>
            <w:r w:rsidRPr="00E518F4">
              <w:rPr>
                <w:iCs/>
              </w:rPr>
              <w:t>. 25.</w:t>
            </w:r>
            <w:r w:rsidR="00E518F4" w:rsidRPr="00E518F4">
              <w:rPr>
                <w:iCs/>
              </w:rPr>
              <w:t> </w:t>
            </w:r>
            <w:r w:rsidRPr="00E518F4">
              <w:rPr>
                <w:iCs/>
              </w:rPr>
              <w:t>augusta vēstuli Nr.9/13-2-n/172-(9/10)” ar norādi</w:t>
            </w:r>
            <w:r w:rsidR="00E518F4" w:rsidRPr="00E518F4">
              <w:rPr>
                <w:iCs/>
              </w:rPr>
              <w:t>, ka Ministru kabinets</w:t>
            </w:r>
            <w:r w:rsidRPr="00E518F4">
              <w:rPr>
                <w:iCs/>
              </w:rPr>
              <w:t xml:space="preserve"> iesniegs Saeimā attiecīgus </w:t>
            </w:r>
            <w:r w:rsidR="00E518F4">
              <w:rPr>
                <w:iCs/>
              </w:rPr>
              <w:t>Komisijas</w:t>
            </w:r>
            <w:r w:rsidRPr="00E518F4">
              <w:rPr>
                <w:iCs/>
              </w:rPr>
              <w:t xml:space="preserve"> likuma grozījumus</w:t>
            </w:r>
            <w:r w:rsidR="00E518F4" w:rsidRPr="00E518F4">
              <w:rPr>
                <w:iCs/>
              </w:rPr>
              <w:t xml:space="preserve"> līdz 2011. gada 1. septembrim</w:t>
            </w:r>
            <w:r w:rsidRPr="00E518F4">
              <w:rPr>
                <w:iCs/>
              </w:rPr>
              <w:t>.</w:t>
            </w:r>
          </w:p>
        </w:tc>
      </w:tr>
    </w:tbl>
    <w:p w:rsidR="002617EA" w:rsidRPr="00813786" w:rsidRDefault="002617EA" w:rsidP="002617EA">
      <w:pPr>
        <w:ind w:firstLine="375"/>
        <w:jc w:val="both"/>
      </w:pPr>
    </w:p>
    <w:p w:rsidR="002617EA" w:rsidRPr="00813786" w:rsidRDefault="002617EA" w:rsidP="002617EA">
      <w:pPr>
        <w:tabs>
          <w:tab w:val="left" w:pos="2628"/>
        </w:tabs>
        <w:rPr>
          <w:i/>
        </w:rPr>
      </w:pPr>
    </w:p>
    <w:tbl>
      <w:tblPr>
        <w:tblW w:w="9911"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18"/>
        <w:gridCol w:w="6182"/>
      </w:tblGrid>
      <w:tr w:rsidR="002617EA" w:rsidRPr="00813786" w:rsidTr="00A62786">
        <w:trPr>
          <w:jc w:val="center"/>
        </w:trPr>
        <w:tc>
          <w:tcPr>
            <w:tcW w:w="9911" w:type="dxa"/>
            <w:gridSpan w:val="3"/>
          </w:tcPr>
          <w:p w:rsidR="002617EA" w:rsidRPr="00813786" w:rsidRDefault="002617EA" w:rsidP="002617EA">
            <w:pPr>
              <w:jc w:val="center"/>
              <w:rPr>
                <w:b/>
                <w:bCs/>
              </w:rPr>
            </w:pPr>
            <w:r w:rsidRPr="00813786">
              <w:rPr>
                <w:b/>
                <w:bCs/>
              </w:rPr>
              <w:t>IV. Tiesību akta projekta ietekme uz spēkā esošo tiesību normu sistēmu</w:t>
            </w:r>
          </w:p>
        </w:tc>
      </w:tr>
      <w:tr w:rsidR="002617EA" w:rsidRPr="00813786" w:rsidTr="00A62786">
        <w:trPr>
          <w:jc w:val="center"/>
        </w:trPr>
        <w:tc>
          <w:tcPr>
            <w:tcW w:w="611" w:type="dxa"/>
          </w:tcPr>
          <w:p w:rsidR="002617EA" w:rsidRPr="00813786" w:rsidRDefault="002617EA" w:rsidP="002617EA">
            <w:pPr>
              <w:tabs>
                <w:tab w:val="left" w:pos="2628"/>
              </w:tabs>
              <w:jc w:val="both"/>
              <w:rPr>
                <w:iCs/>
              </w:rPr>
            </w:pPr>
            <w:r w:rsidRPr="00813786">
              <w:rPr>
                <w:iCs/>
              </w:rPr>
              <w:t>1.</w:t>
            </w:r>
          </w:p>
        </w:tc>
        <w:tc>
          <w:tcPr>
            <w:tcW w:w="3118" w:type="dxa"/>
          </w:tcPr>
          <w:p w:rsidR="002617EA" w:rsidRPr="00813786" w:rsidRDefault="002617EA" w:rsidP="002617EA">
            <w:pPr>
              <w:tabs>
                <w:tab w:val="left" w:pos="2628"/>
              </w:tabs>
              <w:jc w:val="both"/>
              <w:rPr>
                <w:iCs/>
              </w:rPr>
            </w:pPr>
            <w:r w:rsidRPr="00813786">
              <w:t>Nepieciešamie saistītie tiesību aktu projekti</w:t>
            </w:r>
          </w:p>
        </w:tc>
        <w:tc>
          <w:tcPr>
            <w:tcW w:w="6182" w:type="dxa"/>
          </w:tcPr>
          <w:p w:rsidR="009F2153" w:rsidRPr="00813786" w:rsidRDefault="009F2153" w:rsidP="00674590">
            <w:pPr>
              <w:tabs>
                <w:tab w:val="left" w:pos="2628"/>
              </w:tabs>
              <w:ind w:firstLine="368"/>
              <w:jc w:val="both"/>
              <w:rPr>
                <w:iCs/>
              </w:rPr>
            </w:pPr>
            <w:r w:rsidRPr="00813786">
              <w:rPr>
                <w:iCs/>
              </w:rPr>
              <w:t xml:space="preserve">Saskaņā ar grozījumiem Komisiju likumā </w:t>
            </w:r>
            <w:r w:rsidR="00F959A6" w:rsidRPr="00813786">
              <w:rPr>
                <w:iCs/>
              </w:rPr>
              <w:t>Centrāla</w:t>
            </w:r>
            <w:r w:rsidR="00F959A6">
              <w:rPr>
                <w:iCs/>
              </w:rPr>
              <w:t>i</w:t>
            </w:r>
            <w:r w:rsidRPr="00813786">
              <w:rPr>
                <w:iCs/>
              </w:rPr>
              <w:t xml:space="preserve"> </w:t>
            </w:r>
            <w:r w:rsidR="00ED3636" w:rsidRPr="00813786">
              <w:rPr>
                <w:iCs/>
              </w:rPr>
              <w:t>vēlēšan</w:t>
            </w:r>
            <w:r w:rsidR="00ED3636">
              <w:rPr>
                <w:iCs/>
              </w:rPr>
              <w:t>u</w:t>
            </w:r>
            <w:r w:rsidR="00ED3636" w:rsidRPr="00813786">
              <w:rPr>
                <w:iCs/>
              </w:rPr>
              <w:t xml:space="preserve"> </w:t>
            </w:r>
            <w:r w:rsidRPr="00813786">
              <w:rPr>
                <w:iCs/>
              </w:rPr>
              <w:t xml:space="preserve">komisijai būs </w:t>
            </w:r>
            <w:r w:rsidR="00674590" w:rsidRPr="00813786">
              <w:rPr>
                <w:iCs/>
              </w:rPr>
              <w:t xml:space="preserve">nepieciešams </w:t>
            </w:r>
            <w:r w:rsidR="00913FA6">
              <w:rPr>
                <w:iCs/>
              </w:rPr>
              <w:t>izstrādāt normatīvā akta projektu</w:t>
            </w:r>
            <w:r w:rsidR="00D10388">
              <w:rPr>
                <w:iCs/>
              </w:rPr>
              <w:t xml:space="preserve"> (turpmāk – </w:t>
            </w:r>
            <w:r w:rsidR="00913FA6">
              <w:rPr>
                <w:iCs/>
              </w:rPr>
              <w:t>projekts</w:t>
            </w:r>
            <w:r w:rsidR="00D10388">
              <w:rPr>
                <w:iCs/>
              </w:rPr>
              <w:t>)</w:t>
            </w:r>
            <w:r w:rsidRPr="00813786">
              <w:rPr>
                <w:iCs/>
              </w:rPr>
              <w:t>, nosakot kārtību</w:t>
            </w:r>
            <w:r w:rsidR="00674590" w:rsidRPr="00813786">
              <w:rPr>
                <w:iCs/>
              </w:rPr>
              <w:t>, kādā plāno, nošķir un uzskaita valsts budžeta līdzekļus Saeimas vēlēšanu, Eiropas Parlamenta vēlēšanu vai tautas nobalsošanas nodrošināšanai, gadījumos, kad tā</w:t>
            </w:r>
            <w:r w:rsidR="00D10388">
              <w:rPr>
                <w:iCs/>
              </w:rPr>
              <w:t>s</w:t>
            </w:r>
            <w:r w:rsidR="00674590" w:rsidRPr="00813786">
              <w:rPr>
                <w:iCs/>
              </w:rPr>
              <w:t xml:space="preserve"> notiek vienlaicīgi ar pašvaldības domes vēlēšanām.</w:t>
            </w:r>
          </w:p>
          <w:p w:rsidR="00674590" w:rsidRPr="00813786" w:rsidRDefault="00913FA6" w:rsidP="00674590">
            <w:pPr>
              <w:tabs>
                <w:tab w:val="left" w:pos="2628"/>
              </w:tabs>
              <w:ind w:firstLine="368"/>
              <w:jc w:val="both"/>
              <w:rPr>
                <w:iCs/>
              </w:rPr>
            </w:pPr>
            <w:r>
              <w:rPr>
                <w:iCs/>
              </w:rPr>
              <w:t>Projekts</w:t>
            </w:r>
            <w:r w:rsidR="00674590" w:rsidRPr="00813786">
              <w:rPr>
                <w:iCs/>
              </w:rPr>
              <w:t xml:space="preserve"> jāizstrādā pēc likumprojekta spēkā stāšanās.</w:t>
            </w:r>
          </w:p>
        </w:tc>
      </w:tr>
      <w:tr w:rsidR="002617EA" w:rsidRPr="00813786" w:rsidTr="00A62786">
        <w:trPr>
          <w:jc w:val="center"/>
        </w:trPr>
        <w:tc>
          <w:tcPr>
            <w:tcW w:w="611" w:type="dxa"/>
          </w:tcPr>
          <w:p w:rsidR="002617EA" w:rsidRPr="00813786" w:rsidRDefault="002617EA" w:rsidP="002617EA">
            <w:pPr>
              <w:tabs>
                <w:tab w:val="left" w:pos="2628"/>
              </w:tabs>
              <w:jc w:val="both"/>
              <w:rPr>
                <w:iCs/>
              </w:rPr>
            </w:pPr>
            <w:r w:rsidRPr="00813786">
              <w:rPr>
                <w:iCs/>
              </w:rPr>
              <w:t>2.</w:t>
            </w:r>
          </w:p>
        </w:tc>
        <w:tc>
          <w:tcPr>
            <w:tcW w:w="3118" w:type="dxa"/>
          </w:tcPr>
          <w:p w:rsidR="002617EA" w:rsidRPr="00813786" w:rsidRDefault="002617EA" w:rsidP="002617EA">
            <w:pPr>
              <w:tabs>
                <w:tab w:val="left" w:pos="2628"/>
              </w:tabs>
              <w:jc w:val="both"/>
              <w:rPr>
                <w:iCs/>
              </w:rPr>
            </w:pPr>
            <w:r w:rsidRPr="00813786">
              <w:t>Cita informācija</w:t>
            </w:r>
          </w:p>
        </w:tc>
        <w:tc>
          <w:tcPr>
            <w:tcW w:w="6182" w:type="dxa"/>
          </w:tcPr>
          <w:p w:rsidR="002617EA" w:rsidRPr="00813786" w:rsidRDefault="00674590" w:rsidP="002617EA">
            <w:pPr>
              <w:tabs>
                <w:tab w:val="left" w:pos="2628"/>
              </w:tabs>
              <w:jc w:val="both"/>
              <w:rPr>
                <w:iCs/>
              </w:rPr>
            </w:pPr>
            <w:r w:rsidRPr="00813786">
              <w:t>Nav.</w:t>
            </w:r>
          </w:p>
        </w:tc>
      </w:tr>
    </w:tbl>
    <w:p w:rsidR="002617EA" w:rsidRPr="00813786" w:rsidRDefault="002617EA" w:rsidP="002617EA">
      <w:pPr>
        <w:ind w:firstLine="720"/>
        <w:jc w:val="both"/>
      </w:pPr>
    </w:p>
    <w:p w:rsidR="002617EA" w:rsidRPr="00813786" w:rsidRDefault="002617EA" w:rsidP="00A62786">
      <w:pPr>
        <w:jc w:val="both"/>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203"/>
        <w:gridCol w:w="6295"/>
      </w:tblGrid>
      <w:tr w:rsidR="002617EA" w:rsidRPr="00813786" w:rsidTr="00813786">
        <w:tc>
          <w:tcPr>
            <w:tcW w:w="9924" w:type="dxa"/>
            <w:gridSpan w:val="3"/>
            <w:tcBorders>
              <w:top w:val="single" w:sz="4" w:space="0" w:color="auto"/>
            </w:tcBorders>
          </w:tcPr>
          <w:p w:rsidR="002617EA" w:rsidRPr="00813786" w:rsidRDefault="002617EA" w:rsidP="002617EA">
            <w:pPr>
              <w:ind w:left="57" w:right="57"/>
              <w:jc w:val="center"/>
              <w:rPr>
                <w:b/>
                <w:bCs/>
              </w:rPr>
            </w:pPr>
            <w:r w:rsidRPr="00813786">
              <w:rPr>
                <w:b/>
                <w:bCs/>
              </w:rPr>
              <w:t>VII. Tiesību akta projekta izpildes nodrošināšana un tās ietekme uz institūcijām</w:t>
            </w:r>
          </w:p>
        </w:tc>
      </w:tr>
      <w:tr w:rsidR="002617EA" w:rsidRPr="00813786" w:rsidTr="000D69B6">
        <w:trPr>
          <w:trHeight w:val="427"/>
        </w:trPr>
        <w:tc>
          <w:tcPr>
            <w:tcW w:w="426" w:type="dxa"/>
          </w:tcPr>
          <w:p w:rsidR="002617EA" w:rsidRPr="00813786" w:rsidRDefault="002617EA" w:rsidP="002617EA">
            <w:pPr>
              <w:ind w:left="57" w:right="57"/>
              <w:rPr>
                <w:bCs/>
              </w:rPr>
            </w:pPr>
            <w:r w:rsidRPr="00813786">
              <w:rPr>
                <w:bCs/>
              </w:rPr>
              <w:t>1.</w:t>
            </w:r>
          </w:p>
        </w:tc>
        <w:tc>
          <w:tcPr>
            <w:tcW w:w="3203" w:type="dxa"/>
          </w:tcPr>
          <w:p w:rsidR="002617EA" w:rsidRPr="00813786" w:rsidRDefault="002617EA" w:rsidP="00A62786">
            <w:pPr>
              <w:ind w:left="57" w:right="57"/>
              <w:jc w:val="both"/>
            </w:pPr>
            <w:r w:rsidRPr="00813786">
              <w:t xml:space="preserve">Projekta izpildē iesaistītās institūcijas </w:t>
            </w:r>
          </w:p>
        </w:tc>
        <w:tc>
          <w:tcPr>
            <w:tcW w:w="6295" w:type="dxa"/>
          </w:tcPr>
          <w:p w:rsidR="002617EA" w:rsidRPr="00813786" w:rsidRDefault="00674590" w:rsidP="000D69B6">
            <w:pPr>
              <w:ind w:left="57" w:right="57"/>
              <w:rPr>
                <w:bCs/>
              </w:rPr>
            </w:pPr>
            <w:r w:rsidRPr="00813786">
              <w:rPr>
                <w:bCs/>
                <w:iCs/>
              </w:rPr>
              <w:t>Centrālā vēlēšanu komisija</w:t>
            </w:r>
            <w:r w:rsidR="000D69B6">
              <w:rPr>
                <w:bCs/>
                <w:iCs/>
              </w:rPr>
              <w:t xml:space="preserve"> un </w:t>
            </w:r>
            <w:r w:rsidRPr="00813786">
              <w:rPr>
                <w:bCs/>
                <w:iCs/>
              </w:rPr>
              <w:t>Finanšu ministrija</w:t>
            </w:r>
            <w:r w:rsidR="000D69B6">
              <w:rPr>
                <w:bCs/>
                <w:iCs/>
              </w:rPr>
              <w:t>.</w:t>
            </w:r>
          </w:p>
        </w:tc>
      </w:tr>
      <w:tr w:rsidR="002617EA" w:rsidRPr="00813786" w:rsidTr="000D69B6">
        <w:trPr>
          <w:trHeight w:val="463"/>
        </w:trPr>
        <w:tc>
          <w:tcPr>
            <w:tcW w:w="426" w:type="dxa"/>
          </w:tcPr>
          <w:p w:rsidR="002617EA" w:rsidRPr="00813786" w:rsidRDefault="002617EA" w:rsidP="002617EA">
            <w:pPr>
              <w:ind w:left="57" w:right="57"/>
              <w:rPr>
                <w:bCs/>
              </w:rPr>
            </w:pPr>
            <w:r w:rsidRPr="00813786">
              <w:rPr>
                <w:bCs/>
              </w:rPr>
              <w:t>2.</w:t>
            </w:r>
          </w:p>
        </w:tc>
        <w:tc>
          <w:tcPr>
            <w:tcW w:w="3203" w:type="dxa"/>
          </w:tcPr>
          <w:p w:rsidR="002617EA" w:rsidRPr="00813786" w:rsidRDefault="002617EA" w:rsidP="00A62786">
            <w:pPr>
              <w:ind w:left="57" w:right="57"/>
              <w:jc w:val="both"/>
            </w:pPr>
            <w:r w:rsidRPr="00813786">
              <w:t xml:space="preserve">Projekta izpildes ietekme uz pārvaldes funkcijām </w:t>
            </w:r>
          </w:p>
        </w:tc>
        <w:tc>
          <w:tcPr>
            <w:tcW w:w="6295" w:type="dxa"/>
          </w:tcPr>
          <w:p w:rsidR="002617EA" w:rsidRPr="00813786" w:rsidRDefault="00674590" w:rsidP="00D10388">
            <w:pPr>
              <w:ind w:right="57"/>
              <w:rPr>
                <w:bCs/>
              </w:rPr>
            </w:pPr>
            <w:r w:rsidRPr="00813786">
              <w:rPr>
                <w:bCs/>
                <w:iCs/>
              </w:rPr>
              <w:t>Likumprojekts pārvaldes funkcijas būtiski neietekmēs.</w:t>
            </w:r>
          </w:p>
        </w:tc>
      </w:tr>
      <w:tr w:rsidR="002617EA" w:rsidRPr="00813786" w:rsidTr="000D69B6">
        <w:trPr>
          <w:trHeight w:val="725"/>
        </w:trPr>
        <w:tc>
          <w:tcPr>
            <w:tcW w:w="426" w:type="dxa"/>
          </w:tcPr>
          <w:p w:rsidR="002617EA" w:rsidRPr="00813786" w:rsidRDefault="002617EA" w:rsidP="002617EA">
            <w:pPr>
              <w:ind w:left="57" w:right="57"/>
              <w:rPr>
                <w:bCs/>
              </w:rPr>
            </w:pPr>
            <w:r w:rsidRPr="00813786">
              <w:rPr>
                <w:bCs/>
              </w:rPr>
              <w:t>3.</w:t>
            </w:r>
          </w:p>
        </w:tc>
        <w:tc>
          <w:tcPr>
            <w:tcW w:w="3203" w:type="dxa"/>
          </w:tcPr>
          <w:p w:rsidR="002617EA" w:rsidRPr="00813786" w:rsidRDefault="002617EA" w:rsidP="00A62786">
            <w:pPr>
              <w:ind w:left="57" w:right="57"/>
              <w:jc w:val="both"/>
            </w:pPr>
            <w:r w:rsidRPr="00813786">
              <w:t>Projekta izpildes ietekme uz pārvaldes institucionālo struktūru.</w:t>
            </w:r>
          </w:p>
          <w:p w:rsidR="002617EA" w:rsidRPr="00813786" w:rsidRDefault="002617EA" w:rsidP="00A62786">
            <w:pPr>
              <w:ind w:left="57" w:right="57"/>
              <w:jc w:val="both"/>
            </w:pPr>
            <w:r w:rsidRPr="00813786">
              <w:t>Jaunu institūciju izveide</w:t>
            </w:r>
          </w:p>
        </w:tc>
        <w:tc>
          <w:tcPr>
            <w:tcW w:w="6295" w:type="dxa"/>
          </w:tcPr>
          <w:p w:rsidR="002617EA" w:rsidRPr="00813786" w:rsidRDefault="00674590" w:rsidP="00D10388">
            <w:pPr>
              <w:ind w:left="57" w:right="57" w:firstLine="256"/>
              <w:jc w:val="both"/>
              <w:rPr>
                <w:bCs/>
              </w:rPr>
            </w:pPr>
            <w:r w:rsidRPr="00813786">
              <w:rPr>
                <w:bCs/>
                <w:iCs/>
              </w:rPr>
              <w:t>Likumprojekta apstiprināšanas gadījumā jaunas iestādes vai struktūras nebūs jāizveido.</w:t>
            </w:r>
          </w:p>
        </w:tc>
      </w:tr>
      <w:tr w:rsidR="002617EA" w:rsidRPr="00813786" w:rsidTr="000D69B6">
        <w:trPr>
          <w:trHeight w:val="780"/>
        </w:trPr>
        <w:tc>
          <w:tcPr>
            <w:tcW w:w="426" w:type="dxa"/>
          </w:tcPr>
          <w:p w:rsidR="002617EA" w:rsidRPr="00813786" w:rsidRDefault="002617EA" w:rsidP="002617EA">
            <w:pPr>
              <w:ind w:left="57" w:right="57"/>
              <w:rPr>
                <w:bCs/>
              </w:rPr>
            </w:pPr>
            <w:r w:rsidRPr="00813786">
              <w:rPr>
                <w:bCs/>
              </w:rPr>
              <w:lastRenderedPageBreak/>
              <w:t>4.</w:t>
            </w:r>
          </w:p>
        </w:tc>
        <w:tc>
          <w:tcPr>
            <w:tcW w:w="3203" w:type="dxa"/>
          </w:tcPr>
          <w:p w:rsidR="002617EA" w:rsidRPr="00813786" w:rsidRDefault="002617EA" w:rsidP="00A62786">
            <w:pPr>
              <w:ind w:left="57" w:right="57"/>
              <w:jc w:val="both"/>
            </w:pPr>
            <w:r w:rsidRPr="00813786">
              <w:t>Projekta izpildes ietekme uz pārvaldes institucionālo struktūru.</w:t>
            </w:r>
          </w:p>
          <w:p w:rsidR="002617EA" w:rsidRPr="00813786" w:rsidRDefault="002617EA" w:rsidP="00A62786">
            <w:pPr>
              <w:ind w:left="57" w:right="57"/>
              <w:jc w:val="both"/>
            </w:pPr>
            <w:r w:rsidRPr="00813786">
              <w:t>Esošu institūciju likvidācija</w:t>
            </w:r>
          </w:p>
        </w:tc>
        <w:tc>
          <w:tcPr>
            <w:tcW w:w="6295" w:type="dxa"/>
          </w:tcPr>
          <w:p w:rsidR="002617EA" w:rsidRPr="00813786" w:rsidRDefault="00674590" w:rsidP="00D10388">
            <w:pPr>
              <w:ind w:left="57" w:right="57" w:firstLine="256"/>
              <w:jc w:val="both"/>
              <w:rPr>
                <w:bCs/>
              </w:rPr>
            </w:pPr>
            <w:r w:rsidRPr="00813786">
              <w:rPr>
                <w:bCs/>
                <w:iCs/>
              </w:rPr>
              <w:t>Likumprojekta apstiprināšanas gadījumā netiek paredzēts likvidēt iestādes vai struktūras.</w:t>
            </w:r>
          </w:p>
        </w:tc>
      </w:tr>
      <w:tr w:rsidR="002617EA" w:rsidRPr="00813786" w:rsidTr="000D69B6">
        <w:trPr>
          <w:trHeight w:val="703"/>
        </w:trPr>
        <w:tc>
          <w:tcPr>
            <w:tcW w:w="426" w:type="dxa"/>
          </w:tcPr>
          <w:p w:rsidR="002617EA" w:rsidRPr="00813786" w:rsidRDefault="002617EA" w:rsidP="002617EA">
            <w:pPr>
              <w:ind w:left="57" w:right="57"/>
              <w:rPr>
                <w:bCs/>
              </w:rPr>
            </w:pPr>
            <w:r w:rsidRPr="00813786">
              <w:rPr>
                <w:bCs/>
              </w:rPr>
              <w:t>5.</w:t>
            </w:r>
          </w:p>
        </w:tc>
        <w:tc>
          <w:tcPr>
            <w:tcW w:w="3203" w:type="dxa"/>
          </w:tcPr>
          <w:p w:rsidR="002617EA" w:rsidRPr="00813786" w:rsidRDefault="002617EA" w:rsidP="00813786">
            <w:pPr>
              <w:ind w:left="57" w:right="57"/>
              <w:jc w:val="both"/>
            </w:pPr>
            <w:r w:rsidRPr="00813786">
              <w:t>Projekta izpildes ietekme uz pārvaldes institucionālo struktūru.</w:t>
            </w:r>
          </w:p>
          <w:p w:rsidR="002617EA" w:rsidRPr="00813786" w:rsidRDefault="002617EA" w:rsidP="00813786">
            <w:pPr>
              <w:ind w:left="57" w:right="57"/>
              <w:jc w:val="both"/>
            </w:pPr>
            <w:r w:rsidRPr="00813786">
              <w:t>Esošu institūciju reorganizācija</w:t>
            </w:r>
          </w:p>
        </w:tc>
        <w:tc>
          <w:tcPr>
            <w:tcW w:w="6295" w:type="dxa"/>
          </w:tcPr>
          <w:p w:rsidR="002617EA" w:rsidRPr="00813786" w:rsidRDefault="00674590" w:rsidP="00D10388">
            <w:pPr>
              <w:ind w:left="57" w:right="57" w:firstLine="256"/>
              <w:rPr>
                <w:bCs/>
              </w:rPr>
            </w:pPr>
            <w:r w:rsidRPr="00813786">
              <w:rPr>
                <w:bCs/>
                <w:iCs/>
              </w:rPr>
              <w:t>Likumprojekta apstiprināšanas gadījumā netiek paredzēts reorganizēt iestādes vai struktūras.</w:t>
            </w:r>
          </w:p>
        </w:tc>
      </w:tr>
      <w:tr w:rsidR="002617EA" w:rsidRPr="00813786" w:rsidTr="000D69B6">
        <w:trPr>
          <w:trHeight w:val="476"/>
        </w:trPr>
        <w:tc>
          <w:tcPr>
            <w:tcW w:w="426" w:type="dxa"/>
          </w:tcPr>
          <w:p w:rsidR="002617EA" w:rsidRPr="00813786" w:rsidRDefault="002617EA" w:rsidP="002617EA">
            <w:pPr>
              <w:ind w:left="57" w:right="57"/>
            </w:pPr>
            <w:r w:rsidRPr="00813786">
              <w:t>6.</w:t>
            </w:r>
          </w:p>
        </w:tc>
        <w:tc>
          <w:tcPr>
            <w:tcW w:w="3203" w:type="dxa"/>
          </w:tcPr>
          <w:p w:rsidR="002617EA" w:rsidRPr="00813786" w:rsidRDefault="002617EA" w:rsidP="00A62786">
            <w:pPr>
              <w:ind w:left="57" w:right="57"/>
              <w:jc w:val="both"/>
            </w:pPr>
            <w:r w:rsidRPr="00813786">
              <w:t>Cita informācija</w:t>
            </w:r>
          </w:p>
        </w:tc>
        <w:tc>
          <w:tcPr>
            <w:tcW w:w="6295" w:type="dxa"/>
          </w:tcPr>
          <w:p w:rsidR="002617EA" w:rsidRPr="00813786" w:rsidRDefault="00813786" w:rsidP="002617EA">
            <w:pPr>
              <w:ind w:left="57" w:right="57"/>
            </w:pPr>
            <w:r w:rsidRPr="00813786">
              <w:t>Nav.</w:t>
            </w:r>
          </w:p>
        </w:tc>
      </w:tr>
    </w:tbl>
    <w:p w:rsidR="002617EA" w:rsidRPr="00813786" w:rsidRDefault="002617EA" w:rsidP="002617EA">
      <w:pPr>
        <w:tabs>
          <w:tab w:val="left" w:pos="5760"/>
        </w:tabs>
        <w:ind w:firstLine="720"/>
        <w:jc w:val="both"/>
      </w:pPr>
    </w:p>
    <w:p w:rsidR="002617EA" w:rsidRPr="00813786" w:rsidRDefault="00813786" w:rsidP="002617EA">
      <w:pPr>
        <w:tabs>
          <w:tab w:val="left" w:pos="5760"/>
        </w:tabs>
        <w:ind w:firstLine="720"/>
        <w:jc w:val="both"/>
      </w:pPr>
      <w:r>
        <w:t>Anotācijas sadaļas II, III, V, VI – projekts šīs jomas neskar.</w:t>
      </w:r>
    </w:p>
    <w:p w:rsidR="002617EA" w:rsidRPr="00813786" w:rsidRDefault="002617EA" w:rsidP="002617EA">
      <w:pPr>
        <w:tabs>
          <w:tab w:val="left" w:pos="6804"/>
        </w:tabs>
        <w:ind w:firstLine="720"/>
        <w:jc w:val="both"/>
      </w:pPr>
    </w:p>
    <w:p w:rsidR="00813786" w:rsidRDefault="00813786" w:rsidP="002617EA">
      <w:pPr>
        <w:tabs>
          <w:tab w:val="left" w:pos="6804"/>
        </w:tabs>
        <w:ind w:firstLine="720"/>
        <w:jc w:val="both"/>
      </w:pPr>
    </w:p>
    <w:p w:rsidR="00813786" w:rsidRDefault="00813786" w:rsidP="002617EA">
      <w:pPr>
        <w:tabs>
          <w:tab w:val="left" w:pos="6804"/>
        </w:tabs>
        <w:ind w:firstLine="720"/>
        <w:jc w:val="both"/>
      </w:pPr>
    </w:p>
    <w:p w:rsidR="00813786" w:rsidRDefault="00813786" w:rsidP="00813786">
      <w:pPr>
        <w:tabs>
          <w:tab w:val="left" w:pos="6804"/>
        </w:tabs>
        <w:jc w:val="both"/>
      </w:pPr>
    </w:p>
    <w:p w:rsidR="002617EA" w:rsidRPr="00813786" w:rsidRDefault="00813786" w:rsidP="002617EA">
      <w:pPr>
        <w:tabs>
          <w:tab w:val="left" w:pos="6804"/>
        </w:tabs>
        <w:ind w:firstLine="720"/>
        <w:jc w:val="both"/>
      </w:pPr>
      <w:r w:rsidRPr="00813786">
        <w:t>Finanšu ministrs</w:t>
      </w:r>
      <w:r w:rsidR="002617EA" w:rsidRPr="00813786">
        <w:tab/>
      </w:r>
      <w:r>
        <w:t xml:space="preserve">        </w:t>
      </w:r>
      <w:r w:rsidRPr="00813786">
        <w:t>A.Vilks</w:t>
      </w:r>
    </w:p>
    <w:p w:rsidR="00606BB9" w:rsidRDefault="00606BB9"/>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Default="00813786"/>
    <w:p w:rsidR="00813786" w:rsidRPr="00E518F4" w:rsidRDefault="00813786">
      <w:pPr>
        <w:rPr>
          <w:sz w:val="20"/>
          <w:szCs w:val="20"/>
        </w:rPr>
      </w:pPr>
      <w:r w:rsidRPr="00E518F4">
        <w:rPr>
          <w:sz w:val="20"/>
          <w:szCs w:val="20"/>
        </w:rPr>
        <w:t>08.04.2011. 15:30</w:t>
      </w:r>
    </w:p>
    <w:p w:rsidR="00813786" w:rsidRPr="00E518F4" w:rsidRDefault="00813786">
      <w:pPr>
        <w:rPr>
          <w:sz w:val="20"/>
          <w:szCs w:val="20"/>
        </w:rPr>
      </w:pPr>
      <w:r w:rsidRPr="00E518F4">
        <w:rPr>
          <w:sz w:val="20"/>
          <w:szCs w:val="20"/>
        </w:rPr>
        <w:t>6</w:t>
      </w:r>
      <w:r w:rsidR="00FE7501">
        <w:rPr>
          <w:sz w:val="20"/>
          <w:szCs w:val="20"/>
        </w:rPr>
        <w:t>93</w:t>
      </w:r>
      <w:bookmarkStart w:id="0" w:name="_GoBack"/>
      <w:bookmarkEnd w:id="0"/>
    </w:p>
    <w:p w:rsidR="00813786" w:rsidRPr="00E518F4" w:rsidRDefault="00813786">
      <w:pPr>
        <w:rPr>
          <w:sz w:val="20"/>
          <w:szCs w:val="20"/>
        </w:rPr>
      </w:pPr>
      <w:r w:rsidRPr="00E518F4">
        <w:rPr>
          <w:sz w:val="20"/>
          <w:szCs w:val="20"/>
        </w:rPr>
        <w:t>L.Kristapsone</w:t>
      </w:r>
    </w:p>
    <w:p w:rsidR="00813786" w:rsidRPr="00E518F4" w:rsidRDefault="00813786">
      <w:pPr>
        <w:rPr>
          <w:sz w:val="20"/>
          <w:szCs w:val="20"/>
        </w:rPr>
      </w:pPr>
      <w:r w:rsidRPr="00E518F4">
        <w:rPr>
          <w:sz w:val="20"/>
          <w:szCs w:val="20"/>
        </w:rPr>
        <w:t>67083976</w:t>
      </w:r>
    </w:p>
    <w:p w:rsidR="00813786" w:rsidRPr="00E518F4" w:rsidRDefault="001B096E">
      <w:pPr>
        <w:rPr>
          <w:sz w:val="20"/>
          <w:szCs w:val="20"/>
        </w:rPr>
      </w:pPr>
      <w:hyperlink r:id="rId8" w:history="1">
        <w:r w:rsidR="00813786" w:rsidRPr="00E518F4">
          <w:rPr>
            <w:rStyle w:val="Hyperlink"/>
            <w:sz w:val="20"/>
            <w:szCs w:val="20"/>
          </w:rPr>
          <w:t>Liene.Kristapsone@fm.gov.lv</w:t>
        </w:r>
      </w:hyperlink>
    </w:p>
    <w:p w:rsidR="00813786" w:rsidRPr="00E518F4" w:rsidRDefault="00813786">
      <w:pPr>
        <w:rPr>
          <w:sz w:val="20"/>
          <w:szCs w:val="20"/>
        </w:rPr>
      </w:pPr>
    </w:p>
    <w:p w:rsidR="00E518F4" w:rsidRPr="00E518F4" w:rsidRDefault="00E518F4">
      <w:pPr>
        <w:rPr>
          <w:sz w:val="20"/>
          <w:szCs w:val="20"/>
        </w:rPr>
      </w:pPr>
    </w:p>
    <w:sectPr w:rsidR="00E518F4" w:rsidRPr="00E518F4" w:rsidSect="00813786">
      <w:headerReference w:type="default" r:id="rId9"/>
      <w:footerReference w:type="default" r:id="rId10"/>
      <w:footerReference w:type="first" r:id="rId11"/>
      <w:pgSz w:w="11906" w:h="16838"/>
      <w:pgMar w:top="1418" w:right="1134" w:bottom="1134" w:left="170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6E" w:rsidRDefault="001B096E" w:rsidP="00813786">
      <w:r>
        <w:separator/>
      </w:r>
    </w:p>
  </w:endnote>
  <w:endnote w:type="continuationSeparator" w:id="0">
    <w:p w:rsidR="001B096E" w:rsidRDefault="001B096E" w:rsidP="008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E8" w:rsidRPr="00813786" w:rsidRDefault="00CA1BE8" w:rsidP="00CA1BE8">
    <w:pPr>
      <w:spacing w:before="100" w:beforeAutospacing="1" w:after="100" w:afterAutospacing="1"/>
      <w:jc w:val="both"/>
      <w:outlineLvl w:val="2"/>
      <w:rPr>
        <w:bCs/>
        <w:sz w:val="20"/>
        <w:szCs w:val="20"/>
      </w:rPr>
    </w:pPr>
    <w:r w:rsidRPr="00813786">
      <w:rPr>
        <w:sz w:val="20"/>
        <w:szCs w:val="20"/>
      </w:rPr>
      <w:t xml:space="preserve">FMAnot_08042011; Likumprojekta </w:t>
    </w:r>
    <w:r w:rsidRPr="00813786">
      <w:rPr>
        <w:i/>
        <w:sz w:val="20"/>
        <w:szCs w:val="20"/>
      </w:rPr>
      <w:t xml:space="preserve"> </w:t>
    </w:r>
    <w:r w:rsidR="008F669D">
      <w:rPr>
        <w:sz w:val="20"/>
        <w:szCs w:val="20"/>
      </w:rPr>
      <w:t>„</w:t>
    </w:r>
    <w:r w:rsidR="008F669D">
      <w:rPr>
        <w:bCs/>
        <w:sz w:val="20"/>
        <w:szCs w:val="20"/>
      </w:rPr>
      <w:t xml:space="preserve">Grozījumi </w:t>
    </w:r>
    <w:r w:rsidRPr="00CA1BE8">
      <w:rPr>
        <w:bCs/>
        <w:sz w:val="20"/>
        <w:szCs w:val="20"/>
      </w:rPr>
      <w:t>Republikas pilsētu un novadu vēlēšanu komisiju un v</w:t>
    </w:r>
    <w:r w:rsidR="008F669D">
      <w:rPr>
        <w:bCs/>
        <w:sz w:val="20"/>
        <w:szCs w:val="20"/>
      </w:rPr>
      <w:t>ēlēšanu iecirkņu komisiju likumā</w:t>
    </w:r>
    <w:r w:rsidRPr="00813786">
      <w:rPr>
        <w:bCs/>
        <w:sz w:val="20"/>
        <w:szCs w:val="20"/>
      </w:rPr>
      <w:t>"</w:t>
    </w:r>
    <w:r w:rsidRPr="00813786">
      <w:rPr>
        <w:sz w:val="20"/>
        <w:szCs w:val="20"/>
      </w:rPr>
      <w:t xml:space="preserve"> </w:t>
    </w:r>
    <w:r w:rsidRPr="00813786">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813786">
        <w:rPr>
          <w:bCs/>
          <w:sz w:val="20"/>
          <w:szCs w:val="20"/>
        </w:rPr>
        <w:t>ziņojums</w:t>
      </w:r>
    </w:smartTag>
    <w:r w:rsidRPr="00813786">
      <w:rPr>
        <w:bCs/>
        <w:sz w:val="20"/>
        <w:szCs w:val="20"/>
      </w:rPr>
      <w:t xml:space="preserve"> (anotācija)</w:t>
    </w:r>
  </w:p>
  <w:p w:rsidR="00813786" w:rsidRPr="00813786" w:rsidRDefault="00813786" w:rsidP="00813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86" w:rsidRPr="00813786" w:rsidRDefault="00813786" w:rsidP="00813786">
    <w:pPr>
      <w:spacing w:before="100" w:beforeAutospacing="1" w:after="100" w:afterAutospacing="1"/>
      <w:jc w:val="both"/>
      <w:outlineLvl w:val="2"/>
      <w:rPr>
        <w:bCs/>
        <w:sz w:val="20"/>
        <w:szCs w:val="20"/>
      </w:rPr>
    </w:pPr>
    <w:r w:rsidRPr="00813786">
      <w:rPr>
        <w:sz w:val="20"/>
        <w:szCs w:val="20"/>
      </w:rPr>
      <w:t xml:space="preserve">FMAnot_08042011; Likumprojekta </w:t>
    </w:r>
    <w:r w:rsidRPr="00813786">
      <w:rPr>
        <w:i/>
        <w:sz w:val="20"/>
        <w:szCs w:val="20"/>
      </w:rPr>
      <w:t xml:space="preserve"> </w:t>
    </w:r>
    <w:r w:rsidR="008F669D">
      <w:rPr>
        <w:i/>
        <w:sz w:val="20"/>
        <w:szCs w:val="20"/>
      </w:rPr>
      <w:t>„</w:t>
    </w:r>
    <w:r w:rsidR="008F669D">
      <w:rPr>
        <w:bCs/>
        <w:sz w:val="20"/>
        <w:szCs w:val="20"/>
      </w:rPr>
      <w:t xml:space="preserve">Grozījumi </w:t>
    </w:r>
    <w:r w:rsidR="00CA1BE8" w:rsidRPr="00CA1BE8">
      <w:rPr>
        <w:bCs/>
        <w:sz w:val="20"/>
        <w:szCs w:val="20"/>
      </w:rPr>
      <w:t>Republikas pilsētu un novadu vēlēšanu komisiju un v</w:t>
    </w:r>
    <w:r w:rsidR="008F669D">
      <w:rPr>
        <w:bCs/>
        <w:sz w:val="20"/>
        <w:szCs w:val="20"/>
      </w:rPr>
      <w:t>ēlēšanu iecirkņu komisiju likumā”</w:t>
    </w:r>
    <w:r w:rsidRPr="00813786">
      <w:rPr>
        <w:sz w:val="20"/>
        <w:szCs w:val="20"/>
      </w:rPr>
      <w:t xml:space="preserve"> </w:t>
    </w:r>
    <w:r w:rsidRPr="00813786">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813786">
        <w:rPr>
          <w:bCs/>
          <w:sz w:val="20"/>
          <w:szCs w:val="20"/>
        </w:rPr>
        <w:t>ziņojums</w:t>
      </w:r>
    </w:smartTag>
    <w:r w:rsidRPr="00813786">
      <w:rPr>
        <w:bCs/>
        <w:sz w:val="20"/>
        <w:szCs w:val="20"/>
      </w:rPr>
      <w:t xml:space="preserve"> (anotācija)</w:t>
    </w:r>
  </w:p>
  <w:p w:rsidR="00813786" w:rsidRDefault="00813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6E" w:rsidRDefault="001B096E" w:rsidP="00813786">
      <w:r>
        <w:separator/>
      </w:r>
    </w:p>
  </w:footnote>
  <w:footnote w:type="continuationSeparator" w:id="0">
    <w:p w:rsidR="001B096E" w:rsidRDefault="001B096E" w:rsidP="0081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99857"/>
      <w:docPartObj>
        <w:docPartGallery w:val="Page Numbers (Top of Page)"/>
        <w:docPartUnique/>
      </w:docPartObj>
    </w:sdtPr>
    <w:sdtEndPr>
      <w:rPr>
        <w:noProof/>
        <w:sz w:val="20"/>
        <w:szCs w:val="20"/>
      </w:rPr>
    </w:sdtEndPr>
    <w:sdtContent>
      <w:p w:rsidR="00813786" w:rsidRPr="00813786" w:rsidRDefault="00813786">
        <w:pPr>
          <w:pStyle w:val="Header"/>
          <w:jc w:val="center"/>
          <w:rPr>
            <w:sz w:val="20"/>
            <w:szCs w:val="20"/>
          </w:rPr>
        </w:pPr>
        <w:r w:rsidRPr="00813786">
          <w:rPr>
            <w:sz w:val="20"/>
            <w:szCs w:val="20"/>
          </w:rPr>
          <w:fldChar w:fldCharType="begin"/>
        </w:r>
        <w:r w:rsidRPr="00813786">
          <w:rPr>
            <w:sz w:val="20"/>
            <w:szCs w:val="20"/>
          </w:rPr>
          <w:instrText xml:space="preserve"> PAGE   \* MERGEFORMAT </w:instrText>
        </w:r>
        <w:r w:rsidRPr="00813786">
          <w:rPr>
            <w:sz w:val="20"/>
            <w:szCs w:val="20"/>
          </w:rPr>
          <w:fldChar w:fldCharType="separate"/>
        </w:r>
        <w:r w:rsidR="00FE7501">
          <w:rPr>
            <w:noProof/>
            <w:sz w:val="20"/>
            <w:szCs w:val="20"/>
          </w:rPr>
          <w:t>3</w:t>
        </w:r>
        <w:r w:rsidRPr="00813786">
          <w:rPr>
            <w:noProof/>
            <w:sz w:val="20"/>
            <w:szCs w:val="20"/>
          </w:rPr>
          <w:fldChar w:fldCharType="end"/>
        </w:r>
      </w:p>
    </w:sdtContent>
  </w:sdt>
  <w:p w:rsidR="00813786" w:rsidRDefault="00813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EA"/>
    <w:rsid w:val="000D69B6"/>
    <w:rsid w:val="00176338"/>
    <w:rsid w:val="001B096E"/>
    <w:rsid w:val="002617EA"/>
    <w:rsid w:val="002A1FF7"/>
    <w:rsid w:val="002D1A23"/>
    <w:rsid w:val="002E1447"/>
    <w:rsid w:val="002F351C"/>
    <w:rsid w:val="00402314"/>
    <w:rsid w:val="004E3FBF"/>
    <w:rsid w:val="005A6A3B"/>
    <w:rsid w:val="00606BB9"/>
    <w:rsid w:val="00674590"/>
    <w:rsid w:val="00773FAF"/>
    <w:rsid w:val="007E1E78"/>
    <w:rsid w:val="00813786"/>
    <w:rsid w:val="008F669D"/>
    <w:rsid w:val="00913FA6"/>
    <w:rsid w:val="009232CD"/>
    <w:rsid w:val="009A6F15"/>
    <w:rsid w:val="009F2153"/>
    <w:rsid w:val="00A62786"/>
    <w:rsid w:val="00B358FC"/>
    <w:rsid w:val="00CA10C4"/>
    <w:rsid w:val="00CA1BE8"/>
    <w:rsid w:val="00CD0167"/>
    <w:rsid w:val="00D10388"/>
    <w:rsid w:val="00D9457D"/>
    <w:rsid w:val="00D97307"/>
    <w:rsid w:val="00E518F4"/>
    <w:rsid w:val="00E958B7"/>
    <w:rsid w:val="00ED3636"/>
    <w:rsid w:val="00F54B91"/>
    <w:rsid w:val="00F6026A"/>
    <w:rsid w:val="00F959A6"/>
    <w:rsid w:val="00FE7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E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617EA"/>
    <w:pPr>
      <w:spacing w:before="75" w:after="75"/>
      <w:ind w:firstLine="375"/>
      <w:jc w:val="both"/>
    </w:pPr>
  </w:style>
  <w:style w:type="paragraph" w:customStyle="1" w:styleId="naisnod">
    <w:name w:val="naisnod"/>
    <w:basedOn w:val="Normal"/>
    <w:rsid w:val="002617EA"/>
    <w:pPr>
      <w:spacing w:before="150" w:after="150"/>
      <w:jc w:val="center"/>
    </w:pPr>
    <w:rPr>
      <w:b/>
      <w:bCs/>
    </w:rPr>
  </w:style>
  <w:style w:type="paragraph" w:customStyle="1" w:styleId="naislab">
    <w:name w:val="naislab"/>
    <w:basedOn w:val="Normal"/>
    <w:rsid w:val="002617EA"/>
    <w:pPr>
      <w:spacing w:before="75" w:after="75"/>
      <w:jc w:val="right"/>
    </w:pPr>
  </w:style>
  <w:style w:type="paragraph" w:customStyle="1" w:styleId="naiskr">
    <w:name w:val="naiskr"/>
    <w:basedOn w:val="Normal"/>
    <w:rsid w:val="002617EA"/>
    <w:pPr>
      <w:spacing w:before="75" w:after="75"/>
    </w:pPr>
  </w:style>
  <w:style w:type="paragraph" w:styleId="FootnoteText">
    <w:name w:val="footnote text"/>
    <w:basedOn w:val="Normal"/>
    <w:link w:val="FootnoteTextChar"/>
    <w:semiHidden/>
    <w:rsid w:val="002617EA"/>
    <w:rPr>
      <w:sz w:val="20"/>
      <w:szCs w:val="20"/>
    </w:rPr>
  </w:style>
  <w:style w:type="character" w:customStyle="1" w:styleId="FootnoteTextChar">
    <w:name w:val="Footnote Text Char"/>
    <w:basedOn w:val="DefaultParagraphFont"/>
    <w:link w:val="FootnoteText"/>
    <w:semiHidden/>
    <w:rsid w:val="002617EA"/>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813786"/>
    <w:pPr>
      <w:tabs>
        <w:tab w:val="center" w:pos="4153"/>
        <w:tab w:val="right" w:pos="8306"/>
      </w:tabs>
    </w:pPr>
  </w:style>
  <w:style w:type="character" w:customStyle="1" w:styleId="HeaderChar">
    <w:name w:val="Header Char"/>
    <w:basedOn w:val="DefaultParagraphFont"/>
    <w:link w:val="Header"/>
    <w:uiPriority w:val="99"/>
    <w:rsid w:val="0081378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13786"/>
    <w:pPr>
      <w:tabs>
        <w:tab w:val="center" w:pos="4153"/>
        <w:tab w:val="right" w:pos="8306"/>
      </w:tabs>
    </w:pPr>
  </w:style>
  <w:style w:type="character" w:customStyle="1" w:styleId="FooterChar">
    <w:name w:val="Footer Char"/>
    <w:basedOn w:val="DefaultParagraphFont"/>
    <w:link w:val="Footer"/>
    <w:uiPriority w:val="99"/>
    <w:rsid w:val="0081378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13786"/>
    <w:rPr>
      <w:color w:val="0000FF" w:themeColor="hyperlink"/>
      <w:u w:val="single"/>
    </w:rPr>
  </w:style>
  <w:style w:type="paragraph" w:styleId="BalloonText">
    <w:name w:val="Balloon Text"/>
    <w:basedOn w:val="Normal"/>
    <w:link w:val="BalloonTextChar"/>
    <w:uiPriority w:val="99"/>
    <w:semiHidden/>
    <w:unhideWhenUsed/>
    <w:rsid w:val="00F6026A"/>
    <w:rPr>
      <w:rFonts w:ascii="Tahoma" w:hAnsi="Tahoma" w:cs="Tahoma"/>
      <w:sz w:val="16"/>
      <w:szCs w:val="16"/>
    </w:rPr>
  </w:style>
  <w:style w:type="character" w:customStyle="1" w:styleId="BalloonTextChar">
    <w:name w:val="Balloon Text Char"/>
    <w:basedOn w:val="DefaultParagraphFont"/>
    <w:link w:val="BalloonText"/>
    <w:uiPriority w:val="99"/>
    <w:semiHidden/>
    <w:rsid w:val="00F6026A"/>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6026A"/>
    <w:rPr>
      <w:sz w:val="16"/>
      <w:szCs w:val="16"/>
    </w:rPr>
  </w:style>
  <w:style w:type="paragraph" w:styleId="CommentText">
    <w:name w:val="annotation text"/>
    <w:basedOn w:val="Normal"/>
    <w:link w:val="CommentTextChar"/>
    <w:uiPriority w:val="99"/>
    <w:semiHidden/>
    <w:unhideWhenUsed/>
    <w:rsid w:val="00F6026A"/>
    <w:rPr>
      <w:sz w:val="20"/>
      <w:szCs w:val="20"/>
    </w:rPr>
  </w:style>
  <w:style w:type="character" w:customStyle="1" w:styleId="CommentTextChar">
    <w:name w:val="Comment Text Char"/>
    <w:basedOn w:val="DefaultParagraphFont"/>
    <w:link w:val="CommentText"/>
    <w:uiPriority w:val="99"/>
    <w:semiHidden/>
    <w:rsid w:val="00F6026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026A"/>
    <w:rPr>
      <w:b/>
      <w:bCs/>
    </w:rPr>
  </w:style>
  <w:style w:type="character" w:customStyle="1" w:styleId="CommentSubjectChar">
    <w:name w:val="Comment Subject Char"/>
    <w:basedOn w:val="CommentTextChar"/>
    <w:link w:val="CommentSubject"/>
    <w:uiPriority w:val="99"/>
    <w:semiHidden/>
    <w:rsid w:val="00F6026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E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617EA"/>
    <w:pPr>
      <w:spacing w:before="75" w:after="75"/>
      <w:ind w:firstLine="375"/>
      <w:jc w:val="both"/>
    </w:pPr>
  </w:style>
  <w:style w:type="paragraph" w:customStyle="1" w:styleId="naisnod">
    <w:name w:val="naisnod"/>
    <w:basedOn w:val="Normal"/>
    <w:rsid w:val="002617EA"/>
    <w:pPr>
      <w:spacing w:before="150" w:after="150"/>
      <w:jc w:val="center"/>
    </w:pPr>
    <w:rPr>
      <w:b/>
      <w:bCs/>
    </w:rPr>
  </w:style>
  <w:style w:type="paragraph" w:customStyle="1" w:styleId="naislab">
    <w:name w:val="naislab"/>
    <w:basedOn w:val="Normal"/>
    <w:rsid w:val="002617EA"/>
    <w:pPr>
      <w:spacing w:before="75" w:after="75"/>
      <w:jc w:val="right"/>
    </w:pPr>
  </w:style>
  <w:style w:type="paragraph" w:customStyle="1" w:styleId="naiskr">
    <w:name w:val="naiskr"/>
    <w:basedOn w:val="Normal"/>
    <w:rsid w:val="002617EA"/>
    <w:pPr>
      <w:spacing w:before="75" w:after="75"/>
    </w:pPr>
  </w:style>
  <w:style w:type="paragraph" w:styleId="FootnoteText">
    <w:name w:val="footnote text"/>
    <w:basedOn w:val="Normal"/>
    <w:link w:val="FootnoteTextChar"/>
    <w:semiHidden/>
    <w:rsid w:val="002617EA"/>
    <w:rPr>
      <w:sz w:val="20"/>
      <w:szCs w:val="20"/>
    </w:rPr>
  </w:style>
  <w:style w:type="character" w:customStyle="1" w:styleId="FootnoteTextChar">
    <w:name w:val="Footnote Text Char"/>
    <w:basedOn w:val="DefaultParagraphFont"/>
    <w:link w:val="FootnoteText"/>
    <w:semiHidden/>
    <w:rsid w:val="002617EA"/>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813786"/>
    <w:pPr>
      <w:tabs>
        <w:tab w:val="center" w:pos="4153"/>
        <w:tab w:val="right" w:pos="8306"/>
      </w:tabs>
    </w:pPr>
  </w:style>
  <w:style w:type="character" w:customStyle="1" w:styleId="HeaderChar">
    <w:name w:val="Header Char"/>
    <w:basedOn w:val="DefaultParagraphFont"/>
    <w:link w:val="Header"/>
    <w:uiPriority w:val="99"/>
    <w:rsid w:val="0081378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13786"/>
    <w:pPr>
      <w:tabs>
        <w:tab w:val="center" w:pos="4153"/>
        <w:tab w:val="right" w:pos="8306"/>
      </w:tabs>
    </w:pPr>
  </w:style>
  <w:style w:type="character" w:customStyle="1" w:styleId="FooterChar">
    <w:name w:val="Footer Char"/>
    <w:basedOn w:val="DefaultParagraphFont"/>
    <w:link w:val="Footer"/>
    <w:uiPriority w:val="99"/>
    <w:rsid w:val="0081378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13786"/>
    <w:rPr>
      <w:color w:val="0000FF" w:themeColor="hyperlink"/>
      <w:u w:val="single"/>
    </w:rPr>
  </w:style>
  <w:style w:type="paragraph" w:styleId="BalloonText">
    <w:name w:val="Balloon Text"/>
    <w:basedOn w:val="Normal"/>
    <w:link w:val="BalloonTextChar"/>
    <w:uiPriority w:val="99"/>
    <w:semiHidden/>
    <w:unhideWhenUsed/>
    <w:rsid w:val="00F6026A"/>
    <w:rPr>
      <w:rFonts w:ascii="Tahoma" w:hAnsi="Tahoma" w:cs="Tahoma"/>
      <w:sz w:val="16"/>
      <w:szCs w:val="16"/>
    </w:rPr>
  </w:style>
  <w:style w:type="character" w:customStyle="1" w:styleId="BalloonTextChar">
    <w:name w:val="Balloon Text Char"/>
    <w:basedOn w:val="DefaultParagraphFont"/>
    <w:link w:val="BalloonText"/>
    <w:uiPriority w:val="99"/>
    <w:semiHidden/>
    <w:rsid w:val="00F6026A"/>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6026A"/>
    <w:rPr>
      <w:sz w:val="16"/>
      <w:szCs w:val="16"/>
    </w:rPr>
  </w:style>
  <w:style w:type="paragraph" w:styleId="CommentText">
    <w:name w:val="annotation text"/>
    <w:basedOn w:val="Normal"/>
    <w:link w:val="CommentTextChar"/>
    <w:uiPriority w:val="99"/>
    <w:semiHidden/>
    <w:unhideWhenUsed/>
    <w:rsid w:val="00F6026A"/>
    <w:rPr>
      <w:sz w:val="20"/>
      <w:szCs w:val="20"/>
    </w:rPr>
  </w:style>
  <w:style w:type="character" w:customStyle="1" w:styleId="CommentTextChar">
    <w:name w:val="Comment Text Char"/>
    <w:basedOn w:val="DefaultParagraphFont"/>
    <w:link w:val="CommentText"/>
    <w:uiPriority w:val="99"/>
    <w:semiHidden/>
    <w:rsid w:val="00F6026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026A"/>
    <w:rPr>
      <w:b/>
      <w:bCs/>
    </w:rPr>
  </w:style>
  <w:style w:type="character" w:customStyle="1" w:styleId="CommentSubjectChar">
    <w:name w:val="Comment Subject Char"/>
    <w:basedOn w:val="CommentTextChar"/>
    <w:link w:val="CommentSubject"/>
    <w:uiPriority w:val="99"/>
    <w:semiHidden/>
    <w:rsid w:val="00F6026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Kristapsone@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948D-E6B5-4FF1-863D-78EF27E7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3643</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Likumprojekta  Grozījumi likumā "Par pilsētu, rajonu, novadu un pagastu vēlēšanu komisijām un vēlēšanu iecirkņu komisijām" sākotnējās ietekmes novērtējuma ziņojums (anotācija)</vt:lpstr>
    </vt:vector>
  </TitlesOfParts>
  <Company>Finanšu ministrija</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pilsētu, rajonu, novadu un pagastu vēlēšanu komisijām un vēlēšanu iecirkņu komisijām" sākotnējās ietekmes novērtējuma ziņojums (anotācija)</dc:title>
  <dc:subject>Anotācija</dc:subject>
  <dc:creator>Liene Kristapsone</dc:creator>
  <cp:keywords/>
  <dc:description>Liene.Kristapsone@fm.gov.lv
tālrn.67083976</dc:description>
  <cp:lastModifiedBy>changeme</cp:lastModifiedBy>
  <cp:revision>5</cp:revision>
  <dcterms:created xsi:type="dcterms:W3CDTF">2011-04-12T14:36:00Z</dcterms:created>
  <dcterms:modified xsi:type="dcterms:W3CDTF">2011-04-13T05:13:00Z</dcterms:modified>
</cp:coreProperties>
</file>