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97" w:rsidRDefault="00122A95">
      <w:pPr>
        <w:pStyle w:val="Footer"/>
        <w:jc w:val="center"/>
        <w:rPr>
          <w:rFonts w:ascii="Times New Roman" w:hAnsi="Times New Roman"/>
          <w:b/>
        </w:rPr>
      </w:pPr>
      <w:r>
        <w:rPr>
          <w:rFonts w:ascii="Times New Roman" w:hAnsi="Times New Roman"/>
          <w:b/>
        </w:rPr>
        <w:t>Likumprojekta “</w:t>
      </w:r>
      <w:r w:rsidR="00CA2E97">
        <w:rPr>
          <w:rFonts w:ascii="Times New Roman" w:hAnsi="Times New Roman"/>
          <w:b/>
        </w:rPr>
        <w:t>Grozījumi likumā</w:t>
      </w:r>
      <w:r>
        <w:rPr>
          <w:rFonts w:ascii="Times New Roman" w:hAnsi="Times New Roman"/>
          <w:b/>
        </w:rPr>
        <w:t xml:space="preserve"> “Par nodokļiem un nodevām”</w:t>
      </w:r>
      <w:r w:rsidR="00CA2E97">
        <w:rPr>
          <w:rFonts w:ascii="Times New Roman" w:hAnsi="Times New Roman"/>
          <w:b/>
        </w:rPr>
        <w:t>” anotācija</w:t>
      </w:r>
    </w:p>
    <w:p w:rsidR="00CA2E97" w:rsidRDefault="00CA2E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0"/>
        <w:gridCol w:w="6799"/>
      </w:tblGrid>
      <w:tr w:rsidR="00CA2E97" w:rsidTr="007A7478">
        <w:tc>
          <w:tcPr>
            <w:tcW w:w="9639" w:type="dxa"/>
            <w:gridSpan w:val="2"/>
          </w:tcPr>
          <w:p w:rsidR="00CA2E97" w:rsidRPr="007A7478" w:rsidRDefault="00CA2E97" w:rsidP="007A7478">
            <w:pPr>
              <w:snapToGrid w:val="0"/>
              <w:jc w:val="center"/>
              <w:rPr>
                <w:b/>
                <w:bCs/>
              </w:rPr>
            </w:pPr>
            <w:r w:rsidRPr="007A7478">
              <w:rPr>
                <w:b/>
                <w:bCs/>
              </w:rPr>
              <w:t>I. Kādēļ normatīvais akts ir vajadzīgs</w:t>
            </w:r>
          </w:p>
        </w:tc>
      </w:tr>
      <w:tr w:rsidR="00CA2E97" w:rsidTr="007A7478">
        <w:tc>
          <w:tcPr>
            <w:tcW w:w="2840" w:type="dxa"/>
          </w:tcPr>
          <w:p w:rsidR="00CA2E97" w:rsidRDefault="00CA2E97" w:rsidP="007A7478">
            <w:pPr>
              <w:snapToGrid w:val="0"/>
              <w:jc w:val="both"/>
            </w:pPr>
            <w:r>
              <w:t>1. Atsauce uz Deklarāciju par Ministru kabineta iecerēto darbību, politikas plānošanas dokumentu un citiem dokumentiem, kuros dots uzdevums izstrādāt normatīvā akta projektu</w:t>
            </w:r>
          </w:p>
        </w:tc>
        <w:tc>
          <w:tcPr>
            <w:tcW w:w="6799" w:type="dxa"/>
          </w:tcPr>
          <w:p w:rsidR="00BC7BDC" w:rsidRDefault="00122A95" w:rsidP="007A7478">
            <w:pPr>
              <w:snapToGrid w:val="0"/>
              <w:ind w:firstLine="507"/>
              <w:jc w:val="both"/>
            </w:pPr>
            <w:r w:rsidRPr="00122A95">
              <w:t xml:space="preserve">Likumprojekts </w:t>
            </w:r>
            <w:r w:rsidR="00E821E6">
              <w:t>“</w:t>
            </w:r>
            <w:r w:rsidRPr="00122A95">
              <w:t xml:space="preserve">Grozījumi likumā </w:t>
            </w:r>
            <w:r w:rsidR="00E821E6">
              <w:t>“</w:t>
            </w:r>
            <w:r w:rsidRPr="00122A95">
              <w:t xml:space="preserve">Par </w:t>
            </w:r>
            <w:r w:rsidR="00E821E6">
              <w:t>nodokļiem un nodevām””</w:t>
            </w:r>
            <w:r w:rsidRPr="00122A95">
              <w:t xml:space="preserve"> </w:t>
            </w:r>
            <w:r w:rsidR="00BC7BDC">
              <w:t>ir izstrādāts,</w:t>
            </w:r>
            <w:r w:rsidR="00C63403">
              <w:t xml:space="preserve"> </w:t>
            </w:r>
            <w:r w:rsidRPr="00122A95">
              <w:t>izpildot</w:t>
            </w:r>
            <w:r w:rsidR="00BC7BDC">
              <w:t>:</w:t>
            </w:r>
          </w:p>
          <w:p w:rsidR="00CA2E97" w:rsidRDefault="00122A95" w:rsidP="007A7478">
            <w:pPr>
              <w:pStyle w:val="ListParagraph"/>
              <w:numPr>
                <w:ilvl w:val="0"/>
                <w:numId w:val="4"/>
              </w:numPr>
              <w:snapToGrid w:val="0"/>
              <w:ind w:left="-60" w:firstLine="420"/>
              <w:jc w:val="both"/>
            </w:pPr>
            <w:r w:rsidRPr="00122A95">
              <w:t>Ministru kabineta sēdes 200</w:t>
            </w:r>
            <w:r w:rsidR="00C63403">
              <w:t>9.gada 15.septembra protokola Nr.57</w:t>
            </w:r>
            <w:r w:rsidRPr="00122A95">
              <w:t xml:space="preserve"> 5</w:t>
            </w:r>
            <w:r w:rsidR="00C63403">
              <w:t>1</w:t>
            </w:r>
            <w:r w:rsidRPr="00122A95">
              <w:t>.§ “</w:t>
            </w:r>
            <w:r w:rsidR="00C63403">
              <w:t>Informatīvais ziņojums par iespējām atcelt pavadzīmju ar Valsts ieņēmumu dienesta piešķirtiem numuriem lietošanu” 2.1.</w:t>
            </w:r>
            <w:r w:rsidRPr="00122A95">
              <w:t xml:space="preserve">apakšpunktā doto uzdevumu – izstrādāt </w:t>
            </w:r>
            <w:r w:rsidR="00C63403">
              <w:t>likumprojektu “</w:t>
            </w:r>
            <w:r w:rsidR="00C63403" w:rsidRPr="00122A95">
              <w:t xml:space="preserve">Grozījumi likumā </w:t>
            </w:r>
            <w:r w:rsidR="00C63403">
              <w:t>“</w:t>
            </w:r>
            <w:r w:rsidR="00C63403" w:rsidRPr="00122A95">
              <w:t xml:space="preserve">Par </w:t>
            </w:r>
            <w:r w:rsidR="00C63403">
              <w:t>nodokļiem un nodevām””</w:t>
            </w:r>
            <w:r w:rsidR="00C63403" w:rsidRPr="00122A95">
              <w:t xml:space="preserve"> </w:t>
            </w:r>
            <w:r w:rsidR="00C63403">
              <w:t xml:space="preserve">par pavadzīmju ar Valsts ieņēmumu dienesta piešķirtiem numuriem lietošanas atcelšanu </w:t>
            </w:r>
            <w:r w:rsidRPr="00122A95">
              <w:t xml:space="preserve">un iesniegt </w:t>
            </w:r>
            <w:r w:rsidR="00C63403">
              <w:t>izskatīšanai Ministru kabineta sēdē likumprojekta “Par valsts budžetu 2010.gadam” paketē</w:t>
            </w:r>
            <w:r w:rsidR="00BC7BDC">
              <w:t>;</w:t>
            </w:r>
          </w:p>
          <w:p w:rsidR="00BC7BDC" w:rsidRDefault="00BC7BDC" w:rsidP="007A7478">
            <w:pPr>
              <w:pStyle w:val="ListParagraph"/>
              <w:numPr>
                <w:ilvl w:val="0"/>
                <w:numId w:val="4"/>
              </w:numPr>
              <w:snapToGrid w:val="0"/>
              <w:ind w:left="-60" w:firstLine="420"/>
              <w:jc w:val="both"/>
            </w:pPr>
            <w:r>
              <w:t>Ministru kabineta 2009.gada 28.augusta rīkojumu Nr.591 “Par Valsts ieņēmumu dienestā un funkcionāli saistītajās iestādēs veiktā funkciju audita ieteikumu ieviešanu”, kas paredz Valsts proves uzraudzības inspekcijas likvidāciju un valsts kapitālsabiedrības dibināšanu.</w:t>
            </w:r>
          </w:p>
        </w:tc>
      </w:tr>
      <w:tr w:rsidR="00CA2E97" w:rsidTr="007A7478">
        <w:tc>
          <w:tcPr>
            <w:tcW w:w="2840" w:type="dxa"/>
          </w:tcPr>
          <w:p w:rsidR="00CA2E97" w:rsidRDefault="00CA2E97" w:rsidP="007A7478">
            <w:pPr>
              <w:snapToGrid w:val="0"/>
              <w:jc w:val="both"/>
            </w:pPr>
            <w:r>
              <w:t>2. Pašreizējās situācijas raksturojums</w:t>
            </w:r>
          </w:p>
        </w:tc>
        <w:tc>
          <w:tcPr>
            <w:tcW w:w="6799" w:type="dxa"/>
          </w:tcPr>
          <w:p w:rsidR="00697252" w:rsidRPr="007A7478" w:rsidRDefault="0083310B" w:rsidP="007A7478">
            <w:pPr>
              <w:ind w:firstLine="507"/>
              <w:jc w:val="both"/>
              <w:rPr>
                <w:rFonts w:eastAsia="EUAlbertina_Bold" w:cs="EUAlbertina_Bold"/>
                <w:bCs/>
              </w:rPr>
            </w:pPr>
            <w:r w:rsidRPr="007A7478">
              <w:rPr>
                <w:rFonts w:eastAsia="EUAlbertina_Bold" w:cs="EUAlbertina_Bold"/>
              </w:rPr>
              <w:t xml:space="preserve">Likuma </w:t>
            </w:r>
            <w:r w:rsidRPr="007A7478">
              <w:rPr>
                <w:rFonts w:eastAsia="EUAlbertina_Bold"/>
              </w:rPr>
              <w:t>“</w:t>
            </w:r>
            <w:r w:rsidRPr="007A7478">
              <w:rPr>
                <w:rFonts w:eastAsia="EUAlbertina_Bold" w:cs="EUAlbertina_Bold"/>
              </w:rPr>
              <w:t xml:space="preserve">Par nodokļiem un nodevām” </w:t>
            </w:r>
            <w:r w:rsidR="00FF19C0" w:rsidRPr="007A7478">
              <w:rPr>
                <w:rFonts w:eastAsia="EUAlbertina_Bold" w:cs="EUAlbertina_Bold"/>
              </w:rPr>
              <w:t xml:space="preserve">(turpmāk – Likums) </w:t>
            </w:r>
            <w:r w:rsidRPr="007A7478">
              <w:rPr>
                <w:rFonts w:eastAsia="EUAlbertina_Bold" w:cs="EUAlbertina_Bold"/>
              </w:rPr>
              <w:t xml:space="preserve">15.panta pirmās daļas 8.punkts </w:t>
            </w:r>
            <w:r w:rsidR="00FF19C0" w:rsidRPr="007A7478">
              <w:rPr>
                <w:rFonts w:eastAsia="EUAlbertina_Bold" w:cs="EUAlbertina_Bold"/>
              </w:rPr>
              <w:t xml:space="preserve">paredz nodokļu maksātāju pienākumu nodokļu aprēķināšanai un uzskaitei lietot pavadzīmes ar Valsts ieņēmumu dienesta </w:t>
            </w:r>
            <w:r w:rsidR="00697252" w:rsidRPr="007A7478">
              <w:rPr>
                <w:rFonts w:eastAsia="EUAlbertina_Bold" w:cs="EUAlbertina_Bold"/>
              </w:rPr>
              <w:t xml:space="preserve">(turpmāk – VID) </w:t>
            </w:r>
            <w:r w:rsidR="00FF19C0" w:rsidRPr="007A7478">
              <w:rPr>
                <w:rFonts w:eastAsia="EUAlbertina_Bold" w:cs="EUAlbertina_Bold"/>
              </w:rPr>
              <w:t xml:space="preserve">piešķirtu numuru. </w:t>
            </w:r>
            <w:r w:rsidR="00B05064" w:rsidRPr="007A7478">
              <w:rPr>
                <w:rFonts w:eastAsia="EUAlbertina_Bold" w:cs="EUAlbertina_Bold"/>
              </w:rPr>
              <w:t xml:space="preserve">Pavadzīmes nodokļu maksātāji izmanto nodokļu aprēķināšanai un uzskaitei preču un citu materiālo vērtību saņemšanas un izsniegšanas darījuma, kā arī preču kustības un uzskaites precīzai un pilnīgai dokumentārai noformēšanai. </w:t>
            </w:r>
            <w:r w:rsidR="00697252" w:rsidRPr="007A7478">
              <w:rPr>
                <w:rFonts w:eastAsia="EUAlbertina_Bold" w:cs="EUAlbertina_Bold"/>
              </w:rPr>
              <w:t xml:space="preserve">Pavadzīmju ar VID piešķirtu numuru lietotājus un to pienākumus, pavadzīmju rekvizītus, lietošanas kārtību, kārtību, kādā VID piešķir numurus un uzskaita tos VID vienotajā datu bāzē (reģistrā), kā arī uzraudzības un kontroles kārtību nosaka saskaņā ar likuma </w:t>
            </w:r>
            <w:r w:rsidR="00697252" w:rsidRPr="007A7478">
              <w:rPr>
                <w:rFonts w:eastAsia="EUAlbertina_Bold"/>
                <w:bCs/>
              </w:rPr>
              <w:t>“</w:t>
            </w:r>
            <w:r w:rsidR="00697252" w:rsidRPr="007A7478">
              <w:rPr>
                <w:rFonts w:eastAsia="EUAlbertina_Bold" w:cs="EUAlbertina_Bold"/>
              </w:rPr>
              <w:t>Par nodokļiem un nodevām</w:t>
            </w:r>
            <w:r w:rsidR="00697252" w:rsidRPr="007A7478">
              <w:rPr>
                <w:rFonts w:eastAsia="EUAlbertina_Bold" w:cs="EUAlbertina_Bold"/>
                <w:bCs/>
              </w:rPr>
              <w:t>”</w:t>
            </w:r>
            <w:r w:rsidR="00697252" w:rsidRPr="007A7478">
              <w:rPr>
                <w:rFonts w:eastAsia="EUAlbertina_Bold" w:cs="EUAlbertina_Bold"/>
              </w:rPr>
              <w:t xml:space="preserve"> 28.</w:t>
            </w:r>
            <w:r w:rsidR="00697252" w:rsidRPr="007A7478">
              <w:rPr>
                <w:rFonts w:eastAsia="EUAlbertina_Bold" w:cs="EUAlbertina_Bold"/>
                <w:vertAlign w:val="superscript"/>
              </w:rPr>
              <w:t>1</w:t>
            </w:r>
            <w:r w:rsidR="00697252" w:rsidRPr="007A7478">
              <w:rPr>
                <w:rFonts w:eastAsia="EUAlbertina_Bold" w:cs="EUAlbertina_Bold"/>
              </w:rPr>
              <w:t xml:space="preserve">panta trešo daļu izdotie Ministru kabineta 2005.gada 27.decembra noteikumi Nr.1038 </w:t>
            </w:r>
            <w:r w:rsidR="00697252" w:rsidRPr="007A7478">
              <w:rPr>
                <w:rFonts w:eastAsia="EUAlbertina_Bold"/>
                <w:bCs/>
              </w:rPr>
              <w:t>“</w:t>
            </w:r>
            <w:r w:rsidR="00697252" w:rsidRPr="007A7478">
              <w:rPr>
                <w:rFonts w:eastAsia="EUAlbertina_Bold" w:cs="EUAlbertina_Bold"/>
              </w:rPr>
              <w:t>Noteikumi par pavadzīmēm ar Valsts ieņēmumu dienesta piešķirtiem numuriem</w:t>
            </w:r>
            <w:r w:rsidR="00697252" w:rsidRPr="007A7478">
              <w:rPr>
                <w:rFonts w:eastAsia="EUAlbertina_Bold" w:cs="EUAlbertina_Bold"/>
                <w:bCs/>
              </w:rPr>
              <w:t>”.</w:t>
            </w:r>
          </w:p>
          <w:p w:rsidR="00E01409" w:rsidRPr="007A7478" w:rsidRDefault="00E01409" w:rsidP="007A7478">
            <w:pPr>
              <w:ind w:firstLine="507"/>
              <w:jc w:val="both"/>
              <w:rPr>
                <w:rFonts w:eastAsia="EUAlbertina_Bold" w:cs="EUAlbertina_Bold"/>
                <w:bCs/>
              </w:rPr>
            </w:pPr>
            <w:r w:rsidRPr="007A7478">
              <w:rPr>
                <w:rFonts w:eastAsia="EUAlbertina_Bold" w:cs="EUAlbertina_Bold"/>
                <w:bCs/>
              </w:rPr>
              <w:t>Nodokļu maksātājiem pavadzīmju numuru saņemšana VID, pavadzīmju numurēšana ar VID piešķirtiem numuriem un pārskatu iesniegšana par šo numuru izlietojumu rada papildu administratīvo slogu. Tāpat VID datu bāzes, kas automātiski ģenerē pavadzīmju numurus, uzturēšana, numuru izsniegšanas process, pārskatu saņemšanas, ievadīšanas VID Nodokļu informācijas sistēmā un apstrādes process, kā arī attiecīgās Nodokļu informācijas sistēmas un Elektroniskās deklarēšanas sistēmas uzturēšana rada izmaksas, kas varētu tikt ietaupītas, atceļot pavadzīmju lietošanu.</w:t>
            </w:r>
          </w:p>
          <w:p w:rsidR="0068764B" w:rsidRDefault="0068764B" w:rsidP="007A7478">
            <w:pPr>
              <w:ind w:firstLine="507"/>
              <w:jc w:val="both"/>
              <w:rPr>
                <w:rFonts w:eastAsia="EUAlbertina_Bold" w:cs="EUAlbertina_Bold"/>
                <w:bCs/>
              </w:rPr>
            </w:pPr>
            <w:r w:rsidRPr="003A79AD">
              <w:rPr>
                <w:rFonts w:eastAsia="EUAlbertina_Bold" w:cs="EUAlbertina_Bold"/>
                <w:bCs/>
              </w:rPr>
              <w:t xml:space="preserve">Likuma 1.panta 27.punktā iekļautā datu atbilstības pārbaudes definīcija neparedz nodokļu administrācijas tiesības pieprasīt nodokļu maksātāja saimnieciskās darbības </w:t>
            </w:r>
            <w:r w:rsidR="00AD61CF" w:rsidRPr="003A79AD">
              <w:rPr>
                <w:rFonts w:eastAsia="EUAlbertina_Bold" w:cs="EUAlbertina_Bold"/>
                <w:bCs/>
              </w:rPr>
              <w:t>attaisnojuma dokumentus. Šī ierobežojuma dēļ datu atbilstības pārbaudi nevar izmantot muitas deklarāciju pārbaudēm.</w:t>
            </w:r>
          </w:p>
          <w:p w:rsidR="00F731D0" w:rsidRPr="007A7478" w:rsidRDefault="00F731D0" w:rsidP="007A7478">
            <w:pPr>
              <w:ind w:firstLine="507"/>
              <w:jc w:val="both"/>
              <w:rPr>
                <w:rFonts w:eastAsia="EUAlbertina_Bold" w:cs="EUAlbertina_Bold"/>
                <w:bCs/>
                <w:highlight w:val="yellow"/>
              </w:rPr>
            </w:pPr>
            <w:r w:rsidRPr="007A7478">
              <w:rPr>
                <w:rFonts w:eastAsia="EUAlbertina_Bold" w:cs="EUAlbertina_Bold"/>
                <w:bCs/>
              </w:rPr>
              <w:t xml:space="preserve">Likuma 11.panta otrās daļas 32.punkts paredz, ka valsts nodeva ir maksājama par likumos paredzētajiem speciāliem mērķiem – par valsts proves uzraudzības īstenošanu. Atbilstoši likuma </w:t>
            </w:r>
            <w:r w:rsidRPr="007A7478">
              <w:rPr>
                <w:rFonts w:eastAsia="EUAlbertina_Bold"/>
                <w:bCs/>
              </w:rPr>
              <w:t>“</w:t>
            </w:r>
            <w:r w:rsidRPr="007A7478">
              <w:rPr>
                <w:rFonts w:eastAsia="EUAlbertina_Bold" w:cs="EUAlbertina_Bold"/>
                <w:bCs/>
              </w:rPr>
              <w:t xml:space="preserve">Par valsts proves uzraudzību” 15.pantam Valsts proves </w:t>
            </w:r>
            <w:r w:rsidRPr="007A7478">
              <w:rPr>
                <w:rFonts w:eastAsia="EUAlbertina_Bold" w:cs="EUAlbertina_Bold"/>
                <w:bCs/>
              </w:rPr>
              <w:lastRenderedPageBreak/>
              <w:t xml:space="preserve">uzraudzības inspekcija īsteno valsts proves uzraudzību, sniedz ar proves darbu saistītus pakalpojumus, organizē Latvijas valsts apbalvojumu — Triju Zvaigžņu ordeņa, Viestura ordeņa, Atzinības krusta un to goda zīmju izgatavošanu, kontrolē valsts apbalvojumu izgatavošanas procesu un glabā nepiešķirtos valsts apbalvojumus. Inspekcija tiek finansēta no valsts budžeta līdzekļiem, kas paredzēti apakšprogrammā 31.00.00 </w:t>
            </w:r>
            <w:r w:rsidRPr="007A7478">
              <w:rPr>
                <w:rFonts w:eastAsia="EUAlbertina_Bold"/>
                <w:bCs/>
              </w:rPr>
              <w:t>“</w:t>
            </w:r>
            <w:r w:rsidRPr="007A7478">
              <w:rPr>
                <w:rFonts w:eastAsia="EUAlbertina_Bold" w:cs="EUAlbertina_Bold"/>
                <w:bCs/>
              </w:rPr>
              <w:t>Dārgmetālu proves uzraudzība”.</w:t>
            </w:r>
          </w:p>
          <w:p w:rsidR="00F731D0" w:rsidRPr="007A7478" w:rsidRDefault="00F731D0" w:rsidP="007A7478">
            <w:pPr>
              <w:ind w:firstLine="507"/>
              <w:jc w:val="both"/>
              <w:rPr>
                <w:rFonts w:eastAsia="EUAlbertina_Bold" w:cs="EUAlbertina_Bold"/>
                <w:bCs/>
              </w:rPr>
            </w:pPr>
            <w:r w:rsidRPr="007A7478">
              <w:rPr>
                <w:rFonts w:eastAsia="EUAlbertina_Bold" w:cs="EUAlbertina_Bold"/>
                <w:bCs/>
              </w:rPr>
              <w:t>Ar Ministru prezidenta 12.03.2009 rīkojumu Nr.92</w:t>
            </w:r>
            <w:r w:rsidR="00C8385F">
              <w:rPr>
                <w:rFonts w:eastAsia="EUAlbertina_Bold" w:cs="EUAlbertina_Bold"/>
                <w:bCs/>
              </w:rPr>
              <w:t xml:space="preserve"> </w:t>
            </w:r>
            <w:r w:rsidR="00C8385F">
              <w:rPr>
                <w:rFonts w:eastAsia="EUAlbertina_Bold"/>
                <w:bCs/>
              </w:rPr>
              <w:t>“</w:t>
            </w:r>
            <w:r w:rsidR="00C8385F" w:rsidRPr="00C8385F">
              <w:rPr>
                <w:rFonts w:eastAsia="EUAlbertina_Bold" w:cs="EUAlbertina_Bold"/>
                <w:bCs/>
              </w:rPr>
              <w:t>Par funkciju audita darba grupu un funkciju audita veikšanu Valsts ieņēmumu dienestā un</w:t>
            </w:r>
            <w:r w:rsidR="00C8385F">
              <w:rPr>
                <w:rFonts w:eastAsia="EUAlbertina_Bold" w:cs="EUAlbertina_Bold"/>
                <w:bCs/>
              </w:rPr>
              <w:t xml:space="preserve"> funkcionāli saistītās iestādēs”</w:t>
            </w:r>
            <w:r w:rsidRPr="007A7478">
              <w:rPr>
                <w:rFonts w:eastAsia="EUAlbertina_Bold" w:cs="EUAlbertina_Bold"/>
                <w:bCs/>
              </w:rPr>
              <w:t xml:space="preserve"> izveidotā funkciju audita komisija, izvērtējot inspekcijas funkcijas un iespējas pievienot inspekciju V</w:t>
            </w:r>
            <w:r w:rsidR="00AA5295" w:rsidRPr="007A7478">
              <w:rPr>
                <w:rFonts w:eastAsia="EUAlbertina_Bold" w:cs="EUAlbertina_Bold"/>
                <w:bCs/>
              </w:rPr>
              <w:t>ID</w:t>
            </w:r>
            <w:r w:rsidRPr="007A7478">
              <w:rPr>
                <w:rFonts w:eastAsia="EUAlbertina_Bold" w:cs="EUAlbertina_Bold"/>
                <w:bCs/>
              </w:rPr>
              <w:t>, secināja, ka būtu lietderīgi uzticēt dārgakmeņu, dārgmetālu un to izstrādājumu testēšanas veikšanu valsts kapitālsabiedrībai, likvidējot inspekciju. Komercdarbību paredzēts veikt atbilstoši Valsts pārvaldes iekārtas likuma 88.panta pirmās daļas 2., 3., 5. un 6.punktam.</w:t>
            </w:r>
          </w:p>
          <w:p w:rsidR="00463954" w:rsidRPr="007A7478" w:rsidRDefault="00463954" w:rsidP="007A7478">
            <w:pPr>
              <w:ind w:firstLine="507"/>
              <w:jc w:val="both"/>
              <w:rPr>
                <w:rFonts w:eastAsia="EUAlbertina_Bold" w:cs="EUAlbertina_Bold"/>
                <w:bCs/>
              </w:rPr>
            </w:pPr>
            <w:r w:rsidRPr="007A7478">
              <w:rPr>
                <w:rFonts w:eastAsia="EUAlbertina_Bold" w:cs="EUAlbertina_Bold"/>
                <w:bCs/>
              </w:rPr>
              <w:t xml:space="preserve">Ir sagatavoti </w:t>
            </w:r>
            <w:r w:rsidR="00343042" w:rsidRPr="007A7478">
              <w:rPr>
                <w:rFonts w:eastAsia="EUAlbertina_Bold" w:cs="EUAlbertina_Bold"/>
                <w:bCs/>
              </w:rPr>
              <w:t>grozījumi Sabiedriskā labuma organizāciju likumā, kas nosaka V</w:t>
            </w:r>
            <w:r w:rsidRPr="007A7478">
              <w:rPr>
                <w:rFonts w:eastAsia="EUAlbertina_Bold" w:cs="EUAlbertina_Bold"/>
                <w:bCs/>
              </w:rPr>
              <w:t>ID pienākumu</w:t>
            </w:r>
            <w:r w:rsidR="00343042" w:rsidRPr="007A7478">
              <w:rPr>
                <w:rFonts w:eastAsia="EUAlbertina_Bold" w:cs="EUAlbertina_Bold"/>
                <w:bCs/>
              </w:rPr>
              <w:t xml:space="preserve"> vei</w:t>
            </w:r>
            <w:r w:rsidRPr="007A7478">
              <w:rPr>
                <w:rFonts w:eastAsia="EUAlbertina_Bold" w:cs="EUAlbertina_Bold"/>
                <w:bCs/>
              </w:rPr>
              <w:t>kt</w:t>
            </w:r>
            <w:r w:rsidR="00343042" w:rsidRPr="007A7478">
              <w:rPr>
                <w:rFonts w:eastAsia="EUAlbertina_Bold" w:cs="EUAlbertina_Bold"/>
                <w:bCs/>
              </w:rPr>
              <w:t xml:space="preserve"> sabiedriskā labuma organizāciju uzraudzību un Sabiedriskā labuma organizāciju reģistra vešanu, kā arī </w:t>
            </w:r>
            <w:r w:rsidRPr="007A7478">
              <w:rPr>
                <w:rFonts w:eastAsia="EUAlbertina_Bold" w:cs="EUAlbertina_Bold"/>
                <w:bCs/>
              </w:rPr>
              <w:t xml:space="preserve">pildīt </w:t>
            </w:r>
            <w:r w:rsidR="00343042" w:rsidRPr="007A7478">
              <w:rPr>
                <w:rFonts w:eastAsia="EUAlbertina_Bold" w:cs="EUAlbertina_Bold"/>
                <w:bCs/>
              </w:rPr>
              <w:t>citas ar sabiedriskā labuma organizāciju uzraudzību saistītās funkcijas.</w:t>
            </w:r>
            <w:r w:rsidRPr="007A7478">
              <w:rPr>
                <w:rFonts w:eastAsia="EUAlbertina_Bold" w:cs="EUAlbertina_Bold"/>
                <w:bCs/>
              </w:rPr>
              <w:t xml:space="preserve"> Līdz ar to Likumā jāparedz nodokļu administrācijas pienākum</w:t>
            </w:r>
            <w:r w:rsidR="00951077" w:rsidRPr="007A7478">
              <w:rPr>
                <w:rFonts w:eastAsia="EUAlbertina_Bold" w:cs="EUAlbertina_Bold"/>
                <w:bCs/>
              </w:rPr>
              <w:t>s</w:t>
            </w:r>
            <w:r w:rsidRPr="007A7478">
              <w:rPr>
                <w:rFonts w:eastAsia="EUAlbertina_Bold" w:cs="EUAlbertina_Bold"/>
                <w:bCs/>
              </w:rPr>
              <w:t xml:space="preserve"> nodrošināt publiski pieejamu sabiedriskā labuma organizāciju vienoto datu bāzi.</w:t>
            </w:r>
          </w:p>
          <w:p w:rsidR="00D96272" w:rsidRPr="007A7478" w:rsidRDefault="00D96272" w:rsidP="007A7478">
            <w:pPr>
              <w:ind w:firstLine="507"/>
              <w:jc w:val="both"/>
              <w:rPr>
                <w:rFonts w:eastAsia="EUAlbertina_Bold" w:cs="EUAlbertina_Bold"/>
                <w:bCs/>
                <w:highlight w:val="yellow"/>
              </w:rPr>
            </w:pPr>
            <w:r w:rsidRPr="00D96272">
              <w:t>2009.gada 12.jūnijā Saeimā tika pieņemts likums “Grozījumi likumā “Par Valsts ieņēmumu dienestu”” (stājās spēkā 2009.gada 1.jūlijā), saskaņā ar kuru no visa likuma teksta tika izslēgts termins “Valsts ieņēmumu dienesta teritoriālā iestāde”. VID teritoriālās iestādes beidz pastāvēt ar pilnīgu funkciju, uzdevumu un lietu nodošanu VID ģenerāldirektora noteiktajām struktūrvienībām. Ņemot vērā to, ka pēc VID reorganizācijas pabeigšanas VID teritoriālās iestādes nepastāvēs, nepieciešams saskaņot Likuma normas ar likumu “Par Valsts ieņēmumu dienestu”.</w:t>
            </w:r>
          </w:p>
          <w:p w:rsidR="008F0B16" w:rsidRPr="008F0B16" w:rsidRDefault="008F0B16" w:rsidP="007A7478">
            <w:pPr>
              <w:ind w:firstLine="507"/>
              <w:jc w:val="both"/>
            </w:pPr>
            <w:r w:rsidRPr="007A7478">
              <w:rPr>
                <w:rFonts w:cs="EUAlbertina_Bold"/>
                <w:bCs/>
              </w:rPr>
              <w:t xml:space="preserve">Likuma </w:t>
            </w:r>
            <w:r w:rsidRPr="007A7478">
              <w:rPr>
                <w:rFonts w:cs="EUAlbertina_Bold"/>
              </w:rPr>
              <w:t>26.</w:t>
            </w:r>
            <w:r w:rsidRPr="007A7478">
              <w:rPr>
                <w:rFonts w:cs="EUAlbertina_Bold"/>
                <w:vertAlign w:val="superscript"/>
              </w:rPr>
              <w:t>1</w:t>
            </w:r>
            <w:r w:rsidRPr="007A7478">
              <w:rPr>
                <w:rFonts w:cs="EUAlbertina_Bold"/>
              </w:rPr>
              <w:t>panta pirmās un trešās daļas regulējums attiecībā uz izpildes nodrošinājuma līdzekļu piemērošanu nodokļu administrācijas kontroles (pārbaudes, revīzijas) rezultātā pieņemtā lēmuma izpildes nodrošināšanai atšķiras no Civilprocesa likumā noteiktās prasības nodrošināšanas un Administratīvā procesa likumā noteiktās izpildes nodrošinājuma līdzekļu piemērošanas kārtības, nepamatoti ierobežojot valsti kā kreditoru un apdraudot tās fiskālās intereses. Līdz ar to Likuma 26.</w:t>
            </w:r>
            <w:r w:rsidRPr="007A7478">
              <w:rPr>
                <w:rFonts w:cs="EUAlbertina_Bold"/>
                <w:vertAlign w:val="superscript"/>
              </w:rPr>
              <w:t>1</w:t>
            </w:r>
            <w:r w:rsidRPr="007A7478">
              <w:rPr>
                <w:rFonts w:cs="EUAlbertina_Bold"/>
              </w:rPr>
              <w:t xml:space="preserve">panta pirmā daļa jāsaskaņo ar Civilprocesa likumā un Administratīvā procesa likumā ietverto regulējumu. Likumprojektā </w:t>
            </w:r>
            <w:r w:rsidRPr="008F0B16">
              <w:t>“</w:t>
            </w:r>
            <w:r w:rsidRPr="007A7478">
              <w:rPr>
                <w:rFonts w:cs="EUAlbertina_Bold"/>
              </w:rPr>
              <w:t xml:space="preserve">Grozījumi likumā </w:t>
            </w:r>
            <w:r w:rsidRPr="008F0B16">
              <w:t>“</w:t>
            </w:r>
            <w:r w:rsidRPr="007A7478">
              <w:rPr>
                <w:rFonts w:cs="EUAlbertina_Bold"/>
              </w:rPr>
              <w:t xml:space="preserve">Par Valsts ieņēmumu dienestu” (reģ. Nr.1371/Lp9, Saeimā pieņemts 2.lasījumā) ir paredzēts minētās atšķirības novērst attiecībā uz gadījumiem, ja </w:t>
            </w:r>
            <w:r w:rsidRPr="008F0B16">
              <w:t xml:space="preserve">tiek iegūti pierādījumi, ka varētu kļūt neiespējami izpildīt nodokļu revīzijas (audita) lēmumu. Līdz ar to Likuma </w:t>
            </w:r>
            <w:r w:rsidRPr="007A7478">
              <w:rPr>
                <w:rFonts w:cs="EUAlbertina_Bold"/>
              </w:rPr>
              <w:t>26.</w:t>
            </w:r>
            <w:r w:rsidRPr="007A7478">
              <w:rPr>
                <w:rFonts w:cs="EUAlbertina_Bold"/>
                <w:vertAlign w:val="superscript"/>
              </w:rPr>
              <w:t>1</w:t>
            </w:r>
            <w:r w:rsidRPr="007A7478">
              <w:rPr>
                <w:rFonts w:cs="EUAlbertina_Bold"/>
              </w:rPr>
              <w:t xml:space="preserve">panta trešā daļa jāsaskaņo ar </w:t>
            </w:r>
            <w:r w:rsidRPr="008F0B16">
              <w:t>likuma “Par Valsts ieņēmumu dienestu” un Civilprocesa likuma normām.</w:t>
            </w:r>
          </w:p>
          <w:p w:rsidR="00CA2E97" w:rsidRPr="007A7478" w:rsidRDefault="003E0E57" w:rsidP="007A7478">
            <w:pPr>
              <w:ind w:firstLine="507"/>
              <w:jc w:val="both"/>
              <w:rPr>
                <w:rFonts w:eastAsia="EUAlbertina_Bold" w:cs="EUAlbertina_Bold"/>
              </w:rPr>
            </w:pPr>
            <w:r w:rsidRPr="007A7478">
              <w:rPr>
                <w:rFonts w:eastAsia="EUAlbertina_Bold" w:cs="EUAlbertina_Bold"/>
              </w:rPr>
              <w:t>Likuma p</w:t>
            </w:r>
            <w:r w:rsidR="00B6117A" w:rsidRPr="007A7478">
              <w:rPr>
                <w:rFonts w:eastAsia="EUAlbertina_Bold" w:cs="EUAlbertina_Bold"/>
              </w:rPr>
              <w:t xml:space="preserve">ārejas noteikumu 98.punkts nosaka, ka nodokļu maksātājiem, izņemot fiziskās personas, kas neveic saimniecisko darbību, no </w:t>
            </w:r>
            <w:r w:rsidR="003657AB" w:rsidRPr="007A7478">
              <w:rPr>
                <w:rFonts w:eastAsia="EUAlbertina_Bold" w:cs="EUAlbertina_Bold"/>
              </w:rPr>
              <w:t xml:space="preserve">2010.gada 1.janvāra nodokļu un informatīvās </w:t>
            </w:r>
            <w:r w:rsidR="003657AB" w:rsidRPr="007A7478">
              <w:rPr>
                <w:rFonts w:eastAsia="EUAlbertina_Bold" w:cs="EUAlbertina_Bold"/>
              </w:rPr>
              <w:lastRenderedPageBreak/>
              <w:t xml:space="preserve">deklarācijas jāiesniedz elektroniskā veidā. Nodokļu maksātājiem, kuru juridiskā adrese vai deklarētā dzīvesvieta atrodas administratīvajā teritorijā, kurā nav interneta pieejas infrastruktūras teritoriālā seguma, ir tiesības iesniegt nodokļu un informatīvās deklarācijas rakstiskā veidā līdz </w:t>
            </w:r>
            <w:r w:rsidR="00BC7BDC" w:rsidRPr="007A7478">
              <w:rPr>
                <w:rFonts w:eastAsia="EUAlbertina_Bold" w:cs="EUAlbertina_Bold"/>
              </w:rPr>
              <w:t>2011.gada 1.janvārim.</w:t>
            </w:r>
            <w:r w:rsidR="00BD31F3" w:rsidRPr="007A7478">
              <w:rPr>
                <w:rFonts w:eastAsia="EUAlbertina_Bold" w:cs="EUAlbertina_Bold"/>
              </w:rPr>
              <w:t xml:space="preserve"> Ņemot vērā </w:t>
            </w:r>
            <w:r w:rsidR="00BD31F3">
              <w:t xml:space="preserve">interneta piekļuves pakalpojumu pieejamības problēmas, kā arī </w:t>
            </w:r>
            <w:r w:rsidR="00BD31F3" w:rsidRPr="007A7478">
              <w:rPr>
                <w:rFonts w:eastAsia="EUAlbertina_Bold" w:cs="EUAlbertina_Bold"/>
              </w:rPr>
              <w:t>ekonomisko situāciju valstī, ne visiem nodokļu maksātājiem būs iespēja izpildīt minēto pienākumu.</w:t>
            </w:r>
          </w:p>
        </w:tc>
      </w:tr>
      <w:tr w:rsidR="00CA2E97" w:rsidTr="007A7478">
        <w:tc>
          <w:tcPr>
            <w:tcW w:w="2840" w:type="dxa"/>
          </w:tcPr>
          <w:p w:rsidR="00CA2E97" w:rsidRDefault="00CA2E97" w:rsidP="007A7478">
            <w:pPr>
              <w:snapToGrid w:val="0"/>
              <w:jc w:val="both"/>
            </w:pPr>
            <w:r>
              <w:lastRenderedPageBreak/>
              <w:t>3. Normatīvā akta projekta būtība</w:t>
            </w:r>
          </w:p>
        </w:tc>
        <w:tc>
          <w:tcPr>
            <w:tcW w:w="6799" w:type="dxa"/>
          </w:tcPr>
          <w:p w:rsidR="00122A95" w:rsidRPr="007A7478" w:rsidRDefault="00122A95" w:rsidP="007A7478">
            <w:pPr>
              <w:ind w:firstLine="507"/>
              <w:jc w:val="both"/>
              <w:rPr>
                <w:rFonts w:eastAsia="EUAlbertina_Bold" w:cs="EUAlbertina_Bold"/>
              </w:rPr>
            </w:pPr>
            <w:r w:rsidRPr="007A7478">
              <w:rPr>
                <w:rFonts w:eastAsia="EUAlbertina_Bold" w:cs="EUAlbertina_Bold"/>
              </w:rPr>
              <w:t>Likumprojekts paredz:</w:t>
            </w:r>
          </w:p>
          <w:p w:rsidR="0035785C" w:rsidRDefault="003E0E57" w:rsidP="007A7478">
            <w:pPr>
              <w:pStyle w:val="ListParagraph"/>
              <w:numPr>
                <w:ilvl w:val="0"/>
                <w:numId w:val="4"/>
              </w:numPr>
              <w:ind w:left="0" w:firstLine="507"/>
              <w:jc w:val="both"/>
              <w:rPr>
                <w:rFonts w:eastAsia="EUAlbertina_Bold" w:cs="EUAlbertina_Bold"/>
              </w:rPr>
            </w:pPr>
            <w:r w:rsidRPr="007A7478">
              <w:rPr>
                <w:rFonts w:eastAsia="EUAlbertina_Bold" w:cs="EUAlbertina_Bold"/>
              </w:rPr>
              <w:t>i</w:t>
            </w:r>
            <w:r w:rsidR="0035785C" w:rsidRPr="007A7478">
              <w:rPr>
                <w:rFonts w:eastAsia="EUAlbertina_Bold" w:cs="EUAlbertina_Bold"/>
              </w:rPr>
              <w:t xml:space="preserve">zslēgt normas, kas attiecas uz </w:t>
            </w:r>
            <w:r w:rsidRPr="007A7478">
              <w:rPr>
                <w:rFonts w:eastAsia="EUAlbertina_Bold" w:cs="EUAlbertina_Bold"/>
              </w:rPr>
              <w:t>pavadzīmju ar VID piešķirtu numuru lietošanu nodokļu aprēķināšanai un uzskaitei</w:t>
            </w:r>
            <w:r w:rsidR="0035785C" w:rsidRPr="007A7478">
              <w:rPr>
                <w:rFonts w:eastAsia="EUAlbertina_Bold" w:cs="EUAlbertina_Bold"/>
              </w:rPr>
              <w:t>;</w:t>
            </w:r>
          </w:p>
          <w:p w:rsidR="00303E94" w:rsidRPr="00AD61CF" w:rsidRDefault="00303E94" w:rsidP="00AD61CF">
            <w:pPr>
              <w:pStyle w:val="ListParagraph"/>
              <w:numPr>
                <w:ilvl w:val="0"/>
                <w:numId w:val="4"/>
              </w:numPr>
              <w:ind w:left="0" w:firstLine="507"/>
              <w:jc w:val="both"/>
              <w:rPr>
                <w:rFonts w:eastAsia="EUAlbertina_Bold" w:cs="EUAlbertina_Bold"/>
              </w:rPr>
            </w:pPr>
            <w:r w:rsidRPr="003A79AD">
              <w:rPr>
                <w:rFonts w:eastAsia="EUAlbertina_Bold" w:cs="EUAlbertina_Bold"/>
              </w:rPr>
              <w:t>precizēt datu atbilstības pārbaudes definīciju</w:t>
            </w:r>
            <w:r w:rsidR="00AD61CF" w:rsidRPr="003A79AD">
              <w:rPr>
                <w:rFonts w:eastAsia="EUAlbertina_Bold" w:cs="EUAlbertina_Bold"/>
              </w:rPr>
              <w:t>, paredzot iespēju piemērot šo pārbau</w:t>
            </w:r>
            <w:r w:rsidR="00885C52" w:rsidRPr="003A79AD">
              <w:rPr>
                <w:rFonts w:eastAsia="EUAlbertina_Bold" w:cs="EUAlbertina_Bold"/>
              </w:rPr>
              <w:t>des</w:t>
            </w:r>
            <w:r w:rsidR="00AD61CF" w:rsidRPr="003A79AD">
              <w:rPr>
                <w:rFonts w:eastAsia="EUAlbertina_Bold" w:cs="EUAlbertina_Bold"/>
              </w:rPr>
              <w:t xml:space="preserve"> veidu arī muitas deklarāciju pārbaudēm</w:t>
            </w:r>
            <w:r w:rsidRPr="003A79AD">
              <w:rPr>
                <w:rFonts w:eastAsia="EUAlbertina_Bold" w:cs="EUAlbertina_Bold"/>
              </w:rPr>
              <w:t>;</w:t>
            </w:r>
          </w:p>
          <w:p w:rsidR="003E0E57" w:rsidRPr="007A7478" w:rsidRDefault="003E0E57" w:rsidP="007A7478">
            <w:pPr>
              <w:pStyle w:val="ListParagraph"/>
              <w:numPr>
                <w:ilvl w:val="0"/>
                <w:numId w:val="4"/>
              </w:numPr>
              <w:ind w:left="0" w:firstLine="507"/>
              <w:jc w:val="both"/>
              <w:rPr>
                <w:rFonts w:eastAsia="EUAlbertina_Bold" w:cs="EUAlbertina_Bold"/>
              </w:rPr>
            </w:pPr>
            <w:r w:rsidRPr="007A7478">
              <w:rPr>
                <w:rFonts w:eastAsia="EUAlbertina_Bold" w:cs="EUAlbertina_Bold"/>
              </w:rPr>
              <w:t>izslēgt Likuma 11.panta otrās daļas 32.punktu, kas paredz valsts nodevu par valsts proves uzraudzības īstenošanu;</w:t>
            </w:r>
          </w:p>
          <w:p w:rsidR="00343042" w:rsidRPr="007A7478" w:rsidRDefault="001F29E7" w:rsidP="007A7478">
            <w:pPr>
              <w:pStyle w:val="ListParagraph"/>
              <w:numPr>
                <w:ilvl w:val="0"/>
                <w:numId w:val="4"/>
              </w:numPr>
              <w:ind w:left="0" w:firstLine="507"/>
              <w:jc w:val="both"/>
              <w:rPr>
                <w:rFonts w:eastAsia="EUAlbertina_Bold" w:cs="EUAlbertina_Bold"/>
              </w:rPr>
            </w:pPr>
            <w:r w:rsidRPr="007A7478">
              <w:rPr>
                <w:rFonts w:eastAsia="EUAlbertina_Bold" w:cs="EUAlbertina_Bold"/>
                <w:bCs/>
              </w:rPr>
              <w:t xml:space="preserve">papildināt </w:t>
            </w:r>
            <w:r w:rsidR="00343042" w:rsidRPr="007A7478">
              <w:rPr>
                <w:rFonts w:eastAsia="EUAlbertina_Bold" w:cs="EUAlbertina_Bold"/>
                <w:bCs/>
              </w:rPr>
              <w:t>nodokļu administrācijas pienākumu</w:t>
            </w:r>
            <w:r w:rsidRPr="007A7478">
              <w:rPr>
                <w:rFonts w:eastAsia="EUAlbertina_Bold" w:cs="EUAlbertina_Bold"/>
                <w:bCs/>
              </w:rPr>
              <w:t>s, nodrošino</w:t>
            </w:r>
            <w:r w:rsidR="00343042" w:rsidRPr="007A7478">
              <w:rPr>
                <w:rFonts w:eastAsia="EUAlbertina_Bold" w:cs="EUAlbertina_Bold"/>
                <w:bCs/>
              </w:rPr>
              <w:t>t publiski pieejamu sabiedriskā labuma organizāciju vienoto datu bāzi;</w:t>
            </w:r>
          </w:p>
          <w:p w:rsidR="00D96272" w:rsidRPr="007A7478" w:rsidRDefault="00D96272" w:rsidP="007A7478">
            <w:pPr>
              <w:pStyle w:val="ListParagraph"/>
              <w:numPr>
                <w:ilvl w:val="0"/>
                <w:numId w:val="4"/>
              </w:numPr>
              <w:ind w:left="0" w:firstLine="507"/>
              <w:jc w:val="both"/>
              <w:rPr>
                <w:rFonts w:eastAsia="EUAlbertina_Bold" w:cs="EUAlbertina_Bold"/>
              </w:rPr>
            </w:pPr>
            <w:r w:rsidRPr="007A7478">
              <w:rPr>
                <w:rFonts w:eastAsia="EUAlbertina_Bold" w:cs="EUAlbertina_Bold"/>
              </w:rPr>
              <w:t>veikt precizējumus 24.</w:t>
            </w:r>
            <w:r w:rsidRPr="007A7478">
              <w:rPr>
                <w:rFonts w:eastAsia="EUAlbertina_Bold" w:cs="EUAlbertina_Bold"/>
                <w:vertAlign w:val="superscript"/>
              </w:rPr>
              <w:t xml:space="preserve">1 </w:t>
            </w:r>
            <w:r w:rsidRPr="007A7478">
              <w:rPr>
                <w:rFonts w:cs="EUAlbertina_Bold"/>
              </w:rPr>
              <w:t>un 25.</w:t>
            </w:r>
            <w:r w:rsidRPr="007A7478">
              <w:rPr>
                <w:rFonts w:cs="EUAlbertina_Bold"/>
                <w:kern w:val="24"/>
                <w:vertAlign w:val="superscript"/>
              </w:rPr>
              <w:t>2</w:t>
            </w:r>
            <w:r w:rsidRPr="007A7478">
              <w:rPr>
                <w:rFonts w:cs="EUAlbertina_Bold"/>
              </w:rPr>
              <w:t>panta saistībā ar VID reorganizāciju;</w:t>
            </w:r>
          </w:p>
          <w:p w:rsidR="008F0B16" w:rsidRPr="007A7478" w:rsidRDefault="008F0B16" w:rsidP="007A7478">
            <w:pPr>
              <w:pStyle w:val="ListParagraph"/>
              <w:numPr>
                <w:ilvl w:val="0"/>
                <w:numId w:val="4"/>
              </w:numPr>
              <w:ind w:left="0" w:firstLine="507"/>
              <w:jc w:val="both"/>
              <w:rPr>
                <w:rFonts w:cs="EUAlbertina_Bold"/>
              </w:rPr>
            </w:pPr>
            <w:r w:rsidRPr="007A7478">
              <w:rPr>
                <w:rFonts w:cs="EUAlbertina_Bold"/>
              </w:rPr>
              <w:t>precizēt 26.</w:t>
            </w:r>
            <w:r w:rsidRPr="007A7478">
              <w:rPr>
                <w:rFonts w:cs="EUAlbertina_Bold"/>
                <w:kern w:val="24"/>
                <w:vertAlign w:val="superscript"/>
              </w:rPr>
              <w:t>1</w:t>
            </w:r>
            <w:r w:rsidRPr="007A7478">
              <w:rPr>
                <w:rFonts w:cs="EUAlbertina_Bold"/>
              </w:rPr>
              <w:t>panta pirmo daļu, paredzot nodokļu administrācijai tiesības pieņemt lēmumu par izpildes nodrošinājuma līdzekļu piemērošanu vienlaikus ar sākotnējā nodokļu administrācijas kontroles (pārbaudes, revīzijas) rezultātā pieņemtā lēmuma paziņošanu (neatkarīgi no tā apstrīdēšanas iestādes ietvaros);</w:t>
            </w:r>
          </w:p>
          <w:p w:rsidR="008F0B16" w:rsidRPr="004079FB" w:rsidRDefault="008F0B16" w:rsidP="007A7478">
            <w:pPr>
              <w:pStyle w:val="ListParagraph"/>
              <w:numPr>
                <w:ilvl w:val="0"/>
                <w:numId w:val="4"/>
              </w:numPr>
              <w:ind w:left="0" w:firstLine="507"/>
              <w:jc w:val="both"/>
              <w:rPr>
                <w:rFonts w:eastAsia="EUAlbertina_Bold" w:cs="EUAlbertina_Bold"/>
              </w:rPr>
            </w:pPr>
            <w:r w:rsidRPr="007A7478">
              <w:rPr>
                <w:rFonts w:cs="EUAlbertina_Bold"/>
              </w:rPr>
              <w:t>precizēt 26.</w:t>
            </w:r>
            <w:r w:rsidRPr="007A7478">
              <w:rPr>
                <w:rFonts w:cs="EUAlbertina_Bold"/>
                <w:vertAlign w:val="superscript"/>
              </w:rPr>
              <w:t>1</w:t>
            </w:r>
            <w:r w:rsidRPr="007A7478">
              <w:rPr>
                <w:rFonts w:cs="EUAlbertina_Bold"/>
              </w:rPr>
              <w:t xml:space="preserve">panta trešo daļu, paredzot </w:t>
            </w:r>
            <w:r w:rsidRPr="008F0B16">
              <w:t>nodokļu administrācijai tiesības pieņemt lēmumu par izpildes nodrošinājuma līdzekļu piemērošanu jau nodokļu revīzijas (audita) laikā, ja tiek iegūti pierādījumi, ka varētu kļūt neiespējami izpildīt nodokļu revīzijas (audita) lēmumu;</w:t>
            </w:r>
          </w:p>
          <w:p w:rsidR="004079FB" w:rsidRPr="007A7478" w:rsidRDefault="0068764B" w:rsidP="007A7478">
            <w:pPr>
              <w:pStyle w:val="ListParagraph"/>
              <w:numPr>
                <w:ilvl w:val="0"/>
                <w:numId w:val="4"/>
              </w:numPr>
              <w:ind w:left="0" w:firstLine="507"/>
              <w:jc w:val="both"/>
              <w:rPr>
                <w:rFonts w:eastAsia="EUAlbertina_Bold" w:cs="EUAlbertina_Bold"/>
              </w:rPr>
            </w:pPr>
            <w:r w:rsidRPr="003A79AD">
              <w:rPr>
                <w:rFonts w:eastAsia="EUAlbertina_Bold" w:cs="EUAlbertina_Bold"/>
              </w:rPr>
              <w:t xml:space="preserve">papildināt </w:t>
            </w:r>
            <w:r w:rsidR="004079FB" w:rsidRPr="003A79AD">
              <w:rPr>
                <w:rFonts w:eastAsia="EUAlbertina_Bold" w:cs="EUAlbertina_Bold"/>
              </w:rPr>
              <w:t>Likuma 28.pantu</w:t>
            </w:r>
            <w:r w:rsidRPr="003A79AD">
              <w:rPr>
                <w:rFonts w:eastAsia="EUAlbertina_Bold" w:cs="EUAlbertina_Bold"/>
              </w:rPr>
              <w:t>, precizējot nodokļu administrācijas tiesības veikt nodokļu revīziju (auditu) pēc pārmaksāto nodokļu summu atmaksāšanas vai novirzīšanas nokavēto vai kārtējo nodokļu maksājumu segšanai</w:t>
            </w:r>
            <w:r>
              <w:rPr>
                <w:rFonts w:eastAsia="EUAlbertina_Bold" w:cs="EUAlbertina_Bold"/>
              </w:rPr>
              <w:t>;</w:t>
            </w:r>
          </w:p>
          <w:p w:rsidR="003E0E57" w:rsidRPr="007A7478" w:rsidRDefault="003E0E57" w:rsidP="007A7478">
            <w:pPr>
              <w:pStyle w:val="ListParagraph"/>
              <w:numPr>
                <w:ilvl w:val="0"/>
                <w:numId w:val="4"/>
              </w:numPr>
              <w:ind w:left="0" w:firstLine="507"/>
              <w:jc w:val="both"/>
              <w:rPr>
                <w:rFonts w:eastAsia="EUAlbertina_Bold" w:cs="EUAlbertina_Bold"/>
              </w:rPr>
            </w:pPr>
            <w:r w:rsidRPr="007A7478">
              <w:rPr>
                <w:rFonts w:eastAsia="EUAlbertina_Bold" w:cs="EUAlbertina_Bold"/>
              </w:rPr>
              <w:t>veikt redakcionālo precizējumu 30.pantā;</w:t>
            </w:r>
          </w:p>
          <w:p w:rsidR="00CA2E97" w:rsidRPr="007A7478" w:rsidRDefault="003E0E57" w:rsidP="007A7478">
            <w:pPr>
              <w:pStyle w:val="ListParagraph"/>
              <w:numPr>
                <w:ilvl w:val="0"/>
                <w:numId w:val="4"/>
              </w:numPr>
              <w:ind w:left="0" w:firstLine="507"/>
              <w:jc w:val="both"/>
              <w:rPr>
                <w:rFonts w:eastAsia="EUAlbertina_Bold" w:cs="EUAlbertina_Bold"/>
              </w:rPr>
            </w:pPr>
            <w:r w:rsidRPr="007A7478">
              <w:rPr>
                <w:rFonts w:eastAsia="EUAlbertina_Bold" w:cs="EUAlbertina_Bold"/>
              </w:rPr>
              <w:t>precizēt Likuma pārejas noteikumu 98. un 99.punktu, pagarinot par gadu pārejas periodu nodokļu un informatīvo deklarāciju iesniegšanai elektroniskā veidā.</w:t>
            </w:r>
          </w:p>
        </w:tc>
      </w:tr>
      <w:tr w:rsidR="00CA2E97" w:rsidTr="007A7478">
        <w:tc>
          <w:tcPr>
            <w:tcW w:w="2840" w:type="dxa"/>
          </w:tcPr>
          <w:p w:rsidR="00CA2E97" w:rsidRDefault="00CA2E97" w:rsidP="007A7478">
            <w:pPr>
              <w:snapToGrid w:val="0"/>
              <w:jc w:val="both"/>
            </w:pPr>
            <w:r>
              <w:t>4. Cita informācija</w:t>
            </w:r>
          </w:p>
        </w:tc>
        <w:tc>
          <w:tcPr>
            <w:tcW w:w="6799" w:type="dxa"/>
          </w:tcPr>
          <w:p w:rsidR="00CA2E97" w:rsidRPr="00FC0B82" w:rsidRDefault="00F533F8" w:rsidP="007A7478">
            <w:pPr>
              <w:pStyle w:val="TableContents"/>
              <w:snapToGrid w:val="0"/>
              <w:ind w:firstLine="507"/>
              <w:jc w:val="both"/>
            </w:pPr>
            <w:r>
              <w:t>Pēc grozījumu veikšanas likuma “</w:t>
            </w:r>
            <w:r w:rsidR="00FC0B82" w:rsidRPr="00FC0B82">
              <w:t>Pa</w:t>
            </w:r>
            <w:r w:rsidR="00FC0B82">
              <w:t>r valsts proves uzraudzību” 27.</w:t>
            </w:r>
            <w:r w:rsidR="00FC0B82" w:rsidRPr="00FC0B82">
              <w:t xml:space="preserve">pantā, tiks sagatavoti un </w:t>
            </w:r>
            <w:r w:rsidR="00FC0B82">
              <w:t>ie</w:t>
            </w:r>
            <w:r w:rsidR="00FC0B82" w:rsidRPr="00FC0B82">
              <w:t>sniegti apstiprināšanai Ministru kabinetā noteikumi, kas nosaka maksu par obligāti provējamo dārgmetālu izstrādājumu provēšanu un zīmogošanu, obligāti provējamo dārgakmeņu izstrādājumu provēšanu un kvalitātes apliecību izsniegšanu, kā arī par personiskā zīmoga reģistrāciju.</w:t>
            </w:r>
          </w:p>
        </w:tc>
      </w:tr>
    </w:tbl>
    <w:p w:rsidR="00CA2E97" w:rsidRDefault="00CA2E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8"/>
        <w:gridCol w:w="4821"/>
      </w:tblGrid>
      <w:tr w:rsidR="00CA2E97" w:rsidTr="007A7478">
        <w:tc>
          <w:tcPr>
            <w:tcW w:w="9639" w:type="dxa"/>
            <w:gridSpan w:val="2"/>
          </w:tcPr>
          <w:p w:rsidR="00CA2E97" w:rsidRPr="007A7478" w:rsidRDefault="00CA2E97" w:rsidP="007A7478">
            <w:pPr>
              <w:pStyle w:val="TableContents"/>
              <w:snapToGrid w:val="0"/>
              <w:jc w:val="center"/>
              <w:rPr>
                <w:b/>
                <w:bCs/>
              </w:rPr>
            </w:pPr>
            <w:r w:rsidRPr="007A7478">
              <w:rPr>
                <w:b/>
                <w:bCs/>
              </w:rPr>
              <w:t>II. Kāda var būt normatīvā akta ietekme uz sabiedrības un tautsaimniecības attīstību</w:t>
            </w:r>
          </w:p>
        </w:tc>
      </w:tr>
      <w:tr w:rsidR="00CA2E97" w:rsidTr="007A7478">
        <w:tc>
          <w:tcPr>
            <w:tcW w:w="4818" w:type="dxa"/>
          </w:tcPr>
          <w:p w:rsidR="00CA2E97" w:rsidRDefault="00CA2E97" w:rsidP="007A7478">
            <w:pPr>
              <w:pStyle w:val="TableContents"/>
              <w:snapToGrid w:val="0"/>
            </w:pPr>
            <w:r>
              <w:t>1. Vispārēja ietekme uz sabiedrības un tautsaimniecības pārmaiņām</w:t>
            </w:r>
          </w:p>
        </w:tc>
        <w:tc>
          <w:tcPr>
            <w:tcW w:w="4821" w:type="dxa"/>
          </w:tcPr>
          <w:p w:rsidR="00CA2E97" w:rsidRDefault="00CA2E97" w:rsidP="007A7478">
            <w:pPr>
              <w:snapToGrid w:val="0"/>
              <w:jc w:val="both"/>
            </w:pPr>
            <w:r>
              <w:t>Nav attiecināms</w:t>
            </w:r>
          </w:p>
        </w:tc>
      </w:tr>
      <w:tr w:rsidR="00CA2E97" w:rsidTr="007A7478">
        <w:tc>
          <w:tcPr>
            <w:tcW w:w="4818" w:type="dxa"/>
          </w:tcPr>
          <w:p w:rsidR="00CA2E97" w:rsidRDefault="00CA2E97" w:rsidP="007A7478">
            <w:pPr>
              <w:pStyle w:val="TableContents"/>
              <w:snapToGrid w:val="0"/>
            </w:pPr>
            <w:r>
              <w:lastRenderedPageBreak/>
              <w:t>2. Ekonomiskā ietekme</w:t>
            </w:r>
          </w:p>
        </w:tc>
        <w:tc>
          <w:tcPr>
            <w:tcW w:w="4821" w:type="dxa"/>
          </w:tcPr>
          <w:p w:rsidR="00CA2E97" w:rsidRDefault="00CA2E97" w:rsidP="007A7478">
            <w:pPr>
              <w:snapToGrid w:val="0"/>
              <w:jc w:val="both"/>
            </w:pPr>
            <w:r>
              <w:t>Nav attiecināms</w:t>
            </w:r>
          </w:p>
        </w:tc>
      </w:tr>
      <w:tr w:rsidR="00CA2E97" w:rsidTr="007A7478">
        <w:tc>
          <w:tcPr>
            <w:tcW w:w="4818" w:type="dxa"/>
          </w:tcPr>
          <w:p w:rsidR="00CA2E97" w:rsidRDefault="00CA2E97" w:rsidP="007A7478">
            <w:pPr>
              <w:pStyle w:val="TableContents"/>
              <w:snapToGrid w:val="0"/>
            </w:pPr>
            <w:r>
              <w:t>3. Ietekme uz uzņēmējdarbības vidi, administratīvajām procedūrām un administratīvo slogu komersantiem, pašnodarbinātajām personām, zemnieku un zvejnieku saimniecībām</w:t>
            </w:r>
          </w:p>
        </w:tc>
        <w:tc>
          <w:tcPr>
            <w:tcW w:w="4821" w:type="dxa"/>
          </w:tcPr>
          <w:p w:rsidR="00F6319C" w:rsidRPr="007A7478" w:rsidRDefault="00F6319C" w:rsidP="007A7478">
            <w:pPr>
              <w:ind w:firstLine="514"/>
              <w:jc w:val="both"/>
              <w:rPr>
                <w:rFonts w:eastAsia="EUAlbertina_Bold" w:cs="EUAlbertina_Bold"/>
              </w:rPr>
            </w:pPr>
            <w:r w:rsidRPr="007A7478">
              <w:rPr>
                <w:rFonts w:eastAsia="EUAlbertina_Bold" w:cs="EUAlbertina_Bold"/>
              </w:rPr>
              <w:t xml:space="preserve">Likumprojekts paredz izslēgt normas, kas attiecas uz pavadzīmju ar VID piešķirtu numuru lietošanu nodokļu aprēķināšanai un uzskaitei. Nodokļu maksātāji tiks atbrīvoti no pienākuma  pieprasīt VID pavadzīmju numurus, numurēt pavadzīmes ar piešķirtiem </w:t>
            </w:r>
            <w:r w:rsidRPr="007A7478">
              <w:rPr>
                <w:rFonts w:eastAsia="EUAlbertina_Bold" w:cs="EUAlbertina_Bold"/>
                <w:bCs/>
              </w:rPr>
              <w:t>numuriem, kā arī iesniegt VID pārskatu par šo numuru izlietojumu</w:t>
            </w:r>
            <w:r w:rsidR="00FD619E" w:rsidRPr="007A7478">
              <w:rPr>
                <w:rFonts w:eastAsia="EUAlbertina_Bold" w:cs="EUAlbertina_Bold"/>
                <w:bCs/>
              </w:rPr>
              <w:t>.</w:t>
            </w:r>
            <w:r w:rsidRPr="007A7478">
              <w:rPr>
                <w:rFonts w:eastAsia="EUAlbertina_Bold" w:cs="EUAlbertina_Bold"/>
              </w:rPr>
              <w:t xml:space="preserve"> Līdz ar to administratīvais slogs uz nodokļu maksātājiem samazināsies.</w:t>
            </w:r>
          </w:p>
          <w:p w:rsidR="00CA2E97" w:rsidRPr="007A7478" w:rsidRDefault="00935C3A" w:rsidP="007A7478">
            <w:pPr>
              <w:ind w:firstLine="514"/>
              <w:jc w:val="both"/>
              <w:rPr>
                <w:rFonts w:eastAsia="EUAlbertina_Bold" w:cs="EUAlbertina_Bold"/>
              </w:rPr>
            </w:pPr>
            <w:r w:rsidRPr="007A7478">
              <w:rPr>
                <w:rFonts w:eastAsia="EUAlbertina_Bold" w:cs="EUAlbertina_Bold"/>
              </w:rPr>
              <w:t xml:space="preserve">Likumprojekts paredz pagarināt </w:t>
            </w:r>
            <w:r w:rsidR="00122904" w:rsidRPr="007A7478">
              <w:rPr>
                <w:rFonts w:eastAsia="EUAlbertina_Bold" w:cs="EUAlbertina_Bold"/>
              </w:rPr>
              <w:t>pārejas periodu nodokļu un informatīvo deklarāciju iesniegšanai elektroniskā veidā</w:t>
            </w:r>
            <w:r w:rsidRPr="007A7478">
              <w:rPr>
                <w:rFonts w:eastAsia="EUAlbertina_Bold" w:cs="EUAlbertina_Bold"/>
              </w:rPr>
              <w:t>. Tādā veidā nodokļu maksāt</w:t>
            </w:r>
            <w:r w:rsidR="00003396" w:rsidRPr="007A7478">
              <w:rPr>
                <w:rFonts w:eastAsia="EUAlbertina_Bold" w:cs="EUAlbertina_Bold"/>
              </w:rPr>
              <w:t>āji, kuri nevarēja no 2010.gada nodrošināt nodokļu un informatīvo deklarāciju iesniegšanu elektroniskā veidā, varēs tās iesniegt rakstiskā veidā.</w:t>
            </w:r>
          </w:p>
        </w:tc>
      </w:tr>
      <w:tr w:rsidR="0035785C" w:rsidTr="007A7478">
        <w:tc>
          <w:tcPr>
            <w:tcW w:w="4818" w:type="dxa"/>
          </w:tcPr>
          <w:p w:rsidR="0035785C" w:rsidRDefault="0035785C" w:rsidP="007A7478">
            <w:pPr>
              <w:pStyle w:val="TableContents"/>
              <w:snapToGrid w:val="0"/>
            </w:pPr>
            <w:r>
              <w:t>4. Ietekme uz administratīvajām procedūrām un administratīvo slogu fiziskajām personām</w:t>
            </w:r>
          </w:p>
        </w:tc>
        <w:tc>
          <w:tcPr>
            <w:tcW w:w="4821" w:type="dxa"/>
          </w:tcPr>
          <w:p w:rsidR="0035785C" w:rsidRDefault="0035785C" w:rsidP="007A7478">
            <w:pPr>
              <w:snapToGrid w:val="0"/>
              <w:jc w:val="both"/>
            </w:pPr>
            <w:r>
              <w:t>Nav attiecināms</w:t>
            </w:r>
          </w:p>
        </w:tc>
      </w:tr>
      <w:tr w:rsidR="0035785C" w:rsidTr="007A7478">
        <w:tc>
          <w:tcPr>
            <w:tcW w:w="4818" w:type="dxa"/>
          </w:tcPr>
          <w:p w:rsidR="0035785C" w:rsidRDefault="0035785C" w:rsidP="007A7478">
            <w:pPr>
              <w:pStyle w:val="TableContents"/>
              <w:snapToGrid w:val="0"/>
            </w:pPr>
            <w:r>
              <w:t>5. Sociālā ietekme</w:t>
            </w:r>
          </w:p>
        </w:tc>
        <w:tc>
          <w:tcPr>
            <w:tcW w:w="4821" w:type="dxa"/>
          </w:tcPr>
          <w:p w:rsidR="0035785C" w:rsidRDefault="0035785C" w:rsidP="007A7478">
            <w:pPr>
              <w:snapToGrid w:val="0"/>
              <w:jc w:val="both"/>
            </w:pPr>
            <w:r>
              <w:t>Nav attiecināms</w:t>
            </w:r>
          </w:p>
        </w:tc>
      </w:tr>
      <w:tr w:rsidR="0035785C" w:rsidTr="007A7478">
        <w:tc>
          <w:tcPr>
            <w:tcW w:w="4818" w:type="dxa"/>
          </w:tcPr>
          <w:p w:rsidR="0035785C" w:rsidRDefault="0035785C" w:rsidP="007A7478">
            <w:pPr>
              <w:pStyle w:val="TableContents"/>
              <w:snapToGrid w:val="0"/>
            </w:pPr>
            <w:r>
              <w:t>6. Ietekme uz vidi</w:t>
            </w:r>
          </w:p>
        </w:tc>
        <w:tc>
          <w:tcPr>
            <w:tcW w:w="4821" w:type="dxa"/>
          </w:tcPr>
          <w:p w:rsidR="0035785C" w:rsidRPr="007A7478" w:rsidRDefault="0035785C" w:rsidP="007A7478">
            <w:pPr>
              <w:snapToGrid w:val="0"/>
              <w:jc w:val="both"/>
              <w:rPr>
                <w:rFonts w:eastAsia="EUAlbertina_Bold" w:cs="EUAlbertina_Bold"/>
              </w:rPr>
            </w:pPr>
            <w:r>
              <w:t>Nav attiecināms</w:t>
            </w:r>
          </w:p>
        </w:tc>
      </w:tr>
      <w:tr w:rsidR="0035785C" w:rsidTr="007A7478">
        <w:tc>
          <w:tcPr>
            <w:tcW w:w="4818" w:type="dxa"/>
          </w:tcPr>
          <w:p w:rsidR="0035785C" w:rsidRDefault="0035785C" w:rsidP="007A7478">
            <w:pPr>
              <w:pStyle w:val="TableContents"/>
              <w:snapToGrid w:val="0"/>
            </w:pPr>
            <w:r>
              <w:t>5. Cita ietekme</w:t>
            </w:r>
          </w:p>
        </w:tc>
        <w:tc>
          <w:tcPr>
            <w:tcW w:w="4821" w:type="dxa"/>
          </w:tcPr>
          <w:p w:rsidR="0035785C" w:rsidRDefault="0035785C" w:rsidP="007A7478">
            <w:pPr>
              <w:snapToGrid w:val="0"/>
              <w:jc w:val="both"/>
            </w:pPr>
            <w:r>
              <w:t>Nav attiecināms</w:t>
            </w:r>
          </w:p>
        </w:tc>
      </w:tr>
    </w:tbl>
    <w:p w:rsidR="00CA2E97" w:rsidRDefault="00CA2E97"/>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9"/>
        <w:gridCol w:w="995"/>
        <w:gridCol w:w="991"/>
        <w:gridCol w:w="1110"/>
        <w:gridCol w:w="873"/>
      </w:tblGrid>
      <w:tr w:rsidR="00AB4465" w:rsidRPr="00AB4465" w:rsidTr="007A7478">
        <w:tc>
          <w:tcPr>
            <w:tcW w:w="5000" w:type="pct"/>
            <w:gridSpan w:val="5"/>
            <w:hideMark/>
          </w:tcPr>
          <w:p w:rsidR="00AB4465" w:rsidRPr="007A7478" w:rsidRDefault="00AB4465" w:rsidP="007A7478">
            <w:pPr>
              <w:jc w:val="center"/>
              <w:rPr>
                <w:b/>
              </w:rPr>
            </w:pPr>
            <w:r w:rsidRPr="007A7478">
              <w:rPr>
                <w:b/>
              </w:rPr>
              <w:t>III. Kāda var būt normatīvā akta ietekme uz valsts budžetu un pašvaldību budžetiem</w:t>
            </w:r>
          </w:p>
        </w:tc>
      </w:tr>
      <w:tr w:rsidR="00AB4465" w:rsidRPr="00AB4465" w:rsidTr="007A7478">
        <w:tc>
          <w:tcPr>
            <w:tcW w:w="2941" w:type="pct"/>
            <w:hideMark/>
          </w:tcPr>
          <w:p w:rsidR="00AB4465" w:rsidRPr="00AB4465" w:rsidRDefault="00AB4465" w:rsidP="00AB4465">
            <w:r w:rsidRPr="00AB4465">
              <w:t>  </w:t>
            </w:r>
          </w:p>
        </w:tc>
        <w:tc>
          <w:tcPr>
            <w:tcW w:w="2059" w:type="pct"/>
            <w:gridSpan w:val="4"/>
            <w:hideMark/>
          </w:tcPr>
          <w:p w:rsidR="00AB4465" w:rsidRPr="00AB4465" w:rsidRDefault="00AB4465" w:rsidP="00AB4465">
            <w:r w:rsidRPr="00AB4465">
              <w:t> (tūkst. latu)</w:t>
            </w:r>
          </w:p>
        </w:tc>
      </w:tr>
      <w:tr w:rsidR="00AB4465" w:rsidRPr="00AB4465" w:rsidTr="007A7478">
        <w:trPr>
          <w:trHeight w:val="450"/>
        </w:trPr>
        <w:tc>
          <w:tcPr>
            <w:tcW w:w="2941" w:type="pct"/>
            <w:vMerge w:val="restart"/>
            <w:hideMark/>
          </w:tcPr>
          <w:p w:rsidR="00AB4465" w:rsidRPr="00AB4465" w:rsidRDefault="00AB4465" w:rsidP="00AB4465">
            <w:r w:rsidRPr="00AB4465">
              <w:t> Rādītāji</w:t>
            </w:r>
          </w:p>
        </w:tc>
        <w:tc>
          <w:tcPr>
            <w:tcW w:w="516" w:type="pct"/>
            <w:vMerge w:val="restart"/>
            <w:hideMark/>
          </w:tcPr>
          <w:p w:rsidR="00AB4465" w:rsidRPr="00AB4465" w:rsidRDefault="00AB4465" w:rsidP="007A7478">
            <w:pPr>
              <w:jc w:val="center"/>
            </w:pPr>
            <w:r>
              <w:t>2009</w:t>
            </w:r>
          </w:p>
        </w:tc>
        <w:tc>
          <w:tcPr>
            <w:tcW w:w="1543" w:type="pct"/>
            <w:gridSpan w:val="3"/>
            <w:hideMark/>
          </w:tcPr>
          <w:p w:rsidR="00AB4465" w:rsidRPr="00AB4465" w:rsidRDefault="00AB4465" w:rsidP="007A7478">
            <w:pPr>
              <w:jc w:val="center"/>
            </w:pPr>
            <w:r w:rsidRPr="00AB4465">
              <w:t>Turpmākie trīs gadi</w:t>
            </w:r>
          </w:p>
        </w:tc>
      </w:tr>
      <w:tr w:rsidR="00275D91" w:rsidRPr="00AB4465" w:rsidTr="007A7478">
        <w:trPr>
          <w:trHeight w:val="450"/>
        </w:trPr>
        <w:tc>
          <w:tcPr>
            <w:tcW w:w="2941" w:type="pct"/>
            <w:vMerge/>
            <w:hideMark/>
          </w:tcPr>
          <w:p w:rsidR="00AB4465" w:rsidRPr="00AB4465" w:rsidRDefault="00AB4465" w:rsidP="00AB4465"/>
        </w:tc>
        <w:tc>
          <w:tcPr>
            <w:tcW w:w="516" w:type="pct"/>
            <w:vMerge/>
            <w:hideMark/>
          </w:tcPr>
          <w:p w:rsidR="00AB4465" w:rsidRPr="00AB4465" w:rsidRDefault="00AB4465" w:rsidP="007A7478">
            <w:pPr>
              <w:jc w:val="center"/>
            </w:pPr>
          </w:p>
        </w:tc>
        <w:tc>
          <w:tcPr>
            <w:tcW w:w="514" w:type="pct"/>
            <w:hideMark/>
          </w:tcPr>
          <w:p w:rsidR="00AB4465" w:rsidRPr="00AB4465" w:rsidRDefault="00AB4465" w:rsidP="007A7478">
            <w:pPr>
              <w:jc w:val="center"/>
            </w:pPr>
            <w:r>
              <w:t>2010</w:t>
            </w:r>
          </w:p>
        </w:tc>
        <w:tc>
          <w:tcPr>
            <w:tcW w:w="576" w:type="pct"/>
            <w:hideMark/>
          </w:tcPr>
          <w:p w:rsidR="00AB4465" w:rsidRPr="00AB4465" w:rsidRDefault="00AB4465" w:rsidP="007A7478">
            <w:pPr>
              <w:jc w:val="center"/>
            </w:pPr>
            <w:r>
              <w:t>2011</w:t>
            </w:r>
          </w:p>
        </w:tc>
        <w:tc>
          <w:tcPr>
            <w:tcW w:w="453" w:type="pct"/>
            <w:hideMark/>
          </w:tcPr>
          <w:p w:rsidR="00AB4465" w:rsidRPr="00AB4465" w:rsidRDefault="00AB4465" w:rsidP="007A7478">
            <w:pPr>
              <w:jc w:val="center"/>
            </w:pPr>
            <w:r>
              <w:t>2012</w:t>
            </w:r>
          </w:p>
        </w:tc>
      </w:tr>
      <w:tr w:rsidR="00275D91" w:rsidRPr="00AB4465" w:rsidTr="007A7478">
        <w:tc>
          <w:tcPr>
            <w:tcW w:w="2941" w:type="pct"/>
            <w:hideMark/>
          </w:tcPr>
          <w:p w:rsidR="00AB4465" w:rsidRPr="00AB4465" w:rsidRDefault="00AB4465" w:rsidP="00AB4465">
            <w:r w:rsidRPr="00AB4465">
              <w:t> 1</w:t>
            </w:r>
          </w:p>
        </w:tc>
        <w:tc>
          <w:tcPr>
            <w:tcW w:w="516" w:type="pct"/>
            <w:hideMark/>
          </w:tcPr>
          <w:p w:rsidR="00AB4465" w:rsidRPr="007A7478" w:rsidRDefault="00AB4465" w:rsidP="007A7478">
            <w:pPr>
              <w:jc w:val="center"/>
              <w:rPr>
                <w:sz w:val="20"/>
                <w:szCs w:val="20"/>
              </w:rPr>
            </w:pPr>
            <w:r w:rsidRPr="007A7478">
              <w:rPr>
                <w:sz w:val="20"/>
                <w:szCs w:val="20"/>
              </w:rPr>
              <w:t>2</w:t>
            </w:r>
          </w:p>
        </w:tc>
        <w:tc>
          <w:tcPr>
            <w:tcW w:w="514" w:type="pct"/>
            <w:hideMark/>
          </w:tcPr>
          <w:p w:rsidR="00AB4465" w:rsidRPr="007A7478" w:rsidRDefault="00AB4465" w:rsidP="007A7478">
            <w:pPr>
              <w:jc w:val="center"/>
              <w:rPr>
                <w:sz w:val="20"/>
                <w:szCs w:val="20"/>
              </w:rPr>
            </w:pPr>
            <w:r w:rsidRPr="007A7478">
              <w:rPr>
                <w:sz w:val="20"/>
                <w:szCs w:val="20"/>
              </w:rPr>
              <w:t>3</w:t>
            </w:r>
          </w:p>
        </w:tc>
        <w:tc>
          <w:tcPr>
            <w:tcW w:w="576" w:type="pct"/>
            <w:hideMark/>
          </w:tcPr>
          <w:p w:rsidR="00AB4465" w:rsidRPr="007A7478" w:rsidRDefault="00AB4465" w:rsidP="007A7478">
            <w:pPr>
              <w:jc w:val="center"/>
              <w:rPr>
                <w:sz w:val="20"/>
                <w:szCs w:val="20"/>
              </w:rPr>
            </w:pPr>
            <w:r w:rsidRPr="007A7478">
              <w:rPr>
                <w:sz w:val="20"/>
                <w:szCs w:val="20"/>
              </w:rPr>
              <w:t>4</w:t>
            </w:r>
          </w:p>
        </w:tc>
        <w:tc>
          <w:tcPr>
            <w:tcW w:w="453" w:type="pct"/>
            <w:hideMark/>
          </w:tcPr>
          <w:p w:rsidR="00AB4465" w:rsidRPr="007A7478" w:rsidRDefault="00AB4465" w:rsidP="007A7478">
            <w:pPr>
              <w:jc w:val="center"/>
              <w:rPr>
                <w:sz w:val="20"/>
                <w:szCs w:val="20"/>
              </w:rPr>
            </w:pPr>
            <w:r w:rsidRPr="007A7478">
              <w:rPr>
                <w:sz w:val="20"/>
                <w:szCs w:val="20"/>
              </w:rPr>
              <w:t>5</w:t>
            </w:r>
          </w:p>
        </w:tc>
      </w:tr>
      <w:tr w:rsidR="00275D91" w:rsidRPr="00AB4465" w:rsidTr="007A7478">
        <w:tc>
          <w:tcPr>
            <w:tcW w:w="2941" w:type="pct"/>
            <w:hideMark/>
          </w:tcPr>
          <w:p w:rsidR="00AB4465" w:rsidRPr="00AB4465" w:rsidRDefault="00AB4465" w:rsidP="00AB4465">
            <w:r w:rsidRPr="00AB4465">
              <w:t> 1. Izmaiņas budžeta ieņēmumos:</w:t>
            </w:r>
          </w:p>
          <w:p w:rsidR="00AB4465" w:rsidRPr="00AB4465" w:rsidRDefault="00AB4465" w:rsidP="00AB4465">
            <w:r w:rsidRPr="00AB4465">
              <w:t>1.1. valsts pamatbudžets, tajā skaitā iestāžu ieņēmumi no maksas pakalpojumiem un citi pašu ieņēmumi;</w:t>
            </w:r>
          </w:p>
          <w:p w:rsidR="00AB4465" w:rsidRPr="00AB4465" w:rsidRDefault="00AB4465" w:rsidP="00AB4465">
            <w:r w:rsidRPr="00AB4465">
              <w:t>1.2. speciālais budžets;</w:t>
            </w:r>
          </w:p>
          <w:p w:rsidR="00AB4465" w:rsidRPr="00AB4465" w:rsidRDefault="00AB4465" w:rsidP="00AB4465">
            <w:r w:rsidRPr="00AB4465">
              <w:t>1.3. pašvaldību budžets</w:t>
            </w:r>
          </w:p>
          <w:p w:rsidR="00AB4465" w:rsidRPr="00AB4465" w:rsidRDefault="00AB4465" w:rsidP="00AB4465">
            <w:r w:rsidRPr="00AB4465">
              <w:t> </w:t>
            </w:r>
          </w:p>
        </w:tc>
        <w:tc>
          <w:tcPr>
            <w:tcW w:w="516" w:type="pct"/>
            <w:hideMark/>
          </w:tcPr>
          <w:p w:rsidR="00AB4465" w:rsidRPr="007A7478" w:rsidRDefault="00AB4465" w:rsidP="007A7478">
            <w:pPr>
              <w:jc w:val="center"/>
              <w:rPr>
                <w:b/>
              </w:rPr>
            </w:pPr>
            <w:r w:rsidRPr="007A7478">
              <w:rPr>
                <w:b/>
              </w:rPr>
              <w:t>390,0*</w:t>
            </w:r>
          </w:p>
        </w:tc>
        <w:tc>
          <w:tcPr>
            <w:tcW w:w="514" w:type="pct"/>
            <w:hideMark/>
          </w:tcPr>
          <w:p w:rsidR="00AB4465" w:rsidRPr="007A7478" w:rsidRDefault="00AB4465" w:rsidP="007A7478">
            <w:pPr>
              <w:jc w:val="center"/>
              <w:rPr>
                <w:b/>
              </w:rPr>
            </w:pPr>
            <w:r w:rsidRPr="007A7478">
              <w:rPr>
                <w:b/>
              </w:rPr>
              <w:t>-390,0</w:t>
            </w:r>
          </w:p>
        </w:tc>
        <w:tc>
          <w:tcPr>
            <w:tcW w:w="576" w:type="pct"/>
            <w:hideMark/>
          </w:tcPr>
          <w:p w:rsidR="00AB4465" w:rsidRPr="007A7478" w:rsidRDefault="00AB4465" w:rsidP="007A7478">
            <w:pPr>
              <w:jc w:val="center"/>
              <w:rPr>
                <w:b/>
              </w:rPr>
            </w:pPr>
            <w:r w:rsidRPr="007A7478">
              <w:rPr>
                <w:b/>
              </w:rPr>
              <w:t>-390,0</w:t>
            </w:r>
          </w:p>
        </w:tc>
        <w:tc>
          <w:tcPr>
            <w:tcW w:w="453" w:type="pct"/>
            <w:hideMark/>
          </w:tcPr>
          <w:p w:rsidR="00AB4465" w:rsidRPr="007A7478" w:rsidRDefault="00AB4465" w:rsidP="007A7478">
            <w:pPr>
              <w:jc w:val="center"/>
              <w:rPr>
                <w:b/>
              </w:rPr>
            </w:pPr>
            <w:r w:rsidRPr="007A7478">
              <w:rPr>
                <w:b/>
              </w:rPr>
              <w:t>-390,0</w:t>
            </w:r>
          </w:p>
        </w:tc>
      </w:tr>
      <w:tr w:rsidR="00275D91" w:rsidRPr="00AB4465" w:rsidTr="007A7478">
        <w:tc>
          <w:tcPr>
            <w:tcW w:w="2941" w:type="pct"/>
            <w:hideMark/>
          </w:tcPr>
          <w:p w:rsidR="00AB4465" w:rsidRPr="00AB4465" w:rsidRDefault="00AB4465" w:rsidP="00AB4465">
            <w:r w:rsidRPr="00AB4465">
              <w:t> 2. Izmaiņas budžeta izdevumos:</w:t>
            </w:r>
          </w:p>
          <w:p w:rsidR="00AB4465" w:rsidRPr="00AB4465" w:rsidRDefault="00AB4465" w:rsidP="00AB4465">
            <w:r w:rsidRPr="00AB4465">
              <w:t>2.1. valsts pamatbudžets,</w:t>
            </w:r>
          </w:p>
          <w:p w:rsidR="00AB4465" w:rsidRPr="00AB4465" w:rsidRDefault="00AB4465" w:rsidP="00AB4465">
            <w:r w:rsidRPr="00AB4465">
              <w:t>tajā skaitā iestāžu ieņēmumi no maksas pakalpojumiem un citi pašu ieņēmumi;</w:t>
            </w:r>
          </w:p>
          <w:p w:rsidR="00AB4465" w:rsidRPr="00AB4465" w:rsidRDefault="00AB4465" w:rsidP="00AB4465">
            <w:r w:rsidRPr="00AB4465">
              <w:t>2.2. speciālais budžets;</w:t>
            </w:r>
          </w:p>
          <w:p w:rsidR="00AB4465" w:rsidRPr="00AB4465" w:rsidRDefault="00AB4465" w:rsidP="00AB4465">
            <w:r w:rsidRPr="00AB4465">
              <w:t>2.3. pašvaldību budžets </w:t>
            </w:r>
          </w:p>
          <w:p w:rsidR="00AB4465" w:rsidRPr="00AB4465" w:rsidRDefault="00AB4465" w:rsidP="00AB4465">
            <w:r w:rsidRPr="00AB4465">
              <w:t> </w:t>
            </w:r>
          </w:p>
        </w:tc>
        <w:tc>
          <w:tcPr>
            <w:tcW w:w="516" w:type="pct"/>
            <w:hideMark/>
          </w:tcPr>
          <w:p w:rsidR="00AB4465" w:rsidRPr="007A7478" w:rsidRDefault="00AB4465" w:rsidP="007A7478">
            <w:pPr>
              <w:jc w:val="center"/>
              <w:rPr>
                <w:b/>
              </w:rPr>
            </w:pPr>
            <w:r w:rsidRPr="007A7478">
              <w:rPr>
                <w:b/>
              </w:rPr>
              <w:t>466,5</w:t>
            </w:r>
          </w:p>
        </w:tc>
        <w:tc>
          <w:tcPr>
            <w:tcW w:w="514" w:type="pct"/>
            <w:hideMark/>
          </w:tcPr>
          <w:p w:rsidR="00AB4465" w:rsidRPr="007A7478" w:rsidRDefault="00AB4465" w:rsidP="007A7478">
            <w:pPr>
              <w:jc w:val="center"/>
              <w:rPr>
                <w:b/>
              </w:rPr>
            </w:pPr>
            <w:r w:rsidRPr="007A7478">
              <w:rPr>
                <w:b/>
              </w:rPr>
              <w:t>-341,4</w:t>
            </w:r>
          </w:p>
        </w:tc>
        <w:tc>
          <w:tcPr>
            <w:tcW w:w="576" w:type="pct"/>
            <w:hideMark/>
          </w:tcPr>
          <w:p w:rsidR="00AB4465" w:rsidRPr="007A7478" w:rsidRDefault="00AB4465" w:rsidP="007A7478">
            <w:pPr>
              <w:jc w:val="center"/>
              <w:rPr>
                <w:b/>
              </w:rPr>
            </w:pPr>
            <w:r w:rsidRPr="007A7478">
              <w:rPr>
                <w:b/>
              </w:rPr>
              <w:t>-341,4</w:t>
            </w:r>
          </w:p>
        </w:tc>
        <w:tc>
          <w:tcPr>
            <w:tcW w:w="453" w:type="pct"/>
            <w:hideMark/>
          </w:tcPr>
          <w:p w:rsidR="00AB4465" w:rsidRPr="007A7478" w:rsidRDefault="00AB4465" w:rsidP="007A7478">
            <w:pPr>
              <w:jc w:val="center"/>
              <w:rPr>
                <w:b/>
              </w:rPr>
            </w:pPr>
            <w:r w:rsidRPr="007A7478">
              <w:rPr>
                <w:b/>
              </w:rPr>
              <w:t>-341,4</w:t>
            </w:r>
          </w:p>
        </w:tc>
      </w:tr>
      <w:tr w:rsidR="00275D91" w:rsidRPr="00AB4465" w:rsidTr="007A7478">
        <w:tc>
          <w:tcPr>
            <w:tcW w:w="2941" w:type="pct"/>
            <w:hideMark/>
          </w:tcPr>
          <w:p w:rsidR="00AB4465" w:rsidRPr="00AB4465" w:rsidRDefault="00AB4465" w:rsidP="00AB4465">
            <w:r w:rsidRPr="00AB4465">
              <w:t> 3. Finansiālā ietekme:</w:t>
            </w:r>
          </w:p>
          <w:p w:rsidR="00AB4465" w:rsidRPr="00AB4465" w:rsidRDefault="00AB4465" w:rsidP="00AB4465">
            <w:r w:rsidRPr="00AB4465">
              <w:t>3.1. valsts pamatbudžets,</w:t>
            </w:r>
          </w:p>
          <w:p w:rsidR="00AB4465" w:rsidRPr="00AB4465" w:rsidRDefault="00AB4465" w:rsidP="00AB4465">
            <w:r w:rsidRPr="00AB4465">
              <w:t>tajā skaitā iestāžu ieņēmumi no maksas pakalpojumiem un citi pašu ieņēmumi;</w:t>
            </w:r>
          </w:p>
          <w:p w:rsidR="00AB4465" w:rsidRPr="00AB4465" w:rsidRDefault="00AB4465" w:rsidP="00AB4465">
            <w:r w:rsidRPr="00AB4465">
              <w:t>3.2. speciālais budžets;</w:t>
            </w:r>
          </w:p>
          <w:p w:rsidR="00AB4465" w:rsidRPr="00AB4465" w:rsidRDefault="00AB4465" w:rsidP="00AB4465">
            <w:r w:rsidRPr="00AB4465">
              <w:t>3.3. pašvaldību budžets </w:t>
            </w:r>
          </w:p>
          <w:p w:rsidR="00AB4465" w:rsidRPr="00AB4465" w:rsidRDefault="00AB4465" w:rsidP="00AB4465">
            <w:r w:rsidRPr="00AB4465">
              <w:t> </w:t>
            </w:r>
          </w:p>
        </w:tc>
        <w:tc>
          <w:tcPr>
            <w:tcW w:w="516" w:type="pct"/>
            <w:hideMark/>
          </w:tcPr>
          <w:p w:rsidR="00AB4465" w:rsidRPr="007A7478" w:rsidRDefault="00AB4465" w:rsidP="007A7478">
            <w:pPr>
              <w:jc w:val="center"/>
              <w:rPr>
                <w:b/>
              </w:rPr>
            </w:pPr>
            <w:r w:rsidRPr="007A7478">
              <w:rPr>
                <w:b/>
              </w:rPr>
              <w:t>-76,5**</w:t>
            </w:r>
          </w:p>
        </w:tc>
        <w:tc>
          <w:tcPr>
            <w:tcW w:w="514" w:type="pct"/>
            <w:hideMark/>
          </w:tcPr>
          <w:p w:rsidR="00AB4465" w:rsidRPr="007A7478" w:rsidRDefault="00AB4465" w:rsidP="007A7478">
            <w:pPr>
              <w:jc w:val="center"/>
              <w:rPr>
                <w:b/>
              </w:rPr>
            </w:pPr>
            <w:r w:rsidRPr="007A7478">
              <w:rPr>
                <w:b/>
              </w:rPr>
              <w:t>-48,6</w:t>
            </w:r>
          </w:p>
        </w:tc>
        <w:tc>
          <w:tcPr>
            <w:tcW w:w="576" w:type="pct"/>
            <w:hideMark/>
          </w:tcPr>
          <w:p w:rsidR="00AB4465" w:rsidRPr="007A7478" w:rsidRDefault="00AB4465" w:rsidP="007A7478">
            <w:pPr>
              <w:jc w:val="center"/>
              <w:rPr>
                <w:b/>
              </w:rPr>
            </w:pPr>
            <w:r w:rsidRPr="007A7478">
              <w:rPr>
                <w:b/>
              </w:rPr>
              <w:t>-48,6</w:t>
            </w:r>
          </w:p>
        </w:tc>
        <w:tc>
          <w:tcPr>
            <w:tcW w:w="453" w:type="pct"/>
            <w:hideMark/>
          </w:tcPr>
          <w:p w:rsidR="00AB4465" w:rsidRPr="007A7478" w:rsidRDefault="00AB4465" w:rsidP="007A7478">
            <w:pPr>
              <w:jc w:val="center"/>
              <w:rPr>
                <w:b/>
              </w:rPr>
            </w:pPr>
            <w:r w:rsidRPr="007A7478">
              <w:rPr>
                <w:b/>
              </w:rPr>
              <w:t>-48,6</w:t>
            </w:r>
          </w:p>
        </w:tc>
      </w:tr>
      <w:tr w:rsidR="00275D91" w:rsidRPr="00AB4465" w:rsidTr="007A7478">
        <w:tc>
          <w:tcPr>
            <w:tcW w:w="2941" w:type="pct"/>
            <w:hideMark/>
          </w:tcPr>
          <w:p w:rsidR="00AB4465" w:rsidRPr="00AB4465" w:rsidRDefault="00AB4465" w:rsidP="00AB4465">
            <w:r w:rsidRPr="00AB4465">
              <w:t xml:space="preserve"> 4. Prognozējamie kompensējošie pasākumi papildu </w:t>
            </w:r>
            <w:r w:rsidRPr="00AB4465">
              <w:lastRenderedPageBreak/>
              <w:t>izdevumu finansēšanai </w:t>
            </w:r>
          </w:p>
          <w:p w:rsidR="00AB4465" w:rsidRPr="00AB4465" w:rsidRDefault="00AB4465" w:rsidP="00AB4465">
            <w:r w:rsidRPr="00AB4465">
              <w:t> **Fiskālā starpība tiek segta no valsts budžeta  dotācijas no vispārējiem ieņēmumiem (citu nodokļu un nodevu ieņēmumiem)</w:t>
            </w:r>
          </w:p>
        </w:tc>
        <w:tc>
          <w:tcPr>
            <w:tcW w:w="516" w:type="pct"/>
            <w:hideMark/>
          </w:tcPr>
          <w:p w:rsidR="00AB4465" w:rsidRPr="00AB4465" w:rsidRDefault="00AB4465" w:rsidP="00AB4465">
            <w:r w:rsidRPr="00AB4465">
              <w:lastRenderedPageBreak/>
              <w:t>  </w:t>
            </w:r>
          </w:p>
        </w:tc>
        <w:tc>
          <w:tcPr>
            <w:tcW w:w="514" w:type="pct"/>
            <w:hideMark/>
          </w:tcPr>
          <w:p w:rsidR="00AB4465" w:rsidRPr="00AB4465" w:rsidRDefault="00AB4465" w:rsidP="00AB4465">
            <w:r w:rsidRPr="00AB4465">
              <w:t>  </w:t>
            </w:r>
          </w:p>
        </w:tc>
        <w:tc>
          <w:tcPr>
            <w:tcW w:w="576" w:type="pct"/>
            <w:hideMark/>
          </w:tcPr>
          <w:p w:rsidR="00AB4465" w:rsidRPr="00AB4465" w:rsidRDefault="00AB4465" w:rsidP="00AB4465">
            <w:r w:rsidRPr="00AB4465">
              <w:t>  </w:t>
            </w:r>
          </w:p>
        </w:tc>
        <w:tc>
          <w:tcPr>
            <w:tcW w:w="453" w:type="pct"/>
            <w:hideMark/>
          </w:tcPr>
          <w:p w:rsidR="00AB4465" w:rsidRPr="00AB4465" w:rsidRDefault="00AB4465" w:rsidP="00AB4465">
            <w:r w:rsidRPr="00AB4465">
              <w:t>  </w:t>
            </w:r>
          </w:p>
        </w:tc>
      </w:tr>
      <w:tr w:rsidR="00275D91" w:rsidRPr="00AB4465" w:rsidTr="007A7478">
        <w:tc>
          <w:tcPr>
            <w:tcW w:w="2941" w:type="pct"/>
            <w:hideMark/>
          </w:tcPr>
          <w:p w:rsidR="00AB4465" w:rsidRPr="00AB4465" w:rsidRDefault="00AB4465" w:rsidP="00AB4465">
            <w:r w:rsidRPr="00AB4465">
              <w:lastRenderedPageBreak/>
              <w:t> 5. Detalizēts ieņēmumu un izdevumu aprēķins (ja nepieciešams, detalizētu ieņēmumu un izdevumu aprēķinu var pievienot anotācijas pielikumā)</w:t>
            </w:r>
          </w:p>
          <w:p w:rsidR="00AB4465" w:rsidRPr="00AB4465" w:rsidRDefault="00AB4465" w:rsidP="00AB4465">
            <w:r w:rsidRPr="00AB4465">
              <w:t>Valsts proves uzraudzības inspekcijas likvidācija un jaunas valsts kapitālsabiedrības dibināšana radīs šādu ietekmi uz valsts budžetu:</w:t>
            </w:r>
          </w:p>
          <w:p w:rsidR="00AB4465" w:rsidRPr="007A7478" w:rsidRDefault="00AB4465" w:rsidP="00AB4465">
            <w:pPr>
              <w:rPr>
                <w:b/>
                <w:u w:val="single"/>
              </w:rPr>
            </w:pPr>
            <w:r w:rsidRPr="007A7478">
              <w:rPr>
                <w:b/>
                <w:u w:val="single"/>
              </w:rPr>
              <w:t>Ieņēmumi:</w:t>
            </w:r>
          </w:p>
          <w:p w:rsidR="00AB4465" w:rsidRPr="00AB4465" w:rsidRDefault="00AB4465" w:rsidP="00AB4465">
            <w:r w:rsidRPr="00AB4465">
              <w:t>Samazinājums</w:t>
            </w:r>
          </w:p>
          <w:p w:rsidR="00AB4465" w:rsidRPr="00AB4465" w:rsidRDefault="00AB4465" w:rsidP="00AB4465">
            <w:r w:rsidRPr="00AB4465">
              <w:t xml:space="preserve">Atceļot nodevu par valsts proves uzraudzības īstenošanu </w:t>
            </w:r>
          </w:p>
          <w:p w:rsidR="00AB4465" w:rsidRPr="007A7478" w:rsidRDefault="00AB4465" w:rsidP="00AB4465">
            <w:pPr>
              <w:rPr>
                <w:b/>
                <w:u w:val="single"/>
              </w:rPr>
            </w:pPr>
            <w:r w:rsidRPr="007A7478">
              <w:rPr>
                <w:b/>
                <w:u w:val="single"/>
              </w:rPr>
              <w:t>Izdevumi:</w:t>
            </w:r>
          </w:p>
          <w:p w:rsidR="00AB4465" w:rsidRPr="00AB4465" w:rsidRDefault="00AB4465" w:rsidP="00AB4465">
            <w:r w:rsidRPr="00AB4465">
              <w:t>Dotācija no vispārējiem ieņēmumiem</w:t>
            </w:r>
          </w:p>
          <w:p w:rsidR="00AB4465" w:rsidRPr="00AB4465" w:rsidRDefault="00AB4465" w:rsidP="00AB4465">
            <w:r w:rsidRPr="00AB4465">
              <w:t>Samazināti izdevumi 18 amata vietu darbības nodrošināšanai:</w:t>
            </w:r>
          </w:p>
          <w:p w:rsidR="00AB4465" w:rsidRPr="00AB4465" w:rsidRDefault="00AB4465" w:rsidP="00AB4465">
            <w:r w:rsidRPr="00AB4465">
              <w:t>Atlīdzība</w:t>
            </w:r>
          </w:p>
          <w:p w:rsidR="00AB4465" w:rsidRPr="00AB4465" w:rsidRDefault="00AB4465" w:rsidP="00AB4465">
            <w:r w:rsidRPr="00AB4465">
              <w:t>((887*18)+24,09%)*12,</w:t>
            </w:r>
          </w:p>
          <w:p w:rsidR="00AB4465" w:rsidRPr="00AB4465" w:rsidRDefault="00AB4465" w:rsidP="00AB4465">
            <w:r w:rsidRPr="00AB4465">
              <w:t>kur 887 – vidējais atalgojums Ls;</w:t>
            </w:r>
          </w:p>
          <w:p w:rsidR="00AB4465" w:rsidRPr="00AB4465" w:rsidRDefault="00AB4465" w:rsidP="00AB4465">
            <w:r w:rsidRPr="00AB4465">
              <w:t>18 – amatu vietu skaits</w:t>
            </w:r>
          </w:p>
          <w:p w:rsidR="00AB4465" w:rsidRPr="00AB4465" w:rsidRDefault="00AB4465" w:rsidP="00AB4465">
            <w:r w:rsidRPr="00AB4465">
              <w:t>24,09% – soc. apdrošināšanas iemaksas</w:t>
            </w:r>
          </w:p>
          <w:p w:rsidR="00AB4465" w:rsidRPr="00AB4465" w:rsidRDefault="00AB4465" w:rsidP="00AB4465">
            <w:r w:rsidRPr="00AB4465">
              <w:t>Preces un pakalpojumi</w:t>
            </w:r>
          </w:p>
          <w:p w:rsidR="00AB4465" w:rsidRPr="00AB4465" w:rsidRDefault="00AB4465" w:rsidP="00AB4465"/>
          <w:p w:rsidR="00AB4465" w:rsidRPr="00AB4465" w:rsidRDefault="00AB4465" w:rsidP="00AB4465">
            <w:r w:rsidRPr="00AB4465">
              <w:t>Kapitālie izdevumi</w:t>
            </w:r>
          </w:p>
        </w:tc>
        <w:tc>
          <w:tcPr>
            <w:tcW w:w="516" w:type="pct"/>
            <w:hideMark/>
          </w:tcPr>
          <w:p w:rsidR="00AB4465" w:rsidRPr="007A7478" w:rsidRDefault="00AB4465" w:rsidP="00AB4465">
            <w:pPr>
              <w:rPr>
                <w:b/>
                <w:u w:val="single"/>
              </w:rPr>
            </w:pPr>
          </w:p>
        </w:tc>
        <w:tc>
          <w:tcPr>
            <w:tcW w:w="514" w:type="pct"/>
          </w:tcPr>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r w:rsidRPr="00F038D9">
              <w:t>-390,0</w:t>
            </w: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7A7478" w:rsidRDefault="00AB4465" w:rsidP="007A7478">
            <w:pPr>
              <w:jc w:val="center"/>
              <w:rPr>
                <w:b/>
              </w:rPr>
            </w:pPr>
            <w:r w:rsidRPr="007A7478">
              <w:rPr>
                <w:b/>
              </w:rPr>
              <w:t>-341,4</w:t>
            </w:r>
          </w:p>
          <w:p w:rsidR="00AB4465" w:rsidRPr="00F038D9" w:rsidRDefault="00AB4465" w:rsidP="007A7478">
            <w:pPr>
              <w:jc w:val="center"/>
            </w:pPr>
          </w:p>
          <w:p w:rsidR="00AB4465" w:rsidRPr="00F038D9" w:rsidRDefault="00AB4465" w:rsidP="007A7478">
            <w:pPr>
              <w:jc w:val="center"/>
            </w:pPr>
            <w:r w:rsidRPr="00F038D9">
              <w:t>-237,6</w:t>
            </w: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r w:rsidRPr="00F038D9">
              <w:t>-60,9</w:t>
            </w:r>
          </w:p>
          <w:p w:rsidR="00AB4465" w:rsidRPr="00F038D9" w:rsidRDefault="00AB4465" w:rsidP="007A7478">
            <w:pPr>
              <w:jc w:val="center"/>
            </w:pPr>
          </w:p>
          <w:p w:rsidR="00AB4465" w:rsidRPr="00F038D9" w:rsidRDefault="00AB4465" w:rsidP="007A7478">
            <w:pPr>
              <w:jc w:val="center"/>
            </w:pPr>
            <w:r w:rsidRPr="00F038D9">
              <w:t>-42,9</w:t>
            </w:r>
          </w:p>
        </w:tc>
        <w:tc>
          <w:tcPr>
            <w:tcW w:w="576" w:type="pct"/>
          </w:tcPr>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r w:rsidRPr="00F038D9">
              <w:t>-390,0</w:t>
            </w: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7A7478" w:rsidRDefault="00AB4465" w:rsidP="007A7478">
            <w:pPr>
              <w:jc w:val="center"/>
              <w:rPr>
                <w:b/>
              </w:rPr>
            </w:pPr>
            <w:r w:rsidRPr="007A7478">
              <w:rPr>
                <w:b/>
              </w:rPr>
              <w:t>-341,4</w:t>
            </w:r>
          </w:p>
          <w:p w:rsidR="00AB4465" w:rsidRPr="00F038D9" w:rsidRDefault="00AB4465" w:rsidP="007A7478">
            <w:pPr>
              <w:jc w:val="center"/>
            </w:pPr>
          </w:p>
          <w:p w:rsidR="00AB4465" w:rsidRPr="00F038D9" w:rsidRDefault="00AB4465" w:rsidP="007A7478">
            <w:pPr>
              <w:jc w:val="center"/>
            </w:pPr>
            <w:r w:rsidRPr="00F038D9">
              <w:t>-237,6</w:t>
            </w: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r w:rsidRPr="00F038D9">
              <w:t>-60,9</w:t>
            </w:r>
          </w:p>
          <w:p w:rsidR="00AB4465" w:rsidRPr="00F038D9" w:rsidRDefault="00AB4465" w:rsidP="007A7478">
            <w:pPr>
              <w:jc w:val="center"/>
            </w:pPr>
          </w:p>
          <w:p w:rsidR="00AB4465" w:rsidRPr="00F038D9" w:rsidRDefault="00AB4465" w:rsidP="007A7478">
            <w:pPr>
              <w:jc w:val="center"/>
            </w:pPr>
            <w:r w:rsidRPr="00F038D9">
              <w:t>-42,9</w:t>
            </w:r>
          </w:p>
        </w:tc>
        <w:tc>
          <w:tcPr>
            <w:tcW w:w="453" w:type="pct"/>
          </w:tcPr>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r w:rsidRPr="00F038D9">
              <w:t>-390,0</w:t>
            </w: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7A7478" w:rsidRDefault="00AB4465" w:rsidP="007A7478">
            <w:pPr>
              <w:jc w:val="center"/>
              <w:rPr>
                <w:b/>
              </w:rPr>
            </w:pPr>
            <w:r w:rsidRPr="007A7478">
              <w:rPr>
                <w:b/>
              </w:rPr>
              <w:t>-341,4</w:t>
            </w:r>
          </w:p>
          <w:p w:rsidR="00AB4465" w:rsidRPr="00F038D9" w:rsidRDefault="00AB4465" w:rsidP="007A7478">
            <w:pPr>
              <w:jc w:val="center"/>
            </w:pPr>
          </w:p>
          <w:p w:rsidR="00AB4465" w:rsidRPr="00F038D9" w:rsidRDefault="00AB4465" w:rsidP="007A7478">
            <w:pPr>
              <w:jc w:val="center"/>
            </w:pPr>
            <w:r w:rsidRPr="00F038D9">
              <w:t>-237,6</w:t>
            </w: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p>
          <w:p w:rsidR="00AB4465" w:rsidRPr="00F038D9" w:rsidRDefault="00AB4465" w:rsidP="007A7478">
            <w:pPr>
              <w:jc w:val="center"/>
            </w:pPr>
            <w:r w:rsidRPr="00F038D9">
              <w:t>-60,9</w:t>
            </w:r>
          </w:p>
          <w:p w:rsidR="00AB4465" w:rsidRPr="00F038D9" w:rsidRDefault="00AB4465" w:rsidP="007A7478">
            <w:pPr>
              <w:jc w:val="center"/>
            </w:pPr>
          </w:p>
          <w:p w:rsidR="00AB4465" w:rsidRPr="00F038D9" w:rsidRDefault="00AB4465" w:rsidP="007A7478">
            <w:pPr>
              <w:jc w:val="center"/>
            </w:pPr>
            <w:r w:rsidRPr="00F038D9">
              <w:t>-42,9</w:t>
            </w:r>
          </w:p>
        </w:tc>
      </w:tr>
      <w:tr w:rsidR="00AB4465" w:rsidRPr="00AB4465" w:rsidTr="007A7478">
        <w:tc>
          <w:tcPr>
            <w:tcW w:w="2941" w:type="pct"/>
            <w:hideMark/>
          </w:tcPr>
          <w:p w:rsidR="00AB4465" w:rsidRPr="00AB4465" w:rsidRDefault="00AB4465" w:rsidP="00AB4465">
            <w:r w:rsidRPr="00AB4465">
              <w:t>6. Cita informācija</w:t>
            </w:r>
          </w:p>
          <w:p w:rsidR="00AB4465" w:rsidRPr="00AB4465" w:rsidRDefault="00AB4465" w:rsidP="00AB4465"/>
        </w:tc>
        <w:tc>
          <w:tcPr>
            <w:tcW w:w="2059" w:type="pct"/>
            <w:gridSpan w:val="4"/>
            <w:hideMark/>
          </w:tcPr>
          <w:p w:rsidR="00AB4465" w:rsidRPr="00AB4465" w:rsidRDefault="00AB4465" w:rsidP="007A7478">
            <w:pPr>
              <w:ind w:left="68" w:right="57" w:hanging="11"/>
              <w:jc w:val="both"/>
            </w:pPr>
            <w:r w:rsidRPr="00AB4465">
              <w:t>*2009. gada plāns. Sagaidāmā izpilde 220 tūkst. LVL</w:t>
            </w:r>
          </w:p>
          <w:p w:rsidR="00AB4465" w:rsidRPr="00AB4465" w:rsidRDefault="00AB4465" w:rsidP="007A7478">
            <w:pPr>
              <w:ind w:left="68" w:right="57" w:hanging="11"/>
              <w:jc w:val="both"/>
            </w:pPr>
            <w:r w:rsidRPr="00AB4465">
              <w:t>Atbilstoši pārdalītajām funkcijām un uzdevumiem valsts budžeta dotācija no vispārējiem ieņēmumiem pārdalās šādi:</w:t>
            </w:r>
          </w:p>
          <w:p w:rsidR="00AB4465" w:rsidRPr="00AB4465" w:rsidRDefault="00AB4465" w:rsidP="007A7478">
            <w:pPr>
              <w:ind w:left="68" w:right="57" w:hanging="11"/>
              <w:jc w:val="both"/>
            </w:pPr>
            <w:r w:rsidRPr="00AB4465">
              <w:t>1.</w:t>
            </w:r>
            <w:r>
              <w:t> </w:t>
            </w:r>
            <w:r w:rsidRPr="00AB4465">
              <w:t>V</w:t>
            </w:r>
            <w:r>
              <w:t>ID</w:t>
            </w:r>
            <w:r w:rsidRPr="00AB4465">
              <w:t xml:space="preserve"> – tirgus uzraudzības veikšanai Ls 21,6 tūkst. (2 amata vietas, atlīdzība – Ls17,1 tūkst., kārtējie izdevumi – 4,5 tūkst. Ls (komandējumi, darba vietu nodrošinājums).</w:t>
            </w:r>
          </w:p>
          <w:p w:rsidR="00AB4465" w:rsidRPr="00AB4465" w:rsidRDefault="00AB4465" w:rsidP="007A7478">
            <w:pPr>
              <w:ind w:left="68" w:right="57" w:hanging="11"/>
              <w:jc w:val="both"/>
            </w:pPr>
            <w:r w:rsidRPr="00AB4465">
              <w:t>2.</w:t>
            </w:r>
            <w:r>
              <w:t> </w:t>
            </w:r>
            <w:r w:rsidRPr="00AB4465">
              <w:t>Valsts prezidenta kancelejai – valsts apbalvojumu izgatavošanas procesa organizēšanai un kontrolei – Ls 78,6 tūkst. (1 amata vieta, Ls atlīdzība 8,5 tūkst., kārtējie izdevumi-komandējumi, zīmogošanas procesa izmaksas Ls 5,6 tūkst., valsts apbalvojumu iegādes izmaksas Ls 64,5 tūkst..</w:t>
            </w:r>
          </w:p>
          <w:p w:rsidR="00AB4465" w:rsidRPr="00AB4465" w:rsidRDefault="00AB4465" w:rsidP="007A7478">
            <w:pPr>
              <w:ind w:firstLine="186"/>
              <w:jc w:val="both"/>
            </w:pPr>
            <w:r w:rsidRPr="00AB4465">
              <w:t>3.</w:t>
            </w:r>
            <w:r>
              <w:t> </w:t>
            </w:r>
            <w:r w:rsidRPr="00AB4465">
              <w:t xml:space="preserve">Valsts kasei – iemaksas starptautiskajās organizācijās Konvencija par dārgmetālu izstrādājumu pārbaudi un zīmogošanu, </w:t>
            </w:r>
            <w:r w:rsidRPr="00AB4465">
              <w:lastRenderedPageBreak/>
              <w:t xml:space="preserve">Ls 3,9 tūkst. </w:t>
            </w:r>
          </w:p>
          <w:p w:rsidR="00AB4465" w:rsidRPr="00AB4465" w:rsidRDefault="00AB4465" w:rsidP="007A7478">
            <w:pPr>
              <w:ind w:firstLine="186"/>
              <w:jc w:val="both"/>
            </w:pPr>
            <w:r w:rsidRPr="00AB4465">
              <w:t>4.</w:t>
            </w:r>
            <w:r>
              <w:t> </w:t>
            </w:r>
            <w:r w:rsidRPr="00AB4465">
              <w:t>Kapitālsabiedrībai – dotācija no vispārējiem ieņēmumiem saimnieciskās darbības vietu un personīgo zīmogu reģistru uzturēšanai un preču drošuma kontrolei, Ls 21,0 tūkst.</w:t>
            </w:r>
          </w:p>
        </w:tc>
      </w:tr>
    </w:tbl>
    <w:p w:rsidR="00AB4465" w:rsidRDefault="00AB446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9"/>
      </w:tblGrid>
      <w:tr w:rsidR="00CA2E97" w:rsidTr="007A7478">
        <w:tc>
          <w:tcPr>
            <w:tcW w:w="9639" w:type="dxa"/>
          </w:tcPr>
          <w:p w:rsidR="00CA2E97" w:rsidRPr="007A7478" w:rsidRDefault="000E475E" w:rsidP="007A7478">
            <w:pPr>
              <w:pStyle w:val="TableContents"/>
              <w:snapToGrid w:val="0"/>
              <w:jc w:val="center"/>
              <w:rPr>
                <w:b/>
                <w:bCs/>
              </w:rPr>
            </w:pPr>
            <w:r w:rsidRPr="007A7478">
              <w:rPr>
                <w:b/>
                <w:bCs/>
              </w:rPr>
              <w:t>Anotācijas IV, V un VI sadaļa – nav attiecināms</w:t>
            </w:r>
          </w:p>
        </w:tc>
      </w:tr>
    </w:tbl>
    <w:p w:rsidR="00CA2E97" w:rsidRDefault="00CA2E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8"/>
        <w:gridCol w:w="4821"/>
      </w:tblGrid>
      <w:tr w:rsidR="00CA2E97" w:rsidTr="007A7478">
        <w:tc>
          <w:tcPr>
            <w:tcW w:w="9639" w:type="dxa"/>
            <w:gridSpan w:val="2"/>
          </w:tcPr>
          <w:p w:rsidR="00CA2E97" w:rsidRPr="007A7478" w:rsidRDefault="00CA2E97" w:rsidP="007A7478">
            <w:pPr>
              <w:snapToGrid w:val="0"/>
              <w:jc w:val="center"/>
              <w:rPr>
                <w:b/>
                <w:bCs/>
              </w:rPr>
            </w:pPr>
            <w:r w:rsidRPr="007A7478">
              <w:rPr>
                <w:b/>
                <w:bCs/>
              </w:rPr>
              <w:t>VII. Kā tiks nodrošināta normatīvā akta izpilde</w:t>
            </w:r>
          </w:p>
        </w:tc>
      </w:tr>
      <w:tr w:rsidR="00CA2E97" w:rsidTr="007A7478">
        <w:tc>
          <w:tcPr>
            <w:tcW w:w="4818" w:type="dxa"/>
          </w:tcPr>
          <w:p w:rsidR="00CA2E97" w:rsidRDefault="00CA2E97" w:rsidP="007A7478">
            <w:pPr>
              <w:snapToGrid w:val="0"/>
              <w:jc w:val="both"/>
            </w:pPr>
            <w:r>
              <w:t>1. Kā tiks nodrošināta normatīvā akta izpilde no valsts un pašvaldību puses - vai tiek radītas jaunas valsts institūcijas vai paplašinātas esošo institūciju funkcijas</w:t>
            </w:r>
          </w:p>
        </w:tc>
        <w:tc>
          <w:tcPr>
            <w:tcW w:w="4821" w:type="dxa"/>
          </w:tcPr>
          <w:p w:rsidR="00CA2E97" w:rsidRDefault="00FE1A80" w:rsidP="007A7478">
            <w:pPr>
              <w:jc w:val="both"/>
            </w:pPr>
            <w:r w:rsidRPr="007A7478">
              <w:rPr>
                <w:iCs/>
              </w:rPr>
              <w:t>Normatīvā akta prasību izpildi nodrošinās Valsts ieņēmumu dienests esošo funkciju ietvaros.</w:t>
            </w:r>
          </w:p>
        </w:tc>
      </w:tr>
      <w:tr w:rsidR="00CA2E97" w:rsidTr="007A7478">
        <w:tc>
          <w:tcPr>
            <w:tcW w:w="4818" w:type="dxa"/>
          </w:tcPr>
          <w:p w:rsidR="00CA2E97" w:rsidRDefault="00CA2E97" w:rsidP="007A7478">
            <w:pPr>
              <w:snapToGrid w:val="0"/>
              <w:jc w:val="both"/>
            </w:pPr>
            <w:r>
              <w:t>2. Kā sabiedrība tiks informēta par normatīvā akta ieviešanu</w:t>
            </w:r>
          </w:p>
        </w:tc>
        <w:tc>
          <w:tcPr>
            <w:tcW w:w="4821" w:type="dxa"/>
          </w:tcPr>
          <w:p w:rsidR="00CA2E97" w:rsidRDefault="00FE1A80" w:rsidP="007A7478">
            <w:pPr>
              <w:snapToGrid w:val="0"/>
              <w:jc w:val="both"/>
            </w:pPr>
            <w:r w:rsidRPr="007A7478">
              <w:rPr>
                <w:iCs/>
              </w:rPr>
              <w:t xml:space="preserve">Likumprojekts pēc tā pieņemšanas tiks publicēts laikrakstā “Latvijas Vēstnesis” un ievietots Valsts ieņēmumu dienesta mājas lapā </w:t>
            </w:r>
            <w:hyperlink r:id="rId11" w:history="1">
              <w:r w:rsidRPr="007A7478">
                <w:rPr>
                  <w:rStyle w:val="Hyperlink"/>
                  <w:iCs/>
                </w:rPr>
                <w:t>www.vid.gov.lv</w:t>
              </w:r>
            </w:hyperlink>
            <w:r w:rsidRPr="007A7478">
              <w:rPr>
                <w:iCs/>
              </w:rPr>
              <w:t xml:space="preserve"> un bezmaksas datu bāzē </w:t>
            </w:r>
            <w:hyperlink r:id="rId12" w:history="1">
              <w:r w:rsidRPr="007A7478">
                <w:rPr>
                  <w:rStyle w:val="Hyperlink"/>
                  <w:iCs/>
                </w:rPr>
                <w:t>www.likumi.lv</w:t>
              </w:r>
            </w:hyperlink>
            <w:r w:rsidRPr="007A7478">
              <w:rPr>
                <w:iCs/>
              </w:rPr>
              <w:t>, kur ar likumu varēs iepazīties visas ieinteresētās personas</w:t>
            </w:r>
          </w:p>
        </w:tc>
      </w:tr>
      <w:tr w:rsidR="00CA2E97" w:rsidTr="007A7478">
        <w:tc>
          <w:tcPr>
            <w:tcW w:w="4818" w:type="dxa"/>
          </w:tcPr>
          <w:p w:rsidR="00CA2E97" w:rsidRDefault="00CA2E97" w:rsidP="007A7478">
            <w:pPr>
              <w:snapToGrid w:val="0"/>
              <w:jc w:val="both"/>
            </w:pPr>
            <w:r>
              <w:t>3. Kā indivīds var aizstāvēt savas tiesības, ja normatīvais akts viņu ierobežo</w:t>
            </w:r>
          </w:p>
        </w:tc>
        <w:tc>
          <w:tcPr>
            <w:tcW w:w="4821" w:type="dxa"/>
          </w:tcPr>
          <w:p w:rsidR="00CA2E97" w:rsidRPr="007A7478" w:rsidRDefault="000E475E" w:rsidP="007A7478">
            <w:pPr>
              <w:snapToGrid w:val="0"/>
              <w:jc w:val="both"/>
              <w:rPr>
                <w:highlight w:val="yellow"/>
              </w:rPr>
            </w:pPr>
            <w:r w:rsidRPr="004F029E">
              <w:t>Indivīds savas tiesības varēs aizstāvēt Administratīvā procesa likumā noteiktajā kārtībā.</w:t>
            </w:r>
          </w:p>
        </w:tc>
      </w:tr>
      <w:tr w:rsidR="00CA2E97" w:rsidTr="007A7478">
        <w:tc>
          <w:tcPr>
            <w:tcW w:w="4818" w:type="dxa"/>
          </w:tcPr>
          <w:p w:rsidR="00CA2E97" w:rsidRDefault="00CA2E97" w:rsidP="007A7478">
            <w:pPr>
              <w:snapToGrid w:val="0"/>
              <w:jc w:val="both"/>
            </w:pPr>
            <w:r>
              <w:t>4. Cita informācija</w:t>
            </w:r>
          </w:p>
        </w:tc>
        <w:tc>
          <w:tcPr>
            <w:tcW w:w="4821" w:type="dxa"/>
          </w:tcPr>
          <w:p w:rsidR="00CA2E97" w:rsidRDefault="00CA2E97" w:rsidP="007A7478">
            <w:pPr>
              <w:snapToGrid w:val="0"/>
              <w:jc w:val="both"/>
            </w:pPr>
            <w:r>
              <w:t>Nav</w:t>
            </w:r>
          </w:p>
        </w:tc>
      </w:tr>
    </w:tbl>
    <w:p w:rsidR="00CA2E97" w:rsidRDefault="00CA2E97" w:rsidP="00FE1A80">
      <w:pPr>
        <w:pStyle w:val="Heading5"/>
        <w:tabs>
          <w:tab w:val="clear" w:pos="1008"/>
        </w:tabs>
        <w:ind w:firstLine="0"/>
        <w:rPr>
          <w:szCs w:val="28"/>
          <w:lang w:val="lv-LV"/>
        </w:rPr>
      </w:pPr>
    </w:p>
    <w:p w:rsidR="00A27B36" w:rsidRDefault="00A27B36" w:rsidP="00A27B36">
      <w:pPr>
        <w:pStyle w:val="Heading5"/>
        <w:tabs>
          <w:tab w:val="clear" w:pos="1008"/>
        </w:tabs>
        <w:ind w:firstLine="0"/>
        <w:rPr>
          <w:szCs w:val="28"/>
          <w:lang w:val="lv-LV"/>
        </w:rPr>
      </w:pPr>
    </w:p>
    <w:p w:rsidR="009328D9" w:rsidRPr="009328D9" w:rsidRDefault="00750C02" w:rsidP="009328D9">
      <w:pPr>
        <w:tabs>
          <w:tab w:val="left" w:pos="7938"/>
        </w:tabs>
        <w:spacing w:line="20" w:lineRule="atLeast"/>
        <w:rPr>
          <w:sz w:val="28"/>
          <w:szCs w:val="28"/>
          <w:lang w:eastAsia="en-US"/>
        </w:rPr>
      </w:pPr>
      <w:r>
        <w:rPr>
          <w:sz w:val="28"/>
          <w:szCs w:val="28"/>
          <w:lang w:eastAsia="en-US"/>
        </w:rPr>
        <w:t>Finanšu ministrs</w:t>
      </w:r>
      <w:r>
        <w:rPr>
          <w:sz w:val="28"/>
          <w:szCs w:val="28"/>
          <w:lang w:eastAsia="en-US"/>
        </w:rPr>
        <w:tab/>
        <w:t>E</w:t>
      </w:r>
      <w:r w:rsidR="009328D9" w:rsidRPr="009328D9">
        <w:rPr>
          <w:sz w:val="28"/>
          <w:szCs w:val="28"/>
          <w:lang w:eastAsia="en-US"/>
        </w:rPr>
        <w:t>.</w:t>
      </w:r>
      <w:r>
        <w:rPr>
          <w:sz w:val="28"/>
          <w:szCs w:val="28"/>
          <w:lang w:eastAsia="en-US"/>
        </w:rPr>
        <w:t>Repše</w:t>
      </w:r>
    </w:p>
    <w:p w:rsidR="009328D9" w:rsidRPr="009328D9" w:rsidRDefault="009328D9" w:rsidP="009328D9">
      <w:pPr>
        <w:spacing w:line="20" w:lineRule="atLeast"/>
        <w:rPr>
          <w:sz w:val="28"/>
          <w:szCs w:val="28"/>
          <w:lang w:eastAsia="en-US"/>
        </w:rPr>
      </w:pPr>
    </w:p>
    <w:p w:rsidR="009328D9" w:rsidRPr="009328D9" w:rsidRDefault="009328D9" w:rsidP="009328D9">
      <w:pPr>
        <w:tabs>
          <w:tab w:val="left" w:pos="11199"/>
        </w:tabs>
        <w:rPr>
          <w:sz w:val="28"/>
          <w:szCs w:val="28"/>
          <w:lang w:eastAsia="en-US"/>
        </w:rPr>
      </w:pPr>
      <w:r w:rsidRPr="009328D9">
        <w:rPr>
          <w:sz w:val="28"/>
          <w:szCs w:val="28"/>
          <w:lang w:eastAsia="en-US"/>
        </w:rPr>
        <w:t>Vīza:</w:t>
      </w:r>
    </w:p>
    <w:p w:rsidR="00600159" w:rsidRPr="009328D9" w:rsidRDefault="0041795C" w:rsidP="00600159">
      <w:pPr>
        <w:tabs>
          <w:tab w:val="left" w:pos="7938"/>
        </w:tabs>
        <w:spacing w:line="20" w:lineRule="atLeast"/>
        <w:rPr>
          <w:sz w:val="28"/>
          <w:szCs w:val="28"/>
          <w:lang w:eastAsia="en-US"/>
        </w:rPr>
      </w:pPr>
      <w:r>
        <w:rPr>
          <w:sz w:val="28"/>
          <w:szCs w:val="28"/>
          <w:lang w:eastAsia="en-US"/>
        </w:rPr>
        <w:t>Valsts sekretārs</w:t>
      </w:r>
      <w:r>
        <w:rPr>
          <w:sz w:val="28"/>
          <w:szCs w:val="28"/>
          <w:lang w:eastAsia="en-US"/>
        </w:rPr>
        <w:tab/>
        <w:t>M</w:t>
      </w:r>
      <w:r w:rsidR="00600159" w:rsidRPr="009328D9">
        <w:rPr>
          <w:sz w:val="28"/>
          <w:szCs w:val="28"/>
          <w:lang w:eastAsia="en-US"/>
        </w:rPr>
        <w:t>.</w:t>
      </w:r>
      <w:r>
        <w:rPr>
          <w:sz w:val="28"/>
          <w:szCs w:val="28"/>
          <w:lang w:eastAsia="en-US"/>
        </w:rPr>
        <w:t>Bičevskis</w:t>
      </w:r>
    </w:p>
    <w:p w:rsidR="00FE1A80" w:rsidRDefault="00FE1A80">
      <w:pPr>
        <w:rPr>
          <w:sz w:val="20"/>
          <w:szCs w:val="20"/>
        </w:rPr>
      </w:pPr>
    </w:p>
    <w:p w:rsidR="009328D9" w:rsidRDefault="009328D9">
      <w:pPr>
        <w:rPr>
          <w:sz w:val="20"/>
          <w:szCs w:val="20"/>
        </w:rPr>
      </w:pPr>
    </w:p>
    <w:p w:rsidR="0051534D" w:rsidRDefault="0051534D">
      <w:pPr>
        <w:rPr>
          <w:sz w:val="20"/>
          <w:szCs w:val="20"/>
        </w:rPr>
      </w:pPr>
    </w:p>
    <w:p w:rsidR="0051534D" w:rsidRDefault="0051534D">
      <w:pPr>
        <w:rPr>
          <w:sz w:val="20"/>
          <w:szCs w:val="20"/>
        </w:rPr>
      </w:pPr>
    </w:p>
    <w:p w:rsidR="0051534D" w:rsidRDefault="0051534D">
      <w:pPr>
        <w:rPr>
          <w:sz w:val="20"/>
          <w:szCs w:val="20"/>
        </w:rPr>
      </w:pPr>
    </w:p>
    <w:p w:rsidR="0051534D" w:rsidRDefault="0051534D">
      <w:pPr>
        <w:rPr>
          <w:sz w:val="20"/>
          <w:szCs w:val="20"/>
        </w:rPr>
      </w:pPr>
    </w:p>
    <w:p w:rsidR="00D21A62" w:rsidRDefault="00D21A62">
      <w:pPr>
        <w:rPr>
          <w:sz w:val="20"/>
          <w:szCs w:val="20"/>
        </w:rPr>
      </w:pPr>
    </w:p>
    <w:p w:rsidR="00750C02" w:rsidRDefault="00750C02">
      <w:pPr>
        <w:rPr>
          <w:sz w:val="20"/>
          <w:szCs w:val="20"/>
        </w:rPr>
      </w:pPr>
    </w:p>
    <w:p w:rsidR="00750C02" w:rsidRDefault="00750C02">
      <w:pPr>
        <w:rPr>
          <w:sz w:val="20"/>
          <w:szCs w:val="20"/>
        </w:rPr>
      </w:pPr>
    </w:p>
    <w:p w:rsidR="00750C02" w:rsidRDefault="00750C02">
      <w:pPr>
        <w:rPr>
          <w:sz w:val="20"/>
          <w:szCs w:val="20"/>
        </w:rPr>
      </w:pPr>
    </w:p>
    <w:p w:rsidR="0051534D" w:rsidRDefault="0051534D">
      <w:pPr>
        <w:rPr>
          <w:sz w:val="20"/>
          <w:szCs w:val="20"/>
        </w:rPr>
      </w:pPr>
    </w:p>
    <w:p w:rsidR="0051534D" w:rsidRDefault="0051534D">
      <w:pPr>
        <w:rPr>
          <w:sz w:val="20"/>
          <w:szCs w:val="20"/>
        </w:rPr>
      </w:pPr>
    </w:p>
    <w:p w:rsidR="0051534D" w:rsidRDefault="0051534D">
      <w:pPr>
        <w:rPr>
          <w:sz w:val="20"/>
          <w:szCs w:val="20"/>
        </w:rPr>
      </w:pPr>
    </w:p>
    <w:p w:rsidR="00F038D9" w:rsidRDefault="00F038D9">
      <w:pPr>
        <w:rPr>
          <w:sz w:val="20"/>
          <w:szCs w:val="20"/>
        </w:rPr>
      </w:pPr>
    </w:p>
    <w:p w:rsidR="00FE1A80" w:rsidRPr="00FE1A80" w:rsidRDefault="0042517A" w:rsidP="00FE1A80">
      <w:pPr>
        <w:rPr>
          <w:sz w:val="20"/>
          <w:szCs w:val="20"/>
        </w:rPr>
      </w:pPr>
      <w:fldSimple w:instr=" SAVEDATE   \* MERGEFORMAT ">
        <w:r w:rsidR="00600159" w:rsidRPr="00600159">
          <w:rPr>
            <w:noProof/>
            <w:sz w:val="20"/>
            <w:szCs w:val="20"/>
          </w:rPr>
          <w:t>08.10.2009 17:34:00</w:t>
        </w:r>
      </w:fldSimple>
    </w:p>
    <w:p w:rsidR="00FE1A80" w:rsidRPr="00FE1A80" w:rsidRDefault="0042517A" w:rsidP="00FE1A80">
      <w:pPr>
        <w:rPr>
          <w:sz w:val="20"/>
          <w:szCs w:val="20"/>
        </w:rPr>
      </w:pPr>
      <w:fldSimple w:instr=" NUMWORDS   \* MERGEFORMAT ">
        <w:r w:rsidR="0041795C" w:rsidRPr="0041795C">
          <w:rPr>
            <w:noProof/>
            <w:sz w:val="20"/>
            <w:szCs w:val="20"/>
          </w:rPr>
          <w:t>1678</w:t>
        </w:r>
      </w:fldSimple>
    </w:p>
    <w:p w:rsidR="00FE1A80" w:rsidRPr="00FE1A80" w:rsidRDefault="00FE1A80" w:rsidP="00FE1A80">
      <w:pPr>
        <w:rPr>
          <w:sz w:val="20"/>
          <w:szCs w:val="20"/>
        </w:rPr>
      </w:pPr>
      <w:r w:rsidRPr="00FE1A80">
        <w:rPr>
          <w:sz w:val="20"/>
          <w:szCs w:val="20"/>
        </w:rPr>
        <w:t>E.Silova</w:t>
      </w:r>
    </w:p>
    <w:p w:rsidR="00FE1A80" w:rsidRDefault="00FE1A80">
      <w:pPr>
        <w:rPr>
          <w:sz w:val="20"/>
          <w:szCs w:val="20"/>
        </w:rPr>
      </w:pPr>
      <w:r w:rsidRPr="00FE1A80">
        <w:rPr>
          <w:sz w:val="20"/>
          <w:szCs w:val="20"/>
        </w:rPr>
        <w:t xml:space="preserve">67095515, </w:t>
      </w:r>
      <w:hyperlink r:id="rId13" w:history="1">
        <w:r w:rsidRPr="00FE1A80">
          <w:rPr>
            <w:rStyle w:val="Hyperlink"/>
            <w:sz w:val="20"/>
            <w:szCs w:val="20"/>
          </w:rPr>
          <w:t>edite.silova@fm.gov.lv</w:t>
        </w:r>
      </w:hyperlink>
    </w:p>
    <w:sectPr w:rsidR="00FE1A80" w:rsidSect="00A27B36">
      <w:headerReference w:type="even" r:id="rId14"/>
      <w:headerReference w:type="default" r:id="rId15"/>
      <w:footerReference w:type="default" r:id="rId16"/>
      <w:footerReference w:type="first" r:id="rId17"/>
      <w:pgSz w:w="11905" w:h="16837"/>
      <w:pgMar w:top="1410" w:right="1134" w:bottom="1134" w:left="1134"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02" w:rsidRDefault="003C7C02">
      <w:r>
        <w:separator/>
      </w:r>
    </w:p>
  </w:endnote>
  <w:endnote w:type="continuationSeparator" w:id="0">
    <w:p w:rsidR="003C7C02" w:rsidRDefault="003C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72" w:rsidRPr="00FE1A80" w:rsidRDefault="0042517A" w:rsidP="002E2F2C">
    <w:pPr>
      <w:pStyle w:val="Footer"/>
      <w:rPr>
        <w:rFonts w:ascii="Times New Roman" w:hAnsi="Times New Roman"/>
        <w:sz w:val="20"/>
        <w:szCs w:val="20"/>
      </w:rPr>
    </w:pPr>
    <w:fldSimple w:instr=" FILENAME   \* MERGEFORMAT ">
      <w:r w:rsidR="006507BB" w:rsidRPr="006507BB">
        <w:rPr>
          <w:rFonts w:ascii="Times New Roman" w:hAnsi="Times New Roman"/>
          <w:noProof/>
          <w:sz w:val="20"/>
          <w:szCs w:val="20"/>
        </w:rPr>
        <w:t>FMAnot_081009_pavadzim</w:t>
      </w:r>
    </w:fldSimple>
    <w:r w:rsidR="00580F72" w:rsidRPr="00FE1A80">
      <w:rPr>
        <w:rFonts w:ascii="Times New Roman" w:hAnsi="Times New Roman"/>
        <w:sz w:val="20"/>
        <w:szCs w:val="20"/>
      </w:rPr>
      <w:t>; Likumprojekta</w:t>
    </w:r>
    <w:r w:rsidR="00FE1A80" w:rsidRPr="00FE1A80">
      <w:rPr>
        <w:rFonts w:ascii="Times New Roman" w:hAnsi="Times New Roman"/>
        <w:sz w:val="20"/>
        <w:szCs w:val="20"/>
      </w:rPr>
      <w:t xml:space="preserve"> “</w:t>
    </w:r>
    <w:r w:rsidR="00580F72" w:rsidRPr="00FE1A80">
      <w:rPr>
        <w:rFonts w:ascii="Times New Roman" w:hAnsi="Times New Roman"/>
        <w:sz w:val="20"/>
        <w:szCs w:val="20"/>
      </w:rPr>
      <w:t xml:space="preserve">Grozījumi </w:t>
    </w:r>
    <w:r w:rsidR="00FE1A80">
      <w:rPr>
        <w:rFonts w:ascii="Times New Roman" w:hAnsi="Times New Roman"/>
        <w:sz w:val="20"/>
        <w:szCs w:val="20"/>
      </w:rPr>
      <w:t>likumā “Par nodokļiem un nodevām</w:t>
    </w:r>
    <w:r w:rsidR="00580F72" w:rsidRPr="00FE1A80">
      <w:rPr>
        <w:rFonts w:ascii="Times New Roman" w:hAnsi="Times New Roman"/>
        <w:sz w:val="20"/>
        <w:szCs w:val="20"/>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72" w:rsidRPr="00FE1A80" w:rsidRDefault="0042517A" w:rsidP="00FE1A80">
    <w:pPr>
      <w:pStyle w:val="Footer"/>
      <w:rPr>
        <w:szCs w:val="20"/>
      </w:rPr>
    </w:pPr>
    <w:fldSimple w:instr=" FILENAME   \* MERGEFORMAT ">
      <w:r w:rsidR="006507BB" w:rsidRPr="006507BB">
        <w:rPr>
          <w:rFonts w:ascii="Times New Roman" w:hAnsi="Times New Roman"/>
          <w:noProof/>
          <w:sz w:val="20"/>
          <w:szCs w:val="20"/>
        </w:rPr>
        <w:t>FMAnot_081009_pavadzim</w:t>
      </w:r>
    </w:fldSimple>
    <w:r w:rsidR="00FE1A80" w:rsidRPr="00FE1A80">
      <w:rPr>
        <w:rFonts w:ascii="Times New Roman" w:hAnsi="Times New Roman"/>
        <w:sz w:val="20"/>
        <w:szCs w:val="20"/>
      </w:rPr>
      <w:t xml:space="preserve">; Likumprojekta “Grozījumi </w:t>
    </w:r>
    <w:r w:rsidR="00FE1A80">
      <w:rPr>
        <w:rFonts w:ascii="Times New Roman" w:hAnsi="Times New Roman"/>
        <w:sz w:val="20"/>
        <w:szCs w:val="20"/>
      </w:rPr>
      <w:t>likumā “Par nodokļiem un nodevām</w:t>
    </w:r>
    <w:r w:rsidR="00FE1A80" w:rsidRPr="00FE1A80">
      <w:rPr>
        <w:rFonts w:ascii="Times New Roman" w:hAnsi="Times New Roman"/>
        <w:sz w:val="20"/>
        <w:szCs w:val="20"/>
      </w:rPr>
      <w:t>”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02" w:rsidRDefault="003C7C02">
      <w:r>
        <w:separator/>
      </w:r>
    </w:p>
  </w:footnote>
  <w:footnote w:type="continuationSeparator" w:id="0">
    <w:p w:rsidR="003C7C02" w:rsidRDefault="003C7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72" w:rsidRDefault="0042517A" w:rsidP="00CA2E97">
    <w:pPr>
      <w:pStyle w:val="Header"/>
      <w:framePr w:wrap="around" w:vAnchor="text" w:hAnchor="margin" w:xAlign="center" w:y="1"/>
      <w:rPr>
        <w:rStyle w:val="PageNumber"/>
      </w:rPr>
    </w:pPr>
    <w:r>
      <w:rPr>
        <w:rStyle w:val="PageNumber"/>
      </w:rPr>
      <w:fldChar w:fldCharType="begin"/>
    </w:r>
    <w:r w:rsidR="00580F72">
      <w:rPr>
        <w:rStyle w:val="PageNumber"/>
      </w:rPr>
      <w:instrText xml:space="preserve">PAGE  </w:instrText>
    </w:r>
    <w:r>
      <w:rPr>
        <w:rStyle w:val="PageNumber"/>
      </w:rPr>
      <w:fldChar w:fldCharType="end"/>
    </w:r>
  </w:p>
  <w:p w:rsidR="00580F72" w:rsidRDefault="00580F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72" w:rsidRDefault="0042517A" w:rsidP="00CA2E97">
    <w:pPr>
      <w:pStyle w:val="Header"/>
      <w:framePr w:wrap="around" w:vAnchor="text" w:hAnchor="margin" w:xAlign="center" w:y="1"/>
      <w:rPr>
        <w:rStyle w:val="PageNumber"/>
      </w:rPr>
    </w:pPr>
    <w:r>
      <w:rPr>
        <w:rStyle w:val="PageNumber"/>
      </w:rPr>
      <w:fldChar w:fldCharType="begin"/>
    </w:r>
    <w:r w:rsidR="00580F72">
      <w:rPr>
        <w:rStyle w:val="PageNumber"/>
      </w:rPr>
      <w:instrText xml:space="preserve">PAGE  </w:instrText>
    </w:r>
    <w:r>
      <w:rPr>
        <w:rStyle w:val="PageNumber"/>
      </w:rPr>
      <w:fldChar w:fldCharType="separate"/>
    </w:r>
    <w:r w:rsidR="0041795C">
      <w:rPr>
        <w:rStyle w:val="PageNumber"/>
        <w:noProof/>
      </w:rPr>
      <w:t>6</w:t>
    </w:r>
    <w:r>
      <w:rPr>
        <w:rStyle w:val="PageNumber"/>
      </w:rPr>
      <w:fldChar w:fldCharType="end"/>
    </w:r>
  </w:p>
  <w:p w:rsidR="00580F72" w:rsidRDefault="00580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88947F6"/>
    <w:multiLevelType w:val="hybridMultilevel"/>
    <w:tmpl w:val="F574292A"/>
    <w:lvl w:ilvl="0" w:tplc="9B86E74C">
      <w:start w:val="116"/>
      <w:numFmt w:val="bullet"/>
      <w:lvlText w:val="-"/>
      <w:lvlJc w:val="left"/>
      <w:pPr>
        <w:ind w:left="867" w:hanging="360"/>
      </w:pPr>
      <w:rPr>
        <w:rFonts w:ascii="Times New Roman" w:eastAsia="EUAlbertina_Bold"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
    <w:nsid w:val="5FE22C51"/>
    <w:multiLevelType w:val="hybridMultilevel"/>
    <w:tmpl w:val="CE009614"/>
    <w:lvl w:ilvl="0" w:tplc="C3A4DE1E">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76011E6"/>
    <w:multiLevelType w:val="hybridMultilevel"/>
    <w:tmpl w:val="CB24C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27B36"/>
    <w:rsid w:val="00003396"/>
    <w:rsid w:val="00005A67"/>
    <w:rsid w:val="00007E00"/>
    <w:rsid w:val="00073D0B"/>
    <w:rsid w:val="000B3666"/>
    <w:rsid w:val="000E475E"/>
    <w:rsid w:val="00122904"/>
    <w:rsid w:val="00122A95"/>
    <w:rsid w:val="00141085"/>
    <w:rsid w:val="00167069"/>
    <w:rsid w:val="00183970"/>
    <w:rsid w:val="001F29E7"/>
    <w:rsid w:val="00216630"/>
    <w:rsid w:val="002406CF"/>
    <w:rsid w:val="00252D97"/>
    <w:rsid w:val="00261E06"/>
    <w:rsid w:val="00265393"/>
    <w:rsid w:val="00275D91"/>
    <w:rsid w:val="002B3655"/>
    <w:rsid w:val="002D0B7F"/>
    <w:rsid w:val="002E2F2C"/>
    <w:rsid w:val="00303E94"/>
    <w:rsid w:val="00314CCB"/>
    <w:rsid w:val="003357FB"/>
    <w:rsid w:val="00343042"/>
    <w:rsid w:val="0035785C"/>
    <w:rsid w:val="003657AB"/>
    <w:rsid w:val="00393852"/>
    <w:rsid w:val="00394C9E"/>
    <w:rsid w:val="003A5A97"/>
    <w:rsid w:val="003A79AD"/>
    <w:rsid w:val="003C7C02"/>
    <w:rsid w:val="003E0E57"/>
    <w:rsid w:val="004079FB"/>
    <w:rsid w:val="0041795C"/>
    <w:rsid w:val="0042517A"/>
    <w:rsid w:val="00461C22"/>
    <w:rsid w:val="00463954"/>
    <w:rsid w:val="00465873"/>
    <w:rsid w:val="0046621A"/>
    <w:rsid w:val="0051534D"/>
    <w:rsid w:val="00542953"/>
    <w:rsid w:val="00560173"/>
    <w:rsid w:val="00580F72"/>
    <w:rsid w:val="00582BBF"/>
    <w:rsid w:val="005900AB"/>
    <w:rsid w:val="005A3C64"/>
    <w:rsid w:val="00600159"/>
    <w:rsid w:val="006507BB"/>
    <w:rsid w:val="00676F46"/>
    <w:rsid w:val="0068764B"/>
    <w:rsid w:val="00697252"/>
    <w:rsid w:val="006F7DA8"/>
    <w:rsid w:val="007169F8"/>
    <w:rsid w:val="00750C02"/>
    <w:rsid w:val="007A0058"/>
    <w:rsid w:val="007A7478"/>
    <w:rsid w:val="007D0A77"/>
    <w:rsid w:val="0083310B"/>
    <w:rsid w:val="00835EE6"/>
    <w:rsid w:val="00844147"/>
    <w:rsid w:val="00885C52"/>
    <w:rsid w:val="008E7D26"/>
    <w:rsid w:val="008F0B16"/>
    <w:rsid w:val="008F3D52"/>
    <w:rsid w:val="00904765"/>
    <w:rsid w:val="009328D9"/>
    <w:rsid w:val="00935C3A"/>
    <w:rsid w:val="00951077"/>
    <w:rsid w:val="00974D3A"/>
    <w:rsid w:val="00996B2D"/>
    <w:rsid w:val="009C2904"/>
    <w:rsid w:val="00A178C3"/>
    <w:rsid w:val="00A27485"/>
    <w:rsid w:val="00A27B36"/>
    <w:rsid w:val="00A34D5A"/>
    <w:rsid w:val="00A36F46"/>
    <w:rsid w:val="00A430BC"/>
    <w:rsid w:val="00A4646D"/>
    <w:rsid w:val="00A70337"/>
    <w:rsid w:val="00A9229E"/>
    <w:rsid w:val="00AA5295"/>
    <w:rsid w:val="00AB4465"/>
    <w:rsid w:val="00AD61CF"/>
    <w:rsid w:val="00B03A14"/>
    <w:rsid w:val="00B05064"/>
    <w:rsid w:val="00B05A56"/>
    <w:rsid w:val="00B22EC1"/>
    <w:rsid w:val="00B6117A"/>
    <w:rsid w:val="00B7570F"/>
    <w:rsid w:val="00BC7BDC"/>
    <w:rsid w:val="00BD31F3"/>
    <w:rsid w:val="00C27C2A"/>
    <w:rsid w:val="00C44E92"/>
    <w:rsid w:val="00C63403"/>
    <w:rsid w:val="00C72505"/>
    <w:rsid w:val="00C76B2D"/>
    <w:rsid w:val="00C8385F"/>
    <w:rsid w:val="00CA2E97"/>
    <w:rsid w:val="00CB44A4"/>
    <w:rsid w:val="00CC6C9E"/>
    <w:rsid w:val="00D21A62"/>
    <w:rsid w:val="00D27A4A"/>
    <w:rsid w:val="00D376B3"/>
    <w:rsid w:val="00D927FE"/>
    <w:rsid w:val="00D96272"/>
    <w:rsid w:val="00E01409"/>
    <w:rsid w:val="00E129C7"/>
    <w:rsid w:val="00E15481"/>
    <w:rsid w:val="00E642B3"/>
    <w:rsid w:val="00E80BDA"/>
    <w:rsid w:val="00E821E6"/>
    <w:rsid w:val="00E918C3"/>
    <w:rsid w:val="00E962F4"/>
    <w:rsid w:val="00EC5A4D"/>
    <w:rsid w:val="00F038D9"/>
    <w:rsid w:val="00F34430"/>
    <w:rsid w:val="00F533F8"/>
    <w:rsid w:val="00F628F3"/>
    <w:rsid w:val="00F6319C"/>
    <w:rsid w:val="00F731D0"/>
    <w:rsid w:val="00FB0121"/>
    <w:rsid w:val="00FC0B82"/>
    <w:rsid w:val="00FC5190"/>
    <w:rsid w:val="00FD619E"/>
    <w:rsid w:val="00FE1A80"/>
    <w:rsid w:val="00FE2C36"/>
    <w:rsid w:val="00FF19C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5A97"/>
    <w:pPr>
      <w:widowControl w:val="0"/>
      <w:suppressAutoHyphens/>
    </w:pPr>
    <w:rPr>
      <w:rFonts w:eastAsia="Lucida Sans Unicode"/>
      <w:kern w:val="1"/>
      <w:sz w:val="24"/>
      <w:szCs w:val="24"/>
    </w:rPr>
  </w:style>
  <w:style w:type="paragraph" w:styleId="Heading5">
    <w:name w:val="heading 5"/>
    <w:basedOn w:val="Normal"/>
    <w:next w:val="Normal"/>
    <w:qFormat/>
    <w:rsid w:val="003A5A97"/>
    <w:pPr>
      <w:keepNext/>
      <w:widowControl/>
      <w:tabs>
        <w:tab w:val="num" w:pos="1008"/>
      </w:tabs>
      <w:suppressAutoHyphens w:val="0"/>
      <w:ind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A5A97"/>
  </w:style>
  <w:style w:type="character" w:customStyle="1" w:styleId="CharChar14">
    <w:name w:val="Char Char14"/>
    <w:basedOn w:val="DefaultParagraphFont"/>
    <w:rsid w:val="003A5A97"/>
    <w:rPr>
      <w:sz w:val="28"/>
      <w:lang w:val="en-US" w:eastAsia="ar-SA" w:bidi="ar-SA"/>
    </w:rPr>
  </w:style>
  <w:style w:type="character" w:customStyle="1" w:styleId="CharChar6">
    <w:name w:val="Char Char6"/>
    <w:basedOn w:val="DefaultParagraphFont"/>
    <w:rsid w:val="003A5A97"/>
    <w:rPr>
      <w:rFonts w:eastAsia="Calibri"/>
      <w:sz w:val="16"/>
      <w:szCs w:val="16"/>
      <w:lang w:val="lv-LV" w:eastAsia="ar-SA" w:bidi="ar-SA"/>
    </w:rPr>
  </w:style>
  <w:style w:type="character" w:customStyle="1" w:styleId="CharChar5">
    <w:name w:val="Char Char5"/>
    <w:basedOn w:val="DefaultParagraphFont"/>
    <w:rsid w:val="003A5A97"/>
    <w:rPr>
      <w:rFonts w:ascii="Arial Unicode MS" w:eastAsia="Arial Unicode MS" w:hAnsi="Arial Unicode MS" w:cs="Arial Unicode MS"/>
      <w:lang w:val="lv-LV" w:eastAsia="ar-SA" w:bidi="ar-SA"/>
    </w:rPr>
  </w:style>
  <w:style w:type="paragraph" w:customStyle="1" w:styleId="Heading">
    <w:name w:val="Heading"/>
    <w:basedOn w:val="Normal"/>
    <w:next w:val="BodyText"/>
    <w:rsid w:val="003A5A97"/>
    <w:pPr>
      <w:keepNext/>
      <w:spacing w:before="240" w:after="120"/>
    </w:pPr>
    <w:rPr>
      <w:rFonts w:ascii="Arial" w:hAnsi="Arial" w:cs="Tahoma"/>
      <w:sz w:val="28"/>
      <w:szCs w:val="28"/>
    </w:rPr>
  </w:style>
  <w:style w:type="paragraph" w:styleId="BodyText">
    <w:name w:val="Body Text"/>
    <w:basedOn w:val="Normal"/>
    <w:rsid w:val="003A5A97"/>
    <w:pPr>
      <w:spacing w:after="120"/>
    </w:pPr>
  </w:style>
  <w:style w:type="paragraph" w:styleId="List">
    <w:name w:val="List"/>
    <w:basedOn w:val="BodyText"/>
    <w:rsid w:val="003A5A97"/>
    <w:rPr>
      <w:rFonts w:cs="Tahoma"/>
    </w:rPr>
  </w:style>
  <w:style w:type="paragraph" w:styleId="Caption">
    <w:name w:val="caption"/>
    <w:basedOn w:val="Normal"/>
    <w:qFormat/>
    <w:rsid w:val="003A5A97"/>
    <w:pPr>
      <w:suppressLineNumbers/>
      <w:spacing w:before="120" w:after="120"/>
    </w:pPr>
    <w:rPr>
      <w:rFonts w:cs="Tahoma"/>
      <w:i/>
      <w:iCs/>
    </w:rPr>
  </w:style>
  <w:style w:type="paragraph" w:customStyle="1" w:styleId="Index">
    <w:name w:val="Index"/>
    <w:basedOn w:val="Normal"/>
    <w:rsid w:val="003A5A97"/>
    <w:pPr>
      <w:suppressLineNumbers/>
    </w:pPr>
    <w:rPr>
      <w:rFonts w:cs="Tahoma"/>
    </w:rPr>
  </w:style>
  <w:style w:type="paragraph" w:customStyle="1" w:styleId="TableContents">
    <w:name w:val="Table Contents"/>
    <w:basedOn w:val="Normal"/>
    <w:rsid w:val="003A5A97"/>
    <w:pPr>
      <w:suppressLineNumbers/>
    </w:pPr>
  </w:style>
  <w:style w:type="paragraph" w:styleId="Footer">
    <w:name w:val="footer"/>
    <w:basedOn w:val="Normal"/>
    <w:rsid w:val="003A5A97"/>
    <w:rPr>
      <w:rFonts w:ascii="RimTimes" w:hAnsi="RimTimes"/>
    </w:rPr>
  </w:style>
  <w:style w:type="paragraph" w:styleId="Header">
    <w:name w:val="header"/>
    <w:basedOn w:val="Normal"/>
    <w:rsid w:val="003A5A97"/>
    <w:pPr>
      <w:tabs>
        <w:tab w:val="center" w:pos="4153"/>
        <w:tab w:val="right" w:pos="8306"/>
      </w:tabs>
    </w:pPr>
  </w:style>
  <w:style w:type="paragraph" w:styleId="NormalWeb">
    <w:name w:val="Normal (Web)"/>
    <w:basedOn w:val="Normal"/>
    <w:rsid w:val="003A5A97"/>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rsid w:val="003A5A97"/>
    <w:pPr>
      <w:widowControl/>
      <w:suppressAutoHyphens w:val="0"/>
      <w:spacing w:after="120" w:line="276" w:lineRule="auto"/>
      <w:ind w:left="283"/>
    </w:pPr>
    <w:rPr>
      <w:rFonts w:eastAsia="Calibri"/>
      <w:sz w:val="16"/>
      <w:szCs w:val="16"/>
    </w:rPr>
  </w:style>
  <w:style w:type="paragraph" w:styleId="HTMLPreformatted">
    <w:name w:val="HTML Preformatted"/>
    <w:basedOn w:val="Normal"/>
    <w:rsid w:val="003A5A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rsid w:val="003A5A97"/>
    <w:pPr>
      <w:jc w:val="center"/>
    </w:pPr>
    <w:rPr>
      <w:b/>
      <w:bCs/>
    </w:rPr>
  </w:style>
  <w:style w:type="paragraph" w:customStyle="1" w:styleId="Framecontents">
    <w:name w:val="Frame contents"/>
    <w:basedOn w:val="BodyText"/>
    <w:rsid w:val="003A5A97"/>
  </w:style>
  <w:style w:type="character" w:styleId="Hyperlink">
    <w:name w:val="Hyperlink"/>
    <w:basedOn w:val="DefaultParagraphFont"/>
    <w:rsid w:val="00FE1A80"/>
    <w:rPr>
      <w:color w:val="0000FF"/>
      <w:u w:val="single"/>
    </w:rPr>
  </w:style>
  <w:style w:type="paragraph" w:styleId="ListParagraph">
    <w:name w:val="List Paragraph"/>
    <w:basedOn w:val="Normal"/>
    <w:uiPriority w:val="99"/>
    <w:qFormat/>
    <w:rsid w:val="0083310B"/>
    <w:pPr>
      <w:ind w:left="720"/>
      <w:contextualSpacing/>
    </w:pPr>
  </w:style>
  <w:style w:type="table" w:styleId="TableGrid">
    <w:name w:val="Table Grid"/>
    <w:basedOn w:val="TableNormal"/>
    <w:rsid w:val="00E962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900AB"/>
    <w:rPr>
      <w:rFonts w:ascii="Tahoma" w:hAnsi="Tahoma" w:cs="Tahoma"/>
      <w:sz w:val="16"/>
      <w:szCs w:val="16"/>
    </w:rPr>
  </w:style>
  <w:style w:type="character" w:customStyle="1" w:styleId="BalloonTextChar">
    <w:name w:val="Balloon Text Char"/>
    <w:basedOn w:val="DefaultParagraphFont"/>
    <w:link w:val="BalloonText"/>
    <w:rsid w:val="005900AB"/>
    <w:rPr>
      <w:rFonts w:ascii="Tahoma" w:eastAsia="Lucida Sans Unicode" w:hAnsi="Tahoma" w:cs="Tahoma"/>
      <w:kern w:val="1"/>
      <w:sz w:val="16"/>
      <w:szCs w:val="16"/>
    </w:rPr>
  </w:style>
  <w:style w:type="character" w:customStyle="1" w:styleId="BodyTextIndent3Char">
    <w:name w:val="Body Text Indent 3 Char"/>
    <w:basedOn w:val="DefaultParagraphFont"/>
    <w:link w:val="BodyTextIndent3"/>
    <w:locked/>
    <w:rsid w:val="008F0B16"/>
    <w:rPr>
      <w:rFonts w:eastAsia="Calibri"/>
      <w:kern w:val="1"/>
      <w:sz w:val="16"/>
      <w:szCs w:val="16"/>
    </w:rPr>
  </w:style>
  <w:style w:type="character" w:styleId="CommentReference">
    <w:name w:val="annotation reference"/>
    <w:basedOn w:val="DefaultParagraphFont"/>
    <w:rsid w:val="00275D91"/>
    <w:rPr>
      <w:sz w:val="16"/>
      <w:szCs w:val="16"/>
    </w:rPr>
  </w:style>
  <w:style w:type="paragraph" w:styleId="CommentText">
    <w:name w:val="annotation text"/>
    <w:basedOn w:val="Normal"/>
    <w:link w:val="CommentTextChar"/>
    <w:rsid w:val="00275D91"/>
    <w:rPr>
      <w:sz w:val="20"/>
      <w:szCs w:val="20"/>
    </w:rPr>
  </w:style>
  <w:style w:type="character" w:customStyle="1" w:styleId="CommentTextChar">
    <w:name w:val="Comment Text Char"/>
    <w:basedOn w:val="DefaultParagraphFont"/>
    <w:link w:val="CommentText"/>
    <w:rsid w:val="00275D91"/>
    <w:rPr>
      <w:rFonts w:eastAsia="Lucida Sans Unicode"/>
      <w:kern w:val="1"/>
      <w:lang w:val="lv-LV" w:eastAsia="lv-LV"/>
    </w:rPr>
  </w:style>
  <w:style w:type="paragraph" w:styleId="CommentSubject">
    <w:name w:val="annotation subject"/>
    <w:basedOn w:val="CommentText"/>
    <w:next w:val="CommentText"/>
    <w:link w:val="CommentSubjectChar"/>
    <w:rsid w:val="00275D91"/>
    <w:rPr>
      <w:b/>
      <w:bCs/>
    </w:rPr>
  </w:style>
  <w:style w:type="character" w:customStyle="1" w:styleId="CommentSubjectChar">
    <w:name w:val="Comment Subject Char"/>
    <w:basedOn w:val="CommentTextChar"/>
    <w:link w:val="CommentSubject"/>
    <w:rsid w:val="00275D91"/>
    <w:rPr>
      <w:b/>
      <w:bCs/>
    </w:rPr>
  </w:style>
</w:styles>
</file>

<file path=word/webSettings.xml><?xml version="1.0" encoding="utf-8"?>
<w:webSettings xmlns:r="http://schemas.openxmlformats.org/officeDocument/2006/relationships" xmlns:w="http://schemas.openxmlformats.org/wordprocessingml/2006/main">
  <w:divs>
    <w:div w:id="4560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e.Silova@f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Local%20Settings\Temporary%20Internet%20Files\Content.Outlook\LGKB2VZ4\www.likum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867D94DE8D1B841942E647BD45AC56C" ma:contentTypeVersion="5" ma:contentTypeDescription="Izveidot jaunu dokumentu." ma:contentTypeScope="" ma:versionID="020b97a7eb28d7af42317483b8f50b69">
  <xsd:schema xmlns:xsd="http://www.w3.org/2001/XMLSchema" xmlns:p="http://schemas.microsoft.com/office/2006/metadata/properties" xmlns:ns1="2e5bb04e-596e-45bd-9003-43ca78b1ba16" targetNamespace="http://schemas.microsoft.com/office/2006/metadata/properties" ma:root="true" ma:fieldsID="48e6c9db9654de5617dcb4cb602158f5"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4C81221A-3D72-4DEE-911D-6C274BB6EBB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217</DKP>
  </documentManagement>
</p:properties>
</file>

<file path=customXml/itemProps1.xml><?xml version="1.0" encoding="utf-8"?>
<ds:datastoreItem xmlns:ds="http://schemas.openxmlformats.org/officeDocument/2006/customXml" ds:itemID="{D1EA489B-2C6B-48A4-92B4-C67920A02457}">
  <ds:schemaRefs>
    <ds:schemaRef ds:uri="http://schemas.microsoft.com/office/2006/metadata/longProperties"/>
  </ds:schemaRefs>
</ds:datastoreItem>
</file>

<file path=customXml/itemProps2.xml><?xml version="1.0" encoding="utf-8"?>
<ds:datastoreItem xmlns:ds="http://schemas.openxmlformats.org/officeDocument/2006/customXml" ds:itemID="{A296680B-7492-488E-9C41-984AF48CF73B}">
  <ds:schemaRefs>
    <ds:schemaRef ds:uri="http://schemas.microsoft.com/sharepoint/v3/contenttype/forms"/>
  </ds:schemaRefs>
</ds:datastoreItem>
</file>

<file path=customXml/itemProps3.xml><?xml version="1.0" encoding="utf-8"?>
<ds:datastoreItem xmlns:ds="http://schemas.openxmlformats.org/officeDocument/2006/customXml" ds:itemID="{6D819E77-8DB0-4818-BA8D-0E856D0FD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2204AF-BD5E-4206-AA26-CAA076819A62}">
  <ds:schemaRefs>
    <ds:schemaRef ds:uri="http://schemas.microsoft.com/office/2006/metadata/properties"/>
    <ds:schemaRef ds:uri="2e5bb04e-596e-45bd-9003-43ca78b1ba16"/>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1727</Words>
  <Characters>12252</Characters>
  <Application>Microsoft Office Word</Application>
  <DocSecurity>0</DocSecurity>
  <Lines>453</Lines>
  <Paragraphs>164</Paragraphs>
  <ScaleCrop>false</ScaleCrop>
  <HeadingPairs>
    <vt:vector size="2" baseType="variant">
      <vt:variant>
        <vt:lpstr>Title</vt:lpstr>
      </vt:variant>
      <vt:variant>
        <vt:i4>1</vt:i4>
      </vt:variant>
    </vt:vector>
  </HeadingPairs>
  <TitlesOfParts>
    <vt:vector size="1" baseType="lpstr">
      <vt:lpstr>Likumprojekta "Grozījumi likumā "Par nodokļiem un nodevām"" anotācija</vt:lpstr>
    </vt:vector>
  </TitlesOfParts>
  <Company>Finanšu ministrija</Company>
  <LinksUpToDate>false</LinksUpToDate>
  <CharactersWithSpaces>13815</CharactersWithSpaces>
  <SharedDoc>false</SharedDoc>
  <HLinks>
    <vt:vector size="18" baseType="variant">
      <vt:variant>
        <vt:i4>3276826</vt:i4>
      </vt:variant>
      <vt:variant>
        <vt:i4>12</vt:i4>
      </vt:variant>
      <vt:variant>
        <vt:i4>0</vt:i4>
      </vt:variant>
      <vt:variant>
        <vt:i4>5</vt:i4>
      </vt:variant>
      <vt:variant>
        <vt:lpwstr>mailto:Edite.Silova@fm.gov.lv</vt:lpwstr>
      </vt:variant>
      <vt:variant>
        <vt:lpwstr/>
      </vt:variant>
      <vt:variant>
        <vt:i4>1900564</vt:i4>
      </vt:variant>
      <vt:variant>
        <vt:i4>3</vt:i4>
      </vt:variant>
      <vt:variant>
        <vt:i4>0</vt:i4>
      </vt:variant>
      <vt:variant>
        <vt:i4>5</vt:i4>
      </vt:variant>
      <vt:variant>
        <vt:lpwstr>../../../../../../Local Settings/Temporary Internet Files/Content.Outlook/LGKB2VZ4/www.likumi.lv</vt:lpwstr>
      </vt:variant>
      <vt:variant>
        <vt:lpwstr/>
      </vt:variant>
      <vt:variant>
        <vt:i4>7012384</vt:i4>
      </vt:variant>
      <vt:variant>
        <vt:i4>0</vt:i4>
      </vt:variant>
      <vt:variant>
        <vt:i4>0</vt:i4>
      </vt:variant>
      <vt:variant>
        <vt:i4>5</vt:i4>
      </vt:variant>
      <vt:variant>
        <vt:lpwstr>http://www.vid.gov.lv/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anotācija</dc:title>
  <dc:subject>Anotācija</dc:subject>
  <dc:creator>Edīte Silova</dc:creator>
  <cp:keywords/>
  <dc:description>edite.silova@fm.gov.lv, 67905515</dc:description>
  <cp:lastModifiedBy>nd-silov</cp:lastModifiedBy>
  <cp:revision>13</cp:revision>
  <cp:lastPrinted>2009-10-09T05:41:00Z</cp:lastPrinted>
  <dcterms:created xsi:type="dcterms:W3CDTF">2009-10-06T12:07:00Z</dcterms:created>
  <dcterms:modified xsi:type="dcterms:W3CDTF">2009-10-09T06:01:00Z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