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5" w:rsidRPr="00BF467A" w:rsidRDefault="0081419B" w:rsidP="00E17A22">
      <w:pPr>
        <w:tabs>
          <w:tab w:val="left" w:pos="709"/>
        </w:tabs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</w:rPr>
        <w:t>Likumprojekta</w:t>
      </w:r>
      <w:r w:rsidR="00402105" w:rsidRPr="00BF467A">
        <w:rPr>
          <w:b/>
        </w:rPr>
        <w:t xml:space="preserve"> </w:t>
      </w:r>
      <w:r w:rsidR="00E17A22" w:rsidRPr="00BF467A">
        <w:rPr>
          <w:b/>
        </w:rPr>
        <w:t>„</w:t>
      </w:r>
      <w:r w:rsidR="00E17A22" w:rsidRPr="00BF467A">
        <w:rPr>
          <w:b/>
          <w:bCs/>
          <w:lang w:val="pt-BR"/>
        </w:rPr>
        <w:t xml:space="preserve">Grozījumi </w:t>
      </w:r>
      <w:r>
        <w:rPr>
          <w:b/>
          <w:bCs/>
        </w:rPr>
        <w:t>likumā</w:t>
      </w:r>
      <w:r w:rsidR="00E17A22" w:rsidRPr="00BF467A">
        <w:rPr>
          <w:b/>
          <w:bCs/>
        </w:rPr>
        <w:t xml:space="preserve"> </w:t>
      </w:r>
      <w:r w:rsidR="00E17A22" w:rsidRPr="00BF467A">
        <w:rPr>
          <w:b/>
          <w:bCs/>
          <w:lang w:val="pt-BR"/>
        </w:rPr>
        <w:t>“</w:t>
      </w:r>
      <w:r>
        <w:rPr>
          <w:b/>
          <w:bCs/>
        </w:rPr>
        <w:t>Par iedzīvotāju ienākuma nodokli</w:t>
      </w:r>
      <w:r w:rsidR="00E17A22" w:rsidRPr="00BF467A">
        <w:rPr>
          <w:b/>
          <w:bCs/>
          <w:lang w:val="pt-BR"/>
        </w:rPr>
        <w:t>””</w:t>
      </w:r>
      <w:bookmarkEnd w:id="0"/>
      <w:bookmarkEnd w:id="1"/>
      <w:r w:rsidR="00E17A22" w:rsidRPr="00BF467A">
        <w:rPr>
          <w:b/>
          <w:bCs/>
          <w:lang w:val="pt-BR"/>
        </w:rPr>
        <w:t xml:space="preserve"> </w:t>
      </w:r>
      <w:r w:rsidR="00402105" w:rsidRPr="00BF467A">
        <w:rPr>
          <w:b/>
          <w:bCs/>
        </w:rPr>
        <w:t>sākotnējās ietekmes novērtējuma ziņojums (anotācija)</w:t>
      </w:r>
      <w:bookmarkEnd w:id="2"/>
      <w:bookmarkEnd w:id="3"/>
    </w:p>
    <w:p w:rsidR="00B35BFB" w:rsidRPr="009E4776" w:rsidRDefault="00B35BFB" w:rsidP="0002441D">
      <w:pPr>
        <w:ind w:left="720"/>
        <w:jc w:val="center"/>
        <w:rPr>
          <w:b/>
          <w:bCs/>
          <w:iCs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412"/>
        <w:gridCol w:w="236"/>
        <w:gridCol w:w="11"/>
        <w:gridCol w:w="27"/>
        <w:gridCol w:w="1852"/>
        <w:gridCol w:w="1121"/>
        <w:gridCol w:w="60"/>
        <w:gridCol w:w="1083"/>
        <w:gridCol w:w="4251"/>
        <w:gridCol w:w="19"/>
      </w:tblGrid>
      <w:tr w:rsidR="00353A9E" w:rsidRPr="00353A9E" w:rsidTr="00BB5B75">
        <w:trPr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9E" w:rsidRPr="008621E2" w:rsidRDefault="00353A9E" w:rsidP="004551E2">
            <w:pPr>
              <w:jc w:val="center"/>
              <w:rPr>
                <w:b/>
              </w:rPr>
            </w:pPr>
            <w:r w:rsidRPr="008621E2">
              <w:rPr>
                <w:b/>
                <w:bCs/>
              </w:rPr>
              <w:t>I. Tiesību akta projekta izstrādes nepieciešamība</w:t>
            </w:r>
          </w:p>
        </w:tc>
      </w:tr>
      <w:tr w:rsidR="007F44A0" w:rsidRPr="00353A9E" w:rsidTr="00BB5B75">
        <w:trPr>
          <w:trHeight w:val="615"/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1.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Pamatojums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F73" w:rsidRPr="00353A9E" w:rsidRDefault="004D72B1" w:rsidP="004D72B1">
            <w:pPr>
              <w:jc w:val="both"/>
            </w:pPr>
            <w:r w:rsidRPr="00B74EC0">
              <w:t xml:space="preserve">Reformu vadības grupas locekļu </w:t>
            </w:r>
            <w:r>
              <w:t>2012</w:t>
            </w:r>
            <w:r w:rsidRPr="00B74EC0">
              <w:t>.</w:t>
            </w:r>
            <w:r>
              <w:t>gada</w:t>
            </w:r>
            <w:r w:rsidRPr="00B74EC0">
              <w:t xml:space="preserve"> 27.aprīļa vienošan</w:t>
            </w:r>
            <w:r>
              <w:t>ā</w:t>
            </w:r>
            <w:r w:rsidRPr="00B74EC0">
              <w:t>s par nepieciešamību pakāpeniski mazināt darbaspēka nodokļus</w:t>
            </w:r>
            <w:r>
              <w:t>.</w:t>
            </w:r>
          </w:p>
        </w:tc>
      </w:tr>
      <w:tr w:rsidR="007F44A0" w:rsidRPr="00353A9E" w:rsidTr="00BB5B75">
        <w:trPr>
          <w:trHeight w:val="472"/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2.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Pašreizējā situācija un problēmas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2B1" w:rsidRDefault="004D72B1" w:rsidP="0078143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Sakarā ar </w:t>
            </w:r>
            <w:r w:rsidRPr="00B74EC0">
              <w:t xml:space="preserve">Reformu vadības grupas locekļu </w:t>
            </w:r>
            <w:r>
              <w:t>2012</w:t>
            </w:r>
            <w:r w:rsidRPr="00B74EC0">
              <w:t>.</w:t>
            </w:r>
            <w:r>
              <w:t>gada</w:t>
            </w:r>
            <w:r w:rsidRPr="00B74EC0">
              <w:t xml:space="preserve"> 27.aprīļa vienošan</w:t>
            </w:r>
            <w:r>
              <w:t>o</w:t>
            </w:r>
            <w:r w:rsidRPr="00B74EC0">
              <w:t>s par nepieciešamību pakāpeniski mazināt darbaspēka nodokļus</w:t>
            </w:r>
            <w:r>
              <w:t>, ir nepieciešams izstrādāt likumprojektu „</w:t>
            </w:r>
            <w:r>
              <w:rPr>
                <w:bCs/>
              </w:rPr>
              <w:t>G</w:t>
            </w:r>
            <w:r>
              <w:t>rozījumi</w:t>
            </w:r>
            <w:r w:rsidRPr="00FF5B6C">
              <w:t xml:space="preserve">  likumā „Par</w:t>
            </w:r>
            <w:r>
              <w:t xml:space="preserve"> iedzīvotāju ienākuma nodokli”” (turpmāk – projekts),</w:t>
            </w:r>
            <w:r w:rsidRPr="00FF5B6C">
              <w:rPr>
                <w:lang w:eastAsia="en-US"/>
              </w:rPr>
              <w:t xml:space="preserve"> </w:t>
            </w:r>
            <w:r w:rsidRPr="00D0199B">
              <w:rPr>
                <w:lang w:eastAsia="en-US"/>
              </w:rPr>
              <w:t xml:space="preserve">kurā paredzēts, ka </w:t>
            </w:r>
            <w:r w:rsidRPr="00D0199B">
              <w:t>laikposmā no 2013.gada 1.janvāra līdz 2015.gada 31.decembrim tiek pakāpeniski samazināta iedzīvotāju ienākuma nodokļa pamatlikme.</w:t>
            </w:r>
          </w:p>
          <w:p w:rsidR="00A02463" w:rsidRPr="00F14581" w:rsidRDefault="004D72B1" w:rsidP="00781431">
            <w:pPr>
              <w:pStyle w:val="NormalWeb"/>
              <w:spacing w:before="0" w:beforeAutospacing="0" w:after="0" w:afterAutospacing="0"/>
              <w:jc w:val="both"/>
            </w:pPr>
            <w:r w:rsidRPr="00EB53F1">
              <w:t>Iedzīvotāju ienākuma nodokļa standarta likme</w:t>
            </w:r>
            <w:r>
              <w:t xml:space="preserve">, ko piemēro algota darba ienākumam </w:t>
            </w:r>
            <w:r w:rsidRPr="00EB53F1">
              <w:t>ir 25 procenti</w:t>
            </w:r>
            <w:r>
              <w:t>, kas ir augstāka nekā citās Baltijas valstīs.</w:t>
            </w:r>
          </w:p>
        </w:tc>
      </w:tr>
      <w:tr w:rsidR="007F44A0" w:rsidRPr="00353A9E" w:rsidTr="00BB5B75">
        <w:trPr>
          <w:trHeight w:val="547"/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3.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Saistītie politikas ietekmes novērtējumi un pētījumi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445F7B" w:rsidP="00791766">
            <w:r w:rsidRPr="004D72B1">
              <w:t>Projekts šo jomu neskar</w:t>
            </w:r>
            <w:r w:rsidR="00C56720">
              <w:t>.</w:t>
            </w:r>
          </w:p>
        </w:tc>
      </w:tr>
      <w:tr w:rsidR="007F44A0" w:rsidRPr="00353A9E" w:rsidTr="00BB5B75">
        <w:trPr>
          <w:trHeight w:val="384"/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4.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Tiesiskā regulējuma mērķis un būtība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2B1" w:rsidRPr="00B65978" w:rsidRDefault="004D72B1" w:rsidP="004D72B1">
            <w:pPr>
              <w:jc w:val="both"/>
              <w:rPr>
                <w:rFonts w:eastAsia="Calibri"/>
                <w:lang w:eastAsia="en-US"/>
              </w:rPr>
            </w:pPr>
            <w:r w:rsidRPr="00B65978">
              <w:rPr>
                <w:rFonts w:eastAsia="Calibri"/>
                <w:lang w:eastAsia="en-US"/>
              </w:rPr>
              <w:t>P</w:t>
            </w:r>
            <w:r>
              <w:rPr>
                <w:rFonts w:eastAsia="Calibri"/>
                <w:lang w:eastAsia="en-US"/>
              </w:rPr>
              <w:t xml:space="preserve">rojekts paredz, </w:t>
            </w:r>
            <w:r w:rsidRPr="00B65978">
              <w:rPr>
                <w:lang w:eastAsia="en-US"/>
              </w:rPr>
              <w:t xml:space="preserve">ka </w:t>
            </w:r>
            <w:r w:rsidRPr="00B65978">
              <w:t>laikposmā no 2013.gada 1.janvāra līdz 2015.gada 31.decembrim tiek pakāpeniski samazināta iedzīvotāju ienākuma nodokļa pamatlikme</w:t>
            </w:r>
            <w:r w:rsidRPr="00B65978">
              <w:rPr>
                <w:rFonts w:eastAsia="Calibri"/>
                <w:lang w:eastAsia="en-US"/>
              </w:rPr>
              <w:t>.</w:t>
            </w:r>
          </w:p>
          <w:p w:rsidR="005554F2" w:rsidRPr="00537DFF" w:rsidRDefault="004D72B1" w:rsidP="004D72B1">
            <w:pPr>
              <w:jc w:val="both"/>
            </w:pPr>
            <w:r w:rsidRPr="00FF5B6C">
              <w:t>Darba</w:t>
            </w:r>
            <w:r>
              <w:t>spēka</w:t>
            </w:r>
            <w:r w:rsidRPr="00FF5B6C">
              <w:t xml:space="preserve"> nodokļu reformas mērķis būtu Baltijas valstu konkurencē par investīcijām un darba vietām, nodrošināt Igaunijai un Lietuvai izmaksu ziņā līdzvērtīgus darba</w:t>
            </w:r>
            <w:r>
              <w:t>spēka</w:t>
            </w:r>
            <w:r w:rsidRPr="00FF5B6C">
              <w:t xml:space="preserve"> nodokļus. </w:t>
            </w:r>
            <w:r>
              <w:t>S</w:t>
            </w:r>
            <w:r w:rsidRPr="00FF5B6C">
              <w:t>amazinot darba</w:t>
            </w:r>
            <w:r>
              <w:t>spēka</w:t>
            </w:r>
            <w:r w:rsidRPr="00FF5B6C">
              <w:t xml:space="preserve"> nodokļu kopējo slogu</w:t>
            </w:r>
            <w:r>
              <w:t>,</w:t>
            </w:r>
            <w:r w:rsidRPr="00FF5B6C">
              <w:t xml:space="preserve"> </w:t>
            </w:r>
            <w:r>
              <w:t xml:space="preserve">tiktu </w:t>
            </w:r>
            <w:r w:rsidRPr="00FF5B6C">
              <w:t>samazināt</w:t>
            </w:r>
            <w:r>
              <w:t>i arī</w:t>
            </w:r>
            <w:r w:rsidRPr="00FF5B6C">
              <w:t xml:space="preserve"> nabadzība</w:t>
            </w:r>
            <w:r>
              <w:t>s un strukturālā bezdarba riski</w:t>
            </w:r>
            <w:r w:rsidRPr="00FF5B6C">
              <w:t>, kā arī ēnu eko</w:t>
            </w:r>
            <w:r>
              <w:t>nomika</w:t>
            </w:r>
            <w:r w:rsidRPr="00FF5B6C">
              <w:t xml:space="preserve"> un motivācij</w:t>
            </w:r>
            <w:r>
              <w:t>a</w:t>
            </w:r>
            <w:r w:rsidRPr="00FF5B6C">
              <w:t xml:space="preserve"> </w:t>
            </w:r>
            <w:r>
              <w:t>izvairīties no nodokļu nomaksas.</w:t>
            </w:r>
          </w:p>
        </w:tc>
      </w:tr>
      <w:tr w:rsidR="007F44A0" w:rsidRPr="00353A9E" w:rsidTr="00BB5B75">
        <w:trPr>
          <w:trHeight w:val="208"/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5.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Projekta izstrādē iesaistītās institūcijas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4D72B1" w:rsidP="00BA5818">
            <w:pPr>
              <w:jc w:val="both"/>
            </w:pPr>
            <w:r>
              <w:t>Projekts šo jomu neskar.</w:t>
            </w:r>
          </w:p>
        </w:tc>
      </w:tr>
      <w:tr w:rsidR="007F44A0" w:rsidRPr="00353A9E" w:rsidTr="00BB5B75">
        <w:trPr>
          <w:trHeight w:val="504"/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6.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Iemesli, kādēļ netika nodrošināta sabiedrības līdzdalība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27668D" w:rsidP="00993B99">
            <w:r>
              <w:t>Nav.</w:t>
            </w:r>
            <w:r w:rsidR="00BE5D42">
              <w:t xml:space="preserve"> </w:t>
            </w:r>
          </w:p>
        </w:tc>
      </w:tr>
      <w:tr w:rsidR="007F44A0" w:rsidRPr="00353A9E" w:rsidTr="00BB5B75">
        <w:trPr>
          <w:tblCellSpacing w:w="0" w:type="dxa"/>
        </w:trPr>
        <w:tc>
          <w:tcPr>
            <w:tcW w:w="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7.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Cita informācija</w:t>
            </w:r>
          </w:p>
        </w:tc>
        <w:tc>
          <w:tcPr>
            <w:tcW w:w="54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57157D" w:rsidP="00791766">
            <w:r>
              <w:t>Nav.</w:t>
            </w:r>
          </w:p>
        </w:tc>
      </w:tr>
      <w:tr w:rsidR="00C322B4" w:rsidRPr="00353A9E" w:rsidTr="00BB5B75">
        <w:trPr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9E" w:rsidRPr="008621E2" w:rsidRDefault="00353A9E" w:rsidP="004551E2">
            <w:pPr>
              <w:jc w:val="center"/>
              <w:rPr>
                <w:b/>
              </w:rPr>
            </w:pPr>
            <w:r w:rsidRPr="008621E2">
              <w:rPr>
                <w:b/>
              </w:rPr>
              <w:t>II. Tiesību akta projekta ietekme uz sabiedrību</w:t>
            </w:r>
          </w:p>
        </w:tc>
      </w:tr>
      <w:tr w:rsidR="00C322B4" w:rsidRPr="00353A9E" w:rsidTr="00BB5B75">
        <w:trPr>
          <w:trHeight w:val="467"/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1.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 xml:space="preserve"> Sabiedrības </w:t>
            </w:r>
            <w:proofErr w:type="spellStart"/>
            <w:r w:rsidRPr="00353A9E">
              <w:t>mērķgrupa</w:t>
            </w:r>
            <w:proofErr w:type="spellEnd"/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4D4" w:rsidRPr="00353A9E" w:rsidRDefault="004D72B1" w:rsidP="00380ADB">
            <w:pPr>
              <w:jc w:val="both"/>
            </w:pPr>
            <w:r>
              <w:t>P</w:t>
            </w:r>
            <w:r w:rsidRPr="00B4390A">
              <w:t>rojekts ietekmēs</w:t>
            </w:r>
            <w:r>
              <w:t xml:space="preserve"> iedzīvotāju ienākuma nodokļa maksātājus.</w:t>
            </w:r>
          </w:p>
        </w:tc>
      </w:tr>
      <w:tr w:rsidR="00C322B4" w:rsidRPr="00353A9E" w:rsidTr="00BB5B75">
        <w:trPr>
          <w:trHeight w:val="405"/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2.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 xml:space="preserve"> Citas sabiedrības grupas (bez </w:t>
            </w:r>
            <w:proofErr w:type="spellStart"/>
            <w:r w:rsidRPr="00353A9E">
              <w:t>mērķgrupas</w:t>
            </w:r>
            <w:proofErr w:type="spellEnd"/>
            <w:r w:rsidRPr="00353A9E">
              <w:t>), kuras tiesiskais regulējums arī ietekmē vai varētu ietekmēt</w:t>
            </w:r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66B" w:rsidRPr="0006166B" w:rsidRDefault="000E5CC1" w:rsidP="00DD27D9">
            <w:pPr>
              <w:jc w:val="both"/>
            </w:pPr>
            <w:r>
              <w:t>Projekts veicinās komercdarbību, jo darba devējiem samazināsies darba spēka izmaksu apjoms.</w:t>
            </w:r>
          </w:p>
        </w:tc>
      </w:tr>
      <w:tr w:rsidR="00C322B4" w:rsidRPr="00353A9E" w:rsidTr="00BB5B75">
        <w:trPr>
          <w:trHeight w:val="405"/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3.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Tiesiskā regulējuma finansiālā ietekme</w:t>
            </w:r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EB715D" w:rsidP="0063265A">
            <w:pPr>
              <w:jc w:val="both"/>
            </w:pPr>
            <w:r w:rsidRPr="004D72B1">
              <w:t>Projekts šo jomu neskar</w:t>
            </w:r>
            <w:r w:rsidR="00F82139">
              <w:t>.</w:t>
            </w:r>
          </w:p>
        </w:tc>
      </w:tr>
      <w:tr w:rsidR="00C322B4" w:rsidRPr="00353A9E" w:rsidTr="00BB5B75">
        <w:trPr>
          <w:trHeight w:val="236"/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4.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Tiesiskā regulējuma nefinansiālā ietekme</w:t>
            </w:r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EB715D" w:rsidP="00791766">
            <w:r w:rsidRPr="004D72B1">
              <w:t>Projekts šo jomu neskar</w:t>
            </w:r>
            <w:r w:rsidR="00473E68">
              <w:t>.</w:t>
            </w:r>
          </w:p>
        </w:tc>
      </w:tr>
      <w:tr w:rsidR="00C322B4" w:rsidRPr="00353A9E" w:rsidTr="00BB5B75">
        <w:trPr>
          <w:trHeight w:val="227"/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5.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Administratīvās procedūras raksturojums</w:t>
            </w:r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EB715D" w:rsidP="00791766">
            <w:r w:rsidRPr="004D72B1">
              <w:t>Projekts šo jomu neskar</w:t>
            </w:r>
            <w:r w:rsidR="00473E68">
              <w:t>.</w:t>
            </w:r>
          </w:p>
        </w:tc>
      </w:tr>
      <w:tr w:rsidR="00C322B4" w:rsidRPr="00353A9E" w:rsidTr="00BB5B75">
        <w:trPr>
          <w:trHeight w:val="357"/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lastRenderedPageBreak/>
              <w:t> 6.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Administratīvo izmaksu monetārs novērtējums</w:t>
            </w:r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63265A" w:rsidRDefault="00EB715D" w:rsidP="00791766">
            <w:r w:rsidRPr="004D72B1">
              <w:t>Projekts šo jomu neskar</w:t>
            </w:r>
            <w:r w:rsidR="00473E68">
              <w:t>.</w:t>
            </w:r>
          </w:p>
        </w:tc>
      </w:tr>
      <w:tr w:rsidR="00C322B4" w:rsidRPr="00353A9E" w:rsidTr="00BB5B75">
        <w:trPr>
          <w:tblCellSpacing w:w="0" w:type="dxa"/>
        </w:trPr>
        <w:tc>
          <w:tcPr>
            <w:tcW w:w="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7.</w:t>
            </w:r>
          </w:p>
        </w:tc>
        <w:tc>
          <w:tcPr>
            <w:tcW w:w="30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353A9E" w:rsidP="00791766">
            <w:r w:rsidRPr="00353A9E">
              <w:t> Cita informācija</w:t>
            </w:r>
          </w:p>
        </w:tc>
        <w:tc>
          <w:tcPr>
            <w:tcW w:w="5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A9E" w:rsidRPr="00353A9E" w:rsidRDefault="00C45612" w:rsidP="00791766">
            <w:r>
              <w:t>Nav.</w:t>
            </w:r>
          </w:p>
        </w:tc>
      </w:tr>
      <w:tr w:rsidR="00473B6E" w:rsidRPr="00473B6E" w:rsidTr="00BB5B75">
        <w:trPr>
          <w:trHeight w:val="652"/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4551E2" w:rsidRDefault="00353A9E" w:rsidP="00473B6E">
            <w:pPr>
              <w:jc w:val="center"/>
              <w:rPr>
                <w:rFonts w:eastAsia="Calibri"/>
                <w:b/>
                <w:lang w:eastAsia="en-US"/>
              </w:rPr>
            </w:pPr>
            <w:r w:rsidRPr="004551E2">
              <w:t> </w:t>
            </w:r>
            <w:r w:rsidR="00473B6E" w:rsidRPr="004551E2">
              <w:rPr>
                <w:rFonts w:eastAsia="Calibri"/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473B6E" w:rsidRPr="00473B6E" w:rsidTr="00BB5B75">
        <w:trPr>
          <w:trHeight w:val="411"/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9191" w:type="dxa"/>
              <w:tblCellSpacing w:w="0" w:type="dxa"/>
              <w:tblInd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1502"/>
              <w:gridCol w:w="1276"/>
              <w:gridCol w:w="1276"/>
              <w:gridCol w:w="1276"/>
              <w:gridCol w:w="1417"/>
            </w:tblGrid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  <w:vMerge w:val="restart"/>
                </w:tcPr>
                <w:p w:rsidR="00473B6E" w:rsidRPr="0095377B" w:rsidRDefault="00473B6E" w:rsidP="00473B6E">
                  <w:pPr>
                    <w:spacing w:after="200" w:line="276" w:lineRule="auto"/>
                    <w:jc w:val="center"/>
                  </w:pPr>
                  <w:r w:rsidRPr="0095377B">
                    <w:rPr>
                      <w:rFonts w:eastAsia="Calibri"/>
                      <w:b/>
                      <w:bCs/>
                      <w:lang w:eastAsia="en-US"/>
                    </w:rPr>
                    <w:t>Rādītāji</w:t>
                  </w:r>
                </w:p>
              </w:tc>
              <w:tc>
                <w:tcPr>
                  <w:tcW w:w="2778" w:type="dxa"/>
                  <w:gridSpan w:val="2"/>
                </w:tcPr>
                <w:p w:rsidR="00473B6E" w:rsidRPr="0095377B" w:rsidRDefault="00473B6E" w:rsidP="00290788">
                  <w:pPr>
                    <w:spacing w:after="200" w:line="276" w:lineRule="auto"/>
                    <w:jc w:val="center"/>
                  </w:pPr>
                  <w:r w:rsidRPr="0095377B">
                    <w:rPr>
                      <w:rFonts w:eastAsia="Calibri"/>
                      <w:b/>
                      <w:bCs/>
                      <w:lang w:eastAsia="en-US"/>
                    </w:rPr>
                    <w:t>201</w:t>
                  </w:r>
                  <w:r w:rsidR="00290788">
                    <w:rPr>
                      <w:rFonts w:eastAsia="Calibri"/>
                      <w:b/>
                      <w:bCs/>
                      <w:lang w:eastAsia="en-US"/>
                    </w:rPr>
                    <w:t>2</w:t>
                  </w:r>
                </w:p>
              </w:tc>
              <w:tc>
                <w:tcPr>
                  <w:tcW w:w="3969" w:type="dxa"/>
                  <w:gridSpan w:val="3"/>
                </w:tcPr>
                <w:p w:rsidR="00473B6E" w:rsidRPr="0095377B" w:rsidRDefault="00473B6E" w:rsidP="00473B6E">
                  <w:pPr>
                    <w:spacing w:after="200" w:line="276" w:lineRule="auto"/>
                    <w:jc w:val="center"/>
                  </w:pPr>
                  <w:r w:rsidRPr="0095377B">
                    <w:rPr>
                      <w:rFonts w:eastAsia="Calibri"/>
                      <w:lang w:eastAsia="en-US"/>
                    </w:rPr>
                    <w:t>Turpmākie trīs gadi (</w:t>
                  </w:r>
                  <w:proofErr w:type="spellStart"/>
                  <w:r w:rsidRPr="0095377B">
                    <w:rPr>
                      <w:rFonts w:eastAsia="Calibri"/>
                      <w:lang w:eastAsia="en-US"/>
                    </w:rPr>
                    <w:t>tūkst</w:t>
                  </w:r>
                  <w:proofErr w:type="spellEnd"/>
                  <w:smartTag w:uri="schemas-tilde-lv/tildestengine" w:element="currency2">
                    <w:smartTagPr>
                      <w:attr w:name="currency_text" w:val="latu"/>
                      <w:attr w:name="currency_value" w:val="."/>
                      <w:attr w:name="currency_key" w:val="LVL"/>
                      <w:attr w:name="currency_id" w:val="48"/>
                    </w:smartTagPr>
                    <w:r w:rsidRPr="0095377B">
                      <w:rPr>
                        <w:rFonts w:eastAsia="Calibri"/>
                        <w:lang w:eastAsia="en-US"/>
                      </w:rPr>
                      <w:t>. latu</w:t>
                    </w:r>
                  </w:smartTag>
                  <w:r w:rsidRPr="0095377B">
                    <w:rPr>
                      <w:rFonts w:eastAsia="Calibri"/>
                      <w:lang w:eastAsia="en-US"/>
                    </w:rPr>
                    <w:t>)</w:t>
                  </w:r>
                </w:p>
              </w:tc>
            </w:tr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  <w:vMerge/>
                </w:tcPr>
                <w:p w:rsidR="00473B6E" w:rsidRPr="0095377B" w:rsidRDefault="00473B6E" w:rsidP="00473B6E">
                  <w:pPr>
                    <w:spacing w:after="200" w:line="276" w:lineRule="auto"/>
                    <w:jc w:val="center"/>
                  </w:pPr>
                </w:p>
              </w:tc>
              <w:tc>
                <w:tcPr>
                  <w:tcW w:w="1502" w:type="dxa"/>
                  <w:vMerge w:val="restart"/>
                </w:tcPr>
                <w:p w:rsidR="00473B6E" w:rsidRPr="0095377B" w:rsidRDefault="00473B6E" w:rsidP="00473B6E">
                  <w:pPr>
                    <w:jc w:val="center"/>
                  </w:pPr>
                  <w:r w:rsidRPr="0095377B">
                    <w:rPr>
                      <w:rFonts w:eastAsia="Calibri"/>
                      <w:lang w:eastAsia="en-US"/>
                    </w:rPr>
                    <w:t>Saskaņā ar valsts budžetu kārtējam gadam</w:t>
                  </w:r>
                </w:p>
              </w:tc>
              <w:tc>
                <w:tcPr>
                  <w:tcW w:w="1276" w:type="dxa"/>
                  <w:vMerge w:val="restart"/>
                </w:tcPr>
                <w:p w:rsidR="00473B6E" w:rsidRPr="0095377B" w:rsidRDefault="00473B6E" w:rsidP="00473B6E">
                  <w:pPr>
                    <w:jc w:val="center"/>
                  </w:pPr>
                  <w:r w:rsidRPr="0095377B">
                    <w:rPr>
                      <w:rFonts w:eastAsia="Calibri"/>
                      <w:lang w:eastAsia="en-US"/>
                    </w:rPr>
                    <w:t>Izmaiņas kārtējā gadā, salīdzinot ar budžetu kārtējam gadam</w:t>
                  </w:r>
                </w:p>
              </w:tc>
              <w:tc>
                <w:tcPr>
                  <w:tcW w:w="1276" w:type="dxa"/>
                </w:tcPr>
                <w:p w:rsidR="00473B6E" w:rsidRPr="0095377B" w:rsidRDefault="00473B6E" w:rsidP="00290788">
                  <w:pPr>
                    <w:jc w:val="center"/>
                  </w:pPr>
                  <w:r w:rsidRPr="0095377B">
                    <w:rPr>
                      <w:rFonts w:eastAsia="Calibri"/>
                      <w:b/>
                      <w:bCs/>
                      <w:lang w:eastAsia="en-US"/>
                    </w:rPr>
                    <w:t>201</w:t>
                  </w:r>
                  <w:r w:rsidR="00290788">
                    <w:rPr>
                      <w:rFonts w:eastAsia="Calibri"/>
                      <w:b/>
                      <w:bCs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73B6E" w:rsidRPr="0095377B" w:rsidRDefault="00473B6E" w:rsidP="00290788">
                  <w:pPr>
                    <w:jc w:val="center"/>
                  </w:pPr>
                  <w:r w:rsidRPr="0095377B">
                    <w:rPr>
                      <w:rFonts w:eastAsia="Calibri"/>
                      <w:b/>
                      <w:bCs/>
                      <w:lang w:eastAsia="en-US"/>
                    </w:rPr>
                    <w:t>201</w:t>
                  </w:r>
                  <w:r w:rsidR="00290788">
                    <w:rPr>
                      <w:rFonts w:eastAsia="Calibri"/>
                      <w:b/>
                      <w:bCs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473B6E" w:rsidRPr="0095377B" w:rsidRDefault="00473B6E" w:rsidP="00290788">
                  <w:pPr>
                    <w:jc w:val="center"/>
                  </w:pPr>
                  <w:r w:rsidRPr="0095377B">
                    <w:rPr>
                      <w:rFonts w:eastAsia="Calibri"/>
                      <w:b/>
                      <w:bCs/>
                      <w:lang w:eastAsia="en-US"/>
                    </w:rPr>
                    <w:t>201</w:t>
                  </w:r>
                  <w:r w:rsidR="00290788">
                    <w:rPr>
                      <w:rFonts w:eastAsia="Calibri"/>
                      <w:b/>
                      <w:bCs/>
                      <w:lang w:eastAsia="en-US"/>
                    </w:rPr>
                    <w:t>5</w:t>
                  </w:r>
                </w:p>
              </w:tc>
            </w:tr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  <w:vMerge/>
                </w:tcPr>
                <w:p w:rsidR="00473B6E" w:rsidRPr="0095377B" w:rsidRDefault="00473B6E" w:rsidP="00473B6E">
                  <w:pPr>
                    <w:spacing w:after="200" w:line="276" w:lineRule="auto"/>
                    <w:jc w:val="center"/>
                  </w:pPr>
                </w:p>
              </w:tc>
              <w:tc>
                <w:tcPr>
                  <w:tcW w:w="1502" w:type="dxa"/>
                  <w:vMerge/>
                </w:tcPr>
                <w:p w:rsidR="00473B6E" w:rsidRPr="0095377B" w:rsidRDefault="00473B6E" w:rsidP="00473B6E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</w:tcPr>
                <w:p w:rsidR="00473B6E" w:rsidRPr="0095377B" w:rsidRDefault="00473B6E" w:rsidP="00473B6E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:rsidR="00473B6E" w:rsidRPr="0095377B" w:rsidRDefault="00473B6E" w:rsidP="00473B6E">
                  <w:pPr>
                    <w:jc w:val="center"/>
                  </w:pPr>
                  <w:r w:rsidRPr="0095377B">
                    <w:rPr>
                      <w:rFonts w:eastAsia="Calibri"/>
                      <w:lang w:eastAsia="en-US"/>
                    </w:rPr>
                    <w:t>Izmaiņas, salīdzinot ar kārtējo (n) gadu</w:t>
                  </w:r>
                </w:p>
              </w:tc>
              <w:tc>
                <w:tcPr>
                  <w:tcW w:w="1276" w:type="dxa"/>
                </w:tcPr>
                <w:p w:rsidR="00473B6E" w:rsidRPr="0095377B" w:rsidRDefault="00473B6E" w:rsidP="00473B6E">
                  <w:pPr>
                    <w:jc w:val="center"/>
                  </w:pPr>
                  <w:r w:rsidRPr="0095377B">
                    <w:rPr>
                      <w:rFonts w:eastAsia="Calibri"/>
                      <w:lang w:eastAsia="en-US"/>
                    </w:rPr>
                    <w:t>Izmaiņas, salīdzinot ar kārtējo (n) gadu</w:t>
                  </w:r>
                </w:p>
              </w:tc>
              <w:tc>
                <w:tcPr>
                  <w:tcW w:w="1417" w:type="dxa"/>
                </w:tcPr>
                <w:p w:rsidR="00473B6E" w:rsidRPr="0095377B" w:rsidRDefault="00473B6E" w:rsidP="00473B6E">
                  <w:pPr>
                    <w:jc w:val="center"/>
                  </w:pPr>
                  <w:r w:rsidRPr="0095377B">
                    <w:rPr>
                      <w:rFonts w:eastAsia="Calibri"/>
                      <w:lang w:eastAsia="en-US"/>
                    </w:rPr>
                    <w:t>Izmaiņas, salīdzinot ar kārtējo (n) gadu</w:t>
                  </w:r>
                </w:p>
              </w:tc>
            </w:tr>
            <w:tr w:rsidR="00473B6E" w:rsidRPr="00473B6E" w:rsidTr="00D323BE">
              <w:trPr>
                <w:trHeight w:val="144"/>
                <w:tblCellSpacing w:w="0" w:type="dxa"/>
              </w:trPr>
              <w:tc>
                <w:tcPr>
                  <w:tcW w:w="2444" w:type="dxa"/>
                </w:tcPr>
                <w:p w:rsidR="00473B6E" w:rsidRPr="00473B6E" w:rsidRDefault="00473B6E" w:rsidP="00473B6E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73B6E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02" w:type="dxa"/>
                </w:tcPr>
                <w:p w:rsidR="00473B6E" w:rsidRPr="00473B6E" w:rsidRDefault="00473B6E" w:rsidP="00473B6E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73B6E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473B6E" w:rsidRPr="00473B6E" w:rsidRDefault="00473B6E" w:rsidP="00473B6E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73B6E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473B6E" w:rsidRPr="00473B6E" w:rsidRDefault="00473B6E" w:rsidP="00473B6E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473B6E">
                    <w:rPr>
                      <w:rFonts w:eastAsia="Calibri"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73B6E" w:rsidRPr="00473B6E" w:rsidRDefault="00473B6E" w:rsidP="00473B6E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473B6E">
                    <w:rPr>
                      <w:rFonts w:eastAsia="Calibri"/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73B6E" w:rsidRPr="00473B6E" w:rsidRDefault="00473B6E" w:rsidP="00473B6E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473B6E">
                    <w:rPr>
                      <w:rFonts w:eastAsia="Calibri"/>
                      <w:sz w:val="26"/>
                      <w:szCs w:val="26"/>
                      <w:lang w:eastAsia="en-US"/>
                    </w:rPr>
                    <w:t>6</w:t>
                  </w:r>
                </w:p>
              </w:tc>
            </w:tr>
            <w:tr w:rsidR="00A537AF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A537AF" w:rsidRPr="0095377B" w:rsidRDefault="00A537AF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1. Budžeta ieņēmumi:</w:t>
                  </w:r>
                </w:p>
              </w:tc>
              <w:tc>
                <w:tcPr>
                  <w:tcW w:w="1502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+812 158,0</w:t>
                  </w:r>
                </w:p>
              </w:tc>
              <w:tc>
                <w:tcPr>
                  <w:tcW w:w="1276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-30 500,0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-98 100,0</w:t>
                  </w:r>
                </w:p>
              </w:tc>
              <w:tc>
                <w:tcPr>
                  <w:tcW w:w="1417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  <w:r w:rsidR="00D323BE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>73 300,0</w:t>
                  </w:r>
                </w:p>
              </w:tc>
            </w:tr>
            <w:tr w:rsidR="00A537AF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A537AF" w:rsidRPr="0095377B" w:rsidRDefault="00A537AF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1502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+162 431,6</w:t>
                  </w:r>
                </w:p>
              </w:tc>
              <w:tc>
                <w:tcPr>
                  <w:tcW w:w="1276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-6 100,0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-19 620,0</w:t>
                  </w:r>
                </w:p>
              </w:tc>
              <w:tc>
                <w:tcPr>
                  <w:tcW w:w="1417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-34 660,0</w:t>
                  </w:r>
                </w:p>
              </w:tc>
            </w:tr>
            <w:tr w:rsidR="00A537AF" w:rsidRPr="00473B6E" w:rsidTr="00D323BE">
              <w:trPr>
                <w:trHeight w:val="599"/>
                <w:tblCellSpacing w:w="0" w:type="dxa"/>
              </w:trPr>
              <w:tc>
                <w:tcPr>
                  <w:tcW w:w="2444" w:type="dxa"/>
                </w:tcPr>
                <w:p w:rsidR="00A537AF" w:rsidRPr="0095377B" w:rsidRDefault="00A537AF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1.2. valsts speciālais budžets</w:t>
                  </w:r>
                </w:p>
              </w:tc>
              <w:tc>
                <w:tcPr>
                  <w:tcW w:w="1502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A537AF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A537AF" w:rsidRPr="0095377B" w:rsidRDefault="00A537AF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1.3. pašvaldību budžets</w:t>
                  </w:r>
                </w:p>
              </w:tc>
              <w:tc>
                <w:tcPr>
                  <w:tcW w:w="1502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+649 726,4</w:t>
                  </w:r>
                </w:p>
              </w:tc>
              <w:tc>
                <w:tcPr>
                  <w:tcW w:w="1276" w:type="dxa"/>
                </w:tcPr>
                <w:p w:rsidR="00A537AF" w:rsidRPr="00473B6E" w:rsidRDefault="00BB5B75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-24 400,0</w:t>
                  </w:r>
                </w:p>
              </w:tc>
              <w:tc>
                <w:tcPr>
                  <w:tcW w:w="1276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-78 480,0</w:t>
                  </w:r>
                </w:p>
              </w:tc>
              <w:tc>
                <w:tcPr>
                  <w:tcW w:w="1417" w:type="dxa"/>
                </w:tcPr>
                <w:p w:rsidR="00A537AF" w:rsidRPr="0095377B" w:rsidRDefault="00BB5B75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</w:t>
                  </w:r>
                  <w:r w:rsidR="00D323BE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>38 640,0</w:t>
                  </w:r>
                </w:p>
              </w:tc>
            </w:tr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473B6E" w:rsidRPr="0095377B" w:rsidRDefault="004551E2" w:rsidP="00473B6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2. Budžeta izdevum</w:t>
                  </w:r>
                  <w:r w:rsidR="00473B6E" w:rsidRPr="0095377B">
                    <w:rPr>
                      <w:rFonts w:eastAsia="Calibri"/>
                      <w:lang w:eastAsia="en-US"/>
                    </w:rPr>
                    <w:t>i:</w:t>
                  </w:r>
                </w:p>
              </w:tc>
              <w:tc>
                <w:tcPr>
                  <w:tcW w:w="1502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473B6E" w:rsidRPr="0095377B" w:rsidRDefault="00473B6E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2.1. valsts pamatbudžets</w:t>
                  </w:r>
                </w:p>
              </w:tc>
              <w:tc>
                <w:tcPr>
                  <w:tcW w:w="1502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473B6E" w:rsidRPr="0095377B" w:rsidRDefault="00473B6E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2.2. valsts speciālais budžets</w:t>
                  </w:r>
                </w:p>
              </w:tc>
              <w:tc>
                <w:tcPr>
                  <w:tcW w:w="1502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473B6E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473B6E" w:rsidRPr="0095377B" w:rsidRDefault="00473B6E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2.3. pašvaldību budžets</w:t>
                  </w:r>
                </w:p>
              </w:tc>
              <w:tc>
                <w:tcPr>
                  <w:tcW w:w="1502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473B6E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473B6E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3. Finansiālā ietekme:</w:t>
                  </w:r>
                </w:p>
              </w:tc>
              <w:tc>
                <w:tcPr>
                  <w:tcW w:w="1502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-30 500,0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-98 100,0</w:t>
                  </w:r>
                </w:p>
              </w:tc>
              <w:tc>
                <w:tcPr>
                  <w:tcW w:w="1417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-73 300,0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3.1. valsts pamatbudžets</w:t>
                  </w:r>
                </w:p>
              </w:tc>
              <w:tc>
                <w:tcPr>
                  <w:tcW w:w="1502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-6 100,0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-19 620,0</w:t>
                  </w:r>
                </w:p>
              </w:tc>
              <w:tc>
                <w:tcPr>
                  <w:tcW w:w="1417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-34 660,0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3.2. speciālais budžets</w:t>
                  </w:r>
                </w:p>
              </w:tc>
              <w:tc>
                <w:tcPr>
                  <w:tcW w:w="1502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3.3. pašvaldību budžets</w:t>
                  </w:r>
                </w:p>
                <w:p w:rsidR="000C7092" w:rsidRPr="0095377B" w:rsidRDefault="000C7092" w:rsidP="0021729A">
                  <w:pPr>
                    <w:pStyle w:val="NormalWeb"/>
                    <w:spacing w:before="0" w:beforeAutospacing="0" w:after="0" w:afterAutospacing="0"/>
                    <w:ind w:left="28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02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-24 400,0</w:t>
                  </w:r>
                </w:p>
              </w:tc>
              <w:tc>
                <w:tcPr>
                  <w:tcW w:w="1276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-78 480,0</w:t>
                  </w:r>
                </w:p>
              </w:tc>
              <w:tc>
                <w:tcPr>
                  <w:tcW w:w="1417" w:type="dxa"/>
                </w:tcPr>
                <w:p w:rsidR="000C7092" w:rsidRPr="0095377B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-38 640,0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  <w:vMerge w:val="restart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4. Finanšu līdzekļi papildu izde</w:t>
                  </w:r>
                  <w:r w:rsidRPr="0095377B">
                    <w:rPr>
                      <w:rFonts w:eastAsia="Calibri"/>
                      <w:lang w:eastAsia="en-US"/>
                    </w:rPr>
                    <w:softHyphen/>
                    <w:t xml:space="preserve">vumu finansēšanai (kompensējošu </w:t>
                  </w:r>
                  <w:r w:rsidRPr="0095377B">
                    <w:rPr>
                      <w:rFonts w:eastAsia="Calibri"/>
                      <w:lang w:eastAsia="en-US"/>
                    </w:rPr>
                    <w:lastRenderedPageBreak/>
                    <w:t>izdevumu samazinājumu norāda ar "+" zīmi)</w:t>
                  </w:r>
                </w:p>
              </w:tc>
              <w:tc>
                <w:tcPr>
                  <w:tcW w:w="1502" w:type="dxa"/>
                  <w:vMerge w:val="restart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  <w:vMerge/>
                </w:tcPr>
                <w:p w:rsidR="000C7092" w:rsidRPr="0095377B" w:rsidRDefault="000C7092" w:rsidP="00473B6E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  <w:vMerge/>
                </w:tcPr>
                <w:p w:rsidR="000C7092" w:rsidRPr="0095377B" w:rsidRDefault="000C7092" w:rsidP="00473B6E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02" w:type="dxa"/>
                  <w:vMerge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lastRenderedPageBreak/>
                    <w:t>5. Precizēta finansiālā ietekme:</w:t>
                  </w:r>
                </w:p>
              </w:tc>
              <w:tc>
                <w:tcPr>
                  <w:tcW w:w="1502" w:type="dxa"/>
                  <w:vMerge w:val="restart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73B6E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5.1. valsts pamatbudžets</w:t>
                  </w:r>
                </w:p>
              </w:tc>
              <w:tc>
                <w:tcPr>
                  <w:tcW w:w="1502" w:type="dxa"/>
                  <w:vMerge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5.2. speciālais budžets</w:t>
                  </w:r>
                </w:p>
              </w:tc>
              <w:tc>
                <w:tcPr>
                  <w:tcW w:w="1502" w:type="dxa"/>
                  <w:vMerge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5.3. pašvaldību budžets</w:t>
                  </w:r>
                </w:p>
              </w:tc>
              <w:tc>
                <w:tcPr>
                  <w:tcW w:w="1502" w:type="dxa"/>
                  <w:vMerge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C7092" w:rsidRPr="00473B6E" w:rsidRDefault="000C7092" w:rsidP="000C7092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6. Detalizēts ieņēmumu un izdevu</w:t>
                  </w:r>
                  <w:r w:rsidRPr="0095377B">
                    <w:rPr>
                      <w:rFonts w:eastAsia="Calibri"/>
                      <w:lang w:eastAsia="en-US"/>
                    </w:rPr>
                    <w:softHyphen/>
                    <w:t>mu aprēķins (ja nepieciešams, detalizētu ieņēmumu un izdevumu</w:t>
                  </w:r>
                  <w:r>
                    <w:rPr>
                      <w:rFonts w:eastAsia="Calibri"/>
                      <w:lang w:eastAsia="en-US"/>
                    </w:rPr>
                    <w:t xml:space="preserve"> aprēķinu var pievienot anotācij</w:t>
                  </w:r>
                  <w:r w:rsidRPr="0095377B">
                    <w:rPr>
                      <w:rFonts w:eastAsia="Calibri"/>
                      <w:lang w:eastAsia="en-US"/>
                    </w:rPr>
                    <w:t>as pielikumā):</w:t>
                  </w:r>
                </w:p>
              </w:tc>
              <w:tc>
                <w:tcPr>
                  <w:tcW w:w="6747" w:type="dxa"/>
                  <w:gridSpan w:val="5"/>
                  <w:vMerge w:val="restart"/>
                </w:tcPr>
                <w:p w:rsidR="000E71DC" w:rsidRPr="00D939BF" w:rsidRDefault="000E71DC" w:rsidP="000E71DC">
                  <w:pPr>
                    <w:jc w:val="both"/>
                    <w:rPr>
                      <w:sz w:val="22"/>
                    </w:rPr>
                  </w:pPr>
                  <w:r w:rsidRPr="00D939BF">
                    <w:rPr>
                      <w:sz w:val="22"/>
                    </w:rPr>
                    <w:t xml:space="preserve">Aprēķinam par pamatu ņemti iedzīvotāju ienākuma nodokļa ieņēmumi no darba </w:t>
                  </w:r>
                  <w:proofErr w:type="spellStart"/>
                  <w:r w:rsidRPr="00D939BF">
                    <w:rPr>
                      <w:sz w:val="22"/>
                    </w:rPr>
                    <w:t>u.c</w:t>
                  </w:r>
                  <w:proofErr w:type="spellEnd"/>
                  <w:r w:rsidRPr="00D939BF">
                    <w:rPr>
                      <w:sz w:val="22"/>
                    </w:rPr>
                    <w:t>. ienākumiem, neņemot vērā iedzīvotāju ienākuma nodokļa ieņēmumus no kapitāla ienākumiem. Aprēķinos ņemta vērā ekonomiskā izaugsme.</w:t>
                  </w: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 w:rsidRPr="00D939BF">
                    <w:rPr>
                      <w:sz w:val="22"/>
                    </w:rPr>
                    <w:t>1) 2013. </w:t>
                  </w:r>
                  <w:r>
                    <w:rPr>
                      <w:sz w:val="22"/>
                    </w:rPr>
                    <w:t>g</w:t>
                  </w:r>
                  <w:r w:rsidRPr="00D939BF">
                    <w:rPr>
                      <w:sz w:val="22"/>
                    </w:rPr>
                    <w:t xml:space="preserve">adā, samazinot iedzīvotāju ienākuma nodokļa </w:t>
                  </w:r>
                  <w:r>
                    <w:rPr>
                      <w:sz w:val="22"/>
                    </w:rPr>
                    <w:t xml:space="preserve">likmi no 25% uz 24%, ietekme ir </w:t>
                  </w:r>
                  <w:r w:rsidRPr="005225E1">
                    <w:rPr>
                      <w:sz w:val="22"/>
                    </w:rPr>
                    <w:t xml:space="preserve">-33,2 </w:t>
                  </w:r>
                  <w:proofErr w:type="spellStart"/>
                  <w:r w:rsidRPr="005225E1">
                    <w:rPr>
                      <w:sz w:val="22"/>
                    </w:rPr>
                    <w:t>milj</w:t>
                  </w:r>
                  <w:proofErr w:type="spellEnd"/>
                  <w:r w:rsidRPr="005225E1">
                    <w:rPr>
                      <w:sz w:val="22"/>
                    </w:rPr>
                    <w:t>. latu</w:t>
                  </w:r>
                  <w:r>
                    <w:rPr>
                      <w:sz w:val="22"/>
                    </w:rPr>
                    <w:t>.</w:t>
                  </w: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Ietekme uz</w:t>
                  </w:r>
                  <w:r w:rsidRPr="005225E1">
                    <w:rPr>
                      <w:sz w:val="22"/>
                    </w:rPr>
                    <w:t xml:space="preserve"> </w:t>
                  </w:r>
                  <w:r w:rsidRPr="00D939BF">
                    <w:rPr>
                      <w:sz w:val="22"/>
                    </w:rPr>
                    <w:t xml:space="preserve">2013. gada ieņēmumiem ir </w:t>
                  </w:r>
                  <w:r w:rsidRPr="00D939BF">
                    <w:rPr>
                      <w:b/>
                      <w:sz w:val="22"/>
                    </w:rPr>
                    <w:t>-30,5 milj. </w:t>
                  </w:r>
                  <w:r w:rsidRPr="005225E1">
                    <w:rPr>
                      <w:sz w:val="22"/>
                    </w:rPr>
                    <w:t>latu</w:t>
                  </w:r>
                  <w:r>
                    <w:rPr>
                      <w:sz w:val="22"/>
                    </w:rPr>
                    <w:t xml:space="preserve">, </w:t>
                  </w:r>
                  <w:r w:rsidRPr="005225E1">
                    <w:rPr>
                      <w:sz w:val="22"/>
                    </w:rPr>
                    <w:t>ņemot vērā maksāšanas kārtību</w:t>
                  </w:r>
                  <w:r>
                    <w:rPr>
                      <w:sz w:val="22"/>
                    </w:rPr>
                    <w:t>(33,2/12x11=30,5)</w:t>
                  </w:r>
                  <w:r w:rsidRPr="005225E1">
                    <w:rPr>
                      <w:sz w:val="22"/>
                    </w:rPr>
                    <w:t>.</w:t>
                  </w:r>
                  <w:r w:rsidRPr="00D939BF">
                    <w:rPr>
                      <w:sz w:val="22"/>
                    </w:rPr>
                    <w:t xml:space="preserve"> </w:t>
                  </w: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  <w:r w:rsidRPr="00D939BF">
                    <w:rPr>
                      <w:sz w:val="22"/>
                    </w:rPr>
                    <w:t xml:space="preserve">etekme </w:t>
                  </w:r>
                  <w:r>
                    <w:rPr>
                      <w:sz w:val="22"/>
                    </w:rPr>
                    <w:t>n</w:t>
                  </w:r>
                  <w:r w:rsidRPr="00D939BF">
                    <w:rPr>
                      <w:sz w:val="22"/>
                    </w:rPr>
                    <w:t xml:space="preserve">o šīm izmaiņām uz </w:t>
                  </w:r>
                  <w:r>
                    <w:rPr>
                      <w:sz w:val="22"/>
                    </w:rPr>
                    <w:t xml:space="preserve">iedzīvotāju ienākuma nodokļa ieņēmumiem </w:t>
                  </w:r>
                  <w:r w:rsidRPr="00D939BF">
                    <w:rPr>
                      <w:sz w:val="22"/>
                    </w:rPr>
                    <w:t>pārēj</w:t>
                  </w:r>
                  <w:r>
                    <w:rPr>
                      <w:sz w:val="22"/>
                    </w:rPr>
                    <w:t>os</w:t>
                  </w:r>
                  <w:r w:rsidRPr="00D939BF">
                    <w:rPr>
                      <w:sz w:val="22"/>
                    </w:rPr>
                    <w:t xml:space="preserve"> gad</w:t>
                  </w:r>
                  <w:r>
                    <w:rPr>
                      <w:sz w:val="22"/>
                    </w:rPr>
                    <w:t xml:space="preserve">os </w:t>
                  </w:r>
                  <w:r w:rsidRPr="00D939BF">
                    <w:rPr>
                      <w:sz w:val="22"/>
                    </w:rPr>
                    <w:t>ir -33,2 milj. latu</w:t>
                  </w:r>
                  <w:r>
                    <w:rPr>
                      <w:sz w:val="22"/>
                    </w:rPr>
                    <w:t>.</w:t>
                  </w: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 w:rsidRPr="00D939BF">
                    <w:rPr>
                      <w:sz w:val="22"/>
                    </w:rPr>
                    <w:t>2) 2014. </w:t>
                  </w:r>
                  <w:r>
                    <w:rPr>
                      <w:sz w:val="22"/>
                    </w:rPr>
                    <w:t>g</w:t>
                  </w:r>
                  <w:r w:rsidRPr="00D939BF">
                    <w:rPr>
                      <w:sz w:val="22"/>
                    </w:rPr>
                    <w:t xml:space="preserve">adā, samazinot iedzīvotāju ienākuma nodokļa likmi no 24% uz 22%, ietekme </w:t>
                  </w:r>
                  <w:r w:rsidRPr="004A396F">
                    <w:rPr>
                      <w:sz w:val="22"/>
                    </w:rPr>
                    <w:t xml:space="preserve">ir -70,8 </w:t>
                  </w:r>
                  <w:proofErr w:type="spellStart"/>
                  <w:r w:rsidRPr="004A396F">
                    <w:rPr>
                      <w:sz w:val="22"/>
                    </w:rPr>
                    <w:t>milj</w:t>
                  </w:r>
                  <w:proofErr w:type="spellEnd"/>
                  <w:r w:rsidRPr="004A396F">
                    <w:rPr>
                      <w:sz w:val="22"/>
                    </w:rPr>
                    <w:t>. latu.</w:t>
                  </w: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 w:rsidRPr="004A396F">
                    <w:rPr>
                      <w:sz w:val="22"/>
                    </w:rPr>
                    <w:t xml:space="preserve">Ietekme </w:t>
                  </w:r>
                  <w:r w:rsidRPr="00D939BF">
                    <w:rPr>
                      <w:sz w:val="22"/>
                    </w:rPr>
                    <w:t xml:space="preserve">uz 2014. gada ieņēmumiem </w:t>
                  </w:r>
                  <w:r w:rsidRPr="00CC4397">
                    <w:rPr>
                      <w:sz w:val="22"/>
                    </w:rPr>
                    <w:t xml:space="preserve">ir </w:t>
                  </w:r>
                  <w:r w:rsidRPr="003952D3">
                    <w:rPr>
                      <w:b/>
                      <w:sz w:val="22"/>
                    </w:rPr>
                    <w:t>-64,9</w:t>
                  </w:r>
                  <w:r w:rsidRPr="00CC4397">
                    <w:rPr>
                      <w:sz w:val="22"/>
                    </w:rPr>
                    <w:t> milj. latu,</w:t>
                  </w:r>
                  <w:r w:rsidRPr="004A396F">
                    <w:rPr>
                      <w:sz w:val="22"/>
                    </w:rPr>
                    <w:t xml:space="preserve"> ņemot vērā maksāšanas kārtību(</w:t>
                  </w:r>
                  <w:r>
                    <w:rPr>
                      <w:sz w:val="22"/>
                    </w:rPr>
                    <w:t>70,8</w:t>
                  </w:r>
                  <w:r w:rsidRPr="004A396F">
                    <w:rPr>
                      <w:sz w:val="22"/>
                    </w:rPr>
                    <w:t>/12x11=</w:t>
                  </w:r>
                  <w:r>
                    <w:rPr>
                      <w:sz w:val="22"/>
                    </w:rPr>
                    <w:t>64,9</w:t>
                  </w:r>
                  <w:r w:rsidRPr="004A396F">
                    <w:rPr>
                      <w:sz w:val="22"/>
                    </w:rPr>
                    <w:t xml:space="preserve">). </w:t>
                  </w:r>
                  <w:r>
                    <w:rPr>
                      <w:sz w:val="22"/>
                    </w:rPr>
                    <w:t xml:space="preserve"> Pie -64,9 </w:t>
                  </w:r>
                  <w:proofErr w:type="spellStart"/>
                  <w:r>
                    <w:rPr>
                      <w:sz w:val="22"/>
                    </w:rPr>
                    <w:t>milj.latu</w:t>
                  </w:r>
                  <w:proofErr w:type="spellEnd"/>
                  <w:r>
                    <w:rPr>
                      <w:sz w:val="22"/>
                    </w:rPr>
                    <w:t xml:space="preserve"> ir jāpieskaita </w:t>
                  </w:r>
                  <w:r w:rsidRPr="00D939BF">
                    <w:rPr>
                      <w:sz w:val="22"/>
                    </w:rPr>
                    <w:t xml:space="preserve">ietekme no 2013. gada izmaiņām -33,2 milj. latu = </w:t>
                  </w:r>
                  <w:r w:rsidRPr="00D939BF">
                    <w:rPr>
                      <w:b/>
                      <w:sz w:val="22"/>
                    </w:rPr>
                    <w:t>-98,1 milj. latu</w:t>
                  </w:r>
                  <w:r w:rsidRPr="00D939BF">
                    <w:rPr>
                      <w:sz w:val="22"/>
                    </w:rPr>
                    <w:t xml:space="preserve">. </w:t>
                  </w: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 w:rsidRPr="00D939BF">
                    <w:rPr>
                      <w:sz w:val="22"/>
                    </w:rPr>
                    <w:t>2015. gad</w:t>
                  </w:r>
                  <w:r>
                    <w:rPr>
                      <w:sz w:val="22"/>
                    </w:rPr>
                    <w:t>ā</w:t>
                  </w:r>
                  <w:r w:rsidRPr="00D939BF">
                    <w:rPr>
                      <w:sz w:val="22"/>
                    </w:rPr>
                    <w:t xml:space="preserve"> ietekme uz iedzīvotāju ienākuma nodokļa </w:t>
                  </w:r>
                  <w:r>
                    <w:rPr>
                      <w:sz w:val="22"/>
                    </w:rPr>
                    <w:t>ieņēmumiem</w:t>
                  </w:r>
                  <w:r w:rsidRPr="00D939BF">
                    <w:rPr>
                      <w:sz w:val="22"/>
                    </w:rPr>
                    <w:t xml:space="preserve"> no 2014. gada izmaiņām ir -70,8 milj. latu.</w:t>
                  </w:r>
                </w:p>
                <w:p w:rsidR="000E71DC" w:rsidRPr="00D939BF" w:rsidRDefault="000E71DC" w:rsidP="000E71DC">
                  <w:pPr>
                    <w:jc w:val="both"/>
                    <w:rPr>
                      <w:sz w:val="22"/>
                    </w:rPr>
                  </w:pPr>
                </w:p>
                <w:p w:rsidR="000E71DC" w:rsidRDefault="000E71DC" w:rsidP="000E71DC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3) 2015. gadā, samazinot iedzīvotāju ienākuma nodokļa likmi no 22% uz 20%, ietekme ir -75,6 </w:t>
                  </w:r>
                  <w:proofErr w:type="spellStart"/>
                  <w:r>
                    <w:rPr>
                      <w:sz w:val="22"/>
                    </w:rPr>
                    <w:t>milj.latu</w:t>
                  </w:r>
                  <w:proofErr w:type="spellEnd"/>
                </w:p>
                <w:p w:rsidR="00B94CBE" w:rsidRPr="00875A63" w:rsidRDefault="000E71DC" w:rsidP="000E71DC">
                  <w:pPr>
                    <w:jc w:val="both"/>
                  </w:pPr>
                  <w:r>
                    <w:rPr>
                      <w:sz w:val="22"/>
                    </w:rPr>
                    <w:t xml:space="preserve">Ietekme uz 2015. gada ieņēmumiem ir </w:t>
                  </w:r>
                  <w:r w:rsidRPr="003952D3">
                    <w:rPr>
                      <w:b/>
                      <w:sz w:val="22"/>
                    </w:rPr>
                    <w:t>-69,3</w:t>
                  </w:r>
                  <w:r>
                    <w:rPr>
                      <w:sz w:val="22"/>
                    </w:rPr>
                    <w:t> milj. latu</w:t>
                  </w:r>
                  <w:r w:rsidRPr="004A396F">
                    <w:rPr>
                      <w:sz w:val="22"/>
                    </w:rPr>
                    <w:t>, ņemot vērā maksāšanas kārtību</w:t>
                  </w:r>
                  <w:r w:rsidRPr="00587B3E">
                    <w:rPr>
                      <w:sz w:val="22"/>
                    </w:rPr>
                    <w:t>(7</w:t>
                  </w:r>
                  <w:r>
                    <w:rPr>
                      <w:sz w:val="22"/>
                    </w:rPr>
                    <w:t>5</w:t>
                  </w:r>
                  <w:r w:rsidRPr="00587B3E">
                    <w:rPr>
                      <w:sz w:val="22"/>
                    </w:rPr>
                    <w:t>,</w:t>
                  </w:r>
                  <w:r>
                    <w:rPr>
                      <w:sz w:val="22"/>
                    </w:rPr>
                    <w:t>6</w:t>
                  </w:r>
                  <w:r w:rsidRPr="00587B3E">
                    <w:rPr>
                      <w:sz w:val="22"/>
                    </w:rPr>
                    <w:t>/12x11=</w:t>
                  </w:r>
                  <w:r>
                    <w:rPr>
                      <w:sz w:val="22"/>
                    </w:rPr>
                    <w:t xml:space="preserve">69,3). Pie </w:t>
                  </w:r>
                  <w:r w:rsidRPr="004A396F">
                    <w:rPr>
                      <w:sz w:val="22"/>
                    </w:rPr>
                    <w:t xml:space="preserve">-69,3 </w:t>
                  </w:r>
                  <w:proofErr w:type="spellStart"/>
                  <w:r w:rsidRPr="004A396F">
                    <w:rPr>
                      <w:sz w:val="22"/>
                    </w:rPr>
                    <w:t>milj</w:t>
                  </w:r>
                  <w:proofErr w:type="spellEnd"/>
                  <w:r w:rsidRPr="004A396F">
                    <w:rPr>
                      <w:sz w:val="22"/>
                    </w:rPr>
                    <w:t>. latu</w:t>
                  </w:r>
                  <w:r>
                    <w:rPr>
                      <w:sz w:val="22"/>
                    </w:rPr>
                    <w:t xml:space="preserve"> ir jāpieskaita ietekme no 2013. gada izmaiņām -33,2 milj. latu un ietekme no 2014. gada izmaiņām -70,8 milj. latu = -</w:t>
                  </w:r>
                  <w:r w:rsidRPr="00BC455C">
                    <w:rPr>
                      <w:b/>
                      <w:sz w:val="22"/>
                    </w:rPr>
                    <w:t>173,3 milj. latu.</w:t>
                  </w: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6.1. detalizēts ieņēmumu aprēķins</w:t>
                  </w:r>
                </w:p>
              </w:tc>
              <w:tc>
                <w:tcPr>
                  <w:tcW w:w="6747" w:type="dxa"/>
                  <w:gridSpan w:val="5"/>
                  <w:vMerge/>
                </w:tcPr>
                <w:p w:rsidR="000C7092" w:rsidRPr="00473B6E" w:rsidRDefault="000C7092" w:rsidP="00473B6E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6.2. detalizēts izdevumu aprēķins</w:t>
                  </w:r>
                </w:p>
              </w:tc>
              <w:tc>
                <w:tcPr>
                  <w:tcW w:w="6747" w:type="dxa"/>
                  <w:gridSpan w:val="5"/>
                  <w:vMerge/>
                </w:tcPr>
                <w:p w:rsidR="000C7092" w:rsidRPr="00473B6E" w:rsidRDefault="000C7092" w:rsidP="00473B6E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C7092" w:rsidRPr="00473B6E" w:rsidTr="00D323BE">
              <w:trPr>
                <w:trHeight w:val="381"/>
                <w:tblCellSpacing w:w="0" w:type="dxa"/>
              </w:trPr>
              <w:tc>
                <w:tcPr>
                  <w:tcW w:w="2444" w:type="dxa"/>
                </w:tcPr>
                <w:p w:rsidR="000C7092" w:rsidRPr="0095377B" w:rsidRDefault="000C7092" w:rsidP="00473B6E">
                  <w:pPr>
                    <w:rPr>
                      <w:rFonts w:eastAsia="Calibri"/>
                      <w:lang w:eastAsia="en-US"/>
                    </w:rPr>
                  </w:pPr>
                  <w:r w:rsidRPr="0095377B">
                    <w:rPr>
                      <w:rFonts w:eastAsia="Calibri"/>
                      <w:lang w:eastAsia="en-US"/>
                    </w:rPr>
                    <w:t>7. Cita informācija</w:t>
                  </w:r>
                </w:p>
              </w:tc>
              <w:tc>
                <w:tcPr>
                  <w:tcW w:w="6747" w:type="dxa"/>
                  <w:gridSpan w:val="5"/>
                </w:tcPr>
                <w:p w:rsidR="000C7092" w:rsidRPr="00473B6E" w:rsidRDefault="000C7092" w:rsidP="0007124B">
                  <w:pPr>
                    <w:jc w:val="both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7352D7">
                    <w:rPr>
                      <w:rFonts w:eastAsia="Calibri"/>
                      <w:lang w:eastAsia="en-US"/>
                    </w:rPr>
                    <w:t>Nav.</w:t>
                  </w:r>
                </w:p>
              </w:tc>
            </w:tr>
          </w:tbl>
          <w:p w:rsidR="00473B6E" w:rsidRPr="00473B6E" w:rsidRDefault="00473B6E" w:rsidP="00473B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3B6E" w:rsidRPr="00473B6E" w:rsidTr="00BB5B75">
        <w:trPr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EE5399" w:rsidRDefault="00473B6E" w:rsidP="00473B6E">
            <w:pPr>
              <w:jc w:val="center"/>
              <w:rPr>
                <w:rFonts w:eastAsia="Calibri"/>
                <w:b/>
                <w:lang w:eastAsia="en-US"/>
              </w:rPr>
            </w:pPr>
            <w:r w:rsidRPr="00EE5399">
              <w:rPr>
                <w:rFonts w:eastAsia="Calibri"/>
                <w:b/>
                <w:lang w:eastAsia="en-US"/>
              </w:rPr>
              <w:lastRenderedPageBreak/>
              <w:t>IV. Tiesību akta projekta ietekme uz spēkā esošo tiesību normu sistēmu</w:t>
            </w:r>
          </w:p>
        </w:tc>
      </w:tr>
      <w:tr w:rsidR="00473B6E" w:rsidRPr="00473B6E" w:rsidTr="00BB5B7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EE5399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EE5399">
              <w:rPr>
                <w:rFonts w:eastAsia="Calibri"/>
                <w:lang w:eastAsia="en-US"/>
              </w:rPr>
              <w:t> 1.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EE5399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EE5399">
              <w:rPr>
                <w:rFonts w:eastAsia="Calibri"/>
                <w:lang w:eastAsia="en-US"/>
              </w:rPr>
              <w:t> Nepieciešamie saistītie tiesību aktu projekti</w:t>
            </w:r>
          </w:p>
        </w:tc>
        <w:tc>
          <w:tcPr>
            <w:tcW w:w="65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4D72B1" w:rsidRDefault="004D72B1" w:rsidP="00473B6E">
            <w:pPr>
              <w:jc w:val="both"/>
              <w:rPr>
                <w:rFonts w:eastAsia="Calibri"/>
                <w:lang w:eastAsia="en-US"/>
              </w:rPr>
            </w:pPr>
            <w:r w:rsidRPr="004D72B1">
              <w:t>Projekts šo jomu neskar.</w:t>
            </w:r>
          </w:p>
        </w:tc>
      </w:tr>
      <w:tr w:rsidR="00473B6E" w:rsidRPr="00473B6E" w:rsidTr="00BB5B75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EE5399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EE5399">
              <w:rPr>
                <w:rFonts w:eastAsia="Calibri"/>
                <w:lang w:eastAsia="en-US"/>
              </w:rPr>
              <w:t> 2.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EE5399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EE5399">
              <w:rPr>
                <w:rFonts w:eastAsia="Calibri"/>
                <w:lang w:eastAsia="en-US"/>
              </w:rPr>
              <w:t> Cita informācija</w:t>
            </w:r>
          </w:p>
        </w:tc>
        <w:tc>
          <w:tcPr>
            <w:tcW w:w="65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7352D7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7352D7">
              <w:rPr>
                <w:rFonts w:eastAsia="Calibri"/>
                <w:lang w:eastAsia="en-US"/>
              </w:rPr>
              <w:t>Nav</w:t>
            </w:r>
            <w:r w:rsidR="00AB1AA1">
              <w:rPr>
                <w:rFonts w:eastAsia="Calibri"/>
                <w:lang w:eastAsia="en-US"/>
              </w:rPr>
              <w:t>.</w:t>
            </w:r>
          </w:p>
        </w:tc>
      </w:tr>
      <w:tr w:rsidR="00473B6E" w:rsidRPr="00473B6E" w:rsidTr="00BB5B75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B6E" w:rsidRPr="00EE5399" w:rsidRDefault="00473B6E" w:rsidP="00473B6E">
            <w:pPr>
              <w:jc w:val="center"/>
              <w:rPr>
                <w:rFonts w:eastAsia="Calibri"/>
                <w:b/>
                <w:lang w:eastAsia="en-US"/>
              </w:rPr>
            </w:pPr>
            <w:r w:rsidRPr="00473B6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EE5399">
              <w:rPr>
                <w:rFonts w:eastAsia="Calibri"/>
                <w:b/>
                <w:lang w:eastAsia="en-US"/>
              </w:rPr>
              <w:t>V. Tiesību akta projekta atbilstība Latvijas Republikas starptautiskajām saistībām</w:t>
            </w:r>
          </w:p>
        </w:tc>
      </w:tr>
      <w:tr w:rsidR="00445F7B" w:rsidRPr="00473B6E" w:rsidTr="00BB5B75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74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F7B" w:rsidRPr="00EE5399" w:rsidRDefault="00445F7B" w:rsidP="00445F7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F42173">
              <w:rPr>
                <w:rFonts w:eastAsia="Calibri"/>
                <w:lang w:eastAsia="en-US"/>
              </w:rPr>
              <w:t>rojekts šo jomu neskar</w:t>
            </w:r>
            <w:r w:rsidR="00521E8A">
              <w:rPr>
                <w:rFonts w:eastAsia="Calibri"/>
                <w:lang w:eastAsia="en-US"/>
              </w:rPr>
              <w:t>.</w:t>
            </w:r>
          </w:p>
        </w:tc>
      </w:tr>
      <w:tr w:rsidR="00473B6E" w:rsidRPr="00473B6E" w:rsidTr="00BB5B75">
        <w:trPr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EE5399" w:rsidRDefault="00473B6E" w:rsidP="00473B6E">
            <w:pPr>
              <w:jc w:val="center"/>
              <w:rPr>
                <w:rFonts w:eastAsia="Calibri"/>
                <w:b/>
                <w:lang w:eastAsia="en-US"/>
              </w:rPr>
            </w:pPr>
            <w:r w:rsidRPr="00EE5399">
              <w:rPr>
                <w:rFonts w:eastAsia="Calibri"/>
                <w:b/>
                <w:lang w:eastAsia="en-US"/>
              </w:rPr>
              <w:t>VI. Sabiedrības līdzdalība un šīs līdzdalības rezultāti</w:t>
            </w:r>
          </w:p>
        </w:tc>
      </w:tr>
      <w:tr w:rsidR="00473B6E" w:rsidRPr="00473B6E" w:rsidTr="00BB5B75">
        <w:trPr>
          <w:trHeight w:val="342"/>
          <w:tblCellSpacing w:w="0" w:type="dxa"/>
        </w:trPr>
        <w:tc>
          <w:tcPr>
            <w:tcW w:w="9101" w:type="dxa"/>
            <w:gridSpan w:val="11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3B6E" w:rsidRPr="00260F5A" w:rsidRDefault="00514076" w:rsidP="00473B6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F42173">
              <w:rPr>
                <w:rFonts w:eastAsia="Calibri"/>
                <w:lang w:eastAsia="en-US"/>
              </w:rPr>
              <w:t>rojekts šo jomu neskar.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blCellSpacing w:w="0" w:type="dxa"/>
        </w:trPr>
        <w:tc>
          <w:tcPr>
            <w:tcW w:w="905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1E7BBE" w:rsidRDefault="00473B6E" w:rsidP="00473B6E">
            <w:pPr>
              <w:jc w:val="center"/>
              <w:rPr>
                <w:rFonts w:eastAsia="Calibri"/>
                <w:b/>
                <w:lang w:eastAsia="en-US"/>
              </w:rPr>
            </w:pPr>
            <w:r w:rsidRPr="001E7BBE">
              <w:rPr>
                <w:rFonts w:eastAsia="Calibri"/>
                <w:b/>
                <w:lang w:eastAsia="en-US"/>
              </w:rPr>
              <w:t>VII. Tiesību akta projekta izpildes nodrošināšana un tās ietekme uz institūcijām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rHeight w:val="427"/>
          <w:tblCellSpacing w:w="0" w:type="dxa"/>
        </w:trPr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1.</w:t>
            </w: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Projekta izpildē iesaistītās institūcijas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260F5A" w:rsidRDefault="00514076" w:rsidP="0051407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Finanšu ministrija</w:t>
            </w:r>
            <w:r w:rsidR="00473B6E" w:rsidRPr="00260F5A">
              <w:rPr>
                <w:rFonts w:eastAsia="Calibri"/>
                <w:lang w:eastAsia="en-US"/>
              </w:rPr>
              <w:t>.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rHeight w:val="463"/>
          <w:tblCellSpacing w:w="0" w:type="dxa"/>
        </w:trPr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2.</w:t>
            </w: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Projekta izpildes ietekme uz pārvaldes funkcijām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260F5A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260F5A">
              <w:rPr>
                <w:rFonts w:eastAsia="Calibri"/>
                <w:lang w:eastAsia="en-US"/>
              </w:rPr>
              <w:t>Projekts šo jomu neskar.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rHeight w:val="725"/>
          <w:tblCellSpacing w:w="0" w:type="dxa"/>
        </w:trPr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lastRenderedPageBreak/>
              <w:t> 3.</w:t>
            </w: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Projekta izpildes ietekme uz pārvaldes institucionālo struktūru.</w:t>
            </w:r>
          </w:p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Jaunu institūciju izveide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260F5A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260F5A">
              <w:rPr>
                <w:rFonts w:eastAsia="Calibri"/>
                <w:lang w:eastAsia="en-US"/>
              </w:rPr>
              <w:t>Jaunas institūcijas nav nepieciešams izveidot.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rHeight w:val="780"/>
          <w:tblCellSpacing w:w="0" w:type="dxa"/>
        </w:trPr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4.</w:t>
            </w: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Projekta izpildes ietekme uz pārvaldes institucionālo struktūru.</w:t>
            </w:r>
          </w:p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Esošu institūciju likvidācija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260F5A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260F5A">
              <w:rPr>
                <w:rFonts w:eastAsia="Calibri"/>
                <w:lang w:eastAsia="en-US"/>
              </w:rPr>
              <w:t>Nav plānota esošu institūciju likvidācija.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rHeight w:val="703"/>
          <w:tblCellSpacing w:w="0" w:type="dxa"/>
        </w:trPr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5.</w:t>
            </w: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Projekta izpildes ietekme uz pārvaldes institucionālo struktūru.</w:t>
            </w:r>
          </w:p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Esošu institūciju reorganizācija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260F5A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260F5A">
              <w:rPr>
                <w:rFonts w:eastAsia="Calibri"/>
                <w:lang w:eastAsia="en-US"/>
              </w:rPr>
              <w:t> Nav plānota esošu institūciju reorganizācija.</w:t>
            </w:r>
          </w:p>
        </w:tc>
      </w:tr>
      <w:tr w:rsidR="00473B6E" w:rsidRPr="00473B6E" w:rsidTr="00BB5B75">
        <w:trPr>
          <w:gridBefore w:val="1"/>
          <w:gridAfter w:val="1"/>
          <w:wBefore w:w="29" w:type="dxa"/>
          <w:wAfter w:w="19" w:type="dxa"/>
          <w:trHeight w:val="701"/>
          <w:tblCellSpacing w:w="0" w:type="dxa"/>
        </w:trPr>
        <w:tc>
          <w:tcPr>
            <w:tcW w:w="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6.</w:t>
            </w:r>
          </w:p>
        </w:tc>
        <w:tc>
          <w:tcPr>
            <w:tcW w:w="4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8A6AE3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8A6AE3">
              <w:rPr>
                <w:rFonts w:eastAsia="Calibri"/>
                <w:lang w:eastAsia="en-US"/>
              </w:rPr>
              <w:t> Cita informācija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B6E" w:rsidRPr="00260F5A" w:rsidRDefault="00473B6E" w:rsidP="00473B6E">
            <w:pPr>
              <w:jc w:val="both"/>
              <w:rPr>
                <w:rFonts w:eastAsia="Calibri"/>
                <w:lang w:eastAsia="en-US"/>
              </w:rPr>
            </w:pPr>
            <w:r w:rsidRPr="00260F5A">
              <w:rPr>
                <w:rFonts w:eastAsia="Calibri"/>
                <w:lang w:eastAsia="en-US"/>
              </w:rPr>
              <w:t>Jaunā funkcija tiks īstenota, izmantojot esošos pārvaldes resursus.</w:t>
            </w:r>
          </w:p>
        </w:tc>
      </w:tr>
    </w:tbl>
    <w:p w:rsidR="00454CFA" w:rsidRDefault="00454CFA" w:rsidP="00791766">
      <w:pPr>
        <w:rPr>
          <w:bCs/>
          <w:iCs/>
          <w:sz w:val="28"/>
          <w:szCs w:val="28"/>
        </w:rPr>
      </w:pPr>
    </w:p>
    <w:p w:rsidR="00A80706" w:rsidRPr="0002441D" w:rsidRDefault="003B34FC" w:rsidP="00791766">
      <w:pPr>
        <w:rPr>
          <w:bCs/>
          <w:iCs/>
          <w:sz w:val="28"/>
          <w:szCs w:val="28"/>
        </w:rPr>
      </w:pPr>
      <w:r w:rsidRPr="003B34FC">
        <w:rPr>
          <w:bCs/>
          <w:iCs/>
          <w:sz w:val="28"/>
          <w:szCs w:val="28"/>
        </w:rPr>
        <w:t>Finanšu ministrs</w:t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</w:r>
      <w:r w:rsidRPr="003B34FC">
        <w:rPr>
          <w:bCs/>
          <w:iCs/>
          <w:sz w:val="28"/>
          <w:szCs w:val="28"/>
        </w:rPr>
        <w:tab/>
        <w:t>A.Vilks</w:t>
      </w:r>
    </w:p>
    <w:p w:rsidR="00454CFA" w:rsidRDefault="00454CFA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0D4220" w:rsidRDefault="000D422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0D4220" w:rsidRDefault="000D422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D6688C" w:rsidRDefault="00D6688C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0F1969" w:rsidRDefault="000F1969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124DEB" w:rsidRDefault="00124DEB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F01DD0" w:rsidRDefault="00F01DD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F01DD0" w:rsidRDefault="00F01DD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F01DD0" w:rsidRDefault="00F01DD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F01DD0" w:rsidRDefault="00F01DD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F01DD0" w:rsidRDefault="00F01DD0" w:rsidP="00791766">
      <w:pPr>
        <w:tabs>
          <w:tab w:val="left" w:pos="7088"/>
        </w:tabs>
        <w:jc w:val="both"/>
        <w:rPr>
          <w:sz w:val="20"/>
          <w:szCs w:val="20"/>
        </w:rPr>
      </w:pPr>
    </w:p>
    <w:p w:rsidR="000E71DC" w:rsidRDefault="000E71DC" w:rsidP="00791766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11.05.2012</w:t>
      </w:r>
    </w:p>
    <w:bookmarkStart w:id="4" w:name="_GoBack"/>
    <w:p w:rsidR="00A80706" w:rsidRDefault="00A80706" w:rsidP="00791766">
      <w:pPr>
        <w:tabs>
          <w:tab w:val="left" w:pos="7088"/>
        </w:tabs>
        <w:jc w:val="both"/>
        <w:rPr>
          <w:sz w:val="20"/>
          <w:szCs w:val="20"/>
        </w:rPr>
      </w:pPr>
      <w:r w:rsidRPr="006C15CB">
        <w:rPr>
          <w:sz w:val="20"/>
          <w:szCs w:val="20"/>
        </w:rPr>
        <w:fldChar w:fldCharType="begin"/>
      </w:r>
      <w:r w:rsidRPr="006C15CB">
        <w:rPr>
          <w:sz w:val="20"/>
          <w:szCs w:val="20"/>
        </w:rPr>
        <w:instrText xml:space="preserve"> NUMWORDS  \* MERGEFORMAT </w:instrText>
      </w:r>
      <w:r w:rsidRPr="006C15CB">
        <w:rPr>
          <w:sz w:val="20"/>
          <w:szCs w:val="20"/>
        </w:rPr>
        <w:fldChar w:fldCharType="separate"/>
      </w:r>
      <w:r w:rsidR="00164864">
        <w:rPr>
          <w:noProof/>
          <w:sz w:val="20"/>
          <w:szCs w:val="20"/>
        </w:rPr>
        <w:t>890</w:t>
      </w:r>
      <w:r w:rsidRPr="006C15CB">
        <w:rPr>
          <w:sz w:val="20"/>
          <w:szCs w:val="20"/>
        </w:rPr>
        <w:fldChar w:fldCharType="end"/>
      </w:r>
    </w:p>
    <w:bookmarkEnd w:id="4"/>
    <w:p w:rsidR="00A80706" w:rsidRDefault="00C45612" w:rsidP="00791766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Veinberga 67083848</w:t>
      </w:r>
    </w:p>
    <w:p w:rsidR="004368E3" w:rsidRPr="009F4215" w:rsidRDefault="00C45612" w:rsidP="00791766">
      <w:pPr>
        <w:rPr>
          <w:sz w:val="20"/>
          <w:szCs w:val="20"/>
        </w:rPr>
      </w:pPr>
      <w:r>
        <w:rPr>
          <w:sz w:val="20"/>
          <w:szCs w:val="20"/>
        </w:rPr>
        <w:t>Inese.Veinberga@fm.gov.lv</w:t>
      </w:r>
      <w:r w:rsidRPr="009F4215">
        <w:rPr>
          <w:sz w:val="20"/>
          <w:szCs w:val="20"/>
        </w:rPr>
        <w:t xml:space="preserve"> </w:t>
      </w:r>
    </w:p>
    <w:sectPr w:rsidR="004368E3" w:rsidRPr="009F4215" w:rsidSect="001B122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134" w:bottom="1134" w:left="1701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E6" w:rsidRDefault="006002E6">
      <w:r>
        <w:separator/>
      </w:r>
    </w:p>
  </w:endnote>
  <w:endnote w:type="continuationSeparator" w:id="0">
    <w:p w:rsidR="006002E6" w:rsidRDefault="0060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E8A" w:rsidRDefault="00521E8A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Pr="00432A31" w:rsidRDefault="00521E8A" w:rsidP="00432A31">
    <w:pPr>
      <w:pStyle w:val="naislab"/>
      <w:spacing w:before="0" w:after="0"/>
      <w:jc w:val="both"/>
      <w:rPr>
        <w:bCs/>
        <w:sz w:val="20"/>
        <w:szCs w:val="20"/>
        <w:lang w:val="pt-BR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B6A75">
      <w:rPr>
        <w:noProof/>
        <w:sz w:val="20"/>
        <w:szCs w:val="20"/>
      </w:rPr>
      <w:t>FMAnot_090512_IINgroz.docx</w:t>
    </w:r>
    <w:r>
      <w:rPr>
        <w:sz w:val="20"/>
        <w:szCs w:val="20"/>
      </w:rPr>
      <w:fldChar w:fldCharType="end"/>
    </w:r>
    <w:r>
      <w:rPr>
        <w:sz w:val="20"/>
        <w:szCs w:val="20"/>
      </w:rPr>
      <w:t>; Anotācija likumprojektam „</w:t>
    </w:r>
    <w:r>
      <w:rPr>
        <w:bCs/>
        <w:sz w:val="20"/>
        <w:szCs w:val="20"/>
        <w:lang w:val="pt-BR"/>
      </w:rPr>
      <w:t xml:space="preserve">Grozījumi </w:t>
    </w:r>
    <w:r>
      <w:rPr>
        <w:bCs/>
        <w:sz w:val="20"/>
        <w:szCs w:val="20"/>
      </w:rPr>
      <w:t>likumā „Par iedzīvotāju ienākuma nodokli</w:t>
    </w:r>
    <w:r>
      <w:rPr>
        <w:bCs/>
        <w:sz w:val="20"/>
        <w:szCs w:val="20"/>
        <w:lang w:val="pt-BR"/>
      </w:rPr>
      <w:t>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Pr="004864E2" w:rsidRDefault="00521E8A" w:rsidP="004864E2">
    <w:pPr>
      <w:pStyle w:val="naislab"/>
      <w:spacing w:before="0" w:after="0"/>
      <w:jc w:val="both"/>
      <w:rPr>
        <w:bCs/>
        <w:sz w:val="20"/>
        <w:szCs w:val="20"/>
        <w:lang w:val="pt-BR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B6A75">
      <w:rPr>
        <w:noProof/>
        <w:sz w:val="20"/>
        <w:szCs w:val="20"/>
      </w:rPr>
      <w:t>FMAnot_090512_IINgroz.docx</w:t>
    </w:r>
    <w:r>
      <w:rPr>
        <w:sz w:val="20"/>
        <w:szCs w:val="20"/>
      </w:rPr>
      <w:fldChar w:fldCharType="end"/>
    </w:r>
    <w:r>
      <w:rPr>
        <w:sz w:val="20"/>
        <w:szCs w:val="20"/>
      </w:rPr>
      <w:t>; Anotācija likumprojektam „</w:t>
    </w:r>
    <w:r>
      <w:rPr>
        <w:bCs/>
        <w:sz w:val="20"/>
        <w:szCs w:val="20"/>
        <w:lang w:val="pt-BR"/>
      </w:rPr>
      <w:t xml:space="preserve">Grozījumi </w:t>
    </w:r>
    <w:r>
      <w:rPr>
        <w:bCs/>
        <w:sz w:val="20"/>
        <w:szCs w:val="20"/>
      </w:rPr>
      <w:t>likumā „Par iedzīvotāju ienākuma nodokli</w:t>
    </w:r>
    <w:r>
      <w:rPr>
        <w:bCs/>
        <w:sz w:val="20"/>
        <w:szCs w:val="20"/>
        <w:lang w:val="pt-BR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E6" w:rsidRDefault="006002E6">
      <w:r>
        <w:separator/>
      </w:r>
    </w:p>
  </w:footnote>
  <w:footnote w:type="continuationSeparator" w:id="0">
    <w:p w:rsidR="006002E6" w:rsidRDefault="0060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E8A" w:rsidRDefault="00521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864">
      <w:rPr>
        <w:rStyle w:val="PageNumber"/>
        <w:noProof/>
      </w:rPr>
      <w:t>4</w:t>
    </w:r>
    <w:r>
      <w:rPr>
        <w:rStyle w:val="PageNumber"/>
      </w:rPr>
      <w:fldChar w:fldCharType="end"/>
    </w:r>
  </w:p>
  <w:p w:rsidR="00521E8A" w:rsidRPr="004F7101" w:rsidRDefault="00521E8A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555"/>
    <w:multiLevelType w:val="hybridMultilevel"/>
    <w:tmpl w:val="3752A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C15"/>
    <w:multiLevelType w:val="hybridMultilevel"/>
    <w:tmpl w:val="58F2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04B1D"/>
    <w:multiLevelType w:val="hybridMultilevel"/>
    <w:tmpl w:val="CF9045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0BF8"/>
    <w:multiLevelType w:val="hybridMultilevel"/>
    <w:tmpl w:val="F370C808"/>
    <w:lvl w:ilvl="0" w:tplc="39D615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4920E7"/>
    <w:multiLevelType w:val="hybridMultilevel"/>
    <w:tmpl w:val="8CD0AD06"/>
    <w:lvl w:ilvl="0" w:tplc="B212D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451E"/>
    <w:multiLevelType w:val="hybridMultilevel"/>
    <w:tmpl w:val="2368C634"/>
    <w:lvl w:ilvl="0" w:tplc="BF107CC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FE33924"/>
    <w:multiLevelType w:val="multilevel"/>
    <w:tmpl w:val="9A486CB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7">
    <w:nsid w:val="51403BAA"/>
    <w:multiLevelType w:val="hybridMultilevel"/>
    <w:tmpl w:val="D9C4D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1ABC"/>
    <w:multiLevelType w:val="hybridMultilevel"/>
    <w:tmpl w:val="3FAC29A8"/>
    <w:lvl w:ilvl="0" w:tplc="C8BA45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D642B"/>
    <w:multiLevelType w:val="hybridMultilevel"/>
    <w:tmpl w:val="1D2226E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78F2"/>
    <w:multiLevelType w:val="hybridMultilevel"/>
    <w:tmpl w:val="959E3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C4263"/>
    <w:multiLevelType w:val="hybridMultilevel"/>
    <w:tmpl w:val="67BE6714"/>
    <w:lvl w:ilvl="0" w:tplc="687E25B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4" w:hanging="360"/>
      </w:pPr>
    </w:lvl>
    <w:lvl w:ilvl="2" w:tplc="0426001B" w:tentative="1">
      <w:start w:val="1"/>
      <w:numFmt w:val="lowerRoman"/>
      <w:lvlText w:val="%3."/>
      <w:lvlJc w:val="right"/>
      <w:pPr>
        <w:ind w:left="2224" w:hanging="180"/>
      </w:pPr>
    </w:lvl>
    <w:lvl w:ilvl="3" w:tplc="0426000F" w:tentative="1">
      <w:start w:val="1"/>
      <w:numFmt w:val="decimal"/>
      <w:lvlText w:val="%4."/>
      <w:lvlJc w:val="left"/>
      <w:pPr>
        <w:ind w:left="2944" w:hanging="360"/>
      </w:pPr>
    </w:lvl>
    <w:lvl w:ilvl="4" w:tplc="04260019" w:tentative="1">
      <w:start w:val="1"/>
      <w:numFmt w:val="lowerLetter"/>
      <w:lvlText w:val="%5."/>
      <w:lvlJc w:val="left"/>
      <w:pPr>
        <w:ind w:left="3664" w:hanging="360"/>
      </w:pPr>
    </w:lvl>
    <w:lvl w:ilvl="5" w:tplc="0426001B" w:tentative="1">
      <w:start w:val="1"/>
      <w:numFmt w:val="lowerRoman"/>
      <w:lvlText w:val="%6."/>
      <w:lvlJc w:val="right"/>
      <w:pPr>
        <w:ind w:left="4384" w:hanging="180"/>
      </w:pPr>
    </w:lvl>
    <w:lvl w:ilvl="6" w:tplc="0426000F" w:tentative="1">
      <w:start w:val="1"/>
      <w:numFmt w:val="decimal"/>
      <w:lvlText w:val="%7."/>
      <w:lvlJc w:val="left"/>
      <w:pPr>
        <w:ind w:left="5104" w:hanging="360"/>
      </w:pPr>
    </w:lvl>
    <w:lvl w:ilvl="7" w:tplc="04260019" w:tentative="1">
      <w:start w:val="1"/>
      <w:numFmt w:val="lowerLetter"/>
      <w:lvlText w:val="%8."/>
      <w:lvlJc w:val="left"/>
      <w:pPr>
        <w:ind w:left="5824" w:hanging="360"/>
      </w:pPr>
    </w:lvl>
    <w:lvl w:ilvl="8" w:tplc="042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60C53BA4"/>
    <w:multiLevelType w:val="hybridMultilevel"/>
    <w:tmpl w:val="29E49E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E4601"/>
    <w:multiLevelType w:val="hybridMultilevel"/>
    <w:tmpl w:val="47B4159E"/>
    <w:lvl w:ilvl="0" w:tplc="8F7A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FEF7F8">
      <w:numFmt w:val="none"/>
      <w:lvlText w:val=""/>
      <w:lvlJc w:val="left"/>
      <w:pPr>
        <w:tabs>
          <w:tab w:val="num" w:pos="360"/>
        </w:tabs>
      </w:pPr>
    </w:lvl>
    <w:lvl w:ilvl="2" w:tplc="791EFDD4">
      <w:numFmt w:val="none"/>
      <w:lvlText w:val=""/>
      <w:lvlJc w:val="left"/>
      <w:pPr>
        <w:tabs>
          <w:tab w:val="num" w:pos="360"/>
        </w:tabs>
      </w:pPr>
    </w:lvl>
    <w:lvl w:ilvl="3" w:tplc="48BEF74C">
      <w:numFmt w:val="none"/>
      <w:lvlText w:val=""/>
      <w:lvlJc w:val="left"/>
      <w:pPr>
        <w:tabs>
          <w:tab w:val="num" w:pos="360"/>
        </w:tabs>
      </w:pPr>
    </w:lvl>
    <w:lvl w:ilvl="4" w:tplc="D6BC9678">
      <w:numFmt w:val="none"/>
      <w:lvlText w:val=""/>
      <w:lvlJc w:val="left"/>
      <w:pPr>
        <w:tabs>
          <w:tab w:val="num" w:pos="360"/>
        </w:tabs>
      </w:pPr>
    </w:lvl>
    <w:lvl w:ilvl="5" w:tplc="16AC13DC">
      <w:numFmt w:val="none"/>
      <w:lvlText w:val=""/>
      <w:lvlJc w:val="left"/>
      <w:pPr>
        <w:tabs>
          <w:tab w:val="num" w:pos="360"/>
        </w:tabs>
      </w:pPr>
    </w:lvl>
    <w:lvl w:ilvl="6" w:tplc="245E9D74">
      <w:numFmt w:val="none"/>
      <w:lvlText w:val=""/>
      <w:lvlJc w:val="left"/>
      <w:pPr>
        <w:tabs>
          <w:tab w:val="num" w:pos="360"/>
        </w:tabs>
      </w:pPr>
    </w:lvl>
    <w:lvl w:ilvl="7" w:tplc="D1AAE5D4">
      <w:numFmt w:val="none"/>
      <w:lvlText w:val=""/>
      <w:lvlJc w:val="left"/>
      <w:pPr>
        <w:tabs>
          <w:tab w:val="num" w:pos="360"/>
        </w:tabs>
      </w:pPr>
    </w:lvl>
    <w:lvl w:ilvl="8" w:tplc="8C30A5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757767"/>
    <w:multiLevelType w:val="hybridMultilevel"/>
    <w:tmpl w:val="7A8A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00F6F"/>
    <w:multiLevelType w:val="hybridMultilevel"/>
    <w:tmpl w:val="26FC0E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B5DE6"/>
    <w:multiLevelType w:val="hybridMultilevel"/>
    <w:tmpl w:val="24C4E6AC"/>
    <w:lvl w:ilvl="0" w:tplc="655615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9"/>
    <w:rsid w:val="0000013D"/>
    <w:rsid w:val="000023A3"/>
    <w:rsid w:val="00002826"/>
    <w:rsid w:val="000037D1"/>
    <w:rsid w:val="000038AC"/>
    <w:rsid w:val="00004F5E"/>
    <w:rsid w:val="0000548E"/>
    <w:rsid w:val="000066BE"/>
    <w:rsid w:val="00007705"/>
    <w:rsid w:val="000110C9"/>
    <w:rsid w:val="00015014"/>
    <w:rsid w:val="000155B9"/>
    <w:rsid w:val="00016DD1"/>
    <w:rsid w:val="0001718B"/>
    <w:rsid w:val="0002124D"/>
    <w:rsid w:val="0002441D"/>
    <w:rsid w:val="00025259"/>
    <w:rsid w:val="00027EED"/>
    <w:rsid w:val="00031574"/>
    <w:rsid w:val="00031F99"/>
    <w:rsid w:val="00032913"/>
    <w:rsid w:val="000337D8"/>
    <w:rsid w:val="000346F8"/>
    <w:rsid w:val="00035354"/>
    <w:rsid w:val="00036703"/>
    <w:rsid w:val="00040E0A"/>
    <w:rsid w:val="00040E7B"/>
    <w:rsid w:val="00041FE6"/>
    <w:rsid w:val="00043DB9"/>
    <w:rsid w:val="0004541B"/>
    <w:rsid w:val="00045F01"/>
    <w:rsid w:val="00045FE1"/>
    <w:rsid w:val="00047CB9"/>
    <w:rsid w:val="00047D53"/>
    <w:rsid w:val="000506D8"/>
    <w:rsid w:val="0005107F"/>
    <w:rsid w:val="00051A01"/>
    <w:rsid w:val="000549EE"/>
    <w:rsid w:val="000566F9"/>
    <w:rsid w:val="00057000"/>
    <w:rsid w:val="0005736C"/>
    <w:rsid w:val="00057C6A"/>
    <w:rsid w:val="00057F0B"/>
    <w:rsid w:val="00060915"/>
    <w:rsid w:val="00060AB5"/>
    <w:rsid w:val="0006166B"/>
    <w:rsid w:val="00063185"/>
    <w:rsid w:val="00063764"/>
    <w:rsid w:val="000648DA"/>
    <w:rsid w:val="000654F2"/>
    <w:rsid w:val="00065C39"/>
    <w:rsid w:val="00066F97"/>
    <w:rsid w:val="0007105F"/>
    <w:rsid w:val="0007124B"/>
    <w:rsid w:val="00072671"/>
    <w:rsid w:val="000733D6"/>
    <w:rsid w:val="00073FA9"/>
    <w:rsid w:val="00074B2B"/>
    <w:rsid w:val="00084265"/>
    <w:rsid w:val="00087B78"/>
    <w:rsid w:val="00092756"/>
    <w:rsid w:val="00093E4A"/>
    <w:rsid w:val="000944C2"/>
    <w:rsid w:val="00096DF4"/>
    <w:rsid w:val="00096F73"/>
    <w:rsid w:val="00097F11"/>
    <w:rsid w:val="000A10BB"/>
    <w:rsid w:val="000A1627"/>
    <w:rsid w:val="000A3197"/>
    <w:rsid w:val="000A33BF"/>
    <w:rsid w:val="000A4C8F"/>
    <w:rsid w:val="000A569A"/>
    <w:rsid w:val="000A6650"/>
    <w:rsid w:val="000B19AF"/>
    <w:rsid w:val="000B2EA2"/>
    <w:rsid w:val="000B4ACB"/>
    <w:rsid w:val="000B7C20"/>
    <w:rsid w:val="000C57C3"/>
    <w:rsid w:val="000C609C"/>
    <w:rsid w:val="000C7092"/>
    <w:rsid w:val="000C728E"/>
    <w:rsid w:val="000D04BB"/>
    <w:rsid w:val="000D27D1"/>
    <w:rsid w:val="000D2826"/>
    <w:rsid w:val="000D4220"/>
    <w:rsid w:val="000D4ACE"/>
    <w:rsid w:val="000D6EDF"/>
    <w:rsid w:val="000D775C"/>
    <w:rsid w:val="000E0A41"/>
    <w:rsid w:val="000E0B55"/>
    <w:rsid w:val="000E3151"/>
    <w:rsid w:val="000E36BB"/>
    <w:rsid w:val="000E46F3"/>
    <w:rsid w:val="000E5CC1"/>
    <w:rsid w:val="000E654B"/>
    <w:rsid w:val="000E71DC"/>
    <w:rsid w:val="000F01C4"/>
    <w:rsid w:val="000F1969"/>
    <w:rsid w:val="000F37F0"/>
    <w:rsid w:val="000F5642"/>
    <w:rsid w:val="000F67EB"/>
    <w:rsid w:val="00100315"/>
    <w:rsid w:val="001044CC"/>
    <w:rsid w:val="001051D2"/>
    <w:rsid w:val="001114B6"/>
    <w:rsid w:val="001146CF"/>
    <w:rsid w:val="00114B61"/>
    <w:rsid w:val="00114F1C"/>
    <w:rsid w:val="001166E6"/>
    <w:rsid w:val="001167B2"/>
    <w:rsid w:val="001173E0"/>
    <w:rsid w:val="001201E5"/>
    <w:rsid w:val="00121BBA"/>
    <w:rsid w:val="0012288B"/>
    <w:rsid w:val="0012314A"/>
    <w:rsid w:val="0012363C"/>
    <w:rsid w:val="001237BA"/>
    <w:rsid w:val="00124DEB"/>
    <w:rsid w:val="001251C7"/>
    <w:rsid w:val="00125621"/>
    <w:rsid w:val="0013579F"/>
    <w:rsid w:val="00135A06"/>
    <w:rsid w:val="0013717B"/>
    <w:rsid w:val="0013789E"/>
    <w:rsid w:val="00140B20"/>
    <w:rsid w:val="001428B2"/>
    <w:rsid w:val="00143130"/>
    <w:rsid w:val="001448FD"/>
    <w:rsid w:val="00147D29"/>
    <w:rsid w:val="00151C47"/>
    <w:rsid w:val="00151DC5"/>
    <w:rsid w:val="001542B7"/>
    <w:rsid w:val="00154C6F"/>
    <w:rsid w:val="0016059D"/>
    <w:rsid w:val="00160B43"/>
    <w:rsid w:val="00160F5C"/>
    <w:rsid w:val="00164864"/>
    <w:rsid w:val="00165B9B"/>
    <w:rsid w:val="00166B4A"/>
    <w:rsid w:val="00171775"/>
    <w:rsid w:val="00172BA3"/>
    <w:rsid w:val="00174655"/>
    <w:rsid w:val="00175BA1"/>
    <w:rsid w:val="0018015A"/>
    <w:rsid w:val="001834F5"/>
    <w:rsid w:val="0018701E"/>
    <w:rsid w:val="00187902"/>
    <w:rsid w:val="00193630"/>
    <w:rsid w:val="001937CD"/>
    <w:rsid w:val="00195386"/>
    <w:rsid w:val="00197F7C"/>
    <w:rsid w:val="001A1047"/>
    <w:rsid w:val="001B1222"/>
    <w:rsid w:val="001B2CA8"/>
    <w:rsid w:val="001B4731"/>
    <w:rsid w:val="001B4F4E"/>
    <w:rsid w:val="001B5C7A"/>
    <w:rsid w:val="001C1C65"/>
    <w:rsid w:val="001C2C54"/>
    <w:rsid w:val="001C5B40"/>
    <w:rsid w:val="001C784F"/>
    <w:rsid w:val="001E02BD"/>
    <w:rsid w:val="001E02EF"/>
    <w:rsid w:val="001E03C0"/>
    <w:rsid w:val="001E1D76"/>
    <w:rsid w:val="001E3915"/>
    <w:rsid w:val="001E3C26"/>
    <w:rsid w:val="001E626A"/>
    <w:rsid w:val="001E6E99"/>
    <w:rsid w:val="001E796F"/>
    <w:rsid w:val="001E7BBE"/>
    <w:rsid w:val="001F012A"/>
    <w:rsid w:val="001F06B9"/>
    <w:rsid w:val="001F089C"/>
    <w:rsid w:val="001F0AF8"/>
    <w:rsid w:val="001F393F"/>
    <w:rsid w:val="001F4064"/>
    <w:rsid w:val="001F6564"/>
    <w:rsid w:val="00200090"/>
    <w:rsid w:val="002047AC"/>
    <w:rsid w:val="00205E66"/>
    <w:rsid w:val="002067BD"/>
    <w:rsid w:val="00206965"/>
    <w:rsid w:val="002102F0"/>
    <w:rsid w:val="0021196D"/>
    <w:rsid w:val="00212CDB"/>
    <w:rsid w:val="002144A3"/>
    <w:rsid w:val="002147DE"/>
    <w:rsid w:val="0021729A"/>
    <w:rsid w:val="00217F40"/>
    <w:rsid w:val="00220F22"/>
    <w:rsid w:val="002223C5"/>
    <w:rsid w:val="002237FF"/>
    <w:rsid w:val="002261D5"/>
    <w:rsid w:val="0022688C"/>
    <w:rsid w:val="0023010F"/>
    <w:rsid w:val="002361D3"/>
    <w:rsid w:val="00236243"/>
    <w:rsid w:val="00242385"/>
    <w:rsid w:val="00243891"/>
    <w:rsid w:val="00243FCE"/>
    <w:rsid w:val="00244B07"/>
    <w:rsid w:val="00245644"/>
    <w:rsid w:val="00247D6F"/>
    <w:rsid w:val="00247E99"/>
    <w:rsid w:val="00251722"/>
    <w:rsid w:val="00251E5A"/>
    <w:rsid w:val="00251FE7"/>
    <w:rsid w:val="002523D7"/>
    <w:rsid w:val="00253117"/>
    <w:rsid w:val="00255A73"/>
    <w:rsid w:val="0025620E"/>
    <w:rsid w:val="00256AE8"/>
    <w:rsid w:val="0026006B"/>
    <w:rsid w:val="00260F5A"/>
    <w:rsid w:val="0026529E"/>
    <w:rsid w:val="002675F4"/>
    <w:rsid w:val="00272727"/>
    <w:rsid w:val="002730AB"/>
    <w:rsid w:val="00273D4B"/>
    <w:rsid w:val="00274CEF"/>
    <w:rsid w:val="0027668D"/>
    <w:rsid w:val="00280047"/>
    <w:rsid w:val="00280A6B"/>
    <w:rsid w:val="00280FFF"/>
    <w:rsid w:val="00287C5F"/>
    <w:rsid w:val="00290788"/>
    <w:rsid w:val="002914B8"/>
    <w:rsid w:val="00297048"/>
    <w:rsid w:val="00297F1A"/>
    <w:rsid w:val="00297FFC"/>
    <w:rsid w:val="002A1A91"/>
    <w:rsid w:val="002A2389"/>
    <w:rsid w:val="002A3320"/>
    <w:rsid w:val="002A33A2"/>
    <w:rsid w:val="002A45E0"/>
    <w:rsid w:val="002B100D"/>
    <w:rsid w:val="002B1E4F"/>
    <w:rsid w:val="002B4701"/>
    <w:rsid w:val="002B6FAF"/>
    <w:rsid w:val="002B72DE"/>
    <w:rsid w:val="002C1DAD"/>
    <w:rsid w:val="002C463A"/>
    <w:rsid w:val="002C6535"/>
    <w:rsid w:val="002C66F4"/>
    <w:rsid w:val="002C6A92"/>
    <w:rsid w:val="002D089D"/>
    <w:rsid w:val="002D113F"/>
    <w:rsid w:val="002D1A8F"/>
    <w:rsid w:val="002D227F"/>
    <w:rsid w:val="002D25DC"/>
    <w:rsid w:val="002D27AA"/>
    <w:rsid w:val="002D2955"/>
    <w:rsid w:val="002D49DC"/>
    <w:rsid w:val="002D4CC2"/>
    <w:rsid w:val="002D5C4A"/>
    <w:rsid w:val="002D69F9"/>
    <w:rsid w:val="002D78FA"/>
    <w:rsid w:val="002D7958"/>
    <w:rsid w:val="002D7B87"/>
    <w:rsid w:val="002D7FB6"/>
    <w:rsid w:val="002E05DB"/>
    <w:rsid w:val="002E11C5"/>
    <w:rsid w:val="002E443A"/>
    <w:rsid w:val="002E5C61"/>
    <w:rsid w:val="002E636C"/>
    <w:rsid w:val="002E63B3"/>
    <w:rsid w:val="002E6AA6"/>
    <w:rsid w:val="002E7758"/>
    <w:rsid w:val="002F05A0"/>
    <w:rsid w:val="002F6E1A"/>
    <w:rsid w:val="00303319"/>
    <w:rsid w:val="003034C2"/>
    <w:rsid w:val="0031297B"/>
    <w:rsid w:val="003148DA"/>
    <w:rsid w:val="00314F97"/>
    <w:rsid w:val="00316A49"/>
    <w:rsid w:val="00322DEC"/>
    <w:rsid w:val="00322E6F"/>
    <w:rsid w:val="0032418A"/>
    <w:rsid w:val="00324AC2"/>
    <w:rsid w:val="00331977"/>
    <w:rsid w:val="00331DF1"/>
    <w:rsid w:val="003367D8"/>
    <w:rsid w:val="00343AC7"/>
    <w:rsid w:val="00343C43"/>
    <w:rsid w:val="00345ECA"/>
    <w:rsid w:val="00346F79"/>
    <w:rsid w:val="00350386"/>
    <w:rsid w:val="0035132A"/>
    <w:rsid w:val="0035263D"/>
    <w:rsid w:val="00353A9E"/>
    <w:rsid w:val="00356281"/>
    <w:rsid w:val="0035665B"/>
    <w:rsid w:val="00360DBA"/>
    <w:rsid w:val="003621A9"/>
    <w:rsid w:val="003621E5"/>
    <w:rsid w:val="00362830"/>
    <w:rsid w:val="00362CDA"/>
    <w:rsid w:val="0036307F"/>
    <w:rsid w:val="00365595"/>
    <w:rsid w:val="003658EE"/>
    <w:rsid w:val="003665F8"/>
    <w:rsid w:val="00366DB5"/>
    <w:rsid w:val="00373F94"/>
    <w:rsid w:val="003756A5"/>
    <w:rsid w:val="003774D3"/>
    <w:rsid w:val="00377F28"/>
    <w:rsid w:val="00380ADB"/>
    <w:rsid w:val="00383334"/>
    <w:rsid w:val="00387916"/>
    <w:rsid w:val="0039194F"/>
    <w:rsid w:val="00391FC6"/>
    <w:rsid w:val="00393D80"/>
    <w:rsid w:val="003953CD"/>
    <w:rsid w:val="003A0B50"/>
    <w:rsid w:val="003A1839"/>
    <w:rsid w:val="003A1CCF"/>
    <w:rsid w:val="003A1F0B"/>
    <w:rsid w:val="003A3ECB"/>
    <w:rsid w:val="003A4BA0"/>
    <w:rsid w:val="003A4BE0"/>
    <w:rsid w:val="003A4E6B"/>
    <w:rsid w:val="003A57AD"/>
    <w:rsid w:val="003A6E58"/>
    <w:rsid w:val="003A70A0"/>
    <w:rsid w:val="003B10C7"/>
    <w:rsid w:val="003B28C2"/>
    <w:rsid w:val="003B30D3"/>
    <w:rsid w:val="003B34FC"/>
    <w:rsid w:val="003C2AF9"/>
    <w:rsid w:val="003C37CA"/>
    <w:rsid w:val="003C5117"/>
    <w:rsid w:val="003C5840"/>
    <w:rsid w:val="003C62DB"/>
    <w:rsid w:val="003C78E6"/>
    <w:rsid w:val="003D0A24"/>
    <w:rsid w:val="003D0ED1"/>
    <w:rsid w:val="003D4145"/>
    <w:rsid w:val="003D47D5"/>
    <w:rsid w:val="003D5418"/>
    <w:rsid w:val="003D6C31"/>
    <w:rsid w:val="003E01FE"/>
    <w:rsid w:val="003E2622"/>
    <w:rsid w:val="003E2A10"/>
    <w:rsid w:val="003E4712"/>
    <w:rsid w:val="003E55F8"/>
    <w:rsid w:val="003E62D2"/>
    <w:rsid w:val="003F0115"/>
    <w:rsid w:val="003F0227"/>
    <w:rsid w:val="003F14B5"/>
    <w:rsid w:val="003F4BFA"/>
    <w:rsid w:val="003F54B7"/>
    <w:rsid w:val="003F5D8F"/>
    <w:rsid w:val="003F5DF4"/>
    <w:rsid w:val="00401523"/>
    <w:rsid w:val="00402105"/>
    <w:rsid w:val="004038AD"/>
    <w:rsid w:val="004042CA"/>
    <w:rsid w:val="00410F9A"/>
    <w:rsid w:val="004144D5"/>
    <w:rsid w:val="004173EC"/>
    <w:rsid w:val="00423D96"/>
    <w:rsid w:val="004274C4"/>
    <w:rsid w:val="004305E1"/>
    <w:rsid w:val="00432A31"/>
    <w:rsid w:val="00433324"/>
    <w:rsid w:val="00433E14"/>
    <w:rsid w:val="00434BB3"/>
    <w:rsid w:val="00435946"/>
    <w:rsid w:val="004362AA"/>
    <w:rsid w:val="004368E3"/>
    <w:rsid w:val="00436D67"/>
    <w:rsid w:val="004371D9"/>
    <w:rsid w:val="00441817"/>
    <w:rsid w:val="00442A67"/>
    <w:rsid w:val="00445F7B"/>
    <w:rsid w:val="004462BA"/>
    <w:rsid w:val="00450FD3"/>
    <w:rsid w:val="00452463"/>
    <w:rsid w:val="004528E6"/>
    <w:rsid w:val="00453C48"/>
    <w:rsid w:val="00454CFA"/>
    <w:rsid w:val="004551E2"/>
    <w:rsid w:val="00471D23"/>
    <w:rsid w:val="004734D4"/>
    <w:rsid w:val="00473B6E"/>
    <w:rsid w:val="00473E68"/>
    <w:rsid w:val="004740C6"/>
    <w:rsid w:val="00475E96"/>
    <w:rsid w:val="0047704C"/>
    <w:rsid w:val="00477DD1"/>
    <w:rsid w:val="00481233"/>
    <w:rsid w:val="00481CEC"/>
    <w:rsid w:val="00482CC0"/>
    <w:rsid w:val="004864E2"/>
    <w:rsid w:val="00487128"/>
    <w:rsid w:val="00493ED1"/>
    <w:rsid w:val="004A32C9"/>
    <w:rsid w:val="004A3EEC"/>
    <w:rsid w:val="004A5D7C"/>
    <w:rsid w:val="004A5E4A"/>
    <w:rsid w:val="004A6555"/>
    <w:rsid w:val="004A7803"/>
    <w:rsid w:val="004B03AB"/>
    <w:rsid w:val="004B1E69"/>
    <w:rsid w:val="004B6A09"/>
    <w:rsid w:val="004C0983"/>
    <w:rsid w:val="004C2A4A"/>
    <w:rsid w:val="004C5DBD"/>
    <w:rsid w:val="004C7C1C"/>
    <w:rsid w:val="004D262E"/>
    <w:rsid w:val="004D2863"/>
    <w:rsid w:val="004D72B1"/>
    <w:rsid w:val="004E03A9"/>
    <w:rsid w:val="004E33EC"/>
    <w:rsid w:val="004E36F0"/>
    <w:rsid w:val="004E4172"/>
    <w:rsid w:val="004E4520"/>
    <w:rsid w:val="004E4F4C"/>
    <w:rsid w:val="004F07D6"/>
    <w:rsid w:val="004F4651"/>
    <w:rsid w:val="004F4A5C"/>
    <w:rsid w:val="004F65E9"/>
    <w:rsid w:val="004F7101"/>
    <w:rsid w:val="00501538"/>
    <w:rsid w:val="00501AC7"/>
    <w:rsid w:val="00502E97"/>
    <w:rsid w:val="005036FC"/>
    <w:rsid w:val="00503B57"/>
    <w:rsid w:val="00505C2E"/>
    <w:rsid w:val="00506850"/>
    <w:rsid w:val="005103B8"/>
    <w:rsid w:val="00511858"/>
    <w:rsid w:val="00511A6E"/>
    <w:rsid w:val="005129CF"/>
    <w:rsid w:val="00512D27"/>
    <w:rsid w:val="00514076"/>
    <w:rsid w:val="00514BA9"/>
    <w:rsid w:val="005163C8"/>
    <w:rsid w:val="0051769F"/>
    <w:rsid w:val="005202A7"/>
    <w:rsid w:val="00521E8A"/>
    <w:rsid w:val="0052366C"/>
    <w:rsid w:val="005239CD"/>
    <w:rsid w:val="00523C3F"/>
    <w:rsid w:val="005244A3"/>
    <w:rsid w:val="0052644E"/>
    <w:rsid w:val="00531F55"/>
    <w:rsid w:val="00532071"/>
    <w:rsid w:val="00533304"/>
    <w:rsid w:val="00533D63"/>
    <w:rsid w:val="0053419F"/>
    <w:rsid w:val="00534C93"/>
    <w:rsid w:val="0053524E"/>
    <w:rsid w:val="00537DFF"/>
    <w:rsid w:val="00540205"/>
    <w:rsid w:val="0054284D"/>
    <w:rsid w:val="00543510"/>
    <w:rsid w:val="005436F4"/>
    <w:rsid w:val="00546CBC"/>
    <w:rsid w:val="00552D19"/>
    <w:rsid w:val="005554F2"/>
    <w:rsid w:val="005577C0"/>
    <w:rsid w:val="005610AE"/>
    <w:rsid w:val="00561A10"/>
    <w:rsid w:val="00562B5E"/>
    <w:rsid w:val="005706F8"/>
    <w:rsid w:val="0057157D"/>
    <w:rsid w:val="00573F78"/>
    <w:rsid w:val="0057459B"/>
    <w:rsid w:val="00576296"/>
    <w:rsid w:val="00580C3E"/>
    <w:rsid w:val="00580F14"/>
    <w:rsid w:val="0058116E"/>
    <w:rsid w:val="00581902"/>
    <w:rsid w:val="005846AB"/>
    <w:rsid w:val="00586FA9"/>
    <w:rsid w:val="00587248"/>
    <w:rsid w:val="005900F8"/>
    <w:rsid w:val="00592270"/>
    <w:rsid w:val="00594F0F"/>
    <w:rsid w:val="005A05D6"/>
    <w:rsid w:val="005A0A0B"/>
    <w:rsid w:val="005A38BC"/>
    <w:rsid w:val="005A4734"/>
    <w:rsid w:val="005A65B0"/>
    <w:rsid w:val="005A743F"/>
    <w:rsid w:val="005B0405"/>
    <w:rsid w:val="005B05E5"/>
    <w:rsid w:val="005B1825"/>
    <w:rsid w:val="005B2213"/>
    <w:rsid w:val="005B2727"/>
    <w:rsid w:val="005C615C"/>
    <w:rsid w:val="005C653A"/>
    <w:rsid w:val="005C673A"/>
    <w:rsid w:val="005C708F"/>
    <w:rsid w:val="005D037B"/>
    <w:rsid w:val="005D1999"/>
    <w:rsid w:val="005D4084"/>
    <w:rsid w:val="005D6585"/>
    <w:rsid w:val="005E0432"/>
    <w:rsid w:val="005E063A"/>
    <w:rsid w:val="005E253C"/>
    <w:rsid w:val="005E28C7"/>
    <w:rsid w:val="005E3AE4"/>
    <w:rsid w:val="005E52C3"/>
    <w:rsid w:val="005E702D"/>
    <w:rsid w:val="005F13AC"/>
    <w:rsid w:val="005F2DC9"/>
    <w:rsid w:val="005F3559"/>
    <w:rsid w:val="005F3E65"/>
    <w:rsid w:val="005F514E"/>
    <w:rsid w:val="005F7EDF"/>
    <w:rsid w:val="006002E6"/>
    <w:rsid w:val="00601053"/>
    <w:rsid w:val="00601409"/>
    <w:rsid w:val="00602A8B"/>
    <w:rsid w:val="00603F40"/>
    <w:rsid w:val="006053C7"/>
    <w:rsid w:val="00605B90"/>
    <w:rsid w:val="00613535"/>
    <w:rsid w:val="00615EF9"/>
    <w:rsid w:val="00617FF5"/>
    <w:rsid w:val="00621DE7"/>
    <w:rsid w:val="00622385"/>
    <w:rsid w:val="00623810"/>
    <w:rsid w:val="00623AF5"/>
    <w:rsid w:val="00624E3E"/>
    <w:rsid w:val="0062578D"/>
    <w:rsid w:val="006314B2"/>
    <w:rsid w:val="0063265A"/>
    <w:rsid w:val="00637C6D"/>
    <w:rsid w:val="00640B0D"/>
    <w:rsid w:val="006411CF"/>
    <w:rsid w:val="0064166A"/>
    <w:rsid w:val="0064425D"/>
    <w:rsid w:val="00644878"/>
    <w:rsid w:val="00645392"/>
    <w:rsid w:val="0064595D"/>
    <w:rsid w:val="0064729F"/>
    <w:rsid w:val="00650DAC"/>
    <w:rsid w:val="00650F9F"/>
    <w:rsid w:val="006535BE"/>
    <w:rsid w:val="006536D7"/>
    <w:rsid w:val="00653D6B"/>
    <w:rsid w:val="006563AC"/>
    <w:rsid w:val="006578E6"/>
    <w:rsid w:val="00660CF8"/>
    <w:rsid w:val="00660FDC"/>
    <w:rsid w:val="00663133"/>
    <w:rsid w:val="00664DDD"/>
    <w:rsid w:val="00666F58"/>
    <w:rsid w:val="006671DA"/>
    <w:rsid w:val="00670E1D"/>
    <w:rsid w:val="00670F1F"/>
    <w:rsid w:val="00677127"/>
    <w:rsid w:val="0068053F"/>
    <w:rsid w:val="00680F0C"/>
    <w:rsid w:val="00682324"/>
    <w:rsid w:val="0068295D"/>
    <w:rsid w:val="00683E2F"/>
    <w:rsid w:val="00685996"/>
    <w:rsid w:val="00690DA6"/>
    <w:rsid w:val="006915A2"/>
    <w:rsid w:val="0069276A"/>
    <w:rsid w:val="00694EFE"/>
    <w:rsid w:val="006957EF"/>
    <w:rsid w:val="0069591B"/>
    <w:rsid w:val="006961F2"/>
    <w:rsid w:val="006966BD"/>
    <w:rsid w:val="006A195C"/>
    <w:rsid w:val="006A1C48"/>
    <w:rsid w:val="006A2164"/>
    <w:rsid w:val="006A3B65"/>
    <w:rsid w:val="006A434A"/>
    <w:rsid w:val="006B1E91"/>
    <w:rsid w:val="006B2374"/>
    <w:rsid w:val="006B3B23"/>
    <w:rsid w:val="006B7056"/>
    <w:rsid w:val="006B75C3"/>
    <w:rsid w:val="006C1684"/>
    <w:rsid w:val="006C2582"/>
    <w:rsid w:val="006C618B"/>
    <w:rsid w:val="006C7F58"/>
    <w:rsid w:val="006D0282"/>
    <w:rsid w:val="006D06DA"/>
    <w:rsid w:val="006D337F"/>
    <w:rsid w:val="006D3469"/>
    <w:rsid w:val="006D47C1"/>
    <w:rsid w:val="006D5A9A"/>
    <w:rsid w:val="006D68A6"/>
    <w:rsid w:val="006D6F72"/>
    <w:rsid w:val="006E0EEB"/>
    <w:rsid w:val="006E17CF"/>
    <w:rsid w:val="006E1DE0"/>
    <w:rsid w:val="006E23AD"/>
    <w:rsid w:val="006E400E"/>
    <w:rsid w:val="006E51D2"/>
    <w:rsid w:val="006E547E"/>
    <w:rsid w:val="006E56BA"/>
    <w:rsid w:val="006E60C1"/>
    <w:rsid w:val="006F1293"/>
    <w:rsid w:val="006F34B8"/>
    <w:rsid w:val="006F466A"/>
    <w:rsid w:val="006F49E6"/>
    <w:rsid w:val="006F7181"/>
    <w:rsid w:val="006F72C7"/>
    <w:rsid w:val="00700017"/>
    <w:rsid w:val="007032E3"/>
    <w:rsid w:val="00705572"/>
    <w:rsid w:val="00705703"/>
    <w:rsid w:val="00707236"/>
    <w:rsid w:val="00707A02"/>
    <w:rsid w:val="00710011"/>
    <w:rsid w:val="00713029"/>
    <w:rsid w:val="0071406E"/>
    <w:rsid w:val="0071443D"/>
    <w:rsid w:val="00716105"/>
    <w:rsid w:val="00722064"/>
    <w:rsid w:val="00726B60"/>
    <w:rsid w:val="00727AEB"/>
    <w:rsid w:val="00730ED8"/>
    <w:rsid w:val="00733F6C"/>
    <w:rsid w:val="00734B9F"/>
    <w:rsid w:val="007352D7"/>
    <w:rsid w:val="007379F4"/>
    <w:rsid w:val="00737DB3"/>
    <w:rsid w:val="0074034C"/>
    <w:rsid w:val="00742BEE"/>
    <w:rsid w:val="0074443D"/>
    <w:rsid w:val="00744891"/>
    <w:rsid w:val="00745587"/>
    <w:rsid w:val="00746169"/>
    <w:rsid w:val="007518B4"/>
    <w:rsid w:val="00753920"/>
    <w:rsid w:val="0075650F"/>
    <w:rsid w:val="00761D65"/>
    <w:rsid w:val="00763A8E"/>
    <w:rsid w:val="007643C2"/>
    <w:rsid w:val="00765A04"/>
    <w:rsid w:val="00765BA6"/>
    <w:rsid w:val="00767BB2"/>
    <w:rsid w:val="00767F03"/>
    <w:rsid w:val="00770B8F"/>
    <w:rsid w:val="007750A6"/>
    <w:rsid w:val="007767A3"/>
    <w:rsid w:val="00780EFF"/>
    <w:rsid w:val="00781431"/>
    <w:rsid w:val="00781781"/>
    <w:rsid w:val="007817D8"/>
    <w:rsid w:val="007854DE"/>
    <w:rsid w:val="00786ED5"/>
    <w:rsid w:val="00790CCD"/>
    <w:rsid w:val="00791766"/>
    <w:rsid w:val="00792B5A"/>
    <w:rsid w:val="00792E4A"/>
    <w:rsid w:val="00792EF3"/>
    <w:rsid w:val="00795392"/>
    <w:rsid w:val="007A3AEF"/>
    <w:rsid w:val="007A5755"/>
    <w:rsid w:val="007A6633"/>
    <w:rsid w:val="007A74B7"/>
    <w:rsid w:val="007B18CC"/>
    <w:rsid w:val="007B1958"/>
    <w:rsid w:val="007B4F46"/>
    <w:rsid w:val="007B5FB7"/>
    <w:rsid w:val="007C12BD"/>
    <w:rsid w:val="007C3EEF"/>
    <w:rsid w:val="007D1250"/>
    <w:rsid w:val="007D3D6A"/>
    <w:rsid w:val="007D51C7"/>
    <w:rsid w:val="007E02B3"/>
    <w:rsid w:val="007E04C4"/>
    <w:rsid w:val="007E19D7"/>
    <w:rsid w:val="007E25B0"/>
    <w:rsid w:val="007E3992"/>
    <w:rsid w:val="007E42D8"/>
    <w:rsid w:val="007E59FC"/>
    <w:rsid w:val="007E6281"/>
    <w:rsid w:val="007E6533"/>
    <w:rsid w:val="007E71D0"/>
    <w:rsid w:val="007E7C26"/>
    <w:rsid w:val="007F06F6"/>
    <w:rsid w:val="007F2A8B"/>
    <w:rsid w:val="007F33EF"/>
    <w:rsid w:val="007F34C9"/>
    <w:rsid w:val="007F4220"/>
    <w:rsid w:val="007F44A0"/>
    <w:rsid w:val="007F499C"/>
    <w:rsid w:val="007F4F39"/>
    <w:rsid w:val="007F7622"/>
    <w:rsid w:val="0080283B"/>
    <w:rsid w:val="00802E77"/>
    <w:rsid w:val="008047ED"/>
    <w:rsid w:val="008052DB"/>
    <w:rsid w:val="008069C4"/>
    <w:rsid w:val="0081010E"/>
    <w:rsid w:val="008113F0"/>
    <w:rsid w:val="00811B5F"/>
    <w:rsid w:val="00811B62"/>
    <w:rsid w:val="00811D87"/>
    <w:rsid w:val="0081419B"/>
    <w:rsid w:val="00814460"/>
    <w:rsid w:val="00822EDE"/>
    <w:rsid w:val="008247DA"/>
    <w:rsid w:val="00826794"/>
    <w:rsid w:val="008309A0"/>
    <w:rsid w:val="0083152E"/>
    <w:rsid w:val="00832A4E"/>
    <w:rsid w:val="00832B10"/>
    <w:rsid w:val="00833ED3"/>
    <w:rsid w:val="00835E9D"/>
    <w:rsid w:val="0083745B"/>
    <w:rsid w:val="00840E78"/>
    <w:rsid w:val="00841648"/>
    <w:rsid w:val="00842381"/>
    <w:rsid w:val="00843A91"/>
    <w:rsid w:val="00847167"/>
    <w:rsid w:val="0084747F"/>
    <w:rsid w:val="00852749"/>
    <w:rsid w:val="00860361"/>
    <w:rsid w:val="008621E2"/>
    <w:rsid w:val="008624A0"/>
    <w:rsid w:val="0086374E"/>
    <w:rsid w:val="008641F4"/>
    <w:rsid w:val="00864C5F"/>
    <w:rsid w:val="00865091"/>
    <w:rsid w:val="0086521B"/>
    <w:rsid w:val="00866955"/>
    <w:rsid w:val="008704E6"/>
    <w:rsid w:val="00875A63"/>
    <w:rsid w:val="00882EF1"/>
    <w:rsid w:val="008832E0"/>
    <w:rsid w:val="00883E6A"/>
    <w:rsid w:val="0088408C"/>
    <w:rsid w:val="008879D7"/>
    <w:rsid w:val="008907D5"/>
    <w:rsid w:val="00890CE7"/>
    <w:rsid w:val="008A18EE"/>
    <w:rsid w:val="008A2266"/>
    <w:rsid w:val="008A405A"/>
    <w:rsid w:val="008A40EB"/>
    <w:rsid w:val="008A434B"/>
    <w:rsid w:val="008A6AE3"/>
    <w:rsid w:val="008C1F57"/>
    <w:rsid w:val="008C2BEC"/>
    <w:rsid w:val="008C4E30"/>
    <w:rsid w:val="008C52E7"/>
    <w:rsid w:val="008C555E"/>
    <w:rsid w:val="008C5A26"/>
    <w:rsid w:val="008D407B"/>
    <w:rsid w:val="008D49B3"/>
    <w:rsid w:val="008D4E6A"/>
    <w:rsid w:val="008D6B6F"/>
    <w:rsid w:val="008E04FF"/>
    <w:rsid w:val="008E2914"/>
    <w:rsid w:val="008F1589"/>
    <w:rsid w:val="008F18CF"/>
    <w:rsid w:val="008F27F1"/>
    <w:rsid w:val="008F4BDA"/>
    <w:rsid w:val="00902709"/>
    <w:rsid w:val="00903425"/>
    <w:rsid w:val="009054B5"/>
    <w:rsid w:val="00905C1C"/>
    <w:rsid w:val="0090777A"/>
    <w:rsid w:val="00910ECA"/>
    <w:rsid w:val="0091167E"/>
    <w:rsid w:val="00911BE3"/>
    <w:rsid w:val="00916463"/>
    <w:rsid w:val="009211DB"/>
    <w:rsid w:val="00921BC5"/>
    <w:rsid w:val="0092264E"/>
    <w:rsid w:val="00924173"/>
    <w:rsid w:val="0092681F"/>
    <w:rsid w:val="0092757F"/>
    <w:rsid w:val="00931D3F"/>
    <w:rsid w:val="009339FD"/>
    <w:rsid w:val="0093521E"/>
    <w:rsid w:val="0093608E"/>
    <w:rsid w:val="00936D1C"/>
    <w:rsid w:val="00937F78"/>
    <w:rsid w:val="0094020F"/>
    <w:rsid w:val="009415C8"/>
    <w:rsid w:val="0094481D"/>
    <w:rsid w:val="00944841"/>
    <w:rsid w:val="009461D8"/>
    <w:rsid w:val="009474EF"/>
    <w:rsid w:val="00950F05"/>
    <w:rsid w:val="00951922"/>
    <w:rsid w:val="00951ACC"/>
    <w:rsid w:val="00953133"/>
    <w:rsid w:val="0095377B"/>
    <w:rsid w:val="00956992"/>
    <w:rsid w:val="00957AAA"/>
    <w:rsid w:val="00960BF8"/>
    <w:rsid w:val="0096212D"/>
    <w:rsid w:val="00962E3D"/>
    <w:rsid w:val="00963EC8"/>
    <w:rsid w:val="00966905"/>
    <w:rsid w:val="009672D9"/>
    <w:rsid w:val="009708F5"/>
    <w:rsid w:val="009716E6"/>
    <w:rsid w:val="0097632E"/>
    <w:rsid w:val="00977C5E"/>
    <w:rsid w:val="0098112A"/>
    <w:rsid w:val="009825BB"/>
    <w:rsid w:val="00984D50"/>
    <w:rsid w:val="00986592"/>
    <w:rsid w:val="00986700"/>
    <w:rsid w:val="00993B99"/>
    <w:rsid w:val="009946B9"/>
    <w:rsid w:val="00994C83"/>
    <w:rsid w:val="00994D06"/>
    <w:rsid w:val="00994F1C"/>
    <w:rsid w:val="0099539A"/>
    <w:rsid w:val="00997474"/>
    <w:rsid w:val="00997515"/>
    <w:rsid w:val="009A22C8"/>
    <w:rsid w:val="009A355D"/>
    <w:rsid w:val="009A35BF"/>
    <w:rsid w:val="009A36C5"/>
    <w:rsid w:val="009A5642"/>
    <w:rsid w:val="009B7039"/>
    <w:rsid w:val="009C1BD0"/>
    <w:rsid w:val="009C302D"/>
    <w:rsid w:val="009C3EB6"/>
    <w:rsid w:val="009C788C"/>
    <w:rsid w:val="009D1E69"/>
    <w:rsid w:val="009D7E6D"/>
    <w:rsid w:val="009D7F6D"/>
    <w:rsid w:val="009E044D"/>
    <w:rsid w:val="009E3571"/>
    <w:rsid w:val="009E4776"/>
    <w:rsid w:val="009E4AE0"/>
    <w:rsid w:val="009E7031"/>
    <w:rsid w:val="009E734E"/>
    <w:rsid w:val="009F1C79"/>
    <w:rsid w:val="009F4215"/>
    <w:rsid w:val="009F4E97"/>
    <w:rsid w:val="00A000D4"/>
    <w:rsid w:val="00A02463"/>
    <w:rsid w:val="00A06E0E"/>
    <w:rsid w:val="00A0716A"/>
    <w:rsid w:val="00A1167A"/>
    <w:rsid w:val="00A15BD7"/>
    <w:rsid w:val="00A1603E"/>
    <w:rsid w:val="00A17349"/>
    <w:rsid w:val="00A24FD2"/>
    <w:rsid w:val="00A27A77"/>
    <w:rsid w:val="00A31609"/>
    <w:rsid w:val="00A42B1A"/>
    <w:rsid w:val="00A4641F"/>
    <w:rsid w:val="00A50296"/>
    <w:rsid w:val="00A50C91"/>
    <w:rsid w:val="00A537AF"/>
    <w:rsid w:val="00A5381F"/>
    <w:rsid w:val="00A53FED"/>
    <w:rsid w:val="00A55CB6"/>
    <w:rsid w:val="00A5635A"/>
    <w:rsid w:val="00A6030D"/>
    <w:rsid w:val="00A61416"/>
    <w:rsid w:val="00A6183D"/>
    <w:rsid w:val="00A63D10"/>
    <w:rsid w:val="00A64AC7"/>
    <w:rsid w:val="00A64D10"/>
    <w:rsid w:val="00A65864"/>
    <w:rsid w:val="00A67F31"/>
    <w:rsid w:val="00A70FB5"/>
    <w:rsid w:val="00A72958"/>
    <w:rsid w:val="00A7447F"/>
    <w:rsid w:val="00A80706"/>
    <w:rsid w:val="00A82A2D"/>
    <w:rsid w:val="00A83033"/>
    <w:rsid w:val="00A838A8"/>
    <w:rsid w:val="00A84595"/>
    <w:rsid w:val="00A870AD"/>
    <w:rsid w:val="00A91789"/>
    <w:rsid w:val="00A91824"/>
    <w:rsid w:val="00A919F6"/>
    <w:rsid w:val="00A91B4A"/>
    <w:rsid w:val="00AA1413"/>
    <w:rsid w:val="00AA2657"/>
    <w:rsid w:val="00AA7E04"/>
    <w:rsid w:val="00AB04DA"/>
    <w:rsid w:val="00AB1AA1"/>
    <w:rsid w:val="00AB2D7E"/>
    <w:rsid w:val="00AB553D"/>
    <w:rsid w:val="00AB57A6"/>
    <w:rsid w:val="00AB6B23"/>
    <w:rsid w:val="00AC1031"/>
    <w:rsid w:val="00AC1309"/>
    <w:rsid w:val="00AC29CE"/>
    <w:rsid w:val="00AC30E6"/>
    <w:rsid w:val="00AC3E14"/>
    <w:rsid w:val="00AC6070"/>
    <w:rsid w:val="00AC74A0"/>
    <w:rsid w:val="00AD045D"/>
    <w:rsid w:val="00AD2834"/>
    <w:rsid w:val="00AD3DB1"/>
    <w:rsid w:val="00AD5A97"/>
    <w:rsid w:val="00AD5B10"/>
    <w:rsid w:val="00AD6D25"/>
    <w:rsid w:val="00AE3FBA"/>
    <w:rsid w:val="00AE407F"/>
    <w:rsid w:val="00AE69D4"/>
    <w:rsid w:val="00AF1207"/>
    <w:rsid w:val="00AF1D4A"/>
    <w:rsid w:val="00AF2924"/>
    <w:rsid w:val="00AF35AE"/>
    <w:rsid w:val="00AF3F12"/>
    <w:rsid w:val="00AF60BE"/>
    <w:rsid w:val="00AF6DA8"/>
    <w:rsid w:val="00AF73A3"/>
    <w:rsid w:val="00B0028B"/>
    <w:rsid w:val="00B005F7"/>
    <w:rsid w:val="00B04AC8"/>
    <w:rsid w:val="00B1098C"/>
    <w:rsid w:val="00B138AD"/>
    <w:rsid w:val="00B16C29"/>
    <w:rsid w:val="00B16E2D"/>
    <w:rsid w:val="00B177F5"/>
    <w:rsid w:val="00B25B35"/>
    <w:rsid w:val="00B25FEA"/>
    <w:rsid w:val="00B26E34"/>
    <w:rsid w:val="00B27CED"/>
    <w:rsid w:val="00B31E50"/>
    <w:rsid w:val="00B323B6"/>
    <w:rsid w:val="00B32B29"/>
    <w:rsid w:val="00B33ADD"/>
    <w:rsid w:val="00B355CD"/>
    <w:rsid w:val="00B3597D"/>
    <w:rsid w:val="00B35BFB"/>
    <w:rsid w:val="00B429E1"/>
    <w:rsid w:val="00B43B00"/>
    <w:rsid w:val="00B43CC4"/>
    <w:rsid w:val="00B451A4"/>
    <w:rsid w:val="00B46C05"/>
    <w:rsid w:val="00B46E2A"/>
    <w:rsid w:val="00B548D5"/>
    <w:rsid w:val="00B54C71"/>
    <w:rsid w:val="00B559A4"/>
    <w:rsid w:val="00B55F79"/>
    <w:rsid w:val="00B57437"/>
    <w:rsid w:val="00B61D62"/>
    <w:rsid w:val="00B629EC"/>
    <w:rsid w:val="00B701CC"/>
    <w:rsid w:val="00B73AB1"/>
    <w:rsid w:val="00B74751"/>
    <w:rsid w:val="00B76644"/>
    <w:rsid w:val="00B7706D"/>
    <w:rsid w:val="00B81357"/>
    <w:rsid w:val="00B81EB4"/>
    <w:rsid w:val="00B8448E"/>
    <w:rsid w:val="00B84E20"/>
    <w:rsid w:val="00B855F7"/>
    <w:rsid w:val="00B9058C"/>
    <w:rsid w:val="00B93393"/>
    <w:rsid w:val="00B94CBE"/>
    <w:rsid w:val="00BA03A1"/>
    <w:rsid w:val="00BA049F"/>
    <w:rsid w:val="00BA0702"/>
    <w:rsid w:val="00BA1225"/>
    <w:rsid w:val="00BA458A"/>
    <w:rsid w:val="00BA5818"/>
    <w:rsid w:val="00BA6652"/>
    <w:rsid w:val="00BA767C"/>
    <w:rsid w:val="00BB1055"/>
    <w:rsid w:val="00BB1188"/>
    <w:rsid w:val="00BB1C13"/>
    <w:rsid w:val="00BB265E"/>
    <w:rsid w:val="00BB4C8A"/>
    <w:rsid w:val="00BB5843"/>
    <w:rsid w:val="00BB5B75"/>
    <w:rsid w:val="00BB691D"/>
    <w:rsid w:val="00BB6BF3"/>
    <w:rsid w:val="00BC08C6"/>
    <w:rsid w:val="00BC11F4"/>
    <w:rsid w:val="00BC21CD"/>
    <w:rsid w:val="00BC283B"/>
    <w:rsid w:val="00BC3593"/>
    <w:rsid w:val="00BC367B"/>
    <w:rsid w:val="00BD59A5"/>
    <w:rsid w:val="00BD77BE"/>
    <w:rsid w:val="00BE16A4"/>
    <w:rsid w:val="00BE172D"/>
    <w:rsid w:val="00BE3694"/>
    <w:rsid w:val="00BE5D42"/>
    <w:rsid w:val="00BF0144"/>
    <w:rsid w:val="00BF0398"/>
    <w:rsid w:val="00BF17F3"/>
    <w:rsid w:val="00BF2DDB"/>
    <w:rsid w:val="00BF323C"/>
    <w:rsid w:val="00BF467A"/>
    <w:rsid w:val="00BF48C7"/>
    <w:rsid w:val="00BF5924"/>
    <w:rsid w:val="00C005E9"/>
    <w:rsid w:val="00C023A7"/>
    <w:rsid w:val="00C03C8F"/>
    <w:rsid w:val="00C044DE"/>
    <w:rsid w:val="00C10030"/>
    <w:rsid w:val="00C10154"/>
    <w:rsid w:val="00C117C2"/>
    <w:rsid w:val="00C117D6"/>
    <w:rsid w:val="00C13597"/>
    <w:rsid w:val="00C15037"/>
    <w:rsid w:val="00C16F8A"/>
    <w:rsid w:val="00C20745"/>
    <w:rsid w:val="00C20EB4"/>
    <w:rsid w:val="00C2166C"/>
    <w:rsid w:val="00C23F10"/>
    <w:rsid w:val="00C2455C"/>
    <w:rsid w:val="00C25FD9"/>
    <w:rsid w:val="00C2686D"/>
    <w:rsid w:val="00C26B2B"/>
    <w:rsid w:val="00C279F1"/>
    <w:rsid w:val="00C27AA8"/>
    <w:rsid w:val="00C30474"/>
    <w:rsid w:val="00C30CE6"/>
    <w:rsid w:val="00C30D12"/>
    <w:rsid w:val="00C31A89"/>
    <w:rsid w:val="00C322B4"/>
    <w:rsid w:val="00C37768"/>
    <w:rsid w:val="00C4208F"/>
    <w:rsid w:val="00C4409E"/>
    <w:rsid w:val="00C4515D"/>
    <w:rsid w:val="00C45612"/>
    <w:rsid w:val="00C45B46"/>
    <w:rsid w:val="00C469FC"/>
    <w:rsid w:val="00C50816"/>
    <w:rsid w:val="00C552CC"/>
    <w:rsid w:val="00C55824"/>
    <w:rsid w:val="00C55A9B"/>
    <w:rsid w:val="00C56720"/>
    <w:rsid w:val="00C613AD"/>
    <w:rsid w:val="00C65403"/>
    <w:rsid w:val="00C72FF3"/>
    <w:rsid w:val="00C741A8"/>
    <w:rsid w:val="00C7457C"/>
    <w:rsid w:val="00C75317"/>
    <w:rsid w:val="00C76182"/>
    <w:rsid w:val="00C77314"/>
    <w:rsid w:val="00C7753C"/>
    <w:rsid w:val="00C77BF0"/>
    <w:rsid w:val="00C8152F"/>
    <w:rsid w:val="00C85256"/>
    <w:rsid w:val="00C87114"/>
    <w:rsid w:val="00C93187"/>
    <w:rsid w:val="00C93239"/>
    <w:rsid w:val="00C93564"/>
    <w:rsid w:val="00C94042"/>
    <w:rsid w:val="00C95AC6"/>
    <w:rsid w:val="00C965DD"/>
    <w:rsid w:val="00C97315"/>
    <w:rsid w:val="00CA427F"/>
    <w:rsid w:val="00CA49D4"/>
    <w:rsid w:val="00CA7020"/>
    <w:rsid w:val="00CB12D6"/>
    <w:rsid w:val="00CB23D9"/>
    <w:rsid w:val="00CB4D63"/>
    <w:rsid w:val="00CC15EC"/>
    <w:rsid w:val="00CC2E6A"/>
    <w:rsid w:val="00CC49EB"/>
    <w:rsid w:val="00CC544D"/>
    <w:rsid w:val="00CC6464"/>
    <w:rsid w:val="00CC7217"/>
    <w:rsid w:val="00CD3986"/>
    <w:rsid w:val="00CD431A"/>
    <w:rsid w:val="00CD46E3"/>
    <w:rsid w:val="00CD4949"/>
    <w:rsid w:val="00CD765E"/>
    <w:rsid w:val="00CE2198"/>
    <w:rsid w:val="00CF03E3"/>
    <w:rsid w:val="00CF11C9"/>
    <w:rsid w:val="00CF1B9B"/>
    <w:rsid w:val="00CF5899"/>
    <w:rsid w:val="00CF6AC1"/>
    <w:rsid w:val="00CF6C72"/>
    <w:rsid w:val="00CF7060"/>
    <w:rsid w:val="00CF71CF"/>
    <w:rsid w:val="00CF781D"/>
    <w:rsid w:val="00CF7AED"/>
    <w:rsid w:val="00D0108C"/>
    <w:rsid w:val="00D042AB"/>
    <w:rsid w:val="00D04B77"/>
    <w:rsid w:val="00D06F46"/>
    <w:rsid w:val="00D10893"/>
    <w:rsid w:val="00D10D94"/>
    <w:rsid w:val="00D11B4E"/>
    <w:rsid w:val="00D12689"/>
    <w:rsid w:val="00D20041"/>
    <w:rsid w:val="00D21C39"/>
    <w:rsid w:val="00D2273B"/>
    <w:rsid w:val="00D228B5"/>
    <w:rsid w:val="00D23457"/>
    <w:rsid w:val="00D25B96"/>
    <w:rsid w:val="00D323BE"/>
    <w:rsid w:val="00D339E8"/>
    <w:rsid w:val="00D36729"/>
    <w:rsid w:val="00D4186C"/>
    <w:rsid w:val="00D45671"/>
    <w:rsid w:val="00D45AC4"/>
    <w:rsid w:val="00D47AFF"/>
    <w:rsid w:val="00D500B4"/>
    <w:rsid w:val="00D5187B"/>
    <w:rsid w:val="00D5271E"/>
    <w:rsid w:val="00D53689"/>
    <w:rsid w:val="00D538EC"/>
    <w:rsid w:val="00D56944"/>
    <w:rsid w:val="00D56FAF"/>
    <w:rsid w:val="00D61963"/>
    <w:rsid w:val="00D630EE"/>
    <w:rsid w:val="00D6345A"/>
    <w:rsid w:val="00D63F6E"/>
    <w:rsid w:val="00D65323"/>
    <w:rsid w:val="00D65984"/>
    <w:rsid w:val="00D66079"/>
    <w:rsid w:val="00D6688C"/>
    <w:rsid w:val="00D81CB4"/>
    <w:rsid w:val="00D81D34"/>
    <w:rsid w:val="00D84966"/>
    <w:rsid w:val="00D85317"/>
    <w:rsid w:val="00D87ADD"/>
    <w:rsid w:val="00D9066B"/>
    <w:rsid w:val="00D92666"/>
    <w:rsid w:val="00DA420C"/>
    <w:rsid w:val="00DA5522"/>
    <w:rsid w:val="00DB0B6D"/>
    <w:rsid w:val="00DB22DC"/>
    <w:rsid w:val="00DB61CF"/>
    <w:rsid w:val="00DB6C54"/>
    <w:rsid w:val="00DC0906"/>
    <w:rsid w:val="00DC16E0"/>
    <w:rsid w:val="00DC1944"/>
    <w:rsid w:val="00DC3E3B"/>
    <w:rsid w:val="00DC416D"/>
    <w:rsid w:val="00DC4553"/>
    <w:rsid w:val="00DC4815"/>
    <w:rsid w:val="00DD253B"/>
    <w:rsid w:val="00DD27D9"/>
    <w:rsid w:val="00DD5A80"/>
    <w:rsid w:val="00DD7D19"/>
    <w:rsid w:val="00DE52C5"/>
    <w:rsid w:val="00DE59A6"/>
    <w:rsid w:val="00DE721C"/>
    <w:rsid w:val="00DF119F"/>
    <w:rsid w:val="00DF7894"/>
    <w:rsid w:val="00DF7C18"/>
    <w:rsid w:val="00DF7F32"/>
    <w:rsid w:val="00E007F1"/>
    <w:rsid w:val="00E01733"/>
    <w:rsid w:val="00E01B62"/>
    <w:rsid w:val="00E02459"/>
    <w:rsid w:val="00E02B8F"/>
    <w:rsid w:val="00E03515"/>
    <w:rsid w:val="00E0493E"/>
    <w:rsid w:val="00E0528F"/>
    <w:rsid w:val="00E0686B"/>
    <w:rsid w:val="00E079E4"/>
    <w:rsid w:val="00E1216B"/>
    <w:rsid w:val="00E128E2"/>
    <w:rsid w:val="00E13DCE"/>
    <w:rsid w:val="00E17A22"/>
    <w:rsid w:val="00E24C33"/>
    <w:rsid w:val="00E25992"/>
    <w:rsid w:val="00E26933"/>
    <w:rsid w:val="00E27701"/>
    <w:rsid w:val="00E2784C"/>
    <w:rsid w:val="00E27904"/>
    <w:rsid w:val="00E30141"/>
    <w:rsid w:val="00E340DB"/>
    <w:rsid w:val="00E35EB1"/>
    <w:rsid w:val="00E408C3"/>
    <w:rsid w:val="00E41431"/>
    <w:rsid w:val="00E43F3E"/>
    <w:rsid w:val="00E43FBB"/>
    <w:rsid w:val="00E47ACD"/>
    <w:rsid w:val="00E53F21"/>
    <w:rsid w:val="00E60D5C"/>
    <w:rsid w:val="00E61FAC"/>
    <w:rsid w:val="00E66276"/>
    <w:rsid w:val="00E672CF"/>
    <w:rsid w:val="00E67AE1"/>
    <w:rsid w:val="00E707E8"/>
    <w:rsid w:val="00E71FF6"/>
    <w:rsid w:val="00E76E9E"/>
    <w:rsid w:val="00E82718"/>
    <w:rsid w:val="00E82A8B"/>
    <w:rsid w:val="00E839AC"/>
    <w:rsid w:val="00E856FD"/>
    <w:rsid w:val="00E86A8E"/>
    <w:rsid w:val="00E90C77"/>
    <w:rsid w:val="00E90D59"/>
    <w:rsid w:val="00E93949"/>
    <w:rsid w:val="00E93A70"/>
    <w:rsid w:val="00E93C4A"/>
    <w:rsid w:val="00E9447B"/>
    <w:rsid w:val="00E9481D"/>
    <w:rsid w:val="00E957D9"/>
    <w:rsid w:val="00E9753E"/>
    <w:rsid w:val="00EA4B97"/>
    <w:rsid w:val="00EA52D8"/>
    <w:rsid w:val="00EA7877"/>
    <w:rsid w:val="00EB1C8B"/>
    <w:rsid w:val="00EB37ED"/>
    <w:rsid w:val="00EB44B7"/>
    <w:rsid w:val="00EB666A"/>
    <w:rsid w:val="00EB6B8C"/>
    <w:rsid w:val="00EB7013"/>
    <w:rsid w:val="00EB70CF"/>
    <w:rsid w:val="00EB715D"/>
    <w:rsid w:val="00EC0778"/>
    <w:rsid w:val="00EC0C14"/>
    <w:rsid w:val="00EC226B"/>
    <w:rsid w:val="00EC53E7"/>
    <w:rsid w:val="00EC73CC"/>
    <w:rsid w:val="00ED0004"/>
    <w:rsid w:val="00ED1F78"/>
    <w:rsid w:val="00ED2149"/>
    <w:rsid w:val="00ED41C6"/>
    <w:rsid w:val="00ED436F"/>
    <w:rsid w:val="00ED5B5A"/>
    <w:rsid w:val="00ED6E5D"/>
    <w:rsid w:val="00EE3E93"/>
    <w:rsid w:val="00EE5399"/>
    <w:rsid w:val="00EE71FC"/>
    <w:rsid w:val="00EE7C9C"/>
    <w:rsid w:val="00EF0C97"/>
    <w:rsid w:val="00EF1EC2"/>
    <w:rsid w:val="00EF61F7"/>
    <w:rsid w:val="00EF6A6C"/>
    <w:rsid w:val="00EF71C3"/>
    <w:rsid w:val="00EF74EB"/>
    <w:rsid w:val="00F008AC"/>
    <w:rsid w:val="00F01DD0"/>
    <w:rsid w:val="00F032D7"/>
    <w:rsid w:val="00F038A8"/>
    <w:rsid w:val="00F050F8"/>
    <w:rsid w:val="00F11D8F"/>
    <w:rsid w:val="00F14581"/>
    <w:rsid w:val="00F157C0"/>
    <w:rsid w:val="00F1785C"/>
    <w:rsid w:val="00F17EA6"/>
    <w:rsid w:val="00F17EBA"/>
    <w:rsid w:val="00F264CF"/>
    <w:rsid w:val="00F30069"/>
    <w:rsid w:val="00F315DC"/>
    <w:rsid w:val="00F31D59"/>
    <w:rsid w:val="00F33992"/>
    <w:rsid w:val="00F34D87"/>
    <w:rsid w:val="00F36620"/>
    <w:rsid w:val="00F37FFB"/>
    <w:rsid w:val="00F4096A"/>
    <w:rsid w:val="00F42173"/>
    <w:rsid w:val="00F42BCB"/>
    <w:rsid w:val="00F45880"/>
    <w:rsid w:val="00F55537"/>
    <w:rsid w:val="00F60E7D"/>
    <w:rsid w:val="00F645F0"/>
    <w:rsid w:val="00F65E3D"/>
    <w:rsid w:val="00F76870"/>
    <w:rsid w:val="00F778A6"/>
    <w:rsid w:val="00F77A75"/>
    <w:rsid w:val="00F82139"/>
    <w:rsid w:val="00F83208"/>
    <w:rsid w:val="00F852E1"/>
    <w:rsid w:val="00F85E95"/>
    <w:rsid w:val="00F862F6"/>
    <w:rsid w:val="00F90503"/>
    <w:rsid w:val="00F937B8"/>
    <w:rsid w:val="00F9632B"/>
    <w:rsid w:val="00F969B1"/>
    <w:rsid w:val="00F9731B"/>
    <w:rsid w:val="00F97A4D"/>
    <w:rsid w:val="00FA09E8"/>
    <w:rsid w:val="00FA2BC0"/>
    <w:rsid w:val="00FA4493"/>
    <w:rsid w:val="00FA465A"/>
    <w:rsid w:val="00FB0F97"/>
    <w:rsid w:val="00FB1818"/>
    <w:rsid w:val="00FB29DA"/>
    <w:rsid w:val="00FB36A8"/>
    <w:rsid w:val="00FB6A75"/>
    <w:rsid w:val="00FB7D13"/>
    <w:rsid w:val="00FC0DAC"/>
    <w:rsid w:val="00FC2488"/>
    <w:rsid w:val="00FC2A65"/>
    <w:rsid w:val="00FC2B83"/>
    <w:rsid w:val="00FC2F97"/>
    <w:rsid w:val="00FD03D9"/>
    <w:rsid w:val="00FD280A"/>
    <w:rsid w:val="00FD2BEA"/>
    <w:rsid w:val="00FE2B7F"/>
    <w:rsid w:val="00FE3D8B"/>
    <w:rsid w:val="00FE42ED"/>
    <w:rsid w:val="00FE4B5E"/>
    <w:rsid w:val="00FE5B4A"/>
    <w:rsid w:val="00FE74FE"/>
    <w:rsid w:val="00FF0710"/>
    <w:rsid w:val="00FF0929"/>
    <w:rsid w:val="00FF0EF7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1A10"/>
    <w:pPr>
      <w:keepNext/>
      <w:outlineLvl w:val="0"/>
    </w:pPr>
    <w:rPr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character" w:customStyle="1" w:styleId="Heading1Char">
    <w:name w:val="Heading 1 Char"/>
    <w:link w:val="Heading1"/>
    <w:rsid w:val="00561A10"/>
    <w:rPr>
      <w:szCs w:val="24"/>
      <w:u w:val="single"/>
      <w:lang w:val="lv-LV"/>
    </w:rPr>
  </w:style>
  <w:style w:type="paragraph" w:styleId="BodyText">
    <w:name w:val="Body Text"/>
    <w:basedOn w:val="Normal"/>
    <w:link w:val="BodyTextChar"/>
    <w:rsid w:val="00763A8E"/>
    <w:rPr>
      <w:b/>
      <w:bCs/>
      <w:lang w:eastAsia="en-US"/>
    </w:rPr>
  </w:style>
  <w:style w:type="character" w:customStyle="1" w:styleId="BodyTextChar">
    <w:name w:val="Body Text Char"/>
    <w:link w:val="BodyText"/>
    <w:rsid w:val="00763A8E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rsid w:val="00763A8E"/>
    <w:rPr>
      <w:sz w:val="24"/>
      <w:szCs w:val="24"/>
    </w:rPr>
  </w:style>
  <w:style w:type="paragraph" w:customStyle="1" w:styleId="naiskr">
    <w:name w:val="naiskr"/>
    <w:basedOn w:val="Normal"/>
    <w:rsid w:val="00353A9E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7F4F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F39"/>
    <w:rPr>
      <w:sz w:val="16"/>
      <w:szCs w:val="16"/>
    </w:rPr>
  </w:style>
  <w:style w:type="table" w:styleId="TableGrid">
    <w:name w:val="Table Grid"/>
    <w:basedOn w:val="TableNormal"/>
    <w:rsid w:val="005E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1A10"/>
    <w:pPr>
      <w:keepNext/>
      <w:outlineLvl w:val="0"/>
    </w:pPr>
    <w:rPr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character" w:customStyle="1" w:styleId="Heading1Char">
    <w:name w:val="Heading 1 Char"/>
    <w:link w:val="Heading1"/>
    <w:rsid w:val="00561A10"/>
    <w:rPr>
      <w:szCs w:val="24"/>
      <w:u w:val="single"/>
      <w:lang w:val="lv-LV"/>
    </w:rPr>
  </w:style>
  <w:style w:type="paragraph" w:styleId="BodyText">
    <w:name w:val="Body Text"/>
    <w:basedOn w:val="Normal"/>
    <w:link w:val="BodyTextChar"/>
    <w:rsid w:val="00763A8E"/>
    <w:rPr>
      <w:b/>
      <w:bCs/>
      <w:lang w:eastAsia="en-US"/>
    </w:rPr>
  </w:style>
  <w:style w:type="character" w:customStyle="1" w:styleId="BodyTextChar">
    <w:name w:val="Body Text Char"/>
    <w:link w:val="BodyText"/>
    <w:rsid w:val="00763A8E"/>
    <w:rPr>
      <w:b/>
      <w:bCs/>
      <w:sz w:val="24"/>
      <w:szCs w:val="24"/>
      <w:lang w:eastAsia="en-US"/>
    </w:rPr>
  </w:style>
  <w:style w:type="character" w:customStyle="1" w:styleId="FooterChar">
    <w:name w:val="Footer Char"/>
    <w:link w:val="Footer"/>
    <w:rsid w:val="00763A8E"/>
    <w:rPr>
      <w:sz w:val="24"/>
      <w:szCs w:val="24"/>
    </w:rPr>
  </w:style>
  <w:style w:type="paragraph" w:customStyle="1" w:styleId="naiskr">
    <w:name w:val="naiskr"/>
    <w:basedOn w:val="Normal"/>
    <w:rsid w:val="00353A9E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7F4F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F39"/>
    <w:rPr>
      <w:sz w:val="16"/>
      <w:szCs w:val="16"/>
    </w:rPr>
  </w:style>
  <w:style w:type="table" w:styleId="TableGrid">
    <w:name w:val="Table Grid"/>
    <w:basedOn w:val="TableNormal"/>
    <w:rsid w:val="005E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3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25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4DC5-686E-45BF-94B8-2B3B58F3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890</Words>
  <Characters>5631</Characters>
  <Application>Microsoft Office Word</Application>
  <DocSecurity>0</DocSecurity>
  <Lines>433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likumā "Par iedzīvotāju ienākuma nodokli"" sākotnējās ietekmes novērtējuma ziņojums (anotācija)</vt:lpstr>
    </vt:vector>
  </TitlesOfParts>
  <Company>FM</Company>
  <LinksUpToDate>false</LinksUpToDate>
  <CharactersWithSpaces>6261</CharactersWithSpaces>
  <SharedDoc>false</SharedDoc>
  <HLinks>
    <vt:vector size="6" baseType="variant"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mailto:anda.orehova@fm.gov.lv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iedzīvotāju ienākuma nodokli"" sākotnējās ietekmes novērtējuma ziņojums (anotācija)</dc:title>
  <dc:subject>Anotācija</dc:subject>
  <dc:creator>Inese Veinberga</dc:creator>
  <cp:keywords/>
  <dc:description>t.67083848_x000d_
Inese.Veinberga@fm.gov.lv_x000d_
_x000d_
</dc:description>
  <cp:lastModifiedBy>it-berna</cp:lastModifiedBy>
  <cp:revision>8</cp:revision>
  <cp:lastPrinted>2012-05-11T05:41:00Z</cp:lastPrinted>
  <dcterms:created xsi:type="dcterms:W3CDTF">2012-05-10T12:51:00Z</dcterms:created>
  <dcterms:modified xsi:type="dcterms:W3CDTF">2012-05-11T06:00:00Z</dcterms:modified>
</cp:coreProperties>
</file>