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D9" w:rsidRPr="00203898" w:rsidRDefault="00F758D9" w:rsidP="00F758D9">
      <w:pPr>
        <w:jc w:val="center"/>
        <w:rPr>
          <w:b/>
          <w:color w:val="000000"/>
          <w:sz w:val="26"/>
          <w:szCs w:val="26"/>
        </w:rPr>
      </w:pPr>
      <w:r>
        <w:rPr>
          <w:rFonts w:eastAsia="Times New Roman"/>
          <w:b/>
          <w:sz w:val="26"/>
          <w:szCs w:val="26"/>
        </w:rPr>
        <w:t>Likum</w:t>
      </w:r>
      <w:r w:rsidRPr="00203898">
        <w:rPr>
          <w:rFonts w:eastAsia="Times New Roman"/>
          <w:b/>
          <w:sz w:val="26"/>
          <w:szCs w:val="26"/>
        </w:rPr>
        <w:t>projekta „</w:t>
      </w:r>
      <w:r>
        <w:rPr>
          <w:rFonts w:eastAsia="Times New Roman"/>
          <w:b/>
          <w:sz w:val="26"/>
          <w:szCs w:val="26"/>
        </w:rPr>
        <w:t xml:space="preserve">Grozījumi </w:t>
      </w:r>
      <w:r w:rsidRPr="00203898">
        <w:rPr>
          <w:b/>
          <w:sz w:val="26"/>
          <w:szCs w:val="26"/>
        </w:rPr>
        <w:t>Publiskas personas mantas atsavināšanas likumā</w:t>
      </w:r>
      <w:r w:rsidRPr="00203898">
        <w:rPr>
          <w:b/>
          <w:bCs/>
          <w:color w:val="000000"/>
          <w:sz w:val="26"/>
          <w:szCs w:val="26"/>
        </w:rPr>
        <w:t>” sākotnējās</w:t>
      </w:r>
      <w:r w:rsidRPr="00203898">
        <w:rPr>
          <w:b/>
          <w:bCs/>
          <w:sz w:val="26"/>
          <w:szCs w:val="26"/>
        </w:rPr>
        <w:t xml:space="preserve"> ietekmes novērtējuma </w:t>
      </w:r>
      <w:smartTag w:uri="schemas-tilde-lv/tildestengine" w:element="veidnes">
        <w:smartTagPr>
          <w:attr w:name="id" w:val="-1"/>
          <w:attr w:name="baseform" w:val="ziņojums"/>
          <w:attr w:name="text" w:val="ziņojums"/>
        </w:smartTagPr>
        <w:r w:rsidRPr="00203898">
          <w:rPr>
            <w:b/>
            <w:bCs/>
            <w:sz w:val="26"/>
            <w:szCs w:val="26"/>
          </w:rPr>
          <w:t>ziņojums</w:t>
        </w:r>
      </w:smartTag>
      <w:r w:rsidRPr="00203898">
        <w:rPr>
          <w:b/>
          <w:bCs/>
          <w:sz w:val="26"/>
          <w:szCs w:val="26"/>
        </w:rPr>
        <w:t xml:space="preserve"> (</w:t>
      </w:r>
      <w:r w:rsidRPr="00203898">
        <w:rPr>
          <w:b/>
          <w:color w:val="000000"/>
          <w:sz w:val="26"/>
          <w:szCs w:val="26"/>
        </w:rPr>
        <w:t>anotācija)</w:t>
      </w:r>
    </w:p>
    <w:p w:rsidR="00F758D9" w:rsidRPr="00203898" w:rsidRDefault="00F758D9" w:rsidP="00F758D9">
      <w:pPr>
        <w:jc w:val="center"/>
        <w:rPr>
          <w:b/>
          <w:spacing w:val="2"/>
          <w:position w:val="-12"/>
          <w:sz w:val="26"/>
          <w:szCs w:val="26"/>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7"/>
        <w:gridCol w:w="2268"/>
        <w:gridCol w:w="6378"/>
      </w:tblGrid>
      <w:tr w:rsidR="00F758D9" w:rsidRPr="00203898" w:rsidTr="00744F4B">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F758D9" w:rsidRPr="00203898" w:rsidRDefault="00F758D9" w:rsidP="00744F4B">
            <w:pPr>
              <w:pStyle w:val="NormalWeb"/>
              <w:spacing w:before="0" w:beforeAutospacing="0" w:after="0" w:afterAutospacing="0"/>
              <w:jc w:val="center"/>
              <w:rPr>
                <w:b/>
                <w:bCs/>
                <w:sz w:val="26"/>
                <w:szCs w:val="26"/>
              </w:rPr>
            </w:pPr>
            <w:r w:rsidRPr="00203898">
              <w:rPr>
                <w:b/>
                <w:bCs/>
                <w:sz w:val="26"/>
                <w:szCs w:val="26"/>
              </w:rPr>
              <w:t>I. Tiesību akta projekta izstrādes nepieciešamība</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1.</w:t>
            </w:r>
          </w:p>
        </w:tc>
        <w:tc>
          <w:tcPr>
            <w:tcW w:w="1250"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Pamatojums</w:t>
            </w:r>
          </w:p>
        </w:tc>
        <w:tc>
          <w:tcPr>
            <w:tcW w:w="3515" w:type="pct"/>
            <w:tcBorders>
              <w:top w:val="outset" w:sz="6" w:space="0" w:color="000000"/>
              <w:left w:val="outset" w:sz="6" w:space="0" w:color="000000"/>
              <w:bottom w:val="outset" w:sz="6" w:space="0" w:color="000000"/>
              <w:right w:val="outset" w:sz="6" w:space="0" w:color="000000"/>
            </w:tcBorders>
          </w:tcPr>
          <w:p w:rsidR="002C23D1" w:rsidRPr="002C23D1" w:rsidRDefault="002C23D1" w:rsidP="00744F4B">
            <w:pPr>
              <w:spacing w:after="60"/>
              <w:ind w:right="57"/>
              <w:jc w:val="both"/>
              <w:outlineLvl w:val="0"/>
              <w:rPr>
                <w:rFonts w:eastAsia="Times New Roman"/>
                <w:bCs/>
                <w:iCs/>
                <w:sz w:val="26"/>
                <w:szCs w:val="26"/>
                <w:lang w:eastAsia="en-US"/>
              </w:rPr>
            </w:pPr>
            <w:r w:rsidRPr="002C23D1">
              <w:rPr>
                <w:i/>
                <w:iCs/>
                <w:sz w:val="26"/>
                <w:szCs w:val="26"/>
              </w:rPr>
              <w:t>Euro</w:t>
            </w:r>
            <w:r>
              <w:rPr>
                <w:iCs/>
                <w:sz w:val="26"/>
                <w:szCs w:val="26"/>
              </w:rPr>
              <w:t xml:space="preserve"> ieviešanas kārtības likuma 30.panta pirmā daļa.</w:t>
            </w:r>
          </w:p>
          <w:p w:rsidR="00F758D9" w:rsidRPr="00203898" w:rsidRDefault="00F758D9" w:rsidP="00744F4B">
            <w:pPr>
              <w:spacing w:after="60"/>
              <w:ind w:right="57"/>
              <w:jc w:val="both"/>
              <w:outlineLvl w:val="0"/>
              <w:rPr>
                <w:rFonts w:eastAsia="Times New Roman"/>
                <w:bCs/>
                <w:iCs/>
                <w:sz w:val="26"/>
                <w:szCs w:val="26"/>
                <w:lang w:eastAsia="en-US"/>
              </w:rPr>
            </w:pPr>
            <w:r w:rsidRPr="00203898">
              <w:rPr>
                <w:rFonts w:eastAsia="Times New Roman"/>
                <w:bCs/>
                <w:iCs/>
                <w:sz w:val="26"/>
                <w:szCs w:val="26"/>
                <w:lang w:eastAsia="en-US"/>
              </w:rPr>
              <w:t>Ministru kabineta 2012.gada 27.jūnija rīkojums Nr.2</w:t>
            </w:r>
            <w:r>
              <w:rPr>
                <w:rFonts w:eastAsia="Times New Roman"/>
                <w:bCs/>
                <w:iCs/>
                <w:sz w:val="26"/>
                <w:szCs w:val="26"/>
                <w:lang w:eastAsia="en-US"/>
              </w:rPr>
              <w:t>82 „Par „</w:t>
            </w:r>
            <w:r w:rsidRPr="00203898">
              <w:rPr>
                <w:rFonts w:eastAsia="Times New Roman"/>
                <w:bCs/>
                <w:iCs/>
                <w:sz w:val="26"/>
                <w:szCs w:val="26"/>
                <w:lang w:eastAsia="en-US"/>
              </w:rPr>
              <w:t xml:space="preserve">Koncepciju par normatīvo aktu sakārtošanu saistībā ar eiro ieviešanu Latvijā”” </w:t>
            </w:r>
            <w:r>
              <w:rPr>
                <w:rFonts w:eastAsia="Times New Roman"/>
                <w:bCs/>
                <w:iCs/>
                <w:sz w:val="26"/>
                <w:szCs w:val="26"/>
                <w:lang w:eastAsia="en-US"/>
              </w:rPr>
              <w:t>6</w:t>
            </w:r>
            <w:r w:rsidRPr="00203898">
              <w:rPr>
                <w:rFonts w:eastAsia="Times New Roman"/>
                <w:bCs/>
                <w:iCs/>
                <w:sz w:val="26"/>
                <w:szCs w:val="26"/>
                <w:lang w:eastAsia="en-US"/>
              </w:rPr>
              <w:t>.apakšpunkts.</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2.</w:t>
            </w:r>
          </w:p>
        </w:tc>
        <w:tc>
          <w:tcPr>
            <w:tcW w:w="1250"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Pašreizējā situācija un problēmas</w:t>
            </w:r>
          </w:p>
        </w:tc>
        <w:tc>
          <w:tcPr>
            <w:tcW w:w="3515" w:type="pct"/>
            <w:tcBorders>
              <w:top w:val="outset" w:sz="6" w:space="0" w:color="000000"/>
              <w:left w:val="outset" w:sz="6" w:space="0" w:color="000000"/>
              <w:bottom w:val="outset" w:sz="6" w:space="0" w:color="000000"/>
              <w:right w:val="outset" w:sz="6" w:space="0" w:color="000000"/>
            </w:tcBorders>
          </w:tcPr>
          <w:p w:rsidR="00F758D9" w:rsidRPr="002C23D1" w:rsidRDefault="00F758D9" w:rsidP="00744F4B">
            <w:pPr>
              <w:pStyle w:val="ListParagraph"/>
              <w:ind w:left="0"/>
              <w:jc w:val="both"/>
              <w:rPr>
                <w:bCs/>
                <w:iCs/>
                <w:sz w:val="26"/>
                <w:szCs w:val="26"/>
                <w:lang w:eastAsia="en-US"/>
              </w:rPr>
            </w:pPr>
            <w:r w:rsidRPr="00203898">
              <w:rPr>
                <w:bCs/>
                <w:iCs/>
                <w:sz w:val="26"/>
                <w:szCs w:val="26"/>
                <w:lang w:eastAsia="en-US"/>
              </w:rPr>
              <w:t xml:space="preserve">Ņemot vērā, ka pēc iestāšanās </w:t>
            </w:r>
            <w:r w:rsidRPr="002C23D1">
              <w:rPr>
                <w:bCs/>
                <w:i/>
                <w:iCs/>
                <w:sz w:val="26"/>
                <w:szCs w:val="26"/>
                <w:lang w:eastAsia="en-US"/>
              </w:rPr>
              <w:t>euro</w:t>
            </w:r>
            <w:r w:rsidRPr="00203898">
              <w:rPr>
                <w:bCs/>
                <w:iCs/>
                <w:sz w:val="26"/>
                <w:szCs w:val="26"/>
                <w:lang w:eastAsia="en-US"/>
              </w:rPr>
              <w:t xml:space="preserve"> zonā, likumīgais maksāšanas līdzeklis būs nevis lats, bet </w:t>
            </w:r>
            <w:r w:rsidRPr="002C23D1">
              <w:rPr>
                <w:bCs/>
                <w:i/>
                <w:iCs/>
                <w:sz w:val="26"/>
                <w:szCs w:val="26"/>
                <w:lang w:eastAsia="en-US"/>
              </w:rPr>
              <w:t>euro</w:t>
            </w:r>
            <w:r w:rsidRPr="00203898">
              <w:rPr>
                <w:bCs/>
                <w:iCs/>
                <w:sz w:val="26"/>
                <w:szCs w:val="26"/>
                <w:lang w:eastAsia="en-US"/>
              </w:rPr>
              <w:t>, Publiskas personas mantas atsavināšanas likumā izmaiņas n</w:t>
            </w:r>
            <w:r>
              <w:rPr>
                <w:bCs/>
                <w:iCs/>
                <w:sz w:val="26"/>
                <w:szCs w:val="26"/>
                <w:lang w:eastAsia="en-US"/>
              </w:rPr>
              <w:t>epieciešamas, lai nodrošinātu šī normatīvā akta</w:t>
            </w:r>
            <w:r w:rsidRPr="00203898">
              <w:rPr>
                <w:bCs/>
                <w:iCs/>
                <w:sz w:val="26"/>
                <w:szCs w:val="26"/>
                <w:lang w:eastAsia="en-US"/>
              </w:rPr>
              <w:t xml:space="preserve"> pielāgošanu </w:t>
            </w:r>
            <w:r w:rsidRPr="002C23D1">
              <w:rPr>
                <w:bCs/>
                <w:i/>
                <w:iCs/>
                <w:sz w:val="26"/>
                <w:szCs w:val="26"/>
                <w:lang w:eastAsia="en-US"/>
              </w:rPr>
              <w:t>euro</w:t>
            </w:r>
            <w:r w:rsidRPr="00203898">
              <w:rPr>
                <w:bCs/>
                <w:iCs/>
                <w:sz w:val="26"/>
                <w:szCs w:val="26"/>
                <w:lang w:eastAsia="en-US"/>
              </w:rPr>
              <w:t xml:space="preserve"> ieviešanai Latvijā un korektu piemērošanu pēc </w:t>
            </w:r>
            <w:r w:rsidRPr="002C23D1">
              <w:rPr>
                <w:bCs/>
                <w:i/>
                <w:iCs/>
                <w:sz w:val="26"/>
                <w:szCs w:val="26"/>
                <w:lang w:eastAsia="en-US"/>
              </w:rPr>
              <w:t>euro</w:t>
            </w:r>
            <w:r w:rsidRPr="00203898">
              <w:rPr>
                <w:bCs/>
                <w:iCs/>
                <w:sz w:val="26"/>
                <w:szCs w:val="26"/>
                <w:lang w:eastAsia="en-US"/>
              </w:rPr>
              <w:t xml:space="preserve"> ieviešanas.</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3.</w:t>
            </w:r>
          </w:p>
        </w:tc>
        <w:tc>
          <w:tcPr>
            <w:tcW w:w="1250"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Saistītie politikas ietekmes novērtējumi un pētījumi</w:t>
            </w:r>
          </w:p>
        </w:tc>
        <w:tc>
          <w:tcPr>
            <w:tcW w:w="3515" w:type="pct"/>
            <w:tcBorders>
              <w:top w:val="outset" w:sz="6" w:space="0" w:color="000000"/>
              <w:left w:val="outset" w:sz="6" w:space="0" w:color="000000"/>
              <w:bottom w:val="outset" w:sz="6" w:space="0" w:color="000000"/>
              <w:right w:val="outset" w:sz="6" w:space="0" w:color="000000"/>
            </w:tcBorders>
          </w:tcPr>
          <w:p w:rsidR="00F758D9" w:rsidRPr="00203898" w:rsidRDefault="00F758D9" w:rsidP="00744F4B">
            <w:pPr>
              <w:pStyle w:val="NormalWeb"/>
              <w:spacing w:before="0" w:beforeAutospacing="0" w:after="60" w:afterAutospacing="0"/>
              <w:ind w:right="57"/>
              <w:jc w:val="both"/>
              <w:rPr>
                <w:sz w:val="26"/>
                <w:szCs w:val="26"/>
              </w:rPr>
            </w:pPr>
            <w:r w:rsidRPr="00203898">
              <w:rPr>
                <w:sz w:val="26"/>
                <w:szCs w:val="26"/>
              </w:rPr>
              <w:t>Nav attiecināms.</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4.</w:t>
            </w:r>
          </w:p>
        </w:tc>
        <w:tc>
          <w:tcPr>
            <w:tcW w:w="1250"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Tiesiskā regulējuma mērķis un būtība</w:t>
            </w:r>
          </w:p>
        </w:tc>
        <w:tc>
          <w:tcPr>
            <w:tcW w:w="3515" w:type="pct"/>
            <w:tcBorders>
              <w:top w:val="outset" w:sz="6" w:space="0" w:color="000000"/>
              <w:left w:val="outset" w:sz="6" w:space="0" w:color="000000"/>
              <w:bottom w:val="outset" w:sz="6" w:space="0" w:color="000000"/>
              <w:right w:val="outset" w:sz="6" w:space="0" w:color="000000"/>
            </w:tcBorders>
          </w:tcPr>
          <w:p w:rsidR="00F758D9" w:rsidRPr="00017A53" w:rsidRDefault="00017A53" w:rsidP="00017A53">
            <w:pPr>
              <w:pStyle w:val="ListParagraph"/>
              <w:numPr>
                <w:ilvl w:val="0"/>
                <w:numId w:val="2"/>
              </w:numPr>
              <w:spacing w:after="60"/>
              <w:ind w:left="0" w:right="57" w:firstLine="360"/>
              <w:jc w:val="both"/>
              <w:outlineLvl w:val="0"/>
              <w:rPr>
                <w:sz w:val="26"/>
                <w:szCs w:val="26"/>
              </w:rPr>
            </w:pPr>
            <w:r>
              <w:rPr>
                <w:sz w:val="26"/>
                <w:szCs w:val="26"/>
              </w:rPr>
              <w:t>Likumprojekts paredz veikt tehnisku</w:t>
            </w:r>
            <w:r w:rsidR="00F758D9" w:rsidRPr="00017A53">
              <w:rPr>
                <w:sz w:val="26"/>
                <w:szCs w:val="26"/>
              </w:rPr>
              <w:t xml:space="preserve">s precizējumus, lai nodrošinātu, ka normas nesatur atsauci uz latiem, kā arī, ņemot vērā oficiālo maiņas kursu, izteikt </w:t>
            </w:r>
            <w:r w:rsidR="00F758D9" w:rsidRPr="00017A53">
              <w:rPr>
                <w:i/>
                <w:sz w:val="26"/>
                <w:szCs w:val="26"/>
              </w:rPr>
              <w:t>euro</w:t>
            </w:r>
            <w:r w:rsidR="00F758D9" w:rsidRPr="00017A53">
              <w:rPr>
                <w:sz w:val="26"/>
                <w:szCs w:val="26"/>
              </w:rPr>
              <w:t xml:space="preserve"> tās summas, kas šobrīd ir noteiktas latos. </w:t>
            </w:r>
          </w:p>
          <w:p w:rsidR="00F758D9" w:rsidRPr="00524F2A" w:rsidRDefault="00F758D9" w:rsidP="00744F4B">
            <w:pPr>
              <w:tabs>
                <w:tab w:val="left" w:pos="8640"/>
                <w:tab w:val="left" w:pos="9180"/>
              </w:tabs>
              <w:ind w:right="71" w:firstLine="720"/>
              <w:jc w:val="both"/>
              <w:rPr>
                <w:sz w:val="26"/>
                <w:szCs w:val="26"/>
              </w:rPr>
            </w:pPr>
            <w:r w:rsidRPr="002C23D1">
              <w:rPr>
                <w:i/>
                <w:sz w:val="26"/>
                <w:szCs w:val="26"/>
              </w:rPr>
              <w:t>E</w:t>
            </w:r>
            <w:r w:rsidR="002C23D1" w:rsidRPr="002C23D1">
              <w:rPr>
                <w:i/>
                <w:sz w:val="26"/>
                <w:szCs w:val="26"/>
              </w:rPr>
              <w:t>u</w:t>
            </w:r>
            <w:r w:rsidRPr="002C23D1">
              <w:rPr>
                <w:i/>
                <w:sz w:val="26"/>
                <w:szCs w:val="26"/>
              </w:rPr>
              <w:t>ro</w:t>
            </w:r>
            <w:r w:rsidRPr="00524F2A">
              <w:rPr>
                <w:sz w:val="26"/>
                <w:szCs w:val="26"/>
              </w:rPr>
              <w:t xml:space="preserve"> ieviešanas kārtības likuma 6.panta otrā daļa noteic, ka </w:t>
            </w:r>
            <w:r w:rsidRPr="00524F2A">
              <w:rPr>
                <w:i/>
                <w:sz w:val="26"/>
                <w:szCs w:val="26"/>
              </w:rPr>
              <w:t>naudas</w:t>
            </w:r>
            <w:r w:rsidRPr="00524F2A">
              <w:rPr>
                <w:sz w:val="26"/>
                <w:szCs w:val="26"/>
              </w:rPr>
              <w:t xml:space="preserve"> </w:t>
            </w:r>
            <w:r w:rsidRPr="00524F2A">
              <w:rPr>
                <w:i/>
                <w:sz w:val="26"/>
                <w:szCs w:val="26"/>
              </w:rPr>
              <w:t xml:space="preserve">summas un vērtības naudas izteiksmē pēc latu konvertācijas uz </w:t>
            </w:r>
            <w:r w:rsidRPr="00524F2A">
              <w:rPr>
                <w:i/>
                <w:iCs/>
                <w:sz w:val="26"/>
                <w:szCs w:val="26"/>
              </w:rPr>
              <w:t>euro</w:t>
            </w:r>
            <w:r w:rsidRPr="00524F2A">
              <w:rPr>
                <w:i/>
                <w:sz w:val="26"/>
                <w:szCs w:val="26"/>
              </w:rPr>
              <w:t xml:space="preserve"> noapaļo līdz tuvākajam centam, ņemot vērā trešo zīmi aiz komata</w:t>
            </w:r>
            <w:r w:rsidRPr="00524F2A">
              <w:rPr>
                <w:sz w:val="26"/>
                <w:szCs w:val="26"/>
              </w:rPr>
              <w:t xml:space="preserve">. Tā paša likuma 32.panta otrās daļas 2.punkts noteic, ka </w:t>
            </w:r>
            <w:r w:rsidRPr="00524F2A">
              <w:rPr>
                <w:i/>
                <w:sz w:val="26"/>
                <w:szCs w:val="26"/>
              </w:rPr>
              <w:t xml:space="preserve">tiesību normā skaitliskā vērtība latos, kas ir noteikta ar noapaļotu skaitli (noapaļota ar precizitāti līdz 0,1; 1; 10; 100 un tamlīdzīgi), tiek aizstāta ar skaitlisko vērtību </w:t>
            </w:r>
            <w:r w:rsidRPr="00524F2A">
              <w:rPr>
                <w:i/>
                <w:iCs/>
                <w:sz w:val="26"/>
                <w:szCs w:val="26"/>
              </w:rPr>
              <w:t>euro</w:t>
            </w:r>
            <w:r w:rsidRPr="00524F2A">
              <w:rPr>
                <w:iCs/>
                <w:sz w:val="26"/>
                <w:szCs w:val="26"/>
              </w:rPr>
              <w:t xml:space="preserve"> [..]. Bet, lai darbotos </w:t>
            </w:r>
            <w:r w:rsidR="005B4F12" w:rsidRPr="005B4F12">
              <w:rPr>
                <w:i/>
                <w:sz w:val="26"/>
                <w:szCs w:val="26"/>
              </w:rPr>
              <w:t>Eu</w:t>
            </w:r>
            <w:r w:rsidRPr="005B4F12">
              <w:rPr>
                <w:i/>
                <w:sz w:val="26"/>
                <w:szCs w:val="26"/>
              </w:rPr>
              <w:t>ro</w:t>
            </w:r>
            <w:r w:rsidRPr="00524F2A">
              <w:rPr>
                <w:sz w:val="26"/>
                <w:szCs w:val="26"/>
              </w:rPr>
              <w:t xml:space="preserve"> ieviešanas kārtības likuma 32.panta otrās daļas 2.punkts ir jāievēro abi 32.panta otrās daļas 2.punkta a) un b) apakšpunktos ietvertie nosacījumi:</w:t>
            </w:r>
          </w:p>
          <w:p w:rsidR="00F758D9" w:rsidRPr="00524F2A" w:rsidRDefault="00F758D9" w:rsidP="00744F4B">
            <w:pPr>
              <w:pStyle w:val="tv2131"/>
              <w:spacing w:before="0" w:line="240" w:lineRule="auto"/>
              <w:rPr>
                <w:rFonts w:ascii="Times New Roman" w:hAnsi="Times New Roman"/>
                <w:sz w:val="26"/>
                <w:szCs w:val="26"/>
              </w:rPr>
            </w:pPr>
            <w:r w:rsidRPr="00524F2A">
              <w:rPr>
                <w:rFonts w:ascii="Times New Roman" w:hAnsi="Times New Roman"/>
                <w:sz w:val="26"/>
                <w:szCs w:val="26"/>
              </w:rPr>
              <w:t xml:space="preserve">a) tiesību norma, kurā skaitliskā vērtība tiek izteikta </w:t>
            </w:r>
            <w:r w:rsidRPr="00524F2A">
              <w:rPr>
                <w:rFonts w:ascii="Times New Roman" w:hAnsi="Times New Roman"/>
                <w:i/>
                <w:iCs/>
                <w:sz w:val="26"/>
                <w:szCs w:val="26"/>
              </w:rPr>
              <w:t>euro</w:t>
            </w:r>
            <w:r w:rsidRPr="00524F2A">
              <w:rPr>
                <w:rFonts w:ascii="Times New Roman" w:hAnsi="Times New Roman"/>
                <w:sz w:val="26"/>
                <w:szCs w:val="26"/>
              </w:rP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r w:rsidRPr="00524F2A">
              <w:rPr>
                <w:rFonts w:ascii="Times New Roman" w:hAnsi="Times New Roman"/>
                <w:i/>
                <w:iCs/>
                <w:sz w:val="26"/>
                <w:szCs w:val="26"/>
              </w:rPr>
              <w:t>euro</w:t>
            </w:r>
            <w:r w:rsidRPr="00524F2A">
              <w:rPr>
                <w:rFonts w:ascii="Times New Roman" w:hAnsi="Times New Roman"/>
                <w:sz w:val="26"/>
                <w:szCs w:val="26"/>
              </w:rPr>
              <w:t xml:space="preserve">, </w:t>
            </w:r>
          </w:p>
          <w:p w:rsidR="00F758D9" w:rsidRPr="00524F2A" w:rsidRDefault="00F758D9" w:rsidP="00744F4B">
            <w:pPr>
              <w:pStyle w:val="tv2131"/>
              <w:spacing w:before="0" w:line="240" w:lineRule="auto"/>
              <w:rPr>
                <w:rFonts w:ascii="Times New Roman" w:hAnsi="Times New Roman"/>
                <w:sz w:val="26"/>
                <w:szCs w:val="26"/>
              </w:rPr>
            </w:pPr>
            <w:r w:rsidRPr="00524F2A">
              <w:rPr>
                <w:rFonts w:ascii="Times New Roman" w:hAnsi="Times New Roman"/>
                <w:sz w:val="26"/>
                <w:szCs w:val="26"/>
              </w:rPr>
              <w:t xml:space="preserve">b) tiesību normā skaitliskās vērtības latos aizstāšana ar skaitlisko vērtību </w:t>
            </w:r>
            <w:r w:rsidRPr="00524F2A">
              <w:rPr>
                <w:rFonts w:ascii="Times New Roman" w:hAnsi="Times New Roman"/>
                <w:i/>
                <w:iCs/>
                <w:sz w:val="26"/>
                <w:szCs w:val="26"/>
              </w:rPr>
              <w:t>euro</w:t>
            </w:r>
            <w:r w:rsidRPr="00524F2A">
              <w:rPr>
                <w:rFonts w:ascii="Times New Roman" w:hAnsi="Times New Roman"/>
                <w:sz w:val="26"/>
                <w:szCs w:val="26"/>
              </w:rPr>
              <w:t xml:space="preserve"> nerada vērā ņemamu negatīvu ietekmi uz valsts budžetu; </w:t>
            </w:r>
          </w:p>
          <w:p w:rsidR="00F758D9" w:rsidRPr="00FC4629" w:rsidRDefault="00F758D9" w:rsidP="00744F4B">
            <w:pPr>
              <w:spacing w:after="60"/>
              <w:ind w:right="57"/>
              <w:jc w:val="both"/>
              <w:outlineLvl w:val="0"/>
              <w:rPr>
                <w:sz w:val="26"/>
                <w:szCs w:val="26"/>
              </w:rPr>
            </w:pPr>
            <w:r w:rsidRPr="00524F2A">
              <w:rPr>
                <w:sz w:val="26"/>
                <w:szCs w:val="26"/>
              </w:rPr>
              <w:t xml:space="preserve">        </w:t>
            </w:r>
            <w:r w:rsidRPr="00FC4629">
              <w:rPr>
                <w:sz w:val="26"/>
                <w:szCs w:val="26"/>
              </w:rPr>
              <w:t>Ņemot vērā, ka vēsturiski</w:t>
            </w:r>
            <w:r w:rsidR="005B4F12" w:rsidRPr="00FC4629">
              <w:rPr>
                <w:sz w:val="26"/>
                <w:szCs w:val="26"/>
              </w:rPr>
              <w:t xml:space="preserve"> summas</w:t>
            </w:r>
            <w:r w:rsidRPr="00FC4629">
              <w:rPr>
                <w:sz w:val="26"/>
                <w:szCs w:val="26"/>
              </w:rPr>
              <w:t xml:space="preserve"> ir izteiktas veselos tūkstošos vai simtos latu un izpildās abi</w:t>
            </w:r>
            <w:r w:rsidR="00FC4629" w:rsidRPr="00FC4629">
              <w:rPr>
                <w:sz w:val="26"/>
                <w:szCs w:val="26"/>
              </w:rPr>
              <w:t xml:space="preserve"> iepriekš minētie</w:t>
            </w:r>
            <w:r w:rsidRPr="00FC4629">
              <w:rPr>
                <w:sz w:val="26"/>
                <w:szCs w:val="26"/>
              </w:rPr>
              <w:t xml:space="preserve"> nosacījumi, attiecīgi paredzēts atbilstošās summas noapaļot </w:t>
            </w:r>
            <w:r w:rsidRPr="00FC4629">
              <w:rPr>
                <w:sz w:val="26"/>
                <w:szCs w:val="26"/>
              </w:rPr>
              <w:lastRenderedPageBreak/>
              <w:t xml:space="preserve">līdz veseliem tūkstošiem un simtiem </w:t>
            </w:r>
            <w:r w:rsidRPr="00FC4629">
              <w:rPr>
                <w:i/>
                <w:sz w:val="26"/>
                <w:szCs w:val="26"/>
              </w:rPr>
              <w:t>euro</w:t>
            </w:r>
            <w:r w:rsidRPr="00FC4629">
              <w:rPr>
                <w:sz w:val="26"/>
                <w:szCs w:val="26"/>
              </w:rPr>
              <w:t xml:space="preserve">, ņemot vērā vispārējos matemātikas principus. (Iekavās norādīts rezultāts, ja lati tiek izteikti </w:t>
            </w:r>
            <w:r w:rsidRPr="00FC4629">
              <w:rPr>
                <w:i/>
                <w:sz w:val="26"/>
                <w:szCs w:val="26"/>
              </w:rPr>
              <w:t>euro</w:t>
            </w:r>
            <w:r w:rsidRPr="00FC4629">
              <w:rPr>
                <w:sz w:val="26"/>
                <w:szCs w:val="26"/>
              </w:rPr>
              <w:t>, piemērojot matemātiskas darbības, t.i., summas latos dalot ar 0,702804 un noapaļojot līdz tuvākajam centam).</w:t>
            </w:r>
          </w:p>
          <w:p w:rsidR="00F758D9" w:rsidRPr="00203898" w:rsidRDefault="00F758D9" w:rsidP="00744F4B">
            <w:pPr>
              <w:spacing w:after="60"/>
              <w:ind w:right="57"/>
              <w:jc w:val="both"/>
              <w:outlineLvl w:val="0"/>
              <w:rPr>
                <w:sz w:val="26"/>
                <w:szCs w:val="26"/>
              </w:rPr>
            </w:pPr>
            <w:r w:rsidRPr="00FC4629">
              <w:rPr>
                <w:sz w:val="26"/>
                <w:szCs w:val="26"/>
              </w:rPr>
              <w:t>Grozījumi paredz:</w:t>
            </w:r>
          </w:p>
          <w:p w:rsidR="00F758D9" w:rsidRPr="00203898" w:rsidRDefault="00F758D9" w:rsidP="00744F4B">
            <w:pPr>
              <w:pStyle w:val="Nobeigums"/>
              <w:numPr>
                <w:ilvl w:val="0"/>
                <w:numId w:val="1"/>
              </w:numPr>
              <w:jc w:val="both"/>
              <w:rPr>
                <w:iCs/>
                <w:sz w:val="26"/>
                <w:szCs w:val="26"/>
                <w:lang w:val="lv-LV"/>
              </w:rPr>
            </w:pPr>
            <w:r>
              <w:rPr>
                <w:iCs/>
                <w:sz w:val="26"/>
                <w:szCs w:val="26"/>
                <w:lang w:val="lv-LV"/>
              </w:rPr>
              <w:t xml:space="preserve">11.panta otrajā daļā </w:t>
            </w:r>
            <w:r w:rsidRPr="00203898">
              <w:rPr>
                <w:b/>
                <w:iCs/>
                <w:sz w:val="26"/>
                <w:szCs w:val="26"/>
                <w:lang w:val="lv-LV"/>
              </w:rPr>
              <w:t>2500 latus</w:t>
            </w:r>
            <w:r>
              <w:rPr>
                <w:b/>
                <w:iCs/>
                <w:sz w:val="26"/>
                <w:szCs w:val="26"/>
                <w:lang w:val="lv-LV"/>
              </w:rPr>
              <w:t xml:space="preserve"> –</w:t>
            </w:r>
            <w:r>
              <w:rPr>
                <w:iCs/>
                <w:sz w:val="26"/>
                <w:szCs w:val="26"/>
                <w:lang w:val="lv-LV"/>
              </w:rPr>
              <w:t xml:space="preserve"> vērtību, no kuras</w:t>
            </w:r>
            <w:r w:rsidRPr="00203898">
              <w:rPr>
                <w:iCs/>
                <w:sz w:val="26"/>
                <w:szCs w:val="26"/>
                <w:lang w:val="lv-LV"/>
              </w:rPr>
              <w:t xml:space="preserve"> sludinājums par publiskas personas kustamas mantas izsoli publicējams arī </w:t>
            </w:r>
            <w:r w:rsidR="005B4F12">
              <w:rPr>
                <w:iCs/>
                <w:sz w:val="26"/>
                <w:szCs w:val="26"/>
                <w:lang w:val="lv-LV"/>
              </w:rPr>
              <w:t>oficiālajā izdevumā</w:t>
            </w:r>
            <w:r w:rsidRPr="00203898">
              <w:rPr>
                <w:iCs/>
                <w:sz w:val="26"/>
                <w:szCs w:val="26"/>
                <w:lang w:val="lv-LV"/>
              </w:rPr>
              <w:t xml:space="preserve"> „Latvijas vēstnesis”, </w:t>
            </w:r>
            <w:r w:rsidR="004C007E">
              <w:rPr>
                <w:b/>
                <w:iCs/>
                <w:sz w:val="26"/>
                <w:szCs w:val="26"/>
                <w:lang w:val="lv-LV"/>
              </w:rPr>
              <w:t>izteikt kā 35</w:t>
            </w:r>
            <w:r w:rsidRPr="00203898">
              <w:rPr>
                <w:b/>
                <w:iCs/>
                <w:sz w:val="26"/>
                <w:szCs w:val="26"/>
                <w:lang w:val="lv-LV"/>
              </w:rPr>
              <w:t>00</w:t>
            </w:r>
            <w:r w:rsidRPr="00203898">
              <w:rPr>
                <w:b/>
                <w:i/>
                <w:iCs/>
                <w:sz w:val="26"/>
                <w:szCs w:val="26"/>
                <w:lang w:val="lv-LV"/>
              </w:rPr>
              <w:t xml:space="preserve"> euro</w:t>
            </w:r>
            <w:r w:rsidRPr="00203898">
              <w:rPr>
                <w:iCs/>
                <w:sz w:val="26"/>
                <w:szCs w:val="26"/>
                <w:lang w:val="lv-LV"/>
              </w:rPr>
              <w:t xml:space="preserve"> (3557,18);</w:t>
            </w:r>
          </w:p>
          <w:p w:rsidR="00F758D9" w:rsidRPr="00203898" w:rsidRDefault="00F758D9" w:rsidP="00744F4B">
            <w:pPr>
              <w:pStyle w:val="Nobeigums"/>
              <w:numPr>
                <w:ilvl w:val="0"/>
                <w:numId w:val="1"/>
              </w:numPr>
              <w:jc w:val="both"/>
              <w:rPr>
                <w:iCs/>
                <w:sz w:val="26"/>
                <w:szCs w:val="26"/>
                <w:lang w:val="lv-LV"/>
              </w:rPr>
            </w:pPr>
            <w:r w:rsidRPr="00203898">
              <w:rPr>
                <w:iCs/>
                <w:sz w:val="26"/>
                <w:szCs w:val="26"/>
                <w:lang w:val="lv-LV"/>
              </w:rPr>
              <w:t xml:space="preserve">11.panta ceturtajā daļā </w:t>
            </w:r>
            <w:r w:rsidRPr="00203898">
              <w:rPr>
                <w:b/>
                <w:iCs/>
                <w:sz w:val="26"/>
                <w:szCs w:val="26"/>
                <w:lang w:val="lv-LV"/>
              </w:rPr>
              <w:t>2500 latus un 1000 latus</w:t>
            </w:r>
            <w:r w:rsidRPr="00203898">
              <w:rPr>
                <w:iCs/>
                <w:sz w:val="26"/>
                <w:szCs w:val="26"/>
                <w:lang w:val="lv-LV"/>
              </w:rPr>
              <w:t xml:space="preserve">- summu, no kuras par publiskas personas kustamas mantas izsoli jāpaziņo publiskas personas revīzijas komisijai vai pašvaldības revīzijas komisijai, </w:t>
            </w:r>
            <w:r w:rsidRPr="00203898">
              <w:rPr>
                <w:b/>
                <w:iCs/>
                <w:sz w:val="26"/>
                <w:szCs w:val="26"/>
                <w:lang w:val="lv-LV"/>
              </w:rPr>
              <w:t>izteikt kā 3</w:t>
            </w:r>
            <w:r w:rsidR="004C007E">
              <w:rPr>
                <w:b/>
                <w:iCs/>
                <w:sz w:val="26"/>
                <w:szCs w:val="26"/>
                <w:lang w:val="lv-LV"/>
              </w:rPr>
              <w:t>5</w:t>
            </w:r>
            <w:r w:rsidRPr="00203898">
              <w:rPr>
                <w:b/>
                <w:iCs/>
                <w:sz w:val="26"/>
                <w:szCs w:val="26"/>
                <w:lang w:val="lv-LV"/>
              </w:rPr>
              <w:t>00</w:t>
            </w:r>
            <w:r w:rsidRPr="00203898">
              <w:rPr>
                <w:b/>
                <w:i/>
                <w:iCs/>
                <w:sz w:val="26"/>
                <w:szCs w:val="26"/>
                <w:lang w:val="lv-LV"/>
              </w:rPr>
              <w:t xml:space="preserve"> euro</w:t>
            </w:r>
            <w:r w:rsidRPr="00203898">
              <w:rPr>
                <w:iCs/>
                <w:sz w:val="26"/>
                <w:szCs w:val="26"/>
                <w:lang w:val="lv-LV"/>
              </w:rPr>
              <w:t xml:space="preserve"> (3557,18) un </w:t>
            </w:r>
            <w:r w:rsidRPr="00203898">
              <w:rPr>
                <w:b/>
                <w:iCs/>
                <w:sz w:val="26"/>
                <w:szCs w:val="26"/>
                <w:lang w:val="lv-LV"/>
              </w:rPr>
              <w:t>1400</w:t>
            </w:r>
            <w:r w:rsidRPr="00203898">
              <w:rPr>
                <w:b/>
                <w:i/>
                <w:iCs/>
                <w:sz w:val="26"/>
                <w:szCs w:val="26"/>
                <w:lang w:val="lv-LV"/>
              </w:rPr>
              <w:t xml:space="preserve"> euro</w:t>
            </w:r>
            <w:r w:rsidRPr="00203898">
              <w:rPr>
                <w:iCs/>
                <w:sz w:val="26"/>
                <w:szCs w:val="26"/>
                <w:lang w:val="lv-LV"/>
              </w:rPr>
              <w:t xml:space="preserve"> (1422,87);</w:t>
            </w:r>
          </w:p>
          <w:p w:rsidR="00F758D9" w:rsidRDefault="00F758D9" w:rsidP="00D6029A">
            <w:pPr>
              <w:pStyle w:val="Nobeigums"/>
              <w:numPr>
                <w:ilvl w:val="0"/>
                <w:numId w:val="1"/>
              </w:numPr>
              <w:jc w:val="both"/>
              <w:rPr>
                <w:iCs/>
                <w:sz w:val="26"/>
                <w:szCs w:val="26"/>
                <w:lang w:val="lv-LV"/>
              </w:rPr>
            </w:pPr>
            <w:r w:rsidRPr="00203898">
              <w:rPr>
                <w:iCs/>
                <w:sz w:val="26"/>
                <w:szCs w:val="26"/>
                <w:lang w:val="lv-LV"/>
              </w:rPr>
              <w:t xml:space="preserve">37.panta pirmajā daļā kā viens no gadījumiem noteikts, ka pārdot publiskas personas mantu par brīvu cenu var, ja kustamās mantas atlikusī bilances vērtība pēc grāmatvedības uzskaites datiem ir mazāka par </w:t>
            </w:r>
            <w:r w:rsidRPr="00203898">
              <w:rPr>
                <w:b/>
                <w:iCs/>
                <w:sz w:val="26"/>
                <w:szCs w:val="26"/>
                <w:lang w:val="lv-LV"/>
              </w:rPr>
              <w:t>500 latiem</w:t>
            </w:r>
            <w:r w:rsidRPr="00203898">
              <w:rPr>
                <w:iCs/>
                <w:sz w:val="26"/>
                <w:szCs w:val="26"/>
                <w:lang w:val="lv-LV"/>
              </w:rPr>
              <w:t xml:space="preserve">, to paredzēts </w:t>
            </w:r>
            <w:r w:rsidRPr="00203898">
              <w:rPr>
                <w:b/>
                <w:iCs/>
                <w:sz w:val="26"/>
                <w:szCs w:val="26"/>
                <w:lang w:val="lv-LV"/>
              </w:rPr>
              <w:t>izteikt kā 700</w:t>
            </w:r>
            <w:r w:rsidRPr="00203898">
              <w:rPr>
                <w:b/>
                <w:i/>
                <w:iCs/>
                <w:sz w:val="26"/>
                <w:szCs w:val="26"/>
                <w:lang w:val="lv-LV"/>
              </w:rPr>
              <w:t xml:space="preserve"> euro</w:t>
            </w:r>
            <w:r>
              <w:rPr>
                <w:iCs/>
                <w:sz w:val="26"/>
                <w:szCs w:val="26"/>
                <w:lang w:val="lv-LV"/>
              </w:rPr>
              <w:t xml:space="preserve"> (711,44).</w:t>
            </w:r>
          </w:p>
          <w:p w:rsidR="00017A53" w:rsidRPr="00D6029A" w:rsidRDefault="00017A53" w:rsidP="00017A53">
            <w:pPr>
              <w:pStyle w:val="Nobeigums"/>
              <w:numPr>
                <w:ilvl w:val="0"/>
                <w:numId w:val="2"/>
              </w:numPr>
              <w:ind w:left="0" w:firstLine="360"/>
              <w:jc w:val="both"/>
              <w:rPr>
                <w:iCs/>
                <w:sz w:val="26"/>
                <w:szCs w:val="26"/>
                <w:lang w:val="lv-LV"/>
              </w:rPr>
            </w:pPr>
            <w:r>
              <w:rPr>
                <w:iCs/>
                <w:sz w:val="26"/>
                <w:szCs w:val="26"/>
                <w:lang w:val="lv-LV"/>
              </w:rPr>
              <w:t>Likumprojekts paredz veikt tehniskus precizējumus, aizstājot Publiskas personas mantas atsavināšanas likumā terminu „Laikraksts „Latvijas Vēstnesis”” ar terminu „Oficiālais izdevums „Latvijas Vēstnesis””.</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lastRenderedPageBreak/>
              <w:t>5.</w:t>
            </w:r>
          </w:p>
        </w:tc>
        <w:tc>
          <w:tcPr>
            <w:tcW w:w="1250"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Projekta izstrādē iesaistītās institūcijas</w:t>
            </w:r>
          </w:p>
        </w:tc>
        <w:tc>
          <w:tcPr>
            <w:tcW w:w="351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spacing w:after="60"/>
              <w:ind w:right="57"/>
              <w:jc w:val="both"/>
              <w:outlineLvl w:val="0"/>
              <w:rPr>
                <w:sz w:val="26"/>
                <w:szCs w:val="26"/>
              </w:rPr>
            </w:pPr>
            <w:r w:rsidRPr="00203898">
              <w:rPr>
                <w:sz w:val="26"/>
                <w:szCs w:val="26"/>
              </w:rPr>
              <w:t>Finanšu ministrija</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6.</w:t>
            </w:r>
          </w:p>
        </w:tc>
        <w:tc>
          <w:tcPr>
            <w:tcW w:w="1250"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Iemesli, kādēļ netika nodrošināta sabiedrības līdzdalība</w:t>
            </w:r>
          </w:p>
        </w:tc>
        <w:tc>
          <w:tcPr>
            <w:tcW w:w="3515" w:type="pct"/>
            <w:tcBorders>
              <w:top w:val="outset" w:sz="6" w:space="0" w:color="000000"/>
              <w:left w:val="outset" w:sz="6" w:space="0" w:color="000000"/>
              <w:bottom w:val="outset" w:sz="6" w:space="0" w:color="000000"/>
              <w:right w:val="outset" w:sz="6" w:space="0" w:color="000000"/>
            </w:tcBorders>
            <w:hideMark/>
          </w:tcPr>
          <w:p w:rsidR="00F758D9" w:rsidRPr="00203898" w:rsidRDefault="00D6029A" w:rsidP="00744F4B">
            <w:pPr>
              <w:spacing w:after="60"/>
              <w:ind w:right="57"/>
              <w:jc w:val="both"/>
              <w:outlineLvl w:val="0"/>
              <w:rPr>
                <w:sz w:val="26"/>
                <w:szCs w:val="26"/>
              </w:rPr>
            </w:pPr>
            <w:r>
              <w:rPr>
                <w:sz w:val="26"/>
                <w:szCs w:val="26"/>
              </w:rPr>
              <w:t>Pēc būtības</w:t>
            </w:r>
            <w:r w:rsidR="00F758D9" w:rsidRPr="003D5431">
              <w:rPr>
                <w:sz w:val="26"/>
                <w:szCs w:val="26"/>
              </w:rPr>
              <w:t xml:space="preserve"> tie ir tehniski grozījumi, tādejādi sabiedrības līdzdalība nav nepieciešama.</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7.</w:t>
            </w:r>
          </w:p>
        </w:tc>
        <w:tc>
          <w:tcPr>
            <w:tcW w:w="1250" w:type="pct"/>
            <w:tcBorders>
              <w:top w:val="outset" w:sz="6" w:space="0" w:color="000000"/>
              <w:left w:val="outset" w:sz="6" w:space="0" w:color="000000"/>
              <w:bottom w:val="outset" w:sz="6" w:space="0" w:color="000000"/>
              <w:right w:val="outset" w:sz="6" w:space="0" w:color="000000"/>
            </w:tcBorders>
          </w:tcPr>
          <w:p w:rsidR="00F758D9" w:rsidRPr="00203898" w:rsidRDefault="00F758D9" w:rsidP="00744F4B">
            <w:pPr>
              <w:pStyle w:val="NormalWeb"/>
              <w:spacing w:before="0" w:beforeAutospacing="0" w:after="0" w:afterAutospacing="0"/>
              <w:rPr>
                <w:sz w:val="26"/>
                <w:szCs w:val="26"/>
              </w:rPr>
            </w:pPr>
            <w:r w:rsidRPr="00203898">
              <w:rPr>
                <w:sz w:val="26"/>
                <w:szCs w:val="26"/>
              </w:rPr>
              <w:t>Cita informācija</w:t>
            </w:r>
          </w:p>
        </w:tc>
        <w:tc>
          <w:tcPr>
            <w:tcW w:w="3515" w:type="pct"/>
            <w:tcBorders>
              <w:top w:val="outset" w:sz="6" w:space="0" w:color="000000"/>
              <w:left w:val="outset" w:sz="6" w:space="0" w:color="000000"/>
              <w:bottom w:val="outset" w:sz="6" w:space="0" w:color="000000"/>
              <w:right w:val="outset" w:sz="6" w:space="0" w:color="000000"/>
            </w:tcBorders>
          </w:tcPr>
          <w:p w:rsidR="00F758D9" w:rsidRPr="00203898" w:rsidRDefault="00F758D9" w:rsidP="00744F4B">
            <w:pPr>
              <w:spacing w:after="60"/>
              <w:ind w:right="57"/>
              <w:jc w:val="both"/>
              <w:outlineLvl w:val="0"/>
              <w:rPr>
                <w:sz w:val="26"/>
                <w:szCs w:val="26"/>
              </w:rPr>
            </w:pPr>
            <w:r w:rsidRPr="00203898">
              <w:rPr>
                <w:sz w:val="26"/>
                <w:szCs w:val="26"/>
              </w:rPr>
              <w:t>Nav.</w:t>
            </w:r>
          </w:p>
        </w:tc>
      </w:tr>
    </w:tbl>
    <w:p w:rsidR="00F758D9" w:rsidRPr="00203898" w:rsidRDefault="00F758D9" w:rsidP="00F758D9">
      <w:pPr>
        <w:pStyle w:val="NormalWeb"/>
        <w:spacing w:before="0" w:beforeAutospacing="0" w:after="0" w:afterAutospacing="0"/>
        <w:rPr>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9062"/>
      </w:tblGrid>
      <w:tr w:rsidR="00F758D9" w:rsidRPr="00203898" w:rsidTr="00744F4B">
        <w:tc>
          <w:tcPr>
            <w:tcW w:w="9062" w:type="dxa"/>
            <w:tcBorders>
              <w:top w:val="single" w:sz="4" w:space="0" w:color="auto"/>
              <w:left w:val="single" w:sz="4" w:space="0" w:color="auto"/>
              <w:bottom w:val="single" w:sz="4" w:space="0" w:color="auto"/>
              <w:right w:val="single" w:sz="4" w:space="0" w:color="auto"/>
            </w:tcBorders>
            <w:vAlign w:val="center"/>
          </w:tcPr>
          <w:p w:rsidR="00F758D9" w:rsidRPr="00203898" w:rsidRDefault="00F758D9" w:rsidP="00744F4B">
            <w:pPr>
              <w:jc w:val="center"/>
              <w:rPr>
                <w:rFonts w:eastAsia="Times New Roman"/>
                <w:b/>
                <w:sz w:val="26"/>
                <w:szCs w:val="26"/>
              </w:rPr>
            </w:pPr>
            <w:r w:rsidRPr="00203898">
              <w:rPr>
                <w:rFonts w:eastAsia="Times New Roman"/>
                <w:b/>
                <w:sz w:val="26"/>
                <w:szCs w:val="26"/>
              </w:rPr>
              <w:t>II. Tiesību akta projekta ietekme uz sabiedrību</w:t>
            </w:r>
          </w:p>
        </w:tc>
      </w:tr>
      <w:tr w:rsidR="004C007E" w:rsidRPr="00203898" w:rsidTr="004C007E">
        <w:trPr>
          <w:trHeight w:val="200"/>
        </w:trPr>
        <w:tc>
          <w:tcPr>
            <w:tcW w:w="9062" w:type="dxa"/>
            <w:tcBorders>
              <w:top w:val="single" w:sz="4" w:space="0" w:color="auto"/>
              <w:left w:val="single" w:sz="4" w:space="0" w:color="auto"/>
              <w:bottom w:val="single" w:sz="4" w:space="0" w:color="auto"/>
              <w:right w:val="single" w:sz="4" w:space="0" w:color="auto"/>
            </w:tcBorders>
          </w:tcPr>
          <w:p w:rsidR="004C007E" w:rsidRPr="00203898" w:rsidRDefault="004C007E" w:rsidP="004C007E">
            <w:pPr>
              <w:jc w:val="center"/>
              <w:rPr>
                <w:rFonts w:eastAsia="Times New Roman"/>
                <w:sz w:val="26"/>
                <w:szCs w:val="26"/>
              </w:rPr>
            </w:pPr>
            <w:r>
              <w:rPr>
                <w:rFonts w:eastAsia="Times New Roman"/>
                <w:sz w:val="26"/>
                <w:szCs w:val="26"/>
                <w:lang w:eastAsia="en-US"/>
              </w:rPr>
              <w:t>Projekts šo jomu neskar</w:t>
            </w:r>
          </w:p>
        </w:tc>
      </w:tr>
    </w:tbl>
    <w:p w:rsidR="00F758D9" w:rsidRDefault="00F758D9" w:rsidP="00F758D9">
      <w:pPr>
        <w:pStyle w:val="NormalWeb"/>
        <w:spacing w:before="0" w:beforeAutospacing="0" w:after="0" w:afterAutospacing="0"/>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E008D" w:rsidRPr="00203898" w:rsidTr="00932921">
        <w:tc>
          <w:tcPr>
            <w:tcW w:w="9072" w:type="dxa"/>
          </w:tcPr>
          <w:p w:rsidR="00DE008D" w:rsidRPr="00DE008D" w:rsidRDefault="00DE008D" w:rsidP="00DE008D">
            <w:pPr>
              <w:jc w:val="center"/>
              <w:rPr>
                <w:rFonts w:eastAsia="Times New Roman"/>
                <w:b/>
                <w:bCs/>
                <w:sz w:val="26"/>
                <w:szCs w:val="26"/>
              </w:rPr>
            </w:pPr>
            <w:r w:rsidRPr="00DE008D">
              <w:rPr>
                <w:rFonts w:eastAsia="Times New Roman"/>
                <w:b/>
                <w:bCs/>
                <w:sz w:val="26"/>
                <w:szCs w:val="26"/>
              </w:rPr>
              <w:t xml:space="preserve">III. </w:t>
            </w:r>
            <w:r w:rsidRPr="00DE008D">
              <w:rPr>
                <w:b/>
                <w:bCs/>
                <w:sz w:val="26"/>
                <w:szCs w:val="26"/>
                <w:shd w:val="clear" w:color="auto" w:fill="FFFFFF"/>
              </w:rPr>
              <w:t>Tiesību akta projekta ietekme uz valsts budžetu un pašvaldību budžetiem</w:t>
            </w:r>
          </w:p>
        </w:tc>
      </w:tr>
      <w:tr w:rsidR="00DE008D" w:rsidRPr="00203898" w:rsidTr="00932921">
        <w:tc>
          <w:tcPr>
            <w:tcW w:w="9072" w:type="dxa"/>
          </w:tcPr>
          <w:p w:rsidR="00DE008D" w:rsidRPr="00203898" w:rsidRDefault="00DE008D" w:rsidP="00932921">
            <w:pPr>
              <w:autoSpaceDE w:val="0"/>
              <w:autoSpaceDN w:val="0"/>
              <w:adjustRightInd w:val="0"/>
              <w:ind w:left="-108"/>
              <w:jc w:val="center"/>
              <w:rPr>
                <w:rFonts w:eastAsia="Times New Roman"/>
                <w:sz w:val="26"/>
                <w:szCs w:val="26"/>
                <w:lang w:eastAsia="en-US"/>
              </w:rPr>
            </w:pPr>
            <w:r>
              <w:rPr>
                <w:rFonts w:eastAsia="Times New Roman"/>
                <w:sz w:val="26"/>
                <w:szCs w:val="26"/>
                <w:lang w:eastAsia="en-US"/>
              </w:rPr>
              <w:t>Projekts šo jomu neskar</w:t>
            </w:r>
          </w:p>
        </w:tc>
      </w:tr>
    </w:tbl>
    <w:p w:rsidR="00DE008D" w:rsidRPr="00203898" w:rsidRDefault="00DE008D" w:rsidP="00F758D9">
      <w:pPr>
        <w:pStyle w:val="NormalWeb"/>
        <w:spacing w:before="0" w:beforeAutospacing="0" w:after="0" w:afterAutospacing="0"/>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758D9" w:rsidRPr="00203898" w:rsidTr="00744F4B">
        <w:tc>
          <w:tcPr>
            <w:tcW w:w="9072" w:type="dxa"/>
          </w:tcPr>
          <w:p w:rsidR="00F758D9" w:rsidRPr="00203898" w:rsidRDefault="00F758D9" w:rsidP="00744F4B">
            <w:pPr>
              <w:jc w:val="center"/>
              <w:rPr>
                <w:rFonts w:eastAsia="Times New Roman"/>
                <w:b/>
                <w:bCs/>
                <w:sz w:val="26"/>
                <w:szCs w:val="26"/>
              </w:rPr>
            </w:pPr>
            <w:r w:rsidRPr="00203898">
              <w:rPr>
                <w:rFonts w:eastAsia="Times New Roman"/>
                <w:b/>
                <w:bCs/>
                <w:sz w:val="26"/>
                <w:szCs w:val="26"/>
              </w:rPr>
              <w:t>IV. Tiesību akta projekta ietekme uz spēkā esošo tiesību normu sistēmu</w:t>
            </w:r>
          </w:p>
        </w:tc>
      </w:tr>
      <w:tr w:rsidR="00DE008D" w:rsidRPr="00203898" w:rsidTr="00F64147">
        <w:tc>
          <w:tcPr>
            <w:tcW w:w="9072" w:type="dxa"/>
          </w:tcPr>
          <w:p w:rsidR="00DE008D" w:rsidRPr="00203898" w:rsidRDefault="00DE008D" w:rsidP="00DE008D">
            <w:pPr>
              <w:autoSpaceDE w:val="0"/>
              <w:autoSpaceDN w:val="0"/>
              <w:adjustRightInd w:val="0"/>
              <w:ind w:left="-108"/>
              <w:jc w:val="center"/>
              <w:rPr>
                <w:rFonts w:eastAsia="Times New Roman"/>
                <w:sz w:val="26"/>
                <w:szCs w:val="26"/>
                <w:lang w:eastAsia="en-US"/>
              </w:rPr>
            </w:pPr>
            <w:r>
              <w:rPr>
                <w:rFonts w:eastAsia="Times New Roman"/>
                <w:sz w:val="26"/>
                <w:szCs w:val="26"/>
                <w:lang w:eastAsia="en-US"/>
              </w:rPr>
              <w:t>Projekts šo jomu neskar</w:t>
            </w:r>
          </w:p>
        </w:tc>
      </w:tr>
    </w:tbl>
    <w:p w:rsidR="00F758D9" w:rsidRDefault="00F758D9" w:rsidP="00F758D9">
      <w:pPr>
        <w:pStyle w:val="NormalWeb"/>
        <w:spacing w:before="0" w:beforeAutospacing="0" w:after="0" w:afterAutospacing="0"/>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E008D" w:rsidRPr="00203898" w:rsidTr="00932921">
        <w:tc>
          <w:tcPr>
            <w:tcW w:w="9072" w:type="dxa"/>
          </w:tcPr>
          <w:p w:rsidR="00DE008D" w:rsidRPr="00203898" w:rsidRDefault="00DE008D" w:rsidP="00DE008D">
            <w:pPr>
              <w:jc w:val="center"/>
              <w:rPr>
                <w:rFonts w:eastAsia="Times New Roman"/>
                <w:b/>
                <w:bCs/>
                <w:sz w:val="26"/>
                <w:szCs w:val="26"/>
              </w:rPr>
            </w:pPr>
            <w:r w:rsidRPr="00203898">
              <w:rPr>
                <w:rFonts w:eastAsia="Times New Roman"/>
                <w:b/>
                <w:bCs/>
                <w:sz w:val="26"/>
                <w:szCs w:val="26"/>
              </w:rPr>
              <w:t xml:space="preserve">V. </w:t>
            </w:r>
            <w:r>
              <w:rPr>
                <w:rFonts w:eastAsia="Times New Roman"/>
                <w:b/>
                <w:bCs/>
                <w:sz w:val="26"/>
                <w:szCs w:val="26"/>
              </w:rPr>
              <w:t>Tiesību akta projekta atbilstība Latvijas Republikas starptautiskajām saistībām</w:t>
            </w:r>
          </w:p>
        </w:tc>
      </w:tr>
      <w:tr w:rsidR="00DE008D" w:rsidRPr="00203898" w:rsidTr="00932921">
        <w:tc>
          <w:tcPr>
            <w:tcW w:w="9072" w:type="dxa"/>
          </w:tcPr>
          <w:p w:rsidR="00DE008D" w:rsidRPr="00203898" w:rsidRDefault="00DE008D" w:rsidP="00932921">
            <w:pPr>
              <w:autoSpaceDE w:val="0"/>
              <w:autoSpaceDN w:val="0"/>
              <w:adjustRightInd w:val="0"/>
              <w:ind w:left="-108"/>
              <w:jc w:val="center"/>
              <w:rPr>
                <w:rFonts w:eastAsia="Times New Roman"/>
                <w:sz w:val="26"/>
                <w:szCs w:val="26"/>
                <w:lang w:eastAsia="en-US"/>
              </w:rPr>
            </w:pPr>
            <w:r>
              <w:rPr>
                <w:rFonts w:eastAsia="Times New Roman"/>
                <w:sz w:val="26"/>
                <w:szCs w:val="26"/>
                <w:lang w:eastAsia="en-US"/>
              </w:rPr>
              <w:t>Projekts šo jomu neskar</w:t>
            </w:r>
          </w:p>
        </w:tc>
      </w:tr>
      <w:tr w:rsidR="00DE008D" w:rsidRPr="00203898" w:rsidTr="00932921">
        <w:tc>
          <w:tcPr>
            <w:tcW w:w="9072" w:type="dxa"/>
          </w:tcPr>
          <w:p w:rsidR="00DE008D" w:rsidRPr="00203898" w:rsidRDefault="00DE008D" w:rsidP="00DE008D">
            <w:pPr>
              <w:jc w:val="center"/>
              <w:rPr>
                <w:rFonts w:eastAsia="Times New Roman"/>
                <w:b/>
                <w:bCs/>
                <w:sz w:val="26"/>
                <w:szCs w:val="26"/>
              </w:rPr>
            </w:pPr>
            <w:r w:rsidRPr="00203898">
              <w:rPr>
                <w:rFonts w:eastAsia="Times New Roman"/>
                <w:b/>
                <w:bCs/>
                <w:sz w:val="26"/>
                <w:szCs w:val="26"/>
              </w:rPr>
              <w:lastRenderedPageBreak/>
              <w:t>V</w:t>
            </w:r>
            <w:r>
              <w:rPr>
                <w:rFonts w:eastAsia="Times New Roman"/>
                <w:b/>
                <w:bCs/>
                <w:sz w:val="26"/>
                <w:szCs w:val="26"/>
              </w:rPr>
              <w:t>I</w:t>
            </w:r>
            <w:r w:rsidRPr="00203898">
              <w:rPr>
                <w:rFonts w:eastAsia="Times New Roman"/>
                <w:b/>
                <w:bCs/>
                <w:sz w:val="26"/>
                <w:szCs w:val="26"/>
              </w:rPr>
              <w:t xml:space="preserve">. </w:t>
            </w:r>
            <w:r>
              <w:rPr>
                <w:rFonts w:eastAsia="Times New Roman"/>
                <w:b/>
                <w:bCs/>
                <w:sz w:val="26"/>
                <w:szCs w:val="26"/>
              </w:rPr>
              <w:t>Sabiedrības līdzdalība un šīs līdzdalības rezultāti</w:t>
            </w:r>
          </w:p>
        </w:tc>
      </w:tr>
      <w:tr w:rsidR="00DE008D" w:rsidRPr="00203898" w:rsidTr="00932921">
        <w:tc>
          <w:tcPr>
            <w:tcW w:w="9072" w:type="dxa"/>
          </w:tcPr>
          <w:p w:rsidR="00DE008D" w:rsidRPr="00203898" w:rsidRDefault="00DE008D" w:rsidP="00932921">
            <w:pPr>
              <w:autoSpaceDE w:val="0"/>
              <w:autoSpaceDN w:val="0"/>
              <w:adjustRightInd w:val="0"/>
              <w:ind w:left="-108"/>
              <w:jc w:val="center"/>
              <w:rPr>
                <w:rFonts w:eastAsia="Times New Roman"/>
                <w:sz w:val="26"/>
                <w:szCs w:val="26"/>
                <w:lang w:eastAsia="en-US"/>
              </w:rPr>
            </w:pPr>
            <w:r>
              <w:rPr>
                <w:rFonts w:eastAsia="Times New Roman"/>
                <w:sz w:val="26"/>
                <w:szCs w:val="26"/>
                <w:lang w:eastAsia="en-US"/>
              </w:rPr>
              <w:t>Projekts šo jomu neskar</w:t>
            </w:r>
          </w:p>
        </w:tc>
      </w:tr>
    </w:tbl>
    <w:p w:rsidR="00DE008D" w:rsidRPr="00203898" w:rsidRDefault="00DE008D" w:rsidP="00F758D9">
      <w:pPr>
        <w:pStyle w:val="NormalWeb"/>
        <w:spacing w:before="0" w:beforeAutospacing="0" w:after="0" w:afterAutospacing="0"/>
        <w:rPr>
          <w:sz w:val="26"/>
          <w:szCs w:val="26"/>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7"/>
        <w:gridCol w:w="3685"/>
        <w:gridCol w:w="4961"/>
      </w:tblGrid>
      <w:tr w:rsidR="00F758D9" w:rsidRPr="00203898" w:rsidTr="00744F4B">
        <w:tc>
          <w:tcPr>
            <w:tcW w:w="5000" w:type="pct"/>
            <w:gridSpan w:val="3"/>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b/>
                <w:bCs/>
                <w:sz w:val="26"/>
                <w:szCs w:val="26"/>
              </w:rPr>
            </w:pPr>
            <w:r w:rsidRPr="00203898">
              <w:rPr>
                <w:b/>
                <w:bCs/>
                <w:sz w:val="26"/>
                <w:szCs w:val="26"/>
              </w:rPr>
              <w:t>VII. Tiesību akta projekta izpildes nodrošināšana un tās ietekme uz institūcijām</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1.</w:t>
            </w:r>
          </w:p>
        </w:tc>
        <w:tc>
          <w:tcPr>
            <w:tcW w:w="2031"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Projekta izpildē iesaistītās institūcijas</w:t>
            </w:r>
          </w:p>
        </w:tc>
        <w:tc>
          <w:tcPr>
            <w:tcW w:w="2734"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FC4629">
            <w:pPr>
              <w:pStyle w:val="NormalWeb"/>
              <w:spacing w:before="0" w:beforeAutospacing="0" w:after="60" w:afterAutospacing="0"/>
              <w:ind w:right="57"/>
              <w:jc w:val="both"/>
              <w:rPr>
                <w:sz w:val="26"/>
                <w:szCs w:val="26"/>
              </w:rPr>
            </w:pPr>
            <w:r w:rsidRPr="00203898">
              <w:rPr>
                <w:sz w:val="26"/>
                <w:szCs w:val="26"/>
              </w:rPr>
              <w:t>Publiskas personas.</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2.</w:t>
            </w:r>
          </w:p>
        </w:tc>
        <w:tc>
          <w:tcPr>
            <w:tcW w:w="2031"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Projekta izpildes ietekme uz pārvaldes funkcijām</w:t>
            </w:r>
          </w:p>
        </w:tc>
        <w:tc>
          <w:tcPr>
            <w:tcW w:w="2734"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aiskr"/>
              <w:spacing w:before="0" w:after="0"/>
              <w:jc w:val="both"/>
              <w:rPr>
                <w:iCs/>
                <w:sz w:val="26"/>
                <w:szCs w:val="26"/>
              </w:rPr>
            </w:pPr>
            <w:r w:rsidRPr="00203898">
              <w:rPr>
                <w:sz w:val="26"/>
                <w:szCs w:val="26"/>
              </w:rPr>
              <w:t>Projekts šo jomu neskar.</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3.</w:t>
            </w:r>
          </w:p>
        </w:tc>
        <w:tc>
          <w:tcPr>
            <w:tcW w:w="2031"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Projekta izpildes ietekme uz pārvaldes institucionālo struktūru.</w:t>
            </w:r>
          </w:p>
          <w:p w:rsidR="00F758D9" w:rsidRPr="00203898" w:rsidRDefault="00F758D9" w:rsidP="00744F4B">
            <w:pPr>
              <w:pStyle w:val="NormalWeb"/>
              <w:spacing w:before="0" w:beforeAutospacing="0" w:after="0" w:afterAutospacing="0"/>
              <w:rPr>
                <w:sz w:val="26"/>
                <w:szCs w:val="26"/>
              </w:rPr>
            </w:pPr>
            <w:r w:rsidRPr="00203898">
              <w:rPr>
                <w:sz w:val="26"/>
                <w:szCs w:val="26"/>
              </w:rPr>
              <w:t>Jaunu institūciju izveide</w:t>
            </w:r>
          </w:p>
        </w:tc>
        <w:tc>
          <w:tcPr>
            <w:tcW w:w="2734"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aiskr"/>
              <w:spacing w:before="0" w:after="0"/>
              <w:jc w:val="both"/>
              <w:rPr>
                <w:iCs/>
                <w:sz w:val="26"/>
                <w:szCs w:val="26"/>
              </w:rPr>
            </w:pPr>
            <w:r w:rsidRPr="00203898">
              <w:rPr>
                <w:sz w:val="26"/>
                <w:szCs w:val="26"/>
              </w:rPr>
              <w:t>Projekts šo jomu neskar.</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4.</w:t>
            </w:r>
          </w:p>
        </w:tc>
        <w:tc>
          <w:tcPr>
            <w:tcW w:w="2031"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Projekta izpildes ietekme uz pārvaldes institucionālo struktūru.</w:t>
            </w:r>
          </w:p>
          <w:p w:rsidR="00F758D9" w:rsidRPr="00203898" w:rsidRDefault="00F758D9" w:rsidP="00744F4B">
            <w:pPr>
              <w:pStyle w:val="NormalWeb"/>
              <w:spacing w:before="0" w:beforeAutospacing="0" w:after="0" w:afterAutospacing="0"/>
              <w:rPr>
                <w:sz w:val="26"/>
                <w:szCs w:val="26"/>
              </w:rPr>
            </w:pPr>
            <w:r w:rsidRPr="00203898">
              <w:rPr>
                <w:sz w:val="26"/>
                <w:szCs w:val="26"/>
              </w:rPr>
              <w:t>Esošu institūciju likvidācija</w:t>
            </w:r>
          </w:p>
        </w:tc>
        <w:tc>
          <w:tcPr>
            <w:tcW w:w="2734"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aiskr"/>
              <w:spacing w:before="0" w:after="0"/>
              <w:jc w:val="both"/>
              <w:rPr>
                <w:iCs/>
                <w:sz w:val="26"/>
                <w:szCs w:val="26"/>
              </w:rPr>
            </w:pPr>
            <w:r w:rsidRPr="00203898">
              <w:rPr>
                <w:sz w:val="26"/>
                <w:szCs w:val="26"/>
              </w:rPr>
              <w:t>Projekts šo jomu neskar.</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5.</w:t>
            </w:r>
          </w:p>
        </w:tc>
        <w:tc>
          <w:tcPr>
            <w:tcW w:w="2031"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Projekta izpildes ietekme uz pārvaldes institucionālo struktūru.</w:t>
            </w:r>
          </w:p>
          <w:p w:rsidR="00F758D9" w:rsidRPr="00203898" w:rsidRDefault="00F758D9" w:rsidP="00744F4B">
            <w:pPr>
              <w:pStyle w:val="NormalWeb"/>
              <w:spacing w:before="0" w:beforeAutospacing="0" w:after="0" w:afterAutospacing="0"/>
              <w:rPr>
                <w:sz w:val="26"/>
                <w:szCs w:val="26"/>
              </w:rPr>
            </w:pPr>
            <w:r w:rsidRPr="00203898">
              <w:rPr>
                <w:sz w:val="26"/>
                <w:szCs w:val="26"/>
              </w:rPr>
              <w:t>Esošu institūciju reorganizācija</w:t>
            </w:r>
          </w:p>
        </w:tc>
        <w:tc>
          <w:tcPr>
            <w:tcW w:w="2734"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aiskr"/>
              <w:spacing w:before="0" w:after="0"/>
              <w:jc w:val="both"/>
              <w:rPr>
                <w:iCs/>
                <w:sz w:val="26"/>
                <w:szCs w:val="26"/>
              </w:rPr>
            </w:pPr>
            <w:r w:rsidRPr="00203898">
              <w:rPr>
                <w:sz w:val="26"/>
                <w:szCs w:val="26"/>
              </w:rPr>
              <w:t>Projekts šo jomu neskar.</w:t>
            </w:r>
          </w:p>
        </w:tc>
      </w:tr>
      <w:tr w:rsidR="00F758D9" w:rsidRPr="00203898" w:rsidTr="00744F4B">
        <w:tc>
          <w:tcPr>
            <w:tcW w:w="235"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jc w:val="center"/>
              <w:rPr>
                <w:sz w:val="26"/>
                <w:szCs w:val="26"/>
              </w:rPr>
            </w:pPr>
            <w:r w:rsidRPr="00203898">
              <w:rPr>
                <w:sz w:val="26"/>
                <w:szCs w:val="26"/>
              </w:rPr>
              <w:t>6.</w:t>
            </w:r>
          </w:p>
        </w:tc>
        <w:tc>
          <w:tcPr>
            <w:tcW w:w="2031"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Cita informācija</w:t>
            </w:r>
          </w:p>
        </w:tc>
        <w:tc>
          <w:tcPr>
            <w:tcW w:w="2734" w:type="pct"/>
            <w:tcBorders>
              <w:top w:val="outset" w:sz="6" w:space="0" w:color="000000"/>
              <w:left w:val="outset" w:sz="6" w:space="0" w:color="000000"/>
              <w:bottom w:val="outset" w:sz="6" w:space="0" w:color="000000"/>
              <w:right w:val="outset" w:sz="6" w:space="0" w:color="000000"/>
            </w:tcBorders>
            <w:hideMark/>
          </w:tcPr>
          <w:p w:rsidR="00F758D9" w:rsidRPr="00203898" w:rsidRDefault="00F758D9" w:rsidP="00744F4B">
            <w:pPr>
              <w:pStyle w:val="NormalWeb"/>
              <w:spacing w:before="0" w:beforeAutospacing="0" w:after="0" w:afterAutospacing="0"/>
              <w:rPr>
                <w:sz w:val="26"/>
                <w:szCs w:val="26"/>
              </w:rPr>
            </w:pPr>
            <w:r w:rsidRPr="00203898">
              <w:rPr>
                <w:sz w:val="26"/>
                <w:szCs w:val="26"/>
              </w:rPr>
              <w:t>Nav.</w:t>
            </w:r>
          </w:p>
        </w:tc>
      </w:tr>
    </w:tbl>
    <w:p w:rsidR="00F758D9" w:rsidRPr="00203898" w:rsidRDefault="00F758D9" w:rsidP="00F758D9">
      <w:pPr>
        <w:spacing w:before="75" w:after="75"/>
        <w:rPr>
          <w:sz w:val="26"/>
          <w:szCs w:val="26"/>
        </w:rPr>
      </w:pPr>
    </w:p>
    <w:p w:rsidR="00F758D9" w:rsidRPr="00203898" w:rsidRDefault="00F758D9" w:rsidP="00F758D9">
      <w:pPr>
        <w:spacing w:before="75" w:after="75"/>
        <w:rPr>
          <w:sz w:val="26"/>
          <w:szCs w:val="26"/>
        </w:rPr>
      </w:pPr>
      <w:r w:rsidRPr="00203898">
        <w:rPr>
          <w:sz w:val="26"/>
          <w:szCs w:val="26"/>
        </w:rPr>
        <w:t xml:space="preserve">Finanšu ministrs </w:t>
      </w:r>
      <w:r w:rsidRPr="00203898">
        <w:rPr>
          <w:sz w:val="26"/>
          <w:szCs w:val="26"/>
        </w:rPr>
        <w:tab/>
        <w:t xml:space="preserve">  </w:t>
      </w:r>
      <w:r w:rsidRPr="00203898">
        <w:rPr>
          <w:sz w:val="26"/>
          <w:szCs w:val="26"/>
        </w:rPr>
        <w:tab/>
      </w:r>
      <w:r w:rsidRPr="00203898">
        <w:rPr>
          <w:sz w:val="26"/>
          <w:szCs w:val="26"/>
        </w:rPr>
        <w:tab/>
      </w:r>
      <w:r w:rsidRPr="00203898">
        <w:rPr>
          <w:sz w:val="26"/>
          <w:szCs w:val="26"/>
        </w:rPr>
        <w:tab/>
      </w:r>
      <w:r w:rsidRPr="00203898">
        <w:rPr>
          <w:sz w:val="26"/>
          <w:szCs w:val="26"/>
        </w:rPr>
        <w:tab/>
      </w:r>
      <w:r w:rsidRPr="00203898">
        <w:rPr>
          <w:sz w:val="26"/>
          <w:szCs w:val="26"/>
        </w:rPr>
        <w:tab/>
      </w:r>
      <w:r w:rsidRPr="00203898">
        <w:rPr>
          <w:sz w:val="26"/>
          <w:szCs w:val="26"/>
        </w:rPr>
        <w:tab/>
        <w:t>A.Vilks</w:t>
      </w:r>
    </w:p>
    <w:p w:rsidR="00F758D9" w:rsidRPr="00203898" w:rsidRDefault="00F758D9" w:rsidP="00F758D9">
      <w:pPr>
        <w:jc w:val="both"/>
        <w:rPr>
          <w:sz w:val="26"/>
          <w:szCs w:val="26"/>
        </w:rPr>
      </w:pPr>
    </w:p>
    <w:p w:rsidR="00F758D9" w:rsidRPr="00203898" w:rsidRDefault="00F758D9" w:rsidP="00F758D9">
      <w:pPr>
        <w:jc w:val="both"/>
        <w:rPr>
          <w:sz w:val="26"/>
          <w:szCs w:val="26"/>
        </w:rPr>
      </w:pPr>
    </w:p>
    <w:p w:rsidR="00F758D9" w:rsidRPr="00203898" w:rsidRDefault="00F758D9" w:rsidP="00F758D9">
      <w:pPr>
        <w:jc w:val="both"/>
        <w:rPr>
          <w:sz w:val="26"/>
          <w:szCs w:val="26"/>
        </w:rPr>
      </w:pPr>
    </w:p>
    <w:p w:rsidR="00F758D9" w:rsidRPr="00EF6D9F" w:rsidRDefault="00463AC4" w:rsidP="00F758D9">
      <w:pPr>
        <w:jc w:val="both"/>
        <w:rPr>
          <w:sz w:val="20"/>
          <w:szCs w:val="20"/>
        </w:rPr>
      </w:pPr>
      <w:r>
        <w:rPr>
          <w:sz w:val="20"/>
          <w:szCs w:val="20"/>
        </w:rPr>
        <w:t>09</w:t>
      </w:r>
      <w:r w:rsidR="00F758D9" w:rsidRPr="00EF6D9F">
        <w:rPr>
          <w:sz w:val="20"/>
          <w:szCs w:val="20"/>
        </w:rPr>
        <w:t>.0</w:t>
      </w:r>
      <w:r>
        <w:rPr>
          <w:sz w:val="20"/>
          <w:szCs w:val="20"/>
        </w:rPr>
        <w:t>8</w:t>
      </w:r>
      <w:r w:rsidR="00F758D9" w:rsidRPr="00EF6D9F">
        <w:rPr>
          <w:sz w:val="20"/>
          <w:szCs w:val="20"/>
        </w:rPr>
        <w:t>.2013.</w:t>
      </w:r>
      <w:r>
        <w:rPr>
          <w:sz w:val="20"/>
          <w:szCs w:val="20"/>
        </w:rPr>
        <w:t xml:space="preserve"> 16:00</w:t>
      </w:r>
    </w:p>
    <w:p w:rsidR="00F758D9" w:rsidRPr="00EF6D9F" w:rsidRDefault="004C007E" w:rsidP="00F758D9">
      <w:pPr>
        <w:rPr>
          <w:sz w:val="20"/>
          <w:szCs w:val="20"/>
        </w:rPr>
      </w:pPr>
      <w:r>
        <w:rPr>
          <w:sz w:val="20"/>
          <w:szCs w:val="20"/>
        </w:rPr>
        <w:t>659</w:t>
      </w:r>
    </w:p>
    <w:p w:rsidR="00F758D9" w:rsidRPr="00EF6D9F" w:rsidRDefault="00F758D9" w:rsidP="00F758D9">
      <w:pPr>
        <w:pStyle w:val="Header"/>
        <w:tabs>
          <w:tab w:val="left" w:pos="720"/>
        </w:tabs>
        <w:rPr>
          <w:noProof/>
          <w:sz w:val="20"/>
        </w:rPr>
      </w:pPr>
      <w:r w:rsidRPr="00EF6D9F">
        <w:rPr>
          <w:noProof/>
          <w:sz w:val="20"/>
        </w:rPr>
        <w:t>I.Lipovska</w:t>
      </w:r>
    </w:p>
    <w:p w:rsidR="00F758D9" w:rsidRPr="00EF6D9F" w:rsidRDefault="00F758D9" w:rsidP="00F758D9">
      <w:pPr>
        <w:rPr>
          <w:noProof/>
          <w:sz w:val="20"/>
          <w:szCs w:val="20"/>
        </w:rPr>
      </w:pPr>
      <w:bookmarkStart w:id="0" w:name="_GoBack"/>
      <w:r w:rsidRPr="00EF6D9F">
        <w:rPr>
          <w:noProof/>
          <w:sz w:val="20"/>
          <w:szCs w:val="20"/>
        </w:rPr>
        <w:t xml:space="preserve">67083965, </w:t>
      </w:r>
      <w:hyperlink r:id="rId7" w:history="1">
        <w:r w:rsidRPr="00EF6D9F">
          <w:rPr>
            <w:rStyle w:val="Hyperlink"/>
            <w:noProof/>
            <w:sz w:val="20"/>
            <w:szCs w:val="20"/>
          </w:rPr>
          <w:t>Inta.Lipovska@fm.gov.lv</w:t>
        </w:r>
      </w:hyperlink>
      <w:r w:rsidRPr="00EF6D9F">
        <w:rPr>
          <w:noProof/>
          <w:sz w:val="20"/>
          <w:szCs w:val="20"/>
        </w:rPr>
        <w:t xml:space="preserve"> </w:t>
      </w:r>
    </w:p>
    <w:bookmarkEnd w:id="0"/>
    <w:p w:rsidR="007F2D24" w:rsidRDefault="007F2D24"/>
    <w:sectPr w:rsidR="007F2D24" w:rsidSect="00F556C0">
      <w:headerReference w:type="default" r:id="rId8"/>
      <w:footerReference w:type="default" r:id="rId9"/>
      <w:footerReference w:type="first" r:id="rId10"/>
      <w:pgSz w:w="11906" w:h="16838"/>
      <w:pgMar w:top="1134" w:right="1134" w:bottom="1134" w:left="1701"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A5" w:rsidRDefault="002014A5" w:rsidP="008E5B23">
      <w:r>
        <w:separator/>
      </w:r>
    </w:p>
  </w:endnote>
  <w:endnote w:type="continuationSeparator" w:id="0">
    <w:p w:rsidR="002014A5" w:rsidRDefault="002014A5" w:rsidP="008E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50" w:rsidRPr="00203898" w:rsidRDefault="00463AC4" w:rsidP="00245F50">
    <w:pPr>
      <w:jc w:val="both"/>
      <w:rPr>
        <w:b/>
        <w:color w:val="000000"/>
        <w:sz w:val="26"/>
        <w:szCs w:val="26"/>
      </w:rPr>
    </w:pPr>
    <w:r>
      <w:rPr>
        <w:spacing w:val="2"/>
        <w:position w:val="-12"/>
        <w:sz w:val="18"/>
        <w:szCs w:val="18"/>
      </w:rPr>
      <w:t>FMAnot_0908</w:t>
    </w:r>
    <w:r w:rsidR="00F758D9" w:rsidRPr="00280F02">
      <w:rPr>
        <w:spacing w:val="2"/>
        <w:position w:val="-12"/>
        <w:sz w:val="18"/>
        <w:szCs w:val="18"/>
      </w:rPr>
      <w:t>13_</w:t>
    </w:r>
    <w:r>
      <w:rPr>
        <w:spacing w:val="2"/>
        <w:position w:val="-12"/>
        <w:sz w:val="18"/>
        <w:szCs w:val="18"/>
      </w:rPr>
      <w:t>ppmal</w:t>
    </w:r>
    <w:r w:rsidR="00F758D9" w:rsidRPr="008957EA">
      <w:rPr>
        <w:spacing w:val="2"/>
        <w:position w:val="-12"/>
        <w:sz w:val="18"/>
        <w:szCs w:val="18"/>
      </w:rPr>
      <w:t>;</w:t>
    </w:r>
    <w:r w:rsidR="00F758D9">
      <w:rPr>
        <w:spacing w:val="2"/>
        <w:position w:val="-12"/>
        <w:sz w:val="18"/>
        <w:szCs w:val="18"/>
      </w:rPr>
      <w:t xml:space="preserve"> Likumprojekta „Grozījumi Publiskas personas mantas atsavināšanas likumā” sākotnējās ietekmes novērtējuma ziņojums (anotācija)</w:t>
    </w:r>
    <w:r w:rsidR="00F758D9" w:rsidRPr="008957EA">
      <w:rPr>
        <w:spacing w:val="2"/>
        <w:position w:val="-12"/>
        <w:sz w:val="18"/>
        <w:szCs w:val="18"/>
      </w:rPr>
      <w:t xml:space="preserve"> </w:t>
    </w:r>
  </w:p>
  <w:p w:rsidR="00280F02" w:rsidRPr="002D5D8D" w:rsidRDefault="002014A5" w:rsidP="00280F02">
    <w:pPr>
      <w:jc w:val="both"/>
      <w:rPr>
        <w:spacing w:val="2"/>
        <w:position w:val="-12"/>
        <w:sz w:val="18"/>
        <w:szCs w:val="18"/>
      </w:rPr>
    </w:pPr>
  </w:p>
  <w:p w:rsidR="00287D62" w:rsidRPr="00280F02" w:rsidRDefault="002014A5" w:rsidP="00245F5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62" w:rsidRPr="002D5D8D" w:rsidRDefault="00463AC4" w:rsidP="002D5D8D">
    <w:pPr>
      <w:jc w:val="both"/>
      <w:rPr>
        <w:spacing w:val="2"/>
        <w:position w:val="-12"/>
        <w:sz w:val="18"/>
        <w:szCs w:val="18"/>
      </w:rPr>
    </w:pPr>
    <w:r w:rsidRPr="00463AC4">
      <w:rPr>
        <w:spacing w:val="2"/>
        <w:position w:val="-12"/>
        <w:sz w:val="18"/>
        <w:szCs w:val="18"/>
      </w:rPr>
      <w:t>FMAnot_090813_ppmal; Likumprojekta „Grozījumi Publiskas personas mantas atsavināšanas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A5" w:rsidRDefault="002014A5" w:rsidP="008E5B23">
      <w:r>
        <w:separator/>
      </w:r>
    </w:p>
  </w:footnote>
  <w:footnote w:type="continuationSeparator" w:id="0">
    <w:p w:rsidR="002014A5" w:rsidRDefault="002014A5" w:rsidP="008E5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62" w:rsidRDefault="008E5B23">
    <w:pPr>
      <w:pStyle w:val="Header"/>
      <w:jc w:val="center"/>
    </w:pPr>
    <w:r>
      <w:fldChar w:fldCharType="begin"/>
    </w:r>
    <w:r w:rsidR="00F758D9">
      <w:instrText xml:space="preserve"> PAGE   \* MERGEFORMAT </w:instrText>
    </w:r>
    <w:r>
      <w:fldChar w:fldCharType="separate"/>
    </w:r>
    <w:r w:rsidR="006E73B8">
      <w:rPr>
        <w:noProof/>
      </w:rPr>
      <w:t>3</w:t>
    </w:r>
    <w:r>
      <w:fldChar w:fldCharType="end"/>
    </w:r>
  </w:p>
  <w:p w:rsidR="00287D62" w:rsidRDefault="00201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D29E5"/>
    <w:multiLevelType w:val="hybridMultilevel"/>
    <w:tmpl w:val="723A8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E620E4"/>
    <w:multiLevelType w:val="hybridMultilevel"/>
    <w:tmpl w:val="E870B3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58D9"/>
    <w:rsid w:val="00017A53"/>
    <w:rsid w:val="002014A5"/>
    <w:rsid w:val="00267A0D"/>
    <w:rsid w:val="002C23D1"/>
    <w:rsid w:val="00463AC4"/>
    <w:rsid w:val="004C007E"/>
    <w:rsid w:val="005B4F12"/>
    <w:rsid w:val="0060038F"/>
    <w:rsid w:val="006E73B8"/>
    <w:rsid w:val="007F2D24"/>
    <w:rsid w:val="008E5B23"/>
    <w:rsid w:val="00D6029A"/>
    <w:rsid w:val="00DE008D"/>
    <w:rsid w:val="00E5173A"/>
    <w:rsid w:val="00F758D9"/>
    <w:rsid w:val="00FC4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0AEEA0E-6FFA-4FFB-87EF-B4D49872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D9"/>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58D9"/>
    <w:pPr>
      <w:tabs>
        <w:tab w:val="center" w:pos="4153"/>
        <w:tab w:val="right" w:pos="8306"/>
      </w:tabs>
      <w:jc w:val="both"/>
    </w:pPr>
    <w:rPr>
      <w:szCs w:val="20"/>
      <w:lang w:eastAsia="en-US"/>
    </w:rPr>
  </w:style>
  <w:style w:type="character" w:customStyle="1" w:styleId="HeaderChar">
    <w:name w:val="Header Char"/>
    <w:basedOn w:val="DefaultParagraphFont"/>
    <w:link w:val="Header"/>
    <w:uiPriority w:val="99"/>
    <w:rsid w:val="00F758D9"/>
    <w:rPr>
      <w:rFonts w:eastAsia="Calibri" w:cs="Times New Roman"/>
      <w:szCs w:val="20"/>
    </w:rPr>
  </w:style>
  <w:style w:type="character" w:styleId="Hyperlink">
    <w:name w:val="Hyperlink"/>
    <w:rsid w:val="00F758D9"/>
    <w:rPr>
      <w:color w:val="0000FF"/>
      <w:u w:val="single"/>
    </w:rPr>
  </w:style>
  <w:style w:type="paragraph" w:styleId="NormalWeb">
    <w:name w:val="Normal (Web)"/>
    <w:basedOn w:val="Normal"/>
    <w:uiPriority w:val="99"/>
    <w:rsid w:val="00F758D9"/>
    <w:pPr>
      <w:spacing w:before="100" w:beforeAutospacing="1" w:after="100" w:afterAutospacing="1"/>
    </w:pPr>
  </w:style>
  <w:style w:type="paragraph" w:styleId="Footer">
    <w:name w:val="footer"/>
    <w:basedOn w:val="Normal"/>
    <w:link w:val="FooterChar"/>
    <w:rsid w:val="00F758D9"/>
    <w:pPr>
      <w:tabs>
        <w:tab w:val="center" w:pos="4153"/>
        <w:tab w:val="right" w:pos="8306"/>
      </w:tabs>
    </w:pPr>
  </w:style>
  <w:style w:type="character" w:customStyle="1" w:styleId="FooterChar">
    <w:name w:val="Footer Char"/>
    <w:basedOn w:val="DefaultParagraphFont"/>
    <w:link w:val="Footer"/>
    <w:rsid w:val="00F758D9"/>
    <w:rPr>
      <w:rFonts w:eastAsia="Calibri" w:cs="Times New Roman"/>
      <w:szCs w:val="24"/>
      <w:lang w:eastAsia="lv-LV"/>
    </w:rPr>
  </w:style>
  <w:style w:type="paragraph" w:customStyle="1" w:styleId="naiskr">
    <w:name w:val="naiskr"/>
    <w:basedOn w:val="Normal"/>
    <w:rsid w:val="00F758D9"/>
    <w:pPr>
      <w:spacing w:before="75" w:after="75"/>
    </w:pPr>
  </w:style>
  <w:style w:type="paragraph" w:styleId="ListParagraph">
    <w:name w:val="List Paragraph"/>
    <w:basedOn w:val="Normal"/>
    <w:uiPriority w:val="34"/>
    <w:qFormat/>
    <w:rsid w:val="00F758D9"/>
    <w:pPr>
      <w:ind w:left="720"/>
      <w:contextualSpacing/>
    </w:pPr>
    <w:rPr>
      <w:rFonts w:eastAsia="Times New Roman"/>
    </w:rPr>
  </w:style>
  <w:style w:type="paragraph" w:customStyle="1" w:styleId="Nobeigums">
    <w:name w:val="Nobeigums"/>
    <w:basedOn w:val="Normal"/>
    <w:rsid w:val="00F758D9"/>
    <w:rPr>
      <w:rFonts w:eastAsia="Times New Roman"/>
      <w:szCs w:val="20"/>
      <w:lang w:val="en-US" w:eastAsia="en-US"/>
    </w:rPr>
  </w:style>
  <w:style w:type="paragraph" w:customStyle="1" w:styleId="tv2131">
    <w:name w:val="tv2131"/>
    <w:basedOn w:val="Normal"/>
    <w:rsid w:val="00F758D9"/>
    <w:pPr>
      <w:spacing w:before="240" w:line="360" w:lineRule="auto"/>
      <w:ind w:firstLine="300"/>
      <w:jc w:val="both"/>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a.Lipovs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3204</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dc:subject>
  <dc:creator>Odiņš Oskars</dc:creator>
  <cp:keywords/>
  <dc:description>67083965, Inta.Lipovska@fm.gov.lv </dc:description>
  <cp:lastModifiedBy>Lagzdiņa Lelde</cp:lastModifiedBy>
  <cp:revision>8</cp:revision>
  <dcterms:created xsi:type="dcterms:W3CDTF">2013-08-11T10:44:00Z</dcterms:created>
  <dcterms:modified xsi:type="dcterms:W3CDTF">2013-08-16T12:46:00Z</dcterms:modified>
</cp:coreProperties>
</file>