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0CCAD" w14:textId="77777777" w:rsidR="00AC608F" w:rsidRDefault="00AC608F" w:rsidP="00492048">
      <w:pPr>
        <w:jc w:val="center"/>
        <w:rPr>
          <w:b/>
          <w:sz w:val="26"/>
          <w:szCs w:val="26"/>
        </w:rPr>
      </w:pPr>
      <w:bookmarkStart w:id="0" w:name="OLE_LINK1"/>
      <w:bookmarkStart w:id="1" w:name="OLE_LINK2"/>
    </w:p>
    <w:p w14:paraId="3F78DC9E" w14:textId="77777777" w:rsidR="00492048" w:rsidRPr="001D3E95" w:rsidRDefault="00492048" w:rsidP="00492048">
      <w:pPr>
        <w:jc w:val="center"/>
        <w:rPr>
          <w:sz w:val="26"/>
          <w:szCs w:val="26"/>
          <w:lang w:eastAsia="lv-LV"/>
        </w:rPr>
      </w:pPr>
      <w:r w:rsidRPr="001D3E95">
        <w:rPr>
          <w:b/>
          <w:sz w:val="26"/>
          <w:szCs w:val="26"/>
        </w:rPr>
        <w:t xml:space="preserve">Ministru kabineta noteikumu projekta </w:t>
      </w:r>
      <w:r w:rsidR="002D4759" w:rsidRPr="001D3E95">
        <w:rPr>
          <w:b/>
          <w:sz w:val="26"/>
          <w:szCs w:val="26"/>
        </w:rPr>
        <w:t>"</w:t>
      </w:r>
      <w:r w:rsidR="002D4759" w:rsidRPr="001D3E95">
        <w:rPr>
          <w:b/>
          <w:bCs/>
          <w:szCs w:val="28"/>
        </w:rPr>
        <w:t xml:space="preserve">Grozījumi Ministru kabineta </w:t>
      </w:r>
      <w:r w:rsidR="002D4759" w:rsidRPr="001D3E95">
        <w:rPr>
          <w:rFonts w:eastAsia="Times New Roman"/>
          <w:b/>
          <w:bCs/>
          <w:szCs w:val="28"/>
          <w:lang w:eastAsia="lv-LV"/>
        </w:rPr>
        <w:t>2012.gada 26.jūnija noteikumos Nr.459 "Noteikumi par Padziļinātās sadarbības programmas darbību""</w:t>
      </w:r>
      <w:r w:rsidRPr="001D3E95">
        <w:rPr>
          <w:b/>
          <w:sz w:val="26"/>
          <w:szCs w:val="26"/>
        </w:rPr>
        <w:t xml:space="preserve"> </w:t>
      </w:r>
      <w:r w:rsidRPr="001D3E95">
        <w:rPr>
          <w:b/>
          <w:bCs/>
          <w:iCs/>
          <w:sz w:val="26"/>
          <w:szCs w:val="26"/>
        </w:rPr>
        <w:t>sākotnējās ietekmes novērtējuma ziņojums (anotācija)</w:t>
      </w:r>
    </w:p>
    <w:p w14:paraId="1AB47616" w14:textId="77777777" w:rsidR="008A238C" w:rsidRPr="001D3E95" w:rsidRDefault="008A238C" w:rsidP="00FC7060">
      <w:pPr>
        <w:jc w:val="center"/>
        <w:rPr>
          <w:sz w:val="24"/>
          <w:szCs w:val="24"/>
          <w:lang w:eastAsia="lv-LV"/>
        </w:rPr>
      </w:pP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1916"/>
        <w:gridCol w:w="7198"/>
      </w:tblGrid>
      <w:tr w:rsidR="005A039A" w:rsidRPr="001D3E95" w14:paraId="108DC89E" w14:textId="77777777" w:rsidTr="00AD3DBD">
        <w:trPr>
          <w:trHeight w:val="427"/>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bookmarkEnd w:id="0"/>
          <w:bookmarkEnd w:id="1"/>
          <w:p w14:paraId="1822F7EC" w14:textId="77777777" w:rsidR="005A039A" w:rsidRPr="001D3E95" w:rsidRDefault="005A039A" w:rsidP="00FC7060">
            <w:pPr>
              <w:jc w:val="center"/>
              <w:rPr>
                <w:rFonts w:eastAsia="Times New Roman"/>
                <w:sz w:val="24"/>
                <w:szCs w:val="24"/>
                <w:lang w:eastAsia="lv-LV"/>
              </w:rPr>
            </w:pPr>
            <w:r w:rsidRPr="001D3E95">
              <w:rPr>
                <w:rFonts w:eastAsia="Times New Roman"/>
                <w:b/>
                <w:bCs/>
                <w:sz w:val="24"/>
                <w:szCs w:val="24"/>
                <w:lang w:eastAsia="lv-LV"/>
              </w:rPr>
              <w:t>I. Tiesību akta projekta izstrādes nepieciešamība</w:t>
            </w:r>
          </w:p>
        </w:tc>
      </w:tr>
      <w:tr w:rsidR="00BF6104" w:rsidRPr="001D3E95" w14:paraId="25A62B87" w14:textId="77777777" w:rsidTr="00AD3DBD">
        <w:trPr>
          <w:trHeight w:val="19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560B80" w14:textId="77777777" w:rsidR="005A039A" w:rsidRPr="001D3E95" w:rsidRDefault="005A039A" w:rsidP="00DE06E5">
            <w:pPr>
              <w:rPr>
                <w:rFonts w:eastAsia="Times New Roman"/>
                <w:sz w:val="24"/>
                <w:szCs w:val="24"/>
                <w:lang w:eastAsia="lv-LV"/>
              </w:rPr>
            </w:pPr>
            <w:r w:rsidRPr="001D3E95">
              <w:rPr>
                <w:rFonts w:eastAsia="Times New Roman"/>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hideMark/>
          </w:tcPr>
          <w:p w14:paraId="4203E685" w14:textId="77777777" w:rsidR="005A039A" w:rsidRPr="001D3E95" w:rsidRDefault="005A039A" w:rsidP="00FC7060">
            <w:pPr>
              <w:rPr>
                <w:rFonts w:eastAsia="Times New Roman"/>
                <w:sz w:val="24"/>
                <w:szCs w:val="24"/>
                <w:lang w:eastAsia="lv-LV"/>
              </w:rPr>
            </w:pPr>
            <w:r w:rsidRPr="001D3E95">
              <w:rPr>
                <w:rFonts w:eastAsia="Times New Roman"/>
                <w:sz w:val="24"/>
                <w:szCs w:val="24"/>
                <w:lang w:eastAsia="lv-LV"/>
              </w:rPr>
              <w:t> Pamatojums</w:t>
            </w:r>
          </w:p>
        </w:tc>
        <w:tc>
          <w:tcPr>
            <w:tcW w:w="0" w:type="auto"/>
            <w:tcBorders>
              <w:top w:val="outset" w:sz="6" w:space="0" w:color="auto"/>
              <w:left w:val="outset" w:sz="6" w:space="0" w:color="auto"/>
              <w:bottom w:val="outset" w:sz="6" w:space="0" w:color="auto"/>
              <w:right w:val="outset" w:sz="6" w:space="0" w:color="auto"/>
            </w:tcBorders>
            <w:hideMark/>
          </w:tcPr>
          <w:p w14:paraId="2AAF5EEC" w14:textId="77777777" w:rsidR="002D4759" w:rsidRPr="001D3E95" w:rsidRDefault="001B6BD7" w:rsidP="00A125F6">
            <w:pPr>
              <w:ind w:left="127" w:right="127"/>
              <w:jc w:val="both"/>
              <w:rPr>
                <w:sz w:val="24"/>
                <w:szCs w:val="24"/>
              </w:rPr>
            </w:pPr>
            <w:r w:rsidRPr="001D3E95">
              <w:rPr>
                <w:sz w:val="24"/>
                <w:szCs w:val="24"/>
              </w:rPr>
              <w:t>Ministru kabineta noteikumu projekts "Grozījumi Ministru kabineta 2012.gada 26.jūnija noteikumos Nr.459 "Noteikumi par Padziļinātās sadarbības programmas darbību"" izstrādāts, pamatojoties uz:</w:t>
            </w:r>
          </w:p>
          <w:p w14:paraId="24D95F13" w14:textId="77777777" w:rsidR="001B6BD7" w:rsidRPr="001D3E95" w:rsidRDefault="001B6BD7" w:rsidP="001B6BD7">
            <w:pPr>
              <w:pStyle w:val="ListParagraph"/>
              <w:numPr>
                <w:ilvl w:val="0"/>
                <w:numId w:val="26"/>
              </w:numPr>
              <w:ind w:right="127"/>
              <w:jc w:val="both"/>
              <w:rPr>
                <w:sz w:val="24"/>
                <w:szCs w:val="24"/>
              </w:rPr>
            </w:pPr>
            <w:r w:rsidRPr="001D3E95">
              <w:rPr>
                <w:sz w:val="24"/>
                <w:szCs w:val="24"/>
              </w:rPr>
              <w:t>likuma "Par nodokļiem un nodevām" 7.</w:t>
            </w:r>
            <w:r w:rsidRPr="001D3E95">
              <w:rPr>
                <w:sz w:val="24"/>
                <w:szCs w:val="24"/>
                <w:vertAlign w:val="superscript"/>
              </w:rPr>
              <w:t>1</w:t>
            </w:r>
            <w:r w:rsidRPr="001D3E95">
              <w:rPr>
                <w:sz w:val="24"/>
                <w:szCs w:val="24"/>
              </w:rPr>
              <w:t>panta ceturto un sesto daļu;</w:t>
            </w:r>
          </w:p>
          <w:p w14:paraId="42211F7D" w14:textId="4BF61C9A" w:rsidR="00DD7AE5" w:rsidRPr="001D3E95" w:rsidRDefault="001B6BD7" w:rsidP="001B6BD7">
            <w:pPr>
              <w:pStyle w:val="ListParagraph"/>
              <w:numPr>
                <w:ilvl w:val="0"/>
                <w:numId w:val="26"/>
              </w:numPr>
              <w:ind w:right="127"/>
              <w:jc w:val="both"/>
              <w:rPr>
                <w:sz w:val="24"/>
                <w:szCs w:val="24"/>
              </w:rPr>
            </w:pPr>
            <w:r w:rsidRPr="001D3E95">
              <w:rPr>
                <w:sz w:val="24"/>
                <w:szCs w:val="24"/>
              </w:rPr>
              <w:t xml:space="preserve">Ministru kabineta 2012.gada 26.jūnija sēdes protokola Nr.36 63.§ "Noteikumu projekts "Noteikumi par Padziļinātās sadarbības programmas darbību"" </w:t>
            </w:r>
            <w:r w:rsidR="00867EB7" w:rsidRPr="001D3E95">
              <w:rPr>
                <w:sz w:val="24"/>
                <w:szCs w:val="24"/>
              </w:rPr>
              <w:t>3</w:t>
            </w:r>
            <w:r w:rsidRPr="001D3E95">
              <w:rPr>
                <w:sz w:val="24"/>
                <w:szCs w:val="24"/>
              </w:rPr>
              <w:t>.</w:t>
            </w:r>
            <w:r w:rsidR="00867EB7" w:rsidRPr="001D3E95">
              <w:rPr>
                <w:sz w:val="24"/>
                <w:szCs w:val="24"/>
              </w:rPr>
              <w:t xml:space="preserve"> un 6.punktu;</w:t>
            </w:r>
          </w:p>
          <w:p w14:paraId="0BC1D21C" w14:textId="144B1841" w:rsidR="00A24EA3" w:rsidRPr="001D3E95" w:rsidRDefault="00867EB7" w:rsidP="00167CCE">
            <w:pPr>
              <w:pStyle w:val="ListParagraph"/>
              <w:numPr>
                <w:ilvl w:val="0"/>
                <w:numId w:val="26"/>
              </w:numPr>
              <w:ind w:right="127"/>
              <w:jc w:val="both"/>
              <w:rPr>
                <w:sz w:val="24"/>
                <w:szCs w:val="24"/>
              </w:rPr>
            </w:pPr>
            <w:r w:rsidRPr="001D3E95">
              <w:rPr>
                <w:sz w:val="24"/>
                <w:szCs w:val="24"/>
              </w:rPr>
              <w:t>Ministru kabineta 2011.gada 19.decembra rīkojuma Nr.673 5.</w:t>
            </w:r>
            <w:r w:rsidR="00167CCE">
              <w:rPr>
                <w:sz w:val="24"/>
                <w:szCs w:val="24"/>
              </w:rPr>
              <w:t>2</w:t>
            </w:r>
            <w:bookmarkStart w:id="2" w:name="_GoBack"/>
            <w:bookmarkEnd w:id="2"/>
            <w:r w:rsidRPr="001D3E95">
              <w:rPr>
                <w:sz w:val="24"/>
                <w:szCs w:val="24"/>
              </w:rPr>
              <w:t>.apakšpunktu.</w:t>
            </w:r>
          </w:p>
        </w:tc>
      </w:tr>
      <w:tr w:rsidR="00BF6104" w:rsidRPr="001D3E95" w14:paraId="3B52C83E" w14:textId="77777777" w:rsidTr="00AD3DBD">
        <w:trPr>
          <w:trHeight w:val="974"/>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E0AC16" w14:textId="77777777" w:rsidR="005A039A" w:rsidRPr="001D3E95" w:rsidRDefault="007D6062" w:rsidP="00DE06E5">
            <w:pPr>
              <w:jc w:val="both"/>
              <w:rPr>
                <w:rFonts w:eastAsia="Times New Roman"/>
                <w:sz w:val="24"/>
                <w:szCs w:val="24"/>
                <w:lang w:eastAsia="lv-LV"/>
              </w:rPr>
            </w:pPr>
            <w:r w:rsidRPr="001D3E95">
              <w:rPr>
                <w:rFonts w:eastAsia="Times New Roman"/>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hideMark/>
          </w:tcPr>
          <w:p w14:paraId="3036C439" w14:textId="77777777" w:rsidR="002D4759" w:rsidRPr="001D3E95" w:rsidRDefault="002F024F" w:rsidP="002D4759">
            <w:pPr>
              <w:tabs>
                <w:tab w:val="left" w:pos="341"/>
              </w:tabs>
              <w:ind w:left="114" w:right="126"/>
              <w:jc w:val="both"/>
              <w:rPr>
                <w:rFonts w:eastAsia="Times New Roman"/>
                <w:sz w:val="24"/>
                <w:szCs w:val="24"/>
                <w:lang w:eastAsia="lv-LV"/>
              </w:rPr>
            </w:pPr>
            <w:r w:rsidRPr="001D3E95">
              <w:rPr>
                <w:rFonts w:eastAsia="Times New Roman"/>
                <w:sz w:val="24"/>
                <w:szCs w:val="24"/>
                <w:lang w:eastAsia="lv-LV"/>
              </w:rPr>
              <w:t xml:space="preserve">Pašreizējā situācija un </w:t>
            </w:r>
            <w:r w:rsidR="005A039A" w:rsidRPr="001D3E95">
              <w:rPr>
                <w:rFonts w:eastAsia="Times New Roman"/>
                <w:sz w:val="24"/>
                <w:szCs w:val="24"/>
                <w:lang w:eastAsia="lv-LV"/>
              </w:rPr>
              <w:t>problēmas</w:t>
            </w:r>
            <w:r w:rsidR="00AD16F6" w:rsidRPr="001D3E95">
              <w:rPr>
                <w:rFonts w:eastAsia="Times New Roman"/>
                <w:sz w:val="24"/>
                <w:szCs w:val="24"/>
                <w:lang w:eastAsia="lv-LV"/>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129ED7" w14:textId="77777777" w:rsidR="002D4759" w:rsidRPr="001D3E95" w:rsidRDefault="001B6BD7" w:rsidP="001B6BD7">
            <w:pPr>
              <w:pStyle w:val="NormalWeb"/>
              <w:spacing w:before="0" w:after="0"/>
              <w:ind w:left="113" w:right="125"/>
              <w:rPr>
                <w:sz w:val="24"/>
                <w:szCs w:val="24"/>
              </w:rPr>
            </w:pPr>
            <w:r w:rsidRPr="001D3E95">
              <w:rPr>
                <w:sz w:val="24"/>
                <w:szCs w:val="24"/>
              </w:rPr>
              <w:t>2012.gada 1.jūlijā, stājoties spēkā likuma "Par nodokļiem un nodevām" 7.</w:t>
            </w:r>
            <w:r w:rsidRPr="001D3E95">
              <w:rPr>
                <w:sz w:val="24"/>
                <w:szCs w:val="24"/>
                <w:vertAlign w:val="superscript"/>
              </w:rPr>
              <w:t>1</w:t>
            </w:r>
            <w:r w:rsidRPr="001D3E95">
              <w:rPr>
                <w:sz w:val="24"/>
                <w:szCs w:val="24"/>
              </w:rPr>
              <w:t>pantam, uzsāka darbību Padziļinātās sadarbības programma. Padziļinātās sadarbības programmas mērķis ir veicināt nodokļu maksātāju un nodokļu administrācijas ciešāku un efektīvāku sadarbību un mazināt administratīvo slogu.</w:t>
            </w:r>
          </w:p>
          <w:p w14:paraId="256479AB" w14:textId="4BA1661C" w:rsidR="001B6BD7" w:rsidRPr="001D3E95" w:rsidRDefault="001B6BD7" w:rsidP="001B6BD7">
            <w:pPr>
              <w:pStyle w:val="NormalWeb"/>
              <w:spacing w:before="0" w:after="0"/>
              <w:ind w:left="113" w:right="125"/>
              <w:rPr>
                <w:sz w:val="24"/>
                <w:szCs w:val="24"/>
              </w:rPr>
            </w:pPr>
            <w:r w:rsidRPr="001D3E95">
              <w:rPr>
                <w:sz w:val="24"/>
                <w:szCs w:val="24"/>
              </w:rPr>
              <w:t>Lai nodokļu maksātājs varētu iegūt Padziļinātās sadarbības programmas dalībnieka statusu, tam ir jāatbilst Ministru kabineta 2012.gada 26.jūnija noteikumos</w:t>
            </w:r>
            <w:r w:rsidR="00391B5B">
              <w:rPr>
                <w:sz w:val="24"/>
                <w:szCs w:val="24"/>
              </w:rPr>
              <w:t xml:space="preserve"> Nr.459</w:t>
            </w:r>
            <w:r w:rsidRPr="001D3E95">
              <w:rPr>
                <w:sz w:val="24"/>
                <w:szCs w:val="24"/>
              </w:rPr>
              <w:t xml:space="preserve"> "Noteikumi par Padziļinātās sadarbības programmas darbību" (turpmāk – MK noteikumi Nr.459) noteiktajiem kritērijiem, tajā skaitā, nodokļu maksātājam jāievieš iekšējo nodokļu risku vadības un kontroles sistēmu (MK noteikumu Nr.459 3.10.apakšpunkts). MK noteikumu Nr.459 pārejas noteikumu 27.punktā ir noteikts, ka 12 mēnešu laikā no šo noteikumu spēkā stāšanās dienas netiek ņemts vērā šo noteikumu 3.10.apakšpunktā minētais kritērijs. Līdz ar to prasība ieviest iekšējo nodokļu risku vadības un kontroles sistēmu </w:t>
            </w:r>
            <w:r w:rsidR="007E20C2" w:rsidRPr="001D3E95">
              <w:rPr>
                <w:sz w:val="24"/>
                <w:szCs w:val="24"/>
              </w:rPr>
              <w:t>stāsies spēkā pēc noteikumos noteiktā pārejas perioda</w:t>
            </w:r>
            <w:r w:rsidRPr="001D3E95">
              <w:rPr>
                <w:sz w:val="24"/>
                <w:szCs w:val="24"/>
              </w:rPr>
              <w:t>.</w:t>
            </w:r>
            <w:r w:rsidR="00BE40A0" w:rsidRPr="001D3E95">
              <w:rPr>
                <w:sz w:val="24"/>
                <w:szCs w:val="24"/>
              </w:rPr>
              <w:t xml:space="preserve"> Ievērojot minēto, Ministru kabinets 2012.gada 26.jūnijā uzdeva Finanšu ministrijai līdz 2012.gada 31.decembrim izstrādāt kritērijus iekšējās nodokļu risku vadības un kontroles sistēmai (protokols Nr.36, 63§).</w:t>
            </w:r>
            <w:r w:rsidR="00770A94">
              <w:rPr>
                <w:sz w:val="24"/>
                <w:szCs w:val="24"/>
              </w:rPr>
              <w:t xml:space="preserve"> Noteikumu projekta izstrādes procesā nonākts pie secinājuma, ka ņemot vērā nodokļu riska vadības ieviešanai nepieciešamo laiku, termiņu, līdz kuram nodokļu maksātājiem jāievieš nodokļu risku vadību, nepieciešams pagarināt līdz 2015.gada 1.janvārim.</w:t>
            </w:r>
          </w:p>
          <w:p w14:paraId="1A9C6D9D" w14:textId="77777777" w:rsidR="00BF5F33" w:rsidRPr="001D3E95" w:rsidRDefault="00BF5F33" w:rsidP="001B6BD7">
            <w:pPr>
              <w:pStyle w:val="NormalWeb"/>
              <w:spacing w:before="0" w:after="0"/>
              <w:ind w:left="113" w:right="125"/>
              <w:rPr>
                <w:sz w:val="24"/>
                <w:szCs w:val="24"/>
              </w:rPr>
            </w:pPr>
          </w:p>
          <w:p w14:paraId="7E25E75D" w14:textId="7037F65C" w:rsidR="00D015BD" w:rsidRPr="001D3E95" w:rsidRDefault="00D015BD" w:rsidP="001B6BD7">
            <w:pPr>
              <w:pStyle w:val="NormalWeb"/>
              <w:spacing w:before="0" w:after="0"/>
              <w:ind w:left="113" w:right="125"/>
              <w:rPr>
                <w:sz w:val="24"/>
                <w:szCs w:val="24"/>
              </w:rPr>
            </w:pPr>
            <w:r w:rsidRPr="001D3E95">
              <w:rPr>
                <w:sz w:val="24"/>
                <w:szCs w:val="24"/>
              </w:rPr>
              <w:t>Vairākus MK noteikumos Nr.459 noteiktos kritērijus, kurus nodokļu maksātājam jāizpilda, lai iegūtu Padziļinātās sadarbības programmas dalībnieka statusu, nevar izpildīt finanšu un kapitāla tirgus dalībnieki savādāku gada pārskata prasību dēļ. Līdz ar to ir nepieciešams precizēt atsevišķus</w:t>
            </w:r>
            <w:r w:rsidR="00391B5B">
              <w:rPr>
                <w:sz w:val="24"/>
                <w:szCs w:val="24"/>
              </w:rPr>
              <w:t xml:space="preserve"> kritērijus</w:t>
            </w:r>
            <w:r w:rsidR="00BF5F33" w:rsidRPr="001D3E95">
              <w:rPr>
                <w:sz w:val="24"/>
                <w:szCs w:val="24"/>
              </w:rPr>
              <w:t>,</w:t>
            </w:r>
            <w:r w:rsidRPr="001D3E95">
              <w:rPr>
                <w:sz w:val="24"/>
                <w:szCs w:val="24"/>
              </w:rPr>
              <w:t xml:space="preserve"> </w:t>
            </w:r>
            <w:r w:rsidR="00BF5F33" w:rsidRPr="001D3E95">
              <w:rPr>
                <w:sz w:val="24"/>
                <w:szCs w:val="24"/>
              </w:rPr>
              <w:t>pielāgojot tos</w:t>
            </w:r>
            <w:r w:rsidR="00643DA2">
              <w:rPr>
                <w:sz w:val="24"/>
                <w:szCs w:val="24"/>
              </w:rPr>
              <w:t>, lai būtu iespējama</w:t>
            </w:r>
            <w:r w:rsidR="00BF5F33" w:rsidRPr="001D3E95">
              <w:rPr>
                <w:sz w:val="24"/>
                <w:szCs w:val="24"/>
              </w:rPr>
              <w:t xml:space="preserve"> arī finanšu un kapitāla tirgus dalībniek</w:t>
            </w:r>
            <w:r w:rsidR="00643DA2">
              <w:rPr>
                <w:sz w:val="24"/>
                <w:szCs w:val="24"/>
              </w:rPr>
              <w:t>u vērtēšana</w:t>
            </w:r>
            <w:r w:rsidR="00BF5F33" w:rsidRPr="001D3E95">
              <w:rPr>
                <w:sz w:val="24"/>
                <w:szCs w:val="24"/>
              </w:rPr>
              <w:t>.</w:t>
            </w:r>
          </w:p>
          <w:p w14:paraId="0F29D7FE" w14:textId="77777777" w:rsidR="00BF5F33" w:rsidRPr="001D3E95" w:rsidRDefault="00BF5F33" w:rsidP="001B6BD7">
            <w:pPr>
              <w:pStyle w:val="NormalWeb"/>
              <w:spacing w:before="0" w:after="0"/>
              <w:ind w:left="113" w:right="125"/>
              <w:rPr>
                <w:sz w:val="24"/>
                <w:szCs w:val="24"/>
              </w:rPr>
            </w:pPr>
          </w:p>
          <w:p w14:paraId="534FF2D4" w14:textId="457B7138" w:rsidR="00E8632D" w:rsidRPr="001D3E95" w:rsidRDefault="00BF5F33" w:rsidP="001B6BD7">
            <w:pPr>
              <w:pStyle w:val="NormalWeb"/>
              <w:spacing w:before="0" w:after="0"/>
              <w:ind w:left="113" w:right="125"/>
              <w:rPr>
                <w:sz w:val="24"/>
                <w:szCs w:val="24"/>
              </w:rPr>
            </w:pPr>
            <w:r w:rsidRPr="001D3E95">
              <w:rPr>
                <w:sz w:val="24"/>
                <w:szCs w:val="24"/>
              </w:rPr>
              <w:lastRenderedPageBreak/>
              <w:t xml:space="preserve">MK noteikumos Nr.459 ir paredzēts, ka 12 mēnešus no noteikumu spēkā stāšanās dienas nodokļu maksātājam, lai tas tiktu uzņemts programmā, jāatbilst arī kritērijiem attiecībā uz apgrozījuma lielumu, samaksāto nodokļu apjomu un darbinieku skaitu. Ministru kabinets 2012.gada 26.jūnijā uzdeva Finanšu ministrijai līdz 2012.gada 1.jūlijam izvērtēt iespēju attiecināt Padziļinātās sadarbības programmu uz vidējiem un mazajiem uzņēmumiem, pārskatot kritērijus un nosacījumus to iekļaušanai minētajā programmā. </w:t>
            </w:r>
            <w:r w:rsidR="00DF4BC1" w:rsidRPr="001D3E95">
              <w:rPr>
                <w:sz w:val="24"/>
                <w:szCs w:val="24"/>
              </w:rPr>
              <w:t xml:space="preserve">Izvērtējot esošos kritērijus, tika konstatēts, ka tie kopumā atbilst esošajai Valsts ieņēmumu dienesta kapacitātei darbam ar Padziļinātajā sadarbības programmā iekļautajiem uzņēmumiem. Padziļinātās sadarbības programmas paplašināšana varētu apdraudēt </w:t>
            </w:r>
            <w:r w:rsidR="00697E0B" w:rsidRPr="001D3E95">
              <w:rPr>
                <w:sz w:val="24"/>
                <w:szCs w:val="24"/>
              </w:rPr>
              <w:t>minētās programmas kvalitāti. Tādējādi tika konstatēts, ka visi MK noteikumos Nr.459 paredzētie kritēriji ir saglabājami</w:t>
            </w:r>
            <w:r w:rsidR="00CA42EC" w:rsidRPr="001D3E95">
              <w:rPr>
                <w:sz w:val="24"/>
                <w:szCs w:val="24"/>
              </w:rPr>
              <w:t>.</w:t>
            </w:r>
            <w:r w:rsidR="000A2C22">
              <w:rPr>
                <w:sz w:val="24"/>
                <w:szCs w:val="24"/>
              </w:rPr>
              <w:t xml:space="preserve"> Izskatot Padziļinātās sadarbības programmas pieteikumus, konstatēts, ka ļoti bieži kā šķērslis nodokļu maksātāju iekļaušanai programmā ir neatbilstība noteikumos noteiktajiem finanšu rādītājiem. Turklāt, lai piemērotu atkāpi no minētā rādītāja, nepieciešams</w:t>
            </w:r>
            <w:r w:rsidR="000A2C22" w:rsidRPr="00F50A10">
              <w:rPr>
                <w:sz w:val="24"/>
                <w:szCs w:val="24"/>
              </w:rPr>
              <w:t xml:space="preserve"> pārliecināties, ka </w:t>
            </w:r>
            <w:r w:rsidR="000A2C22">
              <w:rPr>
                <w:sz w:val="24"/>
                <w:szCs w:val="24"/>
              </w:rPr>
              <w:t>nodokļu maksātāja</w:t>
            </w:r>
            <w:r w:rsidR="000A2C22" w:rsidRPr="00F50A10">
              <w:rPr>
                <w:sz w:val="24"/>
                <w:szCs w:val="24"/>
              </w:rPr>
              <w:t>m ir</w:t>
            </w:r>
            <w:r w:rsidR="000A2C22">
              <w:rPr>
                <w:sz w:val="24"/>
                <w:szCs w:val="24"/>
              </w:rPr>
              <w:t xml:space="preserve"> ieguldījum</w:t>
            </w:r>
            <w:r w:rsidR="00E31D4E">
              <w:rPr>
                <w:sz w:val="24"/>
                <w:szCs w:val="24"/>
              </w:rPr>
              <w:t>i</w:t>
            </w:r>
            <w:r w:rsidR="000A2C22">
              <w:rPr>
                <w:sz w:val="24"/>
                <w:szCs w:val="24"/>
              </w:rPr>
              <w:t xml:space="preserve"> pamatlīdzekļos vai nemateriālajos ieguldījumos vismaz trīs miljonu latu apmērā. Minētā summa – trīs miljoni latu</w:t>
            </w:r>
            <w:r w:rsidR="000A2C22" w:rsidRPr="00F50A10">
              <w:rPr>
                <w:sz w:val="24"/>
                <w:szCs w:val="24"/>
              </w:rPr>
              <w:t xml:space="preserve"> –</w:t>
            </w:r>
            <w:r w:rsidR="000A2C22">
              <w:rPr>
                <w:sz w:val="24"/>
                <w:szCs w:val="24"/>
              </w:rPr>
              <w:t xml:space="preserve"> ir nepārvarams šķērslis daudziem uzņēmumiem, lai tie varētu kvalificēties Padziļinātās sadarbības programmai. Tādējādi</w:t>
            </w:r>
            <w:r w:rsidR="000A2C22" w:rsidRPr="00F50A10">
              <w:rPr>
                <w:sz w:val="24"/>
                <w:szCs w:val="24"/>
              </w:rPr>
              <w:t>,</w:t>
            </w:r>
            <w:r w:rsidR="000A2C22">
              <w:rPr>
                <w:sz w:val="24"/>
                <w:szCs w:val="24"/>
              </w:rPr>
              <w:t xml:space="preserve"> svītrojot no MK noteikum</w:t>
            </w:r>
            <w:r w:rsidR="00E31D4E">
              <w:rPr>
                <w:sz w:val="24"/>
                <w:szCs w:val="24"/>
              </w:rPr>
              <w:t>iem</w:t>
            </w:r>
            <w:r w:rsidR="000A2C22">
              <w:rPr>
                <w:sz w:val="24"/>
                <w:szCs w:val="24"/>
              </w:rPr>
              <w:t xml:space="preserve"> Nr.459 prasību attiecībā uz ieguldījumu pamatlīdzekļos vai nemateriālajos ieguldījumos konkrētu apmēru, </w:t>
            </w:r>
            <w:r w:rsidR="000A2C22" w:rsidRPr="00F50A10">
              <w:rPr>
                <w:sz w:val="24"/>
                <w:szCs w:val="24"/>
              </w:rPr>
              <w:t>vienlaicīgi</w:t>
            </w:r>
            <w:r w:rsidR="000A2C22">
              <w:rPr>
                <w:sz w:val="24"/>
                <w:szCs w:val="24"/>
              </w:rPr>
              <w:t xml:space="preserve"> paredzot, ka šie ieguldījumi</w:t>
            </w:r>
            <w:r w:rsidR="000A2C22" w:rsidRPr="00F50A10">
              <w:rPr>
                <w:sz w:val="24"/>
                <w:szCs w:val="24"/>
              </w:rPr>
              <w:t xml:space="preserve"> (neatkarīgi no to summas)</w:t>
            </w:r>
            <w:r w:rsidR="000A2C22">
              <w:rPr>
                <w:sz w:val="24"/>
                <w:szCs w:val="24"/>
              </w:rPr>
              <w:t xml:space="preserve"> </w:t>
            </w:r>
            <w:r w:rsidR="000A2C22" w:rsidRPr="00F50A10">
              <w:rPr>
                <w:sz w:val="24"/>
                <w:szCs w:val="24"/>
              </w:rPr>
              <w:t>var būt</w:t>
            </w:r>
            <w:r w:rsidR="000A2C22">
              <w:rPr>
                <w:sz w:val="24"/>
                <w:szCs w:val="24"/>
              </w:rPr>
              <w:t xml:space="preserve"> cēlonis atkāpēm no finanšu rādītājiem (pie nosacījuma, ka nodokļu maksātājs ir finansiāli stabils), tiks mīkstinātas prasības attiecībā uz nodokļu maksātāju iekļaušanu Padziļinātās sadarbības programmā un šī programma būs </w:t>
            </w:r>
            <w:r w:rsidR="000A2C22" w:rsidRPr="00F50A10">
              <w:rPr>
                <w:sz w:val="24"/>
                <w:szCs w:val="24"/>
              </w:rPr>
              <w:t>pieejamāka</w:t>
            </w:r>
            <w:r w:rsidR="000A2C22">
              <w:rPr>
                <w:sz w:val="24"/>
                <w:szCs w:val="24"/>
              </w:rPr>
              <w:t xml:space="preserve"> vidējiem un mazajiem uzņēmumiem.</w:t>
            </w:r>
          </w:p>
          <w:p w14:paraId="3D239AC3" w14:textId="77777777" w:rsidR="00CA42EC" w:rsidRPr="001D3E95" w:rsidRDefault="00CA42EC" w:rsidP="001B6BD7">
            <w:pPr>
              <w:pStyle w:val="NormalWeb"/>
              <w:spacing w:before="0" w:after="0"/>
              <w:ind w:left="113" w:right="125"/>
              <w:rPr>
                <w:sz w:val="24"/>
                <w:szCs w:val="24"/>
              </w:rPr>
            </w:pPr>
          </w:p>
          <w:p w14:paraId="4714F28A" w14:textId="725AE36D" w:rsidR="0029157A" w:rsidRDefault="000A2C22" w:rsidP="00B75605">
            <w:pPr>
              <w:pStyle w:val="NormalWeb"/>
              <w:spacing w:before="0" w:after="0"/>
              <w:ind w:left="113" w:right="125"/>
              <w:rPr>
                <w:sz w:val="24"/>
                <w:szCs w:val="24"/>
              </w:rPr>
            </w:pPr>
            <w:r>
              <w:rPr>
                <w:sz w:val="24"/>
                <w:szCs w:val="24"/>
              </w:rPr>
              <w:t>Padziļinātas sadarbības programmas izstrādes stadijā tika paredzēts, ka uzņēmumos tiks izveidota nodokļu risku vadības sistēma, par kuru atzinumu sniegs sertificēts nodokļu konsultants (valsts noteikt</w:t>
            </w:r>
            <w:r w:rsidR="00E31D4E">
              <w:rPr>
                <w:sz w:val="24"/>
                <w:szCs w:val="24"/>
              </w:rPr>
              <w:t>u</w:t>
            </w:r>
            <w:r>
              <w:rPr>
                <w:sz w:val="24"/>
                <w:szCs w:val="24"/>
              </w:rPr>
              <w:t xml:space="preserve"> ietvaru</w:t>
            </w:r>
            <w:r w:rsidR="00E31D4E">
              <w:rPr>
                <w:sz w:val="24"/>
                <w:szCs w:val="24"/>
              </w:rPr>
              <w:t xml:space="preserve"> </w:t>
            </w:r>
            <w:r>
              <w:rPr>
                <w:sz w:val="24"/>
                <w:szCs w:val="24"/>
              </w:rPr>
              <w:t>sertificēšana</w:t>
            </w:r>
            <w:r w:rsidR="00E31D4E">
              <w:rPr>
                <w:sz w:val="24"/>
                <w:szCs w:val="24"/>
              </w:rPr>
              <w:t>i</w:t>
            </w:r>
            <w:r>
              <w:rPr>
                <w:sz w:val="24"/>
                <w:szCs w:val="24"/>
              </w:rPr>
              <w:t>). Programmas attīstības gaitā secināts, ka nodokļu risku vadības sistēmai jābūt tādai, kas ir izdevīga pašam nodokļu maksātājam</w:t>
            </w:r>
            <w:r w:rsidRPr="00F50A10">
              <w:rPr>
                <w:sz w:val="24"/>
                <w:szCs w:val="24"/>
              </w:rPr>
              <w:t xml:space="preserve"> un ļauj minimizēt nodokļu riskus un pasargāt uzņēmumu no iespējamiem zaudējumiem</w:t>
            </w:r>
            <w:r>
              <w:rPr>
                <w:sz w:val="24"/>
                <w:szCs w:val="24"/>
              </w:rPr>
              <w:t>, attiecīgi nav nepieciešams saņemt atzinumu no sertificēta nodokļu konsultanta. Turklāt ir svarīgi, ka apliecinājumu par nodokļu risku vadības atbilstību MK noteikumu Nr.459 prasībām apliecina uzņēmuma vadība. Tas neliedz nodokļu maksātājam, ja nepieciešams, piesaistīt nodokļu konsultantus nodokļu risku vadības izstrādei. Ievērojot minēto Ministru kabineta 2011.gada 19.decembra rīkojuma Nr.673 5.3.apakšpunkts būtu atzīstams par aktualitāti zaudējušu.</w:t>
            </w:r>
          </w:p>
          <w:p w14:paraId="09A97A4B" w14:textId="77777777" w:rsidR="003637EB" w:rsidRDefault="003637EB" w:rsidP="00B75605">
            <w:pPr>
              <w:pStyle w:val="NormalWeb"/>
              <w:spacing w:before="0" w:after="0"/>
              <w:ind w:left="113" w:right="125"/>
              <w:rPr>
                <w:sz w:val="24"/>
                <w:szCs w:val="24"/>
              </w:rPr>
            </w:pPr>
          </w:p>
          <w:p w14:paraId="45C540C6" w14:textId="54703898" w:rsidR="003637EB" w:rsidRPr="003637EB" w:rsidRDefault="003637EB" w:rsidP="00F50A10">
            <w:pPr>
              <w:pStyle w:val="NormalWeb"/>
              <w:spacing w:before="0" w:after="0"/>
              <w:ind w:left="113" w:right="125"/>
              <w:rPr>
                <w:sz w:val="24"/>
                <w:szCs w:val="24"/>
              </w:rPr>
            </w:pPr>
            <w:r>
              <w:rPr>
                <w:sz w:val="24"/>
                <w:szCs w:val="24"/>
              </w:rPr>
              <w:t xml:space="preserve">Viens ko kritērijiem, lai nodokļu maksātājs tiktu iekļauts Padziļinātās sadarbības programmā, ir </w:t>
            </w:r>
            <w:r w:rsidRPr="003637EB">
              <w:rPr>
                <w:sz w:val="24"/>
                <w:szCs w:val="24"/>
              </w:rPr>
              <w:t>apgrozījuma rentabilitātes rādītājs</w:t>
            </w:r>
            <w:r>
              <w:rPr>
                <w:sz w:val="24"/>
                <w:szCs w:val="24"/>
              </w:rPr>
              <w:t>, kas</w:t>
            </w:r>
            <w:r w:rsidRPr="003637EB">
              <w:rPr>
                <w:sz w:val="24"/>
                <w:szCs w:val="24"/>
              </w:rPr>
              <w:t xml:space="preserve"> nav zemāks par vidējo rādītāju attiecīgajā tautsaimniecības nozarē (atbilstoši NACE 2.red. klasifikācijas divu zīmju līmenim)</w:t>
            </w:r>
            <w:r>
              <w:rPr>
                <w:sz w:val="24"/>
                <w:szCs w:val="24"/>
              </w:rPr>
              <w:t xml:space="preserve">. Teorijā galvenokārt tiek rēķināti divi apgrozījuma rentabilitātes veidi. Finanšu ministrija secina, ka Padziļinātās sadarbības programmai lietderīgi būtu rēķināt tikai to apgrozījuma rentabilitātes rādītāju, kas tiek aprēķināts pēc formulas </w:t>
            </w:r>
            <w:r w:rsidR="000A2C22" w:rsidRPr="00F50A10">
              <w:rPr>
                <w:i/>
                <w:sz w:val="24"/>
                <w:szCs w:val="24"/>
              </w:rPr>
              <w:t>pārskata gada peļņa vai zaudējumi/neto apgrozījums*100</w:t>
            </w:r>
            <w:r>
              <w:rPr>
                <w:sz w:val="24"/>
                <w:szCs w:val="24"/>
              </w:rPr>
              <w:t xml:space="preserve">. </w:t>
            </w:r>
            <w:r w:rsidR="00DB39C3">
              <w:rPr>
                <w:sz w:val="24"/>
                <w:szCs w:val="24"/>
              </w:rPr>
              <w:t xml:space="preserve">''Šajā formulā </w:t>
            </w:r>
            <w:r w:rsidR="00DB39C3">
              <w:rPr>
                <w:sz w:val="24"/>
                <w:szCs w:val="24"/>
              </w:rPr>
              <w:lastRenderedPageBreak/>
              <w:t xml:space="preserve">ar </w:t>
            </w:r>
            <w:r w:rsidR="00DB39C3">
              <w:rPr>
                <w:i/>
                <w:sz w:val="24"/>
                <w:szCs w:val="24"/>
              </w:rPr>
              <w:t xml:space="preserve">pārskata gada peļņu vai </w:t>
            </w:r>
            <w:r w:rsidR="00DB39C3" w:rsidRPr="00DB39C3">
              <w:rPr>
                <w:i/>
                <w:sz w:val="24"/>
                <w:szCs w:val="24"/>
              </w:rPr>
              <w:t>zaudējumiem</w:t>
            </w:r>
            <w:r w:rsidR="00DB39C3">
              <w:rPr>
                <w:sz w:val="24"/>
                <w:szCs w:val="24"/>
              </w:rPr>
              <w:t xml:space="preserve"> saprot peļņas vai zaudējuma aprēķina 20.posteni (Gada pārskata likuma 11.pants), bet ar </w:t>
            </w:r>
            <w:r w:rsidR="00DB39C3">
              <w:rPr>
                <w:i/>
                <w:sz w:val="24"/>
                <w:szCs w:val="24"/>
              </w:rPr>
              <w:t xml:space="preserve">neto apgrozījumu </w:t>
            </w:r>
            <w:r w:rsidR="00DB39C3">
              <w:rPr>
                <w:sz w:val="24"/>
                <w:szCs w:val="24"/>
              </w:rPr>
              <w:t xml:space="preserve">saprot peļņas vai zaudējumu </w:t>
            </w:r>
            <w:r w:rsidR="00F50A10">
              <w:rPr>
                <w:sz w:val="24"/>
                <w:szCs w:val="24"/>
              </w:rPr>
              <w:t xml:space="preserve">1.posteni (Gada pārskata likuma 11.pants). </w:t>
            </w:r>
            <w:r w:rsidRPr="00DB39C3">
              <w:rPr>
                <w:sz w:val="24"/>
                <w:szCs w:val="24"/>
              </w:rPr>
              <w:t>Ievērojot</w:t>
            </w:r>
            <w:r>
              <w:rPr>
                <w:sz w:val="24"/>
                <w:szCs w:val="24"/>
              </w:rPr>
              <w:t xml:space="preserve"> minēto, nepieciešams veikt grozījumu MK noteikumos Nr.459.</w:t>
            </w:r>
          </w:p>
        </w:tc>
      </w:tr>
      <w:tr w:rsidR="00BF6104" w:rsidRPr="001D3E95" w14:paraId="34DB2C14" w14:textId="77777777" w:rsidTr="00AD3DBD">
        <w:trPr>
          <w:trHeight w:val="144"/>
          <w:tblCellSpacing w:w="0" w:type="dxa"/>
        </w:trPr>
        <w:tc>
          <w:tcPr>
            <w:tcW w:w="0" w:type="auto"/>
            <w:tcBorders>
              <w:top w:val="outset" w:sz="6" w:space="0" w:color="auto"/>
              <w:left w:val="outset" w:sz="6" w:space="0" w:color="auto"/>
              <w:bottom w:val="outset" w:sz="6" w:space="0" w:color="auto"/>
              <w:right w:val="outset" w:sz="6" w:space="0" w:color="auto"/>
            </w:tcBorders>
          </w:tcPr>
          <w:p w14:paraId="71D8C3F8" w14:textId="72CB241C" w:rsidR="003419F1" w:rsidRPr="001D3E95" w:rsidRDefault="000A2C22" w:rsidP="00DE06E5">
            <w:pPr>
              <w:rPr>
                <w:rFonts w:eastAsia="Times New Roman"/>
                <w:sz w:val="24"/>
                <w:szCs w:val="24"/>
                <w:lang w:eastAsia="lv-LV"/>
              </w:rPr>
            </w:pPr>
            <w:r>
              <w:rPr>
                <w:rFonts w:eastAsia="Times New Roman"/>
                <w:sz w:val="24"/>
                <w:szCs w:val="24"/>
                <w:lang w:eastAsia="lv-LV"/>
              </w:rPr>
              <w:lastRenderedPageBreak/>
              <w:t>3.</w:t>
            </w:r>
          </w:p>
        </w:tc>
        <w:tc>
          <w:tcPr>
            <w:tcW w:w="0" w:type="auto"/>
            <w:tcBorders>
              <w:top w:val="outset" w:sz="6" w:space="0" w:color="auto"/>
              <w:left w:val="outset" w:sz="6" w:space="0" w:color="auto"/>
              <w:bottom w:val="outset" w:sz="6" w:space="0" w:color="auto"/>
              <w:right w:val="outset" w:sz="6" w:space="0" w:color="auto"/>
            </w:tcBorders>
          </w:tcPr>
          <w:p w14:paraId="23E2EBF2" w14:textId="77777777" w:rsidR="003419F1" w:rsidRPr="001D3E95" w:rsidRDefault="000A2C22" w:rsidP="0040031B">
            <w:pPr>
              <w:ind w:left="127"/>
              <w:rPr>
                <w:rFonts w:eastAsia="Times New Roman"/>
                <w:sz w:val="24"/>
                <w:szCs w:val="24"/>
                <w:lang w:eastAsia="lv-LV"/>
              </w:rPr>
            </w:pPr>
            <w:r>
              <w:rPr>
                <w:rFonts w:eastAsia="Times New Roman"/>
                <w:sz w:val="24"/>
                <w:szCs w:val="24"/>
                <w:lang w:eastAsia="lv-LV"/>
              </w:rPr>
              <w:t>Saistītie politikas ietekmes novērtējumi un pētījumi</w:t>
            </w:r>
          </w:p>
        </w:tc>
        <w:tc>
          <w:tcPr>
            <w:tcW w:w="0" w:type="auto"/>
            <w:tcBorders>
              <w:top w:val="outset" w:sz="6" w:space="0" w:color="auto"/>
              <w:left w:val="outset" w:sz="6" w:space="0" w:color="auto"/>
              <w:bottom w:val="outset" w:sz="6" w:space="0" w:color="auto"/>
              <w:right w:val="outset" w:sz="6" w:space="0" w:color="auto"/>
            </w:tcBorders>
          </w:tcPr>
          <w:p w14:paraId="5382574A" w14:textId="77777777" w:rsidR="003419F1" w:rsidRPr="003637EB" w:rsidRDefault="000A2C22" w:rsidP="005435C1">
            <w:pPr>
              <w:tabs>
                <w:tab w:val="left" w:pos="341"/>
              </w:tabs>
              <w:ind w:left="115" w:right="126"/>
              <w:jc w:val="both"/>
              <w:rPr>
                <w:sz w:val="24"/>
                <w:szCs w:val="24"/>
              </w:rPr>
            </w:pPr>
            <w:r>
              <w:rPr>
                <w:sz w:val="24"/>
                <w:szCs w:val="24"/>
              </w:rPr>
              <w:t>Projekts šo jomu neskar</w:t>
            </w:r>
          </w:p>
          <w:p w14:paraId="4A5B8A73" w14:textId="77777777" w:rsidR="00751BF6" w:rsidRPr="001D3E95" w:rsidRDefault="00751BF6" w:rsidP="00751BF6">
            <w:pPr>
              <w:tabs>
                <w:tab w:val="left" w:pos="341"/>
              </w:tabs>
              <w:ind w:right="126"/>
              <w:jc w:val="both"/>
              <w:rPr>
                <w:sz w:val="24"/>
                <w:szCs w:val="24"/>
              </w:rPr>
            </w:pPr>
          </w:p>
        </w:tc>
      </w:tr>
      <w:tr w:rsidR="00BF6104" w:rsidRPr="001D3E95" w14:paraId="002380AB" w14:textId="77777777" w:rsidTr="00AD3DBD">
        <w:trPr>
          <w:trHeight w:val="1257"/>
          <w:tblCellSpacing w:w="0" w:type="dxa"/>
        </w:trPr>
        <w:tc>
          <w:tcPr>
            <w:tcW w:w="0" w:type="auto"/>
            <w:tcBorders>
              <w:top w:val="outset" w:sz="6" w:space="0" w:color="auto"/>
              <w:left w:val="outset" w:sz="6" w:space="0" w:color="auto"/>
              <w:bottom w:val="outset" w:sz="6" w:space="0" w:color="auto"/>
              <w:right w:val="outset" w:sz="6" w:space="0" w:color="auto"/>
            </w:tcBorders>
          </w:tcPr>
          <w:p w14:paraId="5736CDFC" w14:textId="77777777" w:rsidR="00FA6319" w:rsidRPr="001D3E95" w:rsidRDefault="000A2C22" w:rsidP="00DE06E5">
            <w:pPr>
              <w:rPr>
                <w:rFonts w:eastAsia="Times New Roman"/>
                <w:sz w:val="24"/>
                <w:szCs w:val="24"/>
                <w:lang w:eastAsia="lv-LV"/>
              </w:rPr>
            </w:pPr>
            <w:r>
              <w:rPr>
                <w:rFonts w:eastAsia="Times New Roman"/>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tcPr>
          <w:p w14:paraId="6C892AC4" w14:textId="77777777" w:rsidR="00D16C89" w:rsidRPr="001D3E95" w:rsidRDefault="000A2C22" w:rsidP="003E32A9">
            <w:pPr>
              <w:ind w:left="127"/>
              <w:rPr>
                <w:rFonts w:eastAsia="Times New Roman"/>
                <w:sz w:val="24"/>
                <w:szCs w:val="24"/>
                <w:lang w:eastAsia="lv-LV"/>
              </w:rPr>
            </w:pPr>
            <w:r>
              <w:rPr>
                <w:rFonts w:eastAsia="Times New Roman"/>
                <w:sz w:val="24"/>
                <w:szCs w:val="24"/>
                <w:lang w:eastAsia="lv-LV"/>
              </w:rPr>
              <w:t>Tiesiskā regulējuma mērķis un būtība</w:t>
            </w:r>
          </w:p>
        </w:tc>
        <w:tc>
          <w:tcPr>
            <w:tcW w:w="0" w:type="auto"/>
            <w:tcBorders>
              <w:top w:val="outset" w:sz="6" w:space="0" w:color="auto"/>
              <w:left w:val="outset" w:sz="6" w:space="0" w:color="auto"/>
              <w:bottom w:val="outset" w:sz="6" w:space="0" w:color="auto"/>
              <w:right w:val="outset" w:sz="6" w:space="0" w:color="auto"/>
            </w:tcBorders>
          </w:tcPr>
          <w:p w14:paraId="653A8275" w14:textId="77777777" w:rsidR="003E32A9" w:rsidRPr="001D3E95" w:rsidRDefault="000A2C22" w:rsidP="00AD3DBD">
            <w:pPr>
              <w:tabs>
                <w:tab w:val="left" w:pos="127"/>
                <w:tab w:val="left" w:pos="269"/>
                <w:tab w:val="left" w:pos="410"/>
              </w:tabs>
              <w:suppressAutoHyphens/>
              <w:ind w:right="127"/>
              <w:jc w:val="both"/>
              <w:rPr>
                <w:sz w:val="24"/>
                <w:szCs w:val="24"/>
              </w:rPr>
            </w:pPr>
            <w:r>
              <w:rPr>
                <w:sz w:val="24"/>
                <w:szCs w:val="24"/>
              </w:rPr>
              <w:t>Noteikumu projekts paredz:</w:t>
            </w:r>
          </w:p>
          <w:p w14:paraId="10ABBA05" w14:textId="347D7711" w:rsidR="00DD7AE5" w:rsidRPr="004C0F36" w:rsidRDefault="000A2C22" w:rsidP="004C0F36">
            <w:pPr>
              <w:pStyle w:val="ListParagraph"/>
              <w:numPr>
                <w:ilvl w:val="0"/>
                <w:numId w:val="26"/>
              </w:numPr>
              <w:tabs>
                <w:tab w:val="left" w:pos="127"/>
                <w:tab w:val="left" w:pos="269"/>
                <w:tab w:val="left" w:pos="410"/>
              </w:tabs>
              <w:suppressAutoHyphens/>
              <w:ind w:right="127"/>
              <w:jc w:val="both"/>
              <w:rPr>
                <w:sz w:val="24"/>
                <w:szCs w:val="24"/>
              </w:rPr>
            </w:pPr>
            <w:r w:rsidRPr="004C0F36">
              <w:rPr>
                <w:sz w:val="24"/>
                <w:szCs w:val="24"/>
              </w:rPr>
              <w:t>noteikt kritērijus, kādiem jāatbilst nodokļu risku vadībai, lai nodokļu maksātājs, kurš ieviesis attiecīgo nodokļu risku vadību, varētu tikt iekļauts Padziļinātās sadarbības programmā. Noteikumu projektā ir paredzēts, ka nodokļu risku vadība tiek veidota atbilstoši starptautiski atzītai praksei un standartiem risku vadībā, kā arī ir noteikti tās galvenie kritēriji un kārtība, kādā veidā valsts iestāde var pārliecināties par nodokļu risku vadības atbilstību MK noteikumi Nr.459 prasībām. Nodokļu risku vadības mērķis ir veicināt nodokļu normatīvo aktu ievērošanu. Noteikumu projektā paredzēts, ka nodokļu risku vadību veido pats nodokļu maksātājs un par tās atbilstību šiem noteikumiem iesniedz apliecinājumu. Prasības nodokļu risku vadībai noteikumu projektā veidotas vispārīgi, lai katrs nodokļu maksātājs varētu izveidot nodokļu risku vadību, kas visvairāk atbilst tā specifikai un prasībām.</w:t>
            </w:r>
            <w:r w:rsidR="00770A94" w:rsidRPr="004C0F36">
              <w:rPr>
                <w:sz w:val="24"/>
                <w:szCs w:val="24"/>
              </w:rPr>
              <w:t xml:space="preserve"> Noteikumu projektā ir paredzēts, ka nodokļu risku vadība ir pasākumu kopums, ar mērķi strukturēti, pastāvīgi un nepārtraukti īstenot nodokļu risku identificēšanu un novēršanu, uzturot nodokļu risku kontroļu un uzraudzības pasākumu kopumu. </w:t>
            </w:r>
            <w:r w:rsidR="006F0E24" w:rsidRPr="004C0F36">
              <w:rPr>
                <w:sz w:val="24"/>
                <w:szCs w:val="24"/>
              </w:rPr>
              <w:t xml:space="preserve">Paredzēts, ka nodokļu maksātājam būs jāidentificē nodokļu riski, kas izriet no nodokļu maksātāja saimnieciskās darbības, un attiecībā uz identificētajiem riskiem ir jāizstrādā un jāievieš efektīvus iekšējās kontroles pasākumus, ar mērķi izslēgt riska ietekmi vai iespējamību (piemēram, </w:t>
            </w:r>
            <w:r w:rsidR="004C0F36" w:rsidRPr="004C0F36">
              <w:rPr>
                <w:sz w:val="24"/>
                <w:szCs w:val="24"/>
              </w:rPr>
              <w:t>nodokļu maksātājs identificē šādu nodokļu risku: maksu virs 1 000 latiem par pakalpojumu/preci uzņēmumam, kuram Valsts ieņēmumu dienests ir apturējis saimniecisko darbību atbilstoši likuma "Par nodokļiem un nodevām" 34.</w:t>
            </w:r>
            <w:r w:rsidR="004C0F36" w:rsidRPr="004C0F36">
              <w:rPr>
                <w:sz w:val="24"/>
                <w:szCs w:val="24"/>
                <w:vertAlign w:val="superscript"/>
              </w:rPr>
              <w:t>1</w:t>
            </w:r>
            <w:r w:rsidR="004C0F36" w:rsidRPr="004C0F36">
              <w:rPr>
                <w:sz w:val="24"/>
                <w:szCs w:val="24"/>
              </w:rPr>
              <w:t xml:space="preserve">pantam, nevar uzskatīt par izdevumiem, kas saistīti ar saimniecisko darbību. Tādējādi, veicot samaksu uzņēmumam, kuram Valsts ieņēmumu dienests ir apturējis saimniecisko darbību, nodokļu maksātājam būs jāpalielina ar uzņēmumu ienākuma nodokli apliekamais ienākums (radīsies papildu nodokļu izdevumi). Lai novērstu vai mazinātu šādu nodokļu risku, nodokļu maksātājs uzdod atbildīgajiem darbiniekiem, pirms veikt maksājumu par pakalpojumu/preci virs 1 000 latiem, pārliecināties Valsts ieņēmumu dienesta mājaslapā, vai darījuma partnerim nav apturēta saimnieciskā darbība, kā arī sarīko semināru par šo jautājumu </w:t>
            </w:r>
            <w:r w:rsidR="004C0F36" w:rsidRPr="004C0F36">
              <w:rPr>
                <w:sz w:val="24"/>
                <w:szCs w:val="24"/>
              </w:rPr>
              <w:lastRenderedPageBreak/>
              <w:t xml:space="preserve">atbildīgajiem darbiniekiem (pasākumu kopums riska novēršanai/mazināšanai). </w:t>
            </w:r>
            <w:r w:rsidR="00770A94" w:rsidRPr="004C0F36">
              <w:rPr>
                <w:sz w:val="24"/>
                <w:szCs w:val="24"/>
              </w:rPr>
              <w:t>Noteikumu projektā paredzēts, ka prasība ieviest nodokļu risku vadību stāsies spēkā 2015.gada 1.janvārī.</w:t>
            </w:r>
          </w:p>
          <w:p w14:paraId="270BFA6E" w14:textId="77777777" w:rsidR="00BF5F33" w:rsidRPr="001D3E95" w:rsidRDefault="000A2C22" w:rsidP="003E32A9">
            <w:pPr>
              <w:pStyle w:val="ListParagraph"/>
              <w:numPr>
                <w:ilvl w:val="0"/>
                <w:numId w:val="26"/>
              </w:numPr>
              <w:tabs>
                <w:tab w:val="left" w:pos="127"/>
                <w:tab w:val="left" w:pos="269"/>
                <w:tab w:val="left" w:pos="410"/>
              </w:tabs>
              <w:suppressAutoHyphens/>
              <w:ind w:right="127"/>
              <w:jc w:val="both"/>
              <w:rPr>
                <w:sz w:val="24"/>
                <w:szCs w:val="24"/>
              </w:rPr>
            </w:pPr>
            <w:r>
              <w:rPr>
                <w:sz w:val="24"/>
                <w:szCs w:val="24"/>
              </w:rPr>
              <w:t>Precizēt atsevišķus Padziļinātās sadarbības programmas kritērijus, pielāgojot tos arī Finanšu un kapitāla tirgus dalībniekiem.</w:t>
            </w:r>
          </w:p>
          <w:p w14:paraId="119312AC" w14:textId="77777777" w:rsidR="003E32A9" w:rsidRDefault="000A2C22" w:rsidP="002B0E95">
            <w:pPr>
              <w:pStyle w:val="ListParagraph"/>
              <w:numPr>
                <w:ilvl w:val="0"/>
                <w:numId w:val="26"/>
              </w:numPr>
              <w:tabs>
                <w:tab w:val="left" w:pos="127"/>
                <w:tab w:val="left" w:pos="269"/>
                <w:tab w:val="left" w:pos="410"/>
              </w:tabs>
              <w:suppressAutoHyphens/>
              <w:ind w:right="125"/>
              <w:jc w:val="both"/>
              <w:rPr>
                <w:sz w:val="24"/>
                <w:szCs w:val="24"/>
              </w:rPr>
            </w:pPr>
            <w:r>
              <w:rPr>
                <w:sz w:val="24"/>
                <w:szCs w:val="24"/>
              </w:rPr>
              <w:t>Noteikt, ka kritēriji attiecībā uz nodokļu maksātāja apgrozījumu, darbinieku skaitu un samaksāto nodokļu summu tiks piemēroti bez termiņa ierobežojuma. Vienlaikus precizēta atkāpe no kritērija, kas paredz nodokļu maksātāja atbilstību noteiktajiem finanšu rādītājiem.</w:t>
            </w:r>
          </w:p>
          <w:p w14:paraId="5240199D" w14:textId="77777777" w:rsidR="003637EB" w:rsidRPr="001D3E95" w:rsidRDefault="003637EB" w:rsidP="002B0E95">
            <w:pPr>
              <w:pStyle w:val="ListParagraph"/>
              <w:numPr>
                <w:ilvl w:val="0"/>
                <w:numId w:val="26"/>
              </w:numPr>
              <w:tabs>
                <w:tab w:val="left" w:pos="127"/>
                <w:tab w:val="left" w:pos="269"/>
                <w:tab w:val="left" w:pos="410"/>
              </w:tabs>
              <w:suppressAutoHyphens/>
              <w:ind w:right="125"/>
              <w:jc w:val="both"/>
              <w:rPr>
                <w:sz w:val="24"/>
                <w:szCs w:val="24"/>
              </w:rPr>
            </w:pPr>
            <w:r>
              <w:rPr>
                <w:sz w:val="24"/>
                <w:szCs w:val="24"/>
              </w:rPr>
              <w:t xml:space="preserve">Noteikt, ka Padziļinātās sadarbības programmai tiks ņemts vērā apgrozījuma rentabilitātes rādītājs, kas tiek aprēķināts pēc formulas: </w:t>
            </w:r>
            <w:r w:rsidRPr="00A877DB">
              <w:rPr>
                <w:i/>
                <w:sz w:val="24"/>
                <w:szCs w:val="24"/>
              </w:rPr>
              <w:t>pārskata gada peļņa vai zaudējumi/neto apgrozījums*100</w:t>
            </w:r>
            <w:r>
              <w:rPr>
                <w:i/>
                <w:sz w:val="24"/>
                <w:szCs w:val="24"/>
              </w:rPr>
              <w:t>.</w:t>
            </w:r>
          </w:p>
        </w:tc>
      </w:tr>
      <w:tr w:rsidR="00BF6104" w:rsidRPr="001D3E95" w14:paraId="6A5896D2" w14:textId="77777777" w:rsidTr="00AD3DBD">
        <w:trPr>
          <w:trHeight w:val="144"/>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0BD16C" w14:textId="77777777" w:rsidR="005A039A" w:rsidRPr="001D3E95" w:rsidRDefault="000A2C22" w:rsidP="00DE06E5">
            <w:pPr>
              <w:rPr>
                <w:rFonts w:eastAsia="Times New Roman"/>
                <w:sz w:val="24"/>
                <w:szCs w:val="24"/>
                <w:lang w:eastAsia="lv-LV"/>
              </w:rPr>
            </w:pPr>
            <w:r>
              <w:rPr>
                <w:rFonts w:eastAsia="Times New Roman"/>
                <w:sz w:val="24"/>
                <w:szCs w:val="24"/>
                <w:lang w:eastAsia="lv-LV"/>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14:paraId="796E0A01" w14:textId="77777777" w:rsidR="005A039A" w:rsidRPr="001D3E95" w:rsidRDefault="000A2C22" w:rsidP="0040031B">
            <w:pPr>
              <w:ind w:left="127" w:hanging="19"/>
              <w:rPr>
                <w:rFonts w:eastAsia="Times New Roman"/>
                <w:sz w:val="24"/>
                <w:szCs w:val="24"/>
                <w:lang w:eastAsia="lv-LV"/>
              </w:rPr>
            </w:pPr>
            <w:r>
              <w:rPr>
                <w:rFonts w:eastAsia="Times New Roman"/>
                <w:sz w:val="24"/>
                <w:szCs w:val="24"/>
                <w:lang w:eastAsia="lv-LV"/>
              </w:rPr>
              <w:t>Projekta izstrādē iesaistītās institūcijas</w:t>
            </w:r>
          </w:p>
        </w:tc>
        <w:tc>
          <w:tcPr>
            <w:tcW w:w="0" w:type="auto"/>
            <w:tcBorders>
              <w:top w:val="outset" w:sz="6" w:space="0" w:color="auto"/>
              <w:left w:val="outset" w:sz="6" w:space="0" w:color="auto"/>
              <w:bottom w:val="outset" w:sz="6" w:space="0" w:color="auto"/>
              <w:right w:val="outset" w:sz="6" w:space="0" w:color="auto"/>
            </w:tcBorders>
            <w:hideMark/>
          </w:tcPr>
          <w:p w14:paraId="0D82B4A3" w14:textId="77777777" w:rsidR="00DD7AE5" w:rsidRPr="001D3E95" w:rsidRDefault="000A2C22" w:rsidP="00DD706F">
            <w:pPr>
              <w:ind w:right="125"/>
              <w:jc w:val="both"/>
              <w:rPr>
                <w:rFonts w:eastAsia="Times New Roman"/>
                <w:sz w:val="24"/>
                <w:szCs w:val="24"/>
              </w:rPr>
            </w:pPr>
            <w:r>
              <w:rPr>
                <w:sz w:val="24"/>
                <w:szCs w:val="24"/>
                <w:lang w:eastAsia="lv-LV"/>
              </w:rPr>
              <w:t>Finanšu ministrija, Valsts ieņēmumu dienests, Latvijas Nodokļu konsultantu asociācija, Latvijas Zvērinātu revidentu asociācija, Latvijas Darba devēju konfederācija, Latvijas Brīvo arodbiedrību asociācija, Latvijas Tirdzniecības un rūpniecības kamera.</w:t>
            </w:r>
          </w:p>
        </w:tc>
      </w:tr>
      <w:tr w:rsidR="00BF6104" w:rsidRPr="001D3E95" w14:paraId="5AA7717F" w14:textId="77777777" w:rsidTr="00AD3DBD">
        <w:trPr>
          <w:trHeight w:val="144"/>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9EECAD" w14:textId="77777777" w:rsidR="005A039A" w:rsidRPr="001D3E95" w:rsidRDefault="000A2C22" w:rsidP="00DE06E5">
            <w:pPr>
              <w:rPr>
                <w:rFonts w:eastAsia="Times New Roman"/>
                <w:sz w:val="24"/>
                <w:szCs w:val="24"/>
                <w:lang w:eastAsia="lv-LV"/>
              </w:rPr>
            </w:pPr>
            <w:r>
              <w:rPr>
                <w:rFonts w:eastAsia="Times New Roman"/>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hideMark/>
          </w:tcPr>
          <w:p w14:paraId="62EA8263" w14:textId="77777777" w:rsidR="005A039A" w:rsidRPr="001D3E95" w:rsidRDefault="000A2C22" w:rsidP="0040031B">
            <w:pPr>
              <w:ind w:left="127"/>
              <w:rPr>
                <w:rFonts w:eastAsia="Times New Roman"/>
                <w:sz w:val="24"/>
                <w:szCs w:val="24"/>
                <w:lang w:eastAsia="lv-LV"/>
              </w:rPr>
            </w:pPr>
            <w:r>
              <w:rPr>
                <w:rFonts w:eastAsia="Times New Roman"/>
                <w:sz w:val="24"/>
                <w:szCs w:val="24"/>
                <w:lang w:eastAsia="lv-LV"/>
              </w:rPr>
              <w:t>Iemesli, kādēļ netika nodrošināta sabiedrības līdzdalība</w:t>
            </w:r>
          </w:p>
        </w:tc>
        <w:tc>
          <w:tcPr>
            <w:tcW w:w="0" w:type="auto"/>
            <w:tcBorders>
              <w:top w:val="outset" w:sz="6" w:space="0" w:color="auto"/>
              <w:left w:val="outset" w:sz="6" w:space="0" w:color="auto"/>
              <w:bottom w:val="outset" w:sz="6" w:space="0" w:color="auto"/>
              <w:right w:val="outset" w:sz="6" w:space="0" w:color="auto"/>
            </w:tcBorders>
            <w:hideMark/>
          </w:tcPr>
          <w:p w14:paraId="5998EC20" w14:textId="77777777" w:rsidR="002245FA" w:rsidRPr="001D3E95" w:rsidRDefault="000A2C22" w:rsidP="00CE50D8">
            <w:pPr>
              <w:ind w:right="127"/>
              <w:jc w:val="both"/>
              <w:rPr>
                <w:rFonts w:eastAsia="Times New Roman"/>
                <w:color w:val="FF0000"/>
                <w:sz w:val="24"/>
                <w:szCs w:val="24"/>
                <w:lang w:eastAsia="lv-LV"/>
              </w:rPr>
            </w:pPr>
            <w:r>
              <w:rPr>
                <w:rFonts w:eastAsia="Times New Roman"/>
                <w:sz w:val="24"/>
                <w:szCs w:val="24"/>
                <w:lang w:eastAsia="lv-LV"/>
              </w:rPr>
              <w:t>Projekts  šo jomu neskar</w:t>
            </w:r>
          </w:p>
        </w:tc>
      </w:tr>
      <w:tr w:rsidR="00BF6104" w:rsidRPr="001D3E95" w14:paraId="1805CAD1" w14:textId="77777777" w:rsidTr="00AD3DBD">
        <w:trPr>
          <w:trHeight w:val="372"/>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BA083A" w14:textId="77777777" w:rsidR="005A039A" w:rsidRPr="001D3E95" w:rsidRDefault="000A2C22" w:rsidP="00DE06E5">
            <w:pPr>
              <w:spacing w:after="120"/>
              <w:rPr>
                <w:rFonts w:eastAsia="Times New Roman"/>
                <w:sz w:val="24"/>
                <w:szCs w:val="24"/>
                <w:lang w:eastAsia="lv-LV"/>
              </w:rPr>
            </w:pPr>
            <w:r>
              <w:rPr>
                <w:rFonts w:eastAsia="Times New Roman"/>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hideMark/>
          </w:tcPr>
          <w:p w14:paraId="4FDA72E9" w14:textId="77777777" w:rsidR="005A039A" w:rsidRPr="001D3E95" w:rsidRDefault="000A2C22" w:rsidP="0040031B">
            <w:pPr>
              <w:spacing w:after="120"/>
              <w:ind w:left="127"/>
              <w:rPr>
                <w:rFonts w:eastAsia="Times New Roman"/>
                <w:sz w:val="24"/>
                <w:szCs w:val="24"/>
                <w:lang w:eastAsia="lv-LV"/>
              </w:rPr>
            </w:pPr>
            <w:r>
              <w:rPr>
                <w:rFonts w:eastAsia="Times New Roman"/>
                <w:sz w:val="24"/>
                <w:szCs w:val="24"/>
                <w:lang w:eastAsia="lv-LV"/>
              </w:rPr>
              <w:t>Cita informācija</w:t>
            </w:r>
          </w:p>
        </w:tc>
        <w:tc>
          <w:tcPr>
            <w:tcW w:w="0" w:type="auto"/>
            <w:tcBorders>
              <w:top w:val="outset" w:sz="6" w:space="0" w:color="auto"/>
              <w:left w:val="outset" w:sz="6" w:space="0" w:color="auto"/>
              <w:bottom w:val="outset" w:sz="6" w:space="0" w:color="auto"/>
              <w:right w:val="outset" w:sz="6" w:space="0" w:color="auto"/>
            </w:tcBorders>
            <w:hideMark/>
          </w:tcPr>
          <w:p w14:paraId="0A772652" w14:textId="77777777" w:rsidR="00C6740E" w:rsidRPr="001D3E95" w:rsidRDefault="000A2C22" w:rsidP="002F024F">
            <w:pPr>
              <w:tabs>
                <w:tab w:val="left" w:pos="410"/>
              </w:tabs>
              <w:spacing w:after="120"/>
              <w:ind w:left="127" w:right="127"/>
              <w:jc w:val="both"/>
              <w:rPr>
                <w:sz w:val="24"/>
                <w:szCs w:val="24"/>
              </w:rPr>
            </w:pPr>
            <w:r>
              <w:rPr>
                <w:sz w:val="24"/>
                <w:szCs w:val="24"/>
              </w:rPr>
              <w:t>Nav</w:t>
            </w:r>
          </w:p>
        </w:tc>
      </w:tr>
    </w:tbl>
    <w:p w14:paraId="31428227" w14:textId="77777777" w:rsidR="0019637B" w:rsidRPr="001D3E95" w:rsidRDefault="0019637B">
      <w:pPr>
        <w:rPr>
          <w:sz w:val="24"/>
          <w:szCs w:val="24"/>
        </w:rPr>
      </w:pP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2978"/>
        <w:gridCol w:w="6136"/>
      </w:tblGrid>
      <w:tr w:rsidR="005A039A" w:rsidRPr="001D3E95" w14:paraId="7A5972B5" w14:textId="77777777" w:rsidTr="00AD3DBD">
        <w:trPr>
          <w:trHeight w:val="468"/>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87DDEB" w14:textId="77777777" w:rsidR="00912059" w:rsidRPr="001D3E95" w:rsidRDefault="000A2C22" w:rsidP="0019637B">
            <w:pPr>
              <w:spacing w:after="120"/>
              <w:ind w:right="127"/>
              <w:jc w:val="center"/>
              <w:rPr>
                <w:rFonts w:eastAsia="Times New Roman"/>
                <w:b/>
                <w:sz w:val="24"/>
                <w:szCs w:val="24"/>
                <w:lang w:eastAsia="lv-LV"/>
              </w:rPr>
            </w:pPr>
            <w:r>
              <w:rPr>
                <w:rFonts w:eastAsia="Times New Roman"/>
                <w:b/>
                <w:sz w:val="24"/>
                <w:szCs w:val="24"/>
                <w:lang w:eastAsia="lv-LV"/>
              </w:rPr>
              <w:t>II. Tiesību akta projekta ietekme uz sabiedrību</w:t>
            </w:r>
          </w:p>
        </w:tc>
      </w:tr>
      <w:tr w:rsidR="00DD706F" w:rsidRPr="001D3E95" w14:paraId="4E0C3256" w14:textId="77777777" w:rsidTr="00710A4A">
        <w:trPr>
          <w:trHeight w:val="1142"/>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929100" w14:textId="77777777" w:rsidR="005A039A" w:rsidRPr="001D3E95" w:rsidRDefault="000A2C22" w:rsidP="00DE06E5">
            <w:pPr>
              <w:rPr>
                <w:rFonts w:eastAsia="Times New Roman"/>
                <w:sz w:val="24"/>
                <w:szCs w:val="24"/>
                <w:lang w:eastAsia="lv-LV"/>
              </w:rPr>
            </w:pPr>
            <w:r>
              <w:rPr>
                <w:rFonts w:eastAsia="Times New Roman"/>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hideMark/>
          </w:tcPr>
          <w:p w14:paraId="15D18199" w14:textId="77777777" w:rsidR="005A039A" w:rsidRPr="001D3E95" w:rsidRDefault="000A2C22" w:rsidP="0040031B">
            <w:pPr>
              <w:ind w:left="127" w:right="127"/>
              <w:rPr>
                <w:rFonts w:eastAsia="Times New Roman"/>
                <w:sz w:val="24"/>
                <w:szCs w:val="24"/>
                <w:lang w:eastAsia="lv-LV"/>
              </w:rPr>
            </w:pPr>
            <w:r>
              <w:rPr>
                <w:rFonts w:eastAsia="Times New Roman"/>
                <w:sz w:val="24"/>
                <w:szCs w:val="24"/>
                <w:lang w:eastAsia="lv-LV"/>
              </w:rPr>
              <w:t xml:space="preserve">Sabiedrības </w:t>
            </w:r>
            <w:proofErr w:type="spellStart"/>
            <w:r>
              <w:rPr>
                <w:rFonts w:eastAsia="Times New Roman"/>
                <w:sz w:val="24"/>
                <w:szCs w:val="24"/>
                <w:lang w:eastAsia="lv-LV"/>
              </w:rPr>
              <w:t>mērķgrupa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16580D5" w14:textId="77777777" w:rsidR="002118FC" w:rsidRPr="001D3E95" w:rsidRDefault="000A2C22" w:rsidP="00710A4A">
            <w:pPr>
              <w:tabs>
                <w:tab w:val="left" w:pos="127"/>
              </w:tabs>
              <w:ind w:left="53" w:right="125"/>
              <w:jc w:val="both"/>
              <w:rPr>
                <w:sz w:val="24"/>
                <w:szCs w:val="24"/>
              </w:rPr>
            </w:pPr>
            <w:r>
              <w:rPr>
                <w:sz w:val="24"/>
                <w:szCs w:val="24"/>
              </w:rPr>
              <w:t>Nodokļu maksātāji, kuriem piešķirts Padziļinātās sadarbības programmas dalībnieka statuss, vai kuri plāno pieteikties Padziļinātās sadarbības programmai.</w:t>
            </w:r>
          </w:p>
        </w:tc>
      </w:tr>
      <w:tr w:rsidR="00DD706F" w:rsidRPr="001D3E95" w14:paraId="44DE586E" w14:textId="77777777" w:rsidTr="00AD3DBD">
        <w:trPr>
          <w:trHeight w:val="144"/>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F3E79B" w14:textId="77777777" w:rsidR="005A039A" w:rsidRPr="001D3E95" w:rsidRDefault="000A2C22" w:rsidP="00DE06E5">
            <w:pPr>
              <w:rPr>
                <w:rFonts w:eastAsia="Times New Roman"/>
                <w:sz w:val="24"/>
                <w:szCs w:val="24"/>
                <w:lang w:eastAsia="lv-LV"/>
              </w:rPr>
            </w:pPr>
            <w:r>
              <w:rPr>
                <w:rFonts w:eastAsia="Times New Roman"/>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hideMark/>
          </w:tcPr>
          <w:p w14:paraId="5C090165" w14:textId="77777777" w:rsidR="005A039A" w:rsidRPr="001D3E95" w:rsidRDefault="000A2C22" w:rsidP="0040031B">
            <w:pPr>
              <w:ind w:left="127"/>
              <w:rPr>
                <w:rFonts w:eastAsia="Times New Roman"/>
                <w:sz w:val="24"/>
                <w:szCs w:val="24"/>
                <w:lang w:eastAsia="lv-LV"/>
              </w:rPr>
            </w:pPr>
            <w:r>
              <w:rPr>
                <w:rFonts w:eastAsia="Times New Roman"/>
                <w:sz w:val="24"/>
                <w:szCs w:val="24"/>
                <w:lang w:eastAsia="lv-LV"/>
              </w:rPr>
              <w:t xml:space="preserve">Citas sabiedrības grupas (bez </w:t>
            </w:r>
            <w:proofErr w:type="spellStart"/>
            <w:r>
              <w:rPr>
                <w:rFonts w:eastAsia="Times New Roman"/>
                <w:sz w:val="24"/>
                <w:szCs w:val="24"/>
                <w:lang w:eastAsia="lv-LV"/>
              </w:rPr>
              <w:t>mērķgrupas</w:t>
            </w:r>
            <w:proofErr w:type="spellEnd"/>
            <w:r>
              <w:rPr>
                <w:rFonts w:eastAsia="Times New Roman"/>
                <w:sz w:val="24"/>
                <w:szCs w:val="24"/>
                <w:lang w:eastAsia="lv-LV"/>
              </w:rPr>
              <w:t>), kuras tiesiskais regulējums arī ietekmē vai varētu ietekmēt</w:t>
            </w:r>
          </w:p>
        </w:tc>
        <w:tc>
          <w:tcPr>
            <w:tcW w:w="0" w:type="auto"/>
            <w:tcBorders>
              <w:top w:val="outset" w:sz="6" w:space="0" w:color="auto"/>
              <w:left w:val="outset" w:sz="6" w:space="0" w:color="auto"/>
              <w:bottom w:val="outset" w:sz="6" w:space="0" w:color="auto"/>
              <w:right w:val="outset" w:sz="6" w:space="0" w:color="auto"/>
            </w:tcBorders>
            <w:hideMark/>
          </w:tcPr>
          <w:p w14:paraId="60876298" w14:textId="77777777" w:rsidR="00DD7AE5" w:rsidRPr="001D3E95" w:rsidRDefault="000A2C22" w:rsidP="00710A4A">
            <w:pPr>
              <w:snapToGrid w:val="0"/>
              <w:ind w:left="118" w:right="127"/>
              <w:jc w:val="both"/>
              <w:rPr>
                <w:sz w:val="24"/>
                <w:szCs w:val="24"/>
              </w:rPr>
            </w:pPr>
            <w:r>
              <w:rPr>
                <w:sz w:val="24"/>
                <w:szCs w:val="24"/>
              </w:rPr>
              <w:t>Noteikumu projekts šo jomu neskar.</w:t>
            </w:r>
          </w:p>
        </w:tc>
      </w:tr>
      <w:tr w:rsidR="00DD706F" w:rsidRPr="001D3E95" w14:paraId="3B2F5797" w14:textId="77777777" w:rsidTr="00AD3DBD">
        <w:trPr>
          <w:trHeight w:val="144"/>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F34D6D" w14:textId="77777777" w:rsidR="005A039A" w:rsidRPr="001D3E95" w:rsidRDefault="000A2C22" w:rsidP="00DE06E5">
            <w:pPr>
              <w:rPr>
                <w:rFonts w:eastAsia="Times New Roman"/>
                <w:sz w:val="24"/>
                <w:szCs w:val="24"/>
                <w:lang w:eastAsia="lv-LV"/>
              </w:rPr>
            </w:pPr>
            <w:r>
              <w:rPr>
                <w:rFonts w:eastAsia="Times New Roman"/>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hideMark/>
          </w:tcPr>
          <w:p w14:paraId="30EE23CB" w14:textId="77777777" w:rsidR="005A039A" w:rsidRPr="001D3E95" w:rsidRDefault="000A2C22" w:rsidP="0040031B">
            <w:pPr>
              <w:ind w:left="127"/>
              <w:rPr>
                <w:rFonts w:eastAsia="Times New Roman"/>
                <w:sz w:val="24"/>
                <w:szCs w:val="24"/>
                <w:lang w:eastAsia="lv-LV"/>
              </w:rPr>
            </w:pPr>
            <w:r>
              <w:rPr>
                <w:rFonts w:eastAsia="Times New Roman"/>
                <w:sz w:val="24"/>
                <w:szCs w:val="24"/>
                <w:lang w:eastAsia="lv-LV"/>
              </w:rPr>
              <w:t>Tiesiskā regulējuma finansiālā ietekme</w:t>
            </w:r>
          </w:p>
        </w:tc>
        <w:tc>
          <w:tcPr>
            <w:tcW w:w="0" w:type="auto"/>
            <w:tcBorders>
              <w:top w:val="outset" w:sz="6" w:space="0" w:color="auto"/>
              <w:left w:val="outset" w:sz="6" w:space="0" w:color="auto"/>
              <w:bottom w:val="outset" w:sz="6" w:space="0" w:color="auto"/>
              <w:right w:val="outset" w:sz="6" w:space="0" w:color="auto"/>
            </w:tcBorders>
            <w:hideMark/>
          </w:tcPr>
          <w:p w14:paraId="3ADFEA61" w14:textId="1E115AF1" w:rsidR="005A039A" w:rsidRPr="00F50A10" w:rsidRDefault="009678CA" w:rsidP="00DD706F">
            <w:pPr>
              <w:spacing w:before="100" w:beforeAutospacing="1" w:after="120" w:afterAutospacing="1"/>
              <w:ind w:left="53" w:right="125"/>
              <w:jc w:val="both"/>
              <w:rPr>
                <w:sz w:val="24"/>
                <w:szCs w:val="24"/>
              </w:rPr>
            </w:pPr>
            <w:r>
              <w:rPr>
                <w:color w:val="000000"/>
                <w:sz w:val="24"/>
                <w:szCs w:val="24"/>
              </w:rPr>
              <w:t>Projekts šo jomu neskar.</w:t>
            </w:r>
          </w:p>
        </w:tc>
      </w:tr>
      <w:tr w:rsidR="00DD706F" w:rsidRPr="001D3E95" w14:paraId="6719719B" w14:textId="77777777" w:rsidTr="00D34A04">
        <w:trPr>
          <w:trHeight w:val="111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401938" w14:textId="77777777" w:rsidR="005A039A" w:rsidRPr="001D3E95" w:rsidRDefault="000A2C22" w:rsidP="00DE06E5">
            <w:pPr>
              <w:spacing w:before="100" w:beforeAutospacing="1" w:after="100" w:afterAutospacing="1"/>
              <w:rPr>
                <w:rFonts w:eastAsia="Times New Roman"/>
                <w:sz w:val="24"/>
                <w:szCs w:val="24"/>
                <w:lang w:eastAsia="lv-LV"/>
              </w:rPr>
            </w:pPr>
            <w:r>
              <w:rPr>
                <w:rFonts w:eastAsia="Times New Roman"/>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hideMark/>
          </w:tcPr>
          <w:p w14:paraId="10143943" w14:textId="77777777" w:rsidR="005A039A" w:rsidRPr="001D3E95" w:rsidRDefault="000A2C22" w:rsidP="0040031B">
            <w:pPr>
              <w:spacing w:before="100" w:beforeAutospacing="1" w:after="120" w:afterAutospacing="1"/>
              <w:ind w:left="127"/>
              <w:rPr>
                <w:rFonts w:eastAsia="Times New Roman"/>
                <w:sz w:val="24"/>
                <w:szCs w:val="24"/>
                <w:lang w:eastAsia="lv-LV"/>
              </w:rPr>
            </w:pPr>
            <w:r>
              <w:rPr>
                <w:rFonts w:eastAsia="Times New Roman"/>
                <w:sz w:val="24"/>
                <w:szCs w:val="24"/>
                <w:lang w:eastAsia="lv-LV"/>
              </w:rPr>
              <w:t>Tiesiskā regulējuma nefinansiālā ietekme</w:t>
            </w:r>
          </w:p>
        </w:tc>
        <w:tc>
          <w:tcPr>
            <w:tcW w:w="0" w:type="auto"/>
            <w:tcBorders>
              <w:top w:val="outset" w:sz="6" w:space="0" w:color="auto"/>
              <w:left w:val="outset" w:sz="6" w:space="0" w:color="auto"/>
              <w:bottom w:val="outset" w:sz="6" w:space="0" w:color="auto"/>
              <w:right w:val="outset" w:sz="6" w:space="0" w:color="auto"/>
            </w:tcBorders>
            <w:hideMark/>
          </w:tcPr>
          <w:p w14:paraId="72E5707D" w14:textId="77777777" w:rsidR="006B7A22" w:rsidRPr="00F50A10" w:rsidRDefault="000A2C22" w:rsidP="00D34A04">
            <w:pPr>
              <w:spacing w:before="100" w:beforeAutospacing="1" w:after="100" w:afterAutospacing="1"/>
              <w:ind w:left="125" w:right="125"/>
              <w:jc w:val="both"/>
              <w:rPr>
                <w:sz w:val="24"/>
                <w:szCs w:val="24"/>
              </w:rPr>
            </w:pPr>
            <w:r>
              <w:rPr>
                <w:sz w:val="24"/>
                <w:szCs w:val="24"/>
              </w:rPr>
              <w:t xml:space="preserve">Ir iespējama pozitīva ietekme ilgtermiņā, jo veicinot normatīvajiem aktiem atbilstošu nodokļu saistību izpildi, var uzlaboties uzņēmējdarbības vide. </w:t>
            </w:r>
          </w:p>
        </w:tc>
      </w:tr>
      <w:tr w:rsidR="00DD706F" w:rsidRPr="001D3E95" w14:paraId="1610F299" w14:textId="77777777" w:rsidTr="00AD3DBD">
        <w:trPr>
          <w:trHeight w:val="144"/>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282D6F" w14:textId="77777777" w:rsidR="005A039A" w:rsidRPr="001D3E95" w:rsidRDefault="000A2C22" w:rsidP="00DE06E5">
            <w:pPr>
              <w:spacing w:before="100" w:beforeAutospacing="1" w:after="100" w:afterAutospacing="1"/>
              <w:rPr>
                <w:rFonts w:eastAsia="Times New Roman"/>
                <w:sz w:val="24"/>
                <w:szCs w:val="24"/>
                <w:lang w:eastAsia="lv-LV"/>
              </w:rPr>
            </w:pPr>
            <w:r>
              <w:rPr>
                <w:rFonts w:eastAsia="Times New Roman"/>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hideMark/>
          </w:tcPr>
          <w:p w14:paraId="5E63EB44" w14:textId="77777777" w:rsidR="005A039A" w:rsidRPr="001D3E95" w:rsidRDefault="000A2C22" w:rsidP="00CE50D8">
            <w:pPr>
              <w:spacing w:before="100" w:beforeAutospacing="1" w:after="120" w:afterAutospacing="1"/>
              <w:ind w:left="127"/>
              <w:rPr>
                <w:rFonts w:eastAsia="Times New Roman"/>
                <w:sz w:val="24"/>
                <w:szCs w:val="24"/>
                <w:lang w:eastAsia="lv-LV"/>
              </w:rPr>
            </w:pPr>
            <w:r>
              <w:rPr>
                <w:rFonts w:eastAsia="Times New Roman"/>
                <w:sz w:val="24"/>
                <w:szCs w:val="24"/>
                <w:lang w:eastAsia="lv-LV"/>
              </w:rPr>
              <w:t>Administratīvās procedūras raksturojums</w:t>
            </w:r>
          </w:p>
        </w:tc>
        <w:tc>
          <w:tcPr>
            <w:tcW w:w="0" w:type="auto"/>
            <w:tcBorders>
              <w:top w:val="outset" w:sz="6" w:space="0" w:color="auto"/>
              <w:left w:val="outset" w:sz="6" w:space="0" w:color="auto"/>
              <w:bottom w:val="outset" w:sz="6" w:space="0" w:color="auto"/>
              <w:right w:val="outset" w:sz="6" w:space="0" w:color="auto"/>
            </w:tcBorders>
            <w:hideMark/>
          </w:tcPr>
          <w:p w14:paraId="3A4577C7" w14:textId="1ADA82E1" w:rsidR="00BA69DD" w:rsidRPr="001D3E95" w:rsidRDefault="000A2C22" w:rsidP="00214CB7">
            <w:pPr>
              <w:spacing w:after="120"/>
              <w:ind w:left="127" w:right="125"/>
              <w:jc w:val="both"/>
              <w:rPr>
                <w:sz w:val="24"/>
                <w:szCs w:val="24"/>
              </w:rPr>
            </w:pPr>
            <w:r>
              <w:rPr>
                <w:sz w:val="24"/>
                <w:szCs w:val="24"/>
              </w:rPr>
              <w:t>Nodokļu maksātājs apliecinājumu par tā ieviestās nodokļu risku vadības atbilstību MK noteikumu Nr.459 prasībām pievieno pieteikumam dalībai Padziļinātās sadarbības programmā un gada pārskatam par katru pārskatu periodu, pēc nodokļu maksātāja iekļaušanas Padziļinātās sadarbības programmā</w:t>
            </w:r>
          </w:p>
        </w:tc>
      </w:tr>
      <w:tr w:rsidR="00DD706F" w:rsidRPr="001D3E95" w14:paraId="0C8066EA" w14:textId="77777777" w:rsidTr="00AD3DBD">
        <w:trPr>
          <w:trHeight w:val="660"/>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37A13D" w14:textId="77777777" w:rsidR="005A039A" w:rsidRPr="001D3E95" w:rsidRDefault="000A2C22" w:rsidP="00DE06E5">
            <w:pPr>
              <w:rPr>
                <w:rFonts w:eastAsia="Times New Roman"/>
                <w:sz w:val="24"/>
                <w:szCs w:val="24"/>
                <w:lang w:eastAsia="lv-LV"/>
              </w:rPr>
            </w:pPr>
            <w:r>
              <w:rPr>
                <w:rFonts w:eastAsia="Times New Roman"/>
                <w:sz w:val="24"/>
                <w:szCs w:val="24"/>
                <w:lang w:eastAsia="lv-LV"/>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14:paraId="283169D8" w14:textId="77777777" w:rsidR="003D7CD2" w:rsidRPr="001D3E95" w:rsidRDefault="000A2C22" w:rsidP="00CE50D8">
            <w:pPr>
              <w:ind w:left="127"/>
              <w:rPr>
                <w:rFonts w:eastAsia="Times New Roman"/>
                <w:sz w:val="24"/>
                <w:szCs w:val="24"/>
                <w:lang w:eastAsia="lv-LV"/>
              </w:rPr>
            </w:pPr>
            <w:r>
              <w:rPr>
                <w:rFonts w:eastAsia="Times New Roman"/>
                <w:sz w:val="24"/>
                <w:szCs w:val="24"/>
                <w:lang w:eastAsia="lv-LV"/>
              </w:rPr>
              <w:t> Administratīvo izmaksu monetārs novērtējums</w:t>
            </w:r>
          </w:p>
        </w:tc>
        <w:tc>
          <w:tcPr>
            <w:tcW w:w="0" w:type="auto"/>
            <w:tcBorders>
              <w:top w:val="outset" w:sz="6" w:space="0" w:color="auto"/>
              <w:left w:val="outset" w:sz="6" w:space="0" w:color="auto"/>
              <w:bottom w:val="outset" w:sz="6" w:space="0" w:color="auto"/>
              <w:right w:val="outset" w:sz="6" w:space="0" w:color="auto"/>
            </w:tcBorders>
            <w:hideMark/>
          </w:tcPr>
          <w:p w14:paraId="0AB63E4B" w14:textId="77777777" w:rsidR="00F764D8" w:rsidRPr="001D3E95" w:rsidRDefault="000A2C22" w:rsidP="00751BF6">
            <w:pPr>
              <w:ind w:left="127"/>
              <w:rPr>
                <w:rFonts w:eastAsia="Times New Roman"/>
                <w:sz w:val="24"/>
                <w:szCs w:val="24"/>
                <w:lang w:eastAsia="lv-LV"/>
              </w:rPr>
            </w:pPr>
            <w:r>
              <w:rPr>
                <w:rFonts w:eastAsia="Times New Roman"/>
                <w:sz w:val="24"/>
                <w:szCs w:val="24"/>
                <w:lang w:eastAsia="lv-LV"/>
              </w:rPr>
              <w:t>Projekts šo jomu neskar</w:t>
            </w:r>
          </w:p>
        </w:tc>
      </w:tr>
      <w:tr w:rsidR="00DD706F" w:rsidRPr="001D3E95" w14:paraId="1A0827E1" w14:textId="77777777" w:rsidTr="00AD3DBD">
        <w:trPr>
          <w:trHeight w:val="310"/>
          <w:tblCellSpacing w:w="0" w:type="dxa"/>
        </w:trPr>
        <w:tc>
          <w:tcPr>
            <w:tcW w:w="0" w:type="auto"/>
            <w:tcBorders>
              <w:top w:val="outset" w:sz="6" w:space="0" w:color="auto"/>
              <w:left w:val="outset" w:sz="6" w:space="0" w:color="auto"/>
              <w:bottom w:val="outset" w:sz="6" w:space="0" w:color="auto"/>
              <w:right w:val="outset" w:sz="6" w:space="0" w:color="auto"/>
            </w:tcBorders>
          </w:tcPr>
          <w:p w14:paraId="34F8E42B" w14:textId="77777777" w:rsidR="00FB2461" w:rsidRPr="001D3E95" w:rsidRDefault="000A2C22" w:rsidP="00DE06E5">
            <w:pPr>
              <w:rPr>
                <w:rFonts w:eastAsia="Times New Roman"/>
                <w:sz w:val="24"/>
                <w:szCs w:val="24"/>
                <w:lang w:eastAsia="lv-LV"/>
              </w:rPr>
            </w:pPr>
            <w:r>
              <w:rPr>
                <w:rFonts w:eastAsia="Times New Roman"/>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tcPr>
          <w:p w14:paraId="4B561233" w14:textId="77777777" w:rsidR="00FB2461" w:rsidRPr="001D3E95" w:rsidRDefault="000A2C22" w:rsidP="00CE50D8">
            <w:pPr>
              <w:ind w:left="127"/>
              <w:rPr>
                <w:rFonts w:eastAsia="Times New Roman"/>
                <w:sz w:val="24"/>
                <w:szCs w:val="24"/>
                <w:lang w:eastAsia="lv-LV"/>
              </w:rPr>
            </w:pPr>
            <w:r>
              <w:rPr>
                <w:rFonts w:eastAsia="Times New Roman"/>
                <w:sz w:val="24"/>
                <w:szCs w:val="24"/>
                <w:lang w:eastAsia="lv-LV"/>
              </w:rPr>
              <w:t>Cita informācija</w:t>
            </w:r>
          </w:p>
        </w:tc>
        <w:tc>
          <w:tcPr>
            <w:tcW w:w="0" w:type="auto"/>
            <w:tcBorders>
              <w:top w:val="outset" w:sz="6" w:space="0" w:color="auto"/>
              <w:left w:val="outset" w:sz="6" w:space="0" w:color="auto"/>
              <w:bottom w:val="outset" w:sz="6" w:space="0" w:color="auto"/>
              <w:right w:val="outset" w:sz="6" w:space="0" w:color="auto"/>
            </w:tcBorders>
          </w:tcPr>
          <w:p w14:paraId="4004FA6E" w14:textId="77777777" w:rsidR="00751BF6" w:rsidRPr="001D3E95" w:rsidRDefault="000A2C22" w:rsidP="00751BF6">
            <w:pPr>
              <w:ind w:left="127" w:right="127"/>
              <w:jc w:val="both"/>
              <w:rPr>
                <w:color w:val="000000"/>
                <w:sz w:val="24"/>
                <w:szCs w:val="24"/>
              </w:rPr>
            </w:pPr>
            <w:r>
              <w:rPr>
                <w:color w:val="000000"/>
                <w:sz w:val="24"/>
                <w:szCs w:val="24"/>
              </w:rPr>
              <w:t>Nav</w:t>
            </w:r>
          </w:p>
        </w:tc>
      </w:tr>
    </w:tbl>
    <w:p w14:paraId="45EE9504" w14:textId="77777777" w:rsidR="00E73DA6" w:rsidRPr="001D3E95" w:rsidRDefault="00E73DA6" w:rsidP="00FC7060">
      <w:pPr>
        <w:rPr>
          <w:vanish/>
        </w:rPr>
      </w:pPr>
    </w:p>
    <w:p w14:paraId="6CD78FB8" w14:textId="77777777" w:rsidR="0019637B" w:rsidRPr="001D3E95" w:rsidRDefault="0019637B">
      <w:pPr>
        <w:rPr>
          <w:sz w:val="24"/>
          <w:szCs w:val="24"/>
        </w:rPr>
      </w:pP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3781"/>
        <w:gridCol w:w="5333"/>
      </w:tblGrid>
      <w:tr w:rsidR="00E520E9" w:rsidRPr="001D3E95" w14:paraId="47C11F81" w14:textId="77777777" w:rsidTr="00AD3DBD">
        <w:trPr>
          <w:trHeight w:val="437"/>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B17ACF" w14:textId="77777777" w:rsidR="00E520E9" w:rsidRPr="001D3E95" w:rsidRDefault="000A2C22" w:rsidP="00FC7060">
            <w:pPr>
              <w:jc w:val="center"/>
              <w:rPr>
                <w:rFonts w:eastAsia="Times New Roman"/>
                <w:sz w:val="24"/>
                <w:szCs w:val="24"/>
                <w:lang w:eastAsia="lv-LV"/>
              </w:rPr>
            </w:pPr>
            <w:r>
              <w:rPr>
                <w:rFonts w:eastAsia="Times New Roman"/>
                <w:b/>
                <w:bCs/>
                <w:sz w:val="24"/>
                <w:szCs w:val="24"/>
                <w:lang w:eastAsia="lv-LV"/>
              </w:rPr>
              <w:t>VII. Tiesību akta projekta izpildes nodrošināšana un tās ietekme uz institūcijām</w:t>
            </w:r>
          </w:p>
        </w:tc>
      </w:tr>
      <w:tr w:rsidR="008B750E" w:rsidRPr="001D3E95" w14:paraId="77038184" w14:textId="77777777" w:rsidTr="00AD3DBD">
        <w:trPr>
          <w:trHeight w:val="519"/>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E27C91" w14:textId="77777777" w:rsidR="00E520E9" w:rsidRPr="001D3E95" w:rsidRDefault="000A2C22" w:rsidP="00DE06E5">
            <w:pPr>
              <w:rPr>
                <w:rFonts w:eastAsia="Times New Roman"/>
                <w:sz w:val="24"/>
                <w:szCs w:val="24"/>
                <w:lang w:eastAsia="lv-LV"/>
              </w:rPr>
            </w:pPr>
            <w:r>
              <w:rPr>
                <w:rFonts w:eastAsia="Times New Roman"/>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hideMark/>
          </w:tcPr>
          <w:p w14:paraId="49D1A54F" w14:textId="77777777" w:rsidR="00E520E9" w:rsidRPr="001D3E95" w:rsidRDefault="000A2C22" w:rsidP="00D362CE">
            <w:pPr>
              <w:ind w:left="81"/>
              <w:rPr>
                <w:rFonts w:eastAsia="Times New Roman"/>
                <w:sz w:val="24"/>
                <w:szCs w:val="24"/>
                <w:lang w:eastAsia="lv-LV"/>
              </w:rPr>
            </w:pPr>
            <w:r>
              <w:rPr>
                <w:rFonts w:eastAsia="Times New Roman"/>
                <w:sz w:val="24"/>
                <w:szCs w:val="24"/>
                <w:lang w:eastAsia="lv-LV"/>
              </w:rPr>
              <w:t>Projekta izpildē iesaistītās institūcijas</w:t>
            </w:r>
          </w:p>
        </w:tc>
        <w:tc>
          <w:tcPr>
            <w:tcW w:w="0" w:type="auto"/>
            <w:tcBorders>
              <w:top w:val="outset" w:sz="6" w:space="0" w:color="auto"/>
              <w:left w:val="outset" w:sz="6" w:space="0" w:color="auto"/>
              <w:bottom w:val="outset" w:sz="6" w:space="0" w:color="auto"/>
              <w:right w:val="outset" w:sz="6" w:space="0" w:color="auto"/>
            </w:tcBorders>
            <w:hideMark/>
          </w:tcPr>
          <w:p w14:paraId="0ABFB15A" w14:textId="77777777" w:rsidR="00E520E9" w:rsidRPr="001D3E95" w:rsidRDefault="000A2C22" w:rsidP="008B750E">
            <w:pPr>
              <w:ind w:left="50" w:right="127"/>
              <w:jc w:val="both"/>
              <w:rPr>
                <w:sz w:val="24"/>
                <w:szCs w:val="24"/>
                <w:lang w:eastAsia="lv-LV"/>
              </w:rPr>
            </w:pPr>
            <w:r>
              <w:rPr>
                <w:sz w:val="24"/>
                <w:szCs w:val="24"/>
                <w:lang w:eastAsia="lv-LV"/>
              </w:rPr>
              <w:t>Finanšu ministrija, Valsts ieņēmumu dienests un Padziļinātās sadarbības programmas komisija.</w:t>
            </w:r>
          </w:p>
        </w:tc>
      </w:tr>
      <w:tr w:rsidR="008B750E" w:rsidRPr="001D3E95" w14:paraId="0D7AFF06" w14:textId="77777777" w:rsidTr="00AD3D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8C8B27" w14:textId="77777777" w:rsidR="00E520E9" w:rsidRPr="001D3E95" w:rsidRDefault="000A2C22" w:rsidP="00DE06E5">
            <w:pPr>
              <w:spacing w:before="100" w:beforeAutospacing="1" w:after="100" w:afterAutospacing="1"/>
              <w:rPr>
                <w:rFonts w:eastAsia="Times New Roman"/>
                <w:sz w:val="24"/>
                <w:szCs w:val="24"/>
                <w:lang w:eastAsia="lv-LV"/>
              </w:rPr>
            </w:pPr>
            <w:r>
              <w:rPr>
                <w:rFonts w:eastAsia="Times New Roman"/>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hideMark/>
          </w:tcPr>
          <w:p w14:paraId="16C34E15" w14:textId="77777777" w:rsidR="00E520E9" w:rsidRPr="001D3E95" w:rsidRDefault="000A2C22" w:rsidP="00D362CE">
            <w:pPr>
              <w:spacing w:before="100" w:beforeAutospacing="1" w:after="100" w:afterAutospacing="1"/>
              <w:ind w:left="81"/>
              <w:rPr>
                <w:rFonts w:eastAsia="Times New Roman"/>
                <w:sz w:val="24"/>
                <w:szCs w:val="24"/>
                <w:lang w:eastAsia="lv-LV"/>
              </w:rPr>
            </w:pPr>
            <w:r>
              <w:rPr>
                <w:rFonts w:eastAsia="Times New Roman"/>
                <w:sz w:val="24"/>
                <w:szCs w:val="24"/>
                <w:lang w:eastAsia="lv-LV"/>
              </w:rPr>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hideMark/>
          </w:tcPr>
          <w:p w14:paraId="5D973938" w14:textId="77777777" w:rsidR="00E520E9" w:rsidRPr="001D3E95" w:rsidRDefault="000A2C22" w:rsidP="00974A13">
            <w:pPr>
              <w:spacing w:before="100" w:beforeAutospacing="1" w:after="100" w:afterAutospacing="1"/>
              <w:ind w:left="50" w:right="143"/>
              <w:jc w:val="both"/>
              <w:rPr>
                <w:rFonts w:eastAsia="Times New Roman"/>
                <w:sz w:val="24"/>
                <w:szCs w:val="24"/>
                <w:lang w:eastAsia="lv-LV"/>
              </w:rPr>
            </w:pPr>
            <w:r>
              <w:rPr>
                <w:rFonts w:eastAsia="Times New Roman"/>
                <w:sz w:val="24"/>
                <w:szCs w:val="24"/>
                <w:lang w:eastAsia="lv-LV"/>
              </w:rPr>
              <w:t>Projekts šo jomu neskar</w:t>
            </w:r>
          </w:p>
        </w:tc>
      </w:tr>
      <w:tr w:rsidR="008B750E" w:rsidRPr="001D3E95" w14:paraId="0AD4E6BD" w14:textId="77777777" w:rsidTr="00AD3D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964F50" w14:textId="77777777" w:rsidR="00E520E9" w:rsidRPr="001D3E95" w:rsidRDefault="000A2C22" w:rsidP="00DE06E5">
            <w:pPr>
              <w:spacing w:before="100" w:beforeAutospacing="1" w:after="100" w:afterAutospacing="1"/>
              <w:rPr>
                <w:rFonts w:eastAsia="Times New Roman"/>
                <w:sz w:val="24"/>
                <w:szCs w:val="24"/>
                <w:lang w:eastAsia="lv-LV"/>
              </w:rPr>
            </w:pPr>
            <w:r>
              <w:rPr>
                <w:rFonts w:eastAsia="Times New Roman"/>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hideMark/>
          </w:tcPr>
          <w:p w14:paraId="1B6D8A81" w14:textId="77777777" w:rsidR="00E520E9" w:rsidRPr="001D3E95" w:rsidRDefault="000A2C22" w:rsidP="00D362CE">
            <w:pPr>
              <w:spacing w:before="100" w:beforeAutospacing="1" w:after="100" w:afterAutospacing="1"/>
              <w:ind w:left="81"/>
              <w:rPr>
                <w:rFonts w:eastAsia="Times New Roman"/>
                <w:sz w:val="24"/>
                <w:szCs w:val="24"/>
                <w:lang w:eastAsia="lv-LV"/>
              </w:rPr>
            </w:pPr>
            <w:r>
              <w:rPr>
                <w:rFonts w:eastAsia="Times New Roman"/>
                <w:sz w:val="24"/>
                <w:szCs w:val="24"/>
                <w:lang w:eastAsia="lv-LV"/>
              </w:rPr>
              <w:t>Projekta izpildes ietekme uz pārvaldes institucionālo struktūru.</w:t>
            </w:r>
          </w:p>
          <w:p w14:paraId="5467338E" w14:textId="77777777" w:rsidR="00E520E9" w:rsidRPr="001D3E95" w:rsidRDefault="000A2C22" w:rsidP="00D362CE">
            <w:pPr>
              <w:spacing w:before="100" w:beforeAutospacing="1" w:after="100" w:afterAutospacing="1"/>
              <w:ind w:left="81"/>
              <w:rPr>
                <w:rFonts w:eastAsia="Times New Roman"/>
                <w:sz w:val="24"/>
                <w:szCs w:val="24"/>
                <w:lang w:eastAsia="lv-LV"/>
              </w:rPr>
            </w:pPr>
            <w:r>
              <w:rPr>
                <w:rFonts w:eastAsia="Times New Roman"/>
                <w:sz w:val="24"/>
                <w:szCs w:val="24"/>
                <w:lang w:eastAsia="lv-LV"/>
              </w:rPr>
              <w:t>Jaunu institūciju izveide</w:t>
            </w:r>
          </w:p>
        </w:tc>
        <w:tc>
          <w:tcPr>
            <w:tcW w:w="0" w:type="auto"/>
            <w:tcBorders>
              <w:top w:val="outset" w:sz="6" w:space="0" w:color="auto"/>
              <w:left w:val="outset" w:sz="6" w:space="0" w:color="auto"/>
              <w:bottom w:val="outset" w:sz="6" w:space="0" w:color="auto"/>
              <w:right w:val="outset" w:sz="6" w:space="0" w:color="auto"/>
            </w:tcBorders>
            <w:hideMark/>
          </w:tcPr>
          <w:p w14:paraId="1631AD60" w14:textId="77777777" w:rsidR="00E520E9" w:rsidRPr="001D3E95" w:rsidRDefault="000A2C22" w:rsidP="00277A78">
            <w:pPr>
              <w:spacing w:before="100" w:beforeAutospacing="1" w:after="100" w:afterAutospacing="1"/>
              <w:ind w:left="50"/>
              <w:rPr>
                <w:rFonts w:eastAsia="Times New Roman"/>
                <w:sz w:val="24"/>
                <w:szCs w:val="24"/>
                <w:lang w:eastAsia="lv-LV"/>
              </w:rPr>
            </w:pPr>
            <w:r>
              <w:rPr>
                <w:rFonts w:eastAsia="Times New Roman"/>
                <w:sz w:val="24"/>
                <w:szCs w:val="24"/>
                <w:lang w:eastAsia="lv-LV"/>
              </w:rPr>
              <w:t>Projekts šo jomu neskar</w:t>
            </w:r>
          </w:p>
        </w:tc>
      </w:tr>
      <w:tr w:rsidR="008B750E" w:rsidRPr="001D3E95" w14:paraId="477F9516" w14:textId="77777777" w:rsidTr="00AD3D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A4903E" w14:textId="77777777" w:rsidR="00E520E9" w:rsidRPr="001D3E95" w:rsidRDefault="000A2C22" w:rsidP="00DE06E5">
            <w:pPr>
              <w:spacing w:before="100" w:beforeAutospacing="1" w:after="100" w:afterAutospacing="1"/>
              <w:rPr>
                <w:rFonts w:eastAsia="Times New Roman"/>
                <w:sz w:val="24"/>
                <w:szCs w:val="24"/>
                <w:lang w:eastAsia="lv-LV"/>
              </w:rPr>
            </w:pPr>
            <w:r>
              <w:rPr>
                <w:rFonts w:eastAsia="Times New Roman"/>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hideMark/>
          </w:tcPr>
          <w:p w14:paraId="583E5B1C" w14:textId="77777777" w:rsidR="00E520E9" w:rsidRPr="001D3E95" w:rsidRDefault="000A2C22" w:rsidP="00D362CE">
            <w:pPr>
              <w:spacing w:before="100" w:beforeAutospacing="1" w:after="100" w:afterAutospacing="1"/>
              <w:ind w:left="81"/>
              <w:rPr>
                <w:rFonts w:eastAsia="Times New Roman"/>
                <w:sz w:val="24"/>
                <w:szCs w:val="24"/>
                <w:lang w:eastAsia="lv-LV"/>
              </w:rPr>
            </w:pPr>
            <w:r>
              <w:rPr>
                <w:rFonts w:eastAsia="Times New Roman"/>
                <w:sz w:val="24"/>
                <w:szCs w:val="24"/>
                <w:lang w:eastAsia="lv-LV"/>
              </w:rPr>
              <w:t>Projekta izpildes ietekme uz pārvaldes institucionālo struktūru.</w:t>
            </w:r>
          </w:p>
          <w:p w14:paraId="6B3A310A" w14:textId="77777777" w:rsidR="00E520E9" w:rsidRPr="001D3E95" w:rsidRDefault="000A2C22" w:rsidP="00D362CE">
            <w:pPr>
              <w:spacing w:before="100" w:beforeAutospacing="1" w:after="100" w:afterAutospacing="1"/>
              <w:ind w:left="81"/>
              <w:rPr>
                <w:rFonts w:eastAsia="Times New Roman"/>
                <w:sz w:val="24"/>
                <w:szCs w:val="24"/>
                <w:lang w:eastAsia="lv-LV"/>
              </w:rPr>
            </w:pPr>
            <w:r>
              <w:rPr>
                <w:rFonts w:eastAsia="Times New Roman"/>
                <w:sz w:val="24"/>
                <w:szCs w:val="24"/>
                <w:lang w:eastAsia="lv-LV"/>
              </w:rPr>
              <w:t>Esošu institūciju likvidācija</w:t>
            </w:r>
          </w:p>
        </w:tc>
        <w:tc>
          <w:tcPr>
            <w:tcW w:w="0" w:type="auto"/>
            <w:tcBorders>
              <w:top w:val="outset" w:sz="6" w:space="0" w:color="auto"/>
              <w:left w:val="outset" w:sz="6" w:space="0" w:color="auto"/>
              <w:bottom w:val="outset" w:sz="6" w:space="0" w:color="auto"/>
              <w:right w:val="outset" w:sz="6" w:space="0" w:color="auto"/>
            </w:tcBorders>
            <w:hideMark/>
          </w:tcPr>
          <w:p w14:paraId="32782DBE" w14:textId="77777777" w:rsidR="00E520E9" w:rsidRPr="001D3E95" w:rsidRDefault="000A2C22" w:rsidP="00277A78">
            <w:pPr>
              <w:spacing w:before="100" w:beforeAutospacing="1" w:after="100" w:afterAutospacing="1"/>
              <w:ind w:left="50"/>
              <w:rPr>
                <w:rFonts w:eastAsia="Times New Roman"/>
                <w:sz w:val="24"/>
                <w:szCs w:val="24"/>
                <w:lang w:eastAsia="lv-LV"/>
              </w:rPr>
            </w:pPr>
            <w:r>
              <w:rPr>
                <w:rFonts w:eastAsia="Times New Roman"/>
                <w:sz w:val="24"/>
                <w:szCs w:val="24"/>
                <w:lang w:eastAsia="lv-LV"/>
              </w:rPr>
              <w:t>Projekts šo jomu neskar</w:t>
            </w:r>
          </w:p>
        </w:tc>
      </w:tr>
      <w:tr w:rsidR="008B750E" w:rsidRPr="001D3E95" w14:paraId="448AE90B" w14:textId="77777777" w:rsidTr="00AD3DBD">
        <w:trPr>
          <w:trHeight w:val="829"/>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873647" w14:textId="77777777" w:rsidR="00E520E9" w:rsidRPr="001D3E95" w:rsidRDefault="000A2C22" w:rsidP="00DE06E5">
            <w:pPr>
              <w:spacing w:before="100" w:beforeAutospacing="1" w:after="100" w:afterAutospacing="1"/>
              <w:rPr>
                <w:rFonts w:eastAsia="Times New Roman"/>
                <w:sz w:val="24"/>
                <w:szCs w:val="24"/>
                <w:lang w:eastAsia="lv-LV"/>
              </w:rPr>
            </w:pPr>
            <w:r>
              <w:rPr>
                <w:rFonts w:eastAsia="Times New Roman"/>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hideMark/>
          </w:tcPr>
          <w:p w14:paraId="5239E7A2" w14:textId="77777777" w:rsidR="00E520E9" w:rsidRPr="001D3E95" w:rsidRDefault="000A2C22" w:rsidP="00D362CE">
            <w:pPr>
              <w:spacing w:before="100" w:beforeAutospacing="1" w:after="100" w:afterAutospacing="1"/>
              <w:ind w:left="81"/>
              <w:rPr>
                <w:rFonts w:eastAsia="Times New Roman"/>
                <w:sz w:val="24"/>
                <w:szCs w:val="24"/>
                <w:lang w:eastAsia="lv-LV"/>
              </w:rPr>
            </w:pPr>
            <w:r>
              <w:rPr>
                <w:rFonts w:eastAsia="Times New Roman"/>
                <w:sz w:val="24"/>
                <w:szCs w:val="24"/>
                <w:lang w:eastAsia="lv-LV"/>
              </w:rPr>
              <w:t>Projekta izpildes ietekme uz pārvaldes institucionālo struktūru.</w:t>
            </w:r>
          </w:p>
          <w:p w14:paraId="12780147" w14:textId="77777777" w:rsidR="00E520E9" w:rsidRPr="001D3E95" w:rsidRDefault="000A2C22" w:rsidP="00D362CE">
            <w:pPr>
              <w:spacing w:before="100" w:beforeAutospacing="1" w:after="100" w:afterAutospacing="1"/>
              <w:ind w:left="81"/>
              <w:rPr>
                <w:rFonts w:eastAsia="Times New Roman"/>
                <w:sz w:val="24"/>
                <w:szCs w:val="24"/>
                <w:lang w:eastAsia="lv-LV"/>
              </w:rPr>
            </w:pPr>
            <w:r>
              <w:rPr>
                <w:rFonts w:eastAsia="Times New Roman"/>
                <w:sz w:val="24"/>
                <w:szCs w:val="24"/>
                <w:lang w:eastAsia="lv-LV"/>
              </w:rPr>
              <w:t>Esošu institūciju reorganizācija</w:t>
            </w:r>
          </w:p>
        </w:tc>
        <w:tc>
          <w:tcPr>
            <w:tcW w:w="0" w:type="auto"/>
            <w:tcBorders>
              <w:top w:val="outset" w:sz="6" w:space="0" w:color="auto"/>
              <w:left w:val="outset" w:sz="6" w:space="0" w:color="auto"/>
              <w:bottom w:val="outset" w:sz="6" w:space="0" w:color="auto"/>
              <w:right w:val="outset" w:sz="6" w:space="0" w:color="auto"/>
            </w:tcBorders>
            <w:hideMark/>
          </w:tcPr>
          <w:p w14:paraId="20D5C8F3" w14:textId="77777777" w:rsidR="00E520E9" w:rsidRPr="001D3E95" w:rsidRDefault="000A2C22" w:rsidP="00277A78">
            <w:pPr>
              <w:spacing w:before="100" w:beforeAutospacing="1" w:after="100" w:afterAutospacing="1"/>
              <w:ind w:left="50"/>
              <w:rPr>
                <w:rFonts w:eastAsia="Times New Roman"/>
                <w:sz w:val="24"/>
                <w:szCs w:val="24"/>
                <w:lang w:eastAsia="lv-LV"/>
              </w:rPr>
            </w:pPr>
            <w:r>
              <w:rPr>
                <w:rFonts w:eastAsia="Times New Roman"/>
                <w:sz w:val="24"/>
                <w:szCs w:val="24"/>
                <w:lang w:eastAsia="lv-LV"/>
              </w:rPr>
              <w:t>Projekts šo jomu neskar</w:t>
            </w:r>
          </w:p>
        </w:tc>
      </w:tr>
      <w:tr w:rsidR="008B750E" w:rsidRPr="001D3E95" w14:paraId="4DBCA710" w14:textId="77777777" w:rsidTr="00AD3DBD">
        <w:trPr>
          <w:trHeight w:val="30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1B31E0" w14:textId="77777777" w:rsidR="00E520E9" w:rsidRPr="001D3E95" w:rsidRDefault="000A2C22" w:rsidP="00DE06E5">
            <w:pPr>
              <w:spacing w:before="100" w:beforeAutospacing="1" w:after="100" w:afterAutospacing="1"/>
              <w:rPr>
                <w:rFonts w:eastAsia="Times New Roman"/>
                <w:sz w:val="24"/>
                <w:szCs w:val="24"/>
                <w:lang w:eastAsia="lv-LV"/>
              </w:rPr>
            </w:pPr>
            <w:r>
              <w:rPr>
                <w:rFonts w:eastAsia="Times New Roman"/>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hideMark/>
          </w:tcPr>
          <w:p w14:paraId="4E5520E9" w14:textId="77777777" w:rsidR="00E520E9" w:rsidRPr="001D3E95" w:rsidRDefault="000A2C22" w:rsidP="00D362CE">
            <w:pPr>
              <w:spacing w:before="100" w:beforeAutospacing="1" w:after="100" w:afterAutospacing="1"/>
              <w:ind w:left="81"/>
              <w:rPr>
                <w:rFonts w:eastAsia="Times New Roman"/>
                <w:sz w:val="24"/>
                <w:szCs w:val="24"/>
                <w:lang w:eastAsia="lv-LV"/>
              </w:rPr>
            </w:pPr>
            <w:r>
              <w:rPr>
                <w:rFonts w:eastAsia="Times New Roman"/>
                <w:sz w:val="24"/>
                <w:szCs w:val="24"/>
                <w:lang w:eastAsia="lv-LV"/>
              </w:rPr>
              <w:t>Cita informācija</w:t>
            </w:r>
          </w:p>
        </w:tc>
        <w:tc>
          <w:tcPr>
            <w:tcW w:w="0" w:type="auto"/>
            <w:tcBorders>
              <w:top w:val="outset" w:sz="6" w:space="0" w:color="auto"/>
              <w:left w:val="outset" w:sz="6" w:space="0" w:color="auto"/>
              <w:bottom w:val="outset" w:sz="6" w:space="0" w:color="auto"/>
              <w:right w:val="outset" w:sz="6" w:space="0" w:color="auto"/>
            </w:tcBorders>
            <w:hideMark/>
          </w:tcPr>
          <w:p w14:paraId="32DC6FE0" w14:textId="77777777" w:rsidR="00E520E9" w:rsidRPr="001D3E95" w:rsidRDefault="000A2C22" w:rsidP="00FC7060">
            <w:pPr>
              <w:spacing w:before="100" w:beforeAutospacing="1" w:after="100" w:afterAutospacing="1"/>
              <w:rPr>
                <w:rFonts w:eastAsia="Times New Roman"/>
                <w:sz w:val="24"/>
                <w:szCs w:val="24"/>
                <w:lang w:eastAsia="lv-LV"/>
              </w:rPr>
            </w:pPr>
            <w:r>
              <w:rPr>
                <w:rFonts w:eastAsia="Times New Roman"/>
                <w:sz w:val="24"/>
                <w:szCs w:val="24"/>
                <w:lang w:eastAsia="lv-LV"/>
              </w:rPr>
              <w:t> Nav</w:t>
            </w:r>
          </w:p>
        </w:tc>
      </w:tr>
    </w:tbl>
    <w:p w14:paraId="5961DD9D" w14:textId="77777777" w:rsidR="00B4092F" w:rsidRPr="001D3E95" w:rsidRDefault="00B4092F" w:rsidP="00FC7060">
      <w:pPr>
        <w:pStyle w:val="BodyTextIndent"/>
        <w:ind w:firstLine="0"/>
        <w:rPr>
          <w:sz w:val="16"/>
          <w:szCs w:val="16"/>
          <w:lang w:eastAsia="lv-LV"/>
        </w:rPr>
      </w:pPr>
    </w:p>
    <w:p w14:paraId="1A7FB0D8" w14:textId="77777777" w:rsidR="007E2637" w:rsidRPr="001D3E95" w:rsidRDefault="007E2637" w:rsidP="00FC7060">
      <w:pPr>
        <w:pStyle w:val="BodyTextIndent"/>
        <w:ind w:firstLine="0"/>
        <w:rPr>
          <w:sz w:val="28"/>
          <w:szCs w:val="28"/>
          <w:lang w:eastAsia="lv-LV"/>
        </w:rPr>
      </w:pPr>
    </w:p>
    <w:p w14:paraId="2FB01C05" w14:textId="77777777" w:rsidR="00DD706F" w:rsidRPr="001D3E95" w:rsidRDefault="00DD706F" w:rsidP="00FC7060">
      <w:pPr>
        <w:pStyle w:val="BodyTextIndent"/>
        <w:ind w:firstLine="0"/>
        <w:rPr>
          <w:sz w:val="28"/>
          <w:szCs w:val="28"/>
          <w:lang w:eastAsia="lv-LV"/>
        </w:rPr>
      </w:pPr>
    </w:p>
    <w:p w14:paraId="122FC595" w14:textId="77777777" w:rsidR="00DD706F" w:rsidRPr="001D3E95" w:rsidRDefault="000A2C22" w:rsidP="00DD706F">
      <w:pPr>
        <w:tabs>
          <w:tab w:val="left" w:pos="6663"/>
        </w:tabs>
      </w:pPr>
      <w:r w:rsidRPr="00F50A10">
        <w:t>Anotācijas III, IV, V un VI sadaļa – projekts šīs jomas neskar.</w:t>
      </w:r>
    </w:p>
    <w:p w14:paraId="4DBBAFD5" w14:textId="77777777" w:rsidR="00DD706F" w:rsidRPr="001D3E95" w:rsidRDefault="00DD706F" w:rsidP="00FC7060">
      <w:pPr>
        <w:pStyle w:val="BodyTextIndent"/>
        <w:ind w:firstLine="0"/>
        <w:rPr>
          <w:sz w:val="28"/>
          <w:szCs w:val="28"/>
          <w:lang w:eastAsia="lv-LV"/>
        </w:rPr>
      </w:pPr>
    </w:p>
    <w:p w14:paraId="34555BE4" w14:textId="77777777" w:rsidR="007E2637" w:rsidRPr="001D3E95" w:rsidRDefault="007E2637" w:rsidP="00FC7060">
      <w:pPr>
        <w:pStyle w:val="BodyTextIndent"/>
        <w:ind w:firstLine="0"/>
        <w:rPr>
          <w:sz w:val="28"/>
          <w:szCs w:val="28"/>
          <w:lang w:eastAsia="lv-LV"/>
        </w:rPr>
      </w:pPr>
    </w:p>
    <w:p w14:paraId="49B307AE" w14:textId="77777777" w:rsidR="007E2637" w:rsidRPr="001D3E95" w:rsidRDefault="007E2637" w:rsidP="00FC7060">
      <w:pPr>
        <w:pStyle w:val="BodyTextIndent"/>
        <w:ind w:firstLine="0"/>
        <w:rPr>
          <w:sz w:val="28"/>
          <w:szCs w:val="28"/>
          <w:lang w:eastAsia="lv-LV"/>
        </w:rPr>
      </w:pPr>
    </w:p>
    <w:p w14:paraId="743A6D7B" w14:textId="77777777" w:rsidR="00C57195" w:rsidRPr="001D3E95" w:rsidRDefault="000A2C22" w:rsidP="00FC7060">
      <w:pPr>
        <w:pStyle w:val="BodyTextIndent"/>
        <w:ind w:firstLine="0"/>
        <w:rPr>
          <w:sz w:val="28"/>
          <w:szCs w:val="28"/>
          <w:lang w:eastAsia="lv-LV"/>
        </w:rPr>
      </w:pPr>
      <w:r>
        <w:rPr>
          <w:sz w:val="28"/>
          <w:szCs w:val="28"/>
          <w:lang w:eastAsia="lv-LV"/>
        </w:rPr>
        <w:t xml:space="preserve">Finanšu ministrs                                                                                      </w:t>
      </w:r>
      <w:proofErr w:type="spellStart"/>
      <w:r>
        <w:rPr>
          <w:sz w:val="28"/>
          <w:szCs w:val="28"/>
          <w:lang w:eastAsia="lv-LV"/>
        </w:rPr>
        <w:t>A.Vilks</w:t>
      </w:r>
      <w:proofErr w:type="spellEnd"/>
    </w:p>
    <w:p w14:paraId="00870EA2" w14:textId="77777777" w:rsidR="006B7EA1" w:rsidRPr="001D3E95" w:rsidRDefault="006B7EA1" w:rsidP="00FC7060">
      <w:pPr>
        <w:pStyle w:val="BodyTextIndent"/>
        <w:ind w:firstLine="0"/>
        <w:rPr>
          <w:sz w:val="18"/>
          <w:szCs w:val="18"/>
        </w:rPr>
      </w:pPr>
    </w:p>
    <w:p w14:paraId="58491592" w14:textId="77777777" w:rsidR="007E2637" w:rsidRPr="001D3E95" w:rsidRDefault="007E2637" w:rsidP="00E83893">
      <w:pPr>
        <w:pStyle w:val="BodyTextIndent"/>
        <w:ind w:firstLine="0"/>
        <w:rPr>
          <w:sz w:val="18"/>
          <w:szCs w:val="18"/>
        </w:rPr>
      </w:pPr>
    </w:p>
    <w:p w14:paraId="06CD6F24" w14:textId="77777777" w:rsidR="007E2637" w:rsidRPr="001D3E95" w:rsidRDefault="007E2637" w:rsidP="00E83893">
      <w:pPr>
        <w:pStyle w:val="BodyTextIndent"/>
        <w:ind w:firstLine="0"/>
        <w:rPr>
          <w:sz w:val="18"/>
          <w:szCs w:val="18"/>
        </w:rPr>
      </w:pPr>
    </w:p>
    <w:p w14:paraId="122D62A4" w14:textId="77777777" w:rsidR="00AC608F" w:rsidRPr="001D3E95" w:rsidRDefault="00AC608F" w:rsidP="00E83893">
      <w:pPr>
        <w:pStyle w:val="BodyTextIndent"/>
        <w:ind w:firstLine="0"/>
        <w:rPr>
          <w:sz w:val="18"/>
          <w:szCs w:val="18"/>
        </w:rPr>
      </w:pPr>
    </w:p>
    <w:p w14:paraId="722DE7A5" w14:textId="77777777" w:rsidR="00AC608F" w:rsidRPr="001D3E95" w:rsidRDefault="00AC608F" w:rsidP="00E83893">
      <w:pPr>
        <w:pStyle w:val="BodyTextIndent"/>
        <w:ind w:firstLine="0"/>
        <w:rPr>
          <w:sz w:val="18"/>
          <w:szCs w:val="18"/>
        </w:rPr>
      </w:pPr>
    </w:p>
    <w:p w14:paraId="661C9C60" w14:textId="77777777" w:rsidR="00AC608F" w:rsidRPr="001D3E95" w:rsidRDefault="00AC608F" w:rsidP="00E83893">
      <w:pPr>
        <w:pStyle w:val="BodyTextIndent"/>
        <w:ind w:firstLine="0"/>
        <w:rPr>
          <w:sz w:val="18"/>
          <w:szCs w:val="18"/>
        </w:rPr>
      </w:pPr>
    </w:p>
    <w:p w14:paraId="72A7FD64" w14:textId="77777777" w:rsidR="00AC608F" w:rsidRPr="001D3E95" w:rsidRDefault="00AC608F" w:rsidP="00E83893">
      <w:pPr>
        <w:pStyle w:val="BodyTextIndent"/>
        <w:ind w:firstLine="0"/>
        <w:rPr>
          <w:sz w:val="18"/>
          <w:szCs w:val="18"/>
        </w:rPr>
      </w:pPr>
    </w:p>
    <w:p w14:paraId="31B0E276" w14:textId="77777777" w:rsidR="00AC608F" w:rsidRPr="001D3E95" w:rsidRDefault="00AC608F" w:rsidP="00E83893">
      <w:pPr>
        <w:pStyle w:val="BodyTextIndent"/>
        <w:ind w:firstLine="0"/>
        <w:rPr>
          <w:sz w:val="18"/>
          <w:szCs w:val="18"/>
        </w:rPr>
      </w:pPr>
    </w:p>
    <w:p w14:paraId="69EC8987" w14:textId="77777777" w:rsidR="00AE7838" w:rsidRPr="001D3E95" w:rsidRDefault="00AE7838" w:rsidP="00E83893">
      <w:pPr>
        <w:pStyle w:val="BodyTextIndent"/>
        <w:ind w:firstLine="0"/>
        <w:rPr>
          <w:sz w:val="18"/>
          <w:szCs w:val="18"/>
        </w:rPr>
      </w:pPr>
    </w:p>
    <w:p w14:paraId="3264F6E1" w14:textId="73027CEB" w:rsidR="008B750E" w:rsidRPr="001D3E95" w:rsidRDefault="00254803" w:rsidP="008B750E">
      <w:pPr>
        <w:tabs>
          <w:tab w:val="center" w:pos="4535"/>
        </w:tabs>
        <w:ind w:hanging="142"/>
        <w:rPr>
          <w:sz w:val="24"/>
          <w:szCs w:val="24"/>
        </w:rPr>
      </w:pPr>
      <w:r>
        <w:rPr>
          <w:sz w:val="24"/>
          <w:szCs w:val="24"/>
        </w:rPr>
        <w:t>29</w:t>
      </w:r>
      <w:r w:rsidR="000A2C22">
        <w:rPr>
          <w:sz w:val="24"/>
          <w:szCs w:val="24"/>
        </w:rPr>
        <w:t>.</w:t>
      </w:r>
      <w:r w:rsidR="007E7F0E">
        <w:rPr>
          <w:sz w:val="24"/>
          <w:szCs w:val="24"/>
        </w:rPr>
        <w:t>05</w:t>
      </w:r>
      <w:r w:rsidR="000A2C22">
        <w:rPr>
          <w:sz w:val="24"/>
          <w:szCs w:val="24"/>
        </w:rPr>
        <w:t xml:space="preserve">.2013 </w:t>
      </w:r>
      <w:r>
        <w:rPr>
          <w:sz w:val="24"/>
          <w:szCs w:val="24"/>
        </w:rPr>
        <w:t>16</w:t>
      </w:r>
      <w:r w:rsidR="000A2C22">
        <w:rPr>
          <w:sz w:val="24"/>
          <w:szCs w:val="24"/>
        </w:rPr>
        <w:t>:</w:t>
      </w:r>
      <w:r>
        <w:rPr>
          <w:sz w:val="24"/>
          <w:szCs w:val="24"/>
        </w:rPr>
        <w:t>59</w:t>
      </w:r>
    </w:p>
    <w:p w14:paraId="665FF2B9" w14:textId="5CC11AE1" w:rsidR="008B750E" w:rsidRPr="001D3E95" w:rsidRDefault="00C53077" w:rsidP="008B750E">
      <w:pPr>
        <w:tabs>
          <w:tab w:val="center" w:pos="4535"/>
        </w:tabs>
        <w:ind w:hanging="142"/>
        <w:rPr>
          <w:sz w:val="24"/>
          <w:szCs w:val="24"/>
        </w:rPr>
      </w:pPr>
      <w:r>
        <w:rPr>
          <w:sz w:val="24"/>
          <w:szCs w:val="24"/>
        </w:rPr>
        <w:t>1452</w:t>
      </w:r>
    </w:p>
    <w:p w14:paraId="09EF8D02" w14:textId="77777777" w:rsidR="008B750E" w:rsidRPr="001D3E95" w:rsidRDefault="000A2C22" w:rsidP="008B750E">
      <w:pPr>
        <w:tabs>
          <w:tab w:val="center" w:pos="4535"/>
        </w:tabs>
        <w:ind w:hanging="142"/>
        <w:rPr>
          <w:sz w:val="24"/>
          <w:szCs w:val="24"/>
        </w:rPr>
      </w:pPr>
      <w:r>
        <w:rPr>
          <w:sz w:val="24"/>
          <w:szCs w:val="24"/>
        </w:rPr>
        <w:t>Roberts Auziņš</w:t>
      </w:r>
    </w:p>
    <w:p w14:paraId="46014B7C" w14:textId="77777777" w:rsidR="008B750E" w:rsidRPr="001D3E95" w:rsidRDefault="000A2C22" w:rsidP="008B750E">
      <w:pPr>
        <w:tabs>
          <w:tab w:val="center" w:pos="4535"/>
        </w:tabs>
        <w:ind w:hanging="142"/>
        <w:rPr>
          <w:sz w:val="24"/>
          <w:szCs w:val="24"/>
        </w:rPr>
      </w:pPr>
      <w:r>
        <w:rPr>
          <w:sz w:val="24"/>
          <w:szCs w:val="24"/>
        </w:rPr>
        <w:t>Finanšu ministrijas</w:t>
      </w:r>
    </w:p>
    <w:p w14:paraId="3AB9B202" w14:textId="77777777" w:rsidR="008B750E" w:rsidRPr="001D3E95" w:rsidRDefault="000A2C22" w:rsidP="008B750E">
      <w:pPr>
        <w:tabs>
          <w:tab w:val="center" w:pos="4535"/>
        </w:tabs>
        <w:ind w:hanging="142"/>
        <w:rPr>
          <w:sz w:val="24"/>
          <w:szCs w:val="24"/>
        </w:rPr>
      </w:pPr>
      <w:r>
        <w:rPr>
          <w:sz w:val="24"/>
          <w:szCs w:val="24"/>
        </w:rPr>
        <w:t>Nodokļu administrēšanas</w:t>
      </w:r>
    </w:p>
    <w:p w14:paraId="00EEC807" w14:textId="77777777" w:rsidR="008B750E" w:rsidRPr="001D3E95" w:rsidRDefault="000A2C22" w:rsidP="008B750E">
      <w:pPr>
        <w:tabs>
          <w:tab w:val="center" w:pos="4535"/>
        </w:tabs>
        <w:ind w:hanging="142"/>
        <w:rPr>
          <w:sz w:val="24"/>
          <w:szCs w:val="24"/>
        </w:rPr>
      </w:pPr>
      <w:r>
        <w:rPr>
          <w:sz w:val="24"/>
          <w:szCs w:val="24"/>
        </w:rPr>
        <w:t>un grāmatvedības politikas departamenta</w:t>
      </w:r>
    </w:p>
    <w:p w14:paraId="637C6B17" w14:textId="77777777" w:rsidR="008B750E" w:rsidRPr="001D3E95" w:rsidRDefault="000A2C22" w:rsidP="008B750E">
      <w:pPr>
        <w:tabs>
          <w:tab w:val="center" w:pos="4535"/>
        </w:tabs>
        <w:ind w:hanging="142"/>
        <w:rPr>
          <w:sz w:val="24"/>
          <w:szCs w:val="24"/>
        </w:rPr>
      </w:pPr>
      <w:r>
        <w:rPr>
          <w:sz w:val="24"/>
          <w:szCs w:val="24"/>
        </w:rPr>
        <w:t>Nodokļu administrēšanas politikas</w:t>
      </w:r>
    </w:p>
    <w:p w14:paraId="37253430" w14:textId="4BDBB579" w:rsidR="008B750E" w:rsidRPr="001D3E95" w:rsidRDefault="000A2C22" w:rsidP="008B750E">
      <w:pPr>
        <w:tabs>
          <w:tab w:val="center" w:pos="4535"/>
        </w:tabs>
        <w:ind w:hanging="142"/>
        <w:rPr>
          <w:sz w:val="24"/>
          <w:szCs w:val="24"/>
        </w:rPr>
      </w:pPr>
      <w:r>
        <w:rPr>
          <w:sz w:val="24"/>
          <w:szCs w:val="24"/>
        </w:rPr>
        <w:t xml:space="preserve">nodaļas vadītāja vietnieks </w:t>
      </w:r>
    </w:p>
    <w:p w14:paraId="294FEAC8" w14:textId="77311927" w:rsidR="008B750E" w:rsidRPr="008B750E" w:rsidRDefault="007E7F0E" w:rsidP="008B750E">
      <w:pPr>
        <w:tabs>
          <w:tab w:val="center" w:pos="4535"/>
        </w:tabs>
        <w:ind w:hanging="142"/>
        <w:jc w:val="both"/>
        <w:rPr>
          <w:sz w:val="24"/>
          <w:szCs w:val="24"/>
        </w:rPr>
      </w:pPr>
      <w:r>
        <w:rPr>
          <w:sz w:val="24"/>
          <w:szCs w:val="24"/>
        </w:rPr>
        <w:t xml:space="preserve">67083919 </w:t>
      </w:r>
      <w:hyperlink r:id="rId12" w:history="1">
        <w:r w:rsidR="000A2C22">
          <w:rPr>
            <w:rStyle w:val="Hyperlink"/>
            <w:sz w:val="24"/>
            <w:szCs w:val="24"/>
          </w:rPr>
          <w:t>Roberts.Auzins@fm.gov.lv</w:t>
        </w:r>
      </w:hyperlink>
    </w:p>
    <w:p w14:paraId="79EED039" w14:textId="77777777" w:rsidR="00807D07" w:rsidRPr="008B750E" w:rsidRDefault="00807D07" w:rsidP="008B750E">
      <w:pPr>
        <w:pStyle w:val="BodyTextIndent"/>
        <w:ind w:firstLine="0"/>
        <w:rPr>
          <w:sz w:val="24"/>
        </w:rPr>
      </w:pPr>
    </w:p>
    <w:sectPr w:rsidR="00807D07" w:rsidRPr="008B750E" w:rsidSect="0019637B">
      <w:headerReference w:type="default" r:id="rId13"/>
      <w:footerReference w:type="default" r:id="rId14"/>
      <w:footerReference w:type="first" r:id="rId15"/>
      <w:pgSz w:w="11906" w:h="16838"/>
      <w:pgMar w:top="1304" w:right="1134"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974D4" w14:textId="77777777" w:rsidR="001C7ED1" w:rsidRDefault="001C7ED1" w:rsidP="008125DD">
      <w:r>
        <w:separator/>
      </w:r>
    </w:p>
  </w:endnote>
  <w:endnote w:type="continuationSeparator" w:id="0">
    <w:p w14:paraId="42370CAD" w14:textId="77777777" w:rsidR="001C7ED1" w:rsidRDefault="001C7ED1" w:rsidP="0081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95F48" w14:textId="77777777" w:rsidR="002D4759" w:rsidRDefault="000A2C22" w:rsidP="003344E7">
    <w:pPr>
      <w:ind w:right="-766"/>
      <w:jc w:val="both"/>
    </w:pPr>
    <w:r>
      <w:rPr>
        <w:noProof/>
        <w:sz w:val="20"/>
        <w:szCs w:val="20"/>
      </w:rPr>
      <w:fldChar w:fldCharType="begin"/>
    </w:r>
    <w:r w:rsidR="002D4759" w:rsidRPr="00F30553">
      <w:rPr>
        <w:noProof/>
        <w:sz w:val="20"/>
        <w:szCs w:val="20"/>
      </w:rPr>
      <w:instrText xml:space="preserve"> FILENAME  \* MERGEFORMAT </w:instrText>
    </w:r>
    <w:r>
      <w:rPr>
        <w:noProof/>
        <w:sz w:val="20"/>
        <w:szCs w:val="20"/>
      </w:rPr>
      <w:fldChar w:fldCharType="separate"/>
    </w:r>
    <w:r w:rsidR="00972672">
      <w:rPr>
        <w:noProof/>
        <w:sz w:val="20"/>
        <w:szCs w:val="20"/>
      </w:rPr>
      <w:t>FMAnot_101012_PSP_riski</w:t>
    </w:r>
    <w:r>
      <w:rPr>
        <w:noProof/>
        <w:sz w:val="20"/>
        <w:szCs w:val="20"/>
      </w:rPr>
      <w:fldChar w:fldCharType="end"/>
    </w:r>
    <w:r w:rsidR="002D4759" w:rsidRPr="003C0970">
      <w:rPr>
        <w:noProof/>
        <w:sz w:val="20"/>
        <w:szCs w:val="20"/>
      </w:rPr>
      <w:t>;</w:t>
    </w:r>
    <w:r w:rsidR="002D4759" w:rsidRPr="003C0970">
      <w:rPr>
        <w:sz w:val="20"/>
        <w:szCs w:val="20"/>
      </w:rPr>
      <w:t xml:space="preserve"> </w:t>
    </w:r>
    <w:r w:rsidR="00972672" w:rsidRPr="00972672">
      <w:rPr>
        <w:sz w:val="20"/>
        <w:szCs w:val="20"/>
      </w:rPr>
      <w:t>Ministru kabineta noteikumu projekta "Grozījumi Ministru kabineta 2012.gada 26.jūnija noteikumos Nr.459 "Noteikumi par Padziļinātās sadarbības programmas darbību""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76E7" w14:textId="77777777" w:rsidR="002D4759" w:rsidRPr="00B12685" w:rsidRDefault="000A2C22" w:rsidP="00B12685">
    <w:pPr>
      <w:ind w:right="-766"/>
      <w:jc w:val="both"/>
    </w:pPr>
    <w:r>
      <w:rPr>
        <w:noProof/>
        <w:sz w:val="20"/>
        <w:szCs w:val="20"/>
      </w:rPr>
      <w:fldChar w:fldCharType="begin"/>
    </w:r>
    <w:r w:rsidR="002D4759" w:rsidRPr="00F30553">
      <w:rPr>
        <w:noProof/>
        <w:sz w:val="20"/>
        <w:szCs w:val="20"/>
      </w:rPr>
      <w:instrText xml:space="preserve"> FILENAME  \* MERGEFORMAT </w:instrText>
    </w:r>
    <w:r>
      <w:rPr>
        <w:noProof/>
        <w:sz w:val="20"/>
        <w:szCs w:val="20"/>
      </w:rPr>
      <w:fldChar w:fldCharType="separate"/>
    </w:r>
    <w:r w:rsidR="002D4759">
      <w:rPr>
        <w:noProof/>
        <w:sz w:val="20"/>
        <w:szCs w:val="20"/>
      </w:rPr>
      <w:t>FMAnot_190712_MK933groz</w:t>
    </w:r>
    <w:r>
      <w:rPr>
        <w:noProof/>
        <w:sz w:val="20"/>
        <w:szCs w:val="20"/>
      </w:rPr>
      <w:fldChar w:fldCharType="end"/>
    </w:r>
    <w:r w:rsidR="002D4759" w:rsidRPr="003C0970">
      <w:rPr>
        <w:noProof/>
        <w:sz w:val="20"/>
        <w:szCs w:val="20"/>
      </w:rPr>
      <w:t>;</w:t>
    </w:r>
    <w:r w:rsidR="002D4759" w:rsidRPr="003C0970">
      <w:rPr>
        <w:sz w:val="20"/>
        <w:szCs w:val="20"/>
      </w:rPr>
      <w:t xml:space="preserve"> </w:t>
    </w:r>
    <w:r w:rsidR="00972672" w:rsidRPr="00972672">
      <w:rPr>
        <w:sz w:val="20"/>
        <w:szCs w:val="20"/>
      </w:rPr>
      <w:t>Ministru kabineta noteikumu projekta "Grozījumi Ministru kabineta 2012.gada 26.jūnija noteikumos Nr.459 "Noteikumi par Padziļinātās sadarbības programmas darbību""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E4473" w14:textId="77777777" w:rsidR="001C7ED1" w:rsidRDefault="001C7ED1" w:rsidP="008125DD">
      <w:r>
        <w:separator/>
      </w:r>
    </w:p>
  </w:footnote>
  <w:footnote w:type="continuationSeparator" w:id="0">
    <w:p w14:paraId="0C8BF40A" w14:textId="77777777" w:rsidR="001C7ED1" w:rsidRDefault="001C7ED1" w:rsidP="00812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6B95C" w14:textId="77777777" w:rsidR="002D4759" w:rsidRDefault="000A2C22">
    <w:pPr>
      <w:pStyle w:val="Header"/>
      <w:jc w:val="center"/>
      <w:rPr>
        <w:sz w:val="20"/>
        <w:szCs w:val="20"/>
      </w:rPr>
    </w:pPr>
    <w:r w:rsidRPr="009C62E1">
      <w:rPr>
        <w:sz w:val="20"/>
        <w:szCs w:val="20"/>
      </w:rPr>
      <w:fldChar w:fldCharType="begin"/>
    </w:r>
    <w:r w:rsidR="002D4759" w:rsidRPr="009C62E1">
      <w:rPr>
        <w:sz w:val="20"/>
        <w:szCs w:val="20"/>
      </w:rPr>
      <w:instrText xml:space="preserve"> PAGE   \* MERGEFORMAT </w:instrText>
    </w:r>
    <w:r w:rsidRPr="009C62E1">
      <w:rPr>
        <w:sz w:val="20"/>
        <w:szCs w:val="20"/>
      </w:rPr>
      <w:fldChar w:fldCharType="separate"/>
    </w:r>
    <w:r w:rsidR="00167CCE">
      <w:rPr>
        <w:noProof/>
        <w:sz w:val="20"/>
        <w:szCs w:val="20"/>
      </w:rPr>
      <w:t>5</w:t>
    </w:r>
    <w:r w:rsidRPr="009C62E1">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B7E3D"/>
    <w:multiLevelType w:val="hybridMultilevel"/>
    <w:tmpl w:val="FD9CDCD6"/>
    <w:lvl w:ilvl="0" w:tplc="C14295B6">
      <w:start w:val="1"/>
      <w:numFmt w:val="bullet"/>
      <w:lvlText w:val="-"/>
      <w:lvlJc w:val="left"/>
      <w:pPr>
        <w:ind w:left="487" w:hanging="360"/>
      </w:pPr>
      <w:rPr>
        <w:rFonts w:ascii="Times New Roman" w:eastAsia="Calibri" w:hAnsi="Times New Roman" w:cs="Times New Roman" w:hint="default"/>
      </w:rPr>
    </w:lvl>
    <w:lvl w:ilvl="1" w:tplc="04260003" w:tentative="1">
      <w:start w:val="1"/>
      <w:numFmt w:val="bullet"/>
      <w:lvlText w:val="o"/>
      <w:lvlJc w:val="left"/>
      <w:pPr>
        <w:ind w:left="1207" w:hanging="360"/>
      </w:pPr>
      <w:rPr>
        <w:rFonts w:ascii="Courier New" w:hAnsi="Courier New" w:cs="Courier New" w:hint="default"/>
      </w:rPr>
    </w:lvl>
    <w:lvl w:ilvl="2" w:tplc="04260005" w:tentative="1">
      <w:start w:val="1"/>
      <w:numFmt w:val="bullet"/>
      <w:lvlText w:val=""/>
      <w:lvlJc w:val="left"/>
      <w:pPr>
        <w:ind w:left="1927" w:hanging="360"/>
      </w:pPr>
      <w:rPr>
        <w:rFonts w:ascii="Wingdings" w:hAnsi="Wingdings" w:hint="default"/>
      </w:rPr>
    </w:lvl>
    <w:lvl w:ilvl="3" w:tplc="04260001" w:tentative="1">
      <w:start w:val="1"/>
      <w:numFmt w:val="bullet"/>
      <w:lvlText w:val=""/>
      <w:lvlJc w:val="left"/>
      <w:pPr>
        <w:ind w:left="2647" w:hanging="360"/>
      </w:pPr>
      <w:rPr>
        <w:rFonts w:ascii="Symbol" w:hAnsi="Symbol" w:hint="default"/>
      </w:rPr>
    </w:lvl>
    <w:lvl w:ilvl="4" w:tplc="04260003" w:tentative="1">
      <w:start w:val="1"/>
      <w:numFmt w:val="bullet"/>
      <w:lvlText w:val="o"/>
      <w:lvlJc w:val="left"/>
      <w:pPr>
        <w:ind w:left="3367" w:hanging="360"/>
      </w:pPr>
      <w:rPr>
        <w:rFonts w:ascii="Courier New" w:hAnsi="Courier New" w:cs="Courier New" w:hint="default"/>
      </w:rPr>
    </w:lvl>
    <w:lvl w:ilvl="5" w:tplc="04260005" w:tentative="1">
      <w:start w:val="1"/>
      <w:numFmt w:val="bullet"/>
      <w:lvlText w:val=""/>
      <w:lvlJc w:val="left"/>
      <w:pPr>
        <w:ind w:left="4087" w:hanging="360"/>
      </w:pPr>
      <w:rPr>
        <w:rFonts w:ascii="Wingdings" w:hAnsi="Wingdings" w:hint="default"/>
      </w:rPr>
    </w:lvl>
    <w:lvl w:ilvl="6" w:tplc="04260001" w:tentative="1">
      <w:start w:val="1"/>
      <w:numFmt w:val="bullet"/>
      <w:lvlText w:val=""/>
      <w:lvlJc w:val="left"/>
      <w:pPr>
        <w:ind w:left="4807" w:hanging="360"/>
      </w:pPr>
      <w:rPr>
        <w:rFonts w:ascii="Symbol" w:hAnsi="Symbol" w:hint="default"/>
      </w:rPr>
    </w:lvl>
    <w:lvl w:ilvl="7" w:tplc="04260003" w:tentative="1">
      <w:start w:val="1"/>
      <w:numFmt w:val="bullet"/>
      <w:lvlText w:val="o"/>
      <w:lvlJc w:val="left"/>
      <w:pPr>
        <w:ind w:left="5527" w:hanging="360"/>
      </w:pPr>
      <w:rPr>
        <w:rFonts w:ascii="Courier New" w:hAnsi="Courier New" w:cs="Courier New" w:hint="default"/>
      </w:rPr>
    </w:lvl>
    <w:lvl w:ilvl="8" w:tplc="04260005" w:tentative="1">
      <w:start w:val="1"/>
      <w:numFmt w:val="bullet"/>
      <w:lvlText w:val=""/>
      <w:lvlJc w:val="left"/>
      <w:pPr>
        <w:ind w:left="6247" w:hanging="360"/>
      </w:pPr>
      <w:rPr>
        <w:rFonts w:ascii="Wingdings" w:hAnsi="Wingdings" w:hint="default"/>
      </w:rPr>
    </w:lvl>
  </w:abstractNum>
  <w:abstractNum w:abstractNumId="1">
    <w:nsid w:val="23C02E61"/>
    <w:multiLevelType w:val="hybridMultilevel"/>
    <w:tmpl w:val="1932F704"/>
    <w:lvl w:ilvl="0" w:tplc="04260001">
      <w:start w:val="1"/>
      <w:numFmt w:val="bullet"/>
      <w:lvlText w:val=""/>
      <w:lvlJc w:val="left"/>
      <w:pPr>
        <w:ind w:left="847" w:hanging="360"/>
      </w:pPr>
      <w:rPr>
        <w:rFonts w:ascii="Symbol" w:hAnsi="Symbol" w:hint="default"/>
      </w:rPr>
    </w:lvl>
    <w:lvl w:ilvl="1" w:tplc="04260003" w:tentative="1">
      <w:start w:val="1"/>
      <w:numFmt w:val="bullet"/>
      <w:lvlText w:val="o"/>
      <w:lvlJc w:val="left"/>
      <w:pPr>
        <w:ind w:left="1567" w:hanging="360"/>
      </w:pPr>
      <w:rPr>
        <w:rFonts w:ascii="Courier New" w:hAnsi="Courier New" w:cs="Courier New" w:hint="default"/>
      </w:rPr>
    </w:lvl>
    <w:lvl w:ilvl="2" w:tplc="04260005" w:tentative="1">
      <w:start w:val="1"/>
      <w:numFmt w:val="bullet"/>
      <w:lvlText w:val=""/>
      <w:lvlJc w:val="left"/>
      <w:pPr>
        <w:ind w:left="2287" w:hanging="360"/>
      </w:pPr>
      <w:rPr>
        <w:rFonts w:ascii="Wingdings" w:hAnsi="Wingdings" w:hint="default"/>
      </w:rPr>
    </w:lvl>
    <w:lvl w:ilvl="3" w:tplc="04260001" w:tentative="1">
      <w:start w:val="1"/>
      <w:numFmt w:val="bullet"/>
      <w:lvlText w:val=""/>
      <w:lvlJc w:val="left"/>
      <w:pPr>
        <w:ind w:left="3007" w:hanging="360"/>
      </w:pPr>
      <w:rPr>
        <w:rFonts w:ascii="Symbol" w:hAnsi="Symbol" w:hint="default"/>
      </w:rPr>
    </w:lvl>
    <w:lvl w:ilvl="4" w:tplc="04260003" w:tentative="1">
      <w:start w:val="1"/>
      <w:numFmt w:val="bullet"/>
      <w:lvlText w:val="o"/>
      <w:lvlJc w:val="left"/>
      <w:pPr>
        <w:ind w:left="3727" w:hanging="360"/>
      </w:pPr>
      <w:rPr>
        <w:rFonts w:ascii="Courier New" w:hAnsi="Courier New" w:cs="Courier New" w:hint="default"/>
      </w:rPr>
    </w:lvl>
    <w:lvl w:ilvl="5" w:tplc="04260005" w:tentative="1">
      <w:start w:val="1"/>
      <w:numFmt w:val="bullet"/>
      <w:lvlText w:val=""/>
      <w:lvlJc w:val="left"/>
      <w:pPr>
        <w:ind w:left="4447" w:hanging="360"/>
      </w:pPr>
      <w:rPr>
        <w:rFonts w:ascii="Wingdings" w:hAnsi="Wingdings" w:hint="default"/>
      </w:rPr>
    </w:lvl>
    <w:lvl w:ilvl="6" w:tplc="04260001" w:tentative="1">
      <w:start w:val="1"/>
      <w:numFmt w:val="bullet"/>
      <w:lvlText w:val=""/>
      <w:lvlJc w:val="left"/>
      <w:pPr>
        <w:ind w:left="5167" w:hanging="360"/>
      </w:pPr>
      <w:rPr>
        <w:rFonts w:ascii="Symbol" w:hAnsi="Symbol" w:hint="default"/>
      </w:rPr>
    </w:lvl>
    <w:lvl w:ilvl="7" w:tplc="04260003" w:tentative="1">
      <w:start w:val="1"/>
      <w:numFmt w:val="bullet"/>
      <w:lvlText w:val="o"/>
      <w:lvlJc w:val="left"/>
      <w:pPr>
        <w:ind w:left="5887" w:hanging="360"/>
      </w:pPr>
      <w:rPr>
        <w:rFonts w:ascii="Courier New" w:hAnsi="Courier New" w:cs="Courier New" w:hint="default"/>
      </w:rPr>
    </w:lvl>
    <w:lvl w:ilvl="8" w:tplc="04260005" w:tentative="1">
      <w:start w:val="1"/>
      <w:numFmt w:val="bullet"/>
      <w:lvlText w:val=""/>
      <w:lvlJc w:val="left"/>
      <w:pPr>
        <w:ind w:left="6607" w:hanging="360"/>
      </w:pPr>
      <w:rPr>
        <w:rFonts w:ascii="Wingdings" w:hAnsi="Wingdings" w:hint="default"/>
      </w:rPr>
    </w:lvl>
  </w:abstractNum>
  <w:abstractNum w:abstractNumId="2">
    <w:nsid w:val="25BD7E00"/>
    <w:multiLevelType w:val="hybridMultilevel"/>
    <w:tmpl w:val="B4E8B18E"/>
    <w:lvl w:ilvl="0" w:tplc="E3723B5C">
      <w:start w:val="2"/>
      <w:numFmt w:val="bullet"/>
      <w:lvlText w:val="-"/>
      <w:lvlJc w:val="left"/>
      <w:pPr>
        <w:ind w:left="496" w:hanging="360"/>
      </w:pPr>
      <w:rPr>
        <w:rFonts w:ascii="Times New Roman" w:eastAsia="Times New Roman" w:hAnsi="Times New Roman" w:cs="Times New Roman" w:hint="default"/>
      </w:rPr>
    </w:lvl>
    <w:lvl w:ilvl="1" w:tplc="04260003" w:tentative="1">
      <w:start w:val="1"/>
      <w:numFmt w:val="bullet"/>
      <w:lvlText w:val="o"/>
      <w:lvlJc w:val="left"/>
      <w:pPr>
        <w:ind w:left="1216" w:hanging="360"/>
      </w:pPr>
      <w:rPr>
        <w:rFonts w:ascii="Courier New" w:hAnsi="Courier New" w:cs="Courier New" w:hint="default"/>
      </w:rPr>
    </w:lvl>
    <w:lvl w:ilvl="2" w:tplc="04260005" w:tentative="1">
      <w:start w:val="1"/>
      <w:numFmt w:val="bullet"/>
      <w:lvlText w:val=""/>
      <w:lvlJc w:val="left"/>
      <w:pPr>
        <w:ind w:left="1936" w:hanging="360"/>
      </w:pPr>
      <w:rPr>
        <w:rFonts w:ascii="Wingdings" w:hAnsi="Wingdings" w:hint="default"/>
      </w:rPr>
    </w:lvl>
    <w:lvl w:ilvl="3" w:tplc="04260001" w:tentative="1">
      <w:start w:val="1"/>
      <w:numFmt w:val="bullet"/>
      <w:lvlText w:val=""/>
      <w:lvlJc w:val="left"/>
      <w:pPr>
        <w:ind w:left="2656" w:hanging="360"/>
      </w:pPr>
      <w:rPr>
        <w:rFonts w:ascii="Symbol" w:hAnsi="Symbol" w:hint="default"/>
      </w:rPr>
    </w:lvl>
    <w:lvl w:ilvl="4" w:tplc="04260003" w:tentative="1">
      <w:start w:val="1"/>
      <w:numFmt w:val="bullet"/>
      <w:lvlText w:val="o"/>
      <w:lvlJc w:val="left"/>
      <w:pPr>
        <w:ind w:left="3376" w:hanging="360"/>
      </w:pPr>
      <w:rPr>
        <w:rFonts w:ascii="Courier New" w:hAnsi="Courier New" w:cs="Courier New" w:hint="default"/>
      </w:rPr>
    </w:lvl>
    <w:lvl w:ilvl="5" w:tplc="04260005" w:tentative="1">
      <w:start w:val="1"/>
      <w:numFmt w:val="bullet"/>
      <w:lvlText w:val=""/>
      <w:lvlJc w:val="left"/>
      <w:pPr>
        <w:ind w:left="4096" w:hanging="360"/>
      </w:pPr>
      <w:rPr>
        <w:rFonts w:ascii="Wingdings" w:hAnsi="Wingdings" w:hint="default"/>
      </w:rPr>
    </w:lvl>
    <w:lvl w:ilvl="6" w:tplc="04260001" w:tentative="1">
      <w:start w:val="1"/>
      <w:numFmt w:val="bullet"/>
      <w:lvlText w:val=""/>
      <w:lvlJc w:val="left"/>
      <w:pPr>
        <w:ind w:left="4816" w:hanging="360"/>
      </w:pPr>
      <w:rPr>
        <w:rFonts w:ascii="Symbol" w:hAnsi="Symbol" w:hint="default"/>
      </w:rPr>
    </w:lvl>
    <w:lvl w:ilvl="7" w:tplc="04260003" w:tentative="1">
      <w:start w:val="1"/>
      <w:numFmt w:val="bullet"/>
      <w:lvlText w:val="o"/>
      <w:lvlJc w:val="left"/>
      <w:pPr>
        <w:ind w:left="5536" w:hanging="360"/>
      </w:pPr>
      <w:rPr>
        <w:rFonts w:ascii="Courier New" w:hAnsi="Courier New" w:cs="Courier New" w:hint="default"/>
      </w:rPr>
    </w:lvl>
    <w:lvl w:ilvl="8" w:tplc="04260005" w:tentative="1">
      <w:start w:val="1"/>
      <w:numFmt w:val="bullet"/>
      <w:lvlText w:val=""/>
      <w:lvlJc w:val="left"/>
      <w:pPr>
        <w:ind w:left="6256" w:hanging="360"/>
      </w:pPr>
      <w:rPr>
        <w:rFonts w:ascii="Wingdings" w:hAnsi="Wingdings" w:hint="default"/>
      </w:rPr>
    </w:lvl>
  </w:abstractNum>
  <w:abstractNum w:abstractNumId="3">
    <w:nsid w:val="28B73F03"/>
    <w:multiLevelType w:val="hybridMultilevel"/>
    <w:tmpl w:val="4CB40EAE"/>
    <w:lvl w:ilvl="0" w:tplc="04260001">
      <w:start w:val="1"/>
      <w:numFmt w:val="bullet"/>
      <w:lvlText w:val=""/>
      <w:lvlJc w:val="left"/>
      <w:pPr>
        <w:ind w:left="910" w:hanging="360"/>
      </w:pPr>
      <w:rPr>
        <w:rFonts w:ascii="Symbol" w:hAnsi="Symbol" w:hint="default"/>
      </w:rPr>
    </w:lvl>
    <w:lvl w:ilvl="1" w:tplc="04260003" w:tentative="1">
      <w:start w:val="1"/>
      <w:numFmt w:val="bullet"/>
      <w:lvlText w:val="o"/>
      <w:lvlJc w:val="left"/>
      <w:pPr>
        <w:ind w:left="1630" w:hanging="360"/>
      </w:pPr>
      <w:rPr>
        <w:rFonts w:ascii="Courier New" w:hAnsi="Courier New" w:cs="Courier New" w:hint="default"/>
      </w:rPr>
    </w:lvl>
    <w:lvl w:ilvl="2" w:tplc="04260005" w:tentative="1">
      <w:start w:val="1"/>
      <w:numFmt w:val="bullet"/>
      <w:lvlText w:val=""/>
      <w:lvlJc w:val="left"/>
      <w:pPr>
        <w:ind w:left="2350" w:hanging="360"/>
      </w:pPr>
      <w:rPr>
        <w:rFonts w:ascii="Wingdings" w:hAnsi="Wingdings" w:hint="default"/>
      </w:rPr>
    </w:lvl>
    <w:lvl w:ilvl="3" w:tplc="04260001" w:tentative="1">
      <w:start w:val="1"/>
      <w:numFmt w:val="bullet"/>
      <w:lvlText w:val=""/>
      <w:lvlJc w:val="left"/>
      <w:pPr>
        <w:ind w:left="3070" w:hanging="360"/>
      </w:pPr>
      <w:rPr>
        <w:rFonts w:ascii="Symbol" w:hAnsi="Symbol" w:hint="default"/>
      </w:rPr>
    </w:lvl>
    <w:lvl w:ilvl="4" w:tplc="04260003" w:tentative="1">
      <w:start w:val="1"/>
      <w:numFmt w:val="bullet"/>
      <w:lvlText w:val="o"/>
      <w:lvlJc w:val="left"/>
      <w:pPr>
        <w:ind w:left="3790" w:hanging="360"/>
      </w:pPr>
      <w:rPr>
        <w:rFonts w:ascii="Courier New" w:hAnsi="Courier New" w:cs="Courier New" w:hint="default"/>
      </w:rPr>
    </w:lvl>
    <w:lvl w:ilvl="5" w:tplc="04260005" w:tentative="1">
      <w:start w:val="1"/>
      <w:numFmt w:val="bullet"/>
      <w:lvlText w:val=""/>
      <w:lvlJc w:val="left"/>
      <w:pPr>
        <w:ind w:left="4510" w:hanging="360"/>
      </w:pPr>
      <w:rPr>
        <w:rFonts w:ascii="Wingdings" w:hAnsi="Wingdings" w:hint="default"/>
      </w:rPr>
    </w:lvl>
    <w:lvl w:ilvl="6" w:tplc="04260001" w:tentative="1">
      <w:start w:val="1"/>
      <w:numFmt w:val="bullet"/>
      <w:lvlText w:val=""/>
      <w:lvlJc w:val="left"/>
      <w:pPr>
        <w:ind w:left="5230" w:hanging="360"/>
      </w:pPr>
      <w:rPr>
        <w:rFonts w:ascii="Symbol" w:hAnsi="Symbol" w:hint="default"/>
      </w:rPr>
    </w:lvl>
    <w:lvl w:ilvl="7" w:tplc="04260003" w:tentative="1">
      <w:start w:val="1"/>
      <w:numFmt w:val="bullet"/>
      <w:lvlText w:val="o"/>
      <w:lvlJc w:val="left"/>
      <w:pPr>
        <w:ind w:left="5950" w:hanging="360"/>
      </w:pPr>
      <w:rPr>
        <w:rFonts w:ascii="Courier New" w:hAnsi="Courier New" w:cs="Courier New" w:hint="default"/>
      </w:rPr>
    </w:lvl>
    <w:lvl w:ilvl="8" w:tplc="04260005" w:tentative="1">
      <w:start w:val="1"/>
      <w:numFmt w:val="bullet"/>
      <w:lvlText w:val=""/>
      <w:lvlJc w:val="left"/>
      <w:pPr>
        <w:ind w:left="6670" w:hanging="360"/>
      </w:pPr>
      <w:rPr>
        <w:rFonts w:ascii="Wingdings" w:hAnsi="Wingdings" w:hint="default"/>
      </w:rPr>
    </w:lvl>
  </w:abstractNum>
  <w:abstractNum w:abstractNumId="4">
    <w:nsid w:val="29DD3167"/>
    <w:multiLevelType w:val="hybridMultilevel"/>
    <w:tmpl w:val="90FA6A2E"/>
    <w:lvl w:ilvl="0" w:tplc="135E82D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5">
    <w:nsid w:val="2E105DDB"/>
    <w:multiLevelType w:val="hybridMultilevel"/>
    <w:tmpl w:val="459240D0"/>
    <w:lvl w:ilvl="0" w:tplc="04260001">
      <w:start w:val="1"/>
      <w:numFmt w:val="bullet"/>
      <w:lvlText w:val=""/>
      <w:lvlJc w:val="left"/>
      <w:pPr>
        <w:ind w:left="1392" w:hanging="360"/>
      </w:pPr>
      <w:rPr>
        <w:rFonts w:ascii="Symbol" w:hAnsi="Symbol" w:hint="default"/>
      </w:rPr>
    </w:lvl>
    <w:lvl w:ilvl="1" w:tplc="04260003" w:tentative="1">
      <w:start w:val="1"/>
      <w:numFmt w:val="bullet"/>
      <w:lvlText w:val="o"/>
      <w:lvlJc w:val="left"/>
      <w:pPr>
        <w:ind w:left="2112" w:hanging="360"/>
      </w:pPr>
      <w:rPr>
        <w:rFonts w:ascii="Courier New" w:hAnsi="Courier New" w:cs="Courier New" w:hint="default"/>
      </w:rPr>
    </w:lvl>
    <w:lvl w:ilvl="2" w:tplc="04260005" w:tentative="1">
      <w:start w:val="1"/>
      <w:numFmt w:val="bullet"/>
      <w:lvlText w:val=""/>
      <w:lvlJc w:val="left"/>
      <w:pPr>
        <w:ind w:left="2832" w:hanging="360"/>
      </w:pPr>
      <w:rPr>
        <w:rFonts w:ascii="Wingdings" w:hAnsi="Wingdings" w:hint="default"/>
      </w:rPr>
    </w:lvl>
    <w:lvl w:ilvl="3" w:tplc="04260001" w:tentative="1">
      <w:start w:val="1"/>
      <w:numFmt w:val="bullet"/>
      <w:lvlText w:val=""/>
      <w:lvlJc w:val="left"/>
      <w:pPr>
        <w:ind w:left="3552" w:hanging="360"/>
      </w:pPr>
      <w:rPr>
        <w:rFonts w:ascii="Symbol" w:hAnsi="Symbol" w:hint="default"/>
      </w:rPr>
    </w:lvl>
    <w:lvl w:ilvl="4" w:tplc="04260003" w:tentative="1">
      <w:start w:val="1"/>
      <w:numFmt w:val="bullet"/>
      <w:lvlText w:val="o"/>
      <w:lvlJc w:val="left"/>
      <w:pPr>
        <w:ind w:left="4272" w:hanging="360"/>
      </w:pPr>
      <w:rPr>
        <w:rFonts w:ascii="Courier New" w:hAnsi="Courier New" w:cs="Courier New" w:hint="default"/>
      </w:rPr>
    </w:lvl>
    <w:lvl w:ilvl="5" w:tplc="04260005" w:tentative="1">
      <w:start w:val="1"/>
      <w:numFmt w:val="bullet"/>
      <w:lvlText w:val=""/>
      <w:lvlJc w:val="left"/>
      <w:pPr>
        <w:ind w:left="4992" w:hanging="360"/>
      </w:pPr>
      <w:rPr>
        <w:rFonts w:ascii="Wingdings" w:hAnsi="Wingdings" w:hint="default"/>
      </w:rPr>
    </w:lvl>
    <w:lvl w:ilvl="6" w:tplc="04260001" w:tentative="1">
      <w:start w:val="1"/>
      <w:numFmt w:val="bullet"/>
      <w:lvlText w:val=""/>
      <w:lvlJc w:val="left"/>
      <w:pPr>
        <w:ind w:left="5712" w:hanging="360"/>
      </w:pPr>
      <w:rPr>
        <w:rFonts w:ascii="Symbol" w:hAnsi="Symbol" w:hint="default"/>
      </w:rPr>
    </w:lvl>
    <w:lvl w:ilvl="7" w:tplc="04260003" w:tentative="1">
      <w:start w:val="1"/>
      <w:numFmt w:val="bullet"/>
      <w:lvlText w:val="o"/>
      <w:lvlJc w:val="left"/>
      <w:pPr>
        <w:ind w:left="6432" w:hanging="360"/>
      </w:pPr>
      <w:rPr>
        <w:rFonts w:ascii="Courier New" w:hAnsi="Courier New" w:cs="Courier New" w:hint="default"/>
      </w:rPr>
    </w:lvl>
    <w:lvl w:ilvl="8" w:tplc="04260005" w:tentative="1">
      <w:start w:val="1"/>
      <w:numFmt w:val="bullet"/>
      <w:lvlText w:val=""/>
      <w:lvlJc w:val="left"/>
      <w:pPr>
        <w:ind w:left="7152" w:hanging="360"/>
      </w:pPr>
      <w:rPr>
        <w:rFonts w:ascii="Wingdings" w:hAnsi="Wingdings" w:hint="default"/>
      </w:rPr>
    </w:lvl>
  </w:abstractNum>
  <w:abstractNum w:abstractNumId="6">
    <w:nsid w:val="369067D9"/>
    <w:multiLevelType w:val="hybridMultilevel"/>
    <w:tmpl w:val="171AAB60"/>
    <w:lvl w:ilvl="0" w:tplc="04260001">
      <w:start w:val="1"/>
      <w:numFmt w:val="bullet"/>
      <w:lvlText w:val=""/>
      <w:lvlJc w:val="left"/>
      <w:pPr>
        <w:tabs>
          <w:tab w:val="num" w:pos="1440"/>
        </w:tabs>
        <w:ind w:left="1440" w:hanging="360"/>
      </w:pPr>
      <w:rPr>
        <w:rFonts w:ascii="Symbol" w:hAnsi="Symbol" w:hint="default"/>
      </w:rPr>
    </w:lvl>
    <w:lvl w:ilvl="1" w:tplc="65EEB460">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3B1C5802"/>
    <w:multiLevelType w:val="hybridMultilevel"/>
    <w:tmpl w:val="208E699C"/>
    <w:lvl w:ilvl="0" w:tplc="EB862B44">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nsid w:val="3E3542F0"/>
    <w:multiLevelType w:val="hybridMultilevel"/>
    <w:tmpl w:val="C73E0D50"/>
    <w:lvl w:ilvl="0" w:tplc="1B4C862A">
      <w:start w:val="1"/>
      <w:numFmt w:val="bullet"/>
      <w:lvlText w:val=""/>
      <w:lvlJc w:val="left"/>
      <w:pPr>
        <w:tabs>
          <w:tab w:val="num" w:pos="847"/>
        </w:tabs>
        <w:ind w:left="847" w:hanging="360"/>
      </w:pPr>
      <w:rPr>
        <w:rFonts w:ascii="Symbol" w:hAnsi="Symbol" w:hint="default"/>
        <w:color w:val="auto"/>
      </w:rPr>
    </w:lvl>
    <w:lvl w:ilvl="1" w:tplc="04260003" w:tentative="1">
      <w:start w:val="1"/>
      <w:numFmt w:val="bullet"/>
      <w:lvlText w:val="o"/>
      <w:lvlJc w:val="left"/>
      <w:pPr>
        <w:tabs>
          <w:tab w:val="num" w:pos="1567"/>
        </w:tabs>
        <w:ind w:left="1567" w:hanging="360"/>
      </w:pPr>
      <w:rPr>
        <w:rFonts w:ascii="Courier New" w:hAnsi="Courier New" w:cs="Courier New" w:hint="default"/>
      </w:rPr>
    </w:lvl>
    <w:lvl w:ilvl="2" w:tplc="04260005" w:tentative="1">
      <w:start w:val="1"/>
      <w:numFmt w:val="bullet"/>
      <w:lvlText w:val=""/>
      <w:lvlJc w:val="left"/>
      <w:pPr>
        <w:tabs>
          <w:tab w:val="num" w:pos="2287"/>
        </w:tabs>
        <w:ind w:left="2287" w:hanging="360"/>
      </w:pPr>
      <w:rPr>
        <w:rFonts w:ascii="Wingdings" w:hAnsi="Wingdings" w:hint="default"/>
      </w:rPr>
    </w:lvl>
    <w:lvl w:ilvl="3" w:tplc="04260001" w:tentative="1">
      <w:start w:val="1"/>
      <w:numFmt w:val="bullet"/>
      <w:lvlText w:val=""/>
      <w:lvlJc w:val="left"/>
      <w:pPr>
        <w:tabs>
          <w:tab w:val="num" w:pos="3007"/>
        </w:tabs>
        <w:ind w:left="3007" w:hanging="360"/>
      </w:pPr>
      <w:rPr>
        <w:rFonts w:ascii="Symbol" w:hAnsi="Symbol" w:hint="default"/>
      </w:rPr>
    </w:lvl>
    <w:lvl w:ilvl="4" w:tplc="04260003" w:tentative="1">
      <w:start w:val="1"/>
      <w:numFmt w:val="bullet"/>
      <w:lvlText w:val="o"/>
      <w:lvlJc w:val="left"/>
      <w:pPr>
        <w:tabs>
          <w:tab w:val="num" w:pos="3727"/>
        </w:tabs>
        <w:ind w:left="3727" w:hanging="360"/>
      </w:pPr>
      <w:rPr>
        <w:rFonts w:ascii="Courier New" w:hAnsi="Courier New" w:cs="Courier New" w:hint="default"/>
      </w:rPr>
    </w:lvl>
    <w:lvl w:ilvl="5" w:tplc="04260005" w:tentative="1">
      <w:start w:val="1"/>
      <w:numFmt w:val="bullet"/>
      <w:lvlText w:val=""/>
      <w:lvlJc w:val="left"/>
      <w:pPr>
        <w:tabs>
          <w:tab w:val="num" w:pos="4447"/>
        </w:tabs>
        <w:ind w:left="4447" w:hanging="360"/>
      </w:pPr>
      <w:rPr>
        <w:rFonts w:ascii="Wingdings" w:hAnsi="Wingdings" w:hint="default"/>
      </w:rPr>
    </w:lvl>
    <w:lvl w:ilvl="6" w:tplc="04260001" w:tentative="1">
      <w:start w:val="1"/>
      <w:numFmt w:val="bullet"/>
      <w:lvlText w:val=""/>
      <w:lvlJc w:val="left"/>
      <w:pPr>
        <w:tabs>
          <w:tab w:val="num" w:pos="5167"/>
        </w:tabs>
        <w:ind w:left="5167" w:hanging="360"/>
      </w:pPr>
      <w:rPr>
        <w:rFonts w:ascii="Symbol" w:hAnsi="Symbol" w:hint="default"/>
      </w:rPr>
    </w:lvl>
    <w:lvl w:ilvl="7" w:tplc="04260003" w:tentative="1">
      <w:start w:val="1"/>
      <w:numFmt w:val="bullet"/>
      <w:lvlText w:val="o"/>
      <w:lvlJc w:val="left"/>
      <w:pPr>
        <w:tabs>
          <w:tab w:val="num" w:pos="5887"/>
        </w:tabs>
        <w:ind w:left="5887" w:hanging="360"/>
      </w:pPr>
      <w:rPr>
        <w:rFonts w:ascii="Courier New" w:hAnsi="Courier New" w:cs="Courier New" w:hint="default"/>
      </w:rPr>
    </w:lvl>
    <w:lvl w:ilvl="8" w:tplc="04260005" w:tentative="1">
      <w:start w:val="1"/>
      <w:numFmt w:val="bullet"/>
      <w:lvlText w:val=""/>
      <w:lvlJc w:val="left"/>
      <w:pPr>
        <w:tabs>
          <w:tab w:val="num" w:pos="6607"/>
        </w:tabs>
        <w:ind w:left="6607" w:hanging="360"/>
      </w:pPr>
      <w:rPr>
        <w:rFonts w:ascii="Wingdings" w:hAnsi="Wingdings" w:hint="default"/>
      </w:rPr>
    </w:lvl>
  </w:abstractNum>
  <w:abstractNum w:abstractNumId="9">
    <w:nsid w:val="3F486019"/>
    <w:multiLevelType w:val="hybridMultilevel"/>
    <w:tmpl w:val="DDD85E1A"/>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0">
    <w:nsid w:val="411E569A"/>
    <w:multiLevelType w:val="hybridMultilevel"/>
    <w:tmpl w:val="401A7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87F6A2B"/>
    <w:multiLevelType w:val="hybridMultilevel"/>
    <w:tmpl w:val="FC9EE3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92B3DF3"/>
    <w:multiLevelType w:val="hybridMultilevel"/>
    <w:tmpl w:val="D19A9960"/>
    <w:lvl w:ilvl="0" w:tplc="F87A069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3">
    <w:nsid w:val="49F21498"/>
    <w:multiLevelType w:val="hybridMultilevel"/>
    <w:tmpl w:val="F8FC7258"/>
    <w:lvl w:ilvl="0" w:tplc="3A843C2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4">
    <w:nsid w:val="4D0D2EC7"/>
    <w:multiLevelType w:val="hybridMultilevel"/>
    <w:tmpl w:val="3CA25C02"/>
    <w:lvl w:ilvl="0" w:tplc="04260001">
      <w:start w:val="1"/>
      <w:numFmt w:val="bullet"/>
      <w:lvlText w:val=""/>
      <w:lvlJc w:val="left"/>
      <w:pPr>
        <w:ind w:left="394" w:hanging="360"/>
      </w:pPr>
      <w:rPr>
        <w:rFonts w:ascii="Symbol" w:hAnsi="Symbol"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5">
    <w:nsid w:val="4FDC6380"/>
    <w:multiLevelType w:val="hybridMultilevel"/>
    <w:tmpl w:val="EB603ED4"/>
    <w:lvl w:ilvl="0" w:tplc="04260001">
      <w:start w:val="1"/>
      <w:numFmt w:val="bullet"/>
      <w:lvlText w:val=""/>
      <w:lvlJc w:val="left"/>
      <w:pPr>
        <w:tabs>
          <w:tab w:val="num" w:pos="1131"/>
        </w:tabs>
        <w:ind w:left="1131" w:hanging="360"/>
      </w:pPr>
      <w:rPr>
        <w:rFonts w:ascii="Symbol" w:hAnsi="Symbol" w:hint="default"/>
      </w:rPr>
    </w:lvl>
    <w:lvl w:ilvl="1" w:tplc="04260003" w:tentative="1">
      <w:start w:val="1"/>
      <w:numFmt w:val="bullet"/>
      <w:lvlText w:val="o"/>
      <w:lvlJc w:val="left"/>
      <w:pPr>
        <w:ind w:left="1851" w:hanging="360"/>
      </w:pPr>
      <w:rPr>
        <w:rFonts w:ascii="Courier New" w:hAnsi="Courier New" w:cs="Courier New" w:hint="default"/>
      </w:rPr>
    </w:lvl>
    <w:lvl w:ilvl="2" w:tplc="04260005" w:tentative="1">
      <w:start w:val="1"/>
      <w:numFmt w:val="bullet"/>
      <w:lvlText w:val=""/>
      <w:lvlJc w:val="left"/>
      <w:pPr>
        <w:ind w:left="2571" w:hanging="360"/>
      </w:pPr>
      <w:rPr>
        <w:rFonts w:ascii="Wingdings" w:hAnsi="Wingdings" w:hint="default"/>
      </w:rPr>
    </w:lvl>
    <w:lvl w:ilvl="3" w:tplc="04260001" w:tentative="1">
      <w:start w:val="1"/>
      <w:numFmt w:val="bullet"/>
      <w:lvlText w:val=""/>
      <w:lvlJc w:val="left"/>
      <w:pPr>
        <w:ind w:left="3291" w:hanging="360"/>
      </w:pPr>
      <w:rPr>
        <w:rFonts w:ascii="Symbol" w:hAnsi="Symbol" w:hint="default"/>
      </w:rPr>
    </w:lvl>
    <w:lvl w:ilvl="4" w:tplc="04260003" w:tentative="1">
      <w:start w:val="1"/>
      <w:numFmt w:val="bullet"/>
      <w:lvlText w:val="o"/>
      <w:lvlJc w:val="left"/>
      <w:pPr>
        <w:ind w:left="4011" w:hanging="360"/>
      </w:pPr>
      <w:rPr>
        <w:rFonts w:ascii="Courier New" w:hAnsi="Courier New" w:cs="Courier New" w:hint="default"/>
      </w:rPr>
    </w:lvl>
    <w:lvl w:ilvl="5" w:tplc="04260005" w:tentative="1">
      <w:start w:val="1"/>
      <w:numFmt w:val="bullet"/>
      <w:lvlText w:val=""/>
      <w:lvlJc w:val="left"/>
      <w:pPr>
        <w:ind w:left="4731" w:hanging="360"/>
      </w:pPr>
      <w:rPr>
        <w:rFonts w:ascii="Wingdings" w:hAnsi="Wingdings" w:hint="default"/>
      </w:rPr>
    </w:lvl>
    <w:lvl w:ilvl="6" w:tplc="04260001" w:tentative="1">
      <w:start w:val="1"/>
      <w:numFmt w:val="bullet"/>
      <w:lvlText w:val=""/>
      <w:lvlJc w:val="left"/>
      <w:pPr>
        <w:ind w:left="5451" w:hanging="360"/>
      </w:pPr>
      <w:rPr>
        <w:rFonts w:ascii="Symbol" w:hAnsi="Symbol" w:hint="default"/>
      </w:rPr>
    </w:lvl>
    <w:lvl w:ilvl="7" w:tplc="04260003" w:tentative="1">
      <w:start w:val="1"/>
      <w:numFmt w:val="bullet"/>
      <w:lvlText w:val="o"/>
      <w:lvlJc w:val="left"/>
      <w:pPr>
        <w:ind w:left="6171" w:hanging="360"/>
      </w:pPr>
      <w:rPr>
        <w:rFonts w:ascii="Courier New" w:hAnsi="Courier New" w:cs="Courier New" w:hint="default"/>
      </w:rPr>
    </w:lvl>
    <w:lvl w:ilvl="8" w:tplc="04260005" w:tentative="1">
      <w:start w:val="1"/>
      <w:numFmt w:val="bullet"/>
      <w:lvlText w:val=""/>
      <w:lvlJc w:val="left"/>
      <w:pPr>
        <w:ind w:left="6891" w:hanging="360"/>
      </w:pPr>
      <w:rPr>
        <w:rFonts w:ascii="Wingdings" w:hAnsi="Wingdings" w:hint="default"/>
      </w:rPr>
    </w:lvl>
  </w:abstractNum>
  <w:abstractNum w:abstractNumId="16">
    <w:nsid w:val="5F47729F"/>
    <w:multiLevelType w:val="hybridMultilevel"/>
    <w:tmpl w:val="DC6489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624F2A35"/>
    <w:multiLevelType w:val="hybridMultilevel"/>
    <w:tmpl w:val="CF6ABE6A"/>
    <w:lvl w:ilvl="0" w:tplc="92D2073C">
      <w:start w:val="1"/>
      <w:numFmt w:val="decimal"/>
      <w:lvlText w:val="%1)"/>
      <w:lvlJc w:val="left"/>
      <w:pPr>
        <w:ind w:left="696" w:hanging="57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8">
    <w:nsid w:val="653F5EFB"/>
    <w:multiLevelType w:val="hybridMultilevel"/>
    <w:tmpl w:val="0D24A0CE"/>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9">
    <w:nsid w:val="68460192"/>
    <w:multiLevelType w:val="hybridMultilevel"/>
    <w:tmpl w:val="A0160E62"/>
    <w:lvl w:ilvl="0" w:tplc="8946C4BA">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6B904FFA"/>
    <w:multiLevelType w:val="hybridMultilevel"/>
    <w:tmpl w:val="6DCA6D3E"/>
    <w:lvl w:ilvl="0" w:tplc="0BE0F408">
      <w:start w:val="7"/>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1">
    <w:nsid w:val="70E434B4"/>
    <w:multiLevelType w:val="hybridMultilevel"/>
    <w:tmpl w:val="1DC0C30A"/>
    <w:lvl w:ilvl="0" w:tplc="EABA7D5E">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1" w:tplc="04260019" w:tentative="1">
      <w:start w:val="1"/>
      <w:numFmt w:val="lowerLetter"/>
      <w:lvlText w:val="%2."/>
      <w:lvlJc w:val="left"/>
      <w:pPr>
        <w:ind w:left="-696" w:hanging="360"/>
      </w:pPr>
    </w:lvl>
    <w:lvl w:ilvl="2" w:tplc="0426001B" w:tentative="1">
      <w:start w:val="1"/>
      <w:numFmt w:val="lowerRoman"/>
      <w:lvlText w:val="%3."/>
      <w:lvlJc w:val="right"/>
      <w:pPr>
        <w:ind w:left="24" w:hanging="180"/>
      </w:pPr>
    </w:lvl>
    <w:lvl w:ilvl="3" w:tplc="0426000F" w:tentative="1">
      <w:start w:val="1"/>
      <w:numFmt w:val="decimal"/>
      <w:lvlText w:val="%4."/>
      <w:lvlJc w:val="left"/>
      <w:pPr>
        <w:ind w:left="744" w:hanging="360"/>
      </w:pPr>
    </w:lvl>
    <w:lvl w:ilvl="4" w:tplc="04260019" w:tentative="1">
      <w:start w:val="1"/>
      <w:numFmt w:val="lowerLetter"/>
      <w:lvlText w:val="%5."/>
      <w:lvlJc w:val="left"/>
      <w:pPr>
        <w:ind w:left="1464" w:hanging="360"/>
      </w:pPr>
    </w:lvl>
    <w:lvl w:ilvl="5" w:tplc="0426001B" w:tentative="1">
      <w:start w:val="1"/>
      <w:numFmt w:val="lowerRoman"/>
      <w:lvlText w:val="%6."/>
      <w:lvlJc w:val="right"/>
      <w:pPr>
        <w:ind w:left="2184" w:hanging="180"/>
      </w:pPr>
    </w:lvl>
    <w:lvl w:ilvl="6" w:tplc="0426000F" w:tentative="1">
      <w:start w:val="1"/>
      <w:numFmt w:val="decimal"/>
      <w:lvlText w:val="%7."/>
      <w:lvlJc w:val="left"/>
      <w:pPr>
        <w:ind w:left="2904" w:hanging="360"/>
      </w:pPr>
    </w:lvl>
    <w:lvl w:ilvl="7" w:tplc="04260019" w:tentative="1">
      <w:start w:val="1"/>
      <w:numFmt w:val="lowerLetter"/>
      <w:lvlText w:val="%8."/>
      <w:lvlJc w:val="left"/>
      <w:pPr>
        <w:ind w:left="3624" w:hanging="360"/>
      </w:pPr>
    </w:lvl>
    <w:lvl w:ilvl="8" w:tplc="0426001B" w:tentative="1">
      <w:start w:val="1"/>
      <w:numFmt w:val="lowerRoman"/>
      <w:lvlText w:val="%9."/>
      <w:lvlJc w:val="right"/>
      <w:pPr>
        <w:ind w:left="4344" w:hanging="180"/>
      </w:pPr>
    </w:lvl>
  </w:abstractNum>
  <w:abstractNum w:abstractNumId="22">
    <w:nsid w:val="76696B52"/>
    <w:multiLevelType w:val="hybridMultilevel"/>
    <w:tmpl w:val="1406ACE2"/>
    <w:lvl w:ilvl="0" w:tplc="FA8EB6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3">
    <w:nsid w:val="79115152"/>
    <w:multiLevelType w:val="hybridMultilevel"/>
    <w:tmpl w:val="E46216E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7B401793"/>
    <w:multiLevelType w:val="hybridMultilevel"/>
    <w:tmpl w:val="0CC2D66A"/>
    <w:lvl w:ilvl="0" w:tplc="04260001">
      <w:start w:val="1"/>
      <w:numFmt w:val="bullet"/>
      <w:lvlText w:val=""/>
      <w:lvlJc w:val="left"/>
      <w:pPr>
        <w:ind w:left="847" w:hanging="360"/>
      </w:pPr>
      <w:rPr>
        <w:rFonts w:ascii="Symbol" w:hAnsi="Symbol" w:hint="default"/>
      </w:rPr>
    </w:lvl>
    <w:lvl w:ilvl="1" w:tplc="04260003" w:tentative="1">
      <w:start w:val="1"/>
      <w:numFmt w:val="bullet"/>
      <w:lvlText w:val="o"/>
      <w:lvlJc w:val="left"/>
      <w:pPr>
        <w:ind w:left="1567" w:hanging="360"/>
      </w:pPr>
      <w:rPr>
        <w:rFonts w:ascii="Courier New" w:hAnsi="Courier New" w:cs="Courier New" w:hint="default"/>
      </w:rPr>
    </w:lvl>
    <w:lvl w:ilvl="2" w:tplc="04260005" w:tentative="1">
      <w:start w:val="1"/>
      <w:numFmt w:val="bullet"/>
      <w:lvlText w:val=""/>
      <w:lvlJc w:val="left"/>
      <w:pPr>
        <w:ind w:left="2287" w:hanging="360"/>
      </w:pPr>
      <w:rPr>
        <w:rFonts w:ascii="Wingdings" w:hAnsi="Wingdings" w:hint="default"/>
      </w:rPr>
    </w:lvl>
    <w:lvl w:ilvl="3" w:tplc="04260001" w:tentative="1">
      <w:start w:val="1"/>
      <w:numFmt w:val="bullet"/>
      <w:lvlText w:val=""/>
      <w:lvlJc w:val="left"/>
      <w:pPr>
        <w:ind w:left="3007" w:hanging="360"/>
      </w:pPr>
      <w:rPr>
        <w:rFonts w:ascii="Symbol" w:hAnsi="Symbol" w:hint="default"/>
      </w:rPr>
    </w:lvl>
    <w:lvl w:ilvl="4" w:tplc="04260003" w:tentative="1">
      <w:start w:val="1"/>
      <w:numFmt w:val="bullet"/>
      <w:lvlText w:val="o"/>
      <w:lvlJc w:val="left"/>
      <w:pPr>
        <w:ind w:left="3727" w:hanging="360"/>
      </w:pPr>
      <w:rPr>
        <w:rFonts w:ascii="Courier New" w:hAnsi="Courier New" w:cs="Courier New" w:hint="default"/>
      </w:rPr>
    </w:lvl>
    <w:lvl w:ilvl="5" w:tplc="04260005" w:tentative="1">
      <w:start w:val="1"/>
      <w:numFmt w:val="bullet"/>
      <w:lvlText w:val=""/>
      <w:lvlJc w:val="left"/>
      <w:pPr>
        <w:ind w:left="4447" w:hanging="360"/>
      </w:pPr>
      <w:rPr>
        <w:rFonts w:ascii="Wingdings" w:hAnsi="Wingdings" w:hint="default"/>
      </w:rPr>
    </w:lvl>
    <w:lvl w:ilvl="6" w:tplc="04260001" w:tentative="1">
      <w:start w:val="1"/>
      <w:numFmt w:val="bullet"/>
      <w:lvlText w:val=""/>
      <w:lvlJc w:val="left"/>
      <w:pPr>
        <w:ind w:left="5167" w:hanging="360"/>
      </w:pPr>
      <w:rPr>
        <w:rFonts w:ascii="Symbol" w:hAnsi="Symbol" w:hint="default"/>
      </w:rPr>
    </w:lvl>
    <w:lvl w:ilvl="7" w:tplc="04260003" w:tentative="1">
      <w:start w:val="1"/>
      <w:numFmt w:val="bullet"/>
      <w:lvlText w:val="o"/>
      <w:lvlJc w:val="left"/>
      <w:pPr>
        <w:ind w:left="5887" w:hanging="360"/>
      </w:pPr>
      <w:rPr>
        <w:rFonts w:ascii="Courier New" w:hAnsi="Courier New" w:cs="Courier New" w:hint="default"/>
      </w:rPr>
    </w:lvl>
    <w:lvl w:ilvl="8" w:tplc="04260005" w:tentative="1">
      <w:start w:val="1"/>
      <w:numFmt w:val="bullet"/>
      <w:lvlText w:val=""/>
      <w:lvlJc w:val="left"/>
      <w:pPr>
        <w:ind w:left="6607" w:hanging="360"/>
      </w:pPr>
      <w:rPr>
        <w:rFonts w:ascii="Wingdings" w:hAnsi="Wingdings" w:hint="default"/>
      </w:rPr>
    </w:lvl>
  </w:abstractNum>
  <w:abstractNum w:abstractNumId="25">
    <w:nsid w:val="7BB92BAA"/>
    <w:multiLevelType w:val="hybridMultilevel"/>
    <w:tmpl w:val="C46883AA"/>
    <w:lvl w:ilvl="0" w:tplc="41189B70">
      <w:start w:val="1"/>
      <w:numFmt w:val="decimal"/>
      <w:lvlText w:val="%1)"/>
      <w:lvlJc w:val="left"/>
      <w:pPr>
        <w:ind w:left="538" w:hanging="360"/>
      </w:pPr>
      <w:rPr>
        <w:rFonts w:hint="default"/>
      </w:rPr>
    </w:lvl>
    <w:lvl w:ilvl="1" w:tplc="04260019" w:tentative="1">
      <w:start w:val="1"/>
      <w:numFmt w:val="lowerLetter"/>
      <w:lvlText w:val="%2."/>
      <w:lvlJc w:val="left"/>
      <w:pPr>
        <w:ind w:left="1258" w:hanging="360"/>
      </w:pPr>
    </w:lvl>
    <w:lvl w:ilvl="2" w:tplc="0426001B" w:tentative="1">
      <w:start w:val="1"/>
      <w:numFmt w:val="lowerRoman"/>
      <w:lvlText w:val="%3."/>
      <w:lvlJc w:val="right"/>
      <w:pPr>
        <w:ind w:left="1978" w:hanging="180"/>
      </w:pPr>
    </w:lvl>
    <w:lvl w:ilvl="3" w:tplc="0426000F" w:tentative="1">
      <w:start w:val="1"/>
      <w:numFmt w:val="decimal"/>
      <w:lvlText w:val="%4."/>
      <w:lvlJc w:val="left"/>
      <w:pPr>
        <w:ind w:left="2698" w:hanging="360"/>
      </w:pPr>
    </w:lvl>
    <w:lvl w:ilvl="4" w:tplc="04260019" w:tentative="1">
      <w:start w:val="1"/>
      <w:numFmt w:val="lowerLetter"/>
      <w:lvlText w:val="%5."/>
      <w:lvlJc w:val="left"/>
      <w:pPr>
        <w:ind w:left="3418" w:hanging="360"/>
      </w:pPr>
    </w:lvl>
    <w:lvl w:ilvl="5" w:tplc="0426001B" w:tentative="1">
      <w:start w:val="1"/>
      <w:numFmt w:val="lowerRoman"/>
      <w:lvlText w:val="%6."/>
      <w:lvlJc w:val="right"/>
      <w:pPr>
        <w:ind w:left="4138" w:hanging="180"/>
      </w:pPr>
    </w:lvl>
    <w:lvl w:ilvl="6" w:tplc="0426000F" w:tentative="1">
      <w:start w:val="1"/>
      <w:numFmt w:val="decimal"/>
      <w:lvlText w:val="%7."/>
      <w:lvlJc w:val="left"/>
      <w:pPr>
        <w:ind w:left="4858" w:hanging="360"/>
      </w:pPr>
    </w:lvl>
    <w:lvl w:ilvl="7" w:tplc="04260019" w:tentative="1">
      <w:start w:val="1"/>
      <w:numFmt w:val="lowerLetter"/>
      <w:lvlText w:val="%8."/>
      <w:lvlJc w:val="left"/>
      <w:pPr>
        <w:ind w:left="5578" w:hanging="360"/>
      </w:pPr>
    </w:lvl>
    <w:lvl w:ilvl="8" w:tplc="0426001B" w:tentative="1">
      <w:start w:val="1"/>
      <w:numFmt w:val="lowerRoman"/>
      <w:lvlText w:val="%9."/>
      <w:lvlJc w:val="right"/>
      <w:pPr>
        <w:ind w:left="6298" w:hanging="180"/>
      </w:pPr>
    </w:lvl>
  </w:abstractNum>
  <w:num w:numId="1">
    <w:abstractNumId w:val="21"/>
  </w:num>
  <w:num w:numId="2">
    <w:abstractNumId w:val="17"/>
  </w:num>
  <w:num w:numId="3">
    <w:abstractNumId w:val="5"/>
  </w:num>
  <w:num w:numId="4">
    <w:abstractNumId w:val="6"/>
  </w:num>
  <w:num w:numId="5">
    <w:abstractNumId w:val="20"/>
  </w:num>
  <w:num w:numId="6">
    <w:abstractNumId w:val="10"/>
  </w:num>
  <w:num w:numId="7">
    <w:abstractNumId w:val="15"/>
  </w:num>
  <w:num w:numId="8">
    <w:abstractNumId w:val="8"/>
  </w:num>
  <w:num w:numId="9">
    <w:abstractNumId w:val="1"/>
  </w:num>
  <w:num w:numId="10">
    <w:abstractNumId w:val="3"/>
  </w:num>
  <w:num w:numId="11">
    <w:abstractNumId w:val="9"/>
  </w:num>
  <w:num w:numId="12">
    <w:abstractNumId w:val="16"/>
  </w:num>
  <w:num w:numId="13">
    <w:abstractNumId w:val="24"/>
  </w:num>
  <w:num w:numId="14">
    <w:abstractNumId w:val="11"/>
  </w:num>
  <w:num w:numId="15">
    <w:abstractNumId w:val="7"/>
  </w:num>
  <w:num w:numId="16">
    <w:abstractNumId w:val="25"/>
  </w:num>
  <w:num w:numId="17">
    <w:abstractNumId w:val="2"/>
  </w:num>
  <w:num w:numId="18">
    <w:abstractNumId w:val="23"/>
  </w:num>
  <w:num w:numId="19">
    <w:abstractNumId w:val="12"/>
  </w:num>
  <w:num w:numId="20">
    <w:abstractNumId w:val="22"/>
  </w:num>
  <w:num w:numId="21">
    <w:abstractNumId w:val="4"/>
  </w:num>
  <w:num w:numId="22">
    <w:abstractNumId w:val="14"/>
  </w:num>
  <w:num w:numId="23">
    <w:abstractNumId w:val="19"/>
  </w:num>
  <w:num w:numId="24">
    <w:abstractNumId w:val="18"/>
  </w:num>
  <w:num w:numId="25">
    <w:abstractNumId w:val="13"/>
  </w:num>
  <w:num w:numId="2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9A"/>
    <w:rsid w:val="000001E6"/>
    <w:rsid w:val="0000049F"/>
    <w:rsid w:val="00000A02"/>
    <w:rsid w:val="000012BE"/>
    <w:rsid w:val="000014FC"/>
    <w:rsid w:val="00002E15"/>
    <w:rsid w:val="00002FF0"/>
    <w:rsid w:val="00003D04"/>
    <w:rsid w:val="00004CCF"/>
    <w:rsid w:val="00007B75"/>
    <w:rsid w:val="0001126B"/>
    <w:rsid w:val="000132B9"/>
    <w:rsid w:val="00013D24"/>
    <w:rsid w:val="00015253"/>
    <w:rsid w:val="00016B08"/>
    <w:rsid w:val="0001788E"/>
    <w:rsid w:val="00017C50"/>
    <w:rsid w:val="000209F0"/>
    <w:rsid w:val="00024038"/>
    <w:rsid w:val="0002513D"/>
    <w:rsid w:val="000256EF"/>
    <w:rsid w:val="0002575C"/>
    <w:rsid w:val="0002638B"/>
    <w:rsid w:val="00027C07"/>
    <w:rsid w:val="000305D7"/>
    <w:rsid w:val="0003130B"/>
    <w:rsid w:val="00032F60"/>
    <w:rsid w:val="00036550"/>
    <w:rsid w:val="00037085"/>
    <w:rsid w:val="000404D7"/>
    <w:rsid w:val="000409CE"/>
    <w:rsid w:val="000422B3"/>
    <w:rsid w:val="000423EB"/>
    <w:rsid w:val="000425C1"/>
    <w:rsid w:val="00043026"/>
    <w:rsid w:val="000441FF"/>
    <w:rsid w:val="000442BD"/>
    <w:rsid w:val="00050172"/>
    <w:rsid w:val="00050266"/>
    <w:rsid w:val="00050EC9"/>
    <w:rsid w:val="0005162C"/>
    <w:rsid w:val="00054293"/>
    <w:rsid w:val="00054FEE"/>
    <w:rsid w:val="00057293"/>
    <w:rsid w:val="000618E7"/>
    <w:rsid w:val="0006321F"/>
    <w:rsid w:val="00063B95"/>
    <w:rsid w:val="00066206"/>
    <w:rsid w:val="00070478"/>
    <w:rsid w:val="000725B0"/>
    <w:rsid w:val="00074F63"/>
    <w:rsid w:val="00077A57"/>
    <w:rsid w:val="000840FE"/>
    <w:rsid w:val="00084203"/>
    <w:rsid w:val="000854FF"/>
    <w:rsid w:val="00085EA4"/>
    <w:rsid w:val="000866E5"/>
    <w:rsid w:val="00086739"/>
    <w:rsid w:val="00087DB7"/>
    <w:rsid w:val="00090087"/>
    <w:rsid w:val="00090881"/>
    <w:rsid w:val="0009095D"/>
    <w:rsid w:val="00091EAA"/>
    <w:rsid w:val="00092FE6"/>
    <w:rsid w:val="00094B61"/>
    <w:rsid w:val="000950BD"/>
    <w:rsid w:val="000961BE"/>
    <w:rsid w:val="00096E20"/>
    <w:rsid w:val="000979AA"/>
    <w:rsid w:val="000A0242"/>
    <w:rsid w:val="000A2B67"/>
    <w:rsid w:val="000A2C22"/>
    <w:rsid w:val="000A3108"/>
    <w:rsid w:val="000A44DF"/>
    <w:rsid w:val="000A5A58"/>
    <w:rsid w:val="000A6089"/>
    <w:rsid w:val="000A7AA1"/>
    <w:rsid w:val="000B020B"/>
    <w:rsid w:val="000B0B57"/>
    <w:rsid w:val="000B1405"/>
    <w:rsid w:val="000B159B"/>
    <w:rsid w:val="000B2535"/>
    <w:rsid w:val="000B316D"/>
    <w:rsid w:val="000B4F82"/>
    <w:rsid w:val="000B5C09"/>
    <w:rsid w:val="000C052C"/>
    <w:rsid w:val="000C0FB2"/>
    <w:rsid w:val="000C0FE9"/>
    <w:rsid w:val="000C18D2"/>
    <w:rsid w:val="000C1CB8"/>
    <w:rsid w:val="000C27B5"/>
    <w:rsid w:val="000C2BF1"/>
    <w:rsid w:val="000C2F4D"/>
    <w:rsid w:val="000C4A8A"/>
    <w:rsid w:val="000C4B41"/>
    <w:rsid w:val="000C4DDB"/>
    <w:rsid w:val="000C6693"/>
    <w:rsid w:val="000C7AFF"/>
    <w:rsid w:val="000D0BCE"/>
    <w:rsid w:val="000D256F"/>
    <w:rsid w:val="000D2749"/>
    <w:rsid w:val="000D283D"/>
    <w:rsid w:val="000D4C2C"/>
    <w:rsid w:val="000D58ED"/>
    <w:rsid w:val="000D5E2B"/>
    <w:rsid w:val="000D66D2"/>
    <w:rsid w:val="000D6853"/>
    <w:rsid w:val="000D7DBA"/>
    <w:rsid w:val="000E1D8D"/>
    <w:rsid w:val="000E2411"/>
    <w:rsid w:val="000E2E20"/>
    <w:rsid w:val="000E7728"/>
    <w:rsid w:val="000F312B"/>
    <w:rsid w:val="000F3AD2"/>
    <w:rsid w:val="000F3DB3"/>
    <w:rsid w:val="000F6EA7"/>
    <w:rsid w:val="00101786"/>
    <w:rsid w:val="00101FB9"/>
    <w:rsid w:val="001030F8"/>
    <w:rsid w:val="00103DAC"/>
    <w:rsid w:val="00105A93"/>
    <w:rsid w:val="00107D17"/>
    <w:rsid w:val="00110200"/>
    <w:rsid w:val="00110A46"/>
    <w:rsid w:val="00110C46"/>
    <w:rsid w:val="001119FE"/>
    <w:rsid w:val="0011397F"/>
    <w:rsid w:val="00114A07"/>
    <w:rsid w:val="001153E4"/>
    <w:rsid w:val="0011540C"/>
    <w:rsid w:val="001154CA"/>
    <w:rsid w:val="00115E48"/>
    <w:rsid w:val="00115FB3"/>
    <w:rsid w:val="00117797"/>
    <w:rsid w:val="0012120E"/>
    <w:rsid w:val="00122F9A"/>
    <w:rsid w:val="0012301B"/>
    <w:rsid w:val="00123828"/>
    <w:rsid w:val="00123B98"/>
    <w:rsid w:val="0012419E"/>
    <w:rsid w:val="00124A50"/>
    <w:rsid w:val="00124F83"/>
    <w:rsid w:val="00126C90"/>
    <w:rsid w:val="001310E9"/>
    <w:rsid w:val="00132544"/>
    <w:rsid w:val="001327AB"/>
    <w:rsid w:val="00132A20"/>
    <w:rsid w:val="00132FCD"/>
    <w:rsid w:val="0013416C"/>
    <w:rsid w:val="00136C6E"/>
    <w:rsid w:val="001370A0"/>
    <w:rsid w:val="00137489"/>
    <w:rsid w:val="00137580"/>
    <w:rsid w:val="00140144"/>
    <w:rsid w:val="00140714"/>
    <w:rsid w:val="00143B0F"/>
    <w:rsid w:val="00143D5C"/>
    <w:rsid w:val="001448BA"/>
    <w:rsid w:val="0014607F"/>
    <w:rsid w:val="001476FD"/>
    <w:rsid w:val="001477AA"/>
    <w:rsid w:val="001477FE"/>
    <w:rsid w:val="00147DB1"/>
    <w:rsid w:val="001510FA"/>
    <w:rsid w:val="00151F2F"/>
    <w:rsid w:val="00152700"/>
    <w:rsid w:val="00153CF1"/>
    <w:rsid w:val="00161A14"/>
    <w:rsid w:val="00162686"/>
    <w:rsid w:val="00162DAD"/>
    <w:rsid w:val="001633B9"/>
    <w:rsid w:val="00163732"/>
    <w:rsid w:val="00164732"/>
    <w:rsid w:val="00164A14"/>
    <w:rsid w:val="00164B5D"/>
    <w:rsid w:val="001656E1"/>
    <w:rsid w:val="001669B9"/>
    <w:rsid w:val="00167CCE"/>
    <w:rsid w:val="001706FB"/>
    <w:rsid w:val="00171022"/>
    <w:rsid w:val="00172FCC"/>
    <w:rsid w:val="00174B19"/>
    <w:rsid w:val="001757E8"/>
    <w:rsid w:val="001758A0"/>
    <w:rsid w:val="0017623D"/>
    <w:rsid w:val="0017754E"/>
    <w:rsid w:val="00181002"/>
    <w:rsid w:val="00182D91"/>
    <w:rsid w:val="0018364D"/>
    <w:rsid w:val="00184CCF"/>
    <w:rsid w:val="0018577C"/>
    <w:rsid w:val="00190450"/>
    <w:rsid w:val="00190A4A"/>
    <w:rsid w:val="00191877"/>
    <w:rsid w:val="001926B5"/>
    <w:rsid w:val="0019637B"/>
    <w:rsid w:val="00196683"/>
    <w:rsid w:val="00197BFF"/>
    <w:rsid w:val="001A0BA9"/>
    <w:rsid w:val="001A431E"/>
    <w:rsid w:val="001A542E"/>
    <w:rsid w:val="001A6533"/>
    <w:rsid w:val="001A6FB4"/>
    <w:rsid w:val="001A7B2A"/>
    <w:rsid w:val="001B0197"/>
    <w:rsid w:val="001B0345"/>
    <w:rsid w:val="001B1C19"/>
    <w:rsid w:val="001B5C1C"/>
    <w:rsid w:val="001B6BD7"/>
    <w:rsid w:val="001B70E4"/>
    <w:rsid w:val="001B741B"/>
    <w:rsid w:val="001C3CBB"/>
    <w:rsid w:val="001C3ED3"/>
    <w:rsid w:val="001C6615"/>
    <w:rsid w:val="001C69AB"/>
    <w:rsid w:val="001C7ED1"/>
    <w:rsid w:val="001D08BF"/>
    <w:rsid w:val="001D114D"/>
    <w:rsid w:val="001D1825"/>
    <w:rsid w:val="001D31C1"/>
    <w:rsid w:val="001D3D28"/>
    <w:rsid w:val="001D3E95"/>
    <w:rsid w:val="001D5021"/>
    <w:rsid w:val="001E08D6"/>
    <w:rsid w:val="001E0C8C"/>
    <w:rsid w:val="001E0DD3"/>
    <w:rsid w:val="001E17B2"/>
    <w:rsid w:val="001E21CE"/>
    <w:rsid w:val="001E6345"/>
    <w:rsid w:val="001F208F"/>
    <w:rsid w:val="001F40CC"/>
    <w:rsid w:val="001F41C4"/>
    <w:rsid w:val="001F44A1"/>
    <w:rsid w:val="001F52FC"/>
    <w:rsid w:val="00201F69"/>
    <w:rsid w:val="00202F86"/>
    <w:rsid w:val="0020630C"/>
    <w:rsid w:val="002118FC"/>
    <w:rsid w:val="00212302"/>
    <w:rsid w:val="0021238C"/>
    <w:rsid w:val="00214C86"/>
    <w:rsid w:val="00214CB7"/>
    <w:rsid w:val="0021690C"/>
    <w:rsid w:val="002178B5"/>
    <w:rsid w:val="00220650"/>
    <w:rsid w:val="0022098B"/>
    <w:rsid w:val="002217C6"/>
    <w:rsid w:val="00221D45"/>
    <w:rsid w:val="00221F95"/>
    <w:rsid w:val="002220D8"/>
    <w:rsid w:val="00223B2F"/>
    <w:rsid w:val="002245FA"/>
    <w:rsid w:val="00225C70"/>
    <w:rsid w:val="00226657"/>
    <w:rsid w:val="00226B40"/>
    <w:rsid w:val="0023002D"/>
    <w:rsid w:val="00230331"/>
    <w:rsid w:val="0023096D"/>
    <w:rsid w:val="002320A7"/>
    <w:rsid w:val="00232278"/>
    <w:rsid w:val="00233AA7"/>
    <w:rsid w:val="00233B09"/>
    <w:rsid w:val="002345E6"/>
    <w:rsid w:val="00234EE0"/>
    <w:rsid w:val="00235CFB"/>
    <w:rsid w:val="0023604B"/>
    <w:rsid w:val="0023649B"/>
    <w:rsid w:val="00236D5E"/>
    <w:rsid w:val="0024043A"/>
    <w:rsid w:val="00240916"/>
    <w:rsid w:val="00242160"/>
    <w:rsid w:val="00242F9F"/>
    <w:rsid w:val="00244612"/>
    <w:rsid w:val="0024561F"/>
    <w:rsid w:val="002476A1"/>
    <w:rsid w:val="00254803"/>
    <w:rsid w:val="002553F6"/>
    <w:rsid w:val="002558AA"/>
    <w:rsid w:val="00256ACD"/>
    <w:rsid w:val="002606D7"/>
    <w:rsid w:val="00262B68"/>
    <w:rsid w:val="002649CA"/>
    <w:rsid w:val="002666F3"/>
    <w:rsid w:val="00266E66"/>
    <w:rsid w:val="002674F8"/>
    <w:rsid w:val="00270544"/>
    <w:rsid w:val="00271731"/>
    <w:rsid w:val="00271B3F"/>
    <w:rsid w:val="0027371D"/>
    <w:rsid w:val="00273C9E"/>
    <w:rsid w:val="00275C84"/>
    <w:rsid w:val="002778BE"/>
    <w:rsid w:val="00277A78"/>
    <w:rsid w:val="00277D7B"/>
    <w:rsid w:val="00281FAC"/>
    <w:rsid w:val="00282BC6"/>
    <w:rsid w:val="002854EE"/>
    <w:rsid w:val="0029068A"/>
    <w:rsid w:val="002907F0"/>
    <w:rsid w:val="00290E6B"/>
    <w:rsid w:val="0029157A"/>
    <w:rsid w:val="002925F9"/>
    <w:rsid w:val="0029374C"/>
    <w:rsid w:val="00293C73"/>
    <w:rsid w:val="00294E3B"/>
    <w:rsid w:val="00295946"/>
    <w:rsid w:val="00296083"/>
    <w:rsid w:val="00297347"/>
    <w:rsid w:val="002A1149"/>
    <w:rsid w:val="002A124F"/>
    <w:rsid w:val="002A188E"/>
    <w:rsid w:val="002A31C3"/>
    <w:rsid w:val="002A321A"/>
    <w:rsid w:val="002A3ACF"/>
    <w:rsid w:val="002A744D"/>
    <w:rsid w:val="002B09E4"/>
    <w:rsid w:val="002B0A41"/>
    <w:rsid w:val="002B0B7C"/>
    <w:rsid w:val="002B0E95"/>
    <w:rsid w:val="002B11A9"/>
    <w:rsid w:val="002B21B0"/>
    <w:rsid w:val="002B21E8"/>
    <w:rsid w:val="002B5471"/>
    <w:rsid w:val="002B60C3"/>
    <w:rsid w:val="002B7DA9"/>
    <w:rsid w:val="002C3D41"/>
    <w:rsid w:val="002C44AA"/>
    <w:rsid w:val="002C46DD"/>
    <w:rsid w:val="002C686E"/>
    <w:rsid w:val="002C69A6"/>
    <w:rsid w:val="002C728B"/>
    <w:rsid w:val="002C764E"/>
    <w:rsid w:val="002D0453"/>
    <w:rsid w:val="002D097C"/>
    <w:rsid w:val="002D0C19"/>
    <w:rsid w:val="002D0C84"/>
    <w:rsid w:val="002D10F2"/>
    <w:rsid w:val="002D4759"/>
    <w:rsid w:val="002D5252"/>
    <w:rsid w:val="002D7462"/>
    <w:rsid w:val="002D7AD9"/>
    <w:rsid w:val="002E0A19"/>
    <w:rsid w:val="002E31CF"/>
    <w:rsid w:val="002E4073"/>
    <w:rsid w:val="002E473E"/>
    <w:rsid w:val="002E5771"/>
    <w:rsid w:val="002E6133"/>
    <w:rsid w:val="002E7437"/>
    <w:rsid w:val="002E799F"/>
    <w:rsid w:val="002F024F"/>
    <w:rsid w:val="002F0702"/>
    <w:rsid w:val="002F170C"/>
    <w:rsid w:val="002F236A"/>
    <w:rsid w:val="002F2640"/>
    <w:rsid w:val="002F398B"/>
    <w:rsid w:val="002F47B8"/>
    <w:rsid w:val="002F7D77"/>
    <w:rsid w:val="00300727"/>
    <w:rsid w:val="00300A08"/>
    <w:rsid w:val="00301498"/>
    <w:rsid w:val="00301778"/>
    <w:rsid w:val="00301DE0"/>
    <w:rsid w:val="00302570"/>
    <w:rsid w:val="003039A1"/>
    <w:rsid w:val="00304FD4"/>
    <w:rsid w:val="003057F9"/>
    <w:rsid w:val="00305ACB"/>
    <w:rsid w:val="00305B19"/>
    <w:rsid w:val="00307DD0"/>
    <w:rsid w:val="0031004E"/>
    <w:rsid w:val="00310655"/>
    <w:rsid w:val="00311B0E"/>
    <w:rsid w:val="00311F98"/>
    <w:rsid w:val="0031202F"/>
    <w:rsid w:val="00312701"/>
    <w:rsid w:val="003134CF"/>
    <w:rsid w:val="003140D7"/>
    <w:rsid w:val="00315424"/>
    <w:rsid w:val="003158FD"/>
    <w:rsid w:val="00315C50"/>
    <w:rsid w:val="00317933"/>
    <w:rsid w:val="00320B23"/>
    <w:rsid w:val="003221E0"/>
    <w:rsid w:val="00322618"/>
    <w:rsid w:val="003237CA"/>
    <w:rsid w:val="00324781"/>
    <w:rsid w:val="00330AED"/>
    <w:rsid w:val="00330C74"/>
    <w:rsid w:val="003316CE"/>
    <w:rsid w:val="00333643"/>
    <w:rsid w:val="00333F19"/>
    <w:rsid w:val="003344E7"/>
    <w:rsid w:val="003363CC"/>
    <w:rsid w:val="00336D21"/>
    <w:rsid w:val="00337726"/>
    <w:rsid w:val="00337FD0"/>
    <w:rsid w:val="003412BD"/>
    <w:rsid w:val="00341674"/>
    <w:rsid w:val="003419F1"/>
    <w:rsid w:val="00343349"/>
    <w:rsid w:val="00344D82"/>
    <w:rsid w:val="003455D0"/>
    <w:rsid w:val="0035049F"/>
    <w:rsid w:val="00350C3D"/>
    <w:rsid w:val="00352DBC"/>
    <w:rsid w:val="003538AC"/>
    <w:rsid w:val="003548CF"/>
    <w:rsid w:val="003557A5"/>
    <w:rsid w:val="00356153"/>
    <w:rsid w:val="00356240"/>
    <w:rsid w:val="00356996"/>
    <w:rsid w:val="0035758B"/>
    <w:rsid w:val="00360626"/>
    <w:rsid w:val="00361F84"/>
    <w:rsid w:val="003621E2"/>
    <w:rsid w:val="00362680"/>
    <w:rsid w:val="00362948"/>
    <w:rsid w:val="003635C0"/>
    <w:rsid w:val="003637EB"/>
    <w:rsid w:val="0036501D"/>
    <w:rsid w:val="003705DE"/>
    <w:rsid w:val="0037138B"/>
    <w:rsid w:val="00372CE9"/>
    <w:rsid w:val="003739A4"/>
    <w:rsid w:val="00374369"/>
    <w:rsid w:val="0037581E"/>
    <w:rsid w:val="00375D58"/>
    <w:rsid w:val="003763EC"/>
    <w:rsid w:val="00376AEB"/>
    <w:rsid w:val="003778EC"/>
    <w:rsid w:val="00377A05"/>
    <w:rsid w:val="00380257"/>
    <w:rsid w:val="00382232"/>
    <w:rsid w:val="00382D98"/>
    <w:rsid w:val="003836D9"/>
    <w:rsid w:val="0038389C"/>
    <w:rsid w:val="00383E7B"/>
    <w:rsid w:val="00385BFD"/>
    <w:rsid w:val="003864B9"/>
    <w:rsid w:val="00391B5B"/>
    <w:rsid w:val="00392507"/>
    <w:rsid w:val="00392FC1"/>
    <w:rsid w:val="00394BE8"/>
    <w:rsid w:val="00395CBC"/>
    <w:rsid w:val="0039607E"/>
    <w:rsid w:val="003960B0"/>
    <w:rsid w:val="0039636F"/>
    <w:rsid w:val="00396965"/>
    <w:rsid w:val="003970CE"/>
    <w:rsid w:val="003A28B3"/>
    <w:rsid w:val="003A3B10"/>
    <w:rsid w:val="003A4C8D"/>
    <w:rsid w:val="003A5F95"/>
    <w:rsid w:val="003A5FA4"/>
    <w:rsid w:val="003A75C1"/>
    <w:rsid w:val="003A7CA8"/>
    <w:rsid w:val="003A7DC4"/>
    <w:rsid w:val="003B0028"/>
    <w:rsid w:val="003B0673"/>
    <w:rsid w:val="003B1138"/>
    <w:rsid w:val="003B216A"/>
    <w:rsid w:val="003B477C"/>
    <w:rsid w:val="003B778A"/>
    <w:rsid w:val="003C0970"/>
    <w:rsid w:val="003C09C8"/>
    <w:rsid w:val="003C0A41"/>
    <w:rsid w:val="003C276D"/>
    <w:rsid w:val="003C3476"/>
    <w:rsid w:val="003C42CE"/>
    <w:rsid w:val="003C4B79"/>
    <w:rsid w:val="003C6888"/>
    <w:rsid w:val="003C6FDD"/>
    <w:rsid w:val="003C730E"/>
    <w:rsid w:val="003D1338"/>
    <w:rsid w:val="003D31F8"/>
    <w:rsid w:val="003D354C"/>
    <w:rsid w:val="003D384F"/>
    <w:rsid w:val="003D50C4"/>
    <w:rsid w:val="003D732F"/>
    <w:rsid w:val="003D7CD2"/>
    <w:rsid w:val="003E162A"/>
    <w:rsid w:val="003E32A9"/>
    <w:rsid w:val="003E3BA7"/>
    <w:rsid w:val="003E3D28"/>
    <w:rsid w:val="003E3DBD"/>
    <w:rsid w:val="003E43F1"/>
    <w:rsid w:val="003E5FFD"/>
    <w:rsid w:val="003E7020"/>
    <w:rsid w:val="003E7230"/>
    <w:rsid w:val="003E7CE7"/>
    <w:rsid w:val="003F3538"/>
    <w:rsid w:val="003F58F8"/>
    <w:rsid w:val="003F5C07"/>
    <w:rsid w:val="003F76E9"/>
    <w:rsid w:val="0040031B"/>
    <w:rsid w:val="004003C6"/>
    <w:rsid w:val="004033E9"/>
    <w:rsid w:val="00403AC6"/>
    <w:rsid w:val="004106C1"/>
    <w:rsid w:val="004159A2"/>
    <w:rsid w:val="00420082"/>
    <w:rsid w:val="00420538"/>
    <w:rsid w:val="004207C4"/>
    <w:rsid w:val="004210D0"/>
    <w:rsid w:val="0042293E"/>
    <w:rsid w:val="00424835"/>
    <w:rsid w:val="00424E3A"/>
    <w:rsid w:val="00425FBE"/>
    <w:rsid w:val="00426D86"/>
    <w:rsid w:val="004342E0"/>
    <w:rsid w:val="00435E2C"/>
    <w:rsid w:val="004430C5"/>
    <w:rsid w:val="00443600"/>
    <w:rsid w:val="00443C48"/>
    <w:rsid w:val="00451BC5"/>
    <w:rsid w:val="004520CA"/>
    <w:rsid w:val="00452D9A"/>
    <w:rsid w:val="00453DC2"/>
    <w:rsid w:val="004562BB"/>
    <w:rsid w:val="0045768A"/>
    <w:rsid w:val="00457DA3"/>
    <w:rsid w:val="004605B5"/>
    <w:rsid w:val="004613A8"/>
    <w:rsid w:val="0046350B"/>
    <w:rsid w:val="00463BE7"/>
    <w:rsid w:val="0046549F"/>
    <w:rsid w:val="004675C3"/>
    <w:rsid w:val="004675C8"/>
    <w:rsid w:val="00467872"/>
    <w:rsid w:val="00470CE3"/>
    <w:rsid w:val="00471E9D"/>
    <w:rsid w:val="0047274D"/>
    <w:rsid w:val="004737E1"/>
    <w:rsid w:val="0047441F"/>
    <w:rsid w:val="0047503F"/>
    <w:rsid w:val="00481920"/>
    <w:rsid w:val="00483464"/>
    <w:rsid w:val="004848F2"/>
    <w:rsid w:val="00485E93"/>
    <w:rsid w:val="00492048"/>
    <w:rsid w:val="00493A44"/>
    <w:rsid w:val="00495689"/>
    <w:rsid w:val="004A0433"/>
    <w:rsid w:val="004A1A60"/>
    <w:rsid w:val="004A1ACA"/>
    <w:rsid w:val="004A24D4"/>
    <w:rsid w:val="004A572C"/>
    <w:rsid w:val="004A5CAC"/>
    <w:rsid w:val="004A78FC"/>
    <w:rsid w:val="004A7A93"/>
    <w:rsid w:val="004B08EE"/>
    <w:rsid w:val="004B0FE9"/>
    <w:rsid w:val="004B1283"/>
    <w:rsid w:val="004B1FA4"/>
    <w:rsid w:val="004B3E89"/>
    <w:rsid w:val="004B501F"/>
    <w:rsid w:val="004B5231"/>
    <w:rsid w:val="004B544E"/>
    <w:rsid w:val="004B7B23"/>
    <w:rsid w:val="004C0F36"/>
    <w:rsid w:val="004C10BE"/>
    <w:rsid w:val="004C1142"/>
    <w:rsid w:val="004C12DB"/>
    <w:rsid w:val="004C1FC4"/>
    <w:rsid w:val="004C2148"/>
    <w:rsid w:val="004C2E18"/>
    <w:rsid w:val="004C3987"/>
    <w:rsid w:val="004C4DBE"/>
    <w:rsid w:val="004C6848"/>
    <w:rsid w:val="004C6A47"/>
    <w:rsid w:val="004C73F8"/>
    <w:rsid w:val="004D14A0"/>
    <w:rsid w:val="004D1859"/>
    <w:rsid w:val="004D18C0"/>
    <w:rsid w:val="004D1E94"/>
    <w:rsid w:val="004D21E1"/>
    <w:rsid w:val="004D227D"/>
    <w:rsid w:val="004D24CD"/>
    <w:rsid w:val="004D29F0"/>
    <w:rsid w:val="004D2FAC"/>
    <w:rsid w:val="004D6A39"/>
    <w:rsid w:val="004D7201"/>
    <w:rsid w:val="004E0147"/>
    <w:rsid w:val="004E0A37"/>
    <w:rsid w:val="004E1BDF"/>
    <w:rsid w:val="004E2CD8"/>
    <w:rsid w:val="004E3B73"/>
    <w:rsid w:val="004E5CE0"/>
    <w:rsid w:val="004E667B"/>
    <w:rsid w:val="004E714F"/>
    <w:rsid w:val="004E756C"/>
    <w:rsid w:val="004E7C0E"/>
    <w:rsid w:val="004F01AB"/>
    <w:rsid w:val="004F28BA"/>
    <w:rsid w:val="004F30A1"/>
    <w:rsid w:val="004F485C"/>
    <w:rsid w:val="004F5515"/>
    <w:rsid w:val="005008F7"/>
    <w:rsid w:val="00500EFD"/>
    <w:rsid w:val="005014F4"/>
    <w:rsid w:val="00501D5C"/>
    <w:rsid w:val="00502969"/>
    <w:rsid w:val="00503265"/>
    <w:rsid w:val="0050467E"/>
    <w:rsid w:val="00506887"/>
    <w:rsid w:val="00510ED3"/>
    <w:rsid w:val="005133B7"/>
    <w:rsid w:val="00513723"/>
    <w:rsid w:val="005137B2"/>
    <w:rsid w:val="0051414C"/>
    <w:rsid w:val="00514322"/>
    <w:rsid w:val="00514CEE"/>
    <w:rsid w:val="0051597E"/>
    <w:rsid w:val="00517792"/>
    <w:rsid w:val="005209D8"/>
    <w:rsid w:val="00521532"/>
    <w:rsid w:val="005221D3"/>
    <w:rsid w:val="0052490B"/>
    <w:rsid w:val="00526051"/>
    <w:rsid w:val="0052732D"/>
    <w:rsid w:val="00527B1A"/>
    <w:rsid w:val="00527B9D"/>
    <w:rsid w:val="005336A4"/>
    <w:rsid w:val="0053430F"/>
    <w:rsid w:val="00534EC3"/>
    <w:rsid w:val="0053649B"/>
    <w:rsid w:val="005367AD"/>
    <w:rsid w:val="005376A4"/>
    <w:rsid w:val="00537996"/>
    <w:rsid w:val="00542D39"/>
    <w:rsid w:val="005435C1"/>
    <w:rsid w:val="0054450E"/>
    <w:rsid w:val="00544942"/>
    <w:rsid w:val="005457B1"/>
    <w:rsid w:val="00547086"/>
    <w:rsid w:val="005513EB"/>
    <w:rsid w:val="00554CF6"/>
    <w:rsid w:val="005562EE"/>
    <w:rsid w:val="00560D79"/>
    <w:rsid w:val="00561078"/>
    <w:rsid w:val="0056247D"/>
    <w:rsid w:val="00562D29"/>
    <w:rsid w:val="00562F81"/>
    <w:rsid w:val="00563363"/>
    <w:rsid w:val="00567A64"/>
    <w:rsid w:val="00570428"/>
    <w:rsid w:val="00570F90"/>
    <w:rsid w:val="00571BF9"/>
    <w:rsid w:val="00571F52"/>
    <w:rsid w:val="00573A1F"/>
    <w:rsid w:val="00573A57"/>
    <w:rsid w:val="005747E8"/>
    <w:rsid w:val="00575428"/>
    <w:rsid w:val="005762B0"/>
    <w:rsid w:val="00577061"/>
    <w:rsid w:val="00577604"/>
    <w:rsid w:val="00580BC8"/>
    <w:rsid w:val="005833B3"/>
    <w:rsid w:val="0058364E"/>
    <w:rsid w:val="0058716E"/>
    <w:rsid w:val="00590849"/>
    <w:rsid w:val="00590C29"/>
    <w:rsid w:val="005914CC"/>
    <w:rsid w:val="0059331A"/>
    <w:rsid w:val="0059333F"/>
    <w:rsid w:val="005946AC"/>
    <w:rsid w:val="005954B4"/>
    <w:rsid w:val="00595C78"/>
    <w:rsid w:val="00595D3C"/>
    <w:rsid w:val="0059679B"/>
    <w:rsid w:val="00597BD0"/>
    <w:rsid w:val="00597C21"/>
    <w:rsid w:val="005A039A"/>
    <w:rsid w:val="005A0C2B"/>
    <w:rsid w:val="005A3783"/>
    <w:rsid w:val="005A4A0F"/>
    <w:rsid w:val="005A66B2"/>
    <w:rsid w:val="005B2D51"/>
    <w:rsid w:val="005B74FF"/>
    <w:rsid w:val="005C0649"/>
    <w:rsid w:val="005C1E93"/>
    <w:rsid w:val="005C47EC"/>
    <w:rsid w:val="005C4C51"/>
    <w:rsid w:val="005C604B"/>
    <w:rsid w:val="005C7F3D"/>
    <w:rsid w:val="005D2CA8"/>
    <w:rsid w:val="005D2D73"/>
    <w:rsid w:val="005D3B02"/>
    <w:rsid w:val="005D407D"/>
    <w:rsid w:val="005D4AD8"/>
    <w:rsid w:val="005D559D"/>
    <w:rsid w:val="005D617F"/>
    <w:rsid w:val="005D660F"/>
    <w:rsid w:val="005D6FC9"/>
    <w:rsid w:val="005E1895"/>
    <w:rsid w:val="005E26A9"/>
    <w:rsid w:val="005E4418"/>
    <w:rsid w:val="005E4DF8"/>
    <w:rsid w:val="005E7014"/>
    <w:rsid w:val="005F056A"/>
    <w:rsid w:val="005F0EFE"/>
    <w:rsid w:val="005F3512"/>
    <w:rsid w:val="005F674E"/>
    <w:rsid w:val="005F7711"/>
    <w:rsid w:val="006001E5"/>
    <w:rsid w:val="006003AD"/>
    <w:rsid w:val="00601B97"/>
    <w:rsid w:val="0060266D"/>
    <w:rsid w:val="00602E00"/>
    <w:rsid w:val="00603CCA"/>
    <w:rsid w:val="006048EE"/>
    <w:rsid w:val="00605A3E"/>
    <w:rsid w:val="0060685C"/>
    <w:rsid w:val="006135DF"/>
    <w:rsid w:val="00614446"/>
    <w:rsid w:val="00614EAB"/>
    <w:rsid w:val="00617DB6"/>
    <w:rsid w:val="006203ED"/>
    <w:rsid w:val="00621133"/>
    <w:rsid w:val="0062192A"/>
    <w:rsid w:val="00621AA4"/>
    <w:rsid w:val="006238BB"/>
    <w:rsid w:val="0062427A"/>
    <w:rsid w:val="0062726E"/>
    <w:rsid w:val="00630EB9"/>
    <w:rsid w:val="00630F72"/>
    <w:rsid w:val="00631202"/>
    <w:rsid w:val="00632237"/>
    <w:rsid w:val="00632389"/>
    <w:rsid w:val="00632A29"/>
    <w:rsid w:val="00632EE1"/>
    <w:rsid w:val="006330CA"/>
    <w:rsid w:val="00633C38"/>
    <w:rsid w:val="00634B12"/>
    <w:rsid w:val="006361AE"/>
    <w:rsid w:val="006367A8"/>
    <w:rsid w:val="00641FBD"/>
    <w:rsid w:val="00642F79"/>
    <w:rsid w:val="00643DA2"/>
    <w:rsid w:val="0064469C"/>
    <w:rsid w:val="00644E7F"/>
    <w:rsid w:val="0064507B"/>
    <w:rsid w:val="00646B7B"/>
    <w:rsid w:val="00647548"/>
    <w:rsid w:val="0065091E"/>
    <w:rsid w:val="00650E32"/>
    <w:rsid w:val="00650F4C"/>
    <w:rsid w:val="00651DA2"/>
    <w:rsid w:val="00652545"/>
    <w:rsid w:val="00652703"/>
    <w:rsid w:val="006536D3"/>
    <w:rsid w:val="00655756"/>
    <w:rsid w:val="006571E8"/>
    <w:rsid w:val="0065746F"/>
    <w:rsid w:val="00661837"/>
    <w:rsid w:val="00661D05"/>
    <w:rsid w:val="00662672"/>
    <w:rsid w:val="006660AC"/>
    <w:rsid w:val="00666F92"/>
    <w:rsid w:val="0067164A"/>
    <w:rsid w:val="00672768"/>
    <w:rsid w:val="00674E7A"/>
    <w:rsid w:val="00675FC9"/>
    <w:rsid w:val="006766C6"/>
    <w:rsid w:val="00676A71"/>
    <w:rsid w:val="00676F00"/>
    <w:rsid w:val="006772B5"/>
    <w:rsid w:val="0068020A"/>
    <w:rsid w:val="0068021D"/>
    <w:rsid w:val="006821F2"/>
    <w:rsid w:val="006831CF"/>
    <w:rsid w:val="00683C25"/>
    <w:rsid w:val="00685A74"/>
    <w:rsid w:val="00686AB6"/>
    <w:rsid w:val="00686C1F"/>
    <w:rsid w:val="00686FD1"/>
    <w:rsid w:val="0068717B"/>
    <w:rsid w:val="00687E23"/>
    <w:rsid w:val="00690D44"/>
    <w:rsid w:val="00691138"/>
    <w:rsid w:val="0069169E"/>
    <w:rsid w:val="006932B4"/>
    <w:rsid w:val="00693D89"/>
    <w:rsid w:val="00697E0B"/>
    <w:rsid w:val="006A0544"/>
    <w:rsid w:val="006A0DCB"/>
    <w:rsid w:val="006A2F12"/>
    <w:rsid w:val="006A5A8A"/>
    <w:rsid w:val="006A62FD"/>
    <w:rsid w:val="006A67C9"/>
    <w:rsid w:val="006A777C"/>
    <w:rsid w:val="006B0500"/>
    <w:rsid w:val="006B1D13"/>
    <w:rsid w:val="006B3A6B"/>
    <w:rsid w:val="006B6E14"/>
    <w:rsid w:val="006B7A22"/>
    <w:rsid w:val="006B7EA1"/>
    <w:rsid w:val="006C0019"/>
    <w:rsid w:val="006C03EA"/>
    <w:rsid w:val="006C18BC"/>
    <w:rsid w:val="006C22C6"/>
    <w:rsid w:val="006C2A9C"/>
    <w:rsid w:val="006C2FE9"/>
    <w:rsid w:val="006C3439"/>
    <w:rsid w:val="006C4C5D"/>
    <w:rsid w:val="006C4F1A"/>
    <w:rsid w:val="006C53AA"/>
    <w:rsid w:val="006C6120"/>
    <w:rsid w:val="006D0007"/>
    <w:rsid w:val="006D0EEA"/>
    <w:rsid w:val="006D0FCD"/>
    <w:rsid w:val="006D3D80"/>
    <w:rsid w:val="006D45BD"/>
    <w:rsid w:val="006D7AEB"/>
    <w:rsid w:val="006E0A0B"/>
    <w:rsid w:val="006E1415"/>
    <w:rsid w:val="006E2876"/>
    <w:rsid w:val="006E3191"/>
    <w:rsid w:val="006E4F03"/>
    <w:rsid w:val="006E575F"/>
    <w:rsid w:val="006E658B"/>
    <w:rsid w:val="006E6EA6"/>
    <w:rsid w:val="006F0AE1"/>
    <w:rsid w:val="006F0E24"/>
    <w:rsid w:val="006F24AD"/>
    <w:rsid w:val="006F2C6F"/>
    <w:rsid w:val="006F37F1"/>
    <w:rsid w:val="006F45C4"/>
    <w:rsid w:val="006F4697"/>
    <w:rsid w:val="006F5689"/>
    <w:rsid w:val="006F5C65"/>
    <w:rsid w:val="006F6289"/>
    <w:rsid w:val="006F70BD"/>
    <w:rsid w:val="006F7293"/>
    <w:rsid w:val="006F7CBA"/>
    <w:rsid w:val="0070128C"/>
    <w:rsid w:val="0070199A"/>
    <w:rsid w:val="007022BC"/>
    <w:rsid w:val="007027CE"/>
    <w:rsid w:val="00702FDC"/>
    <w:rsid w:val="00703CD6"/>
    <w:rsid w:val="0070579C"/>
    <w:rsid w:val="00706247"/>
    <w:rsid w:val="007066B4"/>
    <w:rsid w:val="00706DAD"/>
    <w:rsid w:val="007074DB"/>
    <w:rsid w:val="00710A4A"/>
    <w:rsid w:val="00711C20"/>
    <w:rsid w:val="00711EE5"/>
    <w:rsid w:val="0071238D"/>
    <w:rsid w:val="00712592"/>
    <w:rsid w:val="00714D9E"/>
    <w:rsid w:val="007151E3"/>
    <w:rsid w:val="0071754B"/>
    <w:rsid w:val="00720C6D"/>
    <w:rsid w:val="007210FE"/>
    <w:rsid w:val="007222AE"/>
    <w:rsid w:val="00723173"/>
    <w:rsid w:val="00723CED"/>
    <w:rsid w:val="007246D7"/>
    <w:rsid w:val="00724F74"/>
    <w:rsid w:val="007250B0"/>
    <w:rsid w:val="00725CB9"/>
    <w:rsid w:val="0072665A"/>
    <w:rsid w:val="0072757E"/>
    <w:rsid w:val="00730454"/>
    <w:rsid w:val="00731075"/>
    <w:rsid w:val="00731E8B"/>
    <w:rsid w:val="00732E0A"/>
    <w:rsid w:val="00733161"/>
    <w:rsid w:val="0073354E"/>
    <w:rsid w:val="00733B66"/>
    <w:rsid w:val="007346C3"/>
    <w:rsid w:val="00734D73"/>
    <w:rsid w:val="007356D4"/>
    <w:rsid w:val="0074099A"/>
    <w:rsid w:val="007450C0"/>
    <w:rsid w:val="00745407"/>
    <w:rsid w:val="00746E89"/>
    <w:rsid w:val="00747918"/>
    <w:rsid w:val="00747E39"/>
    <w:rsid w:val="00747F5C"/>
    <w:rsid w:val="00751278"/>
    <w:rsid w:val="00751BF6"/>
    <w:rsid w:val="00752F08"/>
    <w:rsid w:val="00753EC0"/>
    <w:rsid w:val="007557A2"/>
    <w:rsid w:val="00756044"/>
    <w:rsid w:val="007618E3"/>
    <w:rsid w:val="00763064"/>
    <w:rsid w:val="0076423B"/>
    <w:rsid w:val="007667BB"/>
    <w:rsid w:val="00770A94"/>
    <w:rsid w:val="00771AF9"/>
    <w:rsid w:val="00771B39"/>
    <w:rsid w:val="00772164"/>
    <w:rsid w:val="00772CD4"/>
    <w:rsid w:val="00772D65"/>
    <w:rsid w:val="00772E26"/>
    <w:rsid w:val="00775E60"/>
    <w:rsid w:val="007779CB"/>
    <w:rsid w:val="00780862"/>
    <w:rsid w:val="007834E1"/>
    <w:rsid w:val="00784117"/>
    <w:rsid w:val="00784DCC"/>
    <w:rsid w:val="00792B0E"/>
    <w:rsid w:val="00793EE1"/>
    <w:rsid w:val="0079410D"/>
    <w:rsid w:val="00794849"/>
    <w:rsid w:val="00794B39"/>
    <w:rsid w:val="007953CE"/>
    <w:rsid w:val="0079661E"/>
    <w:rsid w:val="00796BEB"/>
    <w:rsid w:val="00797FA6"/>
    <w:rsid w:val="007A02EC"/>
    <w:rsid w:val="007A0C42"/>
    <w:rsid w:val="007A1225"/>
    <w:rsid w:val="007A271A"/>
    <w:rsid w:val="007A4BB7"/>
    <w:rsid w:val="007A6802"/>
    <w:rsid w:val="007A7186"/>
    <w:rsid w:val="007A7824"/>
    <w:rsid w:val="007A7D95"/>
    <w:rsid w:val="007B0D2F"/>
    <w:rsid w:val="007B1B05"/>
    <w:rsid w:val="007B2F0F"/>
    <w:rsid w:val="007B3C3E"/>
    <w:rsid w:val="007B4202"/>
    <w:rsid w:val="007B5D56"/>
    <w:rsid w:val="007C2428"/>
    <w:rsid w:val="007C3919"/>
    <w:rsid w:val="007C44FE"/>
    <w:rsid w:val="007C6213"/>
    <w:rsid w:val="007D09E6"/>
    <w:rsid w:val="007D0B62"/>
    <w:rsid w:val="007D0FF6"/>
    <w:rsid w:val="007D1D03"/>
    <w:rsid w:val="007D4392"/>
    <w:rsid w:val="007D4BB3"/>
    <w:rsid w:val="007D4BE2"/>
    <w:rsid w:val="007D4D3E"/>
    <w:rsid w:val="007D50ED"/>
    <w:rsid w:val="007D5D27"/>
    <w:rsid w:val="007D6062"/>
    <w:rsid w:val="007D6AF5"/>
    <w:rsid w:val="007D6B5D"/>
    <w:rsid w:val="007D7589"/>
    <w:rsid w:val="007D798A"/>
    <w:rsid w:val="007E0247"/>
    <w:rsid w:val="007E150D"/>
    <w:rsid w:val="007E20C2"/>
    <w:rsid w:val="007E238B"/>
    <w:rsid w:val="007E2637"/>
    <w:rsid w:val="007E4D50"/>
    <w:rsid w:val="007E7F0E"/>
    <w:rsid w:val="007F1D57"/>
    <w:rsid w:val="007F3A45"/>
    <w:rsid w:val="007F4349"/>
    <w:rsid w:val="007F4FA2"/>
    <w:rsid w:val="008000AD"/>
    <w:rsid w:val="00800467"/>
    <w:rsid w:val="0080179A"/>
    <w:rsid w:val="00802EA9"/>
    <w:rsid w:val="008042E1"/>
    <w:rsid w:val="0080501A"/>
    <w:rsid w:val="00805D61"/>
    <w:rsid w:val="00806D77"/>
    <w:rsid w:val="008071A6"/>
    <w:rsid w:val="00807D07"/>
    <w:rsid w:val="00807D08"/>
    <w:rsid w:val="008125DD"/>
    <w:rsid w:val="00813430"/>
    <w:rsid w:val="00815AD5"/>
    <w:rsid w:val="008161B0"/>
    <w:rsid w:val="00816B93"/>
    <w:rsid w:val="00816C62"/>
    <w:rsid w:val="008176F3"/>
    <w:rsid w:val="00817A10"/>
    <w:rsid w:val="008237C1"/>
    <w:rsid w:val="00824C93"/>
    <w:rsid w:val="00825484"/>
    <w:rsid w:val="00826652"/>
    <w:rsid w:val="008305D5"/>
    <w:rsid w:val="00836115"/>
    <w:rsid w:val="00836EA8"/>
    <w:rsid w:val="0084021F"/>
    <w:rsid w:val="00840668"/>
    <w:rsid w:val="00841696"/>
    <w:rsid w:val="00841D7F"/>
    <w:rsid w:val="00842826"/>
    <w:rsid w:val="0084563F"/>
    <w:rsid w:val="00845E11"/>
    <w:rsid w:val="008469B6"/>
    <w:rsid w:val="00847506"/>
    <w:rsid w:val="00850401"/>
    <w:rsid w:val="008506B9"/>
    <w:rsid w:val="00852031"/>
    <w:rsid w:val="00852D00"/>
    <w:rsid w:val="00854197"/>
    <w:rsid w:val="0085501A"/>
    <w:rsid w:val="008559AF"/>
    <w:rsid w:val="00861D80"/>
    <w:rsid w:val="0086410C"/>
    <w:rsid w:val="00864A2F"/>
    <w:rsid w:val="0086528D"/>
    <w:rsid w:val="0086614A"/>
    <w:rsid w:val="00867A87"/>
    <w:rsid w:val="00867C74"/>
    <w:rsid w:val="00867EB7"/>
    <w:rsid w:val="00870842"/>
    <w:rsid w:val="00870B22"/>
    <w:rsid w:val="008720A5"/>
    <w:rsid w:val="00874871"/>
    <w:rsid w:val="008748A7"/>
    <w:rsid w:val="008752ED"/>
    <w:rsid w:val="00875CF8"/>
    <w:rsid w:val="00876830"/>
    <w:rsid w:val="008768DC"/>
    <w:rsid w:val="00877384"/>
    <w:rsid w:val="00877932"/>
    <w:rsid w:val="0088032F"/>
    <w:rsid w:val="00881F21"/>
    <w:rsid w:val="00882009"/>
    <w:rsid w:val="00882348"/>
    <w:rsid w:val="008876AD"/>
    <w:rsid w:val="00890ADD"/>
    <w:rsid w:val="00890B91"/>
    <w:rsid w:val="00893451"/>
    <w:rsid w:val="00895D1B"/>
    <w:rsid w:val="00897E19"/>
    <w:rsid w:val="00897F0E"/>
    <w:rsid w:val="008A21CA"/>
    <w:rsid w:val="008A238C"/>
    <w:rsid w:val="008A2883"/>
    <w:rsid w:val="008A331C"/>
    <w:rsid w:val="008A4B9B"/>
    <w:rsid w:val="008A58E3"/>
    <w:rsid w:val="008A6D18"/>
    <w:rsid w:val="008A73DB"/>
    <w:rsid w:val="008B0375"/>
    <w:rsid w:val="008B040E"/>
    <w:rsid w:val="008B15F2"/>
    <w:rsid w:val="008B29CC"/>
    <w:rsid w:val="008B2A46"/>
    <w:rsid w:val="008B3080"/>
    <w:rsid w:val="008B4CC6"/>
    <w:rsid w:val="008B5644"/>
    <w:rsid w:val="008B73E6"/>
    <w:rsid w:val="008B750E"/>
    <w:rsid w:val="008C2DDA"/>
    <w:rsid w:val="008C34DA"/>
    <w:rsid w:val="008C398D"/>
    <w:rsid w:val="008C519E"/>
    <w:rsid w:val="008C6613"/>
    <w:rsid w:val="008C6964"/>
    <w:rsid w:val="008D0E91"/>
    <w:rsid w:val="008D2FFF"/>
    <w:rsid w:val="008D3682"/>
    <w:rsid w:val="008D39B0"/>
    <w:rsid w:val="008D5738"/>
    <w:rsid w:val="008D57D5"/>
    <w:rsid w:val="008D59BC"/>
    <w:rsid w:val="008D5DB4"/>
    <w:rsid w:val="008D7237"/>
    <w:rsid w:val="008E3FC9"/>
    <w:rsid w:val="008E4920"/>
    <w:rsid w:val="008E64BB"/>
    <w:rsid w:val="008E7624"/>
    <w:rsid w:val="008F03F4"/>
    <w:rsid w:val="008F4567"/>
    <w:rsid w:val="008F4FB5"/>
    <w:rsid w:val="008F503F"/>
    <w:rsid w:val="008F6C71"/>
    <w:rsid w:val="009006C3"/>
    <w:rsid w:val="00900C9E"/>
    <w:rsid w:val="00900FF8"/>
    <w:rsid w:val="00901620"/>
    <w:rsid w:val="00901E7F"/>
    <w:rsid w:val="00901ED3"/>
    <w:rsid w:val="00903433"/>
    <w:rsid w:val="0090355F"/>
    <w:rsid w:val="00904AF7"/>
    <w:rsid w:val="00905869"/>
    <w:rsid w:val="00905B34"/>
    <w:rsid w:val="00906D68"/>
    <w:rsid w:val="009075F2"/>
    <w:rsid w:val="00907CFD"/>
    <w:rsid w:val="00907E4C"/>
    <w:rsid w:val="009107D0"/>
    <w:rsid w:val="00912059"/>
    <w:rsid w:val="00912EA7"/>
    <w:rsid w:val="00913BA8"/>
    <w:rsid w:val="00913FC2"/>
    <w:rsid w:val="00914462"/>
    <w:rsid w:val="0091453D"/>
    <w:rsid w:val="009155C6"/>
    <w:rsid w:val="00915F79"/>
    <w:rsid w:val="0092107D"/>
    <w:rsid w:val="00922500"/>
    <w:rsid w:val="009231B6"/>
    <w:rsid w:val="00923933"/>
    <w:rsid w:val="00923DDD"/>
    <w:rsid w:val="00924C78"/>
    <w:rsid w:val="009252B8"/>
    <w:rsid w:val="00926B88"/>
    <w:rsid w:val="009273BF"/>
    <w:rsid w:val="00931088"/>
    <w:rsid w:val="0093378A"/>
    <w:rsid w:val="00934D25"/>
    <w:rsid w:val="00935764"/>
    <w:rsid w:val="00936730"/>
    <w:rsid w:val="0093777D"/>
    <w:rsid w:val="00937BC4"/>
    <w:rsid w:val="0094183F"/>
    <w:rsid w:val="00941891"/>
    <w:rsid w:val="00941DA8"/>
    <w:rsid w:val="00944B3D"/>
    <w:rsid w:val="00945263"/>
    <w:rsid w:val="00946182"/>
    <w:rsid w:val="00946E0C"/>
    <w:rsid w:val="00946E6B"/>
    <w:rsid w:val="00947A94"/>
    <w:rsid w:val="009508CB"/>
    <w:rsid w:val="00951DD5"/>
    <w:rsid w:val="00952066"/>
    <w:rsid w:val="00956672"/>
    <w:rsid w:val="00956A18"/>
    <w:rsid w:val="00960403"/>
    <w:rsid w:val="00960801"/>
    <w:rsid w:val="00960991"/>
    <w:rsid w:val="00960EEF"/>
    <w:rsid w:val="0096121A"/>
    <w:rsid w:val="00963F93"/>
    <w:rsid w:val="00964312"/>
    <w:rsid w:val="009665A7"/>
    <w:rsid w:val="009678CA"/>
    <w:rsid w:val="00967B19"/>
    <w:rsid w:val="00970D89"/>
    <w:rsid w:val="0097122D"/>
    <w:rsid w:val="00972672"/>
    <w:rsid w:val="00974A13"/>
    <w:rsid w:val="00974A4C"/>
    <w:rsid w:val="00974F57"/>
    <w:rsid w:val="00976074"/>
    <w:rsid w:val="00980B45"/>
    <w:rsid w:val="00981BE3"/>
    <w:rsid w:val="00982463"/>
    <w:rsid w:val="0098388A"/>
    <w:rsid w:val="00984712"/>
    <w:rsid w:val="00985CE2"/>
    <w:rsid w:val="009865D6"/>
    <w:rsid w:val="00987132"/>
    <w:rsid w:val="00990809"/>
    <w:rsid w:val="00993175"/>
    <w:rsid w:val="00993A36"/>
    <w:rsid w:val="009940CA"/>
    <w:rsid w:val="009966EA"/>
    <w:rsid w:val="00996DAF"/>
    <w:rsid w:val="00996FC2"/>
    <w:rsid w:val="00997385"/>
    <w:rsid w:val="00997674"/>
    <w:rsid w:val="009A0742"/>
    <w:rsid w:val="009A16E2"/>
    <w:rsid w:val="009A2C86"/>
    <w:rsid w:val="009A52C5"/>
    <w:rsid w:val="009A64EF"/>
    <w:rsid w:val="009A679C"/>
    <w:rsid w:val="009A6886"/>
    <w:rsid w:val="009A6B60"/>
    <w:rsid w:val="009A6E1B"/>
    <w:rsid w:val="009A6ED5"/>
    <w:rsid w:val="009A7DA2"/>
    <w:rsid w:val="009A7E12"/>
    <w:rsid w:val="009B05BE"/>
    <w:rsid w:val="009B369C"/>
    <w:rsid w:val="009B45D5"/>
    <w:rsid w:val="009B68C8"/>
    <w:rsid w:val="009B698A"/>
    <w:rsid w:val="009B6FDB"/>
    <w:rsid w:val="009B74A6"/>
    <w:rsid w:val="009B788D"/>
    <w:rsid w:val="009C0C22"/>
    <w:rsid w:val="009C1D9B"/>
    <w:rsid w:val="009C6261"/>
    <w:rsid w:val="009C62E1"/>
    <w:rsid w:val="009C71DE"/>
    <w:rsid w:val="009C797D"/>
    <w:rsid w:val="009D00EC"/>
    <w:rsid w:val="009D0BE2"/>
    <w:rsid w:val="009D0DA7"/>
    <w:rsid w:val="009D1ACE"/>
    <w:rsid w:val="009D21EE"/>
    <w:rsid w:val="009D28DC"/>
    <w:rsid w:val="009D41F8"/>
    <w:rsid w:val="009D7122"/>
    <w:rsid w:val="009D7FED"/>
    <w:rsid w:val="009E0EEA"/>
    <w:rsid w:val="009E1158"/>
    <w:rsid w:val="009E297B"/>
    <w:rsid w:val="009E2B9E"/>
    <w:rsid w:val="009E33D2"/>
    <w:rsid w:val="009E582E"/>
    <w:rsid w:val="009E588D"/>
    <w:rsid w:val="009E68BE"/>
    <w:rsid w:val="009E6F0A"/>
    <w:rsid w:val="009E7598"/>
    <w:rsid w:val="009E7D59"/>
    <w:rsid w:val="009E7F7F"/>
    <w:rsid w:val="009F247E"/>
    <w:rsid w:val="009F3BF9"/>
    <w:rsid w:val="009F5006"/>
    <w:rsid w:val="009F645B"/>
    <w:rsid w:val="009F682A"/>
    <w:rsid w:val="009F72D5"/>
    <w:rsid w:val="009F7D6B"/>
    <w:rsid w:val="00A00714"/>
    <w:rsid w:val="00A0259A"/>
    <w:rsid w:val="00A0342F"/>
    <w:rsid w:val="00A041E3"/>
    <w:rsid w:val="00A04717"/>
    <w:rsid w:val="00A066AE"/>
    <w:rsid w:val="00A07EC9"/>
    <w:rsid w:val="00A120FA"/>
    <w:rsid w:val="00A12235"/>
    <w:rsid w:val="00A125B3"/>
    <w:rsid w:val="00A125F6"/>
    <w:rsid w:val="00A12C71"/>
    <w:rsid w:val="00A130C0"/>
    <w:rsid w:val="00A13875"/>
    <w:rsid w:val="00A14C6C"/>
    <w:rsid w:val="00A15307"/>
    <w:rsid w:val="00A15A76"/>
    <w:rsid w:val="00A163CE"/>
    <w:rsid w:val="00A1714E"/>
    <w:rsid w:val="00A17B1C"/>
    <w:rsid w:val="00A17B80"/>
    <w:rsid w:val="00A202DB"/>
    <w:rsid w:val="00A214CD"/>
    <w:rsid w:val="00A24A5E"/>
    <w:rsid w:val="00A24EA3"/>
    <w:rsid w:val="00A25E07"/>
    <w:rsid w:val="00A262C3"/>
    <w:rsid w:val="00A2645B"/>
    <w:rsid w:val="00A27C77"/>
    <w:rsid w:val="00A3157A"/>
    <w:rsid w:val="00A32AAB"/>
    <w:rsid w:val="00A3433E"/>
    <w:rsid w:val="00A37F7C"/>
    <w:rsid w:val="00A40A7A"/>
    <w:rsid w:val="00A41284"/>
    <w:rsid w:val="00A412AD"/>
    <w:rsid w:val="00A41399"/>
    <w:rsid w:val="00A420E2"/>
    <w:rsid w:val="00A429AC"/>
    <w:rsid w:val="00A43D55"/>
    <w:rsid w:val="00A43EE3"/>
    <w:rsid w:val="00A44D26"/>
    <w:rsid w:val="00A4513B"/>
    <w:rsid w:val="00A51070"/>
    <w:rsid w:val="00A520C6"/>
    <w:rsid w:val="00A531D8"/>
    <w:rsid w:val="00A54D58"/>
    <w:rsid w:val="00A5529D"/>
    <w:rsid w:val="00A625DB"/>
    <w:rsid w:val="00A6260E"/>
    <w:rsid w:val="00A63696"/>
    <w:rsid w:val="00A724AE"/>
    <w:rsid w:val="00A72B91"/>
    <w:rsid w:val="00A7388D"/>
    <w:rsid w:val="00A74FF3"/>
    <w:rsid w:val="00A77539"/>
    <w:rsid w:val="00A775AB"/>
    <w:rsid w:val="00A775BC"/>
    <w:rsid w:val="00A80043"/>
    <w:rsid w:val="00A80124"/>
    <w:rsid w:val="00A8096B"/>
    <w:rsid w:val="00A81DF5"/>
    <w:rsid w:val="00A81FEC"/>
    <w:rsid w:val="00A82C0C"/>
    <w:rsid w:val="00A82C41"/>
    <w:rsid w:val="00A8403B"/>
    <w:rsid w:val="00A871D7"/>
    <w:rsid w:val="00A91A97"/>
    <w:rsid w:val="00A92B15"/>
    <w:rsid w:val="00A93C56"/>
    <w:rsid w:val="00A9435F"/>
    <w:rsid w:val="00A95D7A"/>
    <w:rsid w:val="00A9638C"/>
    <w:rsid w:val="00A96E42"/>
    <w:rsid w:val="00A96F9F"/>
    <w:rsid w:val="00A97E39"/>
    <w:rsid w:val="00AA11DE"/>
    <w:rsid w:val="00AA11FE"/>
    <w:rsid w:val="00AA43FD"/>
    <w:rsid w:val="00AA607E"/>
    <w:rsid w:val="00AA67BF"/>
    <w:rsid w:val="00AA67D5"/>
    <w:rsid w:val="00AA70B6"/>
    <w:rsid w:val="00AA7138"/>
    <w:rsid w:val="00AB0C1C"/>
    <w:rsid w:val="00AB1FDA"/>
    <w:rsid w:val="00AB4CD7"/>
    <w:rsid w:val="00AB55BA"/>
    <w:rsid w:val="00AB5FC6"/>
    <w:rsid w:val="00AC006E"/>
    <w:rsid w:val="00AC1462"/>
    <w:rsid w:val="00AC14E2"/>
    <w:rsid w:val="00AC31B9"/>
    <w:rsid w:val="00AC4D94"/>
    <w:rsid w:val="00AC5CFD"/>
    <w:rsid w:val="00AC6042"/>
    <w:rsid w:val="00AC608F"/>
    <w:rsid w:val="00AC6783"/>
    <w:rsid w:val="00AC7D8E"/>
    <w:rsid w:val="00AD021A"/>
    <w:rsid w:val="00AD0959"/>
    <w:rsid w:val="00AD0E0C"/>
    <w:rsid w:val="00AD12EB"/>
    <w:rsid w:val="00AD16F6"/>
    <w:rsid w:val="00AD1C81"/>
    <w:rsid w:val="00AD3DBD"/>
    <w:rsid w:val="00AD712C"/>
    <w:rsid w:val="00AE06FD"/>
    <w:rsid w:val="00AE1225"/>
    <w:rsid w:val="00AE2A3E"/>
    <w:rsid w:val="00AE5FB5"/>
    <w:rsid w:val="00AE7838"/>
    <w:rsid w:val="00AF282E"/>
    <w:rsid w:val="00AF3FE8"/>
    <w:rsid w:val="00AF4B0C"/>
    <w:rsid w:val="00AF4E39"/>
    <w:rsid w:val="00AF67CE"/>
    <w:rsid w:val="00AF6A70"/>
    <w:rsid w:val="00AF7654"/>
    <w:rsid w:val="00B00C15"/>
    <w:rsid w:val="00B0126A"/>
    <w:rsid w:val="00B01684"/>
    <w:rsid w:val="00B03EDD"/>
    <w:rsid w:val="00B04852"/>
    <w:rsid w:val="00B04AB8"/>
    <w:rsid w:val="00B053A5"/>
    <w:rsid w:val="00B0551B"/>
    <w:rsid w:val="00B05654"/>
    <w:rsid w:val="00B06657"/>
    <w:rsid w:val="00B07237"/>
    <w:rsid w:val="00B07E1E"/>
    <w:rsid w:val="00B11820"/>
    <w:rsid w:val="00B12685"/>
    <w:rsid w:val="00B137C6"/>
    <w:rsid w:val="00B147F4"/>
    <w:rsid w:val="00B1660A"/>
    <w:rsid w:val="00B168FC"/>
    <w:rsid w:val="00B16B83"/>
    <w:rsid w:val="00B16C2A"/>
    <w:rsid w:val="00B171F6"/>
    <w:rsid w:val="00B17C59"/>
    <w:rsid w:val="00B20E06"/>
    <w:rsid w:val="00B24C14"/>
    <w:rsid w:val="00B24E2C"/>
    <w:rsid w:val="00B262F3"/>
    <w:rsid w:val="00B26A33"/>
    <w:rsid w:val="00B30452"/>
    <w:rsid w:val="00B32193"/>
    <w:rsid w:val="00B32F95"/>
    <w:rsid w:val="00B33565"/>
    <w:rsid w:val="00B3531E"/>
    <w:rsid w:val="00B355B1"/>
    <w:rsid w:val="00B3563A"/>
    <w:rsid w:val="00B35691"/>
    <w:rsid w:val="00B4092F"/>
    <w:rsid w:val="00B40AB2"/>
    <w:rsid w:val="00B40B8F"/>
    <w:rsid w:val="00B410D5"/>
    <w:rsid w:val="00B41ED7"/>
    <w:rsid w:val="00B41F2F"/>
    <w:rsid w:val="00B42919"/>
    <w:rsid w:val="00B441CE"/>
    <w:rsid w:val="00B44527"/>
    <w:rsid w:val="00B449B5"/>
    <w:rsid w:val="00B45102"/>
    <w:rsid w:val="00B45FA7"/>
    <w:rsid w:val="00B463EE"/>
    <w:rsid w:val="00B47A72"/>
    <w:rsid w:val="00B50E34"/>
    <w:rsid w:val="00B53E21"/>
    <w:rsid w:val="00B54CA8"/>
    <w:rsid w:val="00B55126"/>
    <w:rsid w:val="00B55B33"/>
    <w:rsid w:val="00B55EE7"/>
    <w:rsid w:val="00B566EF"/>
    <w:rsid w:val="00B5697A"/>
    <w:rsid w:val="00B570FE"/>
    <w:rsid w:val="00B60639"/>
    <w:rsid w:val="00B607EE"/>
    <w:rsid w:val="00B60C0D"/>
    <w:rsid w:val="00B61FDB"/>
    <w:rsid w:val="00B6354C"/>
    <w:rsid w:val="00B65CC2"/>
    <w:rsid w:val="00B6630A"/>
    <w:rsid w:val="00B6673B"/>
    <w:rsid w:val="00B70BC1"/>
    <w:rsid w:val="00B70E7F"/>
    <w:rsid w:val="00B70EA8"/>
    <w:rsid w:val="00B7168D"/>
    <w:rsid w:val="00B7178E"/>
    <w:rsid w:val="00B71A16"/>
    <w:rsid w:val="00B71C1A"/>
    <w:rsid w:val="00B73067"/>
    <w:rsid w:val="00B74500"/>
    <w:rsid w:val="00B74912"/>
    <w:rsid w:val="00B75465"/>
    <w:rsid w:val="00B75605"/>
    <w:rsid w:val="00B801F5"/>
    <w:rsid w:val="00B81BEC"/>
    <w:rsid w:val="00B81E9D"/>
    <w:rsid w:val="00B83868"/>
    <w:rsid w:val="00B8407E"/>
    <w:rsid w:val="00B84125"/>
    <w:rsid w:val="00B8500E"/>
    <w:rsid w:val="00B87F6D"/>
    <w:rsid w:val="00B91CC9"/>
    <w:rsid w:val="00B91E6D"/>
    <w:rsid w:val="00B92CB5"/>
    <w:rsid w:val="00B92E3C"/>
    <w:rsid w:val="00B938BF"/>
    <w:rsid w:val="00B94748"/>
    <w:rsid w:val="00BA0136"/>
    <w:rsid w:val="00BA040B"/>
    <w:rsid w:val="00BA0A5B"/>
    <w:rsid w:val="00BA0C0D"/>
    <w:rsid w:val="00BA0D75"/>
    <w:rsid w:val="00BA0ECF"/>
    <w:rsid w:val="00BA13A2"/>
    <w:rsid w:val="00BA14B5"/>
    <w:rsid w:val="00BA243F"/>
    <w:rsid w:val="00BA29BB"/>
    <w:rsid w:val="00BA314D"/>
    <w:rsid w:val="00BA69CE"/>
    <w:rsid w:val="00BA69DD"/>
    <w:rsid w:val="00BA77FE"/>
    <w:rsid w:val="00BB0B17"/>
    <w:rsid w:val="00BB1E0F"/>
    <w:rsid w:val="00BB21D3"/>
    <w:rsid w:val="00BB3E89"/>
    <w:rsid w:val="00BB3F9E"/>
    <w:rsid w:val="00BB405B"/>
    <w:rsid w:val="00BB42BE"/>
    <w:rsid w:val="00BB5E57"/>
    <w:rsid w:val="00BB7169"/>
    <w:rsid w:val="00BC0992"/>
    <w:rsid w:val="00BC09D2"/>
    <w:rsid w:val="00BC1AA3"/>
    <w:rsid w:val="00BC4239"/>
    <w:rsid w:val="00BC495A"/>
    <w:rsid w:val="00BC4996"/>
    <w:rsid w:val="00BD40C8"/>
    <w:rsid w:val="00BD4F09"/>
    <w:rsid w:val="00BD54EE"/>
    <w:rsid w:val="00BD78F2"/>
    <w:rsid w:val="00BD7DEC"/>
    <w:rsid w:val="00BE174A"/>
    <w:rsid w:val="00BE40A0"/>
    <w:rsid w:val="00BE43BF"/>
    <w:rsid w:val="00BE46D4"/>
    <w:rsid w:val="00BE57CB"/>
    <w:rsid w:val="00BF0BC2"/>
    <w:rsid w:val="00BF0C43"/>
    <w:rsid w:val="00BF1E13"/>
    <w:rsid w:val="00BF23E3"/>
    <w:rsid w:val="00BF4313"/>
    <w:rsid w:val="00BF4D21"/>
    <w:rsid w:val="00BF5183"/>
    <w:rsid w:val="00BF5F33"/>
    <w:rsid w:val="00BF6104"/>
    <w:rsid w:val="00BF65F5"/>
    <w:rsid w:val="00C00450"/>
    <w:rsid w:val="00C01057"/>
    <w:rsid w:val="00C0211C"/>
    <w:rsid w:val="00C028BE"/>
    <w:rsid w:val="00C02CCE"/>
    <w:rsid w:val="00C04A99"/>
    <w:rsid w:val="00C05226"/>
    <w:rsid w:val="00C057FE"/>
    <w:rsid w:val="00C05E04"/>
    <w:rsid w:val="00C06B8A"/>
    <w:rsid w:val="00C07EA5"/>
    <w:rsid w:val="00C1074A"/>
    <w:rsid w:val="00C11047"/>
    <w:rsid w:val="00C1162F"/>
    <w:rsid w:val="00C14373"/>
    <w:rsid w:val="00C1542D"/>
    <w:rsid w:val="00C158FB"/>
    <w:rsid w:val="00C160D8"/>
    <w:rsid w:val="00C204DB"/>
    <w:rsid w:val="00C2070B"/>
    <w:rsid w:val="00C21952"/>
    <w:rsid w:val="00C21A05"/>
    <w:rsid w:val="00C22CB0"/>
    <w:rsid w:val="00C237EF"/>
    <w:rsid w:val="00C329EC"/>
    <w:rsid w:val="00C334EE"/>
    <w:rsid w:val="00C33C87"/>
    <w:rsid w:val="00C4258B"/>
    <w:rsid w:val="00C426F6"/>
    <w:rsid w:val="00C4280B"/>
    <w:rsid w:val="00C43401"/>
    <w:rsid w:val="00C43E07"/>
    <w:rsid w:val="00C45411"/>
    <w:rsid w:val="00C4622C"/>
    <w:rsid w:val="00C4786C"/>
    <w:rsid w:val="00C52216"/>
    <w:rsid w:val="00C5233D"/>
    <w:rsid w:val="00C53077"/>
    <w:rsid w:val="00C534E4"/>
    <w:rsid w:val="00C5374E"/>
    <w:rsid w:val="00C53D44"/>
    <w:rsid w:val="00C5414A"/>
    <w:rsid w:val="00C54896"/>
    <w:rsid w:val="00C54F6B"/>
    <w:rsid w:val="00C57195"/>
    <w:rsid w:val="00C576E6"/>
    <w:rsid w:val="00C60553"/>
    <w:rsid w:val="00C60B4F"/>
    <w:rsid w:val="00C6210C"/>
    <w:rsid w:val="00C65D2D"/>
    <w:rsid w:val="00C6740E"/>
    <w:rsid w:val="00C675AB"/>
    <w:rsid w:val="00C678B9"/>
    <w:rsid w:val="00C707E7"/>
    <w:rsid w:val="00C70E28"/>
    <w:rsid w:val="00C72DBA"/>
    <w:rsid w:val="00C762B9"/>
    <w:rsid w:val="00C765CF"/>
    <w:rsid w:val="00C83077"/>
    <w:rsid w:val="00C83318"/>
    <w:rsid w:val="00C848B4"/>
    <w:rsid w:val="00C85F36"/>
    <w:rsid w:val="00C87E9B"/>
    <w:rsid w:val="00C91F0F"/>
    <w:rsid w:val="00C9272B"/>
    <w:rsid w:val="00C9311D"/>
    <w:rsid w:val="00C97598"/>
    <w:rsid w:val="00C97C4C"/>
    <w:rsid w:val="00CA09E5"/>
    <w:rsid w:val="00CA1D50"/>
    <w:rsid w:val="00CA3D44"/>
    <w:rsid w:val="00CA42EC"/>
    <w:rsid w:val="00CA474A"/>
    <w:rsid w:val="00CA4DC4"/>
    <w:rsid w:val="00CA69D5"/>
    <w:rsid w:val="00CA7105"/>
    <w:rsid w:val="00CB0512"/>
    <w:rsid w:val="00CB275C"/>
    <w:rsid w:val="00CB28C5"/>
    <w:rsid w:val="00CB2B41"/>
    <w:rsid w:val="00CB518B"/>
    <w:rsid w:val="00CB5C27"/>
    <w:rsid w:val="00CB6370"/>
    <w:rsid w:val="00CB6F86"/>
    <w:rsid w:val="00CC00B3"/>
    <w:rsid w:val="00CC062F"/>
    <w:rsid w:val="00CC2272"/>
    <w:rsid w:val="00CC2626"/>
    <w:rsid w:val="00CC3432"/>
    <w:rsid w:val="00CC35F4"/>
    <w:rsid w:val="00CC78F0"/>
    <w:rsid w:val="00CD065B"/>
    <w:rsid w:val="00CD3ACC"/>
    <w:rsid w:val="00CD44E8"/>
    <w:rsid w:val="00CD791E"/>
    <w:rsid w:val="00CD7BFB"/>
    <w:rsid w:val="00CE11F6"/>
    <w:rsid w:val="00CE1F5B"/>
    <w:rsid w:val="00CE2B0C"/>
    <w:rsid w:val="00CE50D8"/>
    <w:rsid w:val="00CE514A"/>
    <w:rsid w:val="00CE5968"/>
    <w:rsid w:val="00CE6179"/>
    <w:rsid w:val="00CE7215"/>
    <w:rsid w:val="00CE78B3"/>
    <w:rsid w:val="00CF1168"/>
    <w:rsid w:val="00CF12F1"/>
    <w:rsid w:val="00CF17D1"/>
    <w:rsid w:val="00CF203A"/>
    <w:rsid w:val="00CF34AC"/>
    <w:rsid w:val="00CF3B2C"/>
    <w:rsid w:val="00CF40EA"/>
    <w:rsid w:val="00CF6DC8"/>
    <w:rsid w:val="00D014D1"/>
    <w:rsid w:val="00D015BD"/>
    <w:rsid w:val="00D02628"/>
    <w:rsid w:val="00D02E7E"/>
    <w:rsid w:val="00D0363B"/>
    <w:rsid w:val="00D054F6"/>
    <w:rsid w:val="00D101D5"/>
    <w:rsid w:val="00D10C16"/>
    <w:rsid w:val="00D119A1"/>
    <w:rsid w:val="00D11DD4"/>
    <w:rsid w:val="00D14266"/>
    <w:rsid w:val="00D14A77"/>
    <w:rsid w:val="00D150EA"/>
    <w:rsid w:val="00D154DB"/>
    <w:rsid w:val="00D15A0A"/>
    <w:rsid w:val="00D1671C"/>
    <w:rsid w:val="00D16C89"/>
    <w:rsid w:val="00D20611"/>
    <w:rsid w:val="00D20E85"/>
    <w:rsid w:val="00D218A0"/>
    <w:rsid w:val="00D22ECC"/>
    <w:rsid w:val="00D2391D"/>
    <w:rsid w:val="00D25F1C"/>
    <w:rsid w:val="00D32FA8"/>
    <w:rsid w:val="00D34A04"/>
    <w:rsid w:val="00D34A5B"/>
    <w:rsid w:val="00D35F37"/>
    <w:rsid w:val="00D362CE"/>
    <w:rsid w:val="00D36558"/>
    <w:rsid w:val="00D37917"/>
    <w:rsid w:val="00D403CD"/>
    <w:rsid w:val="00D40790"/>
    <w:rsid w:val="00D41E6A"/>
    <w:rsid w:val="00D4239C"/>
    <w:rsid w:val="00D42918"/>
    <w:rsid w:val="00D42B67"/>
    <w:rsid w:val="00D46E9F"/>
    <w:rsid w:val="00D528EE"/>
    <w:rsid w:val="00D52F62"/>
    <w:rsid w:val="00D53766"/>
    <w:rsid w:val="00D561CE"/>
    <w:rsid w:val="00D568B9"/>
    <w:rsid w:val="00D600E6"/>
    <w:rsid w:val="00D62132"/>
    <w:rsid w:val="00D64154"/>
    <w:rsid w:val="00D64646"/>
    <w:rsid w:val="00D66054"/>
    <w:rsid w:val="00D669BD"/>
    <w:rsid w:val="00D70D36"/>
    <w:rsid w:val="00D7310A"/>
    <w:rsid w:val="00D745E6"/>
    <w:rsid w:val="00D74A98"/>
    <w:rsid w:val="00D74C58"/>
    <w:rsid w:val="00D75007"/>
    <w:rsid w:val="00D7575A"/>
    <w:rsid w:val="00D7741C"/>
    <w:rsid w:val="00D77B20"/>
    <w:rsid w:val="00D77E81"/>
    <w:rsid w:val="00D806F0"/>
    <w:rsid w:val="00D81D23"/>
    <w:rsid w:val="00D841E2"/>
    <w:rsid w:val="00D8487E"/>
    <w:rsid w:val="00D856D0"/>
    <w:rsid w:val="00D865D3"/>
    <w:rsid w:val="00D8682C"/>
    <w:rsid w:val="00D879BB"/>
    <w:rsid w:val="00D91189"/>
    <w:rsid w:val="00D914B2"/>
    <w:rsid w:val="00D91C2D"/>
    <w:rsid w:val="00D94394"/>
    <w:rsid w:val="00D961E6"/>
    <w:rsid w:val="00D97F44"/>
    <w:rsid w:val="00DA240F"/>
    <w:rsid w:val="00DA45F7"/>
    <w:rsid w:val="00DA799F"/>
    <w:rsid w:val="00DA7FA8"/>
    <w:rsid w:val="00DB39C3"/>
    <w:rsid w:val="00DB3F45"/>
    <w:rsid w:val="00DB6359"/>
    <w:rsid w:val="00DB63FB"/>
    <w:rsid w:val="00DB7728"/>
    <w:rsid w:val="00DC1D8E"/>
    <w:rsid w:val="00DC1E83"/>
    <w:rsid w:val="00DC3CBE"/>
    <w:rsid w:val="00DC52F0"/>
    <w:rsid w:val="00DC5CC2"/>
    <w:rsid w:val="00DD00A6"/>
    <w:rsid w:val="00DD034C"/>
    <w:rsid w:val="00DD04FE"/>
    <w:rsid w:val="00DD1D2C"/>
    <w:rsid w:val="00DD503E"/>
    <w:rsid w:val="00DD581C"/>
    <w:rsid w:val="00DD6D34"/>
    <w:rsid w:val="00DD706F"/>
    <w:rsid w:val="00DD7846"/>
    <w:rsid w:val="00DD7AE5"/>
    <w:rsid w:val="00DE06E5"/>
    <w:rsid w:val="00DE10AB"/>
    <w:rsid w:val="00DE1C37"/>
    <w:rsid w:val="00DE365A"/>
    <w:rsid w:val="00DE43B1"/>
    <w:rsid w:val="00DE452C"/>
    <w:rsid w:val="00DE57A8"/>
    <w:rsid w:val="00DE5920"/>
    <w:rsid w:val="00DE5BFD"/>
    <w:rsid w:val="00DE5D16"/>
    <w:rsid w:val="00DE676A"/>
    <w:rsid w:val="00DE681C"/>
    <w:rsid w:val="00DE708D"/>
    <w:rsid w:val="00DF0727"/>
    <w:rsid w:val="00DF4BC1"/>
    <w:rsid w:val="00DF5944"/>
    <w:rsid w:val="00DF6091"/>
    <w:rsid w:val="00DF7FBC"/>
    <w:rsid w:val="00E00B95"/>
    <w:rsid w:val="00E00C4F"/>
    <w:rsid w:val="00E01859"/>
    <w:rsid w:val="00E02682"/>
    <w:rsid w:val="00E03F32"/>
    <w:rsid w:val="00E068BA"/>
    <w:rsid w:val="00E104CD"/>
    <w:rsid w:val="00E109DD"/>
    <w:rsid w:val="00E10DA7"/>
    <w:rsid w:val="00E136E3"/>
    <w:rsid w:val="00E16258"/>
    <w:rsid w:val="00E16D47"/>
    <w:rsid w:val="00E211F4"/>
    <w:rsid w:val="00E21D71"/>
    <w:rsid w:val="00E22391"/>
    <w:rsid w:val="00E22C46"/>
    <w:rsid w:val="00E24E81"/>
    <w:rsid w:val="00E269C7"/>
    <w:rsid w:val="00E303F9"/>
    <w:rsid w:val="00E30DBB"/>
    <w:rsid w:val="00E312D2"/>
    <w:rsid w:val="00E31C07"/>
    <w:rsid w:val="00E31D4E"/>
    <w:rsid w:val="00E332BD"/>
    <w:rsid w:val="00E35FA2"/>
    <w:rsid w:val="00E3734B"/>
    <w:rsid w:val="00E4040C"/>
    <w:rsid w:val="00E41A43"/>
    <w:rsid w:val="00E43ABF"/>
    <w:rsid w:val="00E45208"/>
    <w:rsid w:val="00E46397"/>
    <w:rsid w:val="00E4781A"/>
    <w:rsid w:val="00E50F2B"/>
    <w:rsid w:val="00E515E0"/>
    <w:rsid w:val="00E520E9"/>
    <w:rsid w:val="00E55D94"/>
    <w:rsid w:val="00E567D0"/>
    <w:rsid w:val="00E5713A"/>
    <w:rsid w:val="00E605BE"/>
    <w:rsid w:val="00E62148"/>
    <w:rsid w:val="00E62AEF"/>
    <w:rsid w:val="00E63F5E"/>
    <w:rsid w:val="00E64B2B"/>
    <w:rsid w:val="00E653A6"/>
    <w:rsid w:val="00E658B7"/>
    <w:rsid w:val="00E65D18"/>
    <w:rsid w:val="00E66453"/>
    <w:rsid w:val="00E7089F"/>
    <w:rsid w:val="00E70D42"/>
    <w:rsid w:val="00E73DA6"/>
    <w:rsid w:val="00E81EEA"/>
    <w:rsid w:val="00E8313D"/>
    <w:rsid w:val="00E83893"/>
    <w:rsid w:val="00E84864"/>
    <w:rsid w:val="00E8529F"/>
    <w:rsid w:val="00E85B3D"/>
    <w:rsid w:val="00E85E64"/>
    <w:rsid w:val="00E8632D"/>
    <w:rsid w:val="00E877CE"/>
    <w:rsid w:val="00E87A87"/>
    <w:rsid w:val="00E87EDC"/>
    <w:rsid w:val="00E93117"/>
    <w:rsid w:val="00E93BAB"/>
    <w:rsid w:val="00E9448F"/>
    <w:rsid w:val="00E949EC"/>
    <w:rsid w:val="00E94A74"/>
    <w:rsid w:val="00E95027"/>
    <w:rsid w:val="00E95EE8"/>
    <w:rsid w:val="00E96209"/>
    <w:rsid w:val="00E9731B"/>
    <w:rsid w:val="00E97E3B"/>
    <w:rsid w:val="00EA124E"/>
    <w:rsid w:val="00EA3201"/>
    <w:rsid w:val="00EA3BB3"/>
    <w:rsid w:val="00EA4790"/>
    <w:rsid w:val="00EA4DF8"/>
    <w:rsid w:val="00EA5C1B"/>
    <w:rsid w:val="00EA6FA3"/>
    <w:rsid w:val="00EB0A59"/>
    <w:rsid w:val="00EB1390"/>
    <w:rsid w:val="00EB1C65"/>
    <w:rsid w:val="00EB3255"/>
    <w:rsid w:val="00EB4C06"/>
    <w:rsid w:val="00EB4EA8"/>
    <w:rsid w:val="00EB5F8E"/>
    <w:rsid w:val="00EC03A8"/>
    <w:rsid w:val="00EC1777"/>
    <w:rsid w:val="00EC2E62"/>
    <w:rsid w:val="00EC3371"/>
    <w:rsid w:val="00EC3AF1"/>
    <w:rsid w:val="00EC4118"/>
    <w:rsid w:val="00EC46FF"/>
    <w:rsid w:val="00EC652B"/>
    <w:rsid w:val="00EC7F78"/>
    <w:rsid w:val="00ED1840"/>
    <w:rsid w:val="00ED3CCA"/>
    <w:rsid w:val="00ED66BA"/>
    <w:rsid w:val="00ED6726"/>
    <w:rsid w:val="00ED6C1A"/>
    <w:rsid w:val="00ED767E"/>
    <w:rsid w:val="00EE177F"/>
    <w:rsid w:val="00EE1C14"/>
    <w:rsid w:val="00EE385C"/>
    <w:rsid w:val="00EE3BD3"/>
    <w:rsid w:val="00EE52FC"/>
    <w:rsid w:val="00EE5C22"/>
    <w:rsid w:val="00EE6130"/>
    <w:rsid w:val="00EE6C6E"/>
    <w:rsid w:val="00EF1C08"/>
    <w:rsid w:val="00EF3A8B"/>
    <w:rsid w:val="00EF50FB"/>
    <w:rsid w:val="00EF6DC8"/>
    <w:rsid w:val="00F00A52"/>
    <w:rsid w:val="00F02DAB"/>
    <w:rsid w:val="00F03CE0"/>
    <w:rsid w:val="00F041E6"/>
    <w:rsid w:val="00F05DFF"/>
    <w:rsid w:val="00F07C07"/>
    <w:rsid w:val="00F07CC7"/>
    <w:rsid w:val="00F10CCC"/>
    <w:rsid w:val="00F11728"/>
    <w:rsid w:val="00F11780"/>
    <w:rsid w:val="00F13FC5"/>
    <w:rsid w:val="00F20026"/>
    <w:rsid w:val="00F229FB"/>
    <w:rsid w:val="00F24754"/>
    <w:rsid w:val="00F25324"/>
    <w:rsid w:val="00F25DF3"/>
    <w:rsid w:val="00F26EAB"/>
    <w:rsid w:val="00F27770"/>
    <w:rsid w:val="00F30553"/>
    <w:rsid w:val="00F30914"/>
    <w:rsid w:val="00F30C6F"/>
    <w:rsid w:val="00F3540B"/>
    <w:rsid w:val="00F354E8"/>
    <w:rsid w:val="00F3671A"/>
    <w:rsid w:val="00F37EF5"/>
    <w:rsid w:val="00F4385F"/>
    <w:rsid w:val="00F44151"/>
    <w:rsid w:val="00F45C48"/>
    <w:rsid w:val="00F47275"/>
    <w:rsid w:val="00F50A10"/>
    <w:rsid w:val="00F516E8"/>
    <w:rsid w:val="00F53F7E"/>
    <w:rsid w:val="00F555D0"/>
    <w:rsid w:val="00F565D8"/>
    <w:rsid w:val="00F576DC"/>
    <w:rsid w:val="00F57B10"/>
    <w:rsid w:val="00F57C3A"/>
    <w:rsid w:val="00F61A1B"/>
    <w:rsid w:val="00F62B11"/>
    <w:rsid w:val="00F63D9D"/>
    <w:rsid w:val="00F643C2"/>
    <w:rsid w:val="00F646B0"/>
    <w:rsid w:val="00F64C5D"/>
    <w:rsid w:val="00F668D9"/>
    <w:rsid w:val="00F669EC"/>
    <w:rsid w:val="00F67A91"/>
    <w:rsid w:val="00F708CE"/>
    <w:rsid w:val="00F70DCB"/>
    <w:rsid w:val="00F71357"/>
    <w:rsid w:val="00F7530F"/>
    <w:rsid w:val="00F75358"/>
    <w:rsid w:val="00F75742"/>
    <w:rsid w:val="00F75F5E"/>
    <w:rsid w:val="00F764D8"/>
    <w:rsid w:val="00F76584"/>
    <w:rsid w:val="00F80AAD"/>
    <w:rsid w:val="00F80E9E"/>
    <w:rsid w:val="00F81748"/>
    <w:rsid w:val="00F8287B"/>
    <w:rsid w:val="00F85275"/>
    <w:rsid w:val="00F85628"/>
    <w:rsid w:val="00F85657"/>
    <w:rsid w:val="00F85D72"/>
    <w:rsid w:val="00F87806"/>
    <w:rsid w:val="00F907E2"/>
    <w:rsid w:val="00F90F49"/>
    <w:rsid w:val="00F90F75"/>
    <w:rsid w:val="00F91169"/>
    <w:rsid w:val="00F9215A"/>
    <w:rsid w:val="00F93660"/>
    <w:rsid w:val="00F93E43"/>
    <w:rsid w:val="00F94202"/>
    <w:rsid w:val="00F954A5"/>
    <w:rsid w:val="00F96416"/>
    <w:rsid w:val="00F968F0"/>
    <w:rsid w:val="00F970B8"/>
    <w:rsid w:val="00FA1E73"/>
    <w:rsid w:val="00FA3631"/>
    <w:rsid w:val="00FA6319"/>
    <w:rsid w:val="00FA6CFB"/>
    <w:rsid w:val="00FA70AE"/>
    <w:rsid w:val="00FB0252"/>
    <w:rsid w:val="00FB0A8D"/>
    <w:rsid w:val="00FB0AFB"/>
    <w:rsid w:val="00FB1952"/>
    <w:rsid w:val="00FB2461"/>
    <w:rsid w:val="00FB287F"/>
    <w:rsid w:val="00FB2985"/>
    <w:rsid w:val="00FB45E3"/>
    <w:rsid w:val="00FB5E10"/>
    <w:rsid w:val="00FB61B8"/>
    <w:rsid w:val="00FB646B"/>
    <w:rsid w:val="00FB77A4"/>
    <w:rsid w:val="00FC170C"/>
    <w:rsid w:val="00FC1C5A"/>
    <w:rsid w:val="00FC3F9F"/>
    <w:rsid w:val="00FC45CF"/>
    <w:rsid w:val="00FC69F0"/>
    <w:rsid w:val="00FC7060"/>
    <w:rsid w:val="00FC717F"/>
    <w:rsid w:val="00FC77EB"/>
    <w:rsid w:val="00FD0971"/>
    <w:rsid w:val="00FD2351"/>
    <w:rsid w:val="00FD3D3A"/>
    <w:rsid w:val="00FD43A9"/>
    <w:rsid w:val="00FD4781"/>
    <w:rsid w:val="00FD4855"/>
    <w:rsid w:val="00FD545B"/>
    <w:rsid w:val="00FE354D"/>
    <w:rsid w:val="00FE36B6"/>
    <w:rsid w:val="00FE3808"/>
    <w:rsid w:val="00FE3D46"/>
    <w:rsid w:val="00FE4D2D"/>
    <w:rsid w:val="00FE4E31"/>
    <w:rsid w:val="00FE7209"/>
    <w:rsid w:val="00FF1CF2"/>
    <w:rsid w:val="00FF25BE"/>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91710"/>
  <w15:docId w15:val="{3E227868-53F7-419F-AAAE-DF7C9035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E9"/>
    <w:rPr>
      <w:sz w:val="28"/>
      <w:szCs w:val="22"/>
      <w:lang w:eastAsia="en-US"/>
    </w:rPr>
  </w:style>
  <w:style w:type="paragraph" w:styleId="Heading1">
    <w:name w:val="heading 1"/>
    <w:basedOn w:val="Normal"/>
    <w:next w:val="Normal"/>
    <w:link w:val="Heading1Char"/>
    <w:uiPriority w:val="9"/>
    <w:qFormat/>
    <w:rsid w:val="00A130C0"/>
    <w:pPr>
      <w:keepNext/>
      <w:keepLines/>
      <w:outlineLvl w:val="0"/>
    </w:pPr>
    <w:rPr>
      <w:rFonts w:eastAsia="Times New Roman"/>
      <w:b/>
      <w:bCs/>
      <w:sz w:val="32"/>
      <w:szCs w:val="28"/>
    </w:rPr>
  </w:style>
  <w:style w:type="paragraph" w:styleId="Heading5">
    <w:name w:val="heading 5"/>
    <w:basedOn w:val="Normal"/>
    <w:next w:val="Normal"/>
    <w:link w:val="Heading5Char"/>
    <w:qFormat/>
    <w:rsid w:val="00BB1E0F"/>
    <w:pPr>
      <w:suppressAutoHyphens/>
      <w:spacing w:before="240" w:after="60"/>
      <w:outlineLvl w:val="4"/>
    </w:pPr>
    <w:rPr>
      <w:rFonts w:eastAsia="Times New Roman"/>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A039A"/>
    <w:pPr>
      <w:spacing w:before="100" w:beforeAutospacing="1" w:after="100" w:afterAutospacing="1"/>
    </w:pPr>
    <w:rPr>
      <w:rFonts w:eastAsia="Times New Roman"/>
      <w:sz w:val="24"/>
      <w:szCs w:val="24"/>
      <w:lang w:eastAsia="lv-LV"/>
    </w:rPr>
  </w:style>
  <w:style w:type="paragraph" w:customStyle="1" w:styleId="naisc">
    <w:name w:val="naisc"/>
    <w:basedOn w:val="Normal"/>
    <w:rsid w:val="005A039A"/>
    <w:pPr>
      <w:spacing w:before="100" w:beforeAutospacing="1" w:after="100" w:afterAutospacing="1"/>
    </w:pPr>
    <w:rPr>
      <w:rFonts w:eastAsia="Times New Roman"/>
      <w:sz w:val="24"/>
      <w:szCs w:val="24"/>
      <w:lang w:eastAsia="lv-LV"/>
    </w:rPr>
  </w:style>
  <w:style w:type="paragraph" w:customStyle="1" w:styleId="naiskr">
    <w:name w:val="naiskr"/>
    <w:basedOn w:val="Normal"/>
    <w:rsid w:val="005A039A"/>
    <w:pPr>
      <w:spacing w:before="100" w:beforeAutospacing="1" w:after="100" w:afterAutospacing="1"/>
    </w:pPr>
    <w:rPr>
      <w:rFonts w:eastAsia="Times New Roman"/>
      <w:sz w:val="24"/>
      <w:szCs w:val="24"/>
      <w:lang w:eastAsia="lv-LV"/>
    </w:rPr>
  </w:style>
  <w:style w:type="paragraph" w:customStyle="1" w:styleId="naislab">
    <w:name w:val="naislab"/>
    <w:basedOn w:val="Normal"/>
    <w:rsid w:val="005A039A"/>
    <w:pPr>
      <w:spacing w:before="100" w:beforeAutospacing="1" w:after="100" w:afterAutospacing="1"/>
    </w:pPr>
    <w:rPr>
      <w:rFonts w:eastAsia="Times New Roman"/>
      <w:sz w:val="24"/>
      <w:szCs w:val="24"/>
      <w:lang w:eastAsia="lv-LV"/>
    </w:rPr>
  </w:style>
  <w:style w:type="paragraph" w:customStyle="1" w:styleId="naisf">
    <w:name w:val="naisf"/>
    <w:basedOn w:val="Normal"/>
    <w:rsid w:val="005A039A"/>
    <w:pPr>
      <w:spacing w:before="100" w:beforeAutospacing="1" w:after="100" w:afterAutospacing="1"/>
    </w:pPr>
    <w:rPr>
      <w:rFonts w:eastAsia="Times New Roman"/>
      <w:sz w:val="24"/>
      <w:szCs w:val="24"/>
      <w:lang w:eastAsia="lv-LV"/>
    </w:rPr>
  </w:style>
  <w:style w:type="paragraph" w:styleId="ListParagraph">
    <w:name w:val="List Paragraph"/>
    <w:basedOn w:val="Normal"/>
    <w:qFormat/>
    <w:rsid w:val="00A130C0"/>
    <w:pPr>
      <w:spacing w:after="200" w:line="276" w:lineRule="auto"/>
      <w:ind w:left="720"/>
      <w:contextualSpacing/>
    </w:pPr>
  </w:style>
  <w:style w:type="character" w:customStyle="1" w:styleId="Heading1Char">
    <w:name w:val="Heading 1 Char"/>
    <w:link w:val="Heading1"/>
    <w:uiPriority w:val="9"/>
    <w:rsid w:val="00A130C0"/>
    <w:rPr>
      <w:rFonts w:eastAsia="Times New Roman" w:cs="Times New Roman"/>
      <w:b/>
      <w:bCs/>
      <w:sz w:val="32"/>
      <w:szCs w:val="28"/>
    </w:rPr>
  </w:style>
  <w:style w:type="character" w:customStyle="1" w:styleId="spelle">
    <w:name w:val="spelle"/>
    <w:basedOn w:val="DefaultParagraphFont"/>
    <w:rsid w:val="00A130C0"/>
  </w:style>
  <w:style w:type="character" w:styleId="Hyperlink">
    <w:name w:val="Hyperlink"/>
    <w:uiPriority w:val="99"/>
    <w:rsid w:val="0070128C"/>
    <w:rPr>
      <w:color w:val="0000FF"/>
      <w:u w:val="single"/>
    </w:rPr>
  </w:style>
  <w:style w:type="character" w:styleId="Strong">
    <w:name w:val="Strong"/>
    <w:uiPriority w:val="99"/>
    <w:qFormat/>
    <w:rsid w:val="0070128C"/>
    <w:rPr>
      <w:b/>
      <w:bCs/>
    </w:rPr>
  </w:style>
  <w:style w:type="character" w:styleId="CommentReference">
    <w:name w:val="annotation reference"/>
    <w:uiPriority w:val="99"/>
    <w:semiHidden/>
    <w:unhideWhenUsed/>
    <w:rsid w:val="009D7FED"/>
    <w:rPr>
      <w:sz w:val="16"/>
      <w:szCs w:val="16"/>
    </w:rPr>
  </w:style>
  <w:style w:type="paragraph" w:styleId="CommentText">
    <w:name w:val="annotation text"/>
    <w:basedOn w:val="Normal"/>
    <w:link w:val="CommentTextChar"/>
    <w:uiPriority w:val="99"/>
    <w:unhideWhenUsed/>
    <w:rsid w:val="009D7FED"/>
    <w:rPr>
      <w:rFonts w:ascii="Calibri" w:hAnsi="Calibri"/>
      <w:sz w:val="20"/>
      <w:szCs w:val="20"/>
    </w:rPr>
  </w:style>
  <w:style w:type="character" w:customStyle="1" w:styleId="CommentTextChar">
    <w:name w:val="Comment Text Char"/>
    <w:link w:val="CommentText"/>
    <w:uiPriority w:val="99"/>
    <w:rsid w:val="009D7FE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7FED"/>
    <w:rPr>
      <w:rFonts w:ascii="Tahoma" w:hAnsi="Tahoma"/>
      <w:sz w:val="16"/>
      <w:szCs w:val="16"/>
    </w:rPr>
  </w:style>
  <w:style w:type="character" w:customStyle="1" w:styleId="BalloonTextChar">
    <w:name w:val="Balloon Text Char"/>
    <w:link w:val="BalloonText"/>
    <w:uiPriority w:val="99"/>
    <w:semiHidden/>
    <w:rsid w:val="009D7FED"/>
    <w:rPr>
      <w:rFonts w:ascii="Tahoma" w:hAnsi="Tahoma" w:cs="Tahoma"/>
      <w:sz w:val="16"/>
      <w:szCs w:val="16"/>
    </w:rPr>
  </w:style>
  <w:style w:type="paragraph" w:styleId="NoSpacing">
    <w:name w:val="No Spacing"/>
    <w:uiPriority w:val="1"/>
    <w:qFormat/>
    <w:rsid w:val="0013416C"/>
    <w:rPr>
      <w:sz w:val="28"/>
      <w:szCs w:val="22"/>
      <w:lang w:eastAsia="en-US"/>
    </w:rPr>
  </w:style>
  <w:style w:type="paragraph" w:styleId="BodyTextIndent">
    <w:name w:val="Body Text Indent"/>
    <w:basedOn w:val="Normal"/>
    <w:link w:val="BodyTextIndentChar"/>
    <w:uiPriority w:val="99"/>
    <w:rsid w:val="00BB1E0F"/>
    <w:pPr>
      <w:ind w:firstLine="700"/>
      <w:jc w:val="both"/>
    </w:pPr>
    <w:rPr>
      <w:rFonts w:eastAsia="Times New Roman"/>
      <w:sz w:val="20"/>
      <w:szCs w:val="24"/>
    </w:rPr>
  </w:style>
  <w:style w:type="character" w:customStyle="1" w:styleId="BodyTextIndentChar">
    <w:name w:val="Body Text Indent Char"/>
    <w:link w:val="BodyTextIndent"/>
    <w:uiPriority w:val="99"/>
    <w:rsid w:val="00BB1E0F"/>
    <w:rPr>
      <w:rFonts w:eastAsia="Times New Roman" w:cs="Times New Roman"/>
      <w:szCs w:val="24"/>
    </w:rPr>
  </w:style>
  <w:style w:type="character" w:customStyle="1" w:styleId="Heading5Char">
    <w:name w:val="Heading 5 Char"/>
    <w:link w:val="Heading5"/>
    <w:rsid w:val="00BB1E0F"/>
    <w:rPr>
      <w:rFonts w:eastAsia="Times New Roman" w:cs="Times New Roman"/>
      <w:b/>
      <w:bCs/>
      <w:i/>
      <w:iCs/>
      <w:kern w:val="1"/>
      <w:sz w:val="26"/>
      <w:szCs w:val="26"/>
      <w:lang w:eastAsia="ar-SA"/>
    </w:rPr>
  </w:style>
  <w:style w:type="paragraph" w:styleId="Header">
    <w:name w:val="header"/>
    <w:basedOn w:val="Normal"/>
    <w:link w:val="HeaderChar"/>
    <w:uiPriority w:val="99"/>
    <w:unhideWhenUsed/>
    <w:rsid w:val="008125DD"/>
    <w:pPr>
      <w:tabs>
        <w:tab w:val="center" w:pos="4153"/>
        <w:tab w:val="right" w:pos="8306"/>
      </w:tabs>
    </w:pPr>
  </w:style>
  <w:style w:type="character" w:customStyle="1" w:styleId="HeaderChar">
    <w:name w:val="Header Char"/>
    <w:basedOn w:val="DefaultParagraphFont"/>
    <w:link w:val="Header"/>
    <w:uiPriority w:val="99"/>
    <w:rsid w:val="008125DD"/>
  </w:style>
  <w:style w:type="paragraph" w:styleId="Footer">
    <w:name w:val="footer"/>
    <w:basedOn w:val="Normal"/>
    <w:link w:val="FooterChar"/>
    <w:uiPriority w:val="99"/>
    <w:unhideWhenUsed/>
    <w:rsid w:val="008125DD"/>
    <w:pPr>
      <w:tabs>
        <w:tab w:val="center" w:pos="4153"/>
        <w:tab w:val="right" w:pos="8306"/>
      </w:tabs>
    </w:pPr>
  </w:style>
  <w:style w:type="character" w:customStyle="1" w:styleId="FooterChar">
    <w:name w:val="Footer Char"/>
    <w:basedOn w:val="DefaultParagraphFont"/>
    <w:link w:val="Footer"/>
    <w:uiPriority w:val="99"/>
    <w:rsid w:val="008125DD"/>
  </w:style>
  <w:style w:type="paragraph" w:customStyle="1" w:styleId="Default">
    <w:name w:val="Default"/>
    <w:rsid w:val="002B7DA9"/>
    <w:pPr>
      <w:autoSpaceDE w:val="0"/>
      <w:autoSpaceDN w:val="0"/>
      <w:adjustRightInd w:val="0"/>
    </w:pPr>
    <w:rPr>
      <w:rFonts w:ascii="EUAlbertina" w:hAnsi="EUAlbertina" w:cs="EUAlbertina"/>
      <w:color w:val="000000"/>
      <w:sz w:val="24"/>
      <w:szCs w:val="24"/>
    </w:rPr>
  </w:style>
  <w:style w:type="paragraph" w:styleId="BodyText">
    <w:name w:val="Body Text"/>
    <w:basedOn w:val="Normal"/>
    <w:link w:val="BodyTextChar"/>
    <w:uiPriority w:val="99"/>
    <w:unhideWhenUsed/>
    <w:rsid w:val="00F45C48"/>
    <w:pPr>
      <w:spacing w:after="120"/>
    </w:pPr>
  </w:style>
  <w:style w:type="character" w:customStyle="1" w:styleId="BodyTextChar">
    <w:name w:val="Body Text Char"/>
    <w:link w:val="BodyText"/>
    <w:uiPriority w:val="99"/>
    <w:rsid w:val="00F45C48"/>
    <w:rPr>
      <w:sz w:val="28"/>
      <w:szCs w:val="22"/>
      <w:lang w:eastAsia="en-US"/>
    </w:rPr>
  </w:style>
  <w:style w:type="paragraph" w:customStyle="1" w:styleId="T">
    <w:name w:val="T"/>
    <w:basedOn w:val="Normal"/>
    <w:rsid w:val="00AC6042"/>
    <w:pPr>
      <w:jc w:val="center"/>
    </w:pPr>
    <w:rPr>
      <w:rFonts w:eastAsia="Times New Roman"/>
      <w:b/>
      <w:i/>
      <w:sz w:val="24"/>
      <w:szCs w:val="20"/>
    </w:rPr>
  </w:style>
  <w:style w:type="paragraph" w:styleId="CommentSubject">
    <w:name w:val="annotation subject"/>
    <w:basedOn w:val="CommentText"/>
    <w:next w:val="CommentText"/>
    <w:link w:val="CommentSubjectChar"/>
    <w:uiPriority w:val="99"/>
    <w:semiHidden/>
    <w:unhideWhenUsed/>
    <w:rsid w:val="00E02682"/>
    <w:rPr>
      <w:rFonts w:ascii="Times New Roman" w:hAnsi="Times New Roman"/>
      <w:b/>
      <w:bCs/>
    </w:rPr>
  </w:style>
  <w:style w:type="character" w:customStyle="1" w:styleId="CommentSubjectChar">
    <w:name w:val="Comment Subject Char"/>
    <w:link w:val="CommentSubject"/>
    <w:uiPriority w:val="99"/>
    <w:semiHidden/>
    <w:rsid w:val="00E02682"/>
    <w:rPr>
      <w:rFonts w:ascii="Calibri" w:eastAsia="Calibri" w:hAnsi="Calibri" w:cs="Times New Roman"/>
      <w:b/>
      <w:bCs/>
      <w:sz w:val="20"/>
      <w:szCs w:val="20"/>
      <w:lang w:eastAsia="en-US"/>
    </w:rPr>
  </w:style>
  <w:style w:type="paragraph" w:customStyle="1" w:styleId="Daaarnumuru">
    <w:name w:val="Daļa ar numuru"/>
    <w:basedOn w:val="Normal"/>
    <w:uiPriority w:val="99"/>
    <w:qFormat/>
    <w:rsid w:val="00D218A0"/>
    <w:pPr>
      <w:widowControl w:val="0"/>
      <w:numPr>
        <w:numId w:val="1"/>
      </w:numPr>
      <w:tabs>
        <w:tab w:val="left" w:pos="1072"/>
        <w:tab w:val="left" w:pos="1418"/>
      </w:tabs>
      <w:adjustRightInd w:val="0"/>
      <w:spacing w:before="120" w:after="120"/>
      <w:ind w:left="0" w:firstLine="720"/>
      <w:jc w:val="both"/>
      <w:textAlignment w:val="baseline"/>
    </w:pPr>
    <w:rPr>
      <w:rFonts w:eastAsia="Times New Roman"/>
      <w:szCs w:val="28"/>
      <w:lang w:eastAsia="lv-LV"/>
    </w:rPr>
  </w:style>
  <w:style w:type="paragraph" w:customStyle="1" w:styleId="CM4">
    <w:name w:val="CM4"/>
    <w:basedOn w:val="Default"/>
    <w:next w:val="Default"/>
    <w:uiPriority w:val="99"/>
    <w:rsid w:val="00D841E2"/>
    <w:rPr>
      <w:rFonts w:cs="Times New Roman"/>
      <w:color w:val="auto"/>
    </w:rPr>
  </w:style>
  <w:style w:type="table" w:styleId="TableGrid">
    <w:name w:val="Table Grid"/>
    <w:basedOn w:val="TableNormal"/>
    <w:uiPriority w:val="59"/>
    <w:rsid w:val="006A6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0">
    <w:name w:val="listparagraph"/>
    <w:basedOn w:val="Normal"/>
    <w:rsid w:val="002F024F"/>
    <w:pPr>
      <w:spacing w:before="100" w:beforeAutospacing="1" w:after="100" w:afterAutospacing="1"/>
    </w:pPr>
    <w:rPr>
      <w:rFonts w:eastAsia="Times New Roman"/>
      <w:color w:val="000000"/>
      <w:sz w:val="24"/>
      <w:szCs w:val="24"/>
      <w:lang w:eastAsia="lv-LV"/>
    </w:rPr>
  </w:style>
  <w:style w:type="paragraph" w:customStyle="1" w:styleId="Daabeznumura">
    <w:name w:val="Daļa bez numura"/>
    <w:basedOn w:val="Normal"/>
    <w:qFormat/>
    <w:rsid w:val="002F024F"/>
    <w:pPr>
      <w:widowControl w:val="0"/>
      <w:adjustRightInd w:val="0"/>
      <w:spacing w:before="120" w:after="120"/>
      <w:ind w:firstLine="720"/>
      <w:jc w:val="both"/>
      <w:textAlignment w:val="baseline"/>
    </w:pPr>
    <w:rPr>
      <w:rFonts w:eastAsia="Times New Roman"/>
      <w:szCs w:val="28"/>
      <w:lang w:eastAsia="lv-LV"/>
    </w:rPr>
  </w:style>
  <w:style w:type="paragraph" w:customStyle="1" w:styleId="CharChar">
    <w:name w:val="Char Char"/>
    <w:basedOn w:val="Normal"/>
    <w:rsid w:val="00CE50D8"/>
    <w:pPr>
      <w:spacing w:after="160" w:line="240" w:lineRule="exact"/>
    </w:pPr>
    <w:rPr>
      <w:rFonts w:ascii="Tahoma" w:eastAsia="Times New Roman" w:hAnsi="Tahoma"/>
      <w:sz w:val="20"/>
      <w:szCs w:val="20"/>
      <w:lang w:val="en-US"/>
    </w:rPr>
  </w:style>
  <w:style w:type="paragraph" w:styleId="NormalWeb">
    <w:name w:val="Normal (Web)"/>
    <w:basedOn w:val="Normal"/>
    <w:uiPriority w:val="99"/>
    <w:rsid w:val="00492048"/>
    <w:pPr>
      <w:suppressAutoHyphens/>
      <w:spacing w:before="280" w:after="280"/>
      <w:jc w:val="both"/>
    </w:pPr>
    <w:rPr>
      <w:rFonts w:eastAsia="Times New Roman"/>
      <w:color w:val="000000"/>
      <w:kern w:val="1"/>
      <w:sz w:val="20"/>
      <w:szCs w:val="20"/>
      <w:lang w:eastAsia="ar-SA"/>
    </w:rPr>
  </w:style>
  <w:style w:type="character" w:customStyle="1" w:styleId="WW-DefaultParagraphFont1">
    <w:name w:val="WW-Default Paragraph Font1"/>
    <w:rsid w:val="0049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9952">
      <w:bodyDiv w:val="1"/>
      <w:marLeft w:val="0"/>
      <w:marRight w:val="0"/>
      <w:marTop w:val="0"/>
      <w:marBottom w:val="0"/>
      <w:divBdr>
        <w:top w:val="none" w:sz="0" w:space="0" w:color="auto"/>
        <w:left w:val="none" w:sz="0" w:space="0" w:color="auto"/>
        <w:bottom w:val="none" w:sz="0" w:space="0" w:color="auto"/>
        <w:right w:val="none" w:sz="0" w:space="0" w:color="auto"/>
      </w:divBdr>
    </w:div>
    <w:div w:id="98763792">
      <w:bodyDiv w:val="1"/>
      <w:marLeft w:val="0"/>
      <w:marRight w:val="0"/>
      <w:marTop w:val="0"/>
      <w:marBottom w:val="0"/>
      <w:divBdr>
        <w:top w:val="none" w:sz="0" w:space="0" w:color="auto"/>
        <w:left w:val="none" w:sz="0" w:space="0" w:color="auto"/>
        <w:bottom w:val="none" w:sz="0" w:space="0" w:color="auto"/>
        <w:right w:val="none" w:sz="0" w:space="0" w:color="auto"/>
      </w:divBdr>
    </w:div>
    <w:div w:id="171264802">
      <w:bodyDiv w:val="1"/>
      <w:marLeft w:val="0"/>
      <w:marRight w:val="0"/>
      <w:marTop w:val="0"/>
      <w:marBottom w:val="0"/>
      <w:divBdr>
        <w:top w:val="none" w:sz="0" w:space="0" w:color="auto"/>
        <w:left w:val="none" w:sz="0" w:space="0" w:color="auto"/>
        <w:bottom w:val="none" w:sz="0" w:space="0" w:color="auto"/>
        <w:right w:val="none" w:sz="0" w:space="0" w:color="auto"/>
      </w:divBdr>
    </w:div>
    <w:div w:id="377124483">
      <w:bodyDiv w:val="1"/>
      <w:marLeft w:val="0"/>
      <w:marRight w:val="0"/>
      <w:marTop w:val="0"/>
      <w:marBottom w:val="0"/>
      <w:divBdr>
        <w:top w:val="none" w:sz="0" w:space="0" w:color="auto"/>
        <w:left w:val="none" w:sz="0" w:space="0" w:color="auto"/>
        <w:bottom w:val="none" w:sz="0" w:space="0" w:color="auto"/>
        <w:right w:val="none" w:sz="0" w:space="0" w:color="auto"/>
      </w:divBdr>
    </w:div>
    <w:div w:id="390615740">
      <w:bodyDiv w:val="1"/>
      <w:marLeft w:val="0"/>
      <w:marRight w:val="0"/>
      <w:marTop w:val="0"/>
      <w:marBottom w:val="0"/>
      <w:divBdr>
        <w:top w:val="none" w:sz="0" w:space="0" w:color="auto"/>
        <w:left w:val="none" w:sz="0" w:space="0" w:color="auto"/>
        <w:bottom w:val="none" w:sz="0" w:space="0" w:color="auto"/>
        <w:right w:val="none" w:sz="0" w:space="0" w:color="auto"/>
      </w:divBdr>
    </w:div>
    <w:div w:id="397290533">
      <w:bodyDiv w:val="1"/>
      <w:marLeft w:val="0"/>
      <w:marRight w:val="0"/>
      <w:marTop w:val="0"/>
      <w:marBottom w:val="0"/>
      <w:divBdr>
        <w:top w:val="none" w:sz="0" w:space="0" w:color="auto"/>
        <w:left w:val="none" w:sz="0" w:space="0" w:color="auto"/>
        <w:bottom w:val="none" w:sz="0" w:space="0" w:color="auto"/>
        <w:right w:val="none" w:sz="0" w:space="0" w:color="auto"/>
      </w:divBdr>
    </w:div>
    <w:div w:id="651521155">
      <w:bodyDiv w:val="1"/>
      <w:marLeft w:val="0"/>
      <w:marRight w:val="0"/>
      <w:marTop w:val="0"/>
      <w:marBottom w:val="0"/>
      <w:divBdr>
        <w:top w:val="none" w:sz="0" w:space="0" w:color="auto"/>
        <w:left w:val="none" w:sz="0" w:space="0" w:color="auto"/>
        <w:bottom w:val="none" w:sz="0" w:space="0" w:color="auto"/>
        <w:right w:val="none" w:sz="0" w:space="0" w:color="auto"/>
      </w:divBdr>
    </w:div>
    <w:div w:id="776871560">
      <w:bodyDiv w:val="1"/>
      <w:marLeft w:val="0"/>
      <w:marRight w:val="0"/>
      <w:marTop w:val="0"/>
      <w:marBottom w:val="0"/>
      <w:divBdr>
        <w:top w:val="none" w:sz="0" w:space="0" w:color="auto"/>
        <w:left w:val="none" w:sz="0" w:space="0" w:color="auto"/>
        <w:bottom w:val="none" w:sz="0" w:space="0" w:color="auto"/>
        <w:right w:val="none" w:sz="0" w:space="0" w:color="auto"/>
      </w:divBdr>
    </w:div>
    <w:div w:id="1010907921">
      <w:bodyDiv w:val="1"/>
      <w:marLeft w:val="0"/>
      <w:marRight w:val="0"/>
      <w:marTop w:val="0"/>
      <w:marBottom w:val="0"/>
      <w:divBdr>
        <w:top w:val="none" w:sz="0" w:space="0" w:color="auto"/>
        <w:left w:val="none" w:sz="0" w:space="0" w:color="auto"/>
        <w:bottom w:val="none" w:sz="0" w:space="0" w:color="auto"/>
        <w:right w:val="none" w:sz="0" w:space="0" w:color="auto"/>
      </w:divBdr>
    </w:div>
    <w:div w:id="1304046044">
      <w:bodyDiv w:val="1"/>
      <w:marLeft w:val="0"/>
      <w:marRight w:val="0"/>
      <w:marTop w:val="0"/>
      <w:marBottom w:val="0"/>
      <w:divBdr>
        <w:top w:val="none" w:sz="0" w:space="0" w:color="auto"/>
        <w:left w:val="none" w:sz="0" w:space="0" w:color="auto"/>
        <w:bottom w:val="none" w:sz="0" w:space="0" w:color="auto"/>
        <w:right w:val="none" w:sz="0" w:space="0" w:color="auto"/>
      </w:divBdr>
    </w:div>
    <w:div w:id="1409497550">
      <w:bodyDiv w:val="1"/>
      <w:marLeft w:val="0"/>
      <w:marRight w:val="0"/>
      <w:marTop w:val="0"/>
      <w:marBottom w:val="0"/>
      <w:divBdr>
        <w:top w:val="none" w:sz="0" w:space="0" w:color="auto"/>
        <w:left w:val="none" w:sz="0" w:space="0" w:color="auto"/>
        <w:bottom w:val="none" w:sz="0" w:space="0" w:color="auto"/>
        <w:right w:val="none" w:sz="0" w:space="0" w:color="auto"/>
      </w:divBdr>
    </w:div>
    <w:div w:id="1454246958">
      <w:bodyDiv w:val="1"/>
      <w:marLeft w:val="0"/>
      <w:marRight w:val="0"/>
      <w:marTop w:val="0"/>
      <w:marBottom w:val="0"/>
      <w:divBdr>
        <w:top w:val="none" w:sz="0" w:space="0" w:color="auto"/>
        <w:left w:val="none" w:sz="0" w:space="0" w:color="auto"/>
        <w:bottom w:val="none" w:sz="0" w:space="0" w:color="auto"/>
        <w:right w:val="none" w:sz="0" w:space="0" w:color="auto"/>
      </w:divBdr>
    </w:div>
    <w:div w:id="1484548122">
      <w:bodyDiv w:val="1"/>
      <w:marLeft w:val="0"/>
      <w:marRight w:val="0"/>
      <w:marTop w:val="0"/>
      <w:marBottom w:val="0"/>
      <w:divBdr>
        <w:top w:val="none" w:sz="0" w:space="0" w:color="auto"/>
        <w:left w:val="none" w:sz="0" w:space="0" w:color="auto"/>
        <w:bottom w:val="none" w:sz="0" w:space="0" w:color="auto"/>
        <w:right w:val="none" w:sz="0" w:space="0" w:color="auto"/>
      </w:divBdr>
    </w:div>
    <w:div w:id="1654137214">
      <w:bodyDiv w:val="1"/>
      <w:marLeft w:val="0"/>
      <w:marRight w:val="0"/>
      <w:marTop w:val="0"/>
      <w:marBottom w:val="0"/>
      <w:divBdr>
        <w:top w:val="none" w:sz="0" w:space="0" w:color="auto"/>
        <w:left w:val="none" w:sz="0" w:space="0" w:color="auto"/>
        <w:bottom w:val="none" w:sz="0" w:space="0" w:color="auto"/>
        <w:right w:val="none" w:sz="0" w:space="0" w:color="auto"/>
      </w:divBdr>
    </w:div>
    <w:div w:id="1715231078">
      <w:bodyDiv w:val="1"/>
      <w:marLeft w:val="0"/>
      <w:marRight w:val="0"/>
      <w:marTop w:val="0"/>
      <w:marBottom w:val="0"/>
      <w:divBdr>
        <w:top w:val="none" w:sz="0" w:space="0" w:color="auto"/>
        <w:left w:val="none" w:sz="0" w:space="0" w:color="auto"/>
        <w:bottom w:val="none" w:sz="0" w:space="0" w:color="auto"/>
        <w:right w:val="none" w:sz="0" w:space="0" w:color="auto"/>
      </w:divBdr>
      <w:divsChild>
        <w:div w:id="6964631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oberts.Auzins@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T.Trenko</Vad_x012b_t_x0101_js>
    <Kategorija xmlns="2e5bb04e-596e-45bd-9003-43ca78b1ba16">Anotācija</Kategorija>
    <DKP xmlns="2e5bb04e-596e-45bd-9003-43ca78b1ba16">141</DK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39AE-FF1E-4BDB-B66B-2FCB534425BC}">
  <ds:schemaRefs>
    <ds:schemaRef ds:uri="http://schemas.microsoft.com/sharepoint/v3/contenttype/forms"/>
  </ds:schemaRefs>
</ds:datastoreItem>
</file>

<file path=customXml/itemProps2.xml><?xml version="1.0" encoding="utf-8"?>
<ds:datastoreItem xmlns:ds="http://schemas.openxmlformats.org/officeDocument/2006/customXml" ds:itemID="{29FD3AAC-E478-4D59-AF53-6E1F8F871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9420CC0-74C1-4DB4-A9C1-0ECE9BB47606}">
  <ds:schemaRefs>
    <ds:schemaRef ds:uri="http://schemas.microsoft.com/office/2006/metadata/properties"/>
    <ds:schemaRef ds:uri="http://schemas.microsoft.com/office/infopath/2007/PartnerControls"/>
    <ds:schemaRef ds:uri="2e5bb04e-596e-45bd-9003-43ca78b1ba16"/>
  </ds:schemaRefs>
</ds:datastoreItem>
</file>

<file path=customXml/itemProps4.xml><?xml version="1.0" encoding="utf-8"?>
<ds:datastoreItem xmlns:ds="http://schemas.openxmlformats.org/officeDocument/2006/customXml" ds:itemID="{CD4DF5D5-27D5-4B06-9867-70FA89D504F5}">
  <ds:schemaRefs>
    <ds:schemaRef ds:uri="http://schemas.microsoft.com/office/2006/metadata/longProperties"/>
  </ds:schemaRefs>
</ds:datastoreItem>
</file>

<file path=customXml/itemProps5.xml><?xml version="1.0" encoding="utf-8"?>
<ds:datastoreItem xmlns:ds="http://schemas.openxmlformats.org/officeDocument/2006/customXml" ds:itemID="{B51DF4DB-9BF2-44B0-BEA1-BAF8002C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7727</Words>
  <Characters>4405</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2012.gada 26.jūnija noteikumos Nr.459 "Noteikumi par Padziļinātās sadarbības programmas darbību"" sākotnējās ietekmes novērtējuma ziņojums (anotācija)</vt:lpstr>
      <vt:lpstr>Anotācija likumprojektam "Grozījumi likumā "Par pievienotās vērtības nodokli""</vt:lpstr>
    </vt:vector>
  </TitlesOfParts>
  <Company>Finanšu ministrija</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26.jūnija noteikumos Nr.459 "Noteikumi par Padziļinātās sadarbības programmas darbību"" sākotnējās ietekmes novērtējuma ziņojums (anotācija)</dc:title>
  <dc:subject>Anotācija</dc:subject>
  <dc:creator>R.Auziņš</dc:creator>
  <cp:keywords/>
  <dc:description>R.Auziņš_x000d_
Roberts.Auzins@fm.gov.lv;_x000d_
67095645</dc:description>
  <cp:lastModifiedBy>Sprūģe Veronika</cp:lastModifiedBy>
  <cp:revision>13</cp:revision>
  <cp:lastPrinted>2012-07-19T09:54:00Z</cp:lastPrinted>
  <dcterms:created xsi:type="dcterms:W3CDTF">2013-04-23T07:07:00Z</dcterms:created>
  <dcterms:modified xsi:type="dcterms:W3CDTF">2013-06-05T10:17:00Z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