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6B" w:rsidRPr="005F016B" w:rsidRDefault="001E6A95" w:rsidP="00E0236A">
      <w:pPr>
        <w:pStyle w:val="naisc"/>
        <w:spacing w:before="0" w:after="0"/>
        <w:rPr>
          <w:sz w:val="26"/>
          <w:szCs w:val="26"/>
        </w:rPr>
      </w:pPr>
      <w:bookmarkStart w:id="0" w:name="_GoBack"/>
      <w:r w:rsidRPr="005F016B">
        <w:rPr>
          <w:sz w:val="26"/>
          <w:szCs w:val="26"/>
        </w:rPr>
        <w:t>Ministru kabineta rīkojuma projekta</w:t>
      </w:r>
      <w:r w:rsidR="00811168" w:rsidRPr="005F016B">
        <w:rPr>
          <w:sz w:val="26"/>
          <w:szCs w:val="26"/>
        </w:rPr>
        <w:t xml:space="preserve"> </w:t>
      </w:r>
    </w:p>
    <w:p w:rsidR="00E0236A" w:rsidRPr="00EC3AF7" w:rsidRDefault="00AA71DB" w:rsidP="00E0236A">
      <w:pPr>
        <w:pStyle w:val="naisc"/>
        <w:spacing w:before="0" w:after="0"/>
        <w:rPr>
          <w:b/>
          <w:sz w:val="26"/>
          <w:szCs w:val="26"/>
        </w:rPr>
      </w:pPr>
      <w:r w:rsidRPr="00EC3AF7">
        <w:rPr>
          <w:b/>
          <w:sz w:val="26"/>
          <w:szCs w:val="26"/>
        </w:rPr>
        <w:t>„</w:t>
      </w:r>
      <w:bookmarkStart w:id="1" w:name="OLE_LINK4"/>
      <w:bookmarkStart w:id="2" w:name="OLE_LINK5"/>
      <w:r w:rsidR="00EC3AF7" w:rsidRPr="00EC3AF7">
        <w:rPr>
          <w:b/>
          <w:sz w:val="26"/>
          <w:szCs w:val="26"/>
        </w:rPr>
        <w:t>Par nekustamā īpašuma Liel</w:t>
      </w:r>
      <w:r w:rsidR="00751328">
        <w:rPr>
          <w:b/>
          <w:sz w:val="26"/>
          <w:szCs w:val="26"/>
        </w:rPr>
        <w:t>ajā</w:t>
      </w:r>
      <w:r w:rsidR="00EC3AF7" w:rsidRPr="00EC3AF7">
        <w:rPr>
          <w:b/>
          <w:sz w:val="26"/>
          <w:szCs w:val="26"/>
        </w:rPr>
        <w:t xml:space="preserve"> ielā 56, Grobiņā, Grobiņas novadā, nodošanu Grobiņas novada pašvaldības īpašumā</w:t>
      </w:r>
      <w:bookmarkEnd w:id="1"/>
      <w:bookmarkEnd w:id="2"/>
      <w:r w:rsidRPr="00EC3AF7">
        <w:rPr>
          <w:b/>
          <w:sz w:val="26"/>
          <w:szCs w:val="26"/>
        </w:rPr>
        <w:t>”</w:t>
      </w:r>
    </w:p>
    <w:p w:rsidR="005F016B" w:rsidRPr="005F016B" w:rsidRDefault="005B4DAC" w:rsidP="0092501C">
      <w:pPr>
        <w:pStyle w:val="naisc"/>
        <w:spacing w:before="0" w:after="0"/>
        <w:rPr>
          <w:bCs/>
          <w:caps/>
          <w:sz w:val="28"/>
          <w:szCs w:val="28"/>
        </w:rPr>
      </w:pPr>
      <w:r w:rsidRPr="005F016B">
        <w:rPr>
          <w:sz w:val="26"/>
          <w:szCs w:val="26"/>
        </w:rPr>
        <w:t>sākotnējā</w:t>
      </w:r>
      <w:r w:rsidR="0052674F" w:rsidRPr="005F016B">
        <w:rPr>
          <w:sz w:val="26"/>
          <w:szCs w:val="26"/>
        </w:rPr>
        <w:t xml:space="preserve">s ietekmes novērtējuma </w:t>
      </w:r>
      <w:smartTag w:uri="schemas-tilde-lv/tildestengine" w:element="veidnes">
        <w:smartTagPr>
          <w:attr w:name="id" w:val="-1"/>
          <w:attr w:name="baseform" w:val="ziņojums"/>
          <w:attr w:name="text" w:val="ziņojums"/>
        </w:smartTagPr>
        <w:r w:rsidR="0052674F" w:rsidRPr="005F016B">
          <w:rPr>
            <w:sz w:val="26"/>
            <w:szCs w:val="26"/>
          </w:rPr>
          <w:t>ziņojums</w:t>
        </w:r>
      </w:smartTag>
      <w:r w:rsidR="0052674F" w:rsidRPr="005F016B">
        <w:rPr>
          <w:sz w:val="26"/>
          <w:szCs w:val="26"/>
        </w:rPr>
        <w:t xml:space="preserve"> </w:t>
      </w:r>
      <w:r w:rsidR="00811168" w:rsidRPr="005F016B">
        <w:rPr>
          <w:sz w:val="26"/>
          <w:szCs w:val="26"/>
        </w:rPr>
        <w:t>(anotācija)</w:t>
      </w:r>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1"/>
        <w:gridCol w:w="2012"/>
        <w:gridCol w:w="6878"/>
      </w:tblGrid>
      <w:tr w:rsidR="001E6A95" w:rsidRPr="00CB62EA" w:rsidTr="001E6A9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I. Tiesību akta projekta izstrādes nepieciešamība</w:t>
            </w:r>
          </w:p>
        </w:tc>
      </w:tr>
      <w:tr w:rsidR="001E6A95" w:rsidRPr="00CB62EA" w:rsidTr="005F7FAB">
        <w:trPr>
          <w:tblCellSpacing w:w="15" w:type="dxa"/>
        </w:trPr>
        <w:tc>
          <w:tcPr>
            <w:tcW w:w="155"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1.</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Pamatojums</w:t>
            </w:r>
          </w:p>
        </w:tc>
        <w:tc>
          <w:tcPr>
            <w:tcW w:w="3705" w:type="pct"/>
            <w:tcBorders>
              <w:top w:val="outset" w:sz="6" w:space="0" w:color="000000"/>
              <w:left w:val="outset" w:sz="6" w:space="0" w:color="000000"/>
              <w:bottom w:val="outset" w:sz="6" w:space="0" w:color="000000"/>
            </w:tcBorders>
          </w:tcPr>
          <w:p w:rsidR="001E6A95" w:rsidRPr="00CB62EA" w:rsidRDefault="009B353E" w:rsidP="005C33F5">
            <w:pPr>
              <w:spacing w:before="100" w:beforeAutospacing="1" w:after="100" w:afterAutospacing="1" w:line="240" w:lineRule="auto"/>
              <w:ind w:firstLine="720"/>
              <w:rPr>
                <w:sz w:val="26"/>
                <w:szCs w:val="24"/>
                <w:lang w:eastAsia="lv-LV"/>
              </w:rPr>
            </w:pPr>
            <w:r w:rsidRPr="00CB62EA">
              <w:rPr>
                <w:sz w:val="26"/>
                <w:szCs w:val="24"/>
                <w:lang w:eastAsia="lv-LV"/>
              </w:rPr>
              <w:t>Nav attiecināms</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2.</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Pašreizējā situācija un problēmas</w:t>
            </w:r>
          </w:p>
        </w:tc>
        <w:tc>
          <w:tcPr>
            <w:tcW w:w="3705" w:type="pct"/>
            <w:tcBorders>
              <w:top w:val="outset" w:sz="6" w:space="0" w:color="000000"/>
              <w:left w:val="outset" w:sz="6" w:space="0" w:color="000000"/>
              <w:bottom w:val="outset" w:sz="6" w:space="0" w:color="000000"/>
            </w:tcBorders>
          </w:tcPr>
          <w:p w:rsidR="004B7116" w:rsidRPr="00734EFA" w:rsidRDefault="00F701A3" w:rsidP="005F7FAB">
            <w:pPr>
              <w:pStyle w:val="Heading2"/>
              <w:ind w:firstLine="354"/>
              <w:jc w:val="both"/>
              <w:rPr>
                <w:b w:val="0"/>
                <w:sz w:val="26"/>
                <w:szCs w:val="26"/>
              </w:rPr>
            </w:pPr>
            <w:r w:rsidRPr="00F0266F">
              <w:rPr>
                <w:b w:val="0"/>
                <w:sz w:val="26"/>
                <w:szCs w:val="26"/>
              </w:rPr>
              <w:t>Sagatavotais Ministru kabineta rīkojuma projekts „</w:t>
            </w:r>
            <w:r w:rsidR="00F0266F" w:rsidRPr="00F0266F">
              <w:rPr>
                <w:b w:val="0"/>
                <w:sz w:val="26"/>
                <w:szCs w:val="26"/>
              </w:rPr>
              <w:t>Par valsts nekustamā īpašuma Liel</w:t>
            </w:r>
            <w:r w:rsidR="00751328">
              <w:rPr>
                <w:b w:val="0"/>
                <w:sz w:val="26"/>
                <w:szCs w:val="26"/>
              </w:rPr>
              <w:t>ajā</w:t>
            </w:r>
            <w:r w:rsidR="00F0266F" w:rsidRPr="00F0266F">
              <w:rPr>
                <w:b w:val="0"/>
                <w:sz w:val="26"/>
                <w:szCs w:val="26"/>
              </w:rPr>
              <w:t xml:space="preserve"> ielā 56, Grobiņā, Grobiņas novadā, nodošanu Grobiņas novada pašvaldības īpašumā</w:t>
            </w:r>
            <w:r w:rsidRPr="00F0266F">
              <w:rPr>
                <w:b w:val="0"/>
                <w:sz w:val="26"/>
                <w:szCs w:val="26"/>
              </w:rPr>
              <w:t>” (turpmāk </w:t>
            </w:r>
            <w:r w:rsidRPr="00F0266F">
              <w:rPr>
                <w:b w:val="0"/>
                <w:sz w:val="26"/>
                <w:szCs w:val="26"/>
              </w:rPr>
              <w:noBreakHyphen/>
              <w:t xml:space="preserve"> rīkojuma projekts) paredz atļaut Finanšu ministrijai </w:t>
            </w:r>
            <w:r w:rsidRPr="00734EFA">
              <w:rPr>
                <w:b w:val="0"/>
                <w:sz w:val="26"/>
                <w:szCs w:val="26"/>
              </w:rPr>
              <w:t xml:space="preserve">bez atlīdzības nodot </w:t>
            </w:r>
            <w:r w:rsidR="00734EFA" w:rsidRPr="00734EFA">
              <w:rPr>
                <w:b w:val="0"/>
                <w:sz w:val="26"/>
                <w:szCs w:val="26"/>
              </w:rPr>
              <w:t>Grobiņas novada</w:t>
            </w:r>
            <w:r w:rsidRPr="00734EFA">
              <w:rPr>
                <w:b w:val="0"/>
                <w:sz w:val="26"/>
                <w:szCs w:val="26"/>
              </w:rPr>
              <w:t xml:space="preserve"> pašvaldībai valstij piekrītošu nekustamo īpašumu </w:t>
            </w:r>
            <w:r w:rsidR="004B7116" w:rsidRPr="00734EFA">
              <w:rPr>
                <w:b w:val="0"/>
                <w:sz w:val="26"/>
                <w:szCs w:val="26"/>
              </w:rPr>
              <w:t>– būvi</w:t>
            </w:r>
            <w:r w:rsidR="005323BE">
              <w:rPr>
                <w:b w:val="0"/>
                <w:sz w:val="26"/>
                <w:szCs w:val="26"/>
              </w:rPr>
              <w:t xml:space="preserve"> </w:t>
            </w:r>
            <w:r w:rsidR="005323BE" w:rsidRPr="00734EFA">
              <w:rPr>
                <w:b w:val="0"/>
                <w:sz w:val="26"/>
                <w:szCs w:val="26"/>
              </w:rPr>
              <w:t>–</w:t>
            </w:r>
            <w:r w:rsidR="004B7116" w:rsidRPr="00734EFA">
              <w:rPr>
                <w:b w:val="0"/>
                <w:sz w:val="26"/>
                <w:szCs w:val="26"/>
              </w:rPr>
              <w:t xml:space="preserve"> </w:t>
            </w:r>
            <w:r w:rsidR="005323BE">
              <w:rPr>
                <w:b w:val="0"/>
                <w:sz w:val="26"/>
                <w:szCs w:val="26"/>
              </w:rPr>
              <w:t xml:space="preserve">pilsdrupas </w:t>
            </w:r>
            <w:r w:rsidR="00734EFA" w:rsidRPr="00734EFA">
              <w:rPr>
                <w:b w:val="0"/>
                <w:sz w:val="26"/>
                <w:szCs w:val="26"/>
              </w:rPr>
              <w:t>(būves kadastra apzīmējums 6409 006 0069 001) – Liel</w:t>
            </w:r>
            <w:r w:rsidR="00751328">
              <w:rPr>
                <w:b w:val="0"/>
                <w:sz w:val="26"/>
                <w:szCs w:val="26"/>
              </w:rPr>
              <w:t>ajā</w:t>
            </w:r>
            <w:r w:rsidR="00734EFA" w:rsidRPr="00734EFA">
              <w:rPr>
                <w:b w:val="0"/>
                <w:sz w:val="26"/>
                <w:szCs w:val="26"/>
              </w:rPr>
              <w:t xml:space="preserve"> ielā 56, Grobiņā, Grobiņas novadā</w:t>
            </w:r>
            <w:r w:rsidR="0022107E" w:rsidRPr="00734EFA">
              <w:rPr>
                <w:b w:val="0"/>
                <w:sz w:val="26"/>
                <w:szCs w:val="26"/>
              </w:rPr>
              <w:t>.</w:t>
            </w:r>
          </w:p>
          <w:p w:rsidR="00734EFA" w:rsidRPr="00734EFA" w:rsidRDefault="00734EFA" w:rsidP="00734EFA">
            <w:pPr>
              <w:tabs>
                <w:tab w:val="left" w:pos="567"/>
                <w:tab w:val="left" w:pos="9072"/>
              </w:tabs>
              <w:spacing w:after="0" w:line="240" w:lineRule="auto"/>
              <w:ind w:firstLine="369"/>
              <w:jc w:val="both"/>
              <w:rPr>
                <w:sz w:val="26"/>
                <w:szCs w:val="26"/>
              </w:rPr>
            </w:pPr>
            <w:r w:rsidRPr="00734EFA">
              <w:rPr>
                <w:sz w:val="26"/>
                <w:szCs w:val="26"/>
              </w:rPr>
              <w:t xml:space="preserve">Saskaņā ar Latvijas Valsts vēstures arhīva 1999.gada 29.janvāra izziņu Nr.5-JP-31353/3 nekustamais īpašums – zemesgabals (pilskalns ar pilsdrupām) līdz 1940.gada 21.jūlijam piederēja valstij. </w:t>
            </w:r>
          </w:p>
          <w:p w:rsidR="00734EFA" w:rsidRPr="00734EFA" w:rsidRDefault="00734EFA" w:rsidP="00734EFA">
            <w:pPr>
              <w:tabs>
                <w:tab w:val="left" w:pos="0"/>
              </w:tabs>
              <w:spacing w:after="0" w:line="240" w:lineRule="auto"/>
              <w:ind w:right="71" w:firstLine="366"/>
              <w:jc w:val="both"/>
              <w:rPr>
                <w:sz w:val="26"/>
                <w:szCs w:val="26"/>
              </w:rPr>
            </w:pPr>
            <w:r w:rsidRPr="00734EFA">
              <w:rPr>
                <w:sz w:val="26"/>
                <w:szCs w:val="26"/>
              </w:rPr>
              <w:t>Saskaņā ar likuma „</w:t>
            </w:r>
            <w:r w:rsidRPr="00734EFA">
              <w:rPr>
                <w:bCs/>
                <w:sz w:val="26"/>
                <w:szCs w:val="26"/>
              </w:rPr>
              <w:t xml:space="preserve">Par nekustamā īpašuma ierakstīšanu zemesgrāmatās” 36.panta pirmās daļas 1.punktu </w:t>
            </w:r>
            <w:r w:rsidRPr="00734EFA">
              <w:rPr>
                <w:sz w:val="26"/>
                <w:szCs w:val="26"/>
              </w:rPr>
              <w:t>ēkas (būves) uz valsts vārda zemesgrāmatā var ierakstīt pamatojoties uz valsts arhīva izziņu par ēku (būvju) piederību valstij 1940.gada 21.jūlijā.</w:t>
            </w:r>
          </w:p>
          <w:p w:rsidR="00734EFA" w:rsidRPr="00773385" w:rsidRDefault="00734EFA" w:rsidP="00734EFA">
            <w:pPr>
              <w:pStyle w:val="BodyText"/>
              <w:spacing w:after="0"/>
              <w:ind w:right="67" w:firstLine="394"/>
              <w:jc w:val="both"/>
              <w:rPr>
                <w:sz w:val="26"/>
                <w:szCs w:val="26"/>
              </w:rPr>
            </w:pPr>
            <w:r w:rsidRPr="00EC3AF7">
              <w:rPr>
                <w:sz w:val="26"/>
                <w:szCs w:val="26"/>
              </w:rPr>
              <w:t>Publiskas personas</w:t>
            </w:r>
            <w:r w:rsidRPr="00773385">
              <w:rPr>
                <w:sz w:val="26"/>
                <w:szCs w:val="26"/>
              </w:rPr>
              <w:t xml:space="preserve"> mantas atsavināšanas likuma (turpmāk – Likums) 42. panta pirmā daļā ir noteikts, ka valsts nekustamo īpašumu var nodot bez atlīdzības pašvaldību īpašumā. Likuma Pārejas noteikumu 3.punktā ir noteikts, ka valstij piekrītošas ēkas (būves) var nodot īpašumā bez atlīdzības pašvaldībai, iepriekš tās neierakstot zemesgrāmatā.</w:t>
            </w:r>
          </w:p>
          <w:p w:rsidR="00734EFA" w:rsidRDefault="00734EFA" w:rsidP="00734EFA">
            <w:pPr>
              <w:spacing w:after="0" w:line="240" w:lineRule="auto"/>
              <w:ind w:firstLine="354"/>
              <w:jc w:val="both"/>
              <w:rPr>
                <w:sz w:val="26"/>
                <w:szCs w:val="26"/>
              </w:rPr>
            </w:pPr>
            <w:r w:rsidRPr="00773385">
              <w:rPr>
                <w:sz w:val="26"/>
                <w:szCs w:val="26"/>
              </w:rPr>
              <w:t xml:space="preserve">Saskaņā ar Likuma 43.pantu lēmumu par valsts mantas nodošanu īpašumā bez atlīdzības pieņem Ministru kabinets, </w:t>
            </w:r>
            <w:r w:rsidRPr="005323BE">
              <w:rPr>
                <w:sz w:val="26"/>
                <w:szCs w:val="26"/>
              </w:rPr>
              <w:t>nosakot arī atsavināšanas veidu.</w:t>
            </w:r>
          </w:p>
          <w:p w:rsidR="00EC3AF7" w:rsidRPr="00FF7A84" w:rsidRDefault="00EC3AF7" w:rsidP="00EC3AF7">
            <w:pPr>
              <w:spacing w:after="0" w:line="240" w:lineRule="auto"/>
              <w:ind w:firstLine="354"/>
              <w:jc w:val="both"/>
              <w:rPr>
                <w:sz w:val="26"/>
                <w:szCs w:val="26"/>
              </w:rPr>
            </w:pPr>
            <w:r w:rsidRPr="00FF7A84">
              <w:rPr>
                <w:sz w:val="26"/>
                <w:szCs w:val="26"/>
              </w:rPr>
              <w:t>Grobiņas novada dome 2010.gada 29.jūlijā (protokols Nr.15, 27.§) ir pieņēmusi lēmumu pārņemt bez atlīdzības īpašumā valstij piekrītošo nekustamo īpašumu Liel</w:t>
            </w:r>
            <w:r w:rsidR="00751328">
              <w:rPr>
                <w:sz w:val="26"/>
                <w:szCs w:val="26"/>
              </w:rPr>
              <w:t>ajā</w:t>
            </w:r>
            <w:r w:rsidRPr="00FF7A84">
              <w:rPr>
                <w:sz w:val="26"/>
                <w:szCs w:val="26"/>
              </w:rPr>
              <w:t xml:space="preserve"> ielā 56, Grobiņā, Grobiņas novadā, lai realizētu pašvaldības autonomās funkcijas: </w:t>
            </w:r>
            <w:r w:rsidRPr="00FF7A84">
              <w:rPr>
                <w:sz w:val="26"/>
                <w:szCs w:val="26"/>
                <w:lang w:eastAsia="lv-LV"/>
              </w:rPr>
              <w:t>gādātu par savas administratīvās teritorijas labiekārtošanu un sekmētu kultūras pieminekļu saglabāšanu savā administratīvajā teritorijā</w:t>
            </w:r>
            <w:r w:rsidRPr="00FF7A84">
              <w:rPr>
                <w:sz w:val="26"/>
                <w:szCs w:val="26"/>
              </w:rPr>
              <w:t xml:space="preserve">. </w:t>
            </w:r>
          </w:p>
          <w:p w:rsidR="00EC3AF7" w:rsidRPr="005323BE" w:rsidRDefault="00EC3AF7" w:rsidP="00EC3AF7">
            <w:pPr>
              <w:spacing w:after="0" w:line="240" w:lineRule="auto"/>
              <w:ind w:firstLine="354"/>
              <w:jc w:val="both"/>
              <w:rPr>
                <w:sz w:val="26"/>
                <w:szCs w:val="26"/>
              </w:rPr>
            </w:pPr>
            <w:r w:rsidRPr="00FF7A84">
              <w:rPr>
                <w:sz w:val="26"/>
                <w:szCs w:val="26"/>
              </w:rPr>
              <w:t>Saskaņā ar Publiskas personas mantas atsavināšanas likuma 42.panta pirmo daļu ja pašvaldība nodoto nekustamo īpašumu vairs neizmanto likuma „Par pašvaldībām” 15.pant</w:t>
            </w:r>
            <w:r>
              <w:rPr>
                <w:sz w:val="26"/>
                <w:szCs w:val="26"/>
              </w:rPr>
              <w:t>a</w:t>
            </w:r>
            <w:r w:rsidRPr="00FF7A84">
              <w:rPr>
                <w:sz w:val="26"/>
                <w:szCs w:val="26"/>
              </w:rPr>
              <w:t xml:space="preserve"> </w:t>
            </w:r>
            <w:r>
              <w:rPr>
                <w:sz w:val="26"/>
                <w:szCs w:val="26"/>
              </w:rPr>
              <w:t>2. un 5.punktā</w:t>
            </w:r>
            <w:r w:rsidRPr="00FF7A84">
              <w:rPr>
                <w:sz w:val="26"/>
                <w:szCs w:val="26"/>
              </w:rPr>
              <w:t xml:space="preserve"> noteikt</w:t>
            </w:r>
            <w:r>
              <w:rPr>
                <w:sz w:val="26"/>
                <w:szCs w:val="26"/>
              </w:rPr>
              <w:t>o</w:t>
            </w:r>
            <w:r w:rsidRPr="00FF7A84">
              <w:rPr>
                <w:sz w:val="26"/>
                <w:szCs w:val="26"/>
              </w:rPr>
              <w:t xml:space="preserve"> pašvaldību autonomās funkcij</w:t>
            </w:r>
            <w:r>
              <w:rPr>
                <w:sz w:val="26"/>
                <w:szCs w:val="26"/>
              </w:rPr>
              <w:t>u</w:t>
            </w:r>
            <w:r w:rsidRPr="00FF7A84">
              <w:rPr>
                <w:sz w:val="26"/>
                <w:szCs w:val="26"/>
              </w:rPr>
              <w:t xml:space="preserve"> veikšanai, pašvaldība šo īpašumu bez atlīdzības nodod valstij.</w:t>
            </w:r>
          </w:p>
          <w:p w:rsidR="00751328" w:rsidRDefault="005323BE" w:rsidP="00751328">
            <w:pPr>
              <w:spacing w:after="0" w:line="240" w:lineRule="auto"/>
              <w:ind w:firstLine="354"/>
              <w:jc w:val="both"/>
              <w:rPr>
                <w:szCs w:val="28"/>
              </w:rPr>
            </w:pPr>
            <w:r w:rsidRPr="005323BE">
              <w:rPr>
                <w:sz w:val="26"/>
                <w:szCs w:val="26"/>
              </w:rPr>
              <w:t>Saskaņā ar informāciju no Nekustamā īpašuma valsts kadastra informācijas sistēmas b</w:t>
            </w:r>
            <w:r w:rsidR="003C06A1" w:rsidRPr="005323BE">
              <w:rPr>
                <w:sz w:val="26"/>
                <w:szCs w:val="26"/>
              </w:rPr>
              <w:t xml:space="preserve">ūve ar kadastra apzīmējumu </w:t>
            </w:r>
            <w:r w:rsidRPr="005323BE">
              <w:rPr>
                <w:sz w:val="26"/>
                <w:szCs w:val="26"/>
              </w:rPr>
              <w:lastRenderedPageBreak/>
              <w:t>6409 006 0069 001</w:t>
            </w:r>
            <w:r w:rsidR="004F5CCF" w:rsidRPr="005323BE">
              <w:rPr>
                <w:sz w:val="26"/>
                <w:szCs w:val="26"/>
              </w:rPr>
              <w:t xml:space="preserve"> atrodas uz zemes vienības ar kadastra apzīmējumu </w:t>
            </w:r>
            <w:r w:rsidRPr="005323BE">
              <w:rPr>
                <w:sz w:val="26"/>
                <w:szCs w:val="26"/>
              </w:rPr>
              <w:t>6409 006 0069 Liel</w:t>
            </w:r>
            <w:r w:rsidR="00751328">
              <w:rPr>
                <w:sz w:val="26"/>
                <w:szCs w:val="26"/>
              </w:rPr>
              <w:t>ajā</w:t>
            </w:r>
            <w:r w:rsidRPr="005323BE">
              <w:rPr>
                <w:sz w:val="26"/>
                <w:szCs w:val="26"/>
              </w:rPr>
              <w:t xml:space="preserve"> ielā 56, Grobiņā, Grobiņas novadā</w:t>
            </w:r>
            <w:r w:rsidR="004F5CCF" w:rsidRPr="005323BE">
              <w:rPr>
                <w:sz w:val="26"/>
                <w:szCs w:val="26"/>
              </w:rPr>
              <w:t>.</w:t>
            </w:r>
            <w:r w:rsidRPr="005323BE">
              <w:rPr>
                <w:sz w:val="26"/>
                <w:szCs w:val="26"/>
              </w:rPr>
              <w:t xml:space="preserve"> Zemes vienība (kadastra Nr.6409 006 0069) Liel</w:t>
            </w:r>
            <w:r w:rsidR="00751328">
              <w:rPr>
                <w:sz w:val="26"/>
                <w:szCs w:val="26"/>
              </w:rPr>
              <w:t>ajā</w:t>
            </w:r>
            <w:r w:rsidRPr="005323BE">
              <w:rPr>
                <w:sz w:val="26"/>
                <w:szCs w:val="26"/>
              </w:rPr>
              <w:t xml:space="preserve"> ielā</w:t>
            </w:r>
            <w:r w:rsidR="0048458F">
              <w:rPr>
                <w:sz w:val="26"/>
                <w:szCs w:val="26"/>
              </w:rPr>
              <w:t> </w:t>
            </w:r>
            <w:r w:rsidRPr="005323BE">
              <w:rPr>
                <w:sz w:val="26"/>
                <w:szCs w:val="26"/>
              </w:rPr>
              <w:t>56, Grobiņā, Grobiņas novadā, ir ieskaitīt</w:t>
            </w:r>
            <w:r w:rsidR="0060798B">
              <w:rPr>
                <w:sz w:val="26"/>
                <w:szCs w:val="26"/>
              </w:rPr>
              <w:t>a</w:t>
            </w:r>
            <w:r w:rsidRPr="005323BE">
              <w:rPr>
                <w:sz w:val="26"/>
                <w:szCs w:val="26"/>
              </w:rPr>
              <w:t xml:space="preserve"> rezerves zemes fondā.</w:t>
            </w:r>
            <w:r w:rsidR="00EC3AF7" w:rsidRPr="00E75F25">
              <w:rPr>
                <w:szCs w:val="28"/>
              </w:rPr>
              <w:t xml:space="preserve"> </w:t>
            </w:r>
          </w:p>
          <w:p w:rsidR="00C47875" w:rsidRDefault="0048458F" w:rsidP="00C47875">
            <w:pPr>
              <w:spacing w:after="0" w:line="240" w:lineRule="auto"/>
              <w:ind w:firstLine="366"/>
              <w:jc w:val="both"/>
              <w:rPr>
                <w:sz w:val="26"/>
                <w:szCs w:val="26"/>
              </w:rPr>
            </w:pPr>
            <w:r w:rsidRPr="00C47875">
              <w:rPr>
                <w:sz w:val="26"/>
                <w:szCs w:val="26"/>
              </w:rPr>
              <w:t xml:space="preserve">Pēc Ministru kabineta rīkojuma par būves nodošanu pašvaldībai pieņemšanas pašvaldība </w:t>
            </w:r>
            <w:r w:rsidR="00D619DF" w:rsidRPr="00C47875">
              <w:rPr>
                <w:sz w:val="26"/>
                <w:szCs w:val="26"/>
              </w:rPr>
              <w:t>zemi varēs iegūt īpašumā pamatojoties uz</w:t>
            </w:r>
            <w:r w:rsidR="00C47875">
              <w:rPr>
                <w:sz w:val="26"/>
                <w:szCs w:val="26"/>
              </w:rPr>
              <w:t>:</w:t>
            </w:r>
          </w:p>
          <w:p w:rsidR="00D619DF" w:rsidRDefault="00C47875" w:rsidP="00C47875">
            <w:pPr>
              <w:spacing w:after="0" w:line="240" w:lineRule="auto"/>
              <w:ind w:firstLine="366"/>
              <w:jc w:val="both"/>
              <w:rPr>
                <w:sz w:val="26"/>
                <w:szCs w:val="26"/>
              </w:rPr>
            </w:pPr>
            <w:r>
              <w:rPr>
                <w:sz w:val="26"/>
                <w:szCs w:val="26"/>
              </w:rPr>
              <w:t>1) likuma „</w:t>
            </w:r>
            <w:r w:rsidR="00D619DF" w:rsidRPr="00C47875">
              <w:rPr>
                <w:bCs/>
                <w:sz w:val="26"/>
                <w:szCs w:val="26"/>
                <w:lang w:eastAsia="lv-LV"/>
              </w:rPr>
              <w:t>Par valsts un pašvaldību zemes īpašuma tiesībām un</w:t>
            </w:r>
            <w:r>
              <w:rPr>
                <w:bCs/>
                <w:sz w:val="26"/>
                <w:szCs w:val="26"/>
                <w:lang w:eastAsia="lv-LV"/>
              </w:rPr>
              <w:t xml:space="preserve"> </w:t>
            </w:r>
            <w:r w:rsidR="00D619DF" w:rsidRPr="00C47875">
              <w:rPr>
                <w:bCs/>
                <w:sz w:val="26"/>
                <w:szCs w:val="26"/>
                <w:lang w:eastAsia="lv-LV"/>
              </w:rPr>
              <w:t>to nostiprināšanu zemesgrāmatās</w:t>
            </w:r>
            <w:r>
              <w:rPr>
                <w:bCs/>
                <w:sz w:val="26"/>
                <w:szCs w:val="26"/>
                <w:lang w:eastAsia="lv-LV"/>
              </w:rPr>
              <w:t xml:space="preserve">” 3.panta trešās daļas 1.punktu, kas </w:t>
            </w:r>
            <w:r w:rsidR="0060798B">
              <w:rPr>
                <w:bCs/>
                <w:sz w:val="26"/>
                <w:szCs w:val="26"/>
                <w:lang w:eastAsia="lv-LV"/>
              </w:rPr>
              <w:t>noteic,</w:t>
            </w:r>
            <w:r>
              <w:rPr>
                <w:bCs/>
                <w:sz w:val="26"/>
                <w:szCs w:val="26"/>
                <w:lang w:eastAsia="lv-LV"/>
              </w:rPr>
              <w:t xml:space="preserve"> ka </w:t>
            </w:r>
            <w:r w:rsidRPr="00C47875">
              <w:rPr>
                <w:sz w:val="26"/>
                <w:szCs w:val="26"/>
              </w:rPr>
              <w:t>Zemes reformas laikā pašvaldībai piekrīt un uz attiecīgās pašvaldības vārda zemesgrāmatā ierakstāma zeme, kura 1940.gada 21.jūlijā piederēja valstij, tikai gadījumos,</w:t>
            </w:r>
            <w:r>
              <w:rPr>
                <w:sz w:val="26"/>
                <w:szCs w:val="26"/>
              </w:rPr>
              <w:t xml:space="preserve"> </w:t>
            </w:r>
            <w:r w:rsidRPr="00C47875">
              <w:rPr>
                <w:sz w:val="26"/>
                <w:szCs w:val="26"/>
              </w:rPr>
              <w:t>ja uz šīs zemes ir pašvaldībai piederošas ēkas (būves)</w:t>
            </w:r>
            <w:r>
              <w:rPr>
                <w:sz w:val="26"/>
                <w:szCs w:val="26"/>
              </w:rPr>
              <w:t>;</w:t>
            </w:r>
          </w:p>
          <w:p w:rsidR="009B353E" w:rsidRPr="00CB62EA" w:rsidRDefault="00C47875" w:rsidP="00A43AE9">
            <w:pPr>
              <w:spacing w:after="0" w:line="240" w:lineRule="auto"/>
              <w:ind w:firstLine="366"/>
              <w:jc w:val="both"/>
              <w:rPr>
                <w:sz w:val="26"/>
              </w:rPr>
            </w:pPr>
            <w:r>
              <w:rPr>
                <w:bCs/>
                <w:sz w:val="26"/>
                <w:szCs w:val="26"/>
                <w:lang w:eastAsia="lv-LV"/>
              </w:rPr>
              <w:t>2) </w:t>
            </w:r>
            <w:r w:rsidR="00EC3AF7" w:rsidRPr="00EC3AF7">
              <w:rPr>
                <w:sz w:val="26"/>
                <w:szCs w:val="26"/>
              </w:rPr>
              <w:t>Ministru kabineta 2009.gada 1.septembra noteikumu Nr.996 „</w:t>
            </w:r>
            <w:r w:rsidR="00EC3AF7" w:rsidRPr="00EC3AF7">
              <w:rPr>
                <w:bCs/>
                <w:sz w:val="26"/>
                <w:szCs w:val="26"/>
              </w:rPr>
              <w:t>Kārtība, kādā nosaka valstij un pašvaldībām piekrītošo lauku apvidu zemi, kura turpmāk izmantojama zemes reformas pabeigšanai, kā arī valstij un pašvaldībām piederošo un piekrītošo zemi” 13.punktu, kas no</w:t>
            </w:r>
            <w:r w:rsidR="0060798B">
              <w:rPr>
                <w:bCs/>
                <w:sz w:val="26"/>
                <w:szCs w:val="26"/>
              </w:rPr>
              <w:t>teic</w:t>
            </w:r>
            <w:r w:rsidR="00EC3AF7" w:rsidRPr="00EC3AF7">
              <w:rPr>
                <w:bCs/>
                <w:sz w:val="26"/>
                <w:szCs w:val="26"/>
              </w:rPr>
              <w:t xml:space="preserve">, </w:t>
            </w:r>
            <w:r w:rsidR="0060798B">
              <w:rPr>
                <w:bCs/>
                <w:sz w:val="26"/>
                <w:szCs w:val="26"/>
              </w:rPr>
              <w:t xml:space="preserve">ka, </w:t>
            </w:r>
            <w:r w:rsidR="00A43AE9" w:rsidRPr="00A43AE9">
              <w:rPr>
                <w:sz w:val="26"/>
                <w:szCs w:val="26"/>
              </w:rPr>
              <w:t>ja rezerves zemes fondā ieskaitītā zemes vienība ir valstij vai pašvaldībai piederošā vai piekrītošā zeme un tā nepieciešama valsts vai pašvaldības funkciju īstenošanai, pašvaldības dome var pieņemt lēmumu par zemes piederību vai piekritību pašvaldībai un Ministru kabinets var izdot rīkojumu par zemes piederību vai piekritību valstij. Valsts zemes dienests, pamatojoties uz pašvaldības iesniegto lēmumu vai attiecīgās ministrijas sniegto informāciju par Ministru kabineta rīkojuma izdošanu, aktualizē kadastra informācijas sistēmas datus. Šis nosacījums ir spēkā, līdz tiek pieņemts un stājas spēkā likums par rezerves zemes fonda izmantošanu.</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lastRenderedPageBreak/>
              <w:t>3.</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Saistītie politikas ietekmes novērtējumi un pētījumi</w:t>
            </w:r>
          </w:p>
        </w:tc>
        <w:tc>
          <w:tcPr>
            <w:tcW w:w="3705" w:type="pct"/>
            <w:tcBorders>
              <w:top w:val="outset" w:sz="6" w:space="0" w:color="000000"/>
              <w:left w:val="outset" w:sz="6" w:space="0" w:color="000000"/>
              <w:bottom w:val="outset" w:sz="6" w:space="0" w:color="000000"/>
            </w:tcBorders>
          </w:tcPr>
          <w:p w:rsidR="009B353E" w:rsidRPr="00CB62EA" w:rsidRDefault="008D017C" w:rsidP="005F7FAB">
            <w:pPr>
              <w:spacing w:before="100" w:beforeAutospacing="1" w:after="100" w:afterAutospacing="1" w:line="240" w:lineRule="auto"/>
              <w:ind w:firstLine="354"/>
              <w:rPr>
                <w:sz w:val="26"/>
                <w:szCs w:val="24"/>
                <w:lang w:eastAsia="lv-LV"/>
              </w:rPr>
            </w:pPr>
            <w:r w:rsidRPr="00CB62EA">
              <w:rPr>
                <w:sz w:val="26"/>
                <w:szCs w:val="24"/>
                <w:lang w:eastAsia="lv-LV"/>
              </w:rPr>
              <w:t>Nav attiecināms</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4.</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Tiesiskā regulējuma mērķis un būtība</w:t>
            </w:r>
          </w:p>
        </w:tc>
        <w:tc>
          <w:tcPr>
            <w:tcW w:w="3705" w:type="pct"/>
            <w:tcBorders>
              <w:top w:val="outset" w:sz="6" w:space="0" w:color="000000"/>
              <w:left w:val="outset" w:sz="6" w:space="0" w:color="000000"/>
              <w:bottom w:val="outset" w:sz="6" w:space="0" w:color="000000"/>
            </w:tcBorders>
          </w:tcPr>
          <w:p w:rsidR="009B353E" w:rsidRPr="00132C68" w:rsidRDefault="001B5E38" w:rsidP="0060798B">
            <w:pPr>
              <w:pStyle w:val="Heading2"/>
              <w:ind w:firstLine="354"/>
              <w:jc w:val="both"/>
              <w:rPr>
                <w:sz w:val="26"/>
              </w:rPr>
            </w:pPr>
            <w:r w:rsidRPr="00FF7A84">
              <w:rPr>
                <w:b w:val="0"/>
                <w:sz w:val="26"/>
              </w:rPr>
              <w:t>Rīkojuma projekts ir sagatavots, ņ</w:t>
            </w:r>
            <w:r w:rsidR="00BD67DB" w:rsidRPr="00FF7A84">
              <w:rPr>
                <w:b w:val="0"/>
                <w:sz w:val="26"/>
              </w:rPr>
              <w:t xml:space="preserve">emot vērā to, </w:t>
            </w:r>
            <w:r w:rsidRPr="00FF7A84">
              <w:rPr>
                <w:b w:val="0"/>
                <w:sz w:val="26"/>
              </w:rPr>
              <w:t xml:space="preserve">ka </w:t>
            </w:r>
            <w:r w:rsidR="00773385" w:rsidRPr="00FF7A84">
              <w:rPr>
                <w:b w:val="0"/>
                <w:sz w:val="26"/>
              </w:rPr>
              <w:t>nekustam</w:t>
            </w:r>
            <w:r w:rsidR="00FF7A84">
              <w:rPr>
                <w:b w:val="0"/>
                <w:sz w:val="26"/>
              </w:rPr>
              <w:t>ais</w:t>
            </w:r>
            <w:r w:rsidR="00773385" w:rsidRPr="00FF7A84">
              <w:rPr>
                <w:b w:val="0"/>
                <w:sz w:val="26"/>
              </w:rPr>
              <w:t xml:space="preserve"> īpašum</w:t>
            </w:r>
            <w:r w:rsidRPr="00FF7A84">
              <w:rPr>
                <w:b w:val="0"/>
                <w:sz w:val="26"/>
              </w:rPr>
              <w:t>s</w:t>
            </w:r>
            <w:r w:rsidR="00773385" w:rsidRPr="00FF7A84">
              <w:rPr>
                <w:b w:val="0"/>
                <w:sz w:val="26"/>
              </w:rPr>
              <w:t xml:space="preserve"> </w:t>
            </w:r>
            <w:r w:rsidR="00FF7A84" w:rsidRPr="00FF7A84">
              <w:rPr>
                <w:b w:val="0"/>
                <w:sz w:val="26"/>
                <w:szCs w:val="26"/>
              </w:rPr>
              <w:t>–</w:t>
            </w:r>
            <w:r w:rsidR="00FF7A84">
              <w:rPr>
                <w:b w:val="0"/>
                <w:sz w:val="26"/>
                <w:szCs w:val="26"/>
              </w:rPr>
              <w:t xml:space="preserve"> </w:t>
            </w:r>
            <w:r w:rsidRPr="00FF7A84">
              <w:rPr>
                <w:b w:val="0"/>
                <w:sz w:val="26"/>
                <w:szCs w:val="26"/>
              </w:rPr>
              <w:t xml:space="preserve">būve – </w:t>
            </w:r>
            <w:r w:rsidR="00FF7A84" w:rsidRPr="00FF7A84">
              <w:rPr>
                <w:b w:val="0"/>
                <w:sz w:val="26"/>
                <w:szCs w:val="26"/>
              </w:rPr>
              <w:t>pilsdrupas (būves kadastra apzīmējums 6409 006 0069 001) – Liel</w:t>
            </w:r>
            <w:r w:rsidR="0060798B">
              <w:rPr>
                <w:b w:val="0"/>
                <w:sz w:val="26"/>
                <w:szCs w:val="26"/>
              </w:rPr>
              <w:t>ajā</w:t>
            </w:r>
            <w:r w:rsidR="00FF7A84" w:rsidRPr="00FF7A84">
              <w:rPr>
                <w:b w:val="0"/>
                <w:sz w:val="26"/>
                <w:szCs w:val="26"/>
              </w:rPr>
              <w:t xml:space="preserve"> ielā 56, Grobiņā, Grobiņas novadā</w:t>
            </w:r>
            <w:r w:rsidR="00FF7A84">
              <w:rPr>
                <w:b w:val="0"/>
                <w:sz w:val="26"/>
                <w:szCs w:val="26"/>
              </w:rPr>
              <w:t xml:space="preserve"> </w:t>
            </w:r>
            <w:r w:rsidRPr="00FF7A84">
              <w:rPr>
                <w:b w:val="0"/>
                <w:sz w:val="26"/>
                <w:szCs w:val="26"/>
              </w:rPr>
              <w:t>ir nepieciešam</w:t>
            </w:r>
            <w:r w:rsidR="00FF7A84">
              <w:rPr>
                <w:b w:val="0"/>
                <w:sz w:val="26"/>
                <w:szCs w:val="26"/>
              </w:rPr>
              <w:t>s</w:t>
            </w:r>
            <w:r w:rsidRPr="00FF7A84">
              <w:rPr>
                <w:b w:val="0"/>
                <w:sz w:val="26"/>
                <w:szCs w:val="26"/>
              </w:rPr>
              <w:t xml:space="preserve"> </w:t>
            </w:r>
            <w:r w:rsidR="00FF7A84">
              <w:rPr>
                <w:b w:val="0"/>
                <w:sz w:val="26"/>
                <w:szCs w:val="26"/>
              </w:rPr>
              <w:t>Grobiņas novada</w:t>
            </w:r>
            <w:r w:rsidRPr="00FF7A84">
              <w:rPr>
                <w:b w:val="0"/>
                <w:sz w:val="26"/>
                <w:szCs w:val="26"/>
              </w:rPr>
              <w:t xml:space="preserve"> pašvaldībai pašvaldības autonomo funkciju nodrošināšanai</w:t>
            </w:r>
            <w:r w:rsidR="00D601AD" w:rsidRPr="00FF7A84">
              <w:rPr>
                <w:b w:val="0"/>
                <w:sz w:val="26"/>
                <w:szCs w:val="26"/>
              </w:rPr>
              <w:t>.</w:t>
            </w:r>
            <w:r w:rsidRPr="00773385">
              <w:rPr>
                <w:sz w:val="26"/>
                <w:szCs w:val="26"/>
              </w:rPr>
              <w:t xml:space="preserve"> </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5.</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Projekta izstrādē iesaistītās institūcijas</w:t>
            </w:r>
          </w:p>
        </w:tc>
        <w:tc>
          <w:tcPr>
            <w:tcW w:w="3705" w:type="pct"/>
            <w:tcBorders>
              <w:top w:val="outset" w:sz="6" w:space="0" w:color="000000"/>
              <w:left w:val="outset" w:sz="6" w:space="0" w:color="000000"/>
              <w:bottom w:val="outset" w:sz="6" w:space="0" w:color="000000"/>
            </w:tcBorders>
          </w:tcPr>
          <w:p w:rsidR="009B353E" w:rsidRPr="00CB62EA" w:rsidRDefault="00367BB6" w:rsidP="005F7FAB">
            <w:pPr>
              <w:spacing w:before="100" w:beforeAutospacing="1" w:after="100" w:afterAutospacing="1" w:line="240" w:lineRule="auto"/>
              <w:ind w:firstLine="354"/>
              <w:jc w:val="both"/>
              <w:rPr>
                <w:sz w:val="26"/>
                <w:szCs w:val="24"/>
                <w:lang w:eastAsia="lv-LV"/>
              </w:rPr>
            </w:pPr>
            <w:r w:rsidRPr="00CB62EA">
              <w:rPr>
                <w:sz w:val="26"/>
                <w:szCs w:val="24"/>
                <w:lang w:eastAsia="lv-LV"/>
              </w:rPr>
              <w:t>Projekta izstrādē ir iesaistīta valsts akciju sabiedrība „Valsts nekustamie īpašumi”</w:t>
            </w:r>
            <w:r w:rsidR="00751F3E">
              <w:rPr>
                <w:sz w:val="26"/>
                <w:szCs w:val="24"/>
                <w:lang w:eastAsia="lv-LV"/>
              </w:rPr>
              <w:t>.</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6.</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 xml:space="preserve">Iemesli, kādēļ netika </w:t>
            </w:r>
            <w:r w:rsidRPr="00CB62EA">
              <w:rPr>
                <w:sz w:val="26"/>
                <w:szCs w:val="24"/>
                <w:lang w:eastAsia="lv-LV"/>
              </w:rPr>
              <w:lastRenderedPageBreak/>
              <w:t>nodrošināta sabiedrības līdzdalība</w:t>
            </w:r>
          </w:p>
        </w:tc>
        <w:tc>
          <w:tcPr>
            <w:tcW w:w="3705" w:type="pct"/>
            <w:tcBorders>
              <w:top w:val="outset" w:sz="6" w:space="0" w:color="000000"/>
              <w:left w:val="outset" w:sz="6" w:space="0" w:color="000000"/>
              <w:bottom w:val="outset" w:sz="6" w:space="0" w:color="000000"/>
            </w:tcBorders>
          </w:tcPr>
          <w:p w:rsidR="004422AE" w:rsidRPr="00CB62EA" w:rsidRDefault="004422AE" w:rsidP="005F7FAB">
            <w:pPr>
              <w:spacing w:after="0" w:line="240" w:lineRule="auto"/>
              <w:ind w:firstLine="354"/>
              <w:jc w:val="both"/>
              <w:rPr>
                <w:sz w:val="26"/>
                <w:szCs w:val="24"/>
              </w:rPr>
            </w:pPr>
            <w:r>
              <w:rPr>
                <w:sz w:val="26"/>
                <w:szCs w:val="24"/>
              </w:rPr>
              <w:lastRenderedPageBreak/>
              <w:t>Rīkojuma projekta</w:t>
            </w:r>
            <w:r w:rsidRPr="004422AE">
              <w:rPr>
                <w:sz w:val="26"/>
                <w:szCs w:val="24"/>
              </w:rPr>
              <w:t xml:space="preserve"> būtība skar Ministru kabineta ko</w:t>
            </w:r>
            <w:r>
              <w:rPr>
                <w:sz w:val="26"/>
                <w:szCs w:val="24"/>
              </w:rPr>
              <w:t>mpetenci lemt par to, vai atļaut vai neatļaut valsts nekustamā īpašuma</w:t>
            </w:r>
            <w:r w:rsidRPr="004422AE">
              <w:rPr>
                <w:sz w:val="26"/>
                <w:szCs w:val="24"/>
              </w:rPr>
              <w:t xml:space="preserve"> </w:t>
            </w:r>
            <w:r>
              <w:rPr>
                <w:sz w:val="26"/>
                <w:szCs w:val="24"/>
              </w:rPr>
              <w:lastRenderedPageBreak/>
              <w:t xml:space="preserve">nodošanu pašvaldības īpašumā. Rīkojuma projektā risinātie jautājumi </w:t>
            </w:r>
            <w:r w:rsidRPr="004422AE">
              <w:rPr>
                <w:sz w:val="26"/>
                <w:szCs w:val="24"/>
              </w:rPr>
              <w:t xml:space="preserve">neparedz ieviest izmaiņas, kas varētu ietekmēt </w:t>
            </w:r>
            <w:r w:rsidR="001B5E38">
              <w:rPr>
                <w:sz w:val="26"/>
                <w:szCs w:val="24"/>
              </w:rPr>
              <w:t xml:space="preserve">plašas </w:t>
            </w:r>
            <w:r w:rsidRPr="004422AE">
              <w:rPr>
                <w:sz w:val="26"/>
                <w:szCs w:val="24"/>
              </w:rPr>
              <w:t xml:space="preserve">sabiedrības </w:t>
            </w:r>
            <w:r w:rsidR="00A95485">
              <w:rPr>
                <w:sz w:val="26"/>
                <w:szCs w:val="24"/>
              </w:rPr>
              <w:t xml:space="preserve">intereses. </w:t>
            </w:r>
          </w:p>
        </w:tc>
      </w:tr>
      <w:tr w:rsidR="009B353E" w:rsidRPr="00CB62EA" w:rsidTr="005F7FAB">
        <w:trPr>
          <w:tblCellSpacing w:w="15" w:type="dxa"/>
        </w:trPr>
        <w:tc>
          <w:tcPr>
            <w:tcW w:w="155" w:type="pct"/>
            <w:tcBorders>
              <w:top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lastRenderedPageBreak/>
              <w:t>7.</w:t>
            </w:r>
          </w:p>
        </w:tc>
        <w:tc>
          <w:tcPr>
            <w:tcW w:w="1075" w:type="pct"/>
            <w:tcBorders>
              <w:top w:val="outset" w:sz="6" w:space="0" w:color="000000"/>
              <w:left w:val="outset" w:sz="6" w:space="0" w:color="000000"/>
              <w:bottom w:val="outset" w:sz="6" w:space="0" w:color="000000"/>
              <w:right w:val="outset" w:sz="6" w:space="0" w:color="000000"/>
            </w:tcBorders>
          </w:tcPr>
          <w:p w:rsidR="009B353E" w:rsidRPr="00CB62EA" w:rsidRDefault="009B353E" w:rsidP="001E6A95">
            <w:pPr>
              <w:spacing w:before="100" w:beforeAutospacing="1" w:after="100" w:afterAutospacing="1" w:line="240" w:lineRule="auto"/>
              <w:rPr>
                <w:sz w:val="26"/>
                <w:szCs w:val="24"/>
                <w:lang w:eastAsia="lv-LV"/>
              </w:rPr>
            </w:pPr>
            <w:r w:rsidRPr="00CB62EA">
              <w:rPr>
                <w:sz w:val="26"/>
                <w:szCs w:val="24"/>
                <w:lang w:eastAsia="lv-LV"/>
              </w:rPr>
              <w:t>Cita informācija</w:t>
            </w:r>
          </w:p>
        </w:tc>
        <w:tc>
          <w:tcPr>
            <w:tcW w:w="3705" w:type="pct"/>
            <w:tcBorders>
              <w:top w:val="outset" w:sz="6" w:space="0" w:color="000000"/>
              <w:left w:val="outset" w:sz="6" w:space="0" w:color="000000"/>
              <w:bottom w:val="outset" w:sz="6" w:space="0" w:color="000000"/>
            </w:tcBorders>
          </w:tcPr>
          <w:p w:rsidR="009B353E" w:rsidRPr="00CB62EA" w:rsidRDefault="005E29B1" w:rsidP="005F7FAB">
            <w:pPr>
              <w:spacing w:before="100" w:beforeAutospacing="1" w:after="100" w:afterAutospacing="1" w:line="240" w:lineRule="auto"/>
              <w:ind w:firstLine="354"/>
              <w:jc w:val="both"/>
              <w:rPr>
                <w:sz w:val="26"/>
                <w:szCs w:val="24"/>
                <w:lang w:eastAsia="lv-LV"/>
              </w:rPr>
            </w:pPr>
            <w:r w:rsidRPr="007D1B3B">
              <w:rPr>
                <w:sz w:val="24"/>
                <w:szCs w:val="24"/>
              </w:rPr>
              <w:t>Politikas joma – tieslietu politika</w:t>
            </w:r>
          </w:p>
        </w:tc>
      </w:tr>
    </w:tbl>
    <w:p w:rsidR="00132C68" w:rsidRPr="001B5E38" w:rsidRDefault="00751F3E" w:rsidP="001B5E38">
      <w:pPr>
        <w:spacing w:before="120" w:after="120" w:line="240" w:lineRule="auto"/>
        <w:jc w:val="center"/>
        <w:rPr>
          <w:sz w:val="26"/>
          <w:szCs w:val="24"/>
          <w:lang w:eastAsia="lv-LV"/>
        </w:rPr>
      </w:pPr>
      <w:r w:rsidRPr="001B5E38">
        <w:rPr>
          <w:bCs/>
          <w:sz w:val="26"/>
          <w:szCs w:val="24"/>
          <w:lang w:eastAsia="lv-LV"/>
        </w:rPr>
        <w:t>Anotācijas II sadaļa - nav attiecināms.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15"/>
        <w:gridCol w:w="1430"/>
        <w:gridCol w:w="1468"/>
        <w:gridCol w:w="1331"/>
        <w:gridCol w:w="1331"/>
        <w:gridCol w:w="1346"/>
      </w:tblGrid>
      <w:tr w:rsidR="001E6A95" w:rsidRPr="00CB62EA" w:rsidTr="001E6A95">
        <w:trPr>
          <w:tblCellSpacing w:w="15" w:type="dxa"/>
        </w:trPr>
        <w:tc>
          <w:tcPr>
            <w:tcW w:w="0" w:type="auto"/>
            <w:gridSpan w:val="6"/>
            <w:tcBorders>
              <w:top w:val="outset" w:sz="6" w:space="0" w:color="000000"/>
              <w:bottom w:val="outset" w:sz="6" w:space="0" w:color="000000"/>
            </w:tcBorders>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III. Tiesību akta projekta ietekme uz valsts budžetu un pašvaldību budžetiem</w:t>
            </w:r>
          </w:p>
        </w:tc>
      </w:tr>
      <w:tr w:rsidR="00132C68" w:rsidRPr="00CB62EA" w:rsidTr="005F7FAB">
        <w:trPr>
          <w:tblCellSpacing w:w="15" w:type="dxa"/>
        </w:trPr>
        <w:tc>
          <w:tcPr>
            <w:tcW w:w="1246" w:type="pct"/>
            <w:vMerge w:val="restart"/>
            <w:tcBorders>
              <w:top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Rādītāji</w:t>
            </w:r>
          </w:p>
        </w:tc>
        <w:tc>
          <w:tcPr>
            <w:tcW w:w="1558"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1</w:t>
            </w:r>
            <w:r w:rsidRPr="00CB62EA">
              <w:rPr>
                <w:b/>
                <w:bCs/>
                <w:sz w:val="26"/>
                <w:szCs w:val="24"/>
                <w:lang w:eastAsia="lv-LV"/>
              </w:rPr>
              <w:t>.</w:t>
            </w:r>
            <w:r w:rsidR="001E6A95" w:rsidRPr="00CB62EA">
              <w:rPr>
                <w:b/>
                <w:bCs/>
                <w:sz w:val="26"/>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CB62EA">
                <w:rPr>
                  <w:sz w:val="26"/>
                  <w:szCs w:val="24"/>
                  <w:lang w:eastAsia="lv-LV"/>
                </w:rPr>
                <w:t>. latu</w:t>
              </w:r>
            </w:smartTag>
            <w:r w:rsidRPr="00CB62EA">
              <w:rPr>
                <w:sz w:val="26"/>
                <w:szCs w:val="24"/>
                <w:lang w:eastAsia="lv-LV"/>
              </w:rPr>
              <w:t>)</w:t>
            </w:r>
          </w:p>
        </w:tc>
      </w:tr>
      <w:tr w:rsidR="00132C68" w:rsidRPr="00CB62EA" w:rsidTr="005F7FAB">
        <w:trPr>
          <w:tblCellSpacing w:w="15" w:type="dxa"/>
        </w:trPr>
        <w:tc>
          <w:tcPr>
            <w:tcW w:w="1246" w:type="pct"/>
            <w:vMerge/>
            <w:tcBorders>
              <w:top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1558"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2</w:t>
            </w:r>
            <w:r w:rsidRPr="00CB62EA">
              <w:rPr>
                <w:b/>
                <w:bCs/>
                <w:sz w:val="26"/>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3</w:t>
            </w:r>
            <w:r w:rsidRPr="00CB62EA">
              <w:rPr>
                <w:b/>
                <w:bCs/>
                <w:sz w:val="26"/>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CB62EA" w:rsidRDefault="001251B0" w:rsidP="00D601AD">
            <w:pPr>
              <w:spacing w:before="100" w:beforeAutospacing="1" w:after="100" w:afterAutospacing="1" w:line="240" w:lineRule="auto"/>
              <w:jc w:val="center"/>
              <w:rPr>
                <w:b/>
                <w:bCs/>
                <w:sz w:val="26"/>
                <w:szCs w:val="24"/>
                <w:lang w:eastAsia="lv-LV"/>
              </w:rPr>
            </w:pPr>
            <w:r w:rsidRPr="00CB62EA">
              <w:rPr>
                <w:b/>
                <w:bCs/>
                <w:sz w:val="26"/>
                <w:szCs w:val="24"/>
                <w:lang w:eastAsia="lv-LV"/>
              </w:rPr>
              <w:t>201</w:t>
            </w:r>
            <w:r w:rsidR="00D601AD">
              <w:rPr>
                <w:b/>
                <w:bCs/>
                <w:sz w:val="26"/>
                <w:szCs w:val="24"/>
                <w:lang w:eastAsia="lv-LV"/>
              </w:rPr>
              <w:t>4</w:t>
            </w:r>
            <w:r w:rsidRPr="00CB62EA">
              <w:rPr>
                <w:b/>
                <w:bCs/>
                <w:sz w:val="26"/>
                <w:szCs w:val="24"/>
                <w:lang w:eastAsia="lv-LV"/>
              </w:rPr>
              <w:t>.</w:t>
            </w:r>
          </w:p>
        </w:tc>
      </w:tr>
      <w:tr w:rsidR="00132C68" w:rsidRPr="00CB62EA" w:rsidTr="005F7FAB">
        <w:trPr>
          <w:tblCellSpacing w:w="15" w:type="dxa"/>
        </w:trPr>
        <w:tc>
          <w:tcPr>
            <w:tcW w:w="1246" w:type="pct"/>
            <w:vMerge/>
            <w:tcBorders>
              <w:top w:val="outset" w:sz="6" w:space="0" w:color="000000"/>
              <w:bottom w:val="outset" w:sz="6" w:space="0" w:color="000000"/>
              <w:right w:val="outset" w:sz="6" w:space="0" w:color="000000"/>
            </w:tcBorders>
            <w:vAlign w:val="center"/>
          </w:tcPr>
          <w:p w:rsidR="001E6A95" w:rsidRPr="00CB62EA" w:rsidRDefault="001E6A95" w:rsidP="001E6A95">
            <w:pPr>
              <w:spacing w:after="0" w:line="240" w:lineRule="auto"/>
              <w:rPr>
                <w:b/>
                <w:bCs/>
                <w:sz w:val="26"/>
                <w:szCs w:val="24"/>
                <w:lang w:eastAsia="lv-LV"/>
              </w:rPr>
            </w:pPr>
          </w:p>
        </w:tc>
        <w:tc>
          <w:tcPr>
            <w:tcW w:w="768" w:type="pct"/>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Izmaiņas, salīdzinot ar kārtējo (n) gadu</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1</w:t>
            </w:r>
          </w:p>
        </w:tc>
        <w:tc>
          <w:tcPr>
            <w:tcW w:w="768" w:type="pct"/>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CB62EA" w:rsidRDefault="001E6A95" w:rsidP="001E6A95">
            <w:pPr>
              <w:spacing w:before="100" w:beforeAutospacing="1" w:after="100" w:afterAutospacing="1" w:line="240" w:lineRule="auto"/>
              <w:jc w:val="center"/>
              <w:rPr>
                <w:sz w:val="26"/>
                <w:szCs w:val="24"/>
                <w:lang w:eastAsia="lv-LV"/>
              </w:rPr>
            </w:pPr>
            <w:r w:rsidRPr="00CB62EA">
              <w:rPr>
                <w:sz w:val="26"/>
                <w:szCs w:val="24"/>
                <w:lang w:eastAsia="lv-LV"/>
              </w:rPr>
              <w:t>6</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 Budžeta ieņēmumi: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1.1. valsts pamatbudžets, tai skaitā ieņēmumi no maksas pakalpo-</w:t>
            </w:r>
            <w:proofErr w:type="spellStart"/>
            <w:r w:rsidRPr="00CB62EA">
              <w:rPr>
                <w:sz w:val="26"/>
                <w:szCs w:val="24"/>
                <w:lang w:eastAsia="lv-LV"/>
              </w:rPr>
              <w:t>jumiem</w:t>
            </w:r>
            <w:proofErr w:type="spellEnd"/>
            <w:r w:rsidRPr="00CB62EA">
              <w:rPr>
                <w:sz w:val="26"/>
                <w:szCs w:val="24"/>
                <w:lang w:eastAsia="lv-LV"/>
              </w:rPr>
              <w:t xml:space="preserve"> un citi pašu ieņēmumi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1.2. valsts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1.3.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 Budžeta izdevumi:</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2.1. valsts pamatbudžets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2.2. valsts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2.3.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 Finansiālā ietekme:</w:t>
            </w:r>
          </w:p>
        </w:tc>
        <w:tc>
          <w:tcPr>
            <w:tcW w:w="3705" w:type="pct"/>
            <w:gridSpan w:val="5"/>
            <w:tcBorders>
              <w:top w:val="outset" w:sz="6" w:space="0" w:color="000000"/>
              <w:left w:val="outset" w:sz="6" w:space="0" w:color="000000"/>
              <w:bottom w:val="outset" w:sz="6" w:space="0" w:color="000000"/>
            </w:tcBorders>
            <w:vAlign w:val="center"/>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3.1. valsts pamatbudžets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lastRenderedPageBreak/>
              <w:t>3.2. speciālais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3.3. pašvaldību budžets</w:t>
            </w:r>
          </w:p>
        </w:tc>
        <w:tc>
          <w:tcPr>
            <w:tcW w:w="3705" w:type="pct"/>
            <w:gridSpan w:val="5"/>
            <w:tcBorders>
              <w:top w:val="outset" w:sz="6" w:space="0" w:color="000000"/>
              <w:left w:val="outset" w:sz="6" w:space="0" w:color="000000"/>
              <w:bottom w:val="outset" w:sz="6" w:space="0" w:color="000000"/>
            </w:tcBorders>
          </w:tcPr>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rHeight w:val="1930"/>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4. Finanšu līdzekļi papildu izdevumu finansēšanai (kompensējošu izdevumu samazinājumu norāda ar "+" zīmi)</w:t>
            </w:r>
          </w:p>
        </w:tc>
        <w:tc>
          <w:tcPr>
            <w:tcW w:w="768" w:type="pct"/>
            <w:tcBorders>
              <w:top w:val="outset" w:sz="6" w:space="0" w:color="000000"/>
              <w:left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jc w:val="center"/>
              <w:rPr>
                <w:sz w:val="26"/>
                <w:szCs w:val="24"/>
                <w:lang w:eastAsia="lv-LV"/>
              </w:rPr>
            </w:pPr>
            <w:r w:rsidRPr="00CB62EA">
              <w:rPr>
                <w:sz w:val="26"/>
                <w:szCs w:val="24"/>
                <w:lang w:eastAsia="lv-LV"/>
              </w:rPr>
              <w:t>X</w:t>
            </w:r>
          </w:p>
        </w:tc>
        <w:tc>
          <w:tcPr>
            <w:tcW w:w="0" w:type="auto"/>
            <w:gridSpan w:val="4"/>
            <w:tcBorders>
              <w:top w:val="outset" w:sz="6" w:space="0" w:color="000000"/>
              <w:left w:val="outset" w:sz="6" w:space="0" w:color="000000"/>
            </w:tcBorders>
          </w:tcPr>
          <w:p w:rsidR="005C33F5" w:rsidRPr="00CB62EA" w:rsidRDefault="005C33F5" w:rsidP="001E6A95">
            <w:pPr>
              <w:spacing w:after="0" w:line="360" w:lineRule="auto"/>
              <w:rPr>
                <w:sz w:val="26"/>
                <w:szCs w:val="24"/>
                <w:lang w:eastAsia="lv-LV"/>
              </w:rPr>
            </w:pPr>
            <w:r w:rsidRPr="00CB62EA">
              <w:rPr>
                <w:sz w:val="26"/>
                <w:szCs w:val="24"/>
                <w:lang w:eastAsia="lv-LV"/>
              </w:rPr>
              <w:t> </w:t>
            </w:r>
          </w:p>
          <w:p w:rsidR="005C33F5" w:rsidRPr="00CB62EA" w:rsidRDefault="005C33F5" w:rsidP="001E6A95">
            <w:pPr>
              <w:spacing w:after="0" w:line="360" w:lineRule="auto"/>
              <w:rPr>
                <w:sz w:val="26"/>
                <w:szCs w:val="24"/>
                <w:lang w:eastAsia="lv-LV"/>
              </w:rPr>
            </w:pPr>
          </w:p>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p w:rsidR="005C33F5" w:rsidRPr="00CB62EA" w:rsidRDefault="005C33F5" w:rsidP="001E6A95">
            <w:pPr>
              <w:spacing w:line="360" w:lineRule="auto"/>
              <w:rPr>
                <w:sz w:val="26"/>
                <w:szCs w:val="24"/>
                <w:lang w:eastAsia="lv-LV"/>
              </w:rPr>
            </w:pPr>
            <w:r w:rsidRPr="00CB62EA">
              <w:rPr>
                <w:sz w:val="26"/>
                <w:szCs w:val="24"/>
                <w:lang w:eastAsia="lv-LV"/>
              </w:rPr>
              <w:t> </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 Precizēta finansiālā ietekme:</w:t>
            </w:r>
          </w:p>
        </w:tc>
        <w:tc>
          <w:tcPr>
            <w:tcW w:w="768" w:type="pct"/>
            <w:vMerge w:val="restart"/>
            <w:tcBorders>
              <w:top w:val="outset" w:sz="6" w:space="0" w:color="000000"/>
              <w:left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jc w:val="center"/>
              <w:rPr>
                <w:sz w:val="26"/>
                <w:szCs w:val="24"/>
                <w:lang w:eastAsia="lv-LV"/>
              </w:rPr>
            </w:pPr>
            <w:r w:rsidRPr="00CB62EA">
              <w:rPr>
                <w:sz w:val="26"/>
                <w:szCs w:val="24"/>
                <w:lang w:eastAsia="lv-LV"/>
              </w:rPr>
              <w:t>X</w:t>
            </w:r>
          </w:p>
        </w:tc>
        <w:tc>
          <w:tcPr>
            <w:tcW w:w="0" w:type="auto"/>
            <w:gridSpan w:val="4"/>
            <w:vMerge w:val="restart"/>
            <w:tcBorders>
              <w:top w:val="outset" w:sz="6" w:space="0" w:color="000000"/>
              <w:left w:val="outset" w:sz="6" w:space="0" w:color="000000"/>
            </w:tcBorders>
          </w:tcPr>
          <w:p w:rsidR="005C33F5" w:rsidRPr="00CB62EA" w:rsidRDefault="005C33F5" w:rsidP="001E6A95">
            <w:pPr>
              <w:spacing w:after="0" w:line="360" w:lineRule="auto"/>
              <w:rPr>
                <w:sz w:val="26"/>
                <w:szCs w:val="24"/>
                <w:lang w:eastAsia="lv-LV"/>
              </w:rPr>
            </w:pPr>
            <w:r w:rsidRPr="00CB62EA">
              <w:rPr>
                <w:sz w:val="26"/>
                <w:szCs w:val="24"/>
                <w:lang w:eastAsia="lv-LV"/>
              </w:rPr>
              <w:t> </w:t>
            </w:r>
          </w:p>
          <w:p w:rsidR="005C33F5" w:rsidRPr="00CB62EA" w:rsidRDefault="005C33F5" w:rsidP="005C33F5">
            <w:pPr>
              <w:spacing w:after="0" w:line="360" w:lineRule="auto"/>
              <w:jc w:val="center"/>
              <w:rPr>
                <w:sz w:val="26"/>
                <w:szCs w:val="24"/>
                <w:lang w:eastAsia="lv-LV"/>
              </w:rPr>
            </w:pPr>
            <w:r w:rsidRPr="00CB62EA">
              <w:rPr>
                <w:sz w:val="26"/>
                <w:szCs w:val="24"/>
                <w:lang w:eastAsia="lv-LV"/>
              </w:rPr>
              <w:t>Nav attiecināms</w:t>
            </w:r>
          </w:p>
          <w:p w:rsidR="005C33F5" w:rsidRPr="00CB62EA" w:rsidRDefault="005C33F5" w:rsidP="001E6A95">
            <w:pPr>
              <w:spacing w:line="360" w:lineRule="auto"/>
              <w:rPr>
                <w:sz w:val="26"/>
                <w:szCs w:val="24"/>
                <w:lang w:eastAsia="lv-LV"/>
              </w:rPr>
            </w:pPr>
            <w:r w:rsidRPr="00CB62EA">
              <w:rPr>
                <w:sz w:val="26"/>
                <w:szCs w:val="24"/>
                <w:lang w:eastAsia="lv-LV"/>
              </w:rPr>
              <w:t> </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5.1. valsts pamatbudžets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tcBorders>
          </w:tcPr>
          <w:p w:rsidR="005C33F5" w:rsidRPr="00CB62EA" w:rsidRDefault="005C33F5" w:rsidP="001E6A95">
            <w:pPr>
              <w:spacing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5.2. speciālais 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tcBorders>
          </w:tcPr>
          <w:p w:rsidR="005C33F5" w:rsidRPr="00CB62EA" w:rsidRDefault="005C33F5" w:rsidP="001E6A95">
            <w:pPr>
              <w:spacing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5C33F5" w:rsidRPr="00CB62EA" w:rsidRDefault="005C33F5" w:rsidP="001E6A95">
            <w:pPr>
              <w:spacing w:before="100" w:beforeAutospacing="1" w:after="100" w:afterAutospacing="1" w:line="240" w:lineRule="auto"/>
              <w:rPr>
                <w:sz w:val="26"/>
                <w:szCs w:val="24"/>
                <w:lang w:eastAsia="lv-LV"/>
              </w:rPr>
            </w:pPr>
            <w:r w:rsidRPr="00CB62EA">
              <w:rPr>
                <w:sz w:val="26"/>
                <w:szCs w:val="24"/>
                <w:lang w:eastAsia="lv-LV"/>
              </w:rPr>
              <w:t>5.3. pašvaldību 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5C33F5" w:rsidRPr="00CB62EA" w:rsidRDefault="005C33F5" w:rsidP="001E6A95">
            <w:pPr>
              <w:spacing w:after="0" w:line="240" w:lineRule="auto"/>
              <w:rPr>
                <w:sz w:val="26"/>
                <w:szCs w:val="24"/>
                <w:lang w:eastAsia="lv-LV"/>
              </w:rPr>
            </w:pPr>
          </w:p>
        </w:tc>
        <w:tc>
          <w:tcPr>
            <w:tcW w:w="0" w:type="auto"/>
            <w:gridSpan w:val="4"/>
            <w:vMerge/>
            <w:tcBorders>
              <w:left w:val="outset" w:sz="6" w:space="0" w:color="000000"/>
              <w:bottom w:val="outset" w:sz="6" w:space="0" w:color="000000"/>
            </w:tcBorders>
          </w:tcPr>
          <w:p w:rsidR="005C33F5" w:rsidRPr="00CB62EA" w:rsidRDefault="005C33F5" w:rsidP="001E6A95">
            <w:pPr>
              <w:spacing w:after="0" w:line="36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 Detalizēts ieņēmumu un izdevu</w:t>
            </w:r>
            <w:r w:rsidRPr="00CB62EA">
              <w:rPr>
                <w:sz w:val="26"/>
                <w:szCs w:val="24"/>
                <w:lang w:eastAsia="lv-LV"/>
              </w:rPr>
              <w:softHyphen/>
              <w:t>mu aprēķins (ja nepieciešams, detalizētu ieņēmumu un izdevumu aprēķinu var pievienot anotācijas pielikumā):</w:t>
            </w:r>
          </w:p>
        </w:tc>
        <w:tc>
          <w:tcPr>
            <w:tcW w:w="3705" w:type="pct"/>
            <w:gridSpan w:val="5"/>
            <w:vMerge w:val="restart"/>
            <w:tcBorders>
              <w:top w:val="outset" w:sz="6" w:space="0" w:color="000000"/>
              <w:left w:val="outset" w:sz="6" w:space="0" w:color="000000"/>
              <w:bottom w:val="outset" w:sz="6" w:space="0" w:color="000000"/>
            </w:tcBorders>
            <w:vAlign w:val="center"/>
          </w:tcPr>
          <w:p w:rsidR="001E6A95" w:rsidRPr="00CB62EA" w:rsidRDefault="00367BB6" w:rsidP="005C33F5">
            <w:pPr>
              <w:spacing w:after="0" w:line="360" w:lineRule="auto"/>
              <w:jc w:val="center"/>
              <w:rPr>
                <w:sz w:val="26"/>
                <w:szCs w:val="24"/>
                <w:lang w:eastAsia="lv-LV"/>
              </w:rPr>
            </w:pPr>
            <w:r w:rsidRPr="00CB62EA">
              <w:rPr>
                <w:sz w:val="26"/>
                <w:szCs w:val="24"/>
                <w:lang w:eastAsia="lv-LV"/>
              </w:rPr>
              <w:t>Nav attiecināms</w:t>
            </w: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6.1. detalizēts ieņēmumu aprēķins</w:t>
            </w:r>
          </w:p>
        </w:tc>
        <w:tc>
          <w:tcPr>
            <w:tcW w:w="3705" w:type="pct"/>
            <w:gridSpan w:val="5"/>
            <w:vMerge/>
            <w:tcBorders>
              <w:top w:val="outset" w:sz="6" w:space="0" w:color="000000"/>
              <w:left w:val="outset" w:sz="6" w:space="0" w:color="000000"/>
              <w:bottom w:val="outset" w:sz="6" w:space="0" w:color="000000"/>
            </w:tcBorders>
            <w:vAlign w:val="center"/>
          </w:tcPr>
          <w:p w:rsidR="001E6A95" w:rsidRPr="00CB62EA" w:rsidRDefault="001E6A95" w:rsidP="001E6A95">
            <w:pPr>
              <w:spacing w:after="0" w:line="24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6.2. detalizēts izdevumu aprēķins</w:t>
            </w:r>
          </w:p>
        </w:tc>
        <w:tc>
          <w:tcPr>
            <w:tcW w:w="3705" w:type="pct"/>
            <w:gridSpan w:val="5"/>
            <w:vMerge/>
            <w:tcBorders>
              <w:top w:val="outset" w:sz="6" w:space="0" w:color="000000"/>
              <w:left w:val="outset" w:sz="6" w:space="0" w:color="000000"/>
              <w:bottom w:val="outset" w:sz="6" w:space="0" w:color="000000"/>
            </w:tcBorders>
            <w:vAlign w:val="center"/>
          </w:tcPr>
          <w:p w:rsidR="001E6A95" w:rsidRPr="00CB62EA" w:rsidRDefault="001E6A95" w:rsidP="001E6A95">
            <w:pPr>
              <w:spacing w:after="0" w:line="240" w:lineRule="auto"/>
              <w:rPr>
                <w:sz w:val="26"/>
                <w:szCs w:val="24"/>
                <w:lang w:eastAsia="lv-LV"/>
              </w:rPr>
            </w:pPr>
          </w:p>
        </w:tc>
      </w:tr>
      <w:tr w:rsidR="00132C68" w:rsidRPr="00CB62EA" w:rsidTr="005F7FAB">
        <w:trPr>
          <w:tblCellSpacing w:w="15" w:type="dxa"/>
        </w:trPr>
        <w:tc>
          <w:tcPr>
            <w:tcW w:w="1246" w:type="pct"/>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7. Cita informācija</w:t>
            </w:r>
          </w:p>
        </w:tc>
        <w:tc>
          <w:tcPr>
            <w:tcW w:w="3705" w:type="pct"/>
            <w:gridSpan w:val="5"/>
            <w:tcBorders>
              <w:top w:val="outset" w:sz="6" w:space="0" w:color="000000"/>
              <w:left w:val="outset" w:sz="6" w:space="0" w:color="000000"/>
              <w:bottom w:val="outset" w:sz="6" w:space="0" w:color="000000"/>
            </w:tcBorders>
          </w:tcPr>
          <w:p w:rsidR="001E6A95" w:rsidRPr="00CB62EA" w:rsidRDefault="00BF2E38" w:rsidP="00EC3AF7">
            <w:pPr>
              <w:spacing w:after="0" w:line="240" w:lineRule="auto"/>
              <w:ind w:firstLine="306"/>
              <w:jc w:val="both"/>
              <w:rPr>
                <w:sz w:val="26"/>
                <w:szCs w:val="24"/>
                <w:lang w:eastAsia="lv-LV"/>
              </w:rPr>
            </w:pPr>
            <w:r w:rsidRPr="00CB62EA">
              <w:rPr>
                <w:sz w:val="26"/>
                <w:szCs w:val="24"/>
                <w:lang w:eastAsia="lv-LV"/>
              </w:rPr>
              <w:t xml:space="preserve">Rīkojuma projekta īstenošanai nav nepieciešami papildus līdzekļi no valsts vai pašvaldību budžeta. </w:t>
            </w:r>
            <w:r w:rsidR="00FF7A84">
              <w:rPr>
                <w:sz w:val="26"/>
                <w:szCs w:val="24"/>
                <w:lang w:eastAsia="lv-LV"/>
              </w:rPr>
              <w:t>Grobiņas novada</w:t>
            </w:r>
            <w:r w:rsidR="00A628E9">
              <w:rPr>
                <w:sz w:val="26"/>
                <w:szCs w:val="24"/>
                <w:lang w:eastAsia="lv-LV"/>
              </w:rPr>
              <w:t xml:space="preserve"> </w:t>
            </w:r>
            <w:r w:rsidR="00132C68">
              <w:rPr>
                <w:sz w:val="26"/>
                <w:szCs w:val="24"/>
                <w:lang w:eastAsia="lv-LV"/>
              </w:rPr>
              <w:t>pašvaldībai radīsies izdevumi reģistrējot nekustamo īpašumu zemesgrāmatā uz sava vārda.</w:t>
            </w:r>
          </w:p>
        </w:tc>
      </w:tr>
    </w:tbl>
    <w:p w:rsidR="00351B3F" w:rsidRPr="001B5E38" w:rsidRDefault="00751F3E" w:rsidP="001B5E38">
      <w:pPr>
        <w:spacing w:before="120" w:after="120" w:line="240" w:lineRule="auto"/>
        <w:jc w:val="center"/>
        <w:rPr>
          <w:bCs/>
          <w:sz w:val="26"/>
          <w:szCs w:val="24"/>
          <w:lang w:eastAsia="lv-LV"/>
        </w:rPr>
      </w:pPr>
      <w:r w:rsidRPr="001B5E38">
        <w:rPr>
          <w:bCs/>
          <w:sz w:val="26"/>
          <w:szCs w:val="24"/>
          <w:lang w:eastAsia="lv-LV"/>
        </w:rPr>
        <w:t>Anotācijas IV, V un VI sadaļa – nav attiecināms.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5"/>
        <w:gridCol w:w="1987"/>
        <w:gridCol w:w="6789"/>
      </w:tblGrid>
      <w:tr w:rsidR="001E6A95" w:rsidRPr="00CB62EA" w:rsidTr="001E6A95">
        <w:trPr>
          <w:tblCellSpacing w:w="15" w:type="dxa"/>
        </w:trPr>
        <w:tc>
          <w:tcPr>
            <w:tcW w:w="0" w:type="auto"/>
            <w:gridSpan w:val="3"/>
            <w:tcBorders>
              <w:top w:val="outset" w:sz="6" w:space="0" w:color="000000"/>
              <w:bottom w:val="outset" w:sz="6" w:space="0" w:color="000000"/>
            </w:tcBorders>
          </w:tcPr>
          <w:p w:rsidR="001E6A95" w:rsidRPr="00CB62EA" w:rsidRDefault="001E6A95" w:rsidP="001E6A95">
            <w:pPr>
              <w:spacing w:before="100" w:beforeAutospacing="1" w:after="100" w:afterAutospacing="1" w:line="240" w:lineRule="auto"/>
              <w:jc w:val="center"/>
              <w:rPr>
                <w:b/>
                <w:bCs/>
                <w:sz w:val="26"/>
                <w:szCs w:val="24"/>
                <w:lang w:eastAsia="lv-LV"/>
              </w:rPr>
            </w:pPr>
            <w:r w:rsidRPr="00CB62EA">
              <w:rPr>
                <w:b/>
                <w:bCs/>
                <w:sz w:val="26"/>
                <w:szCs w:val="24"/>
                <w:lang w:eastAsia="lv-LV"/>
              </w:rPr>
              <w:t>VII. Tiesību akta projekta izpildes nodrošināšana un tās ietekme uz institūcijām</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1.</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izpildē iesaistītās institūcijas</w:t>
            </w:r>
          </w:p>
        </w:tc>
        <w:tc>
          <w:tcPr>
            <w:tcW w:w="3705" w:type="pct"/>
            <w:tcBorders>
              <w:top w:val="outset" w:sz="6" w:space="0" w:color="000000"/>
              <w:left w:val="outset" w:sz="6" w:space="0" w:color="000000"/>
              <w:bottom w:val="outset" w:sz="6" w:space="0" w:color="000000"/>
            </w:tcBorders>
          </w:tcPr>
          <w:p w:rsidR="001E6A95" w:rsidRPr="00CB62EA" w:rsidRDefault="008566AC"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Par rīkojuma projekta izpildi atbildīgā ir valsts akciju sabiedrība „Valsts nekustamie īpašumi”.</w:t>
            </w:r>
            <w:r w:rsidR="005C33F5" w:rsidRPr="00CB62EA">
              <w:rPr>
                <w:sz w:val="26"/>
                <w:szCs w:val="24"/>
                <w:lang w:eastAsia="lv-LV"/>
              </w:rPr>
              <w:t xml:space="preserve"> </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lastRenderedPageBreak/>
              <w:t>2.</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funkcijām</w:t>
            </w:r>
          </w:p>
        </w:tc>
        <w:tc>
          <w:tcPr>
            <w:tcW w:w="3705" w:type="pct"/>
            <w:tcBorders>
              <w:top w:val="outset" w:sz="6" w:space="0" w:color="000000"/>
              <w:left w:val="outset" w:sz="6" w:space="0" w:color="000000"/>
              <w:bottom w:val="outset" w:sz="6" w:space="0" w:color="000000"/>
            </w:tcBorders>
          </w:tcPr>
          <w:p w:rsidR="005C33F5" w:rsidRPr="00CB62EA" w:rsidRDefault="008566AC"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Rīkojuma projekta izpilde neietekmē valsts akciju sabiedrība</w:t>
            </w:r>
            <w:r w:rsidR="00E97F2A" w:rsidRPr="00CB62EA">
              <w:rPr>
                <w:sz w:val="26"/>
                <w:szCs w:val="24"/>
                <w:lang w:eastAsia="lv-LV"/>
              </w:rPr>
              <w:t>s</w:t>
            </w:r>
            <w:r w:rsidRPr="00CB62EA">
              <w:rPr>
                <w:sz w:val="26"/>
                <w:szCs w:val="24"/>
                <w:lang w:eastAsia="lv-LV"/>
              </w:rPr>
              <w:t xml:space="preserve"> „Valsts nekustamie īpašumi” funkcijas un uzdevumus</w:t>
            </w:r>
            <w:r w:rsidR="00181F76" w:rsidRPr="00CB62EA">
              <w:rPr>
                <w:sz w:val="26"/>
                <w:szCs w:val="24"/>
                <w:lang w:eastAsia="lv-LV"/>
              </w:rPr>
              <w:t>, tās netiek paplašinātas vai sašaurinātas.</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3.</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Jaunu institūciju izveide</w:t>
            </w:r>
          </w:p>
        </w:tc>
        <w:tc>
          <w:tcPr>
            <w:tcW w:w="3705" w:type="pct"/>
            <w:tcBorders>
              <w:top w:val="outset" w:sz="6" w:space="0" w:color="000000"/>
              <w:left w:val="outset" w:sz="6" w:space="0" w:color="000000"/>
              <w:bottom w:val="outset" w:sz="6" w:space="0" w:color="000000"/>
            </w:tcBorders>
          </w:tcPr>
          <w:p w:rsidR="001E6A95" w:rsidRPr="00CB62EA" w:rsidRDefault="00181F76" w:rsidP="005F7FAB">
            <w:pPr>
              <w:spacing w:before="100" w:beforeAutospacing="1" w:after="100" w:afterAutospacing="1" w:line="240" w:lineRule="auto"/>
              <w:ind w:firstLine="277"/>
              <w:jc w:val="both"/>
              <w:rPr>
                <w:sz w:val="26"/>
                <w:szCs w:val="24"/>
                <w:lang w:eastAsia="lv-LV"/>
              </w:rPr>
            </w:pPr>
            <w:r w:rsidRPr="00CB62EA">
              <w:rPr>
                <w:sz w:val="26"/>
                <w:szCs w:val="24"/>
                <w:lang w:eastAsia="lv-LV"/>
              </w:rPr>
              <w:t>Saistībā ar rīkojuma projekta izpildi jaunas institūcijas netiek radītas</w:t>
            </w:r>
            <w:r w:rsidR="00DB554E" w:rsidRPr="00CB62EA">
              <w:rPr>
                <w:sz w:val="26"/>
                <w:szCs w:val="24"/>
                <w:lang w:eastAsia="lv-LV"/>
              </w:rPr>
              <w:t>.</w:t>
            </w:r>
            <w:r w:rsidRPr="00CB62EA">
              <w:rPr>
                <w:sz w:val="26"/>
                <w:szCs w:val="24"/>
                <w:lang w:eastAsia="lv-LV"/>
              </w:rPr>
              <w:t xml:space="preserve"> Rīkojuma projekta izpildi var nodrošināt esošās institūcijas ietvaros, ar tai pieejamiem resursiem.</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4.</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Esošu institūciju likvidācija</w:t>
            </w:r>
          </w:p>
        </w:tc>
        <w:tc>
          <w:tcPr>
            <w:tcW w:w="3705" w:type="pct"/>
            <w:tcBorders>
              <w:top w:val="outset" w:sz="6" w:space="0" w:color="000000"/>
              <w:left w:val="outset" w:sz="6" w:space="0" w:color="000000"/>
              <w:bottom w:val="outset" w:sz="6" w:space="0" w:color="000000"/>
            </w:tcBorders>
          </w:tcPr>
          <w:p w:rsidR="001E6A95" w:rsidRPr="00CB62EA" w:rsidRDefault="002346BA" w:rsidP="005F7FAB">
            <w:pPr>
              <w:spacing w:before="100" w:beforeAutospacing="1" w:after="100" w:afterAutospacing="1" w:line="240" w:lineRule="auto"/>
              <w:ind w:firstLine="418"/>
              <w:jc w:val="both"/>
              <w:rPr>
                <w:sz w:val="26"/>
                <w:szCs w:val="24"/>
                <w:lang w:eastAsia="lv-LV"/>
              </w:rPr>
            </w:pPr>
            <w:r w:rsidRPr="00CB62EA">
              <w:rPr>
                <w:sz w:val="26"/>
                <w:szCs w:val="24"/>
                <w:lang w:eastAsia="lv-LV"/>
              </w:rPr>
              <w:t>Saistībā ar rīkojuma projekta izpildi nav plānots likvidēt esošo institūciju.</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5.</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Projekta izpildes ietekme uz pārvaldes institucionālo struktūru.</w:t>
            </w:r>
          </w:p>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Esošu institūciju reorganizācija</w:t>
            </w:r>
          </w:p>
        </w:tc>
        <w:tc>
          <w:tcPr>
            <w:tcW w:w="3705" w:type="pct"/>
            <w:tcBorders>
              <w:top w:val="outset" w:sz="6" w:space="0" w:color="000000"/>
              <w:left w:val="outset" w:sz="6" w:space="0" w:color="000000"/>
              <w:bottom w:val="outset" w:sz="6" w:space="0" w:color="000000"/>
            </w:tcBorders>
          </w:tcPr>
          <w:p w:rsidR="001E6A95" w:rsidRPr="00CB62EA" w:rsidRDefault="002346BA" w:rsidP="005F7FAB">
            <w:pPr>
              <w:spacing w:before="100" w:beforeAutospacing="1" w:after="100" w:afterAutospacing="1" w:line="240" w:lineRule="auto"/>
              <w:ind w:firstLine="418"/>
              <w:jc w:val="both"/>
              <w:rPr>
                <w:sz w:val="26"/>
                <w:szCs w:val="24"/>
                <w:lang w:eastAsia="lv-LV"/>
              </w:rPr>
            </w:pPr>
            <w:r w:rsidRPr="00CB62EA">
              <w:rPr>
                <w:sz w:val="26"/>
                <w:szCs w:val="24"/>
                <w:lang w:eastAsia="lv-LV"/>
              </w:rPr>
              <w:t>Saistībā ar rīkojuma projekta izpildi nav plānots reorganizēt esošo institūciju.</w:t>
            </w:r>
          </w:p>
        </w:tc>
      </w:tr>
      <w:tr w:rsidR="00181F76" w:rsidRPr="00CB62EA" w:rsidTr="005F7FAB">
        <w:trPr>
          <w:tblCellSpacing w:w="15" w:type="dxa"/>
        </w:trPr>
        <w:tc>
          <w:tcPr>
            <w:tcW w:w="0" w:type="auto"/>
            <w:tcBorders>
              <w:top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6.</w:t>
            </w:r>
          </w:p>
        </w:tc>
        <w:tc>
          <w:tcPr>
            <w:tcW w:w="1075" w:type="pct"/>
            <w:tcBorders>
              <w:top w:val="outset" w:sz="6" w:space="0" w:color="000000"/>
              <w:left w:val="outset" w:sz="6" w:space="0" w:color="000000"/>
              <w:bottom w:val="outset" w:sz="6" w:space="0" w:color="000000"/>
              <w:right w:val="outset" w:sz="6" w:space="0" w:color="000000"/>
            </w:tcBorders>
          </w:tcPr>
          <w:p w:rsidR="001E6A95" w:rsidRPr="00CB62EA" w:rsidRDefault="001E6A95" w:rsidP="001E6A95">
            <w:pPr>
              <w:spacing w:before="100" w:beforeAutospacing="1" w:after="100" w:afterAutospacing="1" w:line="240" w:lineRule="auto"/>
              <w:rPr>
                <w:sz w:val="26"/>
                <w:szCs w:val="24"/>
                <w:lang w:eastAsia="lv-LV"/>
              </w:rPr>
            </w:pPr>
            <w:r w:rsidRPr="00CB62EA">
              <w:rPr>
                <w:sz w:val="26"/>
                <w:szCs w:val="24"/>
                <w:lang w:eastAsia="lv-LV"/>
              </w:rPr>
              <w:t>Cita informācija</w:t>
            </w:r>
          </w:p>
        </w:tc>
        <w:tc>
          <w:tcPr>
            <w:tcW w:w="3705" w:type="pct"/>
            <w:tcBorders>
              <w:top w:val="outset" w:sz="6" w:space="0" w:color="000000"/>
              <w:left w:val="outset" w:sz="6" w:space="0" w:color="000000"/>
              <w:bottom w:val="outset" w:sz="6" w:space="0" w:color="000000"/>
            </w:tcBorders>
          </w:tcPr>
          <w:p w:rsidR="001E6A95" w:rsidRPr="00CB62EA" w:rsidRDefault="00132C68" w:rsidP="005F7FAB">
            <w:pPr>
              <w:spacing w:before="100" w:beforeAutospacing="1" w:after="100" w:afterAutospacing="1" w:line="240" w:lineRule="auto"/>
              <w:ind w:firstLine="418"/>
              <w:jc w:val="both"/>
              <w:rPr>
                <w:sz w:val="26"/>
                <w:szCs w:val="24"/>
                <w:lang w:eastAsia="lv-LV"/>
              </w:rPr>
            </w:pPr>
            <w:r w:rsidRPr="005E42D9">
              <w:rPr>
                <w:sz w:val="26"/>
                <w:szCs w:val="28"/>
                <w:lang w:eastAsia="lv-LV"/>
              </w:rPr>
              <w:t xml:space="preserve">Ministru kabineta </w:t>
            </w:r>
            <w:smartTag w:uri="schemas-tilde-lv/tildestengine" w:element="veidnes">
              <w:smartTagPr>
                <w:attr w:name="id" w:val="-1"/>
                <w:attr w:name="baseform" w:val="rīkojums"/>
                <w:attr w:name="text" w:val="rīkojums"/>
              </w:smartTagPr>
              <w:r w:rsidRPr="005E42D9">
                <w:rPr>
                  <w:sz w:val="26"/>
                  <w:szCs w:val="28"/>
                  <w:lang w:eastAsia="lv-LV"/>
                </w:rPr>
                <w:t>rīkojums</w:t>
              </w:r>
            </w:smartTag>
            <w:r w:rsidRPr="005E42D9">
              <w:rPr>
                <w:sz w:val="26"/>
                <w:szCs w:val="28"/>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5E42D9">
                <w:rPr>
                  <w:sz w:val="26"/>
                  <w:szCs w:val="28"/>
                  <w:lang w:eastAsia="lv-LV"/>
                </w:rPr>
                <w:t>www.likumi.lv</w:t>
              </w:r>
            </w:hyperlink>
            <w:r w:rsidRPr="005E42D9">
              <w:rPr>
                <w:sz w:val="26"/>
                <w:szCs w:val="28"/>
                <w:lang w:eastAsia="lv-LV"/>
              </w:rPr>
              <w:t>.</w:t>
            </w:r>
          </w:p>
        </w:tc>
      </w:tr>
    </w:tbl>
    <w:p w:rsidR="006E5568" w:rsidRDefault="006E5568" w:rsidP="001E6A95">
      <w:pPr>
        <w:rPr>
          <w:sz w:val="26"/>
          <w:szCs w:val="24"/>
        </w:rPr>
      </w:pPr>
    </w:p>
    <w:p w:rsidR="00351B3F" w:rsidRPr="00CB62EA" w:rsidRDefault="00351B3F" w:rsidP="001E6A95">
      <w:pPr>
        <w:rPr>
          <w:sz w:val="26"/>
          <w:szCs w:val="24"/>
        </w:rPr>
      </w:pPr>
    </w:p>
    <w:p w:rsidR="001E6A95" w:rsidRPr="00CB62EA" w:rsidRDefault="008D017C" w:rsidP="008D017C">
      <w:pPr>
        <w:spacing w:after="0" w:line="240" w:lineRule="auto"/>
        <w:rPr>
          <w:sz w:val="26"/>
          <w:szCs w:val="24"/>
          <w:lang w:eastAsia="lv-LV"/>
        </w:rPr>
      </w:pPr>
      <w:r w:rsidRPr="00CB62EA">
        <w:rPr>
          <w:sz w:val="26"/>
          <w:szCs w:val="24"/>
          <w:lang w:eastAsia="lv-LV"/>
        </w:rPr>
        <w:t>Finanšu ministrs</w:t>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Pr="00CB62EA">
        <w:rPr>
          <w:sz w:val="26"/>
          <w:szCs w:val="24"/>
          <w:lang w:eastAsia="lv-LV"/>
        </w:rPr>
        <w:tab/>
      </w:r>
      <w:r w:rsidR="001B5E38">
        <w:rPr>
          <w:sz w:val="26"/>
          <w:szCs w:val="24"/>
          <w:lang w:eastAsia="lv-LV"/>
        </w:rPr>
        <w:t>A.Vilks</w:t>
      </w:r>
    </w:p>
    <w:p w:rsidR="006E5568" w:rsidRDefault="006E5568" w:rsidP="008D017C">
      <w:pPr>
        <w:spacing w:after="0" w:line="240" w:lineRule="auto"/>
        <w:rPr>
          <w:sz w:val="26"/>
          <w:szCs w:val="24"/>
          <w:lang w:eastAsia="lv-LV"/>
        </w:rPr>
      </w:pPr>
    </w:p>
    <w:p w:rsidR="00BD67DB" w:rsidRDefault="00BD67DB" w:rsidP="008D017C">
      <w:pPr>
        <w:spacing w:after="0" w:line="240" w:lineRule="auto"/>
        <w:rPr>
          <w:sz w:val="24"/>
          <w:szCs w:val="24"/>
          <w:lang w:eastAsia="lv-LV"/>
        </w:rPr>
      </w:pPr>
    </w:p>
    <w:p w:rsidR="00351B3F" w:rsidRDefault="00351B3F" w:rsidP="008D017C">
      <w:pPr>
        <w:spacing w:after="0" w:line="240" w:lineRule="auto"/>
        <w:rPr>
          <w:sz w:val="24"/>
          <w:szCs w:val="24"/>
          <w:lang w:eastAsia="lv-LV"/>
        </w:rPr>
      </w:pPr>
    </w:p>
    <w:p w:rsidR="00D6047A" w:rsidRDefault="00D6047A" w:rsidP="008D017C">
      <w:pPr>
        <w:spacing w:after="0" w:line="240" w:lineRule="auto"/>
        <w:rPr>
          <w:sz w:val="24"/>
          <w:szCs w:val="24"/>
          <w:lang w:eastAsia="lv-LV"/>
        </w:rPr>
      </w:pPr>
    </w:p>
    <w:p w:rsidR="00351B3F" w:rsidRDefault="00351B3F" w:rsidP="008D017C">
      <w:pPr>
        <w:spacing w:after="0" w:line="240" w:lineRule="auto"/>
        <w:rPr>
          <w:sz w:val="24"/>
          <w:szCs w:val="24"/>
          <w:lang w:eastAsia="lv-LV"/>
        </w:rPr>
      </w:pPr>
    </w:p>
    <w:p w:rsidR="001B5E38" w:rsidRPr="001B5E38" w:rsidRDefault="00EC3AF7" w:rsidP="001B5E38">
      <w:pPr>
        <w:pStyle w:val="BodyTextIndent"/>
        <w:spacing w:after="0" w:line="240" w:lineRule="auto"/>
        <w:ind w:left="0"/>
        <w:rPr>
          <w:sz w:val="20"/>
          <w:szCs w:val="20"/>
        </w:rPr>
      </w:pPr>
      <w:r>
        <w:rPr>
          <w:sz w:val="20"/>
          <w:szCs w:val="20"/>
        </w:rPr>
        <w:t>11</w:t>
      </w:r>
      <w:r w:rsidR="00D6047A">
        <w:rPr>
          <w:sz w:val="20"/>
          <w:szCs w:val="20"/>
        </w:rPr>
        <w:t>.01.2011</w:t>
      </w:r>
      <w:r w:rsidR="001B5E38" w:rsidRPr="001B5E38">
        <w:rPr>
          <w:sz w:val="20"/>
          <w:szCs w:val="20"/>
        </w:rPr>
        <w:t>.   1</w:t>
      </w:r>
      <w:r>
        <w:rPr>
          <w:sz w:val="20"/>
          <w:szCs w:val="20"/>
        </w:rPr>
        <w:t>6</w:t>
      </w:r>
      <w:r w:rsidR="001B5E38" w:rsidRPr="001B5E38">
        <w:rPr>
          <w:sz w:val="20"/>
          <w:szCs w:val="20"/>
        </w:rPr>
        <w:t>:12</w:t>
      </w:r>
    </w:p>
    <w:p w:rsidR="001B5E38" w:rsidRPr="00EC3AF7" w:rsidRDefault="00A43AE9" w:rsidP="001B5E38">
      <w:pPr>
        <w:pStyle w:val="Footer"/>
        <w:spacing w:after="0" w:line="240" w:lineRule="auto"/>
        <w:jc w:val="both"/>
        <w:rPr>
          <w:sz w:val="20"/>
          <w:szCs w:val="20"/>
        </w:rPr>
      </w:pPr>
      <w:r>
        <w:rPr>
          <w:sz w:val="20"/>
          <w:szCs w:val="20"/>
        </w:rPr>
        <w:t>1034</w:t>
      </w:r>
    </w:p>
    <w:p w:rsidR="001B5E38" w:rsidRPr="001B5E38" w:rsidRDefault="001B5E38" w:rsidP="001B5E38">
      <w:pPr>
        <w:spacing w:after="0" w:line="240" w:lineRule="auto"/>
        <w:rPr>
          <w:sz w:val="20"/>
          <w:szCs w:val="20"/>
        </w:rPr>
      </w:pPr>
      <w:bookmarkStart w:id="3" w:name="OLE_LINK1"/>
      <w:bookmarkStart w:id="4" w:name="OLE_LINK2"/>
      <w:r w:rsidRPr="001B5E38">
        <w:rPr>
          <w:sz w:val="20"/>
          <w:szCs w:val="20"/>
        </w:rPr>
        <w:t>I.Jansone</w:t>
      </w:r>
    </w:p>
    <w:p w:rsidR="001B5E38" w:rsidRPr="001B5E38" w:rsidRDefault="001B5E38" w:rsidP="001B5E38">
      <w:pPr>
        <w:spacing w:after="0" w:line="240" w:lineRule="auto"/>
        <w:rPr>
          <w:sz w:val="20"/>
          <w:szCs w:val="20"/>
        </w:rPr>
      </w:pPr>
      <w:r w:rsidRPr="001B5E38">
        <w:rPr>
          <w:sz w:val="20"/>
          <w:szCs w:val="20"/>
        </w:rPr>
        <w:t>67024921, Ieva.Jansone@vni.lv</w:t>
      </w:r>
    </w:p>
    <w:bookmarkEnd w:id="3"/>
    <w:bookmarkEnd w:id="4"/>
    <w:p w:rsidR="008D017C" w:rsidRPr="00A019AC" w:rsidRDefault="008D017C" w:rsidP="001B5E38">
      <w:pPr>
        <w:spacing w:after="0" w:line="240" w:lineRule="auto"/>
        <w:rPr>
          <w:sz w:val="20"/>
          <w:szCs w:val="20"/>
        </w:rPr>
      </w:pPr>
    </w:p>
    <w:sectPr w:rsidR="008D017C" w:rsidRPr="00A019AC"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F2" w:rsidRDefault="000151F2">
      <w:r>
        <w:separator/>
      </w:r>
    </w:p>
  </w:endnote>
  <w:endnote w:type="continuationSeparator" w:id="0">
    <w:p w:rsidR="000151F2" w:rsidRDefault="0001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75" w:rsidRPr="00EC3AF7" w:rsidRDefault="00DD7234" w:rsidP="001B5E38">
    <w:pPr>
      <w:pStyle w:val="Footer"/>
      <w:spacing w:after="0" w:line="240" w:lineRule="auto"/>
      <w:jc w:val="both"/>
      <w:rPr>
        <w:sz w:val="20"/>
        <w:szCs w:val="20"/>
      </w:rPr>
    </w:pPr>
    <w:r w:rsidRPr="001B5E38">
      <w:rPr>
        <w:sz w:val="20"/>
        <w:szCs w:val="20"/>
      </w:rPr>
      <w:fldChar w:fldCharType="begin"/>
    </w:r>
    <w:r w:rsidR="00C47875" w:rsidRPr="001B5E38">
      <w:rPr>
        <w:sz w:val="20"/>
        <w:szCs w:val="20"/>
      </w:rPr>
      <w:instrText xml:space="preserve"> FILENAME </w:instrText>
    </w:r>
    <w:r w:rsidRPr="001B5E38">
      <w:rPr>
        <w:sz w:val="20"/>
        <w:szCs w:val="20"/>
      </w:rPr>
      <w:fldChar w:fldCharType="separate"/>
    </w:r>
    <w:r w:rsidR="00A43AE9">
      <w:rPr>
        <w:noProof/>
        <w:sz w:val="20"/>
        <w:szCs w:val="20"/>
      </w:rPr>
      <w:t>FMAnot_110111_GrPilsk.docx</w:t>
    </w:r>
    <w:r w:rsidRPr="001B5E38">
      <w:rPr>
        <w:sz w:val="20"/>
        <w:szCs w:val="20"/>
      </w:rPr>
      <w:fldChar w:fldCharType="end"/>
    </w:r>
    <w:r w:rsidR="00C47875">
      <w:rPr>
        <w:sz w:val="20"/>
        <w:szCs w:val="20"/>
      </w:rPr>
      <w:t>;</w:t>
    </w:r>
    <w:r w:rsidR="00C47875" w:rsidRPr="001B5E38">
      <w:rPr>
        <w:sz w:val="20"/>
        <w:szCs w:val="20"/>
      </w:rPr>
      <w:t xml:space="preserve"> „</w:t>
    </w:r>
    <w:r w:rsidR="00C47875" w:rsidRPr="00EC3AF7">
      <w:rPr>
        <w:sz w:val="20"/>
        <w:szCs w:val="20"/>
      </w:rPr>
      <w:t>Par nekustamā īpašuma Liel</w:t>
    </w:r>
    <w:r w:rsidR="0060798B">
      <w:rPr>
        <w:sz w:val="20"/>
        <w:szCs w:val="20"/>
      </w:rPr>
      <w:t>ajā</w:t>
    </w:r>
    <w:r w:rsidR="00C47875" w:rsidRPr="00EC3AF7">
      <w:rPr>
        <w:sz w:val="20"/>
        <w:szCs w:val="20"/>
      </w:rPr>
      <w:t xml:space="preserve"> ielā 56, Grobiņā, Grobiņas novadā, nodošanu Grobiņas novada pašvaldības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75" w:rsidRPr="00EC3AF7" w:rsidRDefault="00DD7234" w:rsidP="00EC3AF7">
    <w:pPr>
      <w:pStyle w:val="Footer"/>
      <w:spacing w:after="0" w:line="240" w:lineRule="auto"/>
      <w:jc w:val="both"/>
      <w:rPr>
        <w:sz w:val="20"/>
        <w:szCs w:val="20"/>
      </w:rPr>
    </w:pPr>
    <w:r w:rsidRPr="001B5E38">
      <w:rPr>
        <w:sz w:val="20"/>
        <w:szCs w:val="20"/>
      </w:rPr>
      <w:fldChar w:fldCharType="begin"/>
    </w:r>
    <w:r w:rsidR="00C47875" w:rsidRPr="001B5E38">
      <w:rPr>
        <w:sz w:val="20"/>
        <w:szCs w:val="20"/>
      </w:rPr>
      <w:instrText xml:space="preserve"> FILENAME </w:instrText>
    </w:r>
    <w:r w:rsidRPr="001B5E38">
      <w:rPr>
        <w:sz w:val="20"/>
        <w:szCs w:val="20"/>
      </w:rPr>
      <w:fldChar w:fldCharType="separate"/>
    </w:r>
    <w:r w:rsidR="00A43AE9">
      <w:rPr>
        <w:noProof/>
        <w:sz w:val="20"/>
        <w:szCs w:val="20"/>
      </w:rPr>
      <w:t>FMAnot_110111_GrPilsk.docx</w:t>
    </w:r>
    <w:r w:rsidRPr="001B5E38">
      <w:rPr>
        <w:sz w:val="20"/>
        <w:szCs w:val="20"/>
      </w:rPr>
      <w:fldChar w:fldCharType="end"/>
    </w:r>
    <w:r w:rsidR="00C47875">
      <w:rPr>
        <w:sz w:val="20"/>
        <w:szCs w:val="20"/>
      </w:rPr>
      <w:t>;</w:t>
    </w:r>
    <w:r w:rsidR="00C47875" w:rsidRPr="001B5E38">
      <w:rPr>
        <w:sz w:val="20"/>
        <w:szCs w:val="20"/>
      </w:rPr>
      <w:t xml:space="preserve"> „</w:t>
    </w:r>
    <w:r w:rsidR="00C47875" w:rsidRPr="00EC3AF7">
      <w:rPr>
        <w:sz w:val="20"/>
        <w:szCs w:val="20"/>
      </w:rPr>
      <w:t xml:space="preserve">Par nekustamā īpašuma </w:t>
    </w:r>
    <w:proofErr w:type="spellStart"/>
    <w:r w:rsidR="00C47875" w:rsidRPr="00EC3AF7">
      <w:rPr>
        <w:sz w:val="20"/>
        <w:szCs w:val="20"/>
      </w:rPr>
      <w:t>Liel</w:t>
    </w:r>
    <w:r w:rsidR="0060798B">
      <w:rPr>
        <w:sz w:val="20"/>
        <w:szCs w:val="20"/>
      </w:rPr>
      <w:t>aj</w:t>
    </w:r>
    <w:proofErr w:type="spellEnd"/>
    <w:r w:rsidR="00C47875" w:rsidRPr="00EC3AF7">
      <w:rPr>
        <w:sz w:val="20"/>
        <w:szCs w:val="20"/>
      </w:rPr>
      <w:t xml:space="preserve"> ielā 56, Grobiņā, Grobiņas novadā, nodošanu Grobiņas novada pašvaldības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F2" w:rsidRDefault="000151F2">
      <w:r>
        <w:separator/>
      </w:r>
    </w:p>
  </w:footnote>
  <w:footnote w:type="continuationSeparator" w:id="0">
    <w:p w:rsidR="000151F2" w:rsidRDefault="0001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75" w:rsidRDefault="00DD7234" w:rsidP="005A6C96">
    <w:pPr>
      <w:pStyle w:val="Header"/>
      <w:framePr w:wrap="around" w:vAnchor="text" w:hAnchor="margin" w:xAlign="center" w:y="1"/>
      <w:rPr>
        <w:rStyle w:val="PageNumber"/>
      </w:rPr>
    </w:pPr>
    <w:r>
      <w:rPr>
        <w:rStyle w:val="PageNumber"/>
      </w:rPr>
      <w:fldChar w:fldCharType="begin"/>
    </w:r>
    <w:r w:rsidR="00C47875">
      <w:rPr>
        <w:rStyle w:val="PageNumber"/>
      </w:rPr>
      <w:instrText xml:space="preserve">PAGE  </w:instrText>
    </w:r>
    <w:r>
      <w:rPr>
        <w:rStyle w:val="PageNumber"/>
      </w:rPr>
      <w:fldChar w:fldCharType="end"/>
    </w:r>
  </w:p>
  <w:p w:rsidR="00C47875" w:rsidRDefault="00C47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75" w:rsidRDefault="00DD7234" w:rsidP="005A6C96">
    <w:pPr>
      <w:pStyle w:val="Header"/>
      <w:framePr w:wrap="around" w:vAnchor="text" w:hAnchor="margin" w:xAlign="center" w:y="1"/>
      <w:rPr>
        <w:rStyle w:val="PageNumber"/>
      </w:rPr>
    </w:pPr>
    <w:r>
      <w:rPr>
        <w:rStyle w:val="PageNumber"/>
      </w:rPr>
      <w:fldChar w:fldCharType="begin"/>
    </w:r>
    <w:r w:rsidR="00C47875">
      <w:rPr>
        <w:rStyle w:val="PageNumber"/>
      </w:rPr>
      <w:instrText xml:space="preserve">PAGE  </w:instrText>
    </w:r>
    <w:r>
      <w:rPr>
        <w:rStyle w:val="PageNumber"/>
      </w:rPr>
      <w:fldChar w:fldCharType="separate"/>
    </w:r>
    <w:r w:rsidR="00281444">
      <w:rPr>
        <w:rStyle w:val="PageNumber"/>
        <w:noProof/>
      </w:rPr>
      <w:t>5</w:t>
    </w:r>
    <w:r>
      <w:rPr>
        <w:rStyle w:val="PageNumber"/>
      </w:rPr>
      <w:fldChar w:fldCharType="end"/>
    </w:r>
  </w:p>
  <w:p w:rsidR="00C47875" w:rsidRDefault="00C47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A95"/>
    <w:rsid w:val="000151F2"/>
    <w:rsid w:val="00035803"/>
    <w:rsid w:val="000B2E7E"/>
    <w:rsid w:val="000E5390"/>
    <w:rsid w:val="000E5DE0"/>
    <w:rsid w:val="001251B0"/>
    <w:rsid w:val="00132916"/>
    <w:rsid w:val="00132C68"/>
    <w:rsid w:val="00181F76"/>
    <w:rsid w:val="00185872"/>
    <w:rsid w:val="001A5D31"/>
    <w:rsid w:val="001B1F37"/>
    <w:rsid w:val="001B5E38"/>
    <w:rsid w:val="001B5E70"/>
    <w:rsid w:val="001B72C1"/>
    <w:rsid w:val="001C0F05"/>
    <w:rsid w:val="001D442C"/>
    <w:rsid w:val="001E6422"/>
    <w:rsid w:val="001E6A95"/>
    <w:rsid w:val="001E6FEF"/>
    <w:rsid w:val="002068AC"/>
    <w:rsid w:val="002208DB"/>
    <w:rsid w:val="0022107E"/>
    <w:rsid w:val="002272A8"/>
    <w:rsid w:val="002346BA"/>
    <w:rsid w:val="0028142E"/>
    <w:rsid w:val="00281444"/>
    <w:rsid w:val="002A2150"/>
    <w:rsid w:val="002B6FEE"/>
    <w:rsid w:val="002C411F"/>
    <w:rsid w:val="002D6C8A"/>
    <w:rsid w:val="00342256"/>
    <w:rsid w:val="00344F43"/>
    <w:rsid w:val="00351B3F"/>
    <w:rsid w:val="003564A0"/>
    <w:rsid w:val="003636AD"/>
    <w:rsid w:val="00367BB6"/>
    <w:rsid w:val="00375467"/>
    <w:rsid w:val="003A58EE"/>
    <w:rsid w:val="003B33DC"/>
    <w:rsid w:val="003C06A1"/>
    <w:rsid w:val="003C5EF0"/>
    <w:rsid w:val="003E03B4"/>
    <w:rsid w:val="003E3A29"/>
    <w:rsid w:val="004038C4"/>
    <w:rsid w:val="00412898"/>
    <w:rsid w:val="004306B9"/>
    <w:rsid w:val="004422AE"/>
    <w:rsid w:val="00453511"/>
    <w:rsid w:val="00462F23"/>
    <w:rsid w:val="00465198"/>
    <w:rsid w:val="00465A7C"/>
    <w:rsid w:val="004742F4"/>
    <w:rsid w:val="0048458F"/>
    <w:rsid w:val="0048734D"/>
    <w:rsid w:val="004920CC"/>
    <w:rsid w:val="004B44E6"/>
    <w:rsid w:val="004B7116"/>
    <w:rsid w:val="004F5CCF"/>
    <w:rsid w:val="00502AFA"/>
    <w:rsid w:val="005141B0"/>
    <w:rsid w:val="00523E70"/>
    <w:rsid w:val="0052674F"/>
    <w:rsid w:val="005323BE"/>
    <w:rsid w:val="00544E06"/>
    <w:rsid w:val="005900AC"/>
    <w:rsid w:val="0059264E"/>
    <w:rsid w:val="005A6C96"/>
    <w:rsid w:val="005B4DAC"/>
    <w:rsid w:val="005C33F5"/>
    <w:rsid w:val="005C703D"/>
    <w:rsid w:val="005E29B1"/>
    <w:rsid w:val="005F016B"/>
    <w:rsid w:val="005F7FAB"/>
    <w:rsid w:val="00605FF8"/>
    <w:rsid w:val="0060798B"/>
    <w:rsid w:val="00613859"/>
    <w:rsid w:val="00651987"/>
    <w:rsid w:val="0068412D"/>
    <w:rsid w:val="00684D1D"/>
    <w:rsid w:val="006927B7"/>
    <w:rsid w:val="006A3C1F"/>
    <w:rsid w:val="006B2691"/>
    <w:rsid w:val="006C76E9"/>
    <w:rsid w:val="006D1DE6"/>
    <w:rsid w:val="006D2091"/>
    <w:rsid w:val="006D6841"/>
    <w:rsid w:val="006E5568"/>
    <w:rsid w:val="006E6777"/>
    <w:rsid w:val="00734EFA"/>
    <w:rsid w:val="00746546"/>
    <w:rsid w:val="00751328"/>
    <w:rsid w:val="00751F3E"/>
    <w:rsid w:val="00771F8B"/>
    <w:rsid w:val="00773385"/>
    <w:rsid w:val="00782814"/>
    <w:rsid w:val="00793467"/>
    <w:rsid w:val="007B3816"/>
    <w:rsid w:val="007C3836"/>
    <w:rsid w:val="007F2C50"/>
    <w:rsid w:val="00811168"/>
    <w:rsid w:val="00842DCA"/>
    <w:rsid w:val="00854D31"/>
    <w:rsid w:val="008566AC"/>
    <w:rsid w:val="00857C60"/>
    <w:rsid w:val="00876838"/>
    <w:rsid w:val="00884F28"/>
    <w:rsid w:val="008A39EC"/>
    <w:rsid w:val="008B5ADA"/>
    <w:rsid w:val="008D017C"/>
    <w:rsid w:val="008D7C72"/>
    <w:rsid w:val="008F5786"/>
    <w:rsid w:val="00905639"/>
    <w:rsid w:val="0092501C"/>
    <w:rsid w:val="0093716E"/>
    <w:rsid w:val="00967107"/>
    <w:rsid w:val="009A6968"/>
    <w:rsid w:val="009B353E"/>
    <w:rsid w:val="009B7312"/>
    <w:rsid w:val="009D42B0"/>
    <w:rsid w:val="00A019AC"/>
    <w:rsid w:val="00A04A64"/>
    <w:rsid w:val="00A23C5A"/>
    <w:rsid w:val="00A43AE9"/>
    <w:rsid w:val="00A628E9"/>
    <w:rsid w:val="00A631C1"/>
    <w:rsid w:val="00A7415D"/>
    <w:rsid w:val="00A75A9B"/>
    <w:rsid w:val="00A95485"/>
    <w:rsid w:val="00A955F4"/>
    <w:rsid w:val="00AA4110"/>
    <w:rsid w:val="00AA478F"/>
    <w:rsid w:val="00AA71DB"/>
    <w:rsid w:val="00AB441A"/>
    <w:rsid w:val="00AC195D"/>
    <w:rsid w:val="00B000ED"/>
    <w:rsid w:val="00B14D7E"/>
    <w:rsid w:val="00B33D1C"/>
    <w:rsid w:val="00B63649"/>
    <w:rsid w:val="00B82D10"/>
    <w:rsid w:val="00BA1C3F"/>
    <w:rsid w:val="00BB6E21"/>
    <w:rsid w:val="00BD12F4"/>
    <w:rsid w:val="00BD3079"/>
    <w:rsid w:val="00BD67DB"/>
    <w:rsid w:val="00BF2E38"/>
    <w:rsid w:val="00C232DD"/>
    <w:rsid w:val="00C423C1"/>
    <w:rsid w:val="00C47875"/>
    <w:rsid w:val="00C539A8"/>
    <w:rsid w:val="00C62EA1"/>
    <w:rsid w:val="00C77F0A"/>
    <w:rsid w:val="00CA3D9F"/>
    <w:rsid w:val="00CB62EA"/>
    <w:rsid w:val="00CB67C3"/>
    <w:rsid w:val="00CC7680"/>
    <w:rsid w:val="00CD37B9"/>
    <w:rsid w:val="00CD41B3"/>
    <w:rsid w:val="00D21EF6"/>
    <w:rsid w:val="00D42B02"/>
    <w:rsid w:val="00D46948"/>
    <w:rsid w:val="00D5164C"/>
    <w:rsid w:val="00D601AD"/>
    <w:rsid w:val="00D6047A"/>
    <w:rsid w:val="00D619DF"/>
    <w:rsid w:val="00D715FC"/>
    <w:rsid w:val="00D933EC"/>
    <w:rsid w:val="00D96386"/>
    <w:rsid w:val="00DB554E"/>
    <w:rsid w:val="00DB672A"/>
    <w:rsid w:val="00DD2A15"/>
    <w:rsid w:val="00DD4213"/>
    <w:rsid w:val="00DD7234"/>
    <w:rsid w:val="00E0236A"/>
    <w:rsid w:val="00E10D4E"/>
    <w:rsid w:val="00E56BCC"/>
    <w:rsid w:val="00E614D0"/>
    <w:rsid w:val="00E97F2A"/>
    <w:rsid w:val="00EA2090"/>
    <w:rsid w:val="00EB5EB6"/>
    <w:rsid w:val="00EC3AF7"/>
    <w:rsid w:val="00F0266F"/>
    <w:rsid w:val="00F2489E"/>
    <w:rsid w:val="00F35DF7"/>
    <w:rsid w:val="00F37E67"/>
    <w:rsid w:val="00F701A3"/>
    <w:rsid w:val="00F72C75"/>
    <w:rsid w:val="00F84B00"/>
    <w:rsid w:val="00FD0CEE"/>
    <w:rsid w:val="00FD3C3C"/>
    <w:rsid w:val="00FE7AB4"/>
    <w:rsid w:val="00FF7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link w:val="naiscChar"/>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basedOn w:val="DefaultParagraphFont"/>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basedOn w:val="DefaultParagraphFont"/>
    <w:link w:val="Heading2"/>
    <w:locked/>
    <w:rsid w:val="00811168"/>
    <w:rPr>
      <w:b/>
      <w:bCs/>
      <w:sz w:val="28"/>
      <w:lang w:val="lv-LV" w:eastAsia="en-US" w:bidi="ar-SA"/>
    </w:rPr>
  </w:style>
  <w:style w:type="character" w:styleId="Strong">
    <w:name w:val="Strong"/>
    <w:basedOn w:val="DefaultParagraphFont"/>
    <w:qFormat/>
    <w:rsid w:val="004038C4"/>
    <w:rPr>
      <w:b/>
      <w:bCs/>
    </w:rPr>
  </w:style>
  <w:style w:type="character" w:customStyle="1" w:styleId="naiscChar">
    <w:name w:val="naisc Char"/>
    <w:basedOn w:val="DefaultParagraphFont"/>
    <w:link w:val="naisc"/>
    <w:rsid w:val="0022107E"/>
    <w:rPr>
      <w:sz w:val="24"/>
      <w:szCs w:val="24"/>
    </w:rPr>
  </w:style>
  <w:style w:type="paragraph" w:styleId="BodyTextIndent">
    <w:name w:val="Body Text Indent"/>
    <w:basedOn w:val="Normal"/>
    <w:link w:val="BodyTextIndentChar"/>
    <w:rsid w:val="001B5E38"/>
    <w:pPr>
      <w:spacing w:after="120"/>
      <w:ind w:left="283"/>
    </w:pPr>
  </w:style>
  <w:style w:type="character" w:customStyle="1" w:styleId="BodyTextIndentChar">
    <w:name w:val="Body Text Indent Char"/>
    <w:basedOn w:val="DefaultParagraphFont"/>
    <w:link w:val="BodyTextIndent"/>
    <w:rsid w:val="001B5E38"/>
    <w:rPr>
      <w:sz w:val="28"/>
      <w:szCs w:val="22"/>
      <w:lang w:eastAsia="en-US"/>
    </w:rPr>
  </w:style>
  <w:style w:type="paragraph" w:styleId="NoSpacing">
    <w:name w:val="No Spacing"/>
    <w:uiPriority w:val="1"/>
    <w:qFormat/>
    <w:rsid w:val="00D601AD"/>
    <w:pPr>
      <w:widowControl w:val="0"/>
      <w:ind w:firstLine="720"/>
      <w:jc w:val="both"/>
    </w:pPr>
    <w:rPr>
      <w:sz w:val="26"/>
      <w:lang w:val="en-AU" w:eastAsia="en-US"/>
    </w:rPr>
  </w:style>
  <w:style w:type="paragraph" w:styleId="ListParagraph">
    <w:name w:val="List Paragraph"/>
    <w:basedOn w:val="Normal"/>
    <w:uiPriority w:val="34"/>
    <w:qFormat/>
    <w:rsid w:val="00C47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724">
      <w:bodyDiv w:val="1"/>
      <w:marLeft w:val="0"/>
      <w:marRight w:val="0"/>
      <w:marTop w:val="0"/>
      <w:marBottom w:val="0"/>
      <w:divBdr>
        <w:top w:val="none" w:sz="0" w:space="0" w:color="auto"/>
        <w:left w:val="none" w:sz="0" w:space="0" w:color="auto"/>
        <w:bottom w:val="none" w:sz="0" w:space="0" w:color="auto"/>
        <w:right w:val="none" w:sz="0" w:space="0" w:color="auto"/>
      </w:divBdr>
      <w:divsChild>
        <w:div w:id="738668794">
          <w:marLeft w:val="0"/>
          <w:marRight w:val="0"/>
          <w:marTop w:val="0"/>
          <w:marBottom w:val="567"/>
          <w:divBdr>
            <w:top w:val="none" w:sz="0" w:space="0" w:color="auto"/>
            <w:left w:val="none" w:sz="0" w:space="0" w:color="auto"/>
            <w:bottom w:val="none" w:sz="0" w:space="0" w:color="auto"/>
            <w:right w:val="none" w:sz="0" w:space="0" w:color="auto"/>
          </w:divBdr>
        </w:div>
      </w:divsChild>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5253</Words>
  <Characters>2995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Par valsts nekustamā īpašuma Madonas ielā 26C, Jēkabpilī, nodošanu Jēkabpils pilsētas pašvaldības īpašumā</vt:lpstr>
    </vt:vector>
  </TitlesOfParts>
  <Company>Valsts nekustamie īpašumi</Company>
  <LinksUpToDate>false</LinksUpToDate>
  <CharactersWithSpaces>8232</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Lielajā ielā 56, Grobiņā, Grobiņas novadā, nodošanu Grobiņas novada pašvaldības īpašumā”sākotnējās ietekmes novērtējuma ziņojums (anotācija)</dc:title>
  <dc:subject>anotācija</dc:subject>
  <dc:creator>I.Jansone</dc:creator>
  <dc:description>67024921, Ieva.Jansone@vni.lv</dc:description>
  <cp:lastModifiedBy>kc-siman</cp:lastModifiedBy>
  <cp:revision>9</cp:revision>
  <cp:lastPrinted>2011-01-12T14:57:00Z</cp:lastPrinted>
  <dcterms:created xsi:type="dcterms:W3CDTF">2011-01-11T12:07:00Z</dcterms:created>
  <dcterms:modified xsi:type="dcterms:W3CDTF">2011-02-25T12:04:00Z</dcterms:modified>
</cp:coreProperties>
</file>