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6D" w:rsidRPr="00C030E6" w:rsidRDefault="002B5BA9" w:rsidP="003E67CA">
      <w:pPr>
        <w:pStyle w:val="BodyText3"/>
        <w:jc w:val="center"/>
        <w:rPr>
          <w:bCs/>
          <w:i w:val="0"/>
          <w:sz w:val="26"/>
          <w:szCs w:val="26"/>
        </w:rPr>
      </w:pPr>
      <w:bookmarkStart w:id="0" w:name="OLE_LINK1"/>
      <w:bookmarkStart w:id="1" w:name="OLE_LINK2"/>
      <w:r w:rsidRPr="00C030E6">
        <w:rPr>
          <w:bCs/>
          <w:i w:val="0"/>
          <w:sz w:val="26"/>
          <w:szCs w:val="26"/>
        </w:rPr>
        <w:t xml:space="preserve">Ministru kabineta noteikumu </w:t>
      </w:r>
      <w:r w:rsidR="00C030E6">
        <w:rPr>
          <w:bCs/>
          <w:i w:val="0"/>
          <w:sz w:val="26"/>
          <w:szCs w:val="26"/>
        </w:rPr>
        <w:t>„</w:t>
      </w:r>
      <w:r w:rsidR="00C030E6" w:rsidRPr="00C030E6">
        <w:rPr>
          <w:bCs/>
          <w:i w:val="0"/>
          <w:sz w:val="26"/>
          <w:szCs w:val="26"/>
        </w:rPr>
        <w:t>Grozījum</w:t>
      </w:r>
      <w:r w:rsidR="001C2CD5">
        <w:rPr>
          <w:bCs/>
          <w:i w:val="0"/>
          <w:sz w:val="26"/>
          <w:szCs w:val="26"/>
        </w:rPr>
        <w:t>i</w:t>
      </w:r>
      <w:r w:rsidR="00C030E6" w:rsidRPr="00C030E6">
        <w:rPr>
          <w:bCs/>
          <w:i w:val="0"/>
          <w:sz w:val="26"/>
          <w:szCs w:val="26"/>
        </w:rPr>
        <w:t xml:space="preserve"> </w:t>
      </w:r>
      <w:r w:rsidR="001C2CD5" w:rsidRPr="001C2CD5">
        <w:rPr>
          <w:bCs/>
          <w:i w:val="0"/>
          <w:sz w:val="26"/>
          <w:szCs w:val="26"/>
        </w:rPr>
        <w:t xml:space="preserve">Ministru kabineta 2009.gada 22.decembra noteikumos Nr.1651 </w:t>
      </w:r>
      <w:r w:rsidR="001C2CD5">
        <w:rPr>
          <w:bCs/>
          <w:i w:val="0"/>
          <w:sz w:val="26"/>
          <w:szCs w:val="26"/>
        </w:rPr>
        <w:t>„</w:t>
      </w:r>
      <w:r w:rsidR="001C2CD5" w:rsidRPr="001C2CD5">
        <w:rPr>
          <w:bCs/>
          <w:i w:val="0"/>
          <w:sz w:val="26"/>
          <w:szCs w:val="26"/>
        </w:rPr>
        <w:t>Noteikumi par valsts un pašvaldību institūciju amatpersonu un darbinieku darba samaksu, kvalifikācijas pa</w:t>
      </w:r>
      <w:r w:rsidR="001C2CD5">
        <w:rPr>
          <w:bCs/>
          <w:i w:val="0"/>
          <w:sz w:val="26"/>
          <w:szCs w:val="26"/>
        </w:rPr>
        <w:t>kāpēm un to noteikšanas kārtību</w:t>
      </w:r>
      <w:r w:rsidR="00C030E6" w:rsidRPr="00C030E6">
        <w:rPr>
          <w:i w:val="0"/>
          <w:sz w:val="26"/>
          <w:szCs w:val="26"/>
        </w:rPr>
        <w:t>”</w:t>
      </w:r>
      <w:r w:rsidRPr="00C030E6">
        <w:rPr>
          <w:i w:val="0"/>
          <w:sz w:val="26"/>
          <w:szCs w:val="26"/>
        </w:rPr>
        <w:t xml:space="preserve">” projekta </w:t>
      </w:r>
      <w:bookmarkEnd w:id="0"/>
      <w:bookmarkEnd w:id="1"/>
      <w:r w:rsidR="003E67CA" w:rsidRPr="003E67CA">
        <w:rPr>
          <w:bCs/>
          <w:i w:val="0"/>
          <w:sz w:val="26"/>
          <w:szCs w:val="26"/>
        </w:rPr>
        <w:t>sākotnējās</w:t>
      </w:r>
      <w:r w:rsidR="005A74FF">
        <w:rPr>
          <w:bCs/>
          <w:i w:val="0"/>
          <w:sz w:val="26"/>
          <w:szCs w:val="26"/>
        </w:rPr>
        <w:t xml:space="preserve"> </w:t>
      </w:r>
      <w:r w:rsidR="003E67CA" w:rsidRPr="003E67CA">
        <w:rPr>
          <w:bCs/>
          <w:i w:val="0"/>
          <w:sz w:val="26"/>
          <w:szCs w:val="26"/>
        </w:rPr>
        <w:t>ietekmes novērtējuma ziņojums (anotācija)</w:t>
      </w:r>
    </w:p>
    <w:p w:rsidR="0024678C" w:rsidRPr="002A429F" w:rsidRDefault="0024678C" w:rsidP="0024678C">
      <w:pPr>
        <w:pStyle w:val="BodyText3"/>
        <w:jc w:val="center"/>
        <w:rPr>
          <w:i w:val="0"/>
          <w:sz w:val="26"/>
          <w:szCs w:val="26"/>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1472"/>
        <w:gridCol w:w="7371"/>
      </w:tblGrid>
      <w:tr w:rsidR="0070526D" w:rsidRPr="002A429F" w:rsidTr="00697140">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70526D" w:rsidRPr="00062334" w:rsidRDefault="0070526D" w:rsidP="00062334">
            <w:pPr>
              <w:pStyle w:val="ListParagraph"/>
              <w:numPr>
                <w:ilvl w:val="0"/>
                <w:numId w:val="2"/>
              </w:numPr>
              <w:rPr>
                <w:rFonts w:eastAsia="Times New Roman" w:cs="Times New Roman"/>
                <w:b/>
                <w:bCs/>
                <w:sz w:val="26"/>
                <w:szCs w:val="26"/>
                <w:lang w:eastAsia="lv-LV"/>
              </w:rPr>
            </w:pPr>
            <w:r w:rsidRPr="00062334">
              <w:rPr>
                <w:rFonts w:eastAsia="Times New Roman" w:cs="Times New Roman"/>
                <w:b/>
                <w:bCs/>
                <w:sz w:val="26"/>
                <w:szCs w:val="26"/>
                <w:lang w:eastAsia="lv-LV"/>
              </w:rPr>
              <w:t>Tiesību akta projekta izstrādes nepieciešamība</w:t>
            </w:r>
          </w:p>
          <w:p w:rsidR="00062334" w:rsidRPr="00062334" w:rsidRDefault="00062334" w:rsidP="00C030E6">
            <w:pPr>
              <w:pStyle w:val="ListParagraph"/>
              <w:ind w:left="840"/>
              <w:rPr>
                <w:rFonts w:eastAsia="Times New Roman" w:cs="Times New Roman"/>
                <w:sz w:val="26"/>
                <w:szCs w:val="26"/>
                <w:lang w:eastAsia="lv-LV"/>
              </w:rPr>
            </w:pPr>
          </w:p>
        </w:tc>
      </w:tr>
      <w:tr w:rsidR="0070526D" w:rsidRPr="002A429F" w:rsidTr="00547BD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24678C">
            <w:pPr>
              <w:rPr>
                <w:rFonts w:eastAsia="Times New Roman" w:cs="Times New Roman"/>
                <w:sz w:val="24"/>
                <w:szCs w:val="24"/>
                <w:lang w:eastAsia="lv-LV"/>
              </w:rPr>
            </w:pPr>
            <w:r w:rsidRPr="005D466E">
              <w:rPr>
                <w:rFonts w:eastAsia="Times New Roman" w:cs="Times New Roman"/>
                <w:sz w:val="24"/>
                <w:szCs w:val="24"/>
                <w:lang w:eastAsia="lv-LV"/>
              </w:rPr>
              <w:t> 1.</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24678C">
            <w:pPr>
              <w:rPr>
                <w:rFonts w:eastAsia="Times New Roman" w:cs="Times New Roman"/>
                <w:sz w:val="24"/>
                <w:szCs w:val="24"/>
                <w:lang w:eastAsia="lv-LV"/>
              </w:rPr>
            </w:pPr>
            <w:r w:rsidRPr="005D466E">
              <w:rPr>
                <w:rFonts w:eastAsia="Times New Roman" w:cs="Times New Roman"/>
                <w:sz w:val="24"/>
                <w:szCs w:val="24"/>
                <w:lang w:eastAsia="lv-LV"/>
              </w:rPr>
              <w:t> Pamatojums</w:t>
            </w:r>
          </w:p>
        </w:tc>
        <w:tc>
          <w:tcPr>
            <w:tcW w:w="7371" w:type="dxa"/>
            <w:tcBorders>
              <w:top w:val="outset" w:sz="6" w:space="0" w:color="auto"/>
              <w:left w:val="outset" w:sz="6" w:space="0" w:color="auto"/>
              <w:bottom w:val="outset" w:sz="6" w:space="0" w:color="auto"/>
              <w:right w:val="outset" w:sz="6" w:space="0" w:color="auto"/>
            </w:tcBorders>
            <w:hideMark/>
          </w:tcPr>
          <w:p w:rsidR="00E35DFD" w:rsidRPr="00E35DFD" w:rsidRDefault="00E35DFD" w:rsidP="00E35DFD">
            <w:pPr>
              <w:jc w:val="both"/>
              <w:rPr>
                <w:sz w:val="24"/>
                <w:szCs w:val="24"/>
              </w:rPr>
            </w:pPr>
            <w:r w:rsidRPr="00E35DFD">
              <w:rPr>
                <w:sz w:val="24"/>
                <w:szCs w:val="24"/>
              </w:rPr>
              <w:t>Valsts un pašvaldību institūciju amatpersonu un darbinieku atlīdzības likuma:</w:t>
            </w:r>
          </w:p>
          <w:p w:rsidR="00E35DFD" w:rsidRPr="00E35DFD" w:rsidRDefault="00E35DFD" w:rsidP="00E35DFD">
            <w:pPr>
              <w:jc w:val="both"/>
              <w:rPr>
                <w:sz w:val="24"/>
                <w:szCs w:val="24"/>
              </w:rPr>
            </w:pPr>
            <w:r w:rsidRPr="00E35DFD">
              <w:rPr>
                <w:sz w:val="24"/>
                <w:szCs w:val="24"/>
              </w:rPr>
              <w:t xml:space="preserve">- 7.panta ceturtā daļa 2010.gada 16.decembra likuma „Grozījumi Valsts un pašvaldību institūciju amatpersonu un darbinieku atlīdzības likumā” redakcijā, </w:t>
            </w:r>
          </w:p>
          <w:p w:rsidR="00E35DFD" w:rsidRDefault="00E35DFD" w:rsidP="00E35DFD">
            <w:pPr>
              <w:jc w:val="both"/>
              <w:rPr>
                <w:sz w:val="24"/>
                <w:szCs w:val="24"/>
              </w:rPr>
            </w:pPr>
            <w:r w:rsidRPr="00E35DFD">
              <w:rPr>
                <w:sz w:val="24"/>
                <w:szCs w:val="24"/>
              </w:rPr>
              <w:t>- 16.panta otrā daļa 2011.gada 16.jūnija likuma „Grozījumi Valsts un pašvaldību institūciju amatpersonu un darbinieku atlīdzības likumā” redakcijā.</w:t>
            </w:r>
          </w:p>
          <w:p w:rsidR="0070526D" w:rsidRPr="005D466E" w:rsidRDefault="00A710B0" w:rsidP="00E35DFD">
            <w:pPr>
              <w:jc w:val="both"/>
              <w:rPr>
                <w:rFonts w:eastAsia="Times New Roman" w:cs="Times New Roman"/>
                <w:sz w:val="24"/>
                <w:szCs w:val="24"/>
                <w:lang w:eastAsia="lv-LV"/>
              </w:rPr>
            </w:pPr>
            <w:r w:rsidRPr="00A710B0">
              <w:rPr>
                <w:rFonts w:eastAsia="Times New Roman" w:cs="Times New Roman"/>
                <w:sz w:val="24"/>
                <w:szCs w:val="24"/>
                <w:lang w:eastAsia="lv-LV"/>
              </w:rPr>
              <w:t>Ministru kabineta noteikumu projekta izstrāde nepieciešama</w:t>
            </w:r>
            <w:r w:rsidR="00EF2403">
              <w:rPr>
                <w:rFonts w:eastAsia="Times New Roman" w:cs="Times New Roman"/>
                <w:sz w:val="24"/>
                <w:szCs w:val="24"/>
                <w:lang w:eastAsia="lv-LV"/>
              </w:rPr>
              <w:t xml:space="preserve"> arī</w:t>
            </w:r>
            <w:r w:rsidRPr="00A710B0">
              <w:rPr>
                <w:rFonts w:eastAsia="Times New Roman" w:cs="Times New Roman"/>
                <w:sz w:val="24"/>
                <w:szCs w:val="24"/>
                <w:lang w:eastAsia="lv-LV"/>
              </w:rPr>
              <w:t>, lai novērstu atsevišķu normu interpretāciju un nodrošinātu to viennozīmīgu piemērošanu.</w:t>
            </w:r>
          </w:p>
        </w:tc>
      </w:tr>
      <w:tr w:rsidR="0070526D" w:rsidRPr="002A429F" w:rsidTr="00547BDC">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2.</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0223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Pašreizējā situācija un problēmas</w:t>
            </w:r>
          </w:p>
        </w:tc>
        <w:tc>
          <w:tcPr>
            <w:tcW w:w="7371" w:type="dxa"/>
            <w:tcBorders>
              <w:top w:val="outset" w:sz="6" w:space="0" w:color="auto"/>
              <w:left w:val="outset" w:sz="6" w:space="0" w:color="auto"/>
              <w:bottom w:val="outset" w:sz="6" w:space="0" w:color="auto"/>
              <w:right w:val="outset" w:sz="6" w:space="0" w:color="auto"/>
            </w:tcBorders>
          </w:tcPr>
          <w:p w:rsidR="00FB7559" w:rsidRDefault="008C2E53" w:rsidP="00A710B0">
            <w:pPr>
              <w:pStyle w:val="naisf"/>
              <w:spacing w:before="0" w:beforeAutospacing="0" w:after="0" w:afterAutospacing="0"/>
              <w:jc w:val="both"/>
            </w:pPr>
            <w:r>
              <w:t xml:space="preserve">Lai nodrošinātu viennozīmīgu normu piemērošanu, nepieciešams precizēt </w:t>
            </w:r>
            <w:r w:rsidR="009C54AA">
              <w:t>normu</w:t>
            </w:r>
            <w:r>
              <w:t xml:space="preserve"> par mēnešalgu aprēķinu amatpersonā</w:t>
            </w:r>
            <w:r w:rsidR="00613BF4">
              <w:t>m (darbiniekiem)</w:t>
            </w:r>
            <w:r>
              <w:t xml:space="preserve">, kurām </w:t>
            </w:r>
            <w:r w:rsidR="00F01922">
              <w:t>noteikts summētais darba laiks</w:t>
            </w:r>
            <w:r>
              <w:t xml:space="preserve">.  </w:t>
            </w:r>
            <w:r w:rsidRPr="008C2E53">
              <w:t>No pašreizējās punkta redakcijas tieši neizriet, kāds stundu skaits (gada vidējais stundu skaits vai mēneša darba stundu skaits) piemērojams aprēķinot mēnešalgu</w:t>
            </w:r>
            <w:r w:rsidR="00AA2299">
              <w:t>, jo t</w:t>
            </w:r>
            <w:r w:rsidRPr="008C2E53">
              <w:t xml:space="preserve">iesību normā </w:t>
            </w:r>
            <w:r w:rsidR="00613BF4">
              <w:t xml:space="preserve">šobrīd </w:t>
            </w:r>
            <w:r w:rsidRPr="008C2E53">
              <w:t>nav prec</w:t>
            </w:r>
            <w:r w:rsidR="009C54AA">
              <w:t>īzi atrunāts</w:t>
            </w:r>
            <w:r w:rsidRPr="008C2E53">
              <w:t xml:space="preserve"> lietotais termins „atbilstošais stundu skaits”. </w:t>
            </w:r>
            <w:r w:rsidR="00B10361">
              <w:t xml:space="preserve">Jānodrošina vienota pieeja </w:t>
            </w:r>
            <w:r w:rsidR="00B10361" w:rsidRPr="00B10361">
              <w:t xml:space="preserve"> Neatliekamās medicīniskās palīdzības dienesta brigād</w:t>
            </w:r>
            <w:r w:rsidR="00B10361">
              <w:t xml:space="preserve">es, kuru </w:t>
            </w:r>
            <w:r w:rsidR="00B10361" w:rsidRPr="00B10361">
              <w:t xml:space="preserve">veido gan ārstniecības personas, gan operatīvā transportlīdzekļa vadītāji, </w:t>
            </w:r>
            <w:r w:rsidR="00B10361">
              <w:t>piemaksas par īpašu risku noteikšanai.</w:t>
            </w:r>
          </w:p>
          <w:p w:rsidR="00575E32" w:rsidRPr="001952CE" w:rsidRDefault="00575E32" w:rsidP="00185BFE">
            <w:pPr>
              <w:pStyle w:val="naisf"/>
              <w:spacing w:before="0" w:beforeAutospacing="0" w:after="0" w:afterAutospacing="0"/>
              <w:jc w:val="both"/>
            </w:pPr>
            <w:r w:rsidRPr="00575E32">
              <w:t>Valsts un pašvaldību institūciju amatpersonu un darbinieku atlīdzības likum</w:t>
            </w:r>
            <w:r>
              <w:t>a</w:t>
            </w:r>
            <w:r w:rsidRPr="00575E32">
              <w:t xml:space="preserve"> (2011.gada 16.jūnija likuma „Grozījumi Valsts un pašvaldību institūciju amatpersonu un darbinieku atlīdzības likumā” redakcijā) 16.panta otrā daļ</w:t>
            </w:r>
            <w:r>
              <w:t>a (2012.gadā netiks piemērota) nosaka maksimālo prēmijas apmēru</w:t>
            </w:r>
            <w:r w:rsidR="00185BFE">
              <w:t xml:space="preserve"> (samazināts uz 75% no mēnešalgas)</w:t>
            </w:r>
            <w:r>
              <w:t xml:space="preserve"> saskaņā ar ikgadējo darbības un tās rezultātu novērtējumu.</w:t>
            </w:r>
            <w:r w:rsidR="00EC6875">
              <w:t xml:space="preserve"> Nepieciešams Ministru kabineta regulējums prēmijas apmēra gradācijai atkarībā no novērtēšanas rezultāta.</w:t>
            </w:r>
          </w:p>
        </w:tc>
      </w:tr>
      <w:tr w:rsidR="0070526D" w:rsidRPr="002A429F" w:rsidTr="00547BD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3.</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Saistītie politikas ietekmes novērtējumi un pētījumi</w:t>
            </w:r>
          </w:p>
        </w:tc>
        <w:tc>
          <w:tcPr>
            <w:tcW w:w="7371" w:type="dxa"/>
            <w:tcBorders>
              <w:top w:val="outset" w:sz="6" w:space="0" w:color="auto"/>
              <w:left w:val="outset" w:sz="6" w:space="0" w:color="auto"/>
              <w:bottom w:val="outset" w:sz="6" w:space="0" w:color="auto"/>
              <w:right w:val="outset" w:sz="6" w:space="0" w:color="auto"/>
            </w:tcBorders>
            <w:hideMark/>
          </w:tcPr>
          <w:p w:rsidR="0070526D" w:rsidRPr="005D466E" w:rsidRDefault="0093409E"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547BDC">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mērķis un būtība</w:t>
            </w:r>
          </w:p>
        </w:tc>
        <w:tc>
          <w:tcPr>
            <w:tcW w:w="7371" w:type="dxa"/>
            <w:tcBorders>
              <w:top w:val="outset" w:sz="6" w:space="0" w:color="auto"/>
              <w:left w:val="outset" w:sz="6" w:space="0" w:color="auto"/>
              <w:bottom w:val="outset" w:sz="6" w:space="0" w:color="auto"/>
              <w:right w:val="outset" w:sz="6" w:space="0" w:color="auto"/>
            </w:tcBorders>
          </w:tcPr>
          <w:p w:rsidR="00887D00" w:rsidRPr="00E65DFF" w:rsidRDefault="00950504" w:rsidP="003808CE">
            <w:pPr>
              <w:pStyle w:val="naisf"/>
              <w:spacing w:before="0" w:beforeAutospacing="0" w:after="0" w:afterAutospacing="0"/>
              <w:jc w:val="both"/>
            </w:pPr>
            <w:r>
              <w:t xml:space="preserve">       </w:t>
            </w:r>
            <w:r w:rsidR="00613BF4">
              <w:t>Noteikumu projekts paredz precizēt normas par</w:t>
            </w:r>
            <w:r w:rsidR="00B0259E">
              <w:t xml:space="preserve"> faktiskās mēnešalgas</w:t>
            </w:r>
            <w:r w:rsidR="00613BF4">
              <w:t xml:space="preserve"> aprēķinu amatpersonām (darbiniekiem)</w:t>
            </w:r>
            <w:r w:rsidR="00B0259E">
              <w:t xml:space="preserve"> – ārstniecības personām, Valsts ieņēmumu dienesta amatpersonām un darbiniekiem </w:t>
            </w:r>
            <w:proofErr w:type="spellStart"/>
            <w:r w:rsidR="00B0259E">
              <w:t>u.c</w:t>
            </w:r>
            <w:proofErr w:type="spellEnd"/>
            <w:r w:rsidR="00B0259E">
              <w:t>.</w:t>
            </w:r>
            <w:r w:rsidR="00613BF4">
              <w:t>, kur</w:t>
            </w:r>
            <w:r w:rsidR="001E6D23">
              <w:t>iem</w:t>
            </w:r>
            <w:r w:rsidR="00613BF4">
              <w:t xml:space="preserve"> </w:t>
            </w:r>
            <w:r w:rsidR="00F01922">
              <w:t>noteikts summētais darba laiks</w:t>
            </w:r>
            <w:r w:rsidR="00C674C2">
              <w:t xml:space="preserve">. </w:t>
            </w:r>
            <w:r w:rsidR="001E6D23">
              <w:t xml:space="preserve">Precizējums nepieciešams, </w:t>
            </w:r>
            <w:r>
              <w:t xml:space="preserve"> </w:t>
            </w:r>
            <w:r w:rsidR="001E6D23">
              <w:t>jo n</w:t>
            </w:r>
            <w:r w:rsidR="00B077B5">
              <w:t xml:space="preserve">o pašreizējās noteikumu </w:t>
            </w:r>
            <w:r w:rsidR="00887D00">
              <w:t>8.</w:t>
            </w:r>
            <w:r w:rsidR="00887D00" w:rsidRPr="00887D00">
              <w:t>punkta redakcijas tieši neizriet, kāds stundu skaits (gada vidējais stundu skaits vai mēneša darba stundu skaits) piemērojams</w:t>
            </w:r>
            <w:r w:rsidR="00887D00">
              <w:t>,</w:t>
            </w:r>
            <w:r w:rsidR="00887D00" w:rsidRPr="00887D00">
              <w:t xml:space="preserve"> aprēķinot mēnešalgu</w:t>
            </w:r>
            <w:r w:rsidR="001E6D23">
              <w:t xml:space="preserve"> (šobrīd ārstniecības personām)</w:t>
            </w:r>
            <w:r w:rsidR="00887D00" w:rsidRPr="00887D00">
              <w:t xml:space="preserve">. Tiesību normā nav </w:t>
            </w:r>
            <w:r w:rsidR="00460D45" w:rsidRPr="00460D45">
              <w:t xml:space="preserve">precīzi atrunāts </w:t>
            </w:r>
            <w:r w:rsidR="00887D00" w:rsidRPr="00887D00">
              <w:t>lietotais termins „atbilstošais stundu skaits”</w:t>
            </w:r>
            <w:r w:rsidR="00887D00">
              <w:t>, tāpēc normu sakārtošanai un viennozīmīgai piemērošanai</w:t>
            </w:r>
            <w:r w:rsidR="001E6D23">
              <w:t xml:space="preserve"> tiek paredzēts, ka</w:t>
            </w:r>
            <w:r w:rsidR="00887D00">
              <w:t xml:space="preserve"> faktiskās </w:t>
            </w:r>
            <w:r w:rsidR="00887D00">
              <w:lastRenderedPageBreak/>
              <w:t>mēnešalgas aprēķinam ir izmantojama  atbilstoši</w:t>
            </w:r>
            <w:r w:rsidR="00887D00" w:rsidRPr="00887D00">
              <w:t xml:space="preserve"> šo noteikumu 3</w:t>
            </w:r>
            <w:r w:rsidR="00887D00" w:rsidRPr="00887D00">
              <w:rPr>
                <w:vertAlign w:val="superscript"/>
              </w:rPr>
              <w:t>1</w:t>
            </w:r>
            <w:r w:rsidR="00887D00" w:rsidRPr="00887D00">
              <w:t>.punkt</w:t>
            </w:r>
            <w:r w:rsidR="00887D00">
              <w:t xml:space="preserve">am </w:t>
            </w:r>
            <w:r w:rsidR="00887D00" w:rsidRPr="00E65DFF">
              <w:t xml:space="preserve">aprēķinātā stundas algas likme un </w:t>
            </w:r>
            <w:r w:rsidR="004C511D" w:rsidRPr="00E65DFF">
              <w:t xml:space="preserve">attiecīgā kalendāra </w:t>
            </w:r>
            <w:r w:rsidR="00887D00" w:rsidRPr="00E65DFF">
              <w:t>gada vidējais darba stundu skaits mēnesī.</w:t>
            </w:r>
          </w:p>
          <w:p w:rsidR="003808CE" w:rsidRPr="00E65DFF" w:rsidRDefault="00950504" w:rsidP="003808CE">
            <w:pPr>
              <w:pStyle w:val="naisf"/>
              <w:spacing w:before="0" w:beforeAutospacing="0" w:after="0" w:afterAutospacing="0"/>
              <w:jc w:val="both"/>
            </w:pPr>
            <w:r w:rsidRPr="00E65DFF">
              <w:t xml:space="preserve">       </w:t>
            </w:r>
            <w:r w:rsidR="003808CE" w:rsidRPr="00E65DFF">
              <w:t xml:space="preserve">Noteikumu projekts paredz veikt tehnisku grozījumu noteikumu Nr.1651 6.pielikuma 10.punktā – svītrojot vārdus „proporcionāli izsaukumā pavadītajām stundām” – paredzot, ka Neatliekamās medicīniskās palīdzības dienesta ārstniecības un ārstniecības atbalsta personas, kuras strādā neatliekamās medicīniskās palīdzības brigādēs, kā arī anestezioloģijas, </w:t>
            </w:r>
            <w:proofErr w:type="spellStart"/>
            <w:r w:rsidR="003808CE" w:rsidRPr="00E65DFF">
              <w:t>reanimatoloģijas</w:t>
            </w:r>
            <w:proofErr w:type="spellEnd"/>
            <w:r w:rsidR="003808CE" w:rsidRPr="00E65DFF">
              <w:t xml:space="preserve"> un intensīvās terapijas nodaļu speciālisti par darbu paaugstināta riska apstākļos saņem piemaksu līdz 25% no viņiem noteiktās mēnešalgas. </w:t>
            </w:r>
          </w:p>
          <w:p w:rsidR="003808CE" w:rsidRPr="00E65DFF" w:rsidRDefault="003808CE" w:rsidP="003808CE">
            <w:pPr>
              <w:pStyle w:val="naisf"/>
              <w:spacing w:before="0" w:beforeAutospacing="0" w:after="0" w:afterAutospacing="0"/>
              <w:jc w:val="both"/>
            </w:pPr>
            <w:r w:rsidRPr="00E65DFF">
              <w:t xml:space="preserve">1) Šobrīd spēkā esošais regulējums nosaka atšķirīgi pieeju NMP brigāžu personāla piemaksu piemērošanā par darbu paaugstināta riska apstākļos, jo atbilstoši noteikumu Nr.1651 6.pielikuma 14.punktam NMP operatīvo transportlīdzekļu vadītājiem piemaksa par darbu paaugstināta riska apstākļos ir noteikta par visu laiku, savukārt, atbilstoši 10.punktam NMP dienesta ārstniecības un ārstniecības atbalsta personām proporcionāli izsaukumā pavadītajam laikam. Līdz ar to ir nepieciešams svītrot vārdus „proporcionāli izsaukumā pavadītajām stundām”, nodrošinot vienlīdzīgu pieeju piemaksas par risku piemērošanā NMP brigāžu personālam- gan transportlīdzekļu vadītājiem, gan ārstniecības personām. Jāatzīmē, ka brigāžu personāls - gan transportlīdzekļu vadītāji, gan ārstniecības un ārstniecības atbalsta personas, veicot savus amata pienākumus, </w:t>
            </w:r>
            <w:proofErr w:type="spellStart"/>
            <w:r w:rsidRPr="00E65DFF">
              <w:t>t.i</w:t>
            </w:r>
            <w:proofErr w:type="spellEnd"/>
            <w:r w:rsidRPr="00E65DFF">
              <w:t xml:space="preserve">., dodoties izsaukumā, ir vienlīdzīgi pakļauti  riskam. Turklāt, šāda piemaksas piemērošana bija paredzēta MK 30.11.2006 noteikumos Nr.980 „Noteikumi par darba samaksu ārstniecības personām”. </w:t>
            </w:r>
          </w:p>
          <w:p w:rsidR="003808CE" w:rsidRPr="00E65DFF" w:rsidRDefault="003808CE" w:rsidP="003808CE">
            <w:pPr>
              <w:pStyle w:val="naisf"/>
              <w:spacing w:before="0" w:beforeAutospacing="0" w:after="0" w:afterAutospacing="0"/>
              <w:jc w:val="both"/>
            </w:pPr>
            <w:r w:rsidRPr="00E65DFF">
              <w:t xml:space="preserve">2) Piemaksa par darbu paaugstināta riska apstākļos anestezioloģijas, </w:t>
            </w:r>
            <w:proofErr w:type="spellStart"/>
            <w:r w:rsidRPr="00E65DFF">
              <w:t>reanimatoloģijas</w:t>
            </w:r>
            <w:proofErr w:type="spellEnd"/>
            <w:r w:rsidRPr="00E65DFF">
              <w:t xml:space="preserve"> un intensīvās terapijas nodaļu speciālistiem šobrīd tiek noteikta </w:t>
            </w:r>
            <w:r w:rsidR="007E255B" w:rsidRPr="00E65DFF">
              <w:t>procentos</w:t>
            </w:r>
            <w:r w:rsidRPr="00E65DFF">
              <w:t xml:space="preserve"> no viņiem noteiktās mēnešalgas (kā arī tās bija paredzēts MK 30.11.2006 noteikumos Nr.980 „Noteikumi par darba samaksu ārstniecības personām”), jo šīs specialitātes ārstniecības personas neizbrauc izsaukumos, bet strādā slimnīcās dežūrās (operācijas zālēs) un tiem pastāv saindēšanas risks (anestezioloģijas vielu noplūdes gadījumā), ka arī tiem ir jāveic mākslīgo elpināšanu pacientiem, kā arī citās ārstniecības personas veselībai kaitīgas manipulācijas.</w:t>
            </w:r>
          </w:p>
          <w:p w:rsidR="008C2E53" w:rsidRPr="00E65DFF" w:rsidRDefault="00950504" w:rsidP="003808CE">
            <w:pPr>
              <w:pStyle w:val="naisf"/>
              <w:spacing w:before="0" w:beforeAutospacing="0" w:after="0" w:afterAutospacing="0"/>
              <w:jc w:val="both"/>
            </w:pPr>
            <w:r w:rsidRPr="00E65DFF">
              <w:t xml:space="preserve">       </w:t>
            </w:r>
            <w:r w:rsidR="008C2E53" w:rsidRPr="00E65DFF">
              <w:t>Ņemot vērā, ka N</w:t>
            </w:r>
            <w:r w:rsidR="00F3390E" w:rsidRPr="00E65DFF">
              <w:t>eatliekamās medicīniskās palīdzības</w:t>
            </w:r>
            <w:r w:rsidR="008C2E53" w:rsidRPr="00E65DFF">
              <w:t xml:space="preserve"> dienesta brigādi veido gan ārstniecības personas, gan operatīvā transportlīdzekļa</w:t>
            </w:r>
            <w:r w:rsidR="00460D45" w:rsidRPr="00E65DFF">
              <w:t xml:space="preserve"> vadītāji</w:t>
            </w:r>
            <w:r w:rsidR="008C2E53" w:rsidRPr="00E65DFF">
              <w:t>, turklāt brigādes darba apstākļi ievērojami neatšķiras nav pamata a</w:t>
            </w:r>
            <w:r w:rsidR="00AA2299" w:rsidRPr="00E65DFF">
              <w:t xml:space="preserve">tšķirīgai pieejai </w:t>
            </w:r>
            <w:r w:rsidR="00377F94" w:rsidRPr="00E65DFF">
              <w:t xml:space="preserve">piemaksas par darbu paaugstināta </w:t>
            </w:r>
            <w:r w:rsidR="00AA2299" w:rsidRPr="00E65DFF">
              <w:t xml:space="preserve">riska </w:t>
            </w:r>
            <w:r w:rsidR="00377F94" w:rsidRPr="00E65DFF">
              <w:t xml:space="preserve">apstākļos </w:t>
            </w:r>
            <w:r w:rsidR="008C2E53" w:rsidRPr="00E65DFF">
              <w:t xml:space="preserve">piemērošanai. </w:t>
            </w:r>
            <w:r w:rsidR="00460D45" w:rsidRPr="00E65DFF">
              <w:t>Pēc būtības operatīvo transportlīdzekļu vadītājiem  darbs nav klasificējams kā bīstams, bet gan pastāv darba vides risks, kas saistīts ar paaugstinātu psiholoģisko vai fizisko slodzi darba izpildes gaitā.</w:t>
            </w:r>
          </w:p>
          <w:p w:rsidR="009016C7" w:rsidRDefault="00950504" w:rsidP="00B86E95">
            <w:pPr>
              <w:pStyle w:val="naisf"/>
              <w:spacing w:before="0" w:beforeAutospacing="0" w:after="0" w:afterAutospacing="0"/>
              <w:jc w:val="both"/>
            </w:pPr>
            <w:r w:rsidRPr="00E65DFF">
              <w:t xml:space="preserve">        </w:t>
            </w:r>
            <w:r w:rsidR="009016C7" w:rsidRPr="00E65DFF">
              <w:t xml:space="preserve">Norāde, uz kādu </w:t>
            </w:r>
            <w:r w:rsidR="00155F03" w:rsidRPr="00E65DFF">
              <w:t xml:space="preserve">Valsts un pašvaldību institūciju amatpersonu un darbinieku atlīdzības </w:t>
            </w:r>
            <w:r w:rsidR="009016C7" w:rsidRPr="00E65DFF">
              <w:t>likuma pantu pamata noteikumi ir izdoti, iekļauta grozījumu projektā, lai nodrošinātu</w:t>
            </w:r>
            <w:r w:rsidR="00567BFB" w:rsidRPr="00E65DFF">
              <w:t xml:space="preserve"> hronoloģisku secību</w:t>
            </w:r>
            <w:r w:rsidR="009016C7" w:rsidRPr="00E65DFF">
              <w:t xml:space="preserve"> </w:t>
            </w:r>
            <w:r w:rsidR="00567BFB" w:rsidRPr="00E65DFF">
              <w:t>izdošanas pamatā minēt</w:t>
            </w:r>
            <w:r w:rsidR="00B86E95" w:rsidRPr="00E65DFF">
              <w:t xml:space="preserve">ajām normām saistībā ar Valsts un pašvaldību institūciju amatpersonu un darbinieku atlīdzības likumā </w:t>
            </w:r>
            <w:r w:rsidR="009016C7" w:rsidRPr="00E65DFF">
              <w:t xml:space="preserve"> </w:t>
            </w:r>
            <w:r w:rsidR="00B86E95" w:rsidRPr="00E65DFF">
              <w:t>veiktajiem grozījumiem.</w:t>
            </w:r>
            <w:r w:rsidR="00155F03" w:rsidRPr="00E65DFF">
              <w:t xml:space="preserve"> </w:t>
            </w:r>
            <w:r w:rsidR="004C3F74" w:rsidRPr="00E65DFF">
              <w:t>Ministru kabineta 2009.gada 22.decembra noteikumos Nr.1651 „Noteikumi par valsts un pašvaldību institūciju amatpersonu un darbinieku darba samaksu, kvalifikācijas pakāpēm un to noteikšanas kārtību”</w:t>
            </w:r>
            <w:r w:rsidR="009016C7" w:rsidRPr="00E65DFF">
              <w:t xml:space="preserve"> izdošanas pamatā minētā </w:t>
            </w:r>
            <w:r w:rsidR="009016C7" w:rsidRPr="00E65DFF">
              <w:lastRenderedPageBreak/>
              <w:t>7.panta ceturtā daļa tika izteikta jaunā redakcijā ar likum</w:t>
            </w:r>
            <w:r w:rsidR="00986DAC" w:rsidRPr="00E65DFF">
              <w:t xml:space="preserve">u „Grozījumi Valsts un pašvaldību institūciju amatpersonu un darbinieku atlīdzības likumā”, kas pieņemti </w:t>
            </w:r>
            <w:r w:rsidR="009016C7" w:rsidRPr="00E65DFF">
              <w:t xml:space="preserve">2010.gada 16.decembrī </w:t>
            </w:r>
            <w:r w:rsidR="00986DAC" w:rsidRPr="00E65DFF">
              <w:t>(stājās spēkā 2011.gada 1.janvā</w:t>
            </w:r>
            <w:r w:rsidR="00986DAC" w:rsidRPr="00986DAC">
              <w:t>rī</w:t>
            </w:r>
            <w:r w:rsidR="004C3F74">
              <w:t xml:space="preserve">). Savukārt </w:t>
            </w:r>
            <w:r w:rsidR="00986DAC">
              <w:t xml:space="preserve"> </w:t>
            </w:r>
            <w:r w:rsidR="004C3F74">
              <w:t xml:space="preserve">jau  ar </w:t>
            </w:r>
            <w:r w:rsidR="00986DAC">
              <w:t xml:space="preserve">Ministru kabineta 2010.gada 7.decembra noteikumiem </w:t>
            </w:r>
            <w:r w:rsidR="00986DAC" w:rsidRPr="00986DAC">
              <w:t xml:space="preserve"> Nr.</w:t>
            </w:r>
            <w:r w:rsidR="00986DAC">
              <w:t>1108 „Grozījumi</w:t>
            </w:r>
            <w:r w:rsidR="00986DAC" w:rsidRPr="00986DAC">
              <w:t xml:space="preserve"> </w:t>
            </w:r>
            <w:r w:rsidR="00986DAC">
              <w:t xml:space="preserve"> Ministru kabineta 2009.gada 22.decembra noteikumos </w:t>
            </w:r>
            <w:r w:rsidR="00986DAC" w:rsidRPr="00986DAC">
              <w:t>Nr.1651 „Noteikumi par valsts un pašvaldību institūciju amatpersonu un darbinieku darba samaksu, kvalifikācijas pakāpēm un to noteikšanas kārtību”</w:t>
            </w:r>
            <w:r w:rsidR="00986DAC">
              <w:t xml:space="preserve">” </w:t>
            </w:r>
            <w:r w:rsidR="004C3F74">
              <w:t xml:space="preserve">norāde tika </w:t>
            </w:r>
            <w:r w:rsidR="00B96030">
              <w:t xml:space="preserve">izteikta </w:t>
            </w:r>
            <w:r w:rsidR="00F3390E">
              <w:t>esošajā</w:t>
            </w:r>
            <w:r w:rsidR="004C3F74">
              <w:t xml:space="preserve"> redakcijā</w:t>
            </w:r>
            <w:r w:rsidR="00B96030">
              <w:t>.</w:t>
            </w:r>
            <w:r w:rsidR="004C3F74">
              <w:t xml:space="preserve"> </w:t>
            </w:r>
          </w:p>
          <w:p w:rsidR="0063074D" w:rsidRPr="00CA529E" w:rsidRDefault="0063074D" w:rsidP="0063074D">
            <w:pPr>
              <w:pStyle w:val="naisf"/>
              <w:spacing w:before="0" w:beforeAutospacing="0" w:after="0" w:afterAutospacing="0"/>
              <w:jc w:val="both"/>
            </w:pPr>
            <w:r>
              <w:t xml:space="preserve">Noteikumu projekts paredz </w:t>
            </w:r>
            <w:r w:rsidRPr="0063074D">
              <w:t>prēmijas apmēra gradācij</w:t>
            </w:r>
            <w:r>
              <w:t>u</w:t>
            </w:r>
            <w:r w:rsidRPr="0063074D">
              <w:t xml:space="preserve"> atkarībā no ikgadēj</w:t>
            </w:r>
            <w:r>
              <w:t>ās</w:t>
            </w:r>
            <w:r w:rsidRPr="0063074D">
              <w:t xml:space="preserve"> darbības un tās rezultātu novērtēšanas rezultāta.</w:t>
            </w:r>
            <w:r>
              <w:t xml:space="preserve"> </w:t>
            </w:r>
          </w:p>
        </w:tc>
      </w:tr>
      <w:tr w:rsidR="0070526D" w:rsidRPr="002A429F" w:rsidTr="00547BD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5.</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Projekta izstrādē iesaistītās institūcijas</w:t>
            </w:r>
          </w:p>
        </w:tc>
        <w:tc>
          <w:tcPr>
            <w:tcW w:w="737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E67C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3E67CA" w:rsidRPr="005D466E">
              <w:rPr>
                <w:rFonts w:eastAsia="Times New Roman" w:cs="Times New Roman"/>
                <w:sz w:val="24"/>
                <w:szCs w:val="24"/>
                <w:lang w:eastAsia="lv-LV"/>
              </w:rPr>
              <w:t>Nav attiecināms</w:t>
            </w:r>
          </w:p>
        </w:tc>
      </w:tr>
      <w:tr w:rsidR="0070526D" w:rsidRPr="002A429F" w:rsidTr="00547BD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CB589D">
            <w:pPr>
              <w:rPr>
                <w:rFonts w:eastAsia="Times New Roman" w:cs="Times New Roman"/>
                <w:sz w:val="24"/>
                <w:szCs w:val="24"/>
                <w:lang w:eastAsia="lv-LV"/>
              </w:rPr>
            </w:pPr>
            <w:r w:rsidRPr="005D466E">
              <w:rPr>
                <w:rFonts w:eastAsia="Times New Roman" w:cs="Times New Roman"/>
                <w:sz w:val="24"/>
                <w:szCs w:val="24"/>
                <w:lang w:eastAsia="lv-LV"/>
              </w:rPr>
              <w:t> Iemesli, kādēļ netika nodrošināta sabiedrības līdzdalība</w:t>
            </w:r>
          </w:p>
        </w:tc>
        <w:tc>
          <w:tcPr>
            <w:tcW w:w="7371" w:type="dxa"/>
            <w:tcBorders>
              <w:top w:val="outset" w:sz="6" w:space="0" w:color="auto"/>
              <w:left w:val="outset" w:sz="6" w:space="0" w:color="auto"/>
              <w:bottom w:val="outset" w:sz="6" w:space="0" w:color="auto"/>
              <w:right w:val="outset" w:sz="6" w:space="0" w:color="auto"/>
            </w:tcBorders>
            <w:hideMark/>
          </w:tcPr>
          <w:p w:rsidR="0070526D" w:rsidRPr="005D466E" w:rsidRDefault="00B52B42" w:rsidP="00E24549">
            <w:pPr>
              <w:rPr>
                <w:rFonts w:eastAsia="Times New Roman" w:cs="Times New Roman"/>
                <w:i/>
                <w:sz w:val="24"/>
                <w:szCs w:val="24"/>
                <w:lang w:eastAsia="lv-LV"/>
              </w:rPr>
            </w:pPr>
            <w:r>
              <w:rPr>
                <w:rFonts w:eastAsia="Times New Roman" w:cs="Times New Roman"/>
                <w:sz w:val="24"/>
                <w:szCs w:val="24"/>
                <w:lang w:eastAsia="lv-LV"/>
              </w:rPr>
              <w:t>Noteikumu projekts attiecas tikai uz</w:t>
            </w:r>
            <w:r w:rsidR="00E24549">
              <w:rPr>
                <w:rFonts w:eastAsia="Times New Roman" w:cs="Times New Roman"/>
                <w:sz w:val="24"/>
                <w:szCs w:val="24"/>
                <w:lang w:eastAsia="lv-LV"/>
              </w:rPr>
              <w:t xml:space="preserve"> valsts un pašvaldību institūciju amatpersonām un darbiniekiem</w:t>
            </w:r>
            <w:r>
              <w:rPr>
                <w:rFonts w:eastAsia="Times New Roman" w:cs="Times New Roman"/>
                <w:sz w:val="24"/>
                <w:szCs w:val="24"/>
                <w:lang w:eastAsia="lv-LV"/>
              </w:rPr>
              <w:t>, tādēļ sabiedrības līdzdalība noteikumu projekta izstrādē nebija nepieciešama.</w:t>
            </w:r>
          </w:p>
        </w:tc>
      </w:tr>
      <w:tr w:rsidR="0070526D" w:rsidRPr="002A429F" w:rsidTr="00547BD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7.</w:t>
            </w:r>
          </w:p>
        </w:tc>
        <w:tc>
          <w:tcPr>
            <w:tcW w:w="1472"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737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E67C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Nav</w:t>
            </w:r>
            <w:r w:rsidR="00D237F7" w:rsidRPr="005D466E">
              <w:rPr>
                <w:rFonts w:eastAsia="Times New Roman" w:cs="Times New Roman"/>
                <w:sz w:val="24"/>
                <w:szCs w:val="24"/>
                <w:lang w:eastAsia="lv-LV"/>
              </w:rPr>
              <w:t xml:space="preserve"> </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5825"/>
      </w:tblGrid>
      <w:tr w:rsidR="0070526D" w:rsidRPr="002A429F"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062334" w:rsidRPr="002A429F" w:rsidRDefault="0070526D" w:rsidP="0070526D">
            <w:pPr>
              <w:spacing w:before="100" w:beforeAutospacing="1" w:after="100" w:afterAutospacing="1"/>
              <w:rPr>
                <w:rFonts w:eastAsia="Times New Roman" w:cs="Times New Roman"/>
                <w:b/>
                <w:sz w:val="26"/>
                <w:szCs w:val="26"/>
                <w:lang w:eastAsia="lv-LV"/>
              </w:rPr>
            </w:pPr>
            <w:r w:rsidRPr="002A429F">
              <w:rPr>
                <w:rFonts w:eastAsia="Times New Roman" w:cs="Times New Roman"/>
                <w:b/>
                <w:sz w:val="26"/>
                <w:szCs w:val="26"/>
                <w:lang w:eastAsia="lv-LV"/>
              </w:rPr>
              <w:t> II. Tiesību akta projekta ietekme uz sabiedrību</w:t>
            </w:r>
          </w:p>
        </w:tc>
      </w:tr>
      <w:tr w:rsidR="0070526D" w:rsidRPr="002A429F" w:rsidTr="0024678C">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Sabiedrības </w:t>
            </w:r>
            <w:proofErr w:type="spellStart"/>
            <w:r w:rsidRPr="005D466E">
              <w:rPr>
                <w:rFonts w:eastAsia="Times New Roman" w:cs="Times New Roman"/>
                <w:sz w:val="24"/>
                <w:szCs w:val="24"/>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E24549">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24549">
              <w:rPr>
                <w:rFonts w:eastAsia="Times New Roman" w:cs="Times New Roman"/>
                <w:sz w:val="24"/>
                <w:szCs w:val="24"/>
                <w:lang w:eastAsia="lv-LV"/>
              </w:rPr>
              <w:t>Valsts un pašvaldību institūciju amatpersonas un darbinieki.</w:t>
            </w:r>
          </w:p>
        </w:tc>
      </w:tr>
      <w:tr w:rsidR="0070526D" w:rsidRPr="002A429F" w:rsidTr="0024678C">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Citas sabiedrības grupas (bez </w:t>
            </w:r>
            <w:proofErr w:type="spellStart"/>
            <w:r w:rsidRPr="005D466E">
              <w:rPr>
                <w:rFonts w:eastAsia="Times New Roman" w:cs="Times New Roman"/>
                <w:sz w:val="24"/>
                <w:szCs w:val="24"/>
                <w:lang w:eastAsia="lv-LV"/>
              </w:rPr>
              <w:t>mērķgrupas</w:t>
            </w:r>
            <w:proofErr w:type="spellEnd"/>
            <w:r w:rsidRPr="005D466E">
              <w:rPr>
                <w:rFonts w:eastAsia="Times New Roman" w:cs="Times New Roman"/>
                <w:sz w:val="24"/>
                <w:szCs w:val="24"/>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E6B5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7E6B54" w:rsidRPr="005D466E">
              <w:rPr>
                <w:rFonts w:eastAsia="Times New Roman" w:cs="Times New Roman"/>
                <w:sz w:val="24"/>
                <w:szCs w:val="24"/>
                <w:lang w:eastAsia="lv-LV"/>
              </w:rPr>
              <w:t>Nav attiecināms</w:t>
            </w:r>
          </w:p>
        </w:tc>
      </w:tr>
      <w:tr w:rsidR="0070526D" w:rsidRPr="002A429F" w:rsidTr="0024678C">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C030E6" w:rsidP="00C030E6">
            <w:pPr>
              <w:spacing w:before="100" w:beforeAutospacing="1" w:after="100" w:afterAutospacing="1"/>
              <w:jc w:val="both"/>
              <w:rPr>
                <w:rFonts w:eastAsia="Times New Roman" w:cs="Times New Roman"/>
                <w:sz w:val="24"/>
                <w:szCs w:val="24"/>
                <w:lang w:eastAsia="lv-LV"/>
              </w:rPr>
            </w:pPr>
            <w:r w:rsidRPr="005D466E">
              <w:rPr>
                <w:rFonts w:eastAsia="Times New Roman" w:cs="Times New Roman"/>
                <w:sz w:val="24"/>
                <w:szCs w:val="24"/>
                <w:lang w:eastAsia="lv-LV"/>
              </w:rPr>
              <w:t>Nav attiecināms</w:t>
            </w:r>
          </w:p>
        </w:tc>
      </w:tr>
      <w:tr w:rsidR="0070526D" w:rsidRPr="002A429F" w:rsidTr="0024678C">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D90AC4"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D90AC4"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6D376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6D3764"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5E039A">
            <w:pPr>
              <w:rPr>
                <w:rFonts w:eastAsia="Times New Roman" w:cs="Times New Roman"/>
                <w:sz w:val="24"/>
                <w:szCs w:val="24"/>
                <w:lang w:eastAsia="lv-LV"/>
              </w:rPr>
            </w:pPr>
            <w:r w:rsidRPr="005D466E">
              <w:rPr>
                <w:rFonts w:eastAsia="Times New Roman" w:cs="Times New Roman"/>
                <w:sz w:val="24"/>
                <w:szCs w:val="24"/>
                <w:lang w:eastAsia="lv-LV"/>
              </w:rPr>
              <w:t> Nav</w:t>
            </w:r>
            <w:r w:rsidR="00D237F7" w:rsidRPr="005D466E">
              <w:rPr>
                <w:rFonts w:eastAsia="Times New Roman" w:cs="Times New Roman"/>
                <w:sz w:val="24"/>
                <w:szCs w:val="24"/>
                <w:lang w:eastAsia="lv-LV"/>
              </w:rPr>
              <w:t xml:space="preserve"> </w:t>
            </w:r>
          </w:p>
        </w:tc>
      </w:tr>
    </w:tbl>
    <w:p w:rsidR="0089697E"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p w:rsidR="0070526D" w:rsidRPr="002A429F" w:rsidRDefault="0070526D" w:rsidP="00115E82">
      <w:pPr>
        <w:rPr>
          <w:rFonts w:eastAsia="Times New Roman" w:cs="Times New Roman"/>
          <w:sz w:val="26"/>
          <w:szCs w:val="26"/>
          <w:lang w:eastAsia="lv-LV"/>
        </w:rPr>
      </w:pPr>
      <w:r w:rsidRPr="002A429F">
        <w:rPr>
          <w:rFonts w:eastAsia="Times New Roman" w:cs="Times New Roman"/>
          <w:i/>
          <w:iCs/>
          <w:sz w:val="26"/>
          <w:szCs w:val="26"/>
          <w:lang w:eastAsia="lv-LV"/>
        </w:rPr>
        <w:t> </w:t>
      </w:r>
      <w:r w:rsidR="009C7CB7">
        <w:rPr>
          <w:rFonts w:eastAsia="Times New Roman" w:cs="Times New Roman"/>
          <w:i/>
          <w:iCs/>
          <w:sz w:val="26"/>
          <w:szCs w:val="26"/>
          <w:lang w:eastAsia="lv-LV"/>
        </w:rPr>
        <w:t>Anotācijas III, IV, V</w:t>
      </w:r>
      <w:r w:rsidR="009267DF">
        <w:rPr>
          <w:rFonts w:eastAsia="Times New Roman" w:cs="Times New Roman"/>
          <w:i/>
          <w:iCs/>
          <w:sz w:val="26"/>
          <w:szCs w:val="26"/>
          <w:lang w:eastAsia="lv-LV"/>
        </w:rPr>
        <w:t xml:space="preserve">, VI, VII </w:t>
      </w:r>
      <w:r w:rsidR="009C7CB7">
        <w:rPr>
          <w:rFonts w:eastAsia="Times New Roman" w:cs="Times New Roman"/>
          <w:i/>
          <w:iCs/>
          <w:sz w:val="26"/>
          <w:szCs w:val="26"/>
          <w:lang w:eastAsia="lv-LV"/>
        </w:rPr>
        <w:t xml:space="preserve">sadaļa </w:t>
      </w:r>
      <w:r w:rsidR="009C7CB7" w:rsidRPr="009C7CB7">
        <w:rPr>
          <w:rFonts w:eastAsia="Times New Roman" w:cs="Times New Roman"/>
          <w:i/>
          <w:sz w:val="24"/>
          <w:szCs w:val="24"/>
          <w:lang w:eastAsia="lv-LV"/>
        </w:rPr>
        <w:t> </w:t>
      </w:r>
      <w:r w:rsidR="009C7CB7">
        <w:rPr>
          <w:rFonts w:eastAsia="Times New Roman" w:cs="Times New Roman"/>
          <w:i/>
          <w:sz w:val="24"/>
          <w:szCs w:val="24"/>
          <w:lang w:eastAsia="lv-LV"/>
        </w:rPr>
        <w:t>n</w:t>
      </w:r>
      <w:r w:rsidR="009C7CB7" w:rsidRPr="009C7CB7">
        <w:rPr>
          <w:rFonts w:eastAsia="Times New Roman" w:cs="Times New Roman"/>
          <w:i/>
          <w:sz w:val="24"/>
          <w:szCs w:val="24"/>
          <w:lang w:eastAsia="lv-LV"/>
        </w:rPr>
        <w:t>av attiecināms</w:t>
      </w:r>
      <w:r w:rsidR="009C7CB7">
        <w:rPr>
          <w:rFonts w:eastAsia="Times New Roman" w:cs="Times New Roman"/>
          <w:i/>
          <w:sz w:val="24"/>
          <w:szCs w:val="24"/>
          <w:lang w:eastAsia="lv-LV"/>
        </w:rPr>
        <w:t>.</w:t>
      </w:r>
    </w:p>
    <w:p w:rsidR="006A4726" w:rsidRDefault="0070526D" w:rsidP="00935378">
      <w:pPr>
        <w:rPr>
          <w:rFonts w:eastAsia="Times New Roman" w:cs="Times New Roman"/>
          <w:sz w:val="26"/>
          <w:szCs w:val="26"/>
          <w:lang w:eastAsia="lv-LV"/>
        </w:rPr>
      </w:pPr>
      <w:r w:rsidRPr="002A429F">
        <w:rPr>
          <w:rFonts w:eastAsia="Times New Roman" w:cs="Times New Roman"/>
          <w:sz w:val="26"/>
          <w:szCs w:val="26"/>
          <w:lang w:eastAsia="lv-LV"/>
        </w:rPr>
        <w:t> </w:t>
      </w:r>
    </w:p>
    <w:p w:rsidR="00547BDC" w:rsidRDefault="00547BDC" w:rsidP="00935378">
      <w:pPr>
        <w:rPr>
          <w:rFonts w:eastAsia="Times New Roman" w:cs="Times New Roman"/>
          <w:sz w:val="26"/>
          <w:szCs w:val="26"/>
          <w:lang w:eastAsia="lv-LV"/>
        </w:rPr>
      </w:pPr>
    </w:p>
    <w:p w:rsidR="00935378" w:rsidRPr="00D524D2" w:rsidRDefault="00935378" w:rsidP="00935378">
      <w:pPr>
        <w:rPr>
          <w:sz w:val="26"/>
          <w:szCs w:val="26"/>
        </w:rPr>
      </w:pPr>
      <w:r w:rsidRPr="00D524D2">
        <w:rPr>
          <w:sz w:val="26"/>
          <w:szCs w:val="26"/>
        </w:rPr>
        <w:t xml:space="preserve">Finanšu ministrs </w:t>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003E67CA">
        <w:rPr>
          <w:sz w:val="26"/>
          <w:szCs w:val="26"/>
        </w:rPr>
        <w:t>A.Vilks</w:t>
      </w:r>
    </w:p>
    <w:p w:rsidR="00CB589D" w:rsidRDefault="00CB589D" w:rsidP="00935378">
      <w:pPr>
        <w:rPr>
          <w:sz w:val="26"/>
          <w:szCs w:val="26"/>
        </w:rPr>
      </w:pPr>
    </w:p>
    <w:p w:rsidR="00547BDC" w:rsidRDefault="00547BDC" w:rsidP="00935378">
      <w:pPr>
        <w:rPr>
          <w:sz w:val="26"/>
          <w:szCs w:val="26"/>
        </w:rPr>
      </w:pPr>
    </w:p>
    <w:p w:rsidR="00324680" w:rsidRPr="0024678C" w:rsidRDefault="00523728" w:rsidP="00324680">
      <w:pPr>
        <w:tabs>
          <w:tab w:val="left" w:pos="3840"/>
        </w:tabs>
        <w:rPr>
          <w:sz w:val="18"/>
          <w:szCs w:val="18"/>
        </w:rPr>
      </w:pPr>
      <w:proofErr w:type="spellStart"/>
      <w:r>
        <w:rPr>
          <w:sz w:val="18"/>
          <w:szCs w:val="18"/>
        </w:rPr>
        <w:t>I.</w:t>
      </w:r>
      <w:r w:rsidR="00845C21">
        <w:rPr>
          <w:sz w:val="18"/>
          <w:szCs w:val="18"/>
        </w:rPr>
        <w:t>Ošiņa</w:t>
      </w:r>
      <w:proofErr w:type="spellEnd"/>
      <w:r w:rsidR="005C37C2">
        <w:rPr>
          <w:sz w:val="18"/>
          <w:szCs w:val="18"/>
        </w:rPr>
        <w:t xml:space="preserve">; </w:t>
      </w:r>
    </w:p>
    <w:p w:rsidR="004153C8" w:rsidRDefault="004153C8" w:rsidP="00613BF4">
      <w:pPr>
        <w:rPr>
          <w:sz w:val="18"/>
          <w:szCs w:val="18"/>
        </w:rPr>
      </w:pPr>
      <w:r>
        <w:rPr>
          <w:sz w:val="18"/>
          <w:szCs w:val="18"/>
        </w:rPr>
        <w:t>2011.07.13. 10:32</w:t>
      </w:r>
    </w:p>
    <w:p w:rsidR="00613BF4" w:rsidRDefault="00656B23" w:rsidP="00613BF4">
      <w:pPr>
        <w:rPr>
          <w:i/>
          <w:sz w:val="18"/>
          <w:szCs w:val="18"/>
        </w:rPr>
      </w:pPr>
      <w:r>
        <w:fldChar w:fldCharType="begin"/>
      </w:r>
      <w:r>
        <w:instrText xml:space="preserve"> NUMWORDS   \* MERGEFORMAT </w:instrText>
      </w:r>
      <w:r>
        <w:fldChar w:fldCharType="separate"/>
      </w:r>
      <w:r w:rsidRPr="00656B23">
        <w:rPr>
          <w:noProof/>
          <w:sz w:val="18"/>
          <w:szCs w:val="18"/>
        </w:rPr>
        <w:t>927</w:t>
      </w:r>
      <w:r>
        <w:rPr>
          <w:noProof/>
          <w:sz w:val="18"/>
          <w:szCs w:val="18"/>
        </w:rPr>
        <w:fldChar w:fldCharType="end"/>
      </w:r>
      <w:bookmarkStart w:id="2" w:name="_GoBack"/>
      <w:bookmarkEnd w:id="2"/>
      <w:r w:rsidR="00613BF4" w:rsidRPr="005C37C2">
        <w:rPr>
          <w:i/>
          <w:sz w:val="18"/>
          <w:szCs w:val="18"/>
        </w:rPr>
        <w:t xml:space="preserve">  </w:t>
      </w:r>
    </w:p>
    <w:p w:rsidR="00DF56E7" w:rsidRDefault="00DF56E7" w:rsidP="005C37C2">
      <w:pPr>
        <w:rPr>
          <w:sz w:val="18"/>
          <w:szCs w:val="18"/>
        </w:rPr>
      </w:pPr>
      <w:r w:rsidRPr="005C37C2">
        <w:rPr>
          <w:sz w:val="18"/>
          <w:szCs w:val="18"/>
        </w:rPr>
        <w:t>67095</w:t>
      </w:r>
      <w:r>
        <w:rPr>
          <w:sz w:val="18"/>
          <w:szCs w:val="18"/>
        </w:rPr>
        <w:t>599</w:t>
      </w:r>
      <w:r w:rsidRPr="005C37C2">
        <w:rPr>
          <w:sz w:val="18"/>
          <w:szCs w:val="18"/>
        </w:rPr>
        <w:t>;</w:t>
      </w:r>
      <w:r w:rsidRPr="0024678C">
        <w:rPr>
          <w:sz w:val="18"/>
          <w:szCs w:val="18"/>
        </w:rPr>
        <w:t xml:space="preserve"> fakss 67095541</w:t>
      </w:r>
    </w:p>
    <w:p w:rsidR="00B253BC" w:rsidRPr="0024678C" w:rsidRDefault="00656B23" w:rsidP="005C37C2">
      <w:pPr>
        <w:rPr>
          <w:sz w:val="18"/>
          <w:szCs w:val="18"/>
        </w:rPr>
      </w:pPr>
      <w:hyperlink r:id="rId8" w:history="1">
        <w:r w:rsidR="00845C21" w:rsidRPr="00714AE3">
          <w:rPr>
            <w:rStyle w:val="Hyperlink"/>
            <w:sz w:val="18"/>
            <w:szCs w:val="18"/>
          </w:rPr>
          <w:t>Inga.Osina@fm.gov.lv</w:t>
        </w:r>
      </w:hyperlink>
      <w:r w:rsidR="00523728">
        <w:rPr>
          <w:sz w:val="18"/>
          <w:szCs w:val="18"/>
        </w:rPr>
        <w:t xml:space="preserve"> </w:t>
      </w:r>
    </w:p>
    <w:sectPr w:rsidR="00B253BC" w:rsidRPr="0024678C" w:rsidSect="009F49A6">
      <w:headerReference w:type="default" r:id="rId9"/>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35" w:rsidRDefault="00D34B35" w:rsidP="007740F2">
      <w:r>
        <w:separator/>
      </w:r>
    </w:p>
  </w:endnote>
  <w:endnote w:type="continuationSeparator" w:id="0">
    <w:p w:rsidR="00D34B35" w:rsidRDefault="00D34B35"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35" w:rsidRPr="00697140" w:rsidRDefault="00D34B35" w:rsidP="00697140">
    <w:pPr>
      <w:pStyle w:val="Footer"/>
      <w:jc w:val="both"/>
      <w:rPr>
        <w:rFonts w:cs="Times New Roman"/>
        <w:sz w:val="18"/>
        <w:szCs w:val="18"/>
      </w:rPr>
    </w:pPr>
    <w:r w:rsidRPr="00523728">
      <w:rPr>
        <w:sz w:val="18"/>
        <w:szCs w:val="18"/>
      </w:rPr>
      <w:t>FMAnot_</w:t>
    </w:r>
    <w:r>
      <w:rPr>
        <w:sz w:val="18"/>
        <w:szCs w:val="18"/>
      </w:rPr>
      <w:t>110711</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35" w:rsidRDefault="00D34B35" w:rsidP="007740F2">
      <w:r>
        <w:separator/>
      </w:r>
    </w:p>
  </w:footnote>
  <w:footnote w:type="continuationSeparator" w:id="0">
    <w:p w:rsidR="00D34B35" w:rsidRDefault="00D34B35"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829"/>
      <w:docPartObj>
        <w:docPartGallery w:val="Page Numbers (Top of Page)"/>
        <w:docPartUnique/>
      </w:docPartObj>
    </w:sdtPr>
    <w:sdtEndPr/>
    <w:sdtContent>
      <w:p w:rsidR="00D34B35" w:rsidRDefault="00D34B35">
        <w:pPr>
          <w:pStyle w:val="Header"/>
          <w:jc w:val="center"/>
        </w:pPr>
        <w:r>
          <w:fldChar w:fldCharType="begin"/>
        </w:r>
        <w:r>
          <w:instrText xml:space="preserve"> PAGE   \* MERGEFORMAT </w:instrText>
        </w:r>
        <w:r>
          <w:fldChar w:fldCharType="separate"/>
        </w:r>
        <w:r w:rsidR="00656B23">
          <w:rPr>
            <w:noProof/>
          </w:rPr>
          <w:t>3</w:t>
        </w:r>
        <w:r>
          <w:rPr>
            <w:noProof/>
          </w:rPr>
          <w:fldChar w:fldCharType="end"/>
        </w:r>
      </w:p>
    </w:sdtContent>
  </w:sdt>
  <w:p w:rsidR="00D34B35" w:rsidRDefault="00D34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7E1C"/>
    <w:rsid w:val="00022143"/>
    <w:rsid w:val="00026F6C"/>
    <w:rsid w:val="00041BC5"/>
    <w:rsid w:val="00051A8F"/>
    <w:rsid w:val="000608D1"/>
    <w:rsid w:val="00062334"/>
    <w:rsid w:val="000A3048"/>
    <w:rsid w:val="000C4DF9"/>
    <w:rsid w:val="00115E82"/>
    <w:rsid w:val="0012014A"/>
    <w:rsid w:val="00122717"/>
    <w:rsid w:val="0012536F"/>
    <w:rsid w:val="00131852"/>
    <w:rsid w:val="00133FC3"/>
    <w:rsid w:val="0014131D"/>
    <w:rsid w:val="00142743"/>
    <w:rsid w:val="0014438B"/>
    <w:rsid w:val="00152376"/>
    <w:rsid w:val="001544B1"/>
    <w:rsid w:val="00155F03"/>
    <w:rsid w:val="00161D6A"/>
    <w:rsid w:val="00182716"/>
    <w:rsid w:val="00185BFE"/>
    <w:rsid w:val="0018679A"/>
    <w:rsid w:val="00192B03"/>
    <w:rsid w:val="001952CE"/>
    <w:rsid w:val="001A5D75"/>
    <w:rsid w:val="001A7971"/>
    <w:rsid w:val="001B1E3E"/>
    <w:rsid w:val="001C2CD5"/>
    <w:rsid w:val="001D7B24"/>
    <w:rsid w:val="001E6D23"/>
    <w:rsid w:val="00200731"/>
    <w:rsid w:val="002176AD"/>
    <w:rsid w:val="00227194"/>
    <w:rsid w:val="00230D49"/>
    <w:rsid w:val="0024678C"/>
    <w:rsid w:val="00250856"/>
    <w:rsid w:val="0027277F"/>
    <w:rsid w:val="002842DF"/>
    <w:rsid w:val="002A3DAE"/>
    <w:rsid w:val="002A429F"/>
    <w:rsid w:val="002B33E3"/>
    <w:rsid w:val="002B5BA9"/>
    <w:rsid w:val="0030223A"/>
    <w:rsid w:val="003243DA"/>
    <w:rsid w:val="00324680"/>
    <w:rsid w:val="00324970"/>
    <w:rsid w:val="00325216"/>
    <w:rsid w:val="0035017E"/>
    <w:rsid w:val="003539EF"/>
    <w:rsid w:val="003608AD"/>
    <w:rsid w:val="0036096D"/>
    <w:rsid w:val="00377F94"/>
    <w:rsid w:val="003808CE"/>
    <w:rsid w:val="00385736"/>
    <w:rsid w:val="003B7D1C"/>
    <w:rsid w:val="003D47B9"/>
    <w:rsid w:val="003E333B"/>
    <w:rsid w:val="003E67CA"/>
    <w:rsid w:val="00406D73"/>
    <w:rsid w:val="004124FD"/>
    <w:rsid w:val="004125EE"/>
    <w:rsid w:val="004153C8"/>
    <w:rsid w:val="00422671"/>
    <w:rsid w:val="00434867"/>
    <w:rsid w:val="00444C23"/>
    <w:rsid w:val="00460D45"/>
    <w:rsid w:val="0046430C"/>
    <w:rsid w:val="004704D8"/>
    <w:rsid w:val="00472936"/>
    <w:rsid w:val="00473FED"/>
    <w:rsid w:val="004807EA"/>
    <w:rsid w:val="004C3F74"/>
    <w:rsid w:val="004C511D"/>
    <w:rsid w:val="004D04D8"/>
    <w:rsid w:val="004F4590"/>
    <w:rsid w:val="004F6E25"/>
    <w:rsid w:val="00501105"/>
    <w:rsid w:val="0052263B"/>
    <w:rsid w:val="00523728"/>
    <w:rsid w:val="00547BDC"/>
    <w:rsid w:val="005500B1"/>
    <w:rsid w:val="0056019C"/>
    <w:rsid w:val="005631DF"/>
    <w:rsid w:val="005657D6"/>
    <w:rsid w:val="005668B0"/>
    <w:rsid w:val="00567BFB"/>
    <w:rsid w:val="00570E1F"/>
    <w:rsid w:val="00575E32"/>
    <w:rsid w:val="00585F3A"/>
    <w:rsid w:val="00595AFA"/>
    <w:rsid w:val="005A74FF"/>
    <w:rsid w:val="005B61EB"/>
    <w:rsid w:val="005B7B1F"/>
    <w:rsid w:val="005C37C2"/>
    <w:rsid w:val="005D466E"/>
    <w:rsid w:val="005E039A"/>
    <w:rsid w:val="005F2843"/>
    <w:rsid w:val="00605A33"/>
    <w:rsid w:val="00606A4B"/>
    <w:rsid w:val="00613BF4"/>
    <w:rsid w:val="0063074D"/>
    <w:rsid w:val="00653D0C"/>
    <w:rsid w:val="00656B23"/>
    <w:rsid w:val="00672F87"/>
    <w:rsid w:val="00684105"/>
    <w:rsid w:val="0069205F"/>
    <w:rsid w:val="00697140"/>
    <w:rsid w:val="006A4726"/>
    <w:rsid w:val="006B3E2A"/>
    <w:rsid w:val="006B7A79"/>
    <w:rsid w:val="006C0E9A"/>
    <w:rsid w:val="006C1B3A"/>
    <w:rsid w:val="006D3764"/>
    <w:rsid w:val="006E0584"/>
    <w:rsid w:val="006E0C4B"/>
    <w:rsid w:val="006E101C"/>
    <w:rsid w:val="007022B9"/>
    <w:rsid w:val="0070526D"/>
    <w:rsid w:val="007272E3"/>
    <w:rsid w:val="0073757A"/>
    <w:rsid w:val="00760C6B"/>
    <w:rsid w:val="007740F2"/>
    <w:rsid w:val="007745A6"/>
    <w:rsid w:val="00776CCD"/>
    <w:rsid w:val="0078057E"/>
    <w:rsid w:val="007B5773"/>
    <w:rsid w:val="007C081B"/>
    <w:rsid w:val="007D791F"/>
    <w:rsid w:val="007E255B"/>
    <w:rsid w:val="007E6B54"/>
    <w:rsid w:val="007F1998"/>
    <w:rsid w:val="007F1CFD"/>
    <w:rsid w:val="00803914"/>
    <w:rsid w:val="00826821"/>
    <w:rsid w:val="00835068"/>
    <w:rsid w:val="008442FB"/>
    <w:rsid w:val="00845C21"/>
    <w:rsid w:val="00851D90"/>
    <w:rsid w:val="00861512"/>
    <w:rsid w:val="00862EB1"/>
    <w:rsid w:val="00864869"/>
    <w:rsid w:val="00887D00"/>
    <w:rsid w:val="00896087"/>
    <w:rsid w:val="0089697E"/>
    <w:rsid w:val="008A1796"/>
    <w:rsid w:val="008C14A5"/>
    <w:rsid w:val="008C2E53"/>
    <w:rsid w:val="008C4091"/>
    <w:rsid w:val="008C6C7D"/>
    <w:rsid w:val="008D01F8"/>
    <w:rsid w:val="008D33D9"/>
    <w:rsid w:val="008E6AFB"/>
    <w:rsid w:val="009016C7"/>
    <w:rsid w:val="009055CC"/>
    <w:rsid w:val="00921B9C"/>
    <w:rsid w:val="009267DF"/>
    <w:rsid w:val="0093409E"/>
    <w:rsid w:val="00935378"/>
    <w:rsid w:val="00950504"/>
    <w:rsid w:val="00955248"/>
    <w:rsid w:val="00986DAC"/>
    <w:rsid w:val="009B236A"/>
    <w:rsid w:val="009B4C0B"/>
    <w:rsid w:val="009C54AA"/>
    <w:rsid w:val="009C6BC3"/>
    <w:rsid w:val="009C7CB7"/>
    <w:rsid w:val="009D6228"/>
    <w:rsid w:val="009E423D"/>
    <w:rsid w:val="009F1C8A"/>
    <w:rsid w:val="009F49A6"/>
    <w:rsid w:val="009F71E7"/>
    <w:rsid w:val="00A57A47"/>
    <w:rsid w:val="00A710B0"/>
    <w:rsid w:val="00A72A5E"/>
    <w:rsid w:val="00A923DC"/>
    <w:rsid w:val="00A976A4"/>
    <w:rsid w:val="00AA2299"/>
    <w:rsid w:val="00AB20BE"/>
    <w:rsid w:val="00AB7A60"/>
    <w:rsid w:val="00AC702C"/>
    <w:rsid w:val="00AE5A6F"/>
    <w:rsid w:val="00AF079B"/>
    <w:rsid w:val="00B0259E"/>
    <w:rsid w:val="00B077B5"/>
    <w:rsid w:val="00B10361"/>
    <w:rsid w:val="00B253BC"/>
    <w:rsid w:val="00B254E1"/>
    <w:rsid w:val="00B26E00"/>
    <w:rsid w:val="00B30D51"/>
    <w:rsid w:val="00B4486A"/>
    <w:rsid w:val="00B52B42"/>
    <w:rsid w:val="00B7762B"/>
    <w:rsid w:val="00B86E95"/>
    <w:rsid w:val="00B93AD7"/>
    <w:rsid w:val="00B96030"/>
    <w:rsid w:val="00BA0537"/>
    <w:rsid w:val="00BA1E74"/>
    <w:rsid w:val="00BA5C0C"/>
    <w:rsid w:val="00BB7856"/>
    <w:rsid w:val="00BF061B"/>
    <w:rsid w:val="00C030E6"/>
    <w:rsid w:val="00C11128"/>
    <w:rsid w:val="00C27314"/>
    <w:rsid w:val="00C41080"/>
    <w:rsid w:val="00C60184"/>
    <w:rsid w:val="00C60F8C"/>
    <w:rsid w:val="00C674C2"/>
    <w:rsid w:val="00C84F1F"/>
    <w:rsid w:val="00CA529E"/>
    <w:rsid w:val="00CB589D"/>
    <w:rsid w:val="00CB67AC"/>
    <w:rsid w:val="00CC35D2"/>
    <w:rsid w:val="00CD0DDE"/>
    <w:rsid w:val="00CE2D10"/>
    <w:rsid w:val="00CE30D1"/>
    <w:rsid w:val="00CE7A8D"/>
    <w:rsid w:val="00CF742B"/>
    <w:rsid w:val="00D07C37"/>
    <w:rsid w:val="00D237F7"/>
    <w:rsid w:val="00D34B35"/>
    <w:rsid w:val="00D46F7D"/>
    <w:rsid w:val="00D57E12"/>
    <w:rsid w:val="00D64500"/>
    <w:rsid w:val="00D81CB1"/>
    <w:rsid w:val="00D90AC4"/>
    <w:rsid w:val="00DA1516"/>
    <w:rsid w:val="00DA2445"/>
    <w:rsid w:val="00DF219A"/>
    <w:rsid w:val="00DF2CEB"/>
    <w:rsid w:val="00DF56E7"/>
    <w:rsid w:val="00E040B8"/>
    <w:rsid w:val="00E16B00"/>
    <w:rsid w:val="00E20D5A"/>
    <w:rsid w:val="00E222EA"/>
    <w:rsid w:val="00E24549"/>
    <w:rsid w:val="00E34609"/>
    <w:rsid w:val="00E35DFD"/>
    <w:rsid w:val="00E65DFF"/>
    <w:rsid w:val="00E833C2"/>
    <w:rsid w:val="00EA7AB6"/>
    <w:rsid w:val="00EB39A0"/>
    <w:rsid w:val="00EC6875"/>
    <w:rsid w:val="00ED34A0"/>
    <w:rsid w:val="00EF2403"/>
    <w:rsid w:val="00EF3296"/>
    <w:rsid w:val="00F01922"/>
    <w:rsid w:val="00F020D9"/>
    <w:rsid w:val="00F025CE"/>
    <w:rsid w:val="00F3390E"/>
    <w:rsid w:val="00F4097F"/>
    <w:rsid w:val="00F4712B"/>
    <w:rsid w:val="00F6632C"/>
    <w:rsid w:val="00F708BC"/>
    <w:rsid w:val="00F8684A"/>
    <w:rsid w:val="00F94342"/>
    <w:rsid w:val="00F94431"/>
    <w:rsid w:val="00F96BD4"/>
    <w:rsid w:val="00FA241A"/>
    <w:rsid w:val="00FA2FDC"/>
    <w:rsid w:val="00FB1F36"/>
    <w:rsid w:val="00FB7559"/>
    <w:rsid w:val="00FE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Osina@f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950</Words>
  <Characters>7075</Characters>
  <Application>Microsoft Office Word</Application>
  <DocSecurity>0</DocSecurity>
  <Lines>191</Lines>
  <Paragraphs>71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Nr.1651 „Noteikumi par valsts un pašvaldību institūciju amatpersonu un darbinieku darba samaksu, kvalifikācijas pakāpēm un to noteikšanas kārtību”” projekts</vt:lpstr>
    </vt:vector>
  </TitlesOfParts>
  <Company>fm</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Nr.1651 „Noteikumi par valsts un pašvaldību institūciju amatpersonu un darbinieku darba samaksu, kvalifikācijas pakāpēm un to noteikšanas kārtību”” projekts</dc:title>
  <dc:subject>Anotācija</dc:subject>
  <dc:creator>I.Ošiņa</dc:creator>
  <cp:keywords/>
  <dc:description>t. 67095662
Inga.Osina@fm.gov.lv</dc:description>
  <cp:lastModifiedBy>Finanšu Ministrija</cp:lastModifiedBy>
  <cp:revision>26</cp:revision>
  <cp:lastPrinted>2011-05-13T12:56:00Z</cp:lastPrinted>
  <dcterms:created xsi:type="dcterms:W3CDTF">2011-07-11T11:30:00Z</dcterms:created>
  <dcterms:modified xsi:type="dcterms:W3CDTF">2011-07-15T07:22:00Z</dcterms:modified>
</cp:coreProperties>
</file>