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05" w:rsidRPr="00BF467A" w:rsidRDefault="0081419B" w:rsidP="00E17A22">
      <w:pPr>
        <w:tabs>
          <w:tab w:val="left" w:pos="709"/>
        </w:tabs>
        <w:jc w:val="center"/>
        <w:rPr>
          <w:b/>
        </w:rPr>
      </w:pPr>
      <w:bookmarkStart w:id="0" w:name="OLE_LINK1"/>
      <w:bookmarkStart w:id="1" w:name="OLE_LINK2"/>
      <w:bookmarkStart w:id="2" w:name="OLE_LINK3"/>
      <w:bookmarkStart w:id="3" w:name="OLE_LINK4"/>
      <w:r>
        <w:rPr>
          <w:b/>
        </w:rPr>
        <w:t>Likumprojekta</w:t>
      </w:r>
      <w:r w:rsidR="00402105" w:rsidRPr="00BF467A">
        <w:rPr>
          <w:b/>
        </w:rPr>
        <w:t xml:space="preserve"> </w:t>
      </w:r>
      <w:r w:rsidR="00E17A22" w:rsidRPr="00BF467A">
        <w:rPr>
          <w:b/>
        </w:rPr>
        <w:t>„</w:t>
      </w:r>
      <w:bookmarkStart w:id="4" w:name="_GoBack"/>
      <w:r w:rsidR="00E17A22" w:rsidRPr="00BF467A">
        <w:rPr>
          <w:b/>
          <w:bCs/>
          <w:lang w:val="pt-BR"/>
        </w:rPr>
        <w:t xml:space="preserve">Grozījumi </w:t>
      </w:r>
      <w:r>
        <w:rPr>
          <w:b/>
          <w:bCs/>
        </w:rPr>
        <w:t>likumā</w:t>
      </w:r>
      <w:r w:rsidR="00E17A22" w:rsidRPr="00BF467A">
        <w:rPr>
          <w:b/>
          <w:bCs/>
        </w:rPr>
        <w:t xml:space="preserve"> </w:t>
      </w:r>
      <w:r w:rsidR="00E17A22" w:rsidRPr="00BF467A">
        <w:rPr>
          <w:b/>
          <w:bCs/>
          <w:lang w:val="pt-BR"/>
        </w:rPr>
        <w:t>“</w:t>
      </w:r>
      <w:r>
        <w:rPr>
          <w:b/>
          <w:bCs/>
        </w:rPr>
        <w:t>Par iedzīvotāju ienākuma nodokli</w:t>
      </w:r>
      <w:r w:rsidR="00E17A22" w:rsidRPr="00BF467A">
        <w:rPr>
          <w:b/>
          <w:bCs/>
          <w:lang w:val="pt-BR"/>
        </w:rPr>
        <w:t>”</w:t>
      </w:r>
      <w:bookmarkEnd w:id="4"/>
      <w:r w:rsidR="00E17A22" w:rsidRPr="00BF467A">
        <w:rPr>
          <w:b/>
          <w:bCs/>
          <w:lang w:val="pt-BR"/>
        </w:rPr>
        <w:t>”</w:t>
      </w:r>
      <w:bookmarkEnd w:id="0"/>
      <w:bookmarkEnd w:id="1"/>
      <w:r w:rsidR="00E17A22" w:rsidRPr="00BF467A">
        <w:rPr>
          <w:b/>
          <w:bCs/>
          <w:lang w:val="pt-BR"/>
        </w:rPr>
        <w:t xml:space="preserve"> </w:t>
      </w:r>
      <w:r w:rsidR="00402105" w:rsidRPr="00BF467A">
        <w:rPr>
          <w:b/>
          <w:bCs/>
        </w:rPr>
        <w:t>sākotnējās ietekmes novērtējuma ziņojums (anotācija)</w:t>
      </w:r>
      <w:bookmarkEnd w:id="2"/>
      <w:bookmarkEnd w:id="3"/>
    </w:p>
    <w:p w:rsidR="00B35BFB" w:rsidRPr="009E4776" w:rsidRDefault="00B35BFB" w:rsidP="0002441D">
      <w:pPr>
        <w:ind w:left="720"/>
        <w:jc w:val="center"/>
        <w:rPr>
          <w:b/>
          <w:bCs/>
          <w:iCs/>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323"/>
        <w:gridCol w:w="6251"/>
      </w:tblGrid>
      <w:tr w:rsidR="00353A9E" w:rsidRPr="00353A9E" w:rsidTr="003034C2">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353A9E" w:rsidRPr="008621E2" w:rsidRDefault="00353A9E" w:rsidP="00791766">
            <w:pPr>
              <w:rPr>
                <w:b/>
              </w:rPr>
            </w:pPr>
            <w:r w:rsidRPr="00353A9E">
              <w:rPr>
                <w:b/>
                <w:bCs/>
              </w:rPr>
              <w:t> </w:t>
            </w:r>
            <w:r w:rsidRPr="008621E2">
              <w:rPr>
                <w:b/>
                <w:bCs/>
              </w:rPr>
              <w:t>I. Tiesību akta projekta izstrādes nepieciešamība</w:t>
            </w:r>
          </w:p>
        </w:tc>
      </w:tr>
      <w:tr w:rsidR="007F44A0" w:rsidRPr="00353A9E" w:rsidTr="003034C2">
        <w:trPr>
          <w:trHeight w:val="615"/>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1.</w:t>
            </w:r>
          </w:p>
        </w:tc>
        <w:tc>
          <w:tcPr>
            <w:tcW w:w="2323"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Pamatojums</w:t>
            </w:r>
          </w:p>
        </w:tc>
        <w:tc>
          <w:tcPr>
            <w:tcW w:w="6251" w:type="dxa"/>
            <w:tcBorders>
              <w:top w:val="outset" w:sz="6" w:space="0" w:color="auto"/>
              <w:left w:val="outset" w:sz="6" w:space="0" w:color="auto"/>
              <w:bottom w:val="outset" w:sz="6" w:space="0" w:color="auto"/>
              <w:right w:val="outset" w:sz="6" w:space="0" w:color="auto"/>
            </w:tcBorders>
            <w:hideMark/>
          </w:tcPr>
          <w:p w:rsidR="0088408C" w:rsidRDefault="00864C5F" w:rsidP="00043DB9">
            <w:pPr>
              <w:jc w:val="both"/>
            </w:pPr>
            <w:r>
              <w:t xml:space="preserve">Grozījumi </w:t>
            </w:r>
            <w:r w:rsidR="005D1999">
              <w:t>likumā</w:t>
            </w:r>
            <w:r w:rsidRPr="001B0819">
              <w:t xml:space="preserve"> „</w:t>
            </w:r>
            <w:r w:rsidR="005D1999">
              <w:t>Par iedzīvotāju ienākuma nodokli</w:t>
            </w:r>
            <w:r w:rsidRPr="001B0819">
              <w:t>”</w:t>
            </w:r>
            <w:r w:rsidRPr="00173883">
              <w:t xml:space="preserve"> (turpmāk</w:t>
            </w:r>
            <w:r>
              <w:t xml:space="preserve"> -</w:t>
            </w:r>
            <w:r w:rsidRPr="00173883">
              <w:t xml:space="preserve"> </w:t>
            </w:r>
            <w:r w:rsidR="005D1999">
              <w:t>likums</w:t>
            </w:r>
            <w:r w:rsidRPr="00173883">
              <w:t>)</w:t>
            </w:r>
            <w:r w:rsidR="0093608E">
              <w:t xml:space="preserve">, </w:t>
            </w:r>
            <w:r w:rsidR="00043DB9">
              <w:t xml:space="preserve">ir nepieciešami, pamatojoties uz dažādu nodokļu maksātāju, institūciju un Valsts ieņēmumu dienesta ierosinājumiem likuma normu uzlabošanai un papildināšanai, lai novērstu nepilnības to piemērošanai praksē, kā arī papildinātu likumu ar jaunām normām, nodrošinot skaidru likuma piemērošanu līdz šim neatrunātās situācijās. </w:t>
            </w:r>
          </w:p>
          <w:p w:rsidR="008C2BEC" w:rsidRPr="00CD3986" w:rsidRDefault="0088408C" w:rsidP="0088408C">
            <w:pPr>
              <w:jc w:val="both"/>
            </w:pPr>
            <w:r w:rsidRPr="002778A5">
              <w:t xml:space="preserve">Grozījumi tika </w:t>
            </w:r>
            <w:r>
              <w:t xml:space="preserve">arī </w:t>
            </w:r>
            <w:r w:rsidRPr="002778A5">
              <w:t>izstrādāti, pamatojoties uz Ministru kabineta 2011</w:t>
            </w:r>
            <w:r>
              <w:t>.gada 2</w:t>
            </w:r>
            <w:r w:rsidRPr="002778A5">
              <w:t>0.</w:t>
            </w:r>
            <w:r>
              <w:t>septem</w:t>
            </w:r>
            <w:r w:rsidRPr="002778A5">
              <w:t xml:space="preserve">bra </w:t>
            </w:r>
            <w:r>
              <w:t xml:space="preserve">sēdes protokolā </w:t>
            </w:r>
            <w:r w:rsidRPr="002778A5">
              <w:t>(</w:t>
            </w:r>
            <w:proofErr w:type="spellStart"/>
            <w:r w:rsidRPr="002778A5">
              <w:t>prot</w:t>
            </w:r>
            <w:proofErr w:type="spellEnd"/>
            <w:r w:rsidRPr="002778A5">
              <w:t xml:space="preserve">. Nr.53 24.§) </w:t>
            </w:r>
            <w:r w:rsidRPr="00CD3986">
              <w:t xml:space="preserve">doto uzdevumu Finanšu ministrijai sagatavot un finanšu ministram divu mēnešu laikā iesniegt izskatīšanai Ministru kabinetā grozījumus normatīvajā regulējumā, lai novērstu </w:t>
            </w:r>
            <w:proofErr w:type="spellStart"/>
            <w:r w:rsidRPr="00CD3986">
              <w:t>mikrouzņēmumu</w:t>
            </w:r>
            <w:proofErr w:type="spellEnd"/>
            <w:r w:rsidRPr="00CD3986">
              <w:t xml:space="preserve"> nodokļa režīma izmantošanu nodokļu plānošanai.</w:t>
            </w:r>
            <w:r w:rsidR="00043DB9" w:rsidRPr="00CD3986">
              <w:t xml:space="preserve"> </w:t>
            </w:r>
          </w:p>
          <w:p w:rsidR="00BC367B" w:rsidRPr="00353A9E" w:rsidRDefault="00BC367B" w:rsidP="00BA049F">
            <w:pPr>
              <w:jc w:val="both"/>
            </w:pPr>
            <w:r>
              <w:t xml:space="preserve">Savukārt, pamatojoties uz </w:t>
            </w:r>
            <w:r w:rsidRPr="00B628CD">
              <w:t xml:space="preserve">Ministru kabineta 2011. gada 19. jūlija sēdes </w:t>
            </w:r>
            <w:proofErr w:type="spellStart"/>
            <w:r>
              <w:t>protokollēmumā</w:t>
            </w:r>
            <w:proofErr w:type="spellEnd"/>
            <w:r w:rsidRPr="00B628CD">
              <w:t xml:space="preserve"> Nr. 44 (17. § 4.4. punkts) </w:t>
            </w:r>
            <w:r>
              <w:t xml:space="preserve">doto uzdevumu, </w:t>
            </w:r>
            <w:r w:rsidR="00A06E0E">
              <w:rPr>
                <w:lang w:eastAsia="ar-SA"/>
              </w:rPr>
              <w:t>Labklājības ministrija</w:t>
            </w:r>
            <w:r w:rsidRPr="00123F8E">
              <w:rPr>
                <w:lang w:eastAsia="ar-SA"/>
              </w:rPr>
              <w:t xml:space="preserve"> ir </w:t>
            </w:r>
            <w:r>
              <w:rPr>
                <w:lang w:eastAsia="ar-SA"/>
              </w:rPr>
              <w:t xml:space="preserve">izstrādājusi </w:t>
            </w:r>
            <w:r w:rsidR="00A06E0E">
              <w:rPr>
                <w:lang w:eastAsia="ar-SA"/>
              </w:rPr>
              <w:t>Ministru kabineta n</w:t>
            </w:r>
            <w:r w:rsidRPr="00123F8E">
              <w:rPr>
                <w:lang w:eastAsia="ar-SA"/>
              </w:rPr>
              <w:t>oteikumu projektu</w:t>
            </w:r>
            <w:r w:rsidR="00A06E0E">
              <w:rPr>
                <w:lang w:eastAsia="ar-SA"/>
              </w:rPr>
              <w:t xml:space="preserve"> „Grozījumi Ministru kabineta 2011. gada 25. janvāra noteikumos </w:t>
            </w:r>
            <w:proofErr w:type="spellStart"/>
            <w:r w:rsidR="00A06E0E">
              <w:rPr>
                <w:lang w:eastAsia="ar-SA"/>
              </w:rPr>
              <w:t>Nr</w:t>
            </w:r>
            <w:proofErr w:type="spellEnd"/>
            <w:r w:rsidR="00A06E0E">
              <w:rPr>
                <w:lang w:eastAsia="ar-SA"/>
              </w:rPr>
              <w:t>. 75 „Noteikumi par aktīvo nodarbinātības pasākumu un preventīvo bezdarba samazināšanas pasākumu organizēšanas un finansēšanas kārtību un pasākumu īstenotāju izvēles principiem””</w:t>
            </w:r>
            <w:r w:rsidRPr="00123F8E">
              <w:rPr>
                <w:lang w:eastAsia="ar-SA"/>
              </w:rPr>
              <w:t xml:space="preserve">, </w:t>
            </w:r>
            <w:r>
              <w:rPr>
                <w:lang w:eastAsia="ar-SA"/>
              </w:rPr>
              <w:t xml:space="preserve">kuram pievienotais Ministru kabineta sēdes </w:t>
            </w:r>
            <w:proofErr w:type="spellStart"/>
            <w:r>
              <w:rPr>
                <w:lang w:eastAsia="ar-SA"/>
              </w:rPr>
              <w:t>protokollēmuma</w:t>
            </w:r>
            <w:proofErr w:type="spellEnd"/>
            <w:r>
              <w:rPr>
                <w:lang w:eastAsia="ar-SA"/>
              </w:rPr>
              <w:t xml:space="preserve"> projekts paredz Finanšu ministrijai uzdevumu vienlaikus ar 2012.gada budžetu pavadošo likumprojekta paketes sagatavošanu papildināt likuma pārejas noteikumus ar normu, ka algoto pagaidu sabiedrisko darbu ietvaros izmaksātā atlīdzība 2012.gadā un 2013.gadā netiek aplikta ar iedzīvotāju ienākuma nodokli.  </w:t>
            </w:r>
          </w:p>
        </w:tc>
      </w:tr>
      <w:tr w:rsidR="007F44A0" w:rsidRPr="00353A9E" w:rsidTr="003034C2">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2.</w:t>
            </w:r>
          </w:p>
        </w:tc>
        <w:tc>
          <w:tcPr>
            <w:tcW w:w="2323"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Pašreizējā situācija un problēmas</w:t>
            </w:r>
          </w:p>
        </w:tc>
        <w:tc>
          <w:tcPr>
            <w:tcW w:w="6251" w:type="dxa"/>
            <w:tcBorders>
              <w:top w:val="outset" w:sz="6" w:space="0" w:color="auto"/>
              <w:left w:val="outset" w:sz="6" w:space="0" w:color="auto"/>
              <w:bottom w:val="outset" w:sz="6" w:space="0" w:color="auto"/>
              <w:right w:val="outset" w:sz="6" w:space="0" w:color="auto"/>
            </w:tcBorders>
            <w:hideMark/>
          </w:tcPr>
          <w:p w:rsidR="00730ED8" w:rsidRPr="0086521B" w:rsidRDefault="0088408C" w:rsidP="00280047">
            <w:pPr>
              <w:jc w:val="both"/>
              <w:rPr>
                <w:i/>
                <w:sz w:val="20"/>
                <w:szCs w:val="20"/>
                <w:u w:val="single"/>
              </w:rPr>
            </w:pPr>
            <w:r>
              <w:rPr>
                <w:i/>
                <w:sz w:val="20"/>
                <w:szCs w:val="20"/>
                <w:u w:val="single"/>
              </w:rPr>
              <w:t xml:space="preserve">Likumprojekta </w:t>
            </w:r>
            <w:r w:rsidR="00E13DCE" w:rsidRPr="0086521B">
              <w:rPr>
                <w:i/>
                <w:sz w:val="20"/>
                <w:szCs w:val="20"/>
                <w:u w:val="single"/>
              </w:rPr>
              <w:t>1.pants</w:t>
            </w:r>
            <w:r w:rsidR="00251722" w:rsidRPr="0086521B">
              <w:rPr>
                <w:i/>
                <w:sz w:val="20"/>
                <w:szCs w:val="20"/>
                <w:u w:val="single"/>
              </w:rPr>
              <w:t xml:space="preserve"> (attiecībā uz</w:t>
            </w:r>
            <w:r>
              <w:rPr>
                <w:i/>
                <w:sz w:val="20"/>
                <w:szCs w:val="20"/>
                <w:u w:val="single"/>
              </w:rPr>
              <w:t xml:space="preserve"> likuma</w:t>
            </w:r>
            <w:r w:rsidR="00251722" w:rsidRPr="0086521B">
              <w:rPr>
                <w:i/>
                <w:sz w:val="20"/>
                <w:szCs w:val="20"/>
                <w:u w:val="single"/>
              </w:rPr>
              <w:t xml:space="preserve"> 9.panta pirmās daļas 7.punktu)</w:t>
            </w:r>
          </w:p>
          <w:p w:rsidR="0012363C" w:rsidRDefault="00C26B2B" w:rsidP="00280047">
            <w:pPr>
              <w:jc w:val="both"/>
            </w:pPr>
            <w:r w:rsidRPr="00C26B2B">
              <w:t xml:space="preserve">Latvijas iedzīvotāji, kas dzīvo un strādā ārvalstīs, ir tiesīgi ārvalstīs sociālās apdrošināšanas un sociālā nodrošinājuma sistēmas ietvaros saņemt dažādus pabalstus (ģimenes pabalstu, bezdarbnieka pabalstu </w:t>
            </w:r>
            <w:proofErr w:type="spellStart"/>
            <w:r w:rsidRPr="00C26B2B">
              <w:t>u.tml</w:t>
            </w:r>
            <w:proofErr w:type="spellEnd"/>
            <w:r w:rsidRPr="00C26B2B">
              <w:t xml:space="preserve">.). Pašreiz likumā nodokļa piemērošana šajos gadījumos nav atrunāta. </w:t>
            </w:r>
            <w:r w:rsidR="00BA049F">
              <w:t>L</w:t>
            </w:r>
            <w:r w:rsidRPr="00C26B2B">
              <w:t>ikuma 9.panta pirmās daļas 7.punkts nosaka, ka Latvijas rezidenta ar nodokli apliekamajā gada ienākumā neiekļauj normatīvajos aktos noteiktos no budžeta izmaksātos pabalstus, taču neprecizē, vai minētais attiecināms arī uz pabalstiem, kas izmaksāti no citu Eiropas Savienības dalībvalstu vai Eiropas Ekonomikas zonas valstu budžetiem. Tādējādi pašreizējā situācijā, lai novērstu atšķirīgu iedzīvotāju ienākuma nodokļa uzlikšanas kārtību attiecībā uz pabalstiem, kas tiek izmaksāti Latvijā un citā Eiropas Savienības dalībvalstī vai Eiropas Ekonomikas zonas valstī, ņemot vērā Līguma par Eiropas Savienības darbību 18. un 45.pantu par diskriminācijas aizliegumu un brīvu darbaspēka kustību, likuma „Par iedzīvotāju ienākuma nodokli” normas tiek interpretētas sistēmiski.</w:t>
            </w:r>
          </w:p>
          <w:p w:rsidR="00251722" w:rsidRPr="0086521B" w:rsidRDefault="0088408C" w:rsidP="00251722">
            <w:pPr>
              <w:jc w:val="both"/>
              <w:rPr>
                <w:i/>
                <w:sz w:val="20"/>
                <w:szCs w:val="20"/>
                <w:u w:val="single"/>
              </w:rPr>
            </w:pPr>
            <w:r>
              <w:rPr>
                <w:i/>
                <w:sz w:val="20"/>
                <w:szCs w:val="20"/>
                <w:u w:val="single"/>
              </w:rPr>
              <w:lastRenderedPageBreak/>
              <w:t xml:space="preserve">Likumprojekta </w:t>
            </w:r>
            <w:r w:rsidR="00251722" w:rsidRPr="0086521B">
              <w:rPr>
                <w:i/>
                <w:sz w:val="20"/>
                <w:szCs w:val="20"/>
                <w:u w:val="single"/>
              </w:rPr>
              <w:t xml:space="preserve">1.pants (attiecībā uz </w:t>
            </w:r>
            <w:r>
              <w:rPr>
                <w:i/>
                <w:sz w:val="20"/>
                <w:szCs w:val="20"/>
                <w:u w:val="single"/>
              </w:rPr>
              <w:t xml:space="preserve">likuma </w:t>
            </w:r>
            <w:r w:rsidR="00251722" w:rsidRPr="0086521B">
              <w:rPr>
                <w:i/>
                <w:sz w:val="20"/>
                <w:szCs w:val="20"/>
                <w:u w:val="single"/>
              </w:rPr>
              <w:t>9.panta pirmās daļas 34.</w:t>
            </w:r>
            <w:r w:rsidR="00251722" w:rsidRPr="0086521B">
              <w:rPr>
                <w:i/>
                <w:sz w:val="20"/>
                <w:szCs w:val="20"/>
                <w:u w:val="single"/>
                <w:vertAlign w:val="superscript"/>
              </w:rPr>
              <w:t>1</w:t>
            </w:r>
            <w:r w:rsidR="00251722" w:rsidRPr="0086521B">
              <w:rPr>
                <w:i/>
                <w:sz w:val="20"/>
                <w:szCs w:val="20"/>
                <w:u w:val="single"/>
              </w:rPr>
              <w:t xml:space="preserve"> punktu)</w:t>
            </w:r>
          </w:p>
          <w:p w:rsidR="00C26B2B" w:rsidRDefault="00C26B2B" w:rsidP="00C26B2B">
            <w:pPr>
              <w:jc w:val="both"/>
            </w:pPr>
            <w:r w:rsidRPr="00C26B2B">
              <w:t>Sabiedrības vajadzībām nepieciešamā nekustamā īpašuma atsavināšanas likuma 21.pants nosaka pamatprincipu, ka nekustamā īpašuma bijušajam īpašniekam nosakāma atlīdzība, kas nodrošina tādu mantisko stāvokli, kas ir līdzvērtīgs viņa iepriekšējam mantiskajam stāvoklim. Savukārt atbilstoši pašreizējai likuma  redakcijai neatkarīgi no nekustamā īpašuma atsavināšanas formas pēc būtības atlīdzība sabiedrības vajadzību nodrošināšanai atsavinātu nekustamo īpašumu ir ienākumi no nekustamā īpašuma atsavināšanas, kas ir apliekami ar iedzīvotāju ienākuma nodokli. Tādējādi, apliekot ar nodokli nekustamā īpašuma šādā atsavināšanas gadījumā gūto ienākumu, bijušā īpašnieka mantiskais stāvoklis pasliktinās, un tam par gūto atlīdzību vairs nav iespējams arī iegādāties līdzvērtīgu nekustamo īpašumu. Arī tad, ja sabiedrības vajadzībām nepieciešams nekustamais īpašums tiek kompensēts ar līdzvērtīgu nekustamo īpašumu, likuma normas skaidri nenosaka, ka šajā gadījumā par nekustamā īpašuma iegādes dienu uzskatāma saskaņā ar Sabiedrības vajadzībām nepieciešamā nekustamā īpašuma atsavināšanas likumu atsavinātā nekustamā īpašuma iegādes diena.</w:t>
            </w:r>
          </w:p>
          <w:p w:rsidR="00E35EB1" w:rsidRPr="00645392" w:rsidRDefault="0088408C" w:rsidP="00E35EB1">
            <w:pPr>
              <w:jc w:val="both"/>
              <w:rPr>
                <w:i/>
                <w:sz w:val="20"/>
                <w:szCs w:val="20"/>
                <w:u w:val="single"/>
              </w:rPr>
            </w:pPr>
            <w:r>
              <w:rPr>
                <w:i/>
                <w:sz w:val="20"/>
                <w:szCs w:val="20"/>
                <w:u w:val="single"/>
              </w:rPr>
              <w:t xml:space="preserve">Likumprojekta </w:t>
            </w:r>
            <w:r w:rsidR="0086521B" w:rsidRPr="00645392">
              <w:rPr>
                <w:i/>
                <w:sz w:val="20"/>
                <w:szCs w:val="20"/>
                <w:u w:val="single"/>
              </w:rPr>
              <w:t>2</w:t>
            </w:r>
            <w:r w:rsidR="00730ED8" w:rsidRPr="00645392">
              <w:rPr>
                <w:i/>
                <w:sz w:val="20"/>
                <w:szCs w:val="20"/>
                <w:u w:val="single"/>
              </w:rPr>
              <w:t>.,</w:t>
            </w:r>
            <w:r w:rsidR="00E13DCE" w:rsidRPr="00645392">
              <w:rPr>
                <w:i/>
                <w:sz w:val="20"/>
                <w:szCs w:val="20"/>
                <w:u w:val="single"/>
              </w:rPr>
              <w:t xml:space="preserve"> </w:t>
            </w:r>
            <w:r w:rsidR="0086521B" w:rsidRPr="00645392">
              <w:rPr>
                <w:i/>
                <w:sz w:val="20"/>
                <w:szCs w:val="20"/>
                <w:u w:val="single"/>
              </w:rPr>
              <w:t>7</w:t>
            </w:r>
            <w:r w:rsidR="00E13DCE" w:rsidRPr="00645392">
              <w:rPr>
                <w:i/>
                <w:sz w:val="20"/>
                <w:szCs w:val="20"/>
                <w:u w:val="single"/>
              </w:rPr>
              <w:t xml:space="preserve">., </w:t>
            </w:r>
            <w:r w:rsidR="0086521B" w:rsidRPr="00645392">
              <w:rPr>
                <w:i/>
                <w:sz w:val="20"/>
                <w:szCs w:val="20"/>
                <w:u w:val="single"/>
              </w:rPr>
              <w:t>8</w:t>
            </w:r>
            <w:r w:rsidR="00E13DCE" w:rsidRPr="00645392">
              <w:rPr>
                <w:i/>
                <w:sz w:val="20"/>
                <w:szCs w:val="20"/>
                <w:u w:val="single"/>
              </w:rPr>
              <w:t xml:space="preserve">., </w:t>
            </w:r>
            <w:r w:rsidR="0086521B" w:rsidRPr="00645392">
              <w:rPr>
                <w:i/>
                <w:sz w:val="20"/>
                <w:szCs w:val="20"/>
                <w:u w:val="single"/>
              </w:rPr>
              <w:t>9</w:t>
            </w:r>
            <w:r w:rsidR="00E13DCE" w:rsidRPr="00645392">
              <w:rPr>
                <w:i/>
                <w:sz w:val="20"/>
                <w:szCs w:val="20"/>
                <w:u w:val="single"/>
              </w:rPr>
              <w:t>., 1</w:t>
            </w:r>
            <w:r w:rsidR="00C30474">
              <w:rPr>
                <w:i/>
                <w:sz w:val="20"/>
                <w:szCs w:val="20"/>
                <w:u w:val="single"/>
              </w:rPr>
              <w:t>6</w:t>
            </w:r>
            <w:r w:rsidR="00E13DCE" w:rsidRPr="00645392">
              <w:rPr>
                <w:i/>
                <w:sz w:val="20"/>
                <w:szCs w:val="20"/>
                <w:u w:val="single"/>
              </w:rPr>
              <w:t xml:space="preserve">. un </w:t>
            </w:r>
            <w:r w:rsidR="00435946">
              <w:rPr>
                <w:i/>
                <w:sz w:val="20"/>
                <w:szCs w:val="20"/>
                <w:u w:val="single"/>
              </w:rPr>
              <w:t>18</w:t>
            </w:r>
            <w:r w:rsidR="00E13DCE" w:rsidRPr="00645392">
              <w:rPr>
                <w:i/>
                <w:sz w:val="20"/>
                <w:szCs w:val="20"/>
                <w:u w:val="single"/>
              </w:rPr>
              <w:t>.pants</w:t>
            </w:r>
            <w:r w:rsidR="00E35EB1">
              <w:rPr>
                <w:i/>
                <w:sz w:val="20"/>
                <w:szCs w:val="20"/>
                <w:u w:val="single"/>
              </w:rPr>
              <w:t xml:space="preserve"> (attiecībā uz </w:t>
            </w:r>
            <w:r w:rsidR="005846AB">
              <w:rPr>
                <w:i/>
                <w:sz w:val="20"/>
                <w:szCs w:val="20"/>
                <w:u w:val="single"/>
              </w:rPr>
              <w:t>likuma 10.panta septīto un astoto daļu, 11.</w:t>
            </w:r>
            <w:r w:rsidR="004734D4">
              <w:rPr>
                <w:i/>
                <w:sz w:val="20"/>
                <w:szCs w:val="20"/>
                <w:u w:val="single"/>
                <w:vertAlign w:val="superscript"/>
              </w:rPr>
              <w:t>9</w:t>
            </w:r>
            <w:r w:rsidR="005846AB">
              <w:rPr>
                <w:i/>
                <w:sz w:val="20"/>
                <w:szCs w:val="20"/>
                <w:u w:val="single"/>
              </w:rPr>
              <w:t>panta trīspadsmito, četrpadsmito, piecpadsmito, sešpadsmito un septiņpadsmito daļu, 15.panta 3.</w:t>
            </w:r>
            <w:r w:rsidR="005846AB" w:rsidRPr="00BB1055">
              <w:rPr>
                <w:i/>
                <w:sz w:val="20"/>
                <w:szCs w:val="20"/>
                <w:u w:val="single"/>
                <w:vertAlign w:val="superscript"/>
              </w:rPr>
              <w:t>2</w:t>
            </w:r>
            <w:r w:rsidR="005846AB">
              <w:rPr>
                <w:i/>
                <w:sz w:val="20"/>
                <w:szCs w:val="20"/>
                <w:u w:val="single"/>
              </w:rPr>
              <w:t xml:space="preserve"> daļu</w:t>
            </w:r>
            <w:r w:rsidR="00BB1055">
              <w:rPr>
                <w:i/>
                <w:sz w:val="20"/>
                <w:szCs w:val="20"/>
                <w:u w:val="single"/>
              </w:rPr>
              <w:t>, 16.</w:t>
            </w:r>
            <w:r w:rsidR="00BB1055" w:rsidRPr="00BB1055">
              <w:rPr>
                <w:i/>
                <w:sz w:val="20"/>
                <w:szCs w:val="20"/>
                <w:u w:val="single"/>
                <w:vertAlign w:val="superscript"/>
              </w:rPr>
              <w:t>1</w:t>
            </w:r>
            <w:r w:rsidR="00BB1055">
              <w:rPr>
                <w:i/>
                <w:sz w:val="20"/>
                <w:szCs w:val="20"/>
                <w:u w:val="single"/>
              </w:rPr>
              <w:t xml:space="preserve"> panta 3.</w:t>
            </w:r>
            <w:r w:rsidR="00BB1055" w:rsidRPr="00BB1055">
              <w:rPr>
                <w:i/>
                <w:sz w:val="20"/>
                <w:szCs w:val="20"/>
                <w:u w:val="single"/>
                <w:vertAlign w:val="superscript"/>
              </w:rPr>
              <w:t xml:space="preserve">2 </w:t>
            </w:r>
            <w:r w:rsidR="00BB1055">
              <w:rPr>
                <w:i/>
                <w:sz w:val="20"/>
                <w:szCs w:val="20"/>
                <w:u w:val="single"/>
              </w:rPr>
              <w:t>un 3.</w:t>
            </w:r>
            <w:r w:rsidR="00BB1055">
              <w:rPr>
                <w:i/>
                <w:sz w:val="20"/>
                <w:szCs w:val="20"/>
                <w:u w:val="single"/>
                <w:vertAlign w:val="superscript"/>
              </w:rPr>
              <w:t>2</w:t>
            </w:r>
            <w:r w:rsidR="00BB1055">
              <w:rPr>
                <w:i/>
                <w:sz w:val="20"/>
                <w:szCs w:val="20"/>
                <w:u w:val="single"/>
              </w:rPr>
              <w:t xml:space="preserve">daļu, 28.panta 12.punktu un </w:t>
            </w:r>
            <w:r w:rsidR="005846AB">
              <w:rPr>
                <w:i/>
                <w:sz w:val="20"/>
                <w:szCs w:val="20"/>
                <w:u w:val="single"/>
              </w:rPr>
              <w:t>pārejas noteikumu</w:t>
            </w:r>
            <w:r w:rsidR="00435946">
              <w:rPr>
                <w:i/>
                <w:sz w:val="20"/>
                <w:szCs w:val="20"/>
                <w:u w:val="single"/>
              </w:rPr>
              <w:t xml:space="preserve"> </w:t>
            </w:r>
            <w:r w:rsidR="00E35EB1">
              <w:rPr>
                <w:i/>
                <w:sz w:val="20"/>
                <w:szCs w:val="20"/>
                <w:u w:val="single"/>
              </w:rPr>
              <w:t>85.</w:t>
            </w:r>
            <w:r w:rsidR="005846AB" w:rsidDel="005846AB">
              <w:rPr>
                <w:i/>
                <w:sz w:val="20"/>
                <w:szCs w:val="20"/>
                <w:u w:val="single"/>
              </w:rPr>
              <w:t xml:space="preserve"> </w:t>
            </w:r>
            <w:r w:rsidR="00E35EB1">
              <w:rPr>
                <w:i/>
                <w:sz w:val="20"/>
                <w:szCs w:val="20"/>
                <w:u w:val="single"/>
              </w:rPr>
              <w:t>punktu)</w:t>
            </w:r>
          </w:p>
          <w:p w:rsidR="006D47C1" w:rsidRPr="006D47C1" w:rsidRDefault="006D47C1" w:rsidP="006D47C1">
            <w:pPr>
              <w:jc w:val="both"/>
            </w:pPr>
            <w:r w:rsidRPr="006D47C1">
              <w:t>Pašreiz likumā nav skaidri atrunāta iedzīvotāju ienākuma nodokļa piemērošanas kārtība apdrošināšanas atlīdzībai, kas izmaksāta saskaņā ar dzīvības apdrošināšanas līgumu (ar līdzekļu uzkrāšanu), kuru apdrošinātā interesēs noslēdzis darba devējs (vai cita juridiska persona), pienākot apdrošināšanas līgumā paredzētajam beigu termiņam vai laužot līgumu pirms termiņa. Problēmu rada apstāklis, ka izmaksātā atlīdzība sastāv no divām daļām: viena daļa atbilst darba devēja veiktajiem apdrošināšanas prēmiju maksājumiem, kas pēc ekonomiskās būtības veido ar algas nodokli apliekamu ienākumu, bet otru daļu veido kapitāla ienākums, kuram būtu piemērojama cita nodokļa likme.</w:t>
            </w:r>
          </w:p>
          <w:p w:rsidR="006D47C1" w:rsidRPr="006D47C1" w:rsidRDefault="006D47C1" w:rsidP="006D47C1">
            <w:pPr>
              <w:jc w:val="both"/>
            </w:pPr>
            <w:r w:rsidRPr="006D47C1">
              <w:t xml:space="preserve">Likumā pašreiz nav skaidri noteikta kārtībā, kā nosakāms apliekamais ienākums gadījumā, ja ir noslēgts dzīvības apdrošināšanas līgums (ar līdzekļu uzkrāšanu), kas paredz daļēju uzkrājumu izmaksu. Minēto līgumu specifika paredz iespēju maksātājam daļu uzkrājuma izņemt līguma darbības laikā. Arī apdrošināšanas prēmiju maksāšanas grafiks maksātājiem izriet no attiecīgā apdrošināšanas līguma. Tādējādi, lai noteiktu apliekamo ienākumu un taksācijas periodu, kurā tas rodas, nepieciešams precizēt un sīkāk atrunāt likuma 11.9 panta vienpadsmitās daļas 4.punktā noteikto vispārējo algoritmu apliekamā ienākuma noteikšanai no dzīvības apdrošināšanas līgumiem ar līdzekļu uzkrāšanu. Vienlaikus nepieciešams atrunāt mehānismu, kā no apliekamā ienākuma nodalīt ienākumu, kas no minētajiem apdrošināšanas līgumiem radies līdz 2009.gada 31.decembrim, jo līdz minētajam datumam šis </w:t>
            </w:r>
            <w:r w:rsidRPr="006D47C1">
              <w:lastRenderedPageBreak/>
              <w:t>ienākums nebija ar nodokli apliekams.</w:t>
            </w:r>
          </w:p>
          <w:p w:rsidR="006D47C1" w:rsidRPr="006D47C1" w:rsidRDefault="006D47C1" w:rsidP="006D47C1">
            <w:pPr>
              <w:jc w:val="both"/>
            </w:pPr>
            <w:r w:rsidRPr="006D47C1">
              <w:t>Likumā pašreiz nav atrunāts, ka attaisnotos izdevumus drīkstētu piemērot arī dzīvības apdrošināšanas līgumiem (ar līdzekļu uzkrāšanu), kuri paredz daļēju uzkrājuma izmaksu.</w:t>
            </w:r>
          </w:p>
          <w:p w:rsidR="00730ED8" w:rsidRPr="0086521B" w:rsidRDefault="0088408C" w:rsidP="00C26B2B">
            <w:pPr>
              <w:jc w:val="both"/>
              <w:rPr>
                <w:i/>
                <w:sz w:val="20"/>
                <w:szCs w:val="20"/>
                <w:u w:val="single"/>
              </w:rPr>
            </w:pPr>
            <w:r>
              <w:rPr>
                <w:i/>
                <w:sz w:val="20"/>
                <w:szCs w:val="20"/>
                <w:u w:val="single"/>
              </w:rPr>
              <w:t xml:space="preserve">Likumprojekta </w:t>
            </w:r>
            <w:r w:rsidR="0086521B" w:rsidRPr="0086521B">
              <w:rPr>
                <w:i/>
                <w:sz w:val="20"/>
                <w:szCs w:val="20"/>
                <w:u w:val="single"/>
              </w:rPr>
              <w:t>3</w:t>
            </w:r>
            <w:r w:rsidR="003D0A24" w:rsidRPr="0086521B">
              <w:rPr>
                <w:i/>
                <w:sz w:val="20"/>
                <w:szCs w:val="20"/>
                <w:u w:val="single"/>
              </w:rPr>
              <w:t xml:space="preserve">. un </w:t>
            </w:r>
            <w:r w:rsidR="0086521B" w:rsidRPr="0086521B">
              <w:rPr>
                <w:i/>
                <w:sz w:val="20"/>
                <w:szCs w:val="20"/>
                <w:u w:val="single"/>
              </w:rPr>
              <w:t>8</w:t>
            </w:r>
            <w:r w:rsidR="003D0A24" w:rsidRPr="0086521B">
              <w:rPr>
                <w:i/>
                <w:sz w:val="20"/>
                <w:szCs w:val="20"/>
                <w:u w:val="single"/>
              </w:rPr>
              <w:t>.</w:t>
            </w:r>
            <w:r w:rsidR="00E13DCE" w:rsidRPr="0086521B">
              <w:rPr>
                <w:i/>
                <w:sz w:val="20"/>
                <w:szCs w:val="20"/>
                <w:u w:val="single"/>
              </w:rPr>
              <w:t>pants</w:t>
            </w:r>
            <w:r w:rsidR="0086521B" w:rsidRPr="0086521B">
              <w:rPr>
                <w:i/>
                <w:sz w:val="20"/>
                <w:szCs w:val="20"/>
                <w:u w:val="single"/>
              </w:rPr>
              <w:t xml:space="preserve"> (attiecībā uz </w:t>
            </w:r>
            <w:r>
              <w:rPr>
                <w:i/>
                <w:sz w:val="20"/>
                <w:szCs w:val="20"/>
                <w:u w:val="single"/>
              </w:rPr>
              <w:t xml:space="preserve">likuma </w:t>
            </w:r>
            <w:r w:rsidR="00BB1055">
              <w:rPr>
                <w:i/>
                <w:sz w:val="20"/>
                <w:szCs w:val="20"/>
                <w:u w:val="single"/>
              </w:rPr>
              <w:t xml:space="preserve">11.panta divpadsmito daļu un </w:t>
            </w:r>
            <w:r w:rsidR="0086521B" w:rsidRPr="0086521B">
              <w:rPr>
                <w:i/>
                <w:sz w:val="20"/>
                <w:szCs w:val="20"/>
                <w:u w:val="single"/>
              </w:rPr>
              <w:t>15.panta septīto daļu)</w:t>
            </w:r>
          </w:p>
          <w:p w:rsidR="003D4145" w:rsidRPr="003D4145" w:rsidRDefault="003D4145" w:rsidP="003D4145">
            <w:pPr>
              <w:jc w:val="both"/>
            </w:pPr>
            <w:r w:rsidRPr="003D4145">
              <w:t>Pašreiz atkarībā no ienākuma veida tiek piemērotas atšķirīgas iedzīvotāju ienākuma nodokļa likmes, tādējādi lielā mērā nodokļa apmērs atkarīgs no attiecīgā ienākuma veida klasifikācijas. Ienākumam no kapitāla (</w:t>
            </w:r>
            <w:proofErr w:type="spellStart"/>
            <w:r w:rsidRPr="003D4145">
              <w:t>t.s</w:t>
            </w:r>
            <w:proofErr w:type="spellEnd"/>
            <w:r w:rsidRPr="003D4145">
              <w:t>. pasīvajam ienākumam) pašreiz tiek piemērota 10% likme</w:t>
            </w:r>
            <w:r w:rsidR="00BA049F">
              <w:t>.</w:t>
            </w:r>
            <w:r w:rsidRPr="003D4145">
              <w:t xml:space="preserve"> Savukārt </w:t>
            </w:r>
            <w:r w:rsidR="00BA049F" w:rsidRPr="003D4145">
              <w:t>ienākum</w:t>
            </w:r>
            <w:r w:rsidR="00BA049F">
              <w:t>s</w:t>
            </w:r>
            <w:r w:rsidR="00BA049F" w:rsidRPr="003D4145">
              <w:t xml:space="preserve"> </w:t>
            </w:r>
            <w:r w:rsidRPr="003D4145">
              <w:t>no īpašuma, piemēram, iznomājot vai izīrējot nekustamo īpašumu (arī pārdodot īres tiesības), nododot lietu tālāk apakšnomniekam vai apakšīrniekam, iznomājot kustamo mantu vai gūstot samaksu par dabas resursu izmantošanu vai izmantošanas aprobežojumiem, tiek klasificēts kā saimnieciskās darbības ienākums un aplikts pēc 25% likmes</w:t>
            </w:r>
            <w:r w:rsidR="00BA049F">
              <w:t>.</w:t>
            </w:r>
            <w:r w:rsidR="00BA049F" w:rsidRPr="003D4145">
              <w:t xml:space="preserve"> </w:t>
            </w:r>
            <w:r w:rsidR="00BA049F">
              <w:t>(ja neveic</w:t>
            </w:r>
            <w:r w:rsidRPr="003D4145">
              <w:t xml:space="preserve"> </w:t>
            </w:r>
            <w:r w:rsidR="00BA049F" w:rsidRPr="003D4145">
              <w:t>aktīv</w:t>
            </w:r>
            <w:r w:rsidR="00BA049F">
              <w:t>u</w:t>
            </w:r>
            <w:r w:rsidR="00BA049F" w:rsidRPr="003D4145">
              <w:t xml:space="preserve"> saimniecisk</w:t>
            </w:r>
            <w:r w:rsidR="00BA049F">
              <w:t>o</w:t>
            </w:r>
            <w:r w:rsidR="00BA049F" w:rsidRPr="003D4145">
              <w:t xml:space="preserve"> darbīb</w:t>
            </w:r>
            <w:r w:rsidR="00BA049F">
              <w:t>u</w:t>
            </w:r>
            <w:r w:rsidR="00BA049F" w:rsidRPr="003D4145">
              <w:t xml:space="preserve"> </w:t>
            </w:r>
            <w:r w:rsidR="00BA049F">
              <w:t>saskaņā ar likuma 11.panta divpadsmito daļu netiek atzīti saimnieciskās darbības izdevumos</w:t>
            </w:r>
            <w:r w:rsidRPr="003D4145">
              <w:t>, izņemot nekustamā īpašuma nodokli</w:t>
            </w:r>
            <w:r w:rsidR="00BA049F">
              <w:t>)</w:t>
            </w:r>
            <w:r w:rsidRPr="003D4145">
              <w:t>. Tādējādi pēc sava rakstura līdzīgam ienākumam tiek piemērots atšķirīgs nodokļa režīms.</w:t>
            </w:r>
          </w:p>
          <w:p w:rsidR="003D0A24" w:rsidRPr="002361D3" w:rsidRDefault="0088408C" w:rsidP="003D4145">
            <w:pPr>
              <w:jc w:val="both"/>
              <w:rPr>
                <w:i/>
                <w:sz w:val="20"/>
                <w:szCs w:val="20"/>
                <w:u w:val="single"/>
              </w:rPr>
            </w:pPr>
            <w:r>
              <w:rPr>
                <w:i/>
                <w:sz w:val="20"/>
                <w:szCs w:val="20"/>
                <w:u w:val="single"/>
              </w:rPr>
              <w:t xml:space="preserve">Likumprojekta </w:t>
            </w:r>
            <w:r w:rsidR="002361D3" w:rsidRPr="002361D3">
              <w:rPr>
                <w:i/>
                <w:sz w:val="20"/>
                <w:szCs w:val="20"/>
                <w:u w:val="single"/>
              </w:rPr>
              <w:t>3</w:t>
            </w:r>
            <w:r w:rsidR="00E13DCE" w:rsidRPr="002361D3">
              <w:rPr>
                <w:i/>
                <w:sz w:val="20"/>
                <w:szCs w:val="20"/>
                <w:u w:val="single"/>
              </w:rPr>
              <w:t>.pants</w:t>
            </w:r>
            <w:r w:rsidR="002361D3" w:rsidRPr="002361D3">
              <w:rPr>
                <w:i/>
                <w:sz w:val="20"/>
                <w:szCs w:val="20"/>
                <w:u w:val="single"/>
              </w:rPr>
              <w:t xml:space="preserve"> (attiecībā uz </w:t>
            </w:r>
            <w:r>
              <w:rPr>
                <w:i/>
                <w:sz w:val="20"/>
                <w:szCs w:val="20"/>
                <w:u w:val="single"/>
              </w:rPr>
              <w:t xml:space="preserve">likuma </w:t>
            </w:r>
            <w:r w:rsidR="002361D3" w:rsidRPr="002361D3">
              <w:rPr>
                <w:i/>
                <w:sz w:val="20"/>
                <w:szCs w:val="20"/>
                <w:u w:val="single"/>
              </w:rPr>
              <w:t>11.panta septiņpadsmito daļu)</w:t>
            </w:r>
          </w:p>
          <w:p w:rsidR="00297048" w:rsidRPr="00297048" w:rsidRDefault="00297048" w:rsidP="00297048">
            <w:pPr>
              <w:jc w:val="both"/>
            </w:pPr>
            <w:r w:rsidRPr="00297048">
              <w:t xml:space="preserve">Saimnieciskais gads Vienotā </w:t>
            </w:r>
            <w:proofErr w:type="spellStart"/>
            <w:r w:rsidRPr="00297048">
              <w:t>platībmaksājuma</w:t>
            </w:r>
            <w:proofErr w:type="spellEnd"/>
            <w:r w:rsidRPr="00297048">
              <w:t xml:space="preserve"> un Eiropas lauksaimniecības fonda lauku attīstībai (ELFLA) </w:t>
            </w:r>
            <w:proofErr w:type="spellStart"/>
            <w:r w:rsidRPr="00297048">
              <w:t>Agrovides</w:t>
            </w:r>
            <w:proofErr w:type="spellEnd"/>
            <w:r w:rsidRPr="00297048">
              <w:t xml:space="preserve"> maksājumu administrēšanai un izmaksai sākas kārtējā gada 1.jūlijā un beidzas nākamā gada 30.jūnijā. Savukārt taksācijas gads nodokļu aprēķināšanai sakrīt ar kalendāra gadu. Tādējādi paredzams, ka daudziem lauksaimniekiem radīsies problēmas ar iedzīvotāju ienākuma nodokļa samaksu par atbalsta maksājumiem, kas saņemti kalendāra gada beigās, jo viņiem nebūs atbilstošu izdevumu. Attiecīgos izdevumus tik īsā laika periodā nav iespējams veikt. Tādējādi, ja avansā saņemtie maksājumi tiks aplikti ar nodokli, maksātāju rīcībā nepaliks plānotais līdzekļu apjoms izdevumu segšanai. Šī problēma attiecībā uz 2010.gadā saņemto finansējumu jau ir risināta pārejas noteikumu veidā (pārejas noteikumu 75.punkts).</w:t>
            </w:r>
          </w:p>
          <w:p w:rsidR="003D0A24" w:rsidRPr="00F33992" w:rsidRDefault="0088408C" w:rsidP="003D4145">
            <w:pPr>
              <w:jc w:val="both"/>
              <w:rPr>
                <w:i/>
                <w:sz w:val="20"/>
                <w:szCs w:val="20"/>
                <w:u w:val="single"/>
              </w:rPr>
            </w:pPr>
            <w:r>
              <w:rPr>
                <w:i/>
                <w:sz w:val="20"/>
                <w:szCs w:val="20"/>
                <w:u w:val="single"/>
              </w:rPr>
              <w:t xml:space="preserve">Likumprojekta </w:t>
            </w:r>
            <w:r w:rsidR="00F33992" w:rsidRPr="00F33992">
              <w:rPr>
                <w:i/>
                <w:sz w:val="20"/>
                <w:szCs w:val="20"/>
                <w:u w:val="single"/>
              </w:rPr>
              <w:t>4</w:t>
            </w:r>
            <w:r w:rsidR="00E13DCE" w:rsidRPr="00F33992">
              <w:rPr>
                <w:i/>
                <w:sz w:val="20"/>
                <w:szCs w:val="20"/>
                <w:u w:val="single"/>
              </w:rPr>
              <w:t xml:space="preserve">. un </w:t>
            </w:r>
            <w:r w:rsidR="00435946">
              <w:rPr>
                <w:i/>
                <w:sz w:val="20"/>
                <w:szCs w:val="20"/>
                <w:u w:val="single"/>
              </w:rPr>
              <w:t>18</w:t>
            </w:r>
            <w:r w:rsidR="00E13DCE" w:rsidRPr="00F33992">
              <w:rPr>
                <w:i/>
                <w:sz w:val="20"/>
                <w:szCs w:val="20"/>
                <w:u w:val="single"/>
              </w:rPr>
              <w:t>.p</w:t>
            </w:r>
            <w:r w:rsidR="00F33992" w:rsidRPr="00F33992">
              <w:rPr>
                <w:i/>
                <w:sz w:val="20"/>
                <w:szCs w:val="20"/>
                <w:u w:val="single"/>
              </w:rPr>
              <w:t xml:space="preserve">ants (attiecībā uz </w:t>
            </w:r>
            <w:r w:rsidR="00BB1055">
              <w:rPr>
                <w:i/>
                <w:sz w:val="20"/>
                <w:szCs w:val="20"/>
                <w:u w:val="single"/>
              </w:rPr>
              <w:t>likuma 11.</w:t>
            </w:r>
            <w:r w:rsidR="00BB1055" w:rsidRPr="00BB1055">
              <w:rPr>
                <w:i/>
                <w:sz w:val="20"/>
                <w:szCs w:val="20"/>
                <w:u w:val="single"/>
                <w:vertAlign w:val="superscript"/>
              </w:rPr>
              <w:t>3</w:t>
            </w:r>
            <w:r w:rsidR="00BB1055">
              <w:rPr>
                <w:i/>
                <w:sz w:val="20"/>
                <w:szCs w:val="20"/>
                <w:u w:val="single"/>
              </w:rPr>
              <w:t xml:space="preserve"> pantu un </w:t>
            </w:r>
            <w:r w:rsidR="00F33992" w:rsidRPr="00F33992">
              <w:rPr>
                <w:i/>
                <w:sz w:val="20"/>
                <w:szCs w:val="20"/>
                <w:u w:val="single"/>
              </w:rPr>
              <w:t xml:space="preserve">pārejas noteikumu </w:t>
            </w:r>
            <w:r w:rsidR="00BB1055">
              <w:rPr>
                <w:i/>
                <w:sz w:val="20"/>
                <w:szCs w:val="20"/>
                <w:u w:val="single"/>
              </w:rPr>
              <w:t>86</w:t>
            </w:r>
            <w:r w:rsidR="00F33992" w:rsidRPr="00F33992">
              <w:rPr>
                <w:i/>
                <w:sz w:val="20"/>
                <w:szCs w:val="20"/>
                <w:u w:val="single"/>
              </w:rPr>
              <w:t>.punktu)</w:t>
            </w:r>
          </w:p>
          <w:p w:rsidR="00C15037" w:rsidRDefault="00C15037" w:rsidP="00C15037">
            <w:pPr>
              <w:jc w:val="both"/>
            </w:pPr>
            <w:r w:rsidRPr="00C15037">
              <w:t>Likumā saistībā ar zaudētajiem parādiem ir normas, kurās ietverta atsauce uz bankrota procedūru (tās uzsākšanu vai pabeigšanu). Tā likums nosaka, ka, izpildot arī citus nosacījumus, pusi no zaudētajiem parādiem var norakstīt, debitoram uzsākot bankrota procedūru, bet atlikušo summu drīkst iekļaut saimnieciskās darbības izdevumos pēc debitora bankrota procedūras pabeigšanas. Tāpat likums nosaka rīcību, ja maksātāja nauda līdzekļi atrodas norēķinu kontā brīdi, kad konta turētājam uzsākta bankrota procedūra. Jaunā maksātnespējas likuma redakcija bankrota procedūru attiecina tikai uz debitoriem – fiziskām personām. Savukārt juridiskām personām agrākajai bankrota procedūras pabeigšanai pašreiz atbilst pabeigts maksātnespējas process, par kuru ir pieņemts tiesas nolēmums.</w:t>
            </w:r>
            <w:r w:rsidR="00A67F31">
              <w:t xml:space="preserve"> Maksātnespējas process paredz arī tiesiskās </w:t>
            </w:r>
            <w:r w:rsidR="00A67F31">
              <w:lastRenderedPageBreak/>
              <w:t>aizsardzības procesa piemērošanu debitoram, kura ietvaros iespējams, ka tiesiskās aizsardzības pasākumu plānā, kuru apstiprinājusi tiesa, tiek paredzēta debitora parāda dzēšana.</w:t>
            </w:r>
          </w:p>
          <w:p w:rsidR="00297048" w:rsidRPr="00645392" w:rsidRDefault="0088408C" w:rsidP="003D4145">
            <w:pPr>
              <w:jc w:val="both"/>
              <w:rPr>
                <w:i/>
                <w:sz w:val="20"/>
                <w:szCs w:val="20"/>
                <w:u w:val="single"/>
              </w:rPr>
            </w:pPr>
            <w:r>
              <w:rPr>
                <w:i/>
                <w:sz w:val="20"/>
                <w:szCs w:val="20"/>
                <w:u w:val="single"/>
              </w:rPr>
              <w:t xml:space="preserve">Likumprojekta </w:t>
            </w:r>
            <w:r w:rsidR="000F5642" w:rsidRPr="00645392">
              <w:rPr>
                <w:i/>
                <w:sz w:val="20"/>
                <w:szCs w:val="20"/>
                <w:u w:val="single"/>
              </w:rPr>
              <w:t>5</w:t>
            </w:r>
            <w:r w:rsidR="00E13DCE" w:rsidRPr="00645392">
              <w:rPr>
                <w:i/>
                <w:sz w:val="20"/>
                <w:szCs w:val="20"/>
                <w:u w:val="single"/>
              </w:rPr>
              <w:t>.pants</w:t>
            </w:r>
            <w:r w:rsidR="00BB1055">
              <w:rPr>
                <w:i/>
                <w:sz w:val="20"/>
                <w:szCs w:val="20"/>
                <w:u w:val="single"/>
              </w:rPr>
              <w:t xml:space="preserve"> (attiecībā uz likuma 11.</w:t>
            </w:r>
            <w:r w:rsidR="00BB1055" w:rsidRPr="00BB1055">
              <w:rPr>
                <w:i/>
                <w:sz w:val="20"/>
                <w:szCs w:val="20"/>
                <w:u w:val="single"/>
                <w:vertAlign w:val="superscript"/>
              </w:rPr>
              <w:t>7</w:t>
            </w:r>
            <w:r w:rsidR="00BB1055">
              <w:rPr>
                <w:i/>
                <w:sz w:val="20"/>
                <w:szCs w:val="20"/>
                <w:u w:val="single"/>
              </w:rPr>
              <w:t>pantu)</w:t>
            </w:r>
          </w:p>
          <w:p w:rsidR="00C26B2B" w:rsidRDefault="00C26B2B" w:rsidP="00C26B2B">
            <w:pPr>
              <w:jc w:val="both"/>
            </w:pPr>
            <w:r w:rsidRPr="00C26B2B">
              <w:t>Likuma 11.</w:t>
            </w:r>
            <w:r w:rsidRPr="00C26B2B">
              <w:rPr>
                <w:vertAlign w:val="superscript"/>
              </w:rPr>
              <w:t xml:space="preserve">7 </w:t>
            </w:r>
            <w:r w:rsidRPr="00C26B2B">
              <w:t>pants pie noteiktu nosacījumu izpildes paredz atbrīvojumu no nodokļa, ja gūst ienākumu no tāda nekustamā īpašuma atsavināšanas, kurš pēc lietošanas mērķa ir lauksaimniecības zeme. Savukārt nekustamā īpašuma objektu kopību bieži veido lauksaimniecības zeme un mežs (objekta kopībā neietilpst ēkas un būves). Tādējādi šajās situācijās likums nenosaka precīzu rīcību.</w:t>
            </w:r>
          </w:p>
          <w:p w:rsidR="00C26B2B" w:rsidRDefault="00C26B2B" w:rsidP="00C26B2B">
            <w:pPr>
              <w:jc w:val="both"/>
            </w:pPr>
            <w:r w:rsidRPr="00C26B2B">
              <w:t>Pašreizējā likuma 11.</w:t>
            </w:r>
            <w:r w:rsidRPr="00CD3986">
              <w:rPr>
                <w:vertAlign w:val="superscript"/>
              </w:rPr>
              <w:t>7</w:t>
            </w:r>
            <w:r w:rsidR="00435946">
              <w:t xml:space="preserve"> </w:t>
            </w:r>
            <w:r w:rsidRPr="00C26B2B">
              <w:t>panta redakcija skaidri neaizliedz piemērot atbrīvojumu no nodokļa, ja gūst ienākumu no tāda nekustamā īpašuma atsavināšanas, kurš pēc lietošanas mērķa ir lauksaimniecības zeme, gadījumos, kad šāda zeme ir iegādāta tikai ar mērķi to pārdot. Tādējādi atbrīvojums ir ticis piemērots arī maksātājiem, uz kuriem sākotnēji šo atbrīvojumu nav bijis nodoms attiecināt.</w:t>
            </w:r>
          </w:p>
          <w:p w:rsidR="00C15037" w:rsidRPr="000F5642" w:rsidRDefault="0088408C" w:rsidP="00C26B2B">
            <w:pPr>
              <w:jc w:val="both"/>
              <w:rPr>
                <w:i/>
                <w:sz w:val="20"/>
                <w:szCs w:val="20"/>
                <w:u w:val="single"/>
              </w:rPr>
            </w:pPr>
            <w:r>
              <w:rPr>
                <w:i/>
                <w:sz w:val="20"/>
                <w:szCs w:val="20"/>
                <w:u w:val="single"/>
              </w:rPr>
              <w:t xml:space="preserve">Likumprojekta </w:t>
            </w:r>
            <w:r w:rsidR="000F5642" w:rsidRPr="000F5642">
              <w:rPr>
                <w:i/>
                <w:sz w:val="20"/>
                <w:szCs w:val="20"/>
                <w:u w:val="single"/>
              </w:rPr>
              <w:t>6</w:t>
            </w:r>
            <w:r w:rsidR="00E13DCE" w:rsidRPr="000F5642">
              <w:rPr>
                <w:i/>
                <w:sz w:val="20"/>
                <w:szCs w:val="20"/>
                <w:u w:val="single"/>
              </w:rPr>
              <w:t xml:space="preserve">. un </w:t>
            </w:r>
            <w:r w:rsidR="00031F99">
              <w:rPr>
                <w:i/>
                <w:sz w:val="20"/>
                <w:szCs w:val="20"/>
                <w:u w:val="single"/>
              </w:rPr>
              <w:t>13</w:t>
            </w:r>
            <w:r w:rsidR="00E13DCE" w:rsidRPr="000F5642">
              <w:rPr>
                <w:i/>
                <w:sz w:val="20"/>
                <w:szCs w:val="20"/>
                <w:u w:val="single"/>
              </w:rPr>
              <w:t>.pants</w:t>
            </w:r>
            <w:r w:rsidR="000F5642" w:rsidRPr="000F5642">
              <w:rPr>
                <w:i/>
                <w:sz w:val="20"/>
                <w:szCs w:val="20"/>
                <w:u w:val="single"/>
              </w:rPr>
              <w:t xml:space="preserve"> (attiecībā uz </w:t>
            </w:r>
            <w:r>
              <w:rPr>
                <w:i/>
                <w:sz w:val="20"/>
                <w:szCs w:val="20"/>
                <w:u w:val="single"/>
              </w:rPr>
              <w:t xml:space="preserve">likuma </w:t>
            </w:r>
            <w:r w:rsidR="00BB1055">
              <w:rPr>
                <w:i/>
                <w:sz w:val="20"/>
                <w:szCs w:val="20"/>
                <w:u w:val="single"/>
              </w:rPr>
              <w:t>11.</w:t>
            </w:r>
            <w:r w:rsidR="00BB1055" w:rsidRPr="00BB1055">
              <w:rPr>
                <w:i/>
                <w:sz w:val="20"/>
                <w:szCs w:val="20"/>
                <w:u w:val="single"/>
                <w:vertAlign w:val="superscript"/>
              </w:rPr>
              <w:t>8</w:t>
            </w:r>
            <w:r w:rsidR="00BB1055">
              <w:rPr>
                <w:i/>
                <w:sz w:val="20"/>
                <w:szCs w:val="20"/>
                <w:u w:val="single"/>
              </w:rPr>
              <w:t xml:space="preserve"> pantu un</w:t>
            </w:r>
            <w:r w:rsidR="000F5642" w:rsidRPr="000F5642">
              <w:rPr>
                <w:i/>
                <w:sz w:val="20"/>
                <w:szCs w:val="20"/>
                <w:u w:val="single"/>
              </w:rPr>
              <w:t>28.panta 13. un 14.punktu)</w:t>
            </w:r>
          </w:p>
          <w:p w:rsidR="004C7C1C" w:rsidRPr="004C7C1C" w:rsidRDefault="004C7C1C" w:rsidP="004C7C1C">
            <w:pPr>
              <w:jc w:val="both"/>
            </w:pPr>
            <w:r w:rsidRPr="004C7C1C">
              <w:t>Likuma 11.</w:t>
            </w:r>
            <w:r w:rsidRPr="004C7C1C">
              <w:rPr>
                <w:vertAlign w:val="superscript"/>
              </w:rPr>
              <w:t>8</w:t>
            </w:r>
            <w:r w:rsidRPr="004C7C1C">
              <w:t xml:space="preserve"> panta pirmajā daļā noteikts, ka fiksēto ienākuma nodokli var maksāt saimnieciskās darbības veicējs, kuram nav darba ņēmēju, savukārt ceturtajā daļā – ka fiksēto ienākuma nodokli nepiemēro profesionālās darbības veicējiem, kas minēti šā likuma 11.panta 1.</w:t>
            </w:r>
            <w:r w:rsidRPr="004C7C1C">
              <w:rPr>
                <w:vertAlign w:val="superscript"/>
              </w:rPr>
              <w:t>2</w:t>
            </w:r>
            <w:r w:rsidRPr="004C7C1C">
              <w:t xml:space="preserve"> daļā. Tomēr likumā nav noteikta rīcība un sankcijas gadījumā, ja fiksēta ienākuma nodokļa maksātājs paplašina savu saimniecisko darbību, uzsākot veikt profesionālo darbību, vai pieņem darbā darbiniekus. </w:t>
            </w:r>
          </w:p>
          <w:p w:rsidR="004C7C1C" w:rsidRPr="000F5642" w:rsidRDefault="0088408C" w:rsidP="004C7C1C">
            <w:pPr>
              <w:jc w:val="both"/>
              <w:rPr>
                <w:i/>
                <w:sz w:val="20"/>
                <w:szCs w:val="20"/>
                <w:u w:val="single"/>
              </w:rPr>
            </w:pPr>
            <w:r>
              <w:rPr>
                <w:i/>
                <w:sz w:val="20"/>
                <w:szCs w:val="20"/>
                <w:u w:val="single"/>
              </w:rPr>
              <w:t xml:space="preserve">Likumprojekta </w:t>
            </w:r>
            <w:r w:rsidR="000F5642" w:rsidRPr="000F5642">
              <w:rPr>
                <w:i/>
                <w:sz w:val="20"/>
                <w:szCs w:val="20"/>
                <w:u w:val="single"/>
              </w:rPr>
              <w:t>7</w:t>
            </w:r>
            <w:r w:rsidR="00E13DCE" w:rsidRPr="000F5642">
              <w:rPr>
                <w:i/>
                <w:sz w:val="20"/>
                <w:szCs w:val="20"/>
                <w:u w:val="single"/>
              </w:rPr>
              <w:t>.pants</w:t>
            </w:r>
            <w:r w:rsidR="000F5642" w:rsidRPr="000F5642">
              <w:rPr>
                <w:i/>
                <w:sz w:val="20"/>
                <w:szCs w:val="20"/>
                <w:u w:val="single"/>
              </w:rPr>
              <w:t xml:space="preserve"> (attiecībā uz </w:t>
            </w:r>
            <w:r>
              <w:rPr>
                <w:i/>
                <w:sz w:val="20"/>
                <w:szCs w:val="20"/>
                <w:u w:val="single"/>
              </w:rPr>
              <w:t xml:space="preserve">likuma </w:t>
            </w:r>
            <w:r w:rsidR="000F5642" w:rsidRPr="000F5642">
              <w:rPr>
                <w:i/>
                <w:sz w:val="20"/>
                <w:szCs w:val="20"/>
                <w:u w:val="single"/>
              </w:rPr>
              <w:t>11.</w:t>
            </w:r>
            <w:r w:rsidR="000F5642" w:rsidRPr="000F5642">
              <w:rPr>
                <w:i/>
                <w:sz w:val="20"/>
                <w:szCs w:val="20"/>
                <w:u w:val="single"/>
                <w:vertAlign w:val="superscript"/>
              </w:rPr>
              <w:t>9</w:t>
            </w:r>
            <w:r w:rsidR="000F5642" w:rsidRPr="000F5642">
              <w:rPr>
                <w:i/>
                <w:sz w:val="20"/>
                <w:szCs w:val="20"/>
                <w:u w:val="single"/>
              </w:rPr>
              <w:t xml:space="preserve"> panta otrās daļas 7.punktu)</w:t>
            </w:r>
          </w:p>
          <w:p w:rsidR="00C26B2B" w:rsidRDefault="00C26B2B" w:rsidP="00280047">
            <w:pPr>
              <w:jc w:val="both"/>
            </w:pPr>
            <w:r w:rsidRPr="00C26B2B">
              <w:t xml:space="preserve">Pašreiz likumā sniegts galīgs, taču nepilnīgs kapitāla aktīvu uzskaitījums. Tādējādi nodokļa uzlikšana kapitāla pieauguma ienākumam, kas rodas no citu kapitāla aktīvu atsavināšanas (piemēram, investīciju zelts), var izrietēt tikai no likuma sistēmiska skaidrojuma. Sekas ir dažādas likuma interpretācijas, kas neapmierina ne nodokļu maksātājus, ne nodokļu administrāciju. </w:t>
            </w:r>
          </w:p>
          <w:p w:rsidR="00E01733" w:rsidRPr="00A1167A" w:rsidRDefault="00E01733" w:rsidP="00280047">
            <w:pPr>
              <w:jc w:val="both"/>
              <w:rPr>
                <w:i/>
                <w:u w:val="single"/>
              </w:rPr>
            </w:pPr>
            <w:r w:rsidRPr="00A1167A">
              <w:rPr>
                <w:i/>
                <w:sz w:val="20"/>
                <w:u w:val="single"/>
              </w:rPr>
              <w:t>Likumprojekta 7.pants (attiecībā uz likuma 11.</w:t>
            </w:r>
            <w:r w:rsidRPr="00A1167A">
              <w:rPr>
                <w:i/>
                <w:sz w:val="20"/>
                <w:u w:val="single"/>
                <w:vertAlign w:val="superscript"/>
              </w:rPr>
              <w:t>9</w:t>
            </w:r>
            <w:r w:rsidRPr="00A1167A">
              <w:rPr>
                <w:i/>
                <w:sz w:val="20"/>
                <w:u w:val="single"/>
              </w:rPr>
              <w:t xml:space="preserve"> panta vienpadsmitās daļas 5.punktu)</w:t>
            </w:r>
          </w:p>
          <w:p w:rsidR="00E01733" w:rsidRDefault="00E01733" w:rsidP="00280047">
            <w:pPr>
              <w:jc w:val="both"/>
            </w:pPr>
            <w:r>
              <w:t xml:space="preserve">Pašreiz likumā nav noteikts, kā nosakāms apliekamais ienākums no </w:t>
            </w:r>
            <w:r w:rsidRPr="009C6EBE">
              <w:t>ieguldītāja finanšu instrumentu individuālas pārvaldīšanas saskaņā ar ieguldītāju pilnvarojumu jeb portfeļa pārvaldības pakalpojuma</w:t>
            </w:r>
            <w:r>
              <w:t>. Tādējādi apliekamo ienākumu pašreiz iespējams noteikt tikai likuma normu interpretācijas rezultātā, kas praksē var novest pie atšķirīgas likuma piemērošanas līdzīgās situācijā</w:t>
            </w:r>
            <w:r w:rsidR="00C044DE">
              <w:t>s</w:t>
            </w:r>
            <w:r>
              <w:t>.</w:t>
            </w:r>
          </w:p>
          <w:p w:rsidR="00A1167A" w:rsidRDefault="0088408C" w:rsidP="00280047">
            <w:pPr>
              <w:jc w:val="both"/>
            </w:pPr>
            <w:r w:rsidRPr="00A1167A">
              <w:rPr>
                <w:i/>
                <w:sz w:val="20"/>
                <w:u w:val="single"/>
              </w:rPr>
              <w:t>Likumprojekta 11.pants (attiecībā uz likuma 17.</w:t>
            </w:r>
            <w:r w:rsidRPr="00A1167A">
              <w:rPr>
                <w:i/>
                <w:sz w:val="20"/>
                <w:u w:val="single"/>
                <w:vertAlign w:val="superscript"/>
              </w:rPr>
              <w:t>2</w:t>
            </w:r>
            <w:r w:rsidRPr="00A1167A">
              <w:rPr>
                <w:i/>
                <w:sz w:val="20"/>
                <w:u w:val="single"/>
              </w:rPr>
              <w:t xml:space="preserve"> pantu)</w:t>
            </w:r>
          </w:p>
          <w:p w:rsidR="0088408C" w:rsidRDefault="00811B62" w:rsidP="00280047">
            <w:pPr>
              <w:jc w:val="both"/>
            </w:pPr>
            <w:r w:rsidRPr="00692C36">
              <w:t xml:space="preserve">No informatīvā ziņojuma „Par </w:t>
            </w:r>
            <w:proofErr w:type="spellStart"/>
            <w:r w:rsidRPr="00692C36">
              <w:t>Mikrouzņēmumu</w:t>
            </w:r>
            <w:proofErr w:type="spellEnd"/>
            <w:r w:rsidRPr="00692C36">
              <w:t xml:space="preserve"> nodokļa likuma praktiskās īstenošanas gaitu un rezultātiem no 2010.gada 1.septembra līdz 2011.gada 30.jūnijam” </w:t>
            </w:r>
            <w:r>
              <w:t xml:space="preserve">(apstiprināts ar </w:t>
            </w:r>
            <w:r w:rsidRPr="002778A5">
              <w:t>Ministru kabineta 2011</w:t>
            </w:r>
            <w:r>
              <w:t>.gada 2</w:t>
            </w:r>
            <w:r w:rsidRPr="002778A5">
              <w:t>0.</w:t>
            </w:r>
            <w:r>
              <w:t>septem</w:t>
            </w:r>
            <w:r w:rsidRPr="002778A5">
              <w:t xml:space="preserve">bra </w:t>
            </w:r>
            <w:r>
              <w:t xml:space="preserve">sēdes protokolu </w:t>
            </w:r>
            <w:r w:rsidRPr="002778A5">
              <w:t>(</w:t>
            </w:r>
            <w:proofErr w:type="spellStart"/>
            <w:r w:rsidRPr="002778A5">
              <w:t>prot</w:t>
            </w:r>
            <w:proofErr w:type="spellEnd"/>
            <w:r w:rsidRPr="002778A5">
              <w:t>. Nr.53 24.§)</w:t>
            </w:r>
            <w:r>
              <w:t xml:space="preserve">) </w:t>
            </w:r>
            <w:r w:rsidRPr="00692C36">
              <w:t xml:space="preserve">izriet, ka, neskatoties uz </w:t>
            </w:r>
            <w:r w:rsidRPr="00692C36">
              <w:rPr>
                <w:color w:val="000000"/>
              </w:rPr>
              <w:t xml:space="preserve">ierobežojumiem </w:t>
            </w:r>
            <w:proofErr w:type="spellStart"/>
            <w:r w:rsidRPr="00692C36">
              <w:rPr>
                <w:color w:val="000000"/>
              </w:rPr>
              <w:t>mikrouzņēmumiem</w:t>
            </w:r>
            <w:proofErr w:type="spellEnd"/>
            <w:r w:rsidRPr="00692C36">
              <w:rPr>
                <w:color w:val="000000"/>
              </w:rPr>
              <w:t xml:space="preserve"> un personām, kas var būt </w:t>
            </w:r>
            <w:proofErr w:type="spellStart"/>
            <w:r w:rsidRPr="00692C36">
              <w:rPr>
                <w:color w:val="000000"/>
              </w:rPr>
              <w:t>mikrouzņēmuma</w:t>
            </w:r>
            <w:proofErr w:type="spellEnd"/>
            <w:r w:rsidRPr="00692C36">
              <w:rPr>
                <w:color w:val="000000"/>
              </w:rPr>
              <w:t xml:space="preserve"> </w:t>
            </w:r>
            <w:r w:rsidRPr="00692C36">
              <w:rPr>
                <w:color w:val="000000"/>
              </w:rPr>
              <w:lastRenderedPageBreak/>
              <w:t xml:space="preserve">dalībnieks, </w:t>
            </w:r>
            <w:r>
              <w:t xml:space="preserve">likumā esošie ierobežojumi praksē </w:t>
            </w:r>
            <w:r w:rsidRPr="00692C36">
              <w:rPr>
                <w:color w:val="000000"/>
              </w:rPr>
              <w:t xml:space="preserve">neizslēdz iespējas izmantot </w:t>
            </w:r>
            <w:r>
              <w:rPr>
                <w:color w:val="000000"/>
              </w:rPr>
              <w:t xml:space="preserve">likumā noteikto režīmu nodokļu plānošanas mērķiem. Galvenie nodokļu plānošanas modeļi balstās uz shēmu, ka uzņēmums, kas jau darbojas, veic reorganizāciju, atlaiž darbiniekus, savukārt darbinieki ir spiesti veidot </w:t>
            </w:r>
            <w:proofErr w:type="spellStart"/>
            <w:r>
              <w:rPr>
                <w:color w:val="000000"/>
              </w:rPr>
              <w:t>mikrouzņēmumus</w:t>
            </w:r>
            <w:proofErr w:type="spellEnd"/>
            <w:r>
              <w:rPr>
                <w:color w:val="000000"/>
              </w:rPr>
              <w:t xml:space="preserve">, pēc būtības saglabājot līdzšinējo darba attiecību modeli, bet to tikai nodokļu optimizācijas nolūkos juridiski noformējot kā pakalpojumu līgumu, uzņēmumu līgumu, darbaspēka nomu </w:t>
            </w:r>
            <w:proofErr w:type="spellStart"/>
            <w:r>
              <w:rPr>
                <w:color w:val="000000"/>
              </w:rPr>
              <w:t>u.c</w:t>
            </w:r>
            <w:proofErr w:type="spellEnd"/>
            <w:r>
              <w:rPr>
                <w:color w:val="000000"/>
              </w:rPr>
              <w:t>. Tāpēc</w:t>
            </w:r>
            <w:r w:rsidRPr="00692C36">
              <w:rPr>
                <w:color w:val="000000"/>
              </w:rPr>
              <w:t xml:space="preserve"> </w:t>
            </w:r>
            <w:r>
              <w:rPr>
                <w:color w:val="000000"/>
              </w:rPr>
              <w:t xml:space="preserve">likumā </w:t>
            </w:r>
            <w:r w:rsidRPr="00692C36">
              <w:rPr>
                <w:color w:val="000000"/>
              </w:rPr>
              <w:t xml:space="preserve">ir nosakāmi papildu ierobežojumi </w:t>
            </w:r>
            <w:r>
              <w:rPr>
                <w:color w:val="000000"/>
              </w:rPr>
              <w:t xml:space="preserve">attiecībā uz šāda veida pakalpojumu saņemšanu no </w:t>
            </w:r>
            <w:proofErr w:type="spellStart"/>
            <w:r>
              <w:rPr>
                <w:color w:val="000000"/>
              </w:rPr>
              <w:t>mikrouzņēmumiem</w:t>
            </w:r>
            <w:proofErr w:type="spellEnd"/>
            <w:r w:rsidRPr="00692C36">
              <w:rPr>
                <w:color w:val="000000"/>
              </w:rPr>
              <w:t>.</w:t>
            </w:r>
          </w:p>
          <w:p w:rsidR="00B55F79" w:rsidRPr="00645392" w:rsidRDefault="003A1F0B" w:rsidP="00280047">
            <w:pPr>
              <w:jc w:val="both"/>
              <w:rPr>
                <w:i/>
                <w:sz w:val="20"/>
                <w:szCs w:val="20"/>
                <w:u w:val="single"/>
              </w:rPr>
            </w:pPr>
            <w:r>
              <w:rPr>
                <w:i/>
                <w:sz w:val="20"/>
                <w:szCs w:val="20"/>
                <w:u w:val="single"/>
              </w:rPr>
              <w:t>Likumprojekta 13</w:t>
            </w:r>
            <w:r w:rsidR="00E13DCE" w:rsidRPr="00645392">
              <w:rPr>
                <w:i/>
                <w:sz w:val="20"/>
                <w:szCs w:val="20"/>
                <w:u w:val="single"/>
              </w:rPr>
              <w:t>.pants</w:t>
            </w:r>
            <w:r w:rsidR="00EE71FC">
              <w:rPr>
                <w:i/>
                <w:sz w:val="20"/>
                <w:szCs w:val="20"/>
                <w:u w:val="single"/>
              </w:rPr>
              <w:t xml:space="preserve"> (likuma 22.pan</w:t>
            </w:r>
            <w:r w:rsidR="004734D4">
              <w:rPr>
                <w:i/>
                <w:sz w:val="20"/>
                <w:szCs w:val="20"/>
                <w:u w:val="single"/>
              </w:rPr>
              <w:t>t</w:t>
            </w:r>
            <w:r w:rsidR="00EE71FC">
              <w:rPr>
                <w:i/>
                <w:sz w:val="20"/>
                <w:szCs w:val="20"/>
                <w:u w:val="single"/>
              </w:rPr>
              <w:t>s)</w:t>
            </w:r>
          </w:p>
          <w:p w:rsidR="000337D8" w:rsidRDefault="000337D8" w:rsidP="00280047">
            <w:pPr>
              <w:jc w:val="both"/>
            </w:pPr>
            <w:r w:rsidRPr="000337D8">
              <w:t>Valsts ieņēmumu dienestam, pildot tam normatīvajos aktos deleģētās funkcijas, ir nācies konstatēt gadījumus, kad nodokļu maksātājam, kura uzrādītie ienākumi ir mazāki par viņa izdevumiem un kuram saskaņā ar likuma „Par iedzīvotāju ienākuma nodokli” 22.pan</w:t>
            </w:r>
            <w:r w:rsidR="0088408C">
              <w:t>t</w:t>
            </w:r>
            <w:r w:rsidRPr="000337D8">
              <w:t>u tiek pieprasīts iesniegt papildu deklarāciju un gada ienākumu deklarāciju, atbilstoši minētā likuma 20.panta pirmajai daļai konkrētajā situācijā ir tiesības nesniegt gada ienākumu deklarāciju. Papildu deklarācijā ir uzrādāma pilna informācija par gūtajiem ienākumiem un ieņēmumiem, līdz ar to nav nepieciešams nodokļu maksātājam, pieprasot iesniegt papildu deklarāciju, pieprasīt iesniegt arī gada ienākumu deklarāciju. Valsts ieņēmumu dienests informē nodokļu maksātāju par pienākumu iesniegt gada ienākumu deklarāciju par attiecīgo taksācijas periodu, ja, izvērtējot papildu deklarācijā esošo informāciju, tiek konstatēts, ka gada ienākumu deklarācija bija jāiesniedz atbilstoši šā likuma normām.</w:t>
            </w:r>
          </w:p>
          <w:p w:rsidR="00683E2F" w:rsidRPr="00645392" w:rsidRDefault="00EE71FC" w:rsidP="00280047">
            <w:pPr>
              <w:jc w:val="both"/>
              <w:rPr>
                <w:i/>
                <w:sz w:val="20"/>
                <w:szCs w:val="20"/>
                <w:u w:val="single"/>
              </w:rPr>
            </w:pPr>
            <w:r>
              <w:rPr>
                <w:i/>
                <w:sz w:val="20"/>
                <w:szCs w:val="20"/>
                <w:u w:val="single"/>
              </w:rPr>
              <w:t xml:space="preserve">Likumprojekta </w:t>
            </w:r>
            <w:r w:rsidR="003A1F0B">
              <w:rPr>
                <w:i/>
                <w:sz w:val="20"/>
                <w:szCs w:val="20"/>
                <w:u w:val="single"/>
              </w:rPr>
              <w:t>17</w:t>
            </w:r>
            <w:r w:rsidR="00E13DCE" w:rsidRPr="00645392">
              <w:rPr>
                <w:i/>
                <w:sz w:val="20"/>
                <w:szCs w:val="20"/>
                <w:u w:val="single"/>
              </w:rPr>
              <w:t>.pants</w:t>
            </w:r>
            <w:r>
              <w:rPr>
                <w:i/>
                <w:sz w:val="20"/>
                <w:szCs w:val="20"/>
                <w:u w:val="single"/>
              </w:rPr>
              <w:t xml:space="preserve"> (likuma 31.</w:t>
            </w:r>
            <w:r w:rsidRPr="00EE71FC">
              <w:rPr>
                <w:i/>
                <w:sz w:val="20"/>
                <w:szCs w:val="20"/>
                <w:u w:val="single"/>
                <w:vertAlign w:val="superscript"/>
              </w:rPr>
              <w:t>2</w:t>
            </w:r>
            <w:r>
              <w:rPr>
                <w:i/>
                <w:sz w:val="20"/>
                <w:szCs w:val="20"/>
                <w:u w:val="single"/>
              </w:rPr>
              <w:t xml:space="preserve"> pants)</w:t>
            </w:r>
          </w:p>
          <w:p w:rsidR="007E42D8" w:rsidRPr="007E42D8" w:rsidRDefault="007E42D8" w:rsidP="007E42D8">
            <w:pPr>
              <w:jc w:val="both"/>
            </w:pPr>
            <w:r w:rsidRPr="007E42D8">
              <w:t xml:space="preserve">No šobrīd spēkā esošās likuma redakcijas izriet, ka nodokļu administrācijai, ja maksātāja apliekamā ienākuma summu, no kuras atbilstoši šā likuma prasībām bija aprēķināms un ieturams nodoklis, nav iespējams noteikt, ir tiesības piedzīt no darba devēja soda naudu , kas atbilst Ministru kabineta noteiktajam minimālās mēneša darba algas apmēram attiecīgajā periodā vai soda naudu, kas atbilst saskaņā ar Darba likumu noslēgtajā darba koplīgumā nozarē vai teritorijā attiecīgajam laika posmam noteiktajam minimālās darba samaksas līmenim. Minētās normas praktiskā piemērošana ir ierobežota, jo Valsts ieņēmumu dienests nodokļa audita laikā var noteikt aprēķināmo atlīdzības summu, ņemot vērā tā rīcībā esošo informāciju, bet </w:t>
            </w:r>
            <w:r w:rsidR="00622385">
              <w:t xml:space="preserve">ar </w:t>
            </w:r>
            <w:r w:rsidRPr="007E42D8">
              <w:t>nodokli neaplikto ienākumu izmaksas faktu pierādīt izdodas ļoti reti. Tādējādi šajos gadījumos minēto normu nevar piemērot. Praksē arī ir problemātiski piemērot minimālās darba samaksas apmēru, kas atbilst darba koplīgumā nozarē vai teritorijā attiecīgajam laika posmam noteiktajam.</w:t>
            </w:r>
          </w:p>
          <w:p w:rsidR="007E42D8" w:rsidRDefault="007E42D8" w:rsidP="00280047">
            <w:pPr>
              <w:jc w:val="both"/>
            </w:pPr>
            <w:r w:rsidRPr="007E42D8">
              <w:t>Vienlaikus likuma redakcijas 31.</w:t>
            </w:r>
            <w:r w:rsidRPr="007E42D8">
              <w:rPr>
                <w:vertAlign w:val="superscript"/>
              </w:rPr>
              <w:t>2</w:t>
            </w:r>
            <w:r w:rsidRPr="007E42D8">
              <w:t xml:space="preserve"> pantu nepieciešams papildināt, lai noteiktu veidu, kā piemērojamas sankcijas gadījumos, kad nodarbinātības periodu nav iespējams noteikt, un tādējādi nodrošinātu 2009.gada 18.jūnija Eiropas Parlamenta un Padomes direktīvas 2009/52/EK ar ko nosaka minimālos </w:t>
            </w:r>
            <w:r w:rsidRPr="007E42D8">
              <w:lastRenderedPageBreak/>
              <w:t>standartus sankcijām un pasākumiem pret darba devējiem, kas nodarbina trešo valstu valsts piederīgos, kuri dalībvalstīs uzturas nelikumīgi, 6.panta trešās daļas prasību, kas nosaka, ka nelikumīgas nodarbinātības gadījumā, ja nodarbinātības ilgums nav zināms, dalībvalstis pieņem, ka nodarbinātības attiecību ilgums ir vismaz trīs mēneši, ja vien darba devējs vai darbinieks nevar pierādīt pretējo. Attiecīgi grozījumi pašreiz jau ir veikti Darba likumā un likumā „Par valsts sociālo apdrošināšanu”.</w:t>
            </w:r>
          </w:p>
          <w:p w:rsidR="00D630EE" w:rsidRPr="00A1167A" w:rsidRDefault="00A1167A" w:rsidP="00280047">
            <w:pPr>
              <w:jc w:val="both"/>
              <w:rPr>
                <w:i/>
                <w:sz w:val="20"/>
                <w:szCs w:val="20"/>
                <w:u w:val="single"/>
              </w:rPr>
            </w:pPr>
            <w:r w:rsidRPr="00A1167A">
              <w:rPr>
                <w:i/>
                <w:sz w:val="20"/>
                <w:szCs w:val="20"/>
                <w:u w:val="single"/>
              </w:rPr>
              <w:t>Likumprojekta 18</w:t>
            </w:r>
            <w:r w:rsidR="00D630EE" w:rsidRPr="00A1167A">
              <w:rPr>
                <w:i/>
                <w:sz w:val="20"/>
                <w:szCs w:val="20"/>
                <w:u w:val="single"/>
              </w:rPr>
              <w:t>.pants</w:t>
            </w:r>
            <w:r w:rsidR="0092264E">
              <w:rPr>
                <w:i/>
                <w:sz w:val="20"/>
                <w:szCs w:val="20"/>
                <w:u w:val="single"/>
              </w:rPr>
              <w:t xml:space="preserve"> (likuma pārejas noteikumu 52.punkts)</w:t>
            </w:r>
          </w:p>
          <w:p w:rsidR="00D630EE" w:rsidRPr="00D630EE" w:rsidRDefault="00D630EE" w:rsidP="00280047">
            <w:pPr>
              <w:jc w:val="both"/>
            </w:pPr>
            <w:r w:rsidRPr="00D630EE">
              <w:t>Ņemot vērā ilgstošo bezdarbnieku lielo īpatsvaru un brīvo darba vietu nelielo skaitu, ar 2012. gadu plānots īstenot aktīvo nodarbinātības pasākumu „Algotie pagaidu sabiedriskie darbi „ (turpmāk -</w:t>
            </w:r>
            <w:r w:rsidR="00622385" w:rsidRPr="00D630EE">
              <w:t>A</w:t>
            </w:r>
            <w:r w:rsidR="00622385">
              <w:t>PS</w:t>
            </w:r>
            <w:r w:rsidR="00622385" w:rsidRPr="00D630EE">
              <w:t>D</w:t>
            </w:r>
            <w:r w:rsidRPr="00D630EE">
              <w:t>). Šobrīd algotu pagaidu darbu regulējums ir ietverts Ministru kabineta 2011. gada 25. janvāra noteikumu Nr. 75 „Noteikumi par aktīvo nodarbinātības pasākumu un preventīvo bezdarba samazināšanas pasākumu organizēšanas un finansēšanas kārtību un pasākumu īstenotāju izvēles principiem” 3.4.1. apakšnodaļā „Algoti pagaidu darbi”. Ņemot vērā to, ka šobrīd spēkā esošais regulējums ir nepilnīgs un tas neatbilst informatīvajā ziņojumā „Par algoto pagaidu sabiedrisko darbu atsākšanu 2012. gadā” apstiprinātajiem APSD ieviešanas nosacījumiem, normatīvo regulējumu nepieciešams precizēt.</w:t>
            </w:r>
          </w:p>
          <w:p w:rsidR="00031F99" w:rsidRPr="00A1167A" w:rsidRDefault="0092264E" w:rsidP="00280047">
            <w:pPr>
              <w:jc w:val="both"/>
              <w:rPr>
                <w:i/>
                <w:sz w:val="20"/>
                <w:u w:val="single"/>
              </w:rPr>
            </w:pPr>
            <w:r>
              <w:rPr>
                <w:i/>
                <w:sz w:val="20"/>
                <w:u w:val="single"/>
              </w:rPr>
              <w:t>Likumprojekta 18</w:t>
            </w:r>
            <w:r w:rsidR="00031F99" w:rsidRPr="00A1167A">
              <w:rPr>
                <w:i/>
                <w:sz w:val="20"/>
                <w:u w:val="single"/>
              </w:rPr>
              <w:t>.pants (likuma pārejas noteikumu 84.punkts)</w:t>
            </w:r>
          </w:p>
          <w:p w:rsidR="00031F99" w:rsidRPr="00353A9E" w:rsidRDefault="00031F99" w:rsidP="00031F99">
            <w:pPr>
              <w:jc w:val="both"/>
            </w:pPr>
            <w:r>
              <w:t xml:space="preserve">Atbilstoši likuma 2011.gada 22.septembra grozījumiem, kas stājās spēkā 2011.gada 19.oktobrī maksātājiem jāreģistrējas Valsts ieņēmumu dienestā jau pirms saimnieciskās darbības uzsākšanas. Tomēr praksē līdz šim ļoti bieži bija sastopami gadījumi, kad maksātāji slēdza uzņēmuma līgumus, nereģistrēja saimniecisko darbību, bet ienākuma izmaksātājs nodokli </w:t>
            </w:r>
            <w:r w:rsidR="0004541B">
              <w:t xml:space="preserve">atbilstoši likumam </w:t>
            </w:r>
            <w:r>
              <w:t xml:space="preserve">ieturēja izmaksas vietā </w:t>
            </w:r>
            <w:r w:rsidR="0004541B">
              <w:t xml:space="preserve">(arī atbilstoši likumam „Par valsts sociālo apdrošināšanu” šādi maksātāji tika pielīdzināti darba ņēmējiem). Ņemot vērā, ka bieži šie maksātāji slēdz tikai vienu uzņēmuma līgumu, bet citādi sistemātisku saimniecisko darbību nebeidz, nav mērķtiecīga visu minēto maksātāju tūlītēja pārreģistrācija par saimnieciskās darbības veicējiem. Tas radītu papildu slogu gan maksātājiem, gan nodokļu administrācijai.  </w:t>
            </w:r>
          </w:p>
        </w:tc>
      </w:tr>
      <w:tr w:rsidR="007F44A0" w:rsidRPr="00353A9E" w:rsidTr="003034C2">
        <w:trPr>
          <w:trHeight w:val="547"/>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lastRenderedPageBreak/>
              <w:t> 3.</w:t>
            </w:r>
          </w:p>
        </w:tc>
        <w:tc>
          <w:tcPr>
            <w:tcW w:w="2323"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Saistītie politikas ietekmes novērtējumi un pētījumi</w:t>
            </w:r>
          </w:p>
        </w:tc>
        <w:tc>
          <w:tcPr>
            <w:tcW w:w="6251" w:type="dxa"/>
            <w:tcBorders>
              <w:top w:val="outset" w:sz="6" w:space="0" w:color="auto"/>
              <w:left w:val="outset" w:sz="6" w:space="0" w:color="auto"/>
              <w:bottom w:val="outset" w:sz="6" w:space="0" w:color="auto"/>
              <w:right w:val="outset" w:sz="6" w:space="0" w:color="auto"/>
            </w:tcBorders>
            <w:hideMark/>
          </w:tcPr>
          <w:p w:rsidR="00353A9E" w:rsidRPr="00353A9E" w:rsidRDefault="00C56720" w:rsidP="00791766">
            <w:r>
              <w:t>Nav attiecināms.</w:t>
            </w:r>
          </w:p>
        </w:tc>
      </w:tr>
      <w:tr w:rsidR="007F44A0" w:rsidRPr="00353A9E" w:rsidTr="003034C2">
        <w:trPr>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4.</w:t>
            </w:r>
          </w:p>
        </w:tc>
        <w:tc>
          <w:tcPr>
            <w:tcW w:w="2323"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mērķis un būtība</w:t>
            </w:r>
          </w:p>
        </w:tc>
        <w:tc>
          <w:tcPr>
            <w:tcW w:w="6251" w:type="dxa"/>
            <w:tcBorders>
              <w:top w:val="outset" w:sz="6" w:space="0" w:color="auto"/>
              <w:left w:val="outset" w:sz="6" w:space="0" w:color="auto"/>
              <w:bottom w:val="outset" w:sz="6" w:space="0" w:color="auto"/>
              <w:right w:val="outset" w:sz="6" w:space="0" w:color="auto"/>
            </w:tcBorders>
            <w:hideMark/>
          </w:tcPr>
          <w:p w:rsidR="00645392" w:rsidRPr="0086521B" w:rsidRDefault="00EE71FC" w:rsidP="00645392">
            <w:pPr>
              <w:jc w:val="both"/>
              <w:rPr>
                <w:i/>
                <w:sz w:val="20"/>
                <w:szCs w:val="20"/>
                <w:u w:val="single"/>
              </w:rPr>
            </w:pPr>
            <w:r>
              <w:rPr>
                <w:i/>
                <w:sz w:val="20"/>
                <w:szCs w:val="20"/>
                <w:u w:val="single"/>
              </w:rPr>
              <w:t xml:space="preserve">Likumprojekta </w:t>
            </w:r>
            <w:r w:rsidR="00645392" w:rsidRPr="0086521B">
              <w:rPr>
                <w:i/>
                <w:sz w:val="20"/>
                <w:szCs w:val="20"/>
                <w:u w:val="single"/>
              </w:rPr>
              <w:t>1.pants (attiecībā uz</w:t>
            </w:r>
            <w:r>
              <w:rPr>
                <w:i/>
                <w:sz w:val="20"/>
                <w:szCs w:val="20"/>
                <w:u w:val="single"/>
              </w:rPr>
              <w:t xml:space="preserve"> likuma</w:t>
            </w:r>
            <w:r w:rsidR="00645392" w:rsidRPr="0086521B">
              <w:rPr>
                <w:i/>
                <w:sz w:val="20"/>
                <w:szCs w:val="20"/>
                <w:u w:val="single"/>
              </w:rPr>
              <w:t xml:space="preserve"> 9.panta pirmās daļas 7.punktu)</w:t>
            </w:r>
          </w:p>
          <w:p w:rsidR="00C26B2B" w:rsidRDefault="00C26B2B" w:rsidP="00C26B2B">
            <w:pPr>
              <w:jc w:val="both"/>
            </w:pPr>
            <w:r w:rsidRPr="00C26B2B">
              <w:t>Likuma grozījumu mērķis ir precizēt likuma normas, skaidri formulējot atbrīvojumu no aplikšanas ar iedzīvotāju ienākuma nodokli arī citās Eiropas Savienības un Eiropas Ekonomikas zonas valstīs saņemtos, no šo valstu budžeta izmaksātos pabalstus. Tādējādi tiek novērsta iespējamā atšķirīgā attieksme pret pabalstiem, kas izmaksāti no Latvijas budžeta un citu Eiropas Savienības dalībvalstu vai Eiropas Ekonomikas zonas valstu budžetiem.</w:t>
            </w:r>
          </w:p>
          <w:p w:rsidR="00645392" w:rsidRPr="0086521B" w:rsidRDefault="00EE71FC" w:rsidP="00645392">
            <w:pPr>
              <w:jc w:val="both"/>
              <w:rPr>
                <w:i/>
                <w:sz w:val="20"/>
                <w:szCs w:val="20"/>
                <w:u w:val="single"/>
              </w:rPr>
            </w:pPr>
            <w:r>
              <w:rPr>
                <w:i/>
                <w:sz w:val="20"/>
                <w:szCs w:val="20"/>
                <w:u w:val="single"/>
              </w:rPr>
              <w:t xml:space="preserve">Likumprojekta </w:t>
            </w:r>
            <w:r w:rsidR="00645392" w:rsidRPr="0086521B">
              <w:rPr>
                <w:i/>
                <w:sz w:val="20"/>
                <w:szCs w:val="20"/>
                <w:u w:val="single"/>
              </w:rPr>
              <w:t xml:space="preserve">1.pants (attiecībā uz </w:t>
            </w:r>
            <w:r>
              <w:rPr>
                <w:i/>
                <w:sz w:val="20"/>
                <w:szCs w:val="20"/>
                <w:u w:val="single"/>
              </w:rPr>
              <w:t xml:space="preserve">likuma </w:t>
            </w:r>
            <w:r w:rsidR="00645392" w:rsidRPr="0086521B">
              <w:rPr>
                <w:i/>
                <w:sz w:val="20"/>
                <w:szCs w:val="20"/>
                <w:u w:val="single"/>
              </w:rPr>
              <w:t>9.panta pirmās daļas 34.</w:t>
            </w:r>
            <w:r w:rsidR="00645392" w:rsidRPr="0086521B">
              <w:rPr>
                <w:i/>
                <w:sz w:val="20"/>
                <w:szCs w:val="20"/>
                <w:u w:val="single"/>
                <w:vertAlign w:val="superscript"/>
              </w:rPr>
              <w:t>1</w:t>
            </w:r>
            <w:r w:rsidR="00645392" w:rsidRPr="0086521B">
              <w:rPr>
                <w:i/>
                <w:sz w:val="20"/>
                <w:szCs w:val="20"/>
                <w:u w:val="single"/>
              </w:rPr>
              <w:t xml:space="preserve"> punktu)</w:t>
            </w:r>
          </w:p>
          <w:p w:rsidR="00C26B2B" w:rsidRPr="00C26B2B" w:rsidRDefault="00C26B2B" w:rsidP="00C26B2B">
            <w:pPr>
              <w:jc w:val="both"/>
            </w:pPr>
            <w:r w:rsidRPr="00C26B2B">
              <w:t xml:space="preserve">Veicot minētos grozījumus likumā „Par iedzīvotāju ienākuma nodokli”, tiks nodrošināts, ka nekustamā īpašuma bijušā </w:t>
            </w:r>
            <w:r w:rsidRPr="00C26B2B">
              <w:lastRenderedPageBreak/>
              <w:t>īpašnieka saņemtais atlīdzības apjoms ir līdzvērtīgs iepriekšējam mantiskajam stāvoklim, un tas par gūto atlīdzību, ja nekustamais īpašums atsavināts sabiedrības vajadzībām, varēs iegādāties līdzvērtīgu nekustamo īpašumu. Likuma grozījumi paredz, ka atlīdzība, kas saņemta par sabiedrības vajadzībām nepieciešama nekustamā īpašuma atsavināšanu, ir ar nodokli neapliekams ienākums, ja tiek izpildīts nosacījums, ka šis ienākums pēc atsavināšanas 12 mēnešu laikā tiek izmantots funkcionāli līdzīga nekustamā īpašuma iegādei.</w:t>
            </w:r>
          </w:p>
          <w:p w:rsidR="00C26B2B" w:rsidRDefault="00C26B2B" w:rsidP="00C26B2B">
            <w:pPr>
              <w:jc w:val="both"/>
            </w:pPr>
            <w:r w:rsidRPr="00C26B2B">
              <w:t>Likumprojekts arī skaidri nosaka, ka, ja sabiedrības vajadzībām nepieciešams nekustamais īpašums tiek kompensēts ar līdzvērtīgu nekustamo īpašumu, par nekustamā īpašuma iegādes dienu uzskatāma saskaņā ar Sabiedrības vajadzībām nepieciešamā nekustamā īpašuma atsavināšanas likumu atsavinātā nekustamā īpašuma iegādes diena. Tādējādi maksātājs, atsavinot jau kompensācijas ceļā iegūto nekustamo īpašumu, var pilnvērtīgi izmantot likuma 9.panta pirmās daļas 33.punktā noteikto atbrīvojumu, ja tiek izpildīti minētajā punktā noteiktie kritēriji.</w:t>
            </w:r>
          </w:p>
          <w:p w:rsidR="00E90C77" w:rsidRDefault="00031F99" w:rsidP="006D47C1">
            <w:pPr>
              <w:jc w:val="both"/>
              <w:rPr>
                <w:i/>
                <w:sz w:val="20"/>
                <w:szCs w:val="20"/>
                <w:u w:val="single"/>
              </w:rPr>
            </w:pPr>
            <w:r>
              <w:rPr>
                <w:i/>
                <w:sz w:val="20"/>
                <w:szCs w:val="20"/>
                <w:u w:val="single"/>
              </w:rPr>
              <w:t xml:space="preserve">Likumprojekta </w:t>
            </w:r>
            <w:r w:rsidRPr="00645392">
              <w:rPr>
                <w:i/>
                <w:sz w:val="20"/>
                <w:szCs w:val="20"/>
                <w:u w:val="single"/>
              </w:rPr>
              <w:t>2., 7., 8., 9., 1</w:t>
            </w:r>
            <w:r w:rsidR="00C30474">
              <w:rPr>
                <w:i/>
                <w:sz w:val="20"/>
                <w:szCs w:val="20"/>
                <w:u w:val="single"/>
              </w:rPr>
              <w:t>6</w:t>
            </w:r>
            <w:r w:rsidRPr="00645392">
              <w:rPr>
                <w:i/>
                <w:sz w:val="20"/>
                <w:szCs w:val="20"/>
                <w:u w:val="single"/>
              </w:rPr>
              <w:t xml:space="preserve">. un </w:t>
            </w:r>
            <w:r w:rsidR="003A1F0B">
              <w:rPr>
                <w:i/>
                <w:sz w:val="20"/>
                <w:szCs w:val="20"/>
                <w:u w:val="single"/>
              </w:rPr>
              <w:t>18</w:t>
            </w:r>
            <w:r w:rsidRPr="00645392">
              <w:rPr>
                <w:i/>
                <w:sz w:val="20"/>
                <w:szCs w:val="20"/>
                <w:u w:val="single"/>
              </w:rPr>
              <w:t>.pants</w:t>
            </w:r>
            <w:r>
              <w:rPr>
                <w:i/>
                <w:sz w:val="20"/>
                <w:szCs w:val="20"/>
                <w:u w:val="single"/>
              </w:rPr>
              <w:t xml:space="preserve"> (attiecībā uz likuma 10.panta septīto un astoto daļu, 11.</w:t>
            </w:r>
            <w:r w:rsidR="004734D4">
              <w:rPr>
                <w:i/>
                <w:sz w:val="20"/>
                <w:szCs w:val="20"/>
                <w:u w:val="single"/>
                <w:vertAlign w:val="superscript"/>
              </w:rPr>
              <w:t>9</w:t>
            </w:r>
            <w:r>
              <w:rPr>
                <w:i/>
                <w:sz w:val="20"/>
                <w:szCs w:val="20"/>
                <w:u w:val="single"/>
              </w:rPr>
              <w:t>panta trīspadsmito, četrpadsmito, piecpadsmito, sešpadsmito un septiņpadsmito daļu, 15.panta 3.</w:t>
            </w:r>
            <w:r w:rsidRPr="00BB1055">
              <w:rPr>
                <w:i/>
                <w:sz w:val="20"/>
                <w:szCs w:val="20"/>
                <w:u w:val="single"/>
                <w:vertAlign w:val="superscript"/>
              </w:rPr>
              <w:t>2</w:t>
            </w:r>
            <w:r>
              <w:rPr>
                <w:i/>
                <w:sz w:val="20"/>
                <w:szCs w:val="20"/>
                <w:u w:val="single"/>
              </w:rPr>
              <w:t xml:space="preserve"> daļu, 16.</w:t>
            </w:r>
            <w:r w:rsidRPr="00BB1055">
              <w:rPr>
                <w:i/>
                <w:sz w:val="20"/>
                <w:szCs w:val="20"/>
                <w:u w:val="single"/>
                <w:vertAlign w:val="superscript"/>
              </w:rPr>
              <w:t>1</w:t>
            </w:r>
            <w:r>
              <w:rPr>
                <w:i/>
                <w:sz w:val="20"/>
                <w:szCs w:val="20"/>
                <w:u w:val="single"/>
              </w:rPr>
              <w:t xml:space="preserve"> panta 3.</w:t>
            </w:r>
            <w:r w:rsidRPr="00BB1055">
              <w:rPr>
                <w:i/>
                <w:sz w:val="20"/>
                <w:szCs w:val="20"/>
                <w:u w:val="single"/>
                <w:vertAlign w:val="superscript"/>
              </w:rPr>
              <w:t xml:space="preserve">2 </w:t>
            </w:r>
            <w:r>
              <w:rPr>
                <w:i/>
                <w:sz w:val="20"/>
                <w:szCs w:val="20"/>
                <w:u w:val="single"/>
              </w:rPr>
              <w:t>un 3.</w:t>
            </w:r>
            <w:r>
              <w:rPr>
                <w:i/>
                <w:sz w:val="20"/>
                <w:szCs w:val="20"/>
                <w:u w:val="single"/>
                <w:vertAlign w:val="superscript"/>
              </w:rPr>
              <w:t>2</w:t>
            </w:r>
            <w:r>
              <w:rPr>
                <w:i/>
                <w:sz w:val="20"/>
                <w:szCs w:val="20"/>
                <w:u w:val="single"/>
              </w:rPr>
              <w:t>daļu, 28.panta 12.punktu un pārejas noteikumu</w:t>
            </w:r>
            <w:r w:rsidR="00C044DE">
              <w:rPr>
                <w:i/>
                <w:sz w:val="20"/>
                <w:szCs w:val="20"/>
                <w:u w:val="single"/>
              </w:rPr>
              <w:t xml:space="preserve"> </w:t>
            </w:r>
            <w:r>
              <w:rPr>
                <w:i/>
                <w:sz w:val="20"/>
                <w:szCs w:val="20"/>
                <w:u w:val="single"/>
              </w:rPr>
              <w:t>85.</w:t>
            </w:r>
            <w:r w:rsidDel="005846AB">
              <w:rPr>
                <w:i/>
                <w:sz w:val="20"/>
                <w:szCs w:val="20"/>
                <w:u w:val="single"/>
              </w:rPr>
              <w:t xml:space="preserve"> </w:t>
            </w:r>
            <w:r>
              <w:rPr>
                <w:i/>
                <w:sz w:val="20"/>
                <w:szCs w:val="20"/>
                <w:u w:val="single"/>
              </w:rPr>
              <w:t>punktu)</w:t>
            </w:r>
          </w:p>
          <w:p w:rsidR="006D47C1" w:rsidRPr="006D47C1" w:rsidRDefault="006D47C1" w:rsidP="006D47C1">
            <w:pPr>
              <w:jc w:val="both"/>
            </w:pPr>
            <w:r w:rsidRPr="006D47C1">
              <w:t>Lai nodrošinātu vienveidīgu pieeju, likuma grozījumi paredz, ka apdrošināšanas atlīdzību, kas izmaksāta saskaņā ar dzīvības apdrošināšanas līgumu (ar līdzekļu uzkrāšanu), kuru apdrošinātā interesēs noslēdzis darba devējs (vai cita juridiska persona), pienākot apdrošināšanas līgumā paredzētajam beigu termiņam vai laužot līgumu pirms termiņa, dala divās daļās, no kurām viena daļa darba devēja veikto apdrošināšanas prēmiju maksājumu apmērā ir algas nodokļa objekts, bet otra daļa, apdrošināšanas atlīdzības daļa, kas pārsniedz darba devēja veikto apdrošināšanas prēmiju maksājumu apmēru, - kapitāla ienākums.</w:t>
            </w:r>
          </w:p>
          <w:p w:rsidR="006D47C1" w:rsidRPr="006D47C1" w:rsidRDefault="006D47C1" w:rsidP="006D47C1">
            <w:pPr>
              <w:jc w:val="both"/>
            </w:pPr>
            <w:r w:rsidRPr="006D47C1">
              <w:t xml:space="preserve">Likuma grozījumi paredz sīkāk atrunāt kārtību, kādā apliekamais ienākums gadījumā, ja ir noslēgts dzīvības apdrošināšanas līgums (ar līdzekļu uzkrāšanu), kas paredz daļēju uzkrājumu izmaksu. Paredzēts, ka šajā gadījumā apliekamo ienākumu noteiks kā pozitīvu starpību starp summu, kuru veido kārtējā daļēja uzkrājuma izmaksa un visas iepriekš, līguma darbības laikā veiktās daļēja uzkrājuma izmaksas, un visu attiecīgā apdrošināšanas līguma laikā iemaksāto apdrošināšanas prēmiju summu. Iegūto rezultātu samaina par iepriekšējās daļēju uzkrājuma izmaksu reizēs aprēķināto apliekamo ienākumu no attiecīgā apdrošināšanas līguma. Tādējādi tiek nodrošināts, ka brīdī, kad uzkrājuma izmaksas pārsniedz apdrošināšanas prēmiju maksājumus, tiek samaksāts nodoklis. Vienlaikus tiek nodrošināts, ka no taksācijas perioda apliekamā ienākuma aprēķinu ceļā izslēdz iepriekšējos taksācijas periodos jau ar nodokli apliktās uzkrājuma izmaksas. Tā kā normatīvajos aktos nav skaidrots termins „daļēja uzkrājuma izmaksa”, likumā definēts arī šis termins. Likuma </w:t>
            </w:r>
            <w:r w:rsidRPr="006D47C1">
              <w:lastRenderedPageBreak/>
              <w:t>pārejas noteikumos arī iestrādāts mehānisms, lai gadījumos, ja minētie dzīvības apdrošināšanas līgumi noslēgti līdz 2009.gada 31.decembrim, no apliekamā ienākuma nodalītu ienākumu, kas radies līdz šim datumam, jo pirms tam šis ienākums nebija ar nodokli apliekams.</w:t>
            </w:r>
          </w:p>
          <w:p w:rsidR="006D47C1" w:rsidRPr="006D47C1" w:rsidRDefault="006D47C1" w:rsidP="006D47C1">
            <w:pPr>
              <w:jc w:val="both"/>
            </w:pPr>
            <w:r w:rsidRPr="006D47C1">
              <w:t>Likuma grozījumi paredz, ka apdrošināšanas līgumiem (ar līdzekļu uzkrāšanu), kuri paredz daļēju uzkrājuma izmaksu, un atbilst likumā noteiktajiem kritērijiem, attaisnotie izdevumi tiek piemēroti tikai līdz taksācijas periodam, kurā notiek daļēja uzkrājuma izmaksa. Ja tiek veikta daļēja uzkrājuma izmaksa, apdrošināšanas prēmiju maksājumiem saskaņā ar minēto līgumu vairs netiek piemēroti attaisnotie izdevumi. Turklāt, ja daļējā uzkrājumu izmaksa notiek pirms likumā noteiktā piecu gadu termiņa notecēšanas, maksātājs zaudē tiesības arī uz attaisnotajiem izdevumiem, kas piemēroti pirms taksācijas perioda, kad veikta daļējā uzkrājuma izmaksa. Šajā gadījumā maksātājam par taksācijas gadu, kurā notiek daļēja uzkrājuma izmaksa, jāiesniedz Valsts ieņēmumu dienestam gada ienākumu deklarācija un jāpalielina taksācijas gada ar nodokli apliekamais ienākums par iepriekšējos taksācijas gados attaisnotajos izdevumos iekļautajiem apdrošināšanas prēmiju maksājumiem.</w:t>
            </w:r>
          </w:p>
          <w:p w:rsidR="00031F99" w:rsidRPr="0086521B" w:rsidRDefault="00031F99" w:rsidP="00031F99">
            <w:pPr>
              <w:jc w:val="both"/>
              <w:rPr>
                <w:i/>
                <w:sz w:val="20"/>
                <w:szCs w:val="20"/>
                <w:u w:val="single"/>
              </w:rPr>
            </w:pPr>
            <w:r>
              <w:rPr>
                <w:i/>
                <w:sz w:val="20"/>
                <w:szCs w:val="20"/>
                <w:u w:val="single"/>
              </w:rPr>
              <w:t xml:space="preserve">Likumprojekta </w:t>
            </w:r>
            <w:r w:rsidRPr="0086521B">
              <w:rPr>
                <w:i/>
                <w:sz w:val="20"/>
                <w:szCs w:val="20"/>
                <w:u w:val="single"/>
              </w:rPr>
              <w:t xml:space="preserve">3. un 8.pants (attiecībā uz </w:t>
            </w:r>
            <w:r>
              <w:rPr>
                <w:i/>
                <w:sz w:val="20"/>
                <w:szCs w:val="20"/>
                <w:u w:val="single"/>
              </w:rPr>
              <w:t xml:space="preserve">likuma 11.panta divpadsmito daļu un </w:t>
            </w:r>
            <w:r w:rsidRPr="0086521B">
              <w:rPr>
                <w:i/>
                <w:sz w:val="20"/>
                <w:szCs w:val="20"/>
                <w:u w:val="single"/>
              </w:rPr>
              <w:t>15.panta septīto daļu)</w:t>
            </w:r>
          </w:p>
          <w:p w:rsidR="003D4145" w:rsidRDefault="003D4145" w:rsidP="003D4145">
            <w:pPr>
              <w:jc w:val="both"/>
            </w:pPr>
            <w:r w:rsidRPr="003D4145">
              <w:t xml:space="preserve">Lai novērstu, ka pēc sava rakstura līdzīgam ienākumam (ienākumam no kapitāla un ienākumam no īpašuma) tiek piemērots atšķirīgs nodokļa režīms, likuma grozījumi paredz, ka ienākums no īpašuma tiek pielīdzināts ienākumam no kapitāla, un arī aplikts pēc 10% likmes. </w:t>
            </w:r>
          </w:p>
          <w:p w:rsidR="00645392" w:rsidRPr="002361D3" w:rsidRDefault="005846AB" w:rsidP="00645392">
            <w:pPr>
              <w:jc w:val="both"/>
              <w:rPr>
                <w:i/>
                <w:sz w:val="20"/>
                <w:szCs w:val="20"/>
                <w:u w:val="single"/>
              </w:rPr>
            </w:pPr>
            <w:r>
              <w:rPr>
                <w:i/>
                <w:sz w:val="20"/>
                <w:szCs w:val="20"/>
                <w:u w:val="single"/>
              </w:rPr>
              <w:t xml:space="preserve">Likumprojekta </w:t>
            </w:r>
            <w:r w:rsidR="00645392" w:rsidRPr="002361D3">
              <w:rPr>
                <w:i/>
                <w:sz w:val="20"/>
                <w:szCs w:val="20"/>
                <w:u w:val="single"/>
              </w:rPr>
              <w:t xml:space="preserve">3.pants (attiecībā uz </w:t>
            </w:r>
            <w:r>
              <w:rPr>
                <w:i/>
                <w:sz w:val="20"/>
                <w:szCs w:val="20"/>
                <w:u w:val="single"/>
              </w:rPr>
              <w:t xml:space="preserve">likuma </w:t>
            </w:r>
            <w:r w:rsidR="00645392" w:rsidRPr="002361D3">
              <w:rPr>
                <w:i/>
                <w:sz w:val="20"/>
                <w:szCs w:val="20"/>
                <w:u w:val="single"/>
              </w:rPr>
              <w:t>11.panta septiņpadsmito daļu)</w:t>
            </w:r>
          </w:p>
          <w:p w:rsidR="00EC226B" w:rsidRDefault="00EC226B" w:rsidP="003D4145">
            <w:pPr>
              <w:jc w:val="both"/>
            </w:pPr>
            <w:r w:rsidRPr="00EC226B">
              <w:t xml:space="preserve">Lai novērstu situāciju, ka avansā saņemtie maksājumi tiek aplikti ar nodokli un maksātāju rīcībā nepaliek plānotais līdzekļu apjoms izdevumu segšanai, likuma grozījumi paredz jau pastāvīgas normas veidā iestrādāt regulējumu, ka vienotā </w:t>
            </w:r>
            <w:proofErr w:type="spellStart"/>
            <w:r w:rsidRPr="00EC226B">
              <w:t>platībmaksājuma</w:t>
            </w:r>
            <w:proofErr w:type="spellEnd"/>
            <w:r w:rsidRPr="00EC226B">
              <w:t xml:space="preserve">, papildu valsts tiešo maksājumu un </w:t>
            </w:r>
            <w:proofErr w:type="spellStart"/>
            <w:r w:rsidRPr="00EC226B">
              <w:t>agrovides</w:t>
            </w:r>
            <w:proofErr w:type="spellEnd"/>
            <w:r w:rsidRPr="00EC226B">
              <w:t xml:space="preserve"> maksājumu avansus, kas atbilstoši atbalsta nosacījumiem piešķirti, lai kompensētu izdevumus, kas maksātājam faktiski radīsies Vienotā </w:t>
            </w:r>
            <w:proofErr w:type="spellStart"/>
            <w:r w:rsidRPr="00EC226B">
              <w:t>platībmaksājuma</w:t>
            </w:r>
            <w:proofErr w:type="spellEnd"/>
            <w:r w:rsidRPr="00EC226B">
              <w:t xml:space="preserve"> un Eiropas lauksaimniecības fonda lauku attīstībai </w:t>
            </w:r>
            <w:proofErr w:type="spellStart"/>
            <w:r w:rsidRPr="00EC226B">
              <w:t>Agrovides</w:t>
            </w:r>
            <w:proofErr w:type="spellEnd"/>
            <w:r w:rsidRPr="00EC226B">
              <w:t xml:space="preserve"> maksājumu administrēšanai un izmaksai saimnieciskajā gadā, kas sākas taksācijas gada 1.jūlijā un beidzas pēctaksācijas gada 30.jūnijā, maksātājs iekļauj pēctaksācijas gada saimnieciskās darbības ienākumos. </w:t>
            </w:r>
          </w:p>
          <w:p w:rsidR="00E90C77" w:rsidRDefault="00031F99" w:rsidP="003D4145">
            <w:pPr>
              <w:jc w:val="both"/>
              <w:rPr>
                <w:i/>
                <w:sz w:val="20"/>
                <w:szCs w:val="20"/>
                <w:u w:val="single"/>
              </w:rPr>
            </w:pPr>
            <w:r>
              <w:rPr>
                <w:i/>
                <w:sz w:val="20"/>
                <w:szCs w:val="20"/>
                <w:u w:val="single"/>
              </w:rPr>
              <w:t xml:space="preserve">Likumprojekta </w:t>
            </w:r>
            <w:r w:rsidRPr="00F33992">
              <w:rPr>
                <w:i/>
                <w:sz w:val="20"/>
                <w:szCs w:val="20"/>
                <w:u w:val="single"/>
              </w:rPr>
              <w:t xml:space="preserve">4. un </w:t>
            </w:r>
            <w:r w:rsidR="001E626A">
              <w:rPr>
                <w:i/>
                <w:sz w:val="20"/>
                <w:szCs w:val="20"/>
                <w:u w:val="single"/>
              </w:rPr>
              <w:t>18</w:t>
            </w:r>
            <w:r w:rsidRPr="00F33992">
              <w:rPr>
                <w:i/>
                <w:sz w:val="20"/>
                <w:szCs w:val="20"/>
                <w:u w:val="single"/>
              </w:rPr>
              <w:t xml:space="preserve">.pants (attiecībā uz </w:t>
            </w:r>
            <w:r>
              <w:rPr>
                <w:i/>
                <w:sz w:val="20"/>
                <w:szCs w:val="20"/>
                <w:u w:val="single"/>
              </w:rPr>
              <w:t>likuma 11.</w:t>
            </w:r>
            <w:r w:rsidRPr="00BB1055">
              <w:rPr>
                <w:i/>
                <w:sz w:val="20"/>
                <w:szCs w:val="20"/>
                <w:u w:val="single"/>
                <w:vertAlign w:val="superscript"/>
              </w:rPr>
              <w:t>3</w:t>
            </w:r>
            <w:r>
              <w:rPr>
                <w:i/>
                <w:sz w:val="20"/>
                <w:szCs w:val="20"/>
                <w:u w:val="single"/>
              </w:rPr>
              <w:t xml:space="preserve"> pantu un </w:t>
            </w:r>
            <w:r w:rsidRPr="00F33992">
              <w:rPr>
                <w:i/>
                <w:sz w:val="20"/>
                <w:szCs w:val="20"/>
                <w:u w:val="single"/>
              </w:rPr>
              <w:t xml:space="preserve">pārejas noteikumu </w:t>
            </w:r>
            <w:r>
              <w:rPr>
                <w:i/>
                <w:sz w:val="20"/>
                <w:szCs w:val="20"/>
                <w:u w:val="single"/>
              </w:rPr>
              <w:t>86</w:t>
            </w:r>
            <w:r w:rsidRPr="00F33992">
              <w:rPr>
                <w:i/>
                <w:sz w:val="20"/>
                <w:szCs w:val="20"/>
                <w:u w:val="single"/>
              </w:rPr>
              <w:t>.punktu)</w:t>
            </w:r>
          </w:p>
          <w:p w:rsidR="00A67F31" w:rsidRDefault="00902709" w:rsidP="003D4145">
            <w:pPr>
              <w:jc w:val="both"/>
            </w:pPr>
            <w:r w:rsidRPr="00902709">
              <w:t xml:space="preserve">Lai saskaņotu likuma normas ar jauno Maksātnespējas likumu, grozījumi paredz, ka tad, ja debitors ir juridiska persona, zaudētos parādus, izpildoties citiem likuma nosacījumiem, varēs norakstīt tikai tad, </w:t>
            </w:r>
            <w:r w:rsidR="005036FC" w:rsidRPr="00902709">
              <w:t>ka</w:t>
            </w:r>
            <w:r w:rsidR="005036FC">
              <w:t>d</w:t>
            </w:r>
            <w:r w:rsidR="005036FC" w:rsidRPr="00902709">
              <w:t xml:space="preserve"> </w:t>
            </w:r>
            <w:r w:rsidRPr="00902709">
              <w:t xml:space="preserve">maksātnespējas process tiks pabeigts un par to būs pieņemts tiesas nolēmums. Likumprojekta pārejas noteikumos arī ietverta norma, kas paredz attiecībā uz zaudēto parādu summām, kurām debitoru maksātnespējas process ir pasludināts līdz 2010.gada 31.oktobrim, tiek piemērota vecā kārtība – </w:t>
            </w:r>
            <w:proofErr w:type="spellStart"/>
            <w:r w:rsidRPr="00902709">
              <w:t>t.i</w:t>
            </w:r>
            <w:proofErr w:type="spellEnd"/>
            <w:r w:rsidRPr="00902709">
              <w:t xml:space="preserve">. likuma normas, kas bija spēkā līdz grozījumu </w:t>
            </w:r>
            <w:r w:rsidRPr="00902709">
              <w:lastRenderedPageBreak/>
              <w:t>izdarīšanai likumā. Tādējādi maksātājiem tiek saglabāta priekšrocība attiecībā uz zaudētajiem parādiem no debitoriem – juridiskām personām, kurām uzsākta bankrota procedūra, piemērot kārtību, ka pusi zaudētā parāda var norakstīt ātrāk – jau uzsākot bankrota procedūru.</w:t>
            </w:r>
            <w:r w:rsidR="00A67F31">
              <w:t xml:space="preserve"> Savukārt attiecībā uz zaudētajiem parādiem, ja debitors ir fiziska </w:t>
            </w:r>
            <w:r w:rsidR="00C044DE">
              <w:t>persona</w:t>
            </w:r>
            <w:r w:rsidR="00A67F31">
              <w:t xml:space="preserve">, likumprojekts paredz, ka šos parādus maksātājs varēs norakstīt pēc debitora bankrota procedūras pabeigšanas. </w:t>
            </w:r>
          </w:p>
          <w:p w:rsidR="00A67F31" w:rsidRDefault="00A67F31" w:rsidP="00A67F31">
            <w:pPr>
              <w:jc w:val="both"/>
            </w:pPr>
            <w:r>
              <w:t>Likumprojekts arī paredz, ja maksātnespējas procesa ietvaros debitoram piemēro tiesiskās aizsardzības procesu un tiesiskās aizsardzības pasākumu plānā, kuru apstiprinājusi tiesa, tiek paredzēta debitora parāda dzēšana, par šo summu atļauts samazināt maksātāja apliekamo ienākumu.</w:t>
            </w:r>
          </w:p>
          <w:p w:rsidR="00645392" w:rsidRPr="00645392" w:rsidRDefault="005846AB" w:rsidP="00645392">
            <w:pPr>
              <w:jc w:val="both"/>
              <w:rPr>
                <w:i/>
                <w:sz w:val="20"/>
                <w:szCs w:val="20"/>
                <w:u w:val="single"/>
              </w:rPr>
            </w:pPr>
            <w:r>
              <w:rPr>
                <w:i/>
                <w:sz w:val="20"/>
                <w:szCs w:val="20"/>
                <w:u w:val="single"/>
              </w:rPr>
              <w:t xml:space="preserve">Likumprojekta </w:t>
            </w:r>
            <w:r w:rsidR="00645392" w:rsidRPr="00645392">
              <w:rPr>
                <w:i/>
                <w:sz w:val="20"/>
                <w:szCs w:val="20"/>
                <w:u w:val="single"/>
              </w:rPr>
              <w:t>5.pants</w:t>
            </w:r>
            <w:r>
              <w:rPr>
                <w:i/>
                <w:sz w:val="20"/>
                <w:szCs w:val="20"/>
                <w:u w:val="single"/>
              </w:rPr>
              <w:t xml:space="preserve"> (likuma 11.</w:t>
            </w:r>
            <w:r w:rsidRPr="005846AB">
              <w:rPr>
                <w:i/>
                <w:sz w:val="20"/>
                <w:szCs w:val="20"/>
                <w:u w:val="single"/>
                <w:vertAlign w:val="superscript"/>
              </w:rPr>
              <w:t>7</w:t>
            </w:r>
            <w:r>
              <w:rPr>
                <w:i/>
                <w:sz w:val="20"/>
                <w:szCs w:val="20"/>
                <w:u w:val="single"/>
              </w:rPr>
              <w:t xml:space="preserve"> pants)</w:t>
            </w:r>
          </w:p>
          <w:p w:rsidR="00C26B2B" w:rsidRPr="00C26B2B" w:rsidRDefault="00C26B2B" w:rsidP="00C26B2B">
            <w:pPr>
              <w:jc w:val="both"/>
            </w:pPr>
            <w:r w:rsidRPr="00C26B2B">
              <w:t>Likuma grozījumi nosaka, ka, gūstot ienākumu no tāda nekustamā īpašuma atsavināšanas gadījumā, kad nekustamā īpašuma objektu kopību veido lauksaimniecības zeme un mežs, likuma 11.</w:t>
            </w:r>
            <w:r w:rsidRPr="00C26B2B">
              <w:rPr>
                <w:vertAlign w:val="superscript"/>
              </w:rPr>
              <w:t>7</w:t>
            </w:r>
            <w:r w:rsidRPr="00C26B2B">
              <w:t xml:space="preserve"> pantā noteiktais atbrīvojums piemērojams proporcionāli tai nekustamā īpašuma daļai, kas pēc lietošanas mērķa ir lauksaimniecības zeme.</w:t>
            </w:r>
          </w:p>
          <w:p w:rsidR="00C26B2B" w:rsidRDefault="00C26B2B" w:rsidP="00C26B2B">
            <w:pPr>
              <w:jc w:val="both"/>
            </w:pPr>
            <w:r w:rsidRPr="00C26B2B">
              <w:t xml:space="preserve">Likuma grozījumi paredz nepārprotami aizliegt piemērot atbrīvojumu gadījumos, kad maksātājs gūst ienākumu no tāda nekustamā īpašuma atsavināšanas, kurš pēc lietošanas mērķa ir lauksaimniecības zeme, gadījumos, </w:t>
            </w:r>
            <w:r w:rsidR="005036FC">
              <w:t>ja</w:t>
            </w:r>
            <w:r w:rsidR="005036FC" w:rsidRPr="00C26B2B">
              <w:t xml:space="preserve"> </w:t>
            </w:r>
            <w:r w:rsidRPr="00C26B2B">
              <w:t>šī zeme ir iegādāta tikai ar mērķi to pārdot.</w:t>
            </w:r>
          </w:p>
          <w:p w:rsidR="00645392" w:rsidRPr="000F5642" w:rsidRDefault="005846AB" w:rsidP="00645392">
            <w:pPr>
              <w:jc w:val="both"/>
              <w:rPr>
                <w:i/>
                <w:sz w:val="20"/>
                <w:szCs w:val="20"/>
                <w:u w:val="single"/>
              </w:rPr>
            </w:pPr>
            <w:r>
              <w:rPr>
                <w:i/>
                <w:sz w:val="20"/>
                <w:szCs w:val="20"/>
                <w:u w:val="single"/>
              </w:rPr>
              <w:t xml:space="preserve">Likumprojekta </w:t>
            </w:r>
            <w:r w:rsidR="00645392" w:rsidRPr="000F5642">
              <w:rPr>
                <w:i/>
                <w:sz w:val="20"/>
                <w:szCs w:val="20"/>
                <w:u w:val="single"/>
              </w:rPr>
              <w:t xml:space="preserve">6. un </w:t>
            </w:r>
            <w:r w:rsidR="001E626A">
              <w:rPr>
                <w:i/>
                <w:sz w:val="20"/>
                <w:szCs w:val="20"/>
                <w:u w:val="single"/>
              </w:rPr>
              <w:t>16</w:t>
            </w:r>
            <w:r w:rsidR="00645392" w:rsidRPr="000F5642">
              <w:rPr>
                <w:i/>
                <w:sz w:val="20"/>
                <w:szCs w:val="20"/>
                <w:u w:val="single"/>
              </w:rPr>
              <w:t xml:space="preserve">.pants (attiecībā uz </w:t>
            </w:r>
            <w:r>
              <w:rPr>
                <w:i/>
                <w:sz w:val="20"/>
                <w:szCs w:val="20"/>
                <w:u w:val="single"/>
              </w:rPr>
              <w:t xml:space="preserve">likuma </w:t>
            </w:r>
            <w:r w:rsidR="00645392" w:rsidRPr="000F5642">
              <w:rPr>
                <w:i/>
                <w:sz w:val="20"/>
                <w:szCs w:val="20"/>
                <w:u w:val="single"/>
              </w:rPr>
              <w:t>28.panta 13. un 14.punktu)</w:t>
            </w:r>
          </w:p>
          <w:p w:rsidR="004C7C1C" w:rsidRPr="004C7C1C" w:rsidRDefault="004C7C1C" w:rsidP="004C7C1C">
            <w:pPr>
              <w:jc w:val="both"/>
            </w:pPr>
            <w:r w:rsidRPr="004C7C1C">
              <w:t>Likuma grozījumi paredz, ka gadījumā, ja fiksēta ienākuma nodokļa maksātājs paplašina savu saimniecisko darbību, uzsākot veikt profesionālo darbību, viņš piecu darbadienu laikā no līguma par profesionālo pakalpojumu sniegšanu spēkā stāšanās dienas par šo faktu informē Valsts ieņēmumu dienestu, kā arī sniedz informāciju par to, vai turpmāk apliekamo ienākumu noteiks saskaņā ar likuma 11. vai 11.</w:t>
            </w:r>
            <w:r w:rsidRPr="004C7C1C">
              <w:rPr>
                <w:vertAlign w:val="superscript"/>
              </w:rPr>
              <w:t>1</w:t>
            </w:r>
            <w:r w:rsidRPr="004C7C1C">
              <w:t xml:space="preserve"> pantu. Arī tad, ja fiksētā ienākuma nodokļa maksātājs pieņem darbā darbiniekus, viņš, reģistrējot likumā „Par valsts sociālo apdrošināšanu” noteiktajā kārtībā un termiņā Valsts ieņēmumu dienestā darba ņēmēju, kurš ieguvis darba ņēmēja statusu, informē Valsts ieņēmumu dienestu par to, vai, sākot ar dienu, kad fiksētā ienākuma nodokļa maksātājs noslēdzis darba līgumu, maksātājs saimnieciskās darbības ienākumu noteiks saskaņā ar likuma 11. vai 11.</w:t>
            </w:r>
            <w:r w:rsidRPr="004C7C1C">
              <w:rPr>
                <w:vertAlign w:val="superscript"/>
              </w:rPr>
              <w:t>1</w:t>
            </w:r>
            <w:r w:rsidRPr="004C7C1C">
              <w:t xml:space="preserve"> pantu. Abos iepriekšminētajos gadījumos maksātājs atkārtoti var izvēlēties maksāt fiksēto ienākuma nodokli ne agrāk kā pēc pieciem gadiem.</w:t>
            </w:r>
          </w:p>
          <w:p w:rsidR="00645392" w:rsidRPr="000F5642" w:rsidRDefault="005846AB" w:rsidP="00645392">
            <w:pPr>
              <w:jc w:val="both"/>
              <w:rPr>
                <w:i/>
                <w:sz w:val="20"/>
                <w:szCs w:val="20"/>
                <w:u w:val="single"/>
              </w:rPr>
            </w:pPr>
            <w:r>
              <w:rPr>
                <w:i/>
                <w:sz w:val="20"/>
                <w:szCs w:val="20"/>
                <w:u w:val="single"/>
              </w:rPr>
              <w:t xml:space="preserve">Likumprojekta </w:t>
            </w:r>
            <w:r w:rsidR="00645392" w:rsidRPr="000F5642">
              <w:rPr>
                <w:i/>
                <w:sz w:val="20"/>
                <w:szCs w:val="20"/>
                <w:u w:val="single"/>
              </w:rPr>
              <w:t xml:space="preserve">7.pants (attiecībā uz </w:t>
            </w:r>
            <w:r>
              <w:rPr>
                <w:i/>
                <w:sz w:val="20"/>
                <w:szCs w:val="20"/>
                <w:u w:val="single"/>
              </w:rPr>
              <w:t xml:space="preserve">likuma </w:t>
            </w:r>
            <w:r w:rsidR="00645392" w:rsidRPr="000F5642">
              <w:rPr>
                <w:i/>
                <w:sz w:val="20"/>
                <w:szCs w:val="20"/>
                <w:u w:val="single"/>
              </w:rPr>
              <w:t>11.</w:t>
            </w:r>
            <w:r w:rsidR="00645392" w:rsidRPr="000F5642">
              <w:rPr>
                <w:i/>
                <w:sz w:val="20"/>
                <w:szCs w:val="20"/>
                <w:u w:val="single"/>
                <w:vertAlign w:val="superscript"/>
              </w:rPr>
              <w:t>9</w:t>
            </w:r>
            <w:r w:rsidR="00645392" w:rsidRPr="000F5642">
              <w:rPr>
                <w:i/>
                <w:sz w:val="20"/>
                <w:szCs w:val="20"/>
                <w:u w:val="single"/>
              </w:rPr>
              <w:t xml:space="preserve"> panta otrās daļas 7.punktu)</w:t>
            </w:r>
          </w:p>
          <w:p w:rsidR="00B55F79" w:rsidRDefault="00B55F79" w:rsidP="00B55F79">
            <w:pPr>
              <w:jc w:val="both"/>
            </w:pPr>
            <w:r w:rsidRPr="00B55F79">
              <w:t>Likums paredz papildināt kapitāla aktīvu sarakstu, nepārprotami nosakot, ka ar nodokli apliekams kapitāla pieauguma ienākums veidojas arī atsavinot tādus kapitāla aktīvus kā ieguldīju</w:t>
            </w:r>
            <w:r w:rsidR="00C044DE">
              <w:t>mu</w:t>
            </w:r>
            <w:r w:rsidRPr="00B55F79">
              <w:t xml:space="preserve"> zelts un tam </w:t>
            </w:r>
            <w:r w:rsidR="00C044DE" w:rsidRPr="00B55F79">
              <w:t>līdzīg</w:t>
            </w:r>
            <w:r w:rsidR="00C044DE">
              <w:t>us</w:t>
            </w:r>
            <w:r w:rsidR="00C044DE" w:rsidRPr="00B55F79">
              <w:t xml:space="preserve"> objekt</w:t>
            </w:r>
            <w:r w:rsidR="00C044DE">
              <w:t>us</w:t>
            </w:r>
            <w:r w:rsidRPr="00B55F79">
              <w:t xml:space="preserve">, darījumu </w:t>
            </w:r>
            <w:r w:rsidR="00C044DE" w:rsidRPr="00B55F79">
              <w:t>objekt</w:t>
            </w:r>
            <w:r w:rsidR="00C044DE">
              <w:t>us</w:t>
            </w:r>
            <w:r w:rsidR="00C044DE" w:rsidRPr="00B55F79">
              <w:t xml:space="preserve"> </w:t>
            </w:r>
            <w:r w:rsidRPr="00B55F79">
              <w:t>valūtas tirdzniecības vai preču biržā.</w:t>
            </w:r>
          </w:p>
          <w:p w:rsidR="00E01733" w:rsidRPr="003F54B7" w:rsidRDefault="00E01733" w:rsidP="00E01733">
            <w:pPr>
              <w:jc w:val="both"/>
              <w:rPr>
                <w:i/>
                <w:u w:val="single"/>
              </w:rPr>
            </w:pPr>
            <w:r w:rsidRPr="003F54B7">
              <w:rPr>
                <w:i/>
                <w:sz w:val="20"/>
                <w:u w:val="single"/>
              </w:rPr>
              <w:t>Likumprojekta 7.pants (attiecībā uz likuma 11.</w:t>
            </w:r>
            <w:r w:rsidRPr="003F54B7">
              <w:rPr>
                <w:i/>
                <w:sz w:val="20"/>
                <w:u w:val="single"/>
                <w:vertAlign w:val="superscript"/>
              </w:rPr>
              <w:t>9</w:t>
            </w:r>
            <w:r w:rsidRPr="003F54B7">
              <w:rPr>
                <w:i/>
                <w:sz w:val="20"/>
                <w:u w:val="single"/>
              </w:rPr>
              <w:t xml:space="preserve"> panta vienpadsmitās daļas 5.punktu)</w:t>
            </w:r>
          </w:p>
          <w:p w:rsidR="00E01733" w:rsidRDefault="00E01733" w:rsidP="00B55F79">
            <w:pPr>
              <w:jc w:val="both"/>
            </w:pPr>
            <w:r>
              <w:t xml:space="preserve">Likuma grozījumu mērķis ir noteikt kārtību, kā nosakāms </w:t>
            </w:r>
            <w:r>
              <w:lastRenderedPageBreak/>
              <w:t xml:space="preserve">apliekamais ienākums no </w:t>
            </w:r>
            <w:r w:rsidRPr="009C6EBE">
              <w:t>ieguldītāja finanšu instrumentu individuālas pārvaldīšanas saskaņā ar ieguldītāju pilnvarojumu jeb portfeļa pārvaldības pakalpojuma</w:t>
            </w:r>
            <w:r>
              <w:t>. Likums paredz, ka apliekamo ienākumu veido starpība starp aktīvu vērtību, ko klients ir nodevis portfeļa pārvaldniekam ieguldījumu līguma darbības laikā, un aktīvu vērtība, ko klients ir izņēmis no ieguldījumu līguma portfeļa līguma darbības laikā vai izbeidzoties līguma darbībai.</w:t>
            </w:r>
          </w:p>
          <w:p w:rsidR="004E33EC" w:rsidRPr="003F54B7" w:rsidRDefault="004E33EC" w:rsidP="00B55F79">
            <w:pPr>
              <w:jc w:val="both"/>
              <w:rPr>
                <w:i/>
                <w:sz w:val="20"/>
                <w:u w:val="single"/>
              </w:rPr>
            </w:pPr>
            <w:r w:rsidRPr="003F54B7">
              <w:rPr>
                <w:i/>
                <w:sz w:val="20"/>
                <w:u w:val="single"/>
              </w:rPr>
              <w:t>Likumprojekta 11.pants (attiecībā uz likuma 17.</w:t>
            </w:r>
            <w:r w:rsidRPr="003F54B7">
              <w:rPr>
                <w:i/>
                <w:sz w:val="20"/>
                <w:u w:val="single"/>
                <w:vertAlign w:val="superscript"/>
              </w:rPr>
              <w:t>2</w:t>
            </w:r>
            <w:r w:rsidRPr="003F54B7">
              <w:rPr>
                <w:i/>
                <w:sz w:val="20"/>
                <w:u w:val="single"/>
              </w:rPr>
              <w:t xml:space="preserve"> pantu)</w:t>
            </w:r>
          </w:p>
          <w:p w:rsidR="004E33EC" w:rsidRPr="004E33EC" w:rsidRDefault="004E33EC" w:rsidP="00B55F79">
            <w:pPr>
              <w:jc w:val="both"/>
            </w:pPr>
            <w:r w:rsidRPr="004E33EC">
              <w:t>Likumprojektā ie</w:t>
            </w:r>
            <w:r w:rsidR="00EE71FC">
              <w:t>kļauta</w:t>
            </w:r>
            <w:r w:rsidRPr="004E33EC">
              <w:t xml:space="preserve"> norma, lai novērstu nodokļu op</w:t>
            </w:r>
            <w:r>
              <w:t xml:space="preserve">timizācijas shēmas, kuru ietvaros </w:t>
            </w:r>
            <w:r>
              <w:rPr>
                <w:color w:val="000000"/>
              </w:rPr>
              <w:t xml:space="preserve">uzņēmums, kas jau darbojas, veic reorganizāciju, atlaiž darbiniekus, savukārt darbinieki ir spiesti veidot </w:t>
            </w:r>
            <w:proofErr w:type="spellStart"/>
            <w:r>
              <w:rPr>
                <w:color w:val="000000"/>
              </w:rPr>
              <w:t>mikrouzņēmumus</w:t>
            </w:r>
            <w:proofErr w:type="spellEnd"/>
            <w:r>
              <w:rPr>
                <w:color w:val="000000"/>
              </w:rPr>
              <w:t xml:space="preserve">, pēc būtības saglabājot līdzšinējo darba attiecību modeli, bet to tikai nodokļu optimizācijas nolūkos juridiski noformējot kā pakalpojumu līgumu, uzņēmumu līgumu, darbaspēka nomu </w:t>
            </w:r>
            <w:proofErr w:type="spellStart"/>
            <w:r>
              <w:rPr>
                <w:color w:val="000000"/>
              </w:rPr>
              <w:t>u.c</w:t>
            </w:r>
            <w:proofErr w:type="spellEnd"/>
            <w:r>
              <w:rPr>
                <w:color w:val="000000"/>
              </w:rPr>
              <w:t>. Tāpēc</w:t>
            </w:r>
            <w:r w:rsidRPr="00692C36">
              <w:rPr>
                <w:color w:val="000000"/>
              </w:rPr>
              <w:t xml:space="preserve"> </w:t>
            </w:r>
            <w:r>
              <w:rPr>
                <w:color w:val="000000"/>
              </w:rPr>
              <w:t xml:space="preserve">likumā </w:t>
            </w:r>
            <w:r w:rsidRPr="00692C36">
              <w:rPr>
                <w:color w:val="000000"/>
              </w:rPr>
              <w:t xml:space="preserve">ir </w:t>
            </w:r>
            <w:r>
              <w:rPr>
                <w:color w:val="000000"/>
              </w:rPr>
              <w:t xml:space="preserve">noteikts </w:t>
            </w:r>
            <w:r w:rsidRPr="00692C36">
              <w:rPr>
                <w:color w:val="000000"/>
              </w:rPr>
              <w:t>ierobežojum</w:t>
            </w:r>
            <w:r>
              <w:rPr>
                <w:color w:val="000000"/>
              </w:rPr>
              <w:t>s</w:t>
            </w:r>
            <w:r w:rsidRPr="00692C36">
              <w:rPr>
                <w:color w:val="000000"/>
              </w:rPr>
              <w:t xml:space="preserve"> </w:t>
            </w:r>
            <w:r>
              <w:rPr>
                <w:color w:val="000000"/>
              </w:rPr>
              <w:t xml:space="preserve">attiecībā uz šāda veida pakalpojumu saņemšanu no </w:t>
            </w:r>
            <w:proofErr w:type="spellStart"/>
            <w:r>
              <w:rPr>
                <w:color w:val="000000"/>
              </w:rPr>
              <w:t>mikrouzņēmumiem</w:t>
            </w:r>
            <w:proofErr w:type="spellEnd"/>
            <w:r>
              <w:rPr>
                <w:color w:val="000000"/>
              </w:rPr>
              <w:t xml:space="preserve"> </w:t>
            </w:r>
            <w:r w:rsidR="00EE71FC">
              <w:rPr>
                <w:color w:val="000000"/>
              </w:rPr>
              <w:t xml:space="preserve">– </w:t>
            </w:r>
            <w:proofErr w:type="spellStart"/>
            <w:r w:rsidR="00EE71FC">
              <w:rPr>
                <w:color w:val="000000"/>
              </w:rPr>
              <w:t>t.i</w:t>
            </w:r>
            <w:proofErr w:type="spellEnd"/>
            <w:r w:rsidR="00EE71FC">
              <w:rPr>
                <w:color w:val="000000"/>
              </w:rPr>
              <w:t xml:space="preserve">. šāda veida pakalpojumi, izpildoties noteiktiem kritērijiem tiek pielīdzināti personāla nomai un attiecīgi personāla nomniekam tiek uzlikts pienākums vispārējā kārtībā aprēķināt nodokli no iznomātā personāla ienākuma. </w:t>
            </w:r>
          </w:p>
          <w:p w:rsidR="00645392" w:rsidRPr="00645392" w:rsidRDefault="00B33ADD" w:rsidP="00645392">
            <w:pPr>
              <w:jc w:val="both"/>
              <w:rPr>
                <w:i/>
                <w:sz w:val="20"/>
                <w:szCs w:val="20"/>
                <w:u w:val="single"/>
              </w:rPr>
            </w:pPr>
            <w:r>
              <w:rPr>
                <w:i/>
                <w:sz w:val="20"/>
                <w:szCs w:val="20"/>
                <w:u w:val="single"/>
              </w:rPr>
              <w:t>Likumprojekta 13</w:t>
            </w:r>
            <w:r w:rsidR="00645392" w:rsidRPr="00645392">
              <w:rPr>
                <w:i/>
                <w:sz w:val="20"/>
                <w:szCs w:val="20"/>
                <w:u w:val="single"/>
              </w:rPr>
              <w:t>.pants</w:t>
            </w:r>
            <w:r w:rsidR="005846AB">
              <w:rPr>
                <w:i/>
                <w:sz w:val="20"/>
                <w:szCs w:val="20"/>
                <w:u w:val="single"/>
              </w:rPr>
              <w:t xml:space="preserve"> (likuma 22.pants)</w:t>
            </w:r>
          </w:p>
          <w:p w:rsidR="004B1E69" w:rsidRPr="004B1E69" w:rsidRDefault="004B1E69" w:rsidP="004B1E69">
            <w:pPr>
              <w:jc w:val="both"/>
            </w:pPr>
            <w:r w:rsidRPr="004B1E69">
              <w:t xml:space="preserve">Likuma grozījumi paredz, ka nodokļa maksātājam gadījumos, kad Valsts ieņēmumu dienests pieprasa iesniegt papildu deklarāciju, automātiski </w:t>
            </w:r>
            <w:r w:rsidR="005846AB">
              <w:t xml:space="preserve">nav </w:t>
            </w:r>
            <w:r w:rsidRPr="004B1E69">
              <w:t>jāsniedz arī gada ienākumu deklarācija.</w:t>
            </w:r>
            <w:r w:rsidR="005846AB">
              <w:t xml:space="preserve"> </w:t>
            </w:r>
          </w:p>
          <w:p w:rsidR="00645392" w:rsidRPr="00645392" w:rsidRDefault="004E33EC" w:rsidP="00645392">
            <w:pPr>
              <w:jc w:val="both"/>
              <w:rPr>
                <w:i/>
                <w:sz w:val="20"/>
                <w:szCs w:val="20"/>
                <w:u w:val="single"/>
              </w:rPr>
            </w:pPr>
            <w:r>
              <w:rPr>
                <w:i/>
                <w:sz w:val="20"/>
                <w:szCs w:val="20"/>
                <w:u w:val="single"/>
              </w:rPr>
              <w:t>Likumpro</w:t>
            </w:r>
            <w:r w:rsidR="00B33ADD">
              <w:rPr>
                <w:i/>
                <w:sz w:val="20"/>
                <w:szCs w:val="20"/>
                <w:u w:val="single"/>
              </w:rPr>
              <w:t>jekta 17</w:t>
            </w:r>
            <w:r w:rsidR="00645392" w:rsidRPr="00645392">
              <w:rPr>
                <w:i/>
                <w:sz w:val="20"/>
                <w:szCs w:val="20"/>
                <w:u w:val="single"/>
              </w:rPr>
              <w:t>.pants</w:t>
            </w:r>
            <w:r>
              <w:rPr>
                <w:i/>
                <w:sz w:val="20"/>
                <w:szCs w:val="20"/>
                <w:u w:val="single"/>
              </w:rPr>
              <w:t xml:space="preserve"> (attiecībā uz likuma 31.</w:t>
            </w:r>
            <w:r w:rsidRPr="004E33EC">
              <w:rPr>
                <w:i/>
                <w:sz w:val="20"/>
                <w:szCs w:val="20"/>
                <w:u w:val="single"/>
                <w:vertAlign w:val="superscript"/>
              </w:rPr>
              <w:t>2</w:t>
            </w:r>
            <w:r>
              <w:rPr>
                <w:i/>
                <w:sz w:val="20"/>
                <w:szCs w:val="20"/>
                <w:u w:val="single"/>
              </w:rPr>
              <w:t xml:space="preserve"> pantu)</w:t>
            </w:r>
          </w:p>
          <w:p w:rsidR="00FA4493" w:rsidRPr="00FA4493" w:rsidRDefault="00FA4493" w:rsidP="00FA4493">
            <w:pPr>
              <w:jc w:val="both"/>
            </w:pPr>
            <w:r w:rsidRPr="00FA4493">
              <w:t>Tiek precizēta 31.</w:t>
            </w:r>
            <w:r w:rsidRPr="00FA4493">
              <w:rPr>
                <w:vertAlign w:val="superscript"/>
              </w:rPr>
              <w:t xml:space="preserve">2 </w:t>
            </w:r>
            <w:r w:rsidRPr="00FA4493">
              <w:t>panta 1.</w:t>
            </w:r>
            <w:r w:rsidRPr="00FA4493">
              <w:rPr>
                <w:vertAlign w:val="superscript"/>
              </w:rPr>
              <w:t>1</w:t>
            </w:r>
            <w:r w:rsidRPr="00FA4493">
              <w:t xml:space="preserve"> daļa, kas turpmāk Valsts ieņēmumu dienestam dod tiesības piedzīt no darba devēja soda naudu trīskāršā nodokļa apmērā, kas noteikts atbilstoši no VID rīcībā esošās informācijas par personai aprēķināmo atlīdzību, ja tā ir lielāka par Ministru kabineta noteiktās minimālās mēnešalgas apmēru, vai no Ministru kabineta noteiktā minimālās mēnešalgas apmēra, ja aprēķināmā atlīdzība ir vienāda vai mazāka, vai ja tās lielumu nav iespējams noteikt. Tādējādi sankciju apmērs un piemērošana tiek saskaņota ar likuma „Par valsts sociālo apdrošināšanu” 16.</w:t>
            </w:r>
            <w:r w:rsidRPr="00FA4493">
              <w:rPr>
                <w:vertAlign w:val="superscript"/>
              </w:rPr>
              <w:t>1</w:t>
            </w:r>
            <w:r w:rsidRPr="00FA4493">
              <w:t xml:space="preserve"> panta pirmajā un 1.</w:t>
            </w:r>
            <w:r w:rsidRPr="00FA4493">
              <w:rPr>
                <w:vertAlign w:val="superscript"/>
              </w:rPr>
              <w:t>1</w:t>
            </w:r>
            <w:r w:rsidRPr="00FA4493">
              <w:t xml:space="preserve"> daļā noteiktajām sankcijām.</w:t>
            </w:r>
          </w:p>
          <w:p w:rsidR="007E42D8" w:rsidRDefault="00FA4493" w:rsidP="00E9481D">
            <w:pPr>
              <w:jc w:val="both"/>
            </w:pPr>
            <w:r w:rsidRPr="00FA4493">
              <w:t>Likuma redakcijas 31.</w:t>
            </w:r>
            <w:r w:rsidRPr="00FA4493">
              <w:rPr>
                <w:vertAlign w:val="superscript"/>
              </w:rPr>
              <w:t>2</w:t>
            </w:r>
            <w:r w:rsidRPr="00FA4493">
              <w:t xml:space="preserve"> pants papildināts ar 1.</w:t>
            </w:r>
            <w:r w:rsidRPr="00FA4493">
              <w:rPr>
                <w:vertAlign w:val="superscript"/>
              </w:rPr>
              <w:t>2</w:t>
            </w:r>
            <w:r w:rsidRPr="00FA4493">
              <w:t xml:space="preserve"> daļu, nosakot, ka gadījumos, kad nodarbinātības ilgums nav zināms, dalībvalstis pieņem, ka nodarbinātības attiecību ilgums ir vismaz trīs mēneši, ja vien darba devējs vai darbinieks nevar pierādīt pretējo.</w:t>
            </w:r>
          </w:p>
          <w:p w:rsidR="00D630EE" w:rsidRPr="003F54B7" w:rsidRDefault="003F54B7" w:rsidP="00E9481D">
            <w:pPr>
              <w:jc w:val="both"/>
              <w:rPr>
                <w:i/>
                <w:sz w:val="20"/>
                <w:szCs w:val="20"/>
                <w:u w:val="single"/>
              </w:rPr>
            </w:pPr>
            <w:r w:rsidRPr="003F54B7">
              <w:rPr>
                <w:i/>
                <w:sz w:val="20"/>
                <w:szCs w:val="20"/>
                <w:u w:val="single"/>
              </w:rPr>
              <w:t>Likumprojekta 18</w:t>
            </w:r>
            <w:r w:rsidR="00D630EE" w:rsidRPr="003F54B7">
              <w:rPr>
                <w:i/>
                <w:sz w:val="20"/>
                <w:szCs w:val="20"/>
                <w:u w:val="single"/>
              </w:rPr>
              <w:t>.pants</w:t>
            </w:r>
            <w:r>
              <w:rPr>
                <w:i/>
                <w:sz w:val="20"/>
                <w:szCs w:val="20"/>
                <w:u w:val="single"/>
              </w:rPr>
              <w:t xml:space="preserve"> (likuma pārejas noteikumu 52.punkts)</w:t>
            </w:r>
          </w:p>
          <w:p w:rsidR="00D630EE" w:rsidRPr="001E0241" w:rsidRDefault="00D630EE" w:rsidP="00D630EE">
            <w:pPr>
              <w:jc w:val="both"/>
              <w:rPr>
                <w:szCs w:val="28"/>
              </w:rPr>
            </w:pPr>
            <w:r>
              <w:t xml:space="preserve">Normas mērķis ir paredzēt atbrīvojumu no aplikšanas ar iedzīvotāju ienākuma nodokli </w:t>
            </w:r>
            <w:r w:rsidRPr="0093107A">
              <w:rPr>
                <w:szCs w:val="28"/>
              </w:rPr>
              <w:t>pagaidu sabiedrisko darbu ietvaros 2012. un 2013.gadā izmaksātās atlīdzības.</w:t>
            </w:r>
            <w:r w:rsidRPr="001E0241">
              <w:rPr>
                <w:lang w:eastAsia="ar-SA"/>
              </w:rPr>
              <w:t xml:space="preserve"> </w:t>
            </w:r>
            <w:r w:rsidRPr="001E0241">
              <w:rPr>
                <w:szCs w:val="28"/>
              </w:rPr>
              <w:t xml:space="preserve">Par bezdarbnieku tiks veiktas valsts sociālās apdrošināšanas obligātās iemaksas pensiju apdrošināšanai saskaņā ar noteikumiem par valsts sociālās apdrošināšanas obligātajām iemaksām no valsts pamatbudžeta un valsts sociālās </w:t>
            </w:r>
            <w:r w:rsidRPr="001E0241">
              <w:rPr>
                <w:szCs w:val="28"/>
              </w:rPr>
              <w:lastRenderedPageBreak/>
              <w:t>apdrošināšanas speciālajiem budžetiem. Tāpat tiks segti izdevumi par tādu veselības pārbaužu veikšanu APSD iesaistītajiem bezdarbniekiem, kuras paredzētas normatīvajos aktos par obligātajām veselības pārbaudēm</w:t>
            </w:r>
            <w:r w:rsidRPr="001E0241" w:rsidDel="00A4000E">
              <w:rPr>
                <w:szCs w:val="28"/>
              </w:rPr>
              <w:t xml:space="preserve"> </w:t>
            </w:r>
            <w:r w:rsidRPr="001E0241">
              <w:rPr>
                <w:szCs w:val="28"/>
              </w:rPr>
              <w:t>(bet ne vairāk kā 20 latu apmērā par vienu bezdarbnieku) un par bezdarbnieku apdrošināšanu pret nelaimes gadījumiem darba laikā.</w:t>
            </w:r>
          </w:p>
          <w:p w:rsidR="00D630EE" w:rsidRDefault="00D630EE" w:rsidP="00D630EE">
            <w:pPr>
              <w:jc w:val="both"/>
            </w:pPr>
            <w:r w:rsidRPr="001E0241">
              <w:rPr>
                <w:szCs w:val="28"/>
              </w:rPr>
              <w:t xml:space="preserve">APSD koordinētājs pašvaldībā </w:t>
            </w:r>
            <w:r w:rsidRPr="001E0241">
              <w:rPr>
                <w:iCs/>
                <w:szCs w:val="28"/>
              </w:rPr>
              <w:t xml:space="preserve">saņems </w:t>
            </w:r>
            <w:r w:rsidRPr="001E0241">
              <w:rPr>
                <w:szCs w:val="28"/>
              </w:rPr>
              <w:t>ikmēneša dotāciju 90 latu apmērā proporcionāli nostrādātajām dienām.</w:t>
            </w:r>
          </w:p>
          <w:p w:rsidR="0004541B" w:rsidRPr="003F54B7" w:rsidRDefault="0004541B" w:rsidP="0004541B">
            <w:pPr>
              <w:jc w:val="both"/>
              <w:rPr>
                <w:i/>
                <w:sz w:val="20"/>
                <w:u w:val="single"/>
              </w:rPr>
            </w:pPr>
            <w:r w:rsidRPr="003F54B7">
              <w:rPr>
                <w:i/>
                <w:sz w:val="20"/>
                <w:u w:val="single"/>
              </w:rPr>
              <w:t>Likumprojekta</w:t>
            </w:r>
            <w:r w:rsidR="003F54B7">
              <w:rPr>
                <w:i/>
                <w:sz w:val="20"/>
                <w:u w:val="single"/>
              </w:rPr>
              <w:t xml:space="preserve"> 18</w:t>
            </w:r>
            <w:r w:rsidRPr="003F54B7">
              <w:rPr>
                <w:i/>
                <w:sz w:val="20"/>
                <w:u w:val="single"/>
              </w:rPr>
              <w:t>.pants (likuma pārejas noteikumu 84.punkts)</w:t>
            </w:r>
          </w:p>
          <w:p w:rsidR="0004541B" w:rsidRPr="00074B2B" w:rsidRDefault="0004541B" w:rsidP="0004541B">
            <w:pPr>
              <w:jc w:val="both"/>
            </w:pPr>
            <w:r>
              <w:t>Likumprojekts paredz noteikt pārejas periodu līdz 2012.gada 31.decembrim, kurā maksātāji, kas noslēguši uzņēmumu līgumu, bet nav reģistrējuši saimniecisko darbību, un no kuru gūtā ienākuma nodoklis tiek ieturēts izmaksas vietā, var nereģistrēt saimniecisko darbību. Tādējādi tiks nodrošināts, ka minētā maksātāju kategorija kā saimnieciskās darbības veicēji reģistrēsies pakāpeniski, turklāt šiem maksātājiem būs laiks izvērtēt savu vēlmi turpmāk veikt saimniecisko darbību un nepieciešamības gadījumā sakārtot līguma attiecības ar pasūtītājiem, ar kuriem noslēgti līdzšinējie uzņēmuma līgumi.</w:t>
            </w:r>
          </w:p>
        </w:tc>
      </w:tr>
      <w:tr w:rsidR="007F44A0" w:rsidRPr="00353A9E" w:rsidTr="003034C2">
        <w:trPr>
          <w:trHeight w:val="208"/>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lastRenderedPageBreak/>
              <w:t> 5.</w:t>
            </w:r>
          </w:p>
        </w:tc>
        <w:tc>
          <w:tcPr>
            <w:tcW w:w="2323"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353A9E" w:rsidRPr="00353A9E" w:rsidRDefault="00473B6E" w:rsidP="00791766">
            <w:r>
              <w:t xml:space="preserve">Labklājības ministrija, </w:t>
            </w:r>
            <w:r w:rsidR="0027668D">
              <w:t xml:space="preserve">Zemkopības ministrija, </w:t>
            </w:r>
            <w:r w:rsidR="00FB0F97">
              <w:t>Valsts ieņēmumu dienests</w:t>
            </w:r>
            <w:r w:rsidR="00C20EB4">
              <w:t xml:space="preserve"> un Latvijas apdrošinātāju asociācija</w:t>
            </w:r>
            <w:r w:rsidR="00FB0F97">
              <w:t>.</w:t>
            </w:r>
          </w:p>
        </w:tc>
      </w:tr>
      <w:tr w:rsidR="007F44A0" w:rsidRPr="00353A9E" w:rsidTr="003034C2">
        <w:trPr>
          <w:trHeight w:val="50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6.</w:t>
            </w:r>
          </w:p>
        </w:tc>
        <w:tc>
          <w:tcPr>
            <w:tcW w:w="2323"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hideMark/>
          </w:tcPr>
          <w:p w:rsidR="00353A9E" w:rsidRPr="00353A9E" w:rsidRDefault="0027668D" w:rsidP="00993B99">
            <w:r>
              <w:t>Nav.</w:t>
            </w:r>
            <w:r w:rsidR="00BE5D42">
              <w:t xml:space="preserve"> </w:t>
            </w:r>
          </w:p>
        </w:tc>
      </w:tr>
      <w:tr w:rsidR="007F44A0" w:rsidRPr="00353A9E" w:rsidTr="003034C2">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7.</w:t>
            </w:r>
          </w:p>
        </w:tc>
        <w:tc>
          <w:tcPr>
            <w:tcW w:w="2323"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353A9E" w:rsidRPr="00353A9E" w:rsidRDefault="0057157D" w:rsidP="00791766">
            <w:r>
              <w:t>Nav.</w:t>
            </w:r>
          </w:p>
        </w:tc>
      </w:tr>
    </w:tbl>
    <w:p w:rsidR="00B35BFB" w:rsidRPr="00353A9E" w:rsidRDefault="00353A9E" w:rsidP="00791766">
      <w:r w:rsidRPr="00353A9E">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4032"/>
        <w:gridCol w:w="4550"/>
      </w:tblGrid>
      <w:tr w:rsidR="00353A9E" w:rsidRPr="00353A9E" w:rsidTr="00615EF9">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353A9E" w:rsidRPr="008621E2" w:rsidRDefault="00353A9E" w:rsidP="00791766">
            <w:pPr>
              <w:rPr>
                <w:b/>
              </w:rPr>
            </w:pPr>
            <w:r w:rsidRPr="008621E2">
              <w:rPr>
                <w:b/>
              </w:rPr>
              <w:t> II. Tiesību akta projekta ietekme uz sabiedrību</w:t>
            </w:r>
          </w:p>
        </w:tc>
      </w:tr>
      <w:tr w:rsidR="0004541B" w:rsidRPr="00353A9E" w:rsidTr="00615EF9">
        <w:trPr>
          <w:trHeight w:val="46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1.</w:t>
            </w:r>
          </w:p>
        </w:tc>
        <w:tc>
          <w:tcPr>
            <w:tcW w:w="4032"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xml:space="preserve"> Sabiedrības </w:t>
            </w:r>
            <w:proofErr w:type="spellStart"/>
            <w:r w:rsidRPr="00353A9E">
              <w:t>mērķgrupa</w:t>
            </w:r>
            <w:proofErr w:type="spellEnd"/>
          </w:p>
        </w:tc>
        <w:tc>
          <w:tcPr>
            <w:tcW w:w="4550" w:type="dxa"/>
            <w:tcBorders>
              <w:top w:val="outset" w:sz="6" w:space="0" w:color="auto"/>
              <w:left w:val="outset" w:sz="6" w:space="0" w:color="auto"/>
              <w:bottom w:val="outset" w:sz="6" w:space="0" w:color="auto"/>
              <w:right w:val="outset" w:sz="6" w:space="0" w:color="auto"/>
            </w:tcBorders>
            <w:hideMark/>
          </w:tcPr>
          <w:p w:rsidR="00B35BFB" w:rsidRDefault="004734D4" w:rsidP="0094020F">
            <w:pPr>
              <w:jc w:val="both"/>
            </w:pPr>
            <w:r>
              <w:t>1) fiziskās personas, kuras izmanto attaisnotos izdevumus par apdrošināšanas prēmiju maksājumiem saskaņā ar dzīvības apdrošināšanas līgumiem (ar līdzekļu uzkrāšanu);</w:t>
            </w:r>
          </w:p>
          <w:p w:rsidR="004734D4" w:rsidRDefault="004734D4" w:rsidP="0094020F">
            <w:pPr>
              <w:jc w:val="both"/>
            </w:pPr>
            <w:r>
              <w:t>2) fiziskās personas, kuras gūst ienākumu no nekustamā īpašuma iznomāšanas un izīrēšanas;</w:t>
            </w:r>
          </w:p>
          <w:p w:rsidR="004734D4" w:rsidRDefault="004734D4" w:rsidP="0094020F">
            <w:pPr>
              <w:jc w:val="both"/>
            </w:pPr>
            <w:r>
              <w:t xml:space="preserve">3) fiziskās personas, kuras saņem Vienotos </w:t>
            </w:r>
            <w:proofErr w:type="spellStart"/>
            <w:r>
              <w:t>platībmaksājumus</w:t>
            </w:r>
            <w:proofErr w:type="spellEnd"/>
            <w:r>
              <w:t>;</w:t>
            </w:r>
          </w:p>
          <w:p w:rsidR="004734D4" w:rsidRDefault="004734D4" w:rsidP="0094020F">
            <w:pPr>
              <w:jc w:val="both"/>
            </w:pPr>
            <w:r>
              <w:t>4) fiziskās personas, kuras iesaistītas pagaidu nodarbinātības pasākumos;</w:t>
            </w:r>
          </w:p>
          <w:p w:rsidR="004734D4" w:rsidRPr="00353A9E" w:rsidRDefault="004734D4" w:rsidP="0094020F">
            <w:pPr>
              <w:jc w:val="both"/>
            </w:pPr>
            <w:r>
              <w:t>5) fiziskās personas, kuras saņem kapitāla ienākumus.</w:t>
            </w:r>
          </w:p>
        </w:tc>
      </w:tr>
      <w:tr w:rsidR="0004541B" w:rsidRPr="00353A9E" w:rsidTr="00615EF9">
        <w:trPr>
          <w:trHeight w:val="405"/>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2.</w:t>
            </w:r>
          </w:p>
        </w:tc>
        <w:tc>
          <w:tcPr>
            <w:tcW w:w="4032"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xml:space="preserve"> Citas sabiedrības grupas (bez </w:t>
            </w:r>
            <w:proofErr w:type="spellStart"/>
            <w:r w:rsidRPr="00353A9E">
              <w:t>mērķgrupas</w:t>
            </w:r>
            <w:proofErr w:type="spellEnd"/>
            <w:r w:rsidRPr="00353A9E">
              <w:t>), kuras tiesiskais regulējums arī ietekmē vai varētu ietekmēt</w:t>
            </w:r>
          </w:p>
        </w:tc>
        <w:tc>
          <w:tcPr>
            <w:tcW w:w="4550" w:type="dxa"/>
            <w:tcBorders>
              <w:top w:val="outset" w:sz="6" w:space="0" w:color="auto"/>
              <w:left w:val="outset" w:sz="6" w:space="0" w:color="auto"/>
              <w:bottom w:val="outset" w:sz="6" w:space="0" w:color="auto"/>
              <w:right w:val="outset" w:sz="6" w:space="0" w:color="auto"/>
            </w:tcBorders>
            <w:hideMark/>
          </w:tcPr>
          <w:p w:rsidR="0006166B" w:rsidRPr="0006166B" w:rsidRDefault="00D56FAF" w:rsidP="00A000D4">
            <w:r>
              <w:t>Nav attiecināms</w:t>
            </w:r>
            <w:r w:rsidR="0027668D">
              <w:t>.</w:t>
            </w:r>
          </w:p>
        </w:tc>
      </w:tr>
      <w:tr w:rsidR="0004541B" w:rsidRPr="00353A9E" w:rsidTr="00615EF9">
        <w:trPr>
          <w:trHeight w:val="405"/>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3.</w:t>
            </w:r>
          </w:p>
        </w:tc>
        <w:tc>
          <w:tcPr>
            <w:tcW w:w="4032"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finansiālā ietekme</w:t>
            </w:r>
          </w:p>
        </w:tc>
        <w:tc>
          <w:tcPr>
            <w:tcW w:w="4550" w:type="dxa"/>
            <w:tcBorders>
              <w:top w:val="outset" w:sz="6" w:space="0" w:color="auto"/>
              <w:left w:val="outset" w:sz="6" w:space="0" w:color="auto"/>
              <w:bottom w:val="outset" w:sz="6" w:space="0" w:color="auto"/>
              <w:right w:val="outset" w:sz="6" w:space="0" w:color="auto"/>
            </w:tcBorders>
            <w:hideMark/>
          </w:tcPr>
          <w:p w:rsidR="00353A9E" w:rsidRPr="00353A9E" w:rsidRDefault="00353A9E" w:rsidP="0063265A">
            <w:pPr>
              <w:jc w:val="both"/>
            </w:pPr>
          </w:p>
        </w:tc>
      </w:tr>
      <w:tr w:rsidR="0004541B" w:rsidRPr="00353A9E" w:rsidTr="00615EF9">
        <w:trPr>
          <w:trHeight w:val="236"/>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4.</w:t>
            </w:r>
          </w:p>
        </w:tc>
        <w:tc>
          <w:tcPr>
            <w:tcW w:w="4032"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nefinansiālā ietekme</w:t>
            </w:r>
          </w:p>
        </w:tc>
        <w:tc>
          <w:tcPr>
            <w:tcW w:w="4550" w:type="dxa"/>
            <w:tcBorders>
              <w:top w:val="outset" w:sz="6" w:space="0" w:color="auto"/>
              <w:left w:val="outset" w:sz="6" w:space="0" w:color="auto"/>
              <w:bottom w:val="outset" w:sz="6" w:space="0" w:color="auto"/>
              <w:right w:val="outset" w:sz="6" w:space="0" w:color="auto"/>
            </w:tcBorders>
            <w:hideMark/>
          </w:tcPr>
          <w:p w:rsidR="00353A9E" w:rsidRPr="00353A9E" w:rsidRDefault="00473E68" w:rsidP="00791766">
            <w:r w:rsidRPr="003202C9">
              <w:t>Nav attiecināms</w:t>
            </w:r>
            <w:r>
              <w:t>.</w:t>
            </w:r>
          </w:p>
        </w:tc>
      </w:tr>
      <w:tr w:rsidR="0004541B" w:rsidRPr="00353A9E" w:rsidTr="00615EF9">
        <w:trPr>
          <w:trHeight w:val="22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5.</w:t>
            </w:r>
          </w:p>
        </w:tc>
        <w:tc>
          <w:tcPr>
            <w:tcW w:w="4032"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Administratīvās procedūras raksturojums</w:t>
            </w:r>
          </w:p>
        </w:tc>
        <w:tc>
          <w:tcPr>
            <w:tcW w:w="4550" w:type="dxa"/>
            <w:tcBorders>
              <w:top w:val="outset" w:sz="6" w:space="0" w:color="auto"/>
              <w:left w:val="outset" w:sz="6" w:space="0" w:color="auto"/>
              <w:bottom w:val="outset" w:sz="6" w:space="0" w:color="auto"/>
              <w:right w:val="outset" w:sz="6" w:space="0" w:color="auto"/>
            </w:tcBorders>
            <w:hideMark/>
          </w:tcPr>
          <w:p w:rsidR="00353A9E" w:rsidRPr="00353A9E" w:rsidRDefault="00473E68" w:rsidP="00791766">
            <w:r w:rsidRPr="003202C9">
              <w:t>Nav attiecināms</w:t>
            </w:r>
            <w:r>
              <w:t>.</w:t>
            </w:r>
          </w:p>
        </w:tc>
      </w:tr>
      <w:tr w:rsidR="0004541B" w:rsidRPr="00353A9E" w:rsidTr="00615EF9">
        <w:trPr>
          <w:trHeight w:val="357"/>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lastRenderedPageBreak/>
              <w:t> 6.</w:t>
            </w:r>
          </w:p>
        </w:tc>
        <w:tc>
          <w:tcPr>
            <w:tcW w:w="4032"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Administratīvo izmaksu monetārs novērtējums</w:t>
            </w:r>
          </w:p>
        </w:tc>
        <w:tc>
          <w:tcPr>
            <w:tcW w:w="4550" w:type="dxa"/>
            <w:tcBorders>
              <w:top w:val="outset" w:sz="6" w:space="0" w:color="auto"/>
              <w:left w:val="outset" w:sz="6" w:space="0" w:color="auto"/>
              <w:bottom w:val="outset" w:sz="6" w:space="0" w:color="auto"/>
              <w:right w:val="outset" w:sz="6" w:space="0" w:color="auto"/>
            </w:tcBorders>
            <w:hideMark/>
          </w:tcPr>
          <w:p w:rsidR="00353A9E" w:rsidRPr="0063265A" w:rsidRDefault="00473E68" w:rsidP="00791766">
            <w:r w:rsidRPr="003202C9">
              <w:t>Nav attiecināms</w:t>
            </w:r>
            <w:r>
              <w:t>.</w:t>
            </w:r>
          </w:p>
        </w:tc>
      </w:tr>
      <w:tr w:rsidR="0004541B" w:rsidRPr="00353A9E" w:rsidTr="00615EF9">
        <w:trPr>
          <w:tblCellSpacing w:w="0" w:type="dxa"/>
        </w:trPr>
        <w:tc>
          <w:tcPr>
            <w:tcW w:w="519"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7.</w:t>
            </w:r>
          </w:p>
        </w:tc>
        <w:tc>
          <w:tcPr>
            <w:tcW w:w="4032"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Cita informācija</w:t>
            </w:r>
          </w:p>
        </w:tc>
        <w:tc>
          <w:tcPr>
            <w:tcW w:w="4550" w:type="dxa"/>
            <w:tcBorders>
              <w:top w:val="outset" w:sz="6" w:space="0" w:color="auto"/>
              <w:left w:val="outset" w:sz="6" w:space="0" w:color="auto"/>
              <w:bottom w:val="outset" w:sz="6" w:space="0" w:color="auto"/>
              <w:right w:val="outset" w:sz="6" w:space="0" w:color="auto"/>
            </w:tcBorders>
            <w:hideMark/>
          </w:tcPr>
          <w:p w:rsidR="00353A9E" w:rsidRPr="00353A9E" w:rsidRDefault="00353A9E" w:rsidP="00791766"/>
        </w:tc>
      </w:tr>
    </w:tbl>
    <w:p w:rsidR="003B34FC" w:rsidRPr="00B93393" w:rsidRDefault="00353A9E" w:rsidP="00791766">
      <w:pPr>
        <w:rPr>
          <w:iCs/>
        </w:rPr>
      </w:pPr>
      <w:r w:rsidRPr="00353A9E">
        <w:t> </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
        <w:gridCol w:w="320"/>
        <w:gridCol w:w="211"/>
        <w:gridCol w:w="2348"/>
        <w:gridCol w:w="96"/>
        <w:gridCol w:w="1132"/>
        <w:gridCol w:w="4962"/>
        <w:gridCol w:w="15"/>
      </w:tblGrid>
      <w:tr w:rsidR="00473B6E" w:rsidRPr="00473B6E" w:rsidTr="0095377B">
        <w:trPr>
          <w:trHeight w:val="652"/>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473B6E" w:rsidRPr="00473B6E" w:rsidRDefault="00473B6E" w:rsidP="00473B6E">
            <w:pPr>
              <w:jc w:val="center"/>
              <w:rPr>
                <w:rFonts w:eastAsia="Calibri"/>
                <w:b/>
                <w:sz w:val="28"/>
                <w:szCs w:val="28"/>
                <w:lang w:eastAsia="en-US"/>
              </w:rPr>
            </w:pPr>
            <w:r w:rsidRPr="00473B6E">
              <w:rPr>
                <w:rFonts w:eastAsia="Calibri"/>
                <w:b/>
                <w:sz w:val="28"/>
                <w:szCs w:val="28"/>
                <w:lang w:eastAsia="en-US"/>
              </w:rPr>
              <w:t>III. Tiesību akta projekta ietekme uz valsts budžetu un pašvaldību budžetiem</w:t>
            </w:r>
          </w:p>
        </w:tc>
      </w:tr>
      <w:tr w:rsidR="00473B6E" w:rsidRPr="00473B6E" w:rsidTr="0095377B">
        <w:trPr>
          <w:trHeight w:val="411"/>
          <w:tblCellSpacing w:w="0" w:type="dxa"/>
        </w:trPr>
        <w:tc>
          <w:tcPr>
            <w:tcW w:w="5000" w:type="pct"/>
            <w:gridSpan w:val="8"/>
            <w:tcBorders>
              <w:top w:val="outset" w:sz="6" w:space="0" w:color="auto"/>
              <w:left w:val="outset" w:sz="6" w:space="0" w:color="auto"/>
              <w:bottom w:val="outset" w:sz="6" w:space="0" w:color="auto"/>
              <w:right w:val="outset" w:sz="6" w:space="0" w:color="auto"/>
            </w:tcBorders>
          </w:tcPr>
          <w:tbl>
            <w:tblPr>
              <w:tblW w:w="0" w:type="auto"/>
              <w:tblCellSpacing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29"/>
              <w:gridCol w:w="1134"/>
              <w:gridCol w:w="1281"/>
              <w:gridCol w:w="1361"/>
              <w:gridCol w:w="1361"/>
              <w:gridCol w:w="1374"/>
            </w:tblGrid>
            <w:tr w:rsidR="00473B6E" w:rsidRPr="00473B6E" w:rsidTr="0095377B">
              <w:trPr>
                <w:trHeight w:val="381"/>
                <w:tblCellSpacing w:w="0" w:type="dxa"/>
              </w:trPr>
              <w:tc>
                <w:tcPr>
                  <w:tcW w:w="2529" w:type="dxa"/>
                  <w:vMerge w:val="restart"/>
                </w:tcPr>
                <w:p w:rsidR="00473B6E" w:rsidRPr="0095377B" w:rsidRDefault="00473B6E" w:rsidP="00473B6E">
                  <w:pPr>
                    <w:spacing w:after="200" w:line="276" w:lineRule="auto"/>
                    <w:jc w:val="center"/>
                  </w:pPr>
                  <w:r w:rsidRPr="0095377B">
                    <w:rPr>
                      <w:rFonts w:eastAsia="Calibri"/>
                      <w:b/>
                      <w:bCs/>
                      <w:lang w:eastAsia="en-US"/>
                    </w:rPr>
                    <w:t>Rādītāji</w:t>
                  </w:r>
                </w:p>
              </w:tc>
              <w:tc>
                <w:tcPr>
                  <w:tcW w:w="2415" w:type="dxa"/>
                  <w:gridSpan w:val="2"/>
                </w:tcPr>
                <w:p w:rsidR="00473B6E" w:rsidRPr="0095377B" w:rsidRDefault="00473B6E" w:rsidP="00473B6E">
                  <w:pPr>
                    <w:spacing w:after="200" w:line="276" w:lineRule="auto"/>
                    <w:jc w:val="center"/>
                  </w:pPr>
                  <w:r w:rsidRPr="0095377B">
                    <w:rPr>
                      <w:rFonts w:eastAsia="Calibri"/>
                      <w:b/>
                      <w:bCs/>
                      <w:lang w:eastAsia="en-US"/>
                    </w:rPr>
                    <w:t>2011</w:t>
                  </w:r>
                </w:p>
              </w:tc>
              <w:tc>
                <w:tcPr>
                  <w:tcW w:w="4096" w:type="dxa"/>
                  <w:gridSpan w:val="3"/>
                </w:tcPr>
                <w:p w:rsidR="00473B6E" w:rsidRPr="0095377B" w:rsidRDefault="00473B6E" w:rsidP="00473B6E">
                  <w:pPr>
                    <w:spacing w:after="200" w:line="276" w:lineRule="auto"/>
                    <w:jc w:val="center"/>
                  </w:pPr>
                  <w:r w:rsidRPr="0095377B">
                    <w:rPr>
                      <w:rFonts w:eastAsia="Calibri"/>
                      <w:lang w:eastAsia="en-US"/>
                    </w:rPr>
                    <w:t>Turpmākie trīs gadi (</w:t>
                  </w:r>
                  <w:proofErr w:type="spellStart"/>
                  <w:r w:rsidRPr="0095377B">
                    <w:rPr>
                      <w:rFonts w:eastAsia="Calibri"/>
                      <w:lang w:eastAsia="en-US"/>
                    </w:rPr>
                    <w:t>tūkst</w:t>
                  </w:r>
                  <w:proofErr w:type="spellEnd"/>
                  <w:smartTag w:uri="schemas-tilde-lv/tildestengine" w:element="currency2">
                    <w:smartTagPr>
                      <w:attr w:name="currency_id" w:val="48"/>
                      <w:attr w:name="currency_key" w:val="LVL"/>
                      <w:attr w:name="currency_value" w:val="."/>
                      <w:attr w:name="currency_text" w:val="latu"/>
                    </w:smartTagPr>
                    <w:r w:rsidRPr="0095377B">
                      <w:rPr>
                        <w:rFonts w:eastAsia="Calibri"/>
                        <w:lang w:eastAsia="en-US"/>
                      </w:rPr>
                      <w:t>. latu</w:t>
                    </w:r>
                  </w:smartTag>
                  <w:r w:rsidRPr="0095377B">
                    <w:rPr>
                      <w:rFonts w:eastAsia="Calibri"/>
                      <w:lang w:eastAsia="en-US"/>
                    </w:rPr>
                    <w:t>)</w:t>
                  </w:r>
                </w:p>
              </w:tc>
            </w:tr>
            <w:tr w:rsidR="00473B6E" w:rsidRPr="00473B6E" w:rsidTr="0095377B">
              <w:trPr>
                <w:trHeight w:val="381"/>
                <w:tblCellSpacing w:w="0" w:type="dxa"/>
              </w:trPr>
              <w:tc>
                <w:tcPr>
                  <w:tcW w:w="2529" w:type="dxa"/>
                  <w:vMerge/>
                </w:tcPr>
                <w:p w:rsidR="00473B6E" w:rsidRPr="0095377B" w:rsidRDefault="00473B6E" w:rsidP="00473B6E">
                  <w:pPr>
                    <w:spacing w:after="200" w:line="276" w:lineRule="auto"/>
                    <w:jc w:val="center"/>
                  </w:pPr>
                </w:p>
              </w:tc>
              <w:tc>
                <w:tcPr>
                  <w:tcW w:w="1134" w:type="dxa"/>
                  <w:vMerge w:val="restart"/>
                </w:tcPr>
                <w:p w:rsidR="00473B6E" w:rsidRPr="0095377B" w:rsidRDefault="00473B6E" w:rsidP="00473B6E">
                  <w:pPr>
                    <w:jc w:val="center"/>
                  </w:pPr>
                  <w:r w:rsidRPr="0095377B">
                    <w:rPr>
                      <w:rFonts w:eastAsia="Calibri"/>
                      <w:lang w:eastAsia="en-US"/>
                    </w:rPr>
                    <w:t>Saskaņā ar valsts budžetu kārtējam gadam</w:t>
                  </w:r>
                </w:p>
              </w:tc>
              <w:tc>
                <w:tcPr>
                  <w:tcW w:w="1281" w:type="dxa"/>
                  <w:vMerge w:val="restart"/>
                </w:tcPr>
                <w:p w:rsidR="00473B6E" w:rsidRPr="0095377B" w:rsidRDefault="00473B6E" w:rsidP="00473B6E">
                  <w:pPr>
                    <w:jc w:val="center"/>
                  </w:pPr>
                  <w:r w:rsidRPr="0095377B">
                    <w:rPr>
                      <w:rFonts w:eastAsia="Calibri"/>
                      <w:lang w:eastAsia="en-US"/>
                    </w:rPr>
                    <w:t>Izmaiņas kārtējā gadā, salīdzinot ar budžetu kārtējam gadam</w:t>
                  </w:r>
                </w:p>
              </w:tc>
              <w:tc>
                <w:tcPr>
                  <w:tcW w:w="1361" w:type="dxa"/>
                </w:tcPr>
                <w:p w:rsidR="00473B6E" w:rsidRPr="0095377B" w:rsidRDefault="00473B6E" w:rsidP="00473B6E">
                  <w:pPr>
                    <w:jc w:val="center"/>
                  </w:pPr>
                  <w:r w:rsidRPr="0095377B">
                    <w:rPr>
                      <w:rFonts w:eastAsia="Calibri"/>
                      <w:b/>
                      <w:bCs/>
                      <w:lang w:eastAsia="en-US"/>
                    </w:rPr>
                    <w:t>2012</w:t>
                  </w:r>
                </w:p>
              </w:tc>
              <w:tc>
                <w:tcPr>
                  <w:tcW w:w="1361" w:type="dxa"/>
                </w:tcPr>
                <w:p w:rsidR="00473B6E" w:rsidRPr="0095377B" w:rsidRDefault="00473B6E" w:rsidP="00473B6E">
                  <w:pPr>
                    <w:jc w:val="center"/>
                  </w:pPr>
                  <w:r w:rsidRPr="0095377B">
                    <w:rPr>
                      <w:rFonts w:eastAsia="Calibri"/>
                      <w:b/>
                      <w:bCs/>
                      <w:lang w:eastAsia="en-US"/>
                    </w:rPr>
                    <w:t>2013</w:t>
                  </w:r>
                </w:p>
              </w:tc>
              <w:tc>
                <w:tcPr>
                  <w:tcW w:w="1374" w:type="dxa"/>
                </w:tcPr>
                <w:p w:rsidR="00473B6E" w:rsidRPr="0095377B" w:rsidRDefault="00473B6E" w:rsidP="00473B6E">
                  <w:pPr>
                    <w:jc w:val="center"/>
                  </w:pPr>
                  <w:r w:rsidRPr="0095377B">
                    <w:rPr>
                      <w:rFonts w:eastAsia="Calibri"/>
                      <w:b/>
                      <w:bCs/>
                      <w:lang w:eastAsia="en-US"/>
                    </w:rPr>
                    <w:t>2014</w:t>
                  </w:r>
                </w:p>
              </w:tc>
            </w:tr>
            <w:tr w:rsidR="00473B6E" w:rsidRPr="00473B6E" w:rsidTr="0095377B">
              <w:trPr>
                <w:trHeight w:val="381"/>
                <w:tblCellSpacing w:w="0" w:type="dxa"/>
              </w:trPr>
              <w:tc>
                <w:tcPr>
                  <w:tcW w:w="2529" w:type="dxa"/>
                  <w:vMerge/>
                </w:tcPr>
                <w:p w:rsidR="00473B6E" w:rsidRPr="0095377B" w:rsidRDefault="00473B6E" w:rsidP="00473B6E">
                  <w:pPr>
                    <w:spacing w:after="200" w:line="276" w:lineRule="auto"/>
                    <w:jc w:val="center"/>
                  </w:pPr>
                </w:p>
              </w:tc>
              <w:tc>
                <w:tcPr>
                  <w:tcW w:w="1134" w:type="dxa"/>
                  <w:vMerge/>
                </w:tcPr>
                <w:p w:rsidR="00473B6E" w:rsidRPr="0095377B" w:rsidRDefault="00473B6E" w:rsidP="00473B6E">
                  <w:pPr>
                    <w:jc w:val="center"/>
                  </w:pPr>
                </w:p>
              </w:tc>
              <w:tc>
                <w:tcPr>
                  <w:tcW w:w="1281" w:type="dxa"/>
                  <w:vMerge/>
                </w:tcPr>
                <w:p w:rsidR="00473B6E" w:rsidRPr="0095377B" w:rsidRDefault="00473B6E" w:rsidP="00473B6E">
                  <w:pPr>
                    <w:jc w:val="center"/>
                  </w:pPr>
                </w:p>
              </w:tc>
              <w:tc>
                <w:tcPr>
                  <w:tcW w:w="1361" w:type="dxa"/>
                </w:tcPr>
                <w:p w:rsidR="00473B6E" w:rsidRPr="0095377B" w:rsidRDefault="00473B6E" w:rsidP="00473B6E">
                  <w:pPr>
                    <w:jc w:val="center"/>
                  </w:pPr>
                  <w:r w:rsidRPr="0095377B">
                    <w:rPr>
                      <w:rFonts w:eastAsia="Calibri"/>
                      <w:lang w:eastAsia="en-US"/>
                    </w:rPr>
                    <w:t>Izmaiņas, salīdzinot ar kārtējo (n) gadu</w:t>
                  </w:r>
                </w:p>
              </w:tc>
              <w:tc>
                <w:tcPr>
                  <w:tcW w:w="1361" w:type="dxa"/>
                </w:tcPr>
                <w:p w:rsidR="00473B6E" w:rsidRPr="0095377B" w:rsidRDefault="00473B6E" w:rsidP="00473B6E">
                  <w:pPr>
                    <w:jc w:val="center"/>
                  </w:pPr>
                  <w:r w:rsidRPr="0095377B">
                    <w:rPr>
                      <w:rFonts w:eastAsia="Calibri"/>
                      <w:lang w:eastAsia="en-US"/>
                    </w:rPr>
                    <w:t>Izmaiņas, salīdzinot ar kārtējo (n) gadu</w:t>
                  </w:r>
                </w:p>
              </w:tc>
              <w:tc>
                <w:tcPr>
                  <w:tcW w:w="1374" w:type="dxa"/>
                </w:tcPr>
                <w:p w:rsidR="00473B6E" w:rsidRPr="0095377B" w:rsidRDefault="00473B6E" w:rsidP="00473B6E">
                  <w:pPr>
                    <w:jc w:val="center"/>
                  </w:pPr>
                  <w:r w:rsidRPr="0095377B">
                    <w:rPr>
                      <w:rFonts w:eastAsia="Calibri"/>
                      <w:lang w:eastAsia="en-US"/>
                    </w:rPr>
                    <w:t>Izmaiņas, salīdzinot ar kārtējo (n) gadu</w:t>
                  </w:r>
                </w:p>
              </w:tc>
            </w:tr>
            <w:tr w:rsidR="00473B6E" w:rsidRPr="00473B6E" w:rsidTr="0095377B">
              <w:trPr>
                <w:trHeight w:val="144"/>
                <w:tblCellSpacing w:w="0" w:type="dxa"/>
              </w:trPr>
              <w:tc>
                <w:tcPr>
                  <w:tcW w:w="2529" w:type="dxa"/>
                </w:tcPr>
                <w:p w:rsidR="00473B6E" w:rsidRPr="00473B6E" w:rsidRDefault="00473B6E" w:rsidP="00473B6E">
                  <w:pPr>
                    <w:spacing w:after="200" w:line="276" w:lineRule="auto"/>
                    <w:jc w:val="center"/>
                    <w:rPr>
                      <w:sz w:val="26"/>
                      <w:szCs w:val="26"/>
                    </w:rPr>
                  </w:pPr>
                  <w:r w:rsidRPr="00473B6E">
                    <w:rPr>
                      <w:sz w:val="26"/>
                      <w:szCs w:val="26"/>
                    </w:rPr>
                    <w:t>1</w:t>
                  </w:r>
                </w:p>
              </w:tc>
              <w:tc>
                <w:tcPr>
                  <w:tcW w:w="1134" w:type="dxa"/>
                </w:tcPr>
                <w:p w:rsidR="00473B6E" w:rsidRPr="00473B6E" w:rsidRDefault="00473B6E" w:rsidP="00473B6E">
                  <w:pPr>
                    <w:spacing w:after="200" w:line="276" w:lineRule="auto"/>
                    <w:jc w:val="center"/>
                    <w:rPr>
                      <w:sz w:val="26"/>
                      <w:szCs w:val="26"/>
                    </w:rPr>
                  </w:pPr>
                  <w:r w:rsidRPr="00473B6E">
                    <w:rPr>
                      <w:sz w:val="26"/>
                      <w:szCs w:val="26"/>
                    </w:rPr>
                    <w:t>2</w:t>
                  </w:r>
                </w:p>
              </w:tc>
              <w:tc>
                <w:tcPr>
                  <w:tcW w:w="1281" w:type="dxa"/>
                </w:tcPr>
                <w:p w:rsidR="00473B6E" w:rsidRPr="00473B6E" w:rsidRDefault="00473B6E" w:rsidP="00473B6E">
                  <w:pPr>
                    <w:spacing w:after="200" w:line="276" w:lineRule="auto"/>
                    <w:jc w:val="center"/>
                    <w:rPr>
                      <w:sz w:val="26"/>
                      <w:szCs w:val="26"/>
                    </w:rPr>
                  </w:pPr>
                  <w:r w:rsidRPr="00473B6E">
                    <w:rPr>
                      <w:sz w:val="26"/>
                      <w:szCs w:val="26"/>
                    </w:rPr>
                    <w:t>3</w:t>
                  </w:r>
                </w:p>
              </w:tc>
              <w:tc>
                <w:tcPr>
                  <w:tcW w:w="1361" w:type="dxa"/>
                </w:tcPr>
                <w:p w:rsidR="00473B6E" w:rsidRPr="00473B6E" w:rsidRDefault="00473B6E" w:rsidP="00473B6E">
                  <w:pPr>
                    <w:spacing w:after="200" w:line="276" w:lineRule="auto"/>
                    <w:jc w:val="center"/>
                    <w:rPr>
                      <w:rFonts w:eastAsia="Calibri"/>
                      <w:sz w:val="26"/>
                      <w:szCs w:val="26"/>
                      <w:lang w:eastAsia="en-US"/>
                    </w:rPr>
                  </w:pPr>
                  <w:r w:rsidRPr="00473B6E">
                    <w:rPr>
                      <w:rFonts w:eastAsia="Calibri"/>
                      <w:sz w:val="26"/>
                      <w:szCs w:val="26"/>
                      <w:lang w:eastAsia="en-US"/>
                    </w:rPr>
                    <w:t>4</w:t>
                  </w:r>
                </w:p>
              </w:tc>
              <w:tc>
                <w:tcPr>
                  <w:tcW w:w="1361" w:type="dxa"/>
                </w:tcPr>
                <w:p w:rsidR="00473B6E" w:rsidRPr="00473B6E" w:rsidRDefault="00473B6E" w:rsidP="00473B6E">
                  <w:pPr>
                    <w:spacing w:after="200" w:line="276" w:lineRule="auto"/>
                    <w:jc w:val="center"/>
                    <w:rPr>
                      <w:rFonts w:eastAsia="Calibri"/>
                      <w:sz w:val="26"/>
                      <w:szCs w:val="26"/>
                      <w:lang w:eastAsia="en-US"/>
                    </w:rPr>
                  </w:pPr>
                  <w:r w:rsidRPr="00473B6E">
                    <w:rPr>
                      <w:rFonts w:eastAsia="Calibri"/>
                      <w:sz w:val="26"/>
                      <w:szCs w:val="26"/>
                      <w:lang w:eastAsia="en-US"/>
                    </w:rPr>
                    <w:t>5</w:t>
                  </w:r>
                </w:p>
              </w:tc>
              <w:tc>
                <w:tcPr>
                  <w:tcW w:w="1374" w:type="dxa"/>
                </w:tcPr>
                <w:p w:rsidR="00473B6E" w:rsidRPr="00473B6E" w:rsidRDefault="00473B6E" w:rsidP="00473B6E">
                  <w:pPr>
                    <w:spacing w:after="200" w:line="276" w:lineRule="auto"/>
                    <w:jc w:val="center"/>
                    <w:rPr>
                      <w:rFonts w:eastAsia="Calibri"/>
                      <w:sz w:val="26"/>
                      <w:szCs w:val="26"/>
                      <w:lang w:eastAsia="en-US"/>
                    </w:rPr>
                  </w:pPr>
                  <w:r w:rsidRPr="00473B6E">
                    <w:rPr>
                      <w:rFonts w:eastAsia="Calibri"/>
                      <w:sz w:val="26"/>
                      <w:szCs w:val="26"/>
                      <w:lang w:eastAsia="en-US"/>
                    </w:rPr>
                    <w:t>6</w:t>
                  </w:r>
                </w:p>
              </w:tc>
            </w:tr>
            <w:tr w:rsidR="00DA5522" w:rsidRPr="00473B6E" w:rsidTr="0095377B">
              <w:trPr>
                <w:trHeight w:val="381"/>
                <w:tblCellSpacing w:w="0" w:type="dxa"/>
              </w:trPr>
              <w:tc>
                <w:tcPr>
                  <w:tcW w:w="2529" w:type="dxa"/>
                </w:tcPr>
                <w:p w:rsidR="00DA5522" w:rsidRPr="0095377B" w:rsidRDefault="00DA5522" w:rsidP="00473B6E">
                  <w:pPr>
                    <w:rPr>
                      <w:rFonts w:eastAsia="Calibri"/>
                      <w:lang w:eastAsia="en-US"/>
                    </w:rPr>
                  </w:pPr>
                  <w:r w:rsidRPr="0095377B">
                    <w:rPr>
                      <w:rFonts w:eastAsia="Calibri"/>
                      <w:lang w:eastAsia="en-US"/>
                    </w:rPr>
                    <w:t>1. Budžeta ieņēmumi:</w:t>
                  </w:r>
                </w:p>
              </w:tc>
              <w:tc>
                <w:tcPr>
                  <w:tcW w:w="1134" w:type="dxa"/>
                </w:tcPr>
                <w:p w:rsidR="00DA5522" w:rsidRPr="00473B6E" w:rsidRDefault="00DA5522" w:rsidP="00473B6E">
                  <w:pPr>
                    <w:spacing w:after="200" w:line="276" w:lineRule="auto"/>
                    <w:jc w:val="center"/>
                    <w:rPr>
                      <w:sz w:val="26"/>
                      <w:szCs w:val="26"/>
                    </w:rPr>
                  </w:pPr>
                </w:p>
              </w:tc>
              <w:tc>
                <w:tcPr>
                  <w:tcW w:w="1281" w:type="dxa"/>
                </w:tcPr>
                <w:p w:rsidR="00DA5522" w:rsidRPr="00473B6E" w:rsidRDefault="00DA5522" w:rsidP="00473B6E">
                  <w:pPr>
                    <w:spacing w:after="200" w:line="276" w:lineRule="auto"/>
                    <w:jc w:val="center"/>
                    <w:rPr>
                      <w:sz w:val="26"/>
                      <w:szCs w:val="26"/>
                    </w:rPr>
                  </w:pPr>
                </w:p>
              </w:tc>
              <w:tc>
                <w:tcPr>
                  <w:tcW w:w="1361" w:type="dxa"/>
                </w:tcPr>
                <w:p w:rsidR="00DA5522" w:rsidRPr="0095377B" w:rsidRDefault="00DA5522" w:rsidP="003E01FE">
                  <w:pPr>
                    <w:spacing w:after="200" w:line="276" w:lineRule="auto"/>
                    <w:jc w:val="right"/>
                    <w:rPr>
                      <w:rFonts w:eastAsia="Calibri"/>
                      <w:lang w:eastAsia="en-US"/>
                    </w:rPr>
                  </w:pPr>
                  <w:r w:rsidRPr="0095377B">
                    <w:rPr>
                      <w:rFonts w:eastAsia="Calibri"/>
                      <w:lang w:eastAsia="en-US"/>
                    </w:rPr>
                    <w:t>+</w:t>
                  </w:r>
                  <w:r w:rsidR="003E01FE">
                    <w:rPr>
                      <w:rFonts w:eastAsia="Calibri"/>
                      <w:lang w:eastAsia="en-US"/>
                    </w:rPr>
                    <w:t>2 696</w:t>
                  </w:r>
                </w:p>
              </w:tc>
              <w:tc>
                <w:tcPr>
                  <w:tcW w:w="1361" w:type="dxa"/>
                </w:tcPr>
                <w:p w:rsidR="00DA5522" w:rsidRPr="0095377B" w:rsidRDefault="00DA5522" w:rsidP="003E01FE">
                  <w:pPr>
                    <w:spacing w:after="200" w:line="276" w:lineRule="auto"/>
                    <w:jc w:val="right"/>
                    <w:rPr>
                      <w:rFonts w:eastAsia="Calibri"/>
                      <w:lang w:eastAsia="en-US"/>
                    </w:rPr>
                  </w:pPr>
                  <w:r w:rsidRPr="0095377B">
                    <w:rPr>
                      <w:rFonts w:eastAsia="Calibri"/>
                      <w:lang w:eastAsia="en-US"/>
                    </w:rPr>
                    <w:t>+</w:t>
                  </w:r>
                  <w:r>
                    <w:rPr>
                      <w:rFonts w:eastAsia="Calibri"/>
                      <w:lang w:eastAsia="en-US"/>
                    </w:rPr>
                    <w:t xml:space="preserve"> </w:t>
                  </w:r>
                  <w:r w:rsidR="003E01FE">
                    <w:rPr>
                      <w:rFonts w:eastAsia="Calibri"/>
                      <w:lang w:eastAsia="en-US"/>
                    </w:rPr>
                    <w:t>2 696</w:t>
                  </w:r>
                </w:p>
              </w:tc>
              <w:tc>
                <w:tcPr>
                  <w:tcW w:w="1374" w:type="dxa"/>
                </w:tcPr>
                <w:p w:rsidR="00DA5522" w:rsidRPr="0095377B" w:rsidRDefault="00DA5522" w:rsidP="003E01FE">
                  <w:pPr>
                    <w:spacing w:after="200" w:line="276" w:lineRule="auto"/>
                    <w:jc w:val="right"/>
                    <w:rPr>
                      <w:rFonts w:eastAsia="Calibri"/>
                      <w:lang w:eastAsia="en-US"/>
                    </w:rPr>
                  </w:pPr>
                  <w:r w:rsidRPr="0095377B">
                    <w:rPr>
                      <w:rFonts w:eastAsia="Calibri"/>
                      <w:lang w:eastAsia="en-US"/>
                    </w:rPr>
                    <w:t>+</w:t>
                  </w:r>
                  <w:r w:rsidR="003E01FE">
                    <w:rPr>
                      <w:rFonts w:eastAsia="Calibri"/>
                      <w:lang w:eastAsia="en-US"/>
                    </w:rPr>
                    <w:t>2 696</w:t>
                  </w:r>
                </w:p>
              </w:tc>
            </w:tr>
            <w:tr w:rsidR="00DA5522" w:rsidRPr="00473B6E" w:rsidTr="0095377B">
              <w:trPr>
                <w:trHeight w:val="381"/>
                <w:tblCellSpacing w:w="0" w:type="dxa"/>
              </w:trPr>
              <w:tc>
                <w:tcPr>
                  <w:tcW w:w="2529" w:type="dxa"/>
                </w:tcPr>
                <w:p w:rsidR="00DA5522" w:rsidRPr="0095377B" w:rsidRDefault="00DA5522" w:rsidP="00473B6E">
                  <w:pPr>
                    <w:rPr>
                      <w:rFonts w:eastAsia="Calibri"/>
                      <w:lang w:eastAsia="en-US"/>
                    </w:rPr>
                  </w:pPr>
                  <w:r w:rsidRPr="0095377B">
                    <w:rPr>
                      <w:rFonts w:eastAsia="Calibri"/>
                      <w:lang w:eastAsia="en-US"/>
                    </w:rPr>
                    <w:t>1.1. valsts pamatbudžets, tai skaitā ieņēmumi no maksas pakalpojumiem un citi pašu ieņēmumi</w:t>
                  </w:r>
                </w:p>
              </w:tc>
              <w:tc>
                <w:tcPr>
                  <w:tcW w:w="1134" w:type="dxa"/>
                </w:tcPr>
                <w:p w:rsidR="00DA5522" w:rsidRPr="00473B6E" w:rsidRDefault="00DA5522" w:rsidP="00473B6E">
                  <w:pPr>
                    <w:spacing w:after="200" w:line="276" w:lineRule="auto"/>
                    <w:jc w:val="center"/>
                    <w:rPr>
                      <w:sz w:val="26"/>
                      <w:szCs w:val="26"/>
                    </w:rPr>
                  </w:pPr>
                </w:p>
              </w:tc>
              <w:tc>
                <w:tcPr>
                  <w:tcW w:w="1281" w:type="dxa"/>
                </w:tcPr>
                <w:p w:rsidR="00DA5522" w:rsidRPr="00473B6E" w:rsidRDefault="00DA5522" w:rsidP="00473B6E">
                  <w:pPr>
                    <w:spacing w:after="200" w:line="276" w:lineRule="auto"/>
                    <w:jc w:val="center"/>
                    <w:rPr>
                      <w:sz w:val="26"/>
                      <w:szCs w:val="26"/>
                    </w:rPr>
                  </w:pPr>
                </w:p>
              </w:tc>
              <w:tc>
                <w:tcPr>
                  <w:tcW w:w="1361" w:type="dxa"/>
                </w:tcPr>
                <w:p w:rsidR="00DA5522" w:rsidRPr="0095377B" w:rsidRDefault="00DA5522" w:rsidP="003E01FE">
                  <w:pPr>
                    <w:spacing w:after="200" w:line="276" w:lineRule="auto"/>
                    <w:jc w:val="right"/>
                    <w:rPr>
                      <w:rFonts w:eastAsia="Calibri"/>
                      <w:lang w:eastAsia="en-US"/>
                    </w:rPr>
                  </w:pPr>
                  <w:r>
                    <w:rPr>
                      <w:rFonts w:eastAsia="Calibri"/>
                      <w:lang w:eastAsia="en-US"/>
                    </w:rPr>
                    <w:t>+</w:t>
                  </w:r>
                  <w:r w:rsidR="003E01FE">
                    <w:rPr>
                      <w:rFonts w:eastAsia="Calibri"/>
                      <w:lang w:eastAsia="en-US"/>
                    </w:rPr>
                    <w:t>172</w:t>
                  </w:r>
                </w:p>
              </w:tc>
              <w:tc>
                <w:tcPr>
                  <w:tcW w:w="1361" w:type="dxa"/>
                </w:tcPr>
                <w:p w:rsidR="00DA5522" w:rsidRPr="0095377B" w:rsidRDefault="00DA5522" w:rsidP="003E01FE">
                  <w:pPr>
                    <w:spacing w:after="200" w:line="276" w:lineRule="auto"/>
                    <w:jc w:val="right"/>
                    <w:rPr>
                      <w:rFonts w:eastAsia="Calibri"/>
                      <w:lang w:eastAsia="en-US"/>
                    </w:rPr>
                  </w:pPr>
                  <w:r>
                    <w:rPr>
                      <w:rFonts w:eastAsia="Calibri"/>
                      <w:lang w:eastAsia="en-US"/>
                    </w:rPr>
                    <w:t>+</w:t>
                  </w:r>
                  <w:r w:rsidR="003E01FE">
                    <w:rPr>
                      <w:rFonts w:eastAsia="Calibri"/>
                      <w:lang w:eastAsia="en-US"/>
                    </w:rPr>
                    <w:t>172</w:t>
                  </w:r>
                </w:p>
              </w:tc>
              <w:tc>
                <w:tcPr>
                  <w:tcW w:w="1374" w:type="dxa"/>
                </w:tcPr>
                <w:p w:rsidR="00DA5522" w:rsidRPr="0095377B" w:rsidRDefault="00DA5522" w:rsidP="003E01FE">
                  <w:pPr>
                    <w:spacing w:after="200" w:line="276" w:lineRule="auto"/>
                    <w:jc w:val="right"/>
                    <w:rPr>
                      <w:rFonts w:eastAsia="Calibri"/>
                      <w:lang w:eastAsia="en-US"/>
                    </w:rPr>
                  </w:pPr>
                  <w:r>
                    <w:rPr>
                      <w:rFonts w:eastAsia="Calibri"/>
                      <w:lang w:eastAsia="en-US"/>
                    </w:rPr>
                    <w:t>+</w:t>
                  </w:r>
                  <w:r w:rsidR="003E01FE">
                    <w:rPr>
                      <w:rFonts w:eastAsia="Calibri"/>
                      <w:lang w:eastAsia="en-US"/>
                    </w:rPr>
                    <w:t>172</w:t>
                  </w:r>
                </w:p>
              </w:tc>
            </w:tr>
            <w:tr w:rsidR="00DA5522" w:rsidRPr="00473B6E" w:rsidTr="0095377B">
              <w:trPr>
                <w:trHeight w:val="599"/>
                <w:tblCellSpacing w:w="0" w:type="dxa"/>
              </w:trPr>
              <w:tc>
                <w:tcPr>
                  <w:tcW w:w="2529" w:type="dxa"/>
                </w:tcPr>
                <w:p w:rsidR="00DA5522" w:rsidRPr="0095377B" w:rsidRDefault="00DA5522" w:rsidP="00473B6E">
                  <w:pPr>
                    <w:rPr>
                      <w:rFonts w:eastAsia="Calibri"/>
                      <w:lang w:eastAsia="en-US"/>
                    </w:rPr>
                  </w:pPr>
                  <w:r w:rsidRPr="0095377B">
                    <w:rPr>
                      <w:rFonts w:eastAsia="Calibri"/>
                      <w:lang w:eastAsia="en-US"/>
                    </w:rPr>
                    <w:t>1.2. valsts speciālais budžets</w:t>
                  </w:r>
                </w:p>
              </w:tc>
              <w:tc>
                <w:tcPr>
                  <w:tcW w:w="1134" w:type="dxa"/>
                </w:tcPr>
                <w:p w:rsidR="00DA5522" w:rsidRPr="00473B6E" w:rsidRDefault="00DA5522" w:rsidP="00473B6E">
                  <w:pPr>
                    <w:spacing w:after="200" w:line="276" w:lineRule="auto"/>
                    <w:jc w:val="center"/>
                    <w:rPr>
                      <w:sz w:val="26"/>
                      <w:szCs w:val="26"/>
                    </w:rPr>
                  </w:pPr>
                </w:p>
              </w:tc>
              <w:tc>
                <w:tcPr>
                  <w:tcW w:w="1281" w:type="dxa"/>
                </w:tcPr>
                <w:p w:rsidR="00DA5522" w:rsidRPr="00473B6E" w:rsidRDefault="00DA5522" w:rsidP="00473B6E">
                  <w:pPr>
                    <w:spacing w:after="200" w:line="276" w:lineRule="auto"/>
                    <w:jc w:val="center"/>
                    <w:rPr>
                      <w:sz w:val="26"/>
                      <w:szCs w:val="26"/>
                    </w:rPr>
                  </w:pPr>
                </w:p>
              </w:tc>
              <w:tc>
                <w:tcPr>
                  <w:tcW w:w="1361" w:type="dxa"/>
                </w:tcPr>
                <w:p w:rsidR="00DA5522" w:rsidRPr="0095377B" w:rsidRDefault="00DA5522" w:rsidP="003E01FE">
                  <w:pPr>
                    <w:spacing w:after="200" w:line="276" w:lineRule="auto"/>
                    <w:jc w:val="right"/>
                    <w:rPr>
                      <w:rFonts w:eastAsia="Calibri"/>
                      <w:lang w:eastAsia="en-US"/>
                    </w:rPr>
                  </w:pPr>
                  <w:r w:rsidRPr="0095377B">
                    <w:rPr>
                      <w:rFonts w:eastAsia="Calibri"/>
                      <w:lang w:eastAsia="en-US"/>
                    </w:rPr>
                    <w:t xml:space="preserve">+1 </w:t>
                  </w:r>
                  <w:r>
                    <w:rPr>
                      <w:rFonts w:eastAsia="Calibri"/>
                      <w:lang w:eastAsia="en-US"/>
                    </w:rPr>
                    <w:t>738</w:t>
                  </w:r>
                </w:p>
              </w:tc>
              <w:tc>
                <w:tcPr>
                  <w:tcW w:w="1361" w:type="dxa"/>
                </w:tcPr>
                <w:p w:rsidR="00DA5522" w:rsidRPr="0095377B" w:rsidRDefault="00DA5522" w:rsidP="003E01FE">
                  <w:pPr>
                    <w:spacing w:after="200" w:line="276" w:lineRule="auto"/>
                    <w:jc w:val="right"/>
                    <w:rPr>
                      <w:rFonts w:eastAsia="Calibri"/>
                      <w:lang w:eastAsia="en-US"/>
                    </w:rPr>
                  </w:pPr>
                  <w:r w:rsidRPr="0095377B">
                    <w:rPr>
                      <w:rFonts w:eastAsia="Calibri"/>
                      <w:lang w:eastAsia="en-US"/>
                    </w:rPr>
                    <w:t xml:space="preserve">+1 </w:t>
                  </w:r>
                  <w:r>
                    <w:rPr>
                      <w:rFonts w:eastAsia="Calibri"/>
                      <w:lang w:eastAsia="en-US"/>
                    </w:rPr>
                    <w:t>738</w:t>
                  </w:r>
                </w:p>
              </w:tc>
              <w:tc>
                <w:tcPr>
                  <w:tcW w:w="1374" w:type="dxa"/>
                </w:tcPr>
                <w:p w:rsidR="00DA5522" w:rsidRPr="0095377B" w:rsidRDefault="00DA5522" w:rsidP="003E01FE">
                  <w:pPr>
                    <w:spacing w:after="200" w:line="276" w:lineRule="auto"/>
                    <w:jc w:val="right"/>
                    <w:rPr>
                      <w:rFonts w:eastAsia="Calibri"/>
                      <w:lang w:eastAsia="en-US"/>
                    </w:rPr>
                  </w:pPr>
                  <w:r w:rsidRPr="0095377B">
                    <w:rPr>
                      <w:rFonts w:eastAsia="Calibri"/>
                      <w:lang w:eastAsia="en-US"/>
                    </w:rPr>
                    <w:t xml:space="preserve">+1 </w:t>
                  </w:r>
                  <w:r>
                    <w:rPr>
                      <w:rFonts w:eastAsia="Calibri"/>
                      <w:lang w:eastAsia="en-US"/>
                    </w:rPr>
                    <w:t>738</w:t>
                  </w: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1.3. pašvaldību budžets</w:t>
                  </w:r>
                </w:p>
              </w:tc>
              <w:tc>
                <w:tcPr>
                  <w:tcW w:w="1134" w:type="dxa"/>
                </w:tcPr>
                <w:p w:rsidR="00473B6E" w:rsidRPr="00473B6E" w:rsidRDefault="00473B6E" w:rsidP="00473B6E">
                  <w:pPr>
                    <w:spacing w:after="200" w:line="276" w:lineRule="auto"/>
                    <w:jc w:val="center"/>
                    <w:rPr>
                      <w:sz w:val="26"/>
                      <w:szCs w:val="26"/>
                    </w:rPr>
                  </w:pP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95377B" w:rsidRDefault="00DA5522" w:rsidP="003E01FE">
                  <w:pPr>
                    <w:spacing w:after="200" w:line="276" w:lineRule="auto"/>
                    <w:jc w:val="right"/>
                    <w:rPr>
                      <w:rFonts w:eastAsia="Calibri"/>
                      <w:lang w:eastAsia="en-US"/>
                    </w:rPr>
                  </w:pPr>
                  <w:r>
                    <w:rPr>
                      <w:rFonts w:eastAsia="Calibri"/>
                      <w:lang w:eastAsia="en-US"/>
                    </w:rPr>
                    <w:t>+</w:t>
                  </w:r>
                  <w:r w:rsidR="003E01FE">
                    <w:rPr>
                      <w:rFonts w:eastAsia="Calibri"/>
                      <w:lang w:eastAsia="en-US"/>
                    </w:rPr>
                    <w:t>786</w:t>
                  </w:r>
                </w:p>
              </w:tc>
              <w:tc>
                <w:tcPr>
                  <w:tcW w:w="1361" w:type="dxa"/>
                </w:tcPr>
                <w:p w:rsidR="00473B6E" w:rsidRPr="0095377B" w:rsidRDefault="00DA5522" w:rsidP="003E01FE">
                  <w:pPr>
                    <w:spacing w:after="200" w:line="276" w:lineRule="auto"/>
                    <w:jc w:val="right"/>
                    <w:rPr>
                      <w:rFonts w:eastAsia="Calibri"/>
                      <w:lang w:eastAsia="en-US"/>
                    </w:rPr>
                  </w:pPr>
                  <w:r>
                    <w:rPr>
                      <w:rFonts w:eastAsia="Calibri"/>
                      <w:lang w:eastAsia="en-US"/>
                    </w:rPr>
                    <w:t>+</w:t>
                  </w:r>
                  <w:r w:rsidR="003E01FE">
                    <w:rPr>
                      <w:rFonts w:eastAsia="Calibri"/>
                      <w:lang w:eastAsia="en-US"/>
                    </w:rPr>
                    <w:t>786</w:t>
                  </w:r>
                </w:p>
              </w:tc>
              <w:tc>
                <w:tcPr>
                  <w:tcW w:w="1374" w:type="dxa"/>
                </w:tcPr>
                <w:p w:rsidR="00473B6E" w:rsidRPr="0095377B" w:rsidRDefault="00DA5522" w:rsidP="003E01FE">
                  <w:pPr>
                    <w:spacing w:after="200" w:line="276" w:lineRule="auto"/>
                    <w:jc w:val="right"/>
                    <w:rPr>
                      <w:rFonts w:eastAsia="Calibri"/>
                      <w:lang w:eastAsia="en-US"/>
                    </w:rPr>
                  </w:pPr>
                  <w:r>
                    <w:rPr>
                      <w:rFonts w:eastAsia="Calibri"/>
                      <w:lang w:eastAsia="en-US"/>
                    </w:rPr>
                    <w:t>+</w:t>
                  </w:r>
                  <w:r w:rsidR="003E01FE">
                    <w:rPr>
                      <w:rFonts w:eastAsia="Calibri"/>
                      <w:lang w:eastAsia="en-US"/>
                    </w:rPr>
                    <w:t>786</w:t>
                  </w: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2. Budžeta izdevumi:</w:t>
                  </w:r>
                </w:p>
              </w:tc>
              <w:tc>
                <w:tcPr>
                  <w:tcW w:w="1134" w:type="dxa"/>
                </w:tcPr>
                <w:p w:rsidR="00473B6E" w:rsidRPr="00473B6E" w:rsidRDefault="00473B6E" w:rsidP="00473B6E">
                  <w:pPr>
                    <w:spacing w:after="200" w:line="276" w:lineRule="auto"/>
                    <w:jc w:val="center"/>
                    <w:rPr>
                      <w:sz w:val="26"/>
                      <w:szCs w:val="26"/>
                    </w:rPr>
                  </w:pP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473B6E" w:rsidRDefault="00473B6E" w:rsidP="0095377B">
                  <w:pPr>
                    <w:spacing w:after="200" w:line="276" w:lineRule="auto"/>
                    <w:jc w:val="right"/>
                    <w:rPr>
                      <w:rFonts w:eastAsia="Calibri"/>
                      <w:sz w:val="26"/>
                      <w:szCs w:val="26"/>
                      <w:lang w:eastAsia="en-US"/>
                    </w:rPr>
                  </w:pPr>
                </w:p>
              </w:tc>
              <w:tc>
                <w:tcPr>
                  <w:tcW w:w="1361" w:type="dxa"/>
                </w:tcPr>
                <w:p w:rsidR="00473B6E" w:rsidRPr="00473B6E" w:rsidRDefault="00473B6E" w:rsidP="0095377B">
                  <w:pPr>
                    <w:spacing w:after="200" w:line="276" w:lineRule="auto"/>
                    <w:jc w:val="right"/>
                    <w:rPr>
                      <w:rFonts w:eastAsia="Calibri"/>
                      <w:sz w:val="26"/>
                      <w:szCs w:val="26"/>
                      <w:lang w:eastAsia="en-US"/>
                    </w:rPr>
                  </w:pPr>
                </w:p>
              </w:tc>
              <w:tc>
                <w:tcPr>
                  <w:tcW w:w="1374" w:type="dxa"/>
                </w:tcPr>
                <w:p w:rsidR="00473B6E" w:rsidRPr="00473B6E" w:rsidRDefault="00473B6E" w:rsidP="0095377B">
                  <w:pPr>
                    <w:spacing w:after="200" w:line="276" w:lineRule="auto"/>
                    <w:jc w:val="right"/>
                    <w:rPr>
                      <w:rFonts w:eastAsia="Calibri"/>
                      <w:sz w:val="26"/>
                      <w:szCs w:val="26"/>
                      <w:lang w:eastAsia="en-US"/>
                    </w:rPr>
                  </w:pP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2.1. valsts pamatbudžets</w:t>
                  </w:r>
                </w:p>
              </w:tc>
              <w:tc>
                <w:tcPr>
                  <w:tcW w:w="1134" w:type="dxa"/>
                </w:tcPr>
                <w:p w:rsidR="00473B6E" w:rsidRPr="00473B6E" w:rsidRDefault="00473B6E" w:rsidP="00473B6E">
                  <w:pPr>
                    <w:spacing w:after="200" w:line="276" w:lineRule="auto"/>
                    <w:jc w:val="center"/>
                    <w:rPr>
                      <w:sz w:val="26"/>
                      <w:szCs w:val="26"/>
                    </w:rPr>
                  </w:pP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473B6E" w:rsidRDefault="00473B6E" w:rsidP="0095377B">
                  <w:pPr>
                    <w:spacing w:after="200" w:line="276" w:lineRule="auto"/>
                    <w:jc w:val="right"/>
                    <w:rPr>
                      <w:rFonts w:eastAsia="Calibri"/>
                      <w:sz w:val="26"/>
                      <w:szCs w:val="26"/>
                      <w:lang w:eastAsia="en-US"/>
                    </w:rPr>
                  </w:pPr>
                </w:p>
              </w:tc>
              <w:tc>
                <w:tcPr>
                  <w:tcW w:w="1361" w:type="dxa"/>
                </w:tcPr>
                <w:p w:rsidR="00473B6E" w:rsidRPr="00473B6E" w:rsidRDefault="00473B6E" w:rsidP="0095377B">
                  <w:pPr>
                    <w:spacing w:after="200" w:line="276" w:lineRule="auto"/>
                    <w:jc w:val="right"/>
                    <w:rPr>
                      <w:rFonts w:eastAsia="Calibri"/>
                      <w:sz w:val="26"/>
                      <w:szCs w:val="26"/>
                      <w:lang w:eastAsia="en-US"/>
                    </w:rPr>
                  </w:pPr>
                </w:p>
              </w:tc>
              <w:tc>
                <w:tcPr>
                  <w:tcW w:w="1374" w:type="dxa"/>
                </w:tcPr>
                <w:p w:rsidR="00473B6E" w:rsidRPr="00473B6E" w:rsidRDefault="00473B6E" w:rsidP="0095377B">
                  <w:pPr>
                    <w:spacing w:after="200" w:line="276" w:lineRule="auto"/>
                    <w:jc w:val="right"/>
                    <w:rPr>
                      <w:rFonts w:eastAsia="Calibri"/>
                      <w:sz w:val="26"/>
                      <w:szCs w:val="26"/>
                      <w:lang w:eastAsia="en-US"/>
                    </w:rPr>
                  </w:pP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2.2. valsts speciālais budžets</w:t>
                  </w:r>
                </w:p>
              </w:tc>
              <w:tc>
                <w:tcPr>
                  <w:tcW w:w="1134" w:type="dxa"/>
                </w:tcPr>
                <w:p w:rsidR="00473B6E" w:rsidRPr="00473B6E" w:rsidRDefault="00473B6E" w:rsidP="00473B6E">
                  <w:pPr>
                    <w:spacing w:after="200" w:line="276" w:lineRule="auto"/>
                    <w:jc w:val="center"/>
                    <w:rPr>
                      <w:sz w:val="26"/>
                      <w:szCs w:val="26"/>
                    </w:rPr>
                  </w:pP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473B6E" w:rsidRDefault="00473B6E" w:rsidP="0095377B">
                  <w:pPr>
                    <w:spacing w:after="200" w:line="276" w:lineRule="auto"/>
                    <w:jc w:val="right"/>
                    <w:rPr>
                      <w:rFonts w:eastAsia="Calibri"/>
                      <w:sz w:val="26"/>
                      <w:szCs w:val="26"/>
                      <w:lang w:eastAsia="en-US"/>
                    </w:rPr>
                  </w:pPr>
                </w:p>
              </w:tc>
              <w:tc>
                <w:tcPr>
                  <w:tcW w:w="1361" w:type="dxa"/>
                </w:tcPr>
                <w:p w:rsidR="00473B6E" w:rsidRPr="00473B6E" w:rsidRDefault="00473B6E" w:rsidP="0095377B">
                  <w:pPr>
                    <w:spacing w:after="200" w:line="276" w:lineRule="auto"/>
                    <w:jc w:val="right"/>
                    <w:rPr>
                      <w:rFonts w:eastAsia="Calibri"/>
                      <w:sz w:val="26"/>
                      <w:szCs w:val="26"/>
                      <w:lang w:eastAsia="en-US"/>
                    </w:rPr>
                  </w:pPr>
                </w:p>
              </w:tc>
              <w:tc>
                <w:tcPr>
                  <w:tcW w:w="1374" w:type="dxa"/>
                </w:tcPr>
                <w:p w:rsidR="00473B6E" w:rsidRPr="00473B6E" w:rsidRDefault="00473B6E" w:rsidP="0095377B">
                  <w:pPr>
                    <w:spacing w:after="200" w:line="276" w:lineRule="auto"/>
                    <w:jc w:val="right"/>
                    <w:rPr>
                      <w:rFonts w:eastAsia="Calibri"/>
                      <w:sz w:val="26"/>
                      <w:szCs w:val="26"/>
                      <w:lang w:eastAsia="en-US"/>
                    </w:rPr>
                  </w:pP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2.3. pašvaldību budžets</w:t>
                  </w:r>
                </w:p>
              </w:tc>
              <w:tc>
                <w:tcPr>
                  <w:tcW w:w="1134" w:type="dxa"/>
                </w:tcPr>
                <w:p w:rsidR="00473B6E" w:rsidRPr="00473B6E" w:rsidRDefault="00473B6E" w:rsidP="00473B6E">
                  <w:pPr>
                    <w:spacing w:after="200" w:line="276" w:lineRule="auto"/>
                    <w:jc w:val="center"/>
                    <w:rPr>
                      <w:sz w:val="26"/>
                      <w:szCs w:val="26"/>
                    </w:rPr>
                  </w:pP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95377B" w:rsidRDefault="00473B6E" w:rsidP="0095377B">
                  <w:pPr>
                    <w:spacing w:after="200" w:line="276" w:lineRule="auto"/>
                    <w:jc w:val="right"/>
                    <w:rPr>
                      <w:rFonts w:eastAsia="Calibri"/>
                      <w:lang w:eastAsia="en-US"/>
                    </w:rPr>
                  </w:pPr>
                </w:p>
              </w:tc>
              <w:tc>
                <w:tcPr>
                  <w:tcW w:w="1361" w:type="dxa"/>
                </w:tcPr>
                <w:p w:rsidR="00473B6E" w:rsidRPr="0095377B" w:rsidRDefault="00473B6E" w:rsidP="0095377B">
                  <w:pPr>
                    <w:spacing w:after="200" w:line="276" w:lineRule="auto"/>
                    <w:jc w:val="right"/>
                    <w:rPr>
                      <w:rFonts w:eastAsia="Calibri"/>
                      <w:lang w:eastAsia="en-US"/>
                    </w:rPr>
                  </w:pPr>
                </w:p>
              </w:tc>
              <w:tc>
                <w:tcPr>
                  <w:tcW w:w="1374" w:type="dxa"/>
                </w:tcPr>
                <w:p w:rsidR="00473B6E" w:rsidRPr="0095377B" w:rsidRDefault="00473B6E" w:rsidP="0095377B">
                  <w:pPr>
                    <w:spacing w:after="200" w:line="276" w:lineRule="auto"/>
                    <w:jc w:val="right"/>
                    <w:rPr>
                      <w:rFonts w:eastAsia="Calibri"/>
                      <w:lang w:eastAsia="en-US"/>
                    </w:rPr>
                  </w:pPr>
                </w:p>
              </w:tc>
            </w:tr>
            <w:tr w:rsidR="00C023A7" w:rsidRPr="00473B6E" w:rsidTr="0095377B">
              <w:trPr>
                <w:trHeight w:val="381"/>
                <w:tblCellSpacing w:w="0" w:type="dxa"/>
              </w:trPr>
              <w:tc>
                <w:tcPr>
                  <w:tcW w:w="2529" w:type="dxa"/>
                </w:tcPr>
                <w:p w:rsidR="00C023A7" w:rsidRPr="0095377B" w:rsidRDefault="00C023A7" w:rsidP="00473B6E">
                  <w:pPr>
                    <w:rPr>
                      <w:rFonts w:eastAsia="Calibri"/>
                      <w:lang w:eastAsia="en-US"/>
                    </w:rPr>
                  </w:pPr>
                  <w:r w:rsidRPr="0095377B">
                    <w:rPr>
                      <w:rFonts w:eastAsia="Calibri"/>
                      <w:lang w:eastAsia="en-US"/>
                    </w:rPr>
                    <w:t>3. Finansiālā ietekme:</w:t>
                  </w:r>
                </w:p>
              </w:tc>
              <w:tc>
                <w:tcPr>
                  <w:tcW w:w="1134" w:type="dxa"/>
                </w:tcPr>
                <w:p w:rsidR="00C023A7" w:rsidRPr="00473B6E" w:rsidRDefault="00C023A7" w:rsidP="00473B6E">
                  <w:pPr>
                    <w:spacing w:after="200" w:line="276" w:lineRule="auto"/>
                    <w:jc w:val="center"/>
                    <w:rPr>
                      <w:sz w:val="26"/>
                      <w:szCs w:val="26"/>
                    </w:rPr>
                  </w:pPr>
                </w:p>
              </w:tc>
              <w:tc>
                <w:tcPr>
                  <w:tcW w:w="1281" w:type="dxa"/>
                </w:tcPr>
                <w:p w:rsidR="00C023A7" w:rsidRPr="00473B6E" w:rsidRDefault="00C023A7" w:rsidP="00473B6E">
                  <w:pPr>
                    <w:spacing w:after="200" w:line="276" w:lineRule="auto"/>
                    <w:jc w:val="center"/>
                    <w:rPr>
                      <w:sz w:val="26"/>
                      <w:szCs w:val="26"/>
                    </w:rPr>
                  </w:pPr>
                </w:p>
              </w:tc>
              <w:tc>
                <w:tcPr>
                  <w:tcW w:w="1361" w:type="dxa"/>
                </w:tcPr>
                <w:p w:rsidR="00C023A7" w:rsidRPr="0095377B" w:rsidRDefault="00C023A7" w:rsidP="003E01FE">
                  <w:pPr>
                    <w:spacing w:after="200" w:line="276" w:lineRule="auto"/>
                    <w:jc w:val="right"/>
                    <w:rPr>
                      <w:rFonts w:eastAsia="Calibri"/>
                      <w:lang w:eastAsia="en-US"/>
                    </w:rPr>
                  </w:pPr>
                  <w:r w:rsidRPr="0095377B">
                    <w:rPr>
                      <w:rFonts w:eastAsia="Calibri"/>
                      <w:lang w:eastAsia="en-US"/>
                    </w:rPr>
                    <w:t>+</w:t>
                  </w:r>
                  <w:r w:rsidR="003E01FE">
                    <w:rPr>
                      <w:rFonts w:eastAsia="Calibri"/>
                      <w:lang w:eastAsia="en-US"/>
                    </w:rPr>
                    <w:t>2 696</w:t>
                  </w:r>
                </w:p>
              </w:tc>
              <w:tc>
                <w:tcPr>
                  <w:tcW w:w="1361" w:type="dxa"/>
                </w:tcPr>
                <w:p w:rsidR="00C023A7" w:rsidRPr="0095377B" w:rsidRDefault="00DA5522" w:rsidP="003E01FE">
                  <w:pPr>
                    <w:spacing w:after="200" w:line="276" w:lineRule="auto"/>
                    <w:jc w:val="right"/>
                    <w:rPr>
                      <w:rFonts w:eastAsia="Calibri"/>
                      <w:lang w:eastAsia="en-US"/>
                    </w:rPr>
                  </w:pPr>
                  <w:r w:rsidRPr="0095377B">
                    <w:rPr>
                      <w:rFonts w:eastAsia="Calibri"/>
                      <w:lang w:eastAsia="en-US"/>
                    </w:rPr>
                    <w:t>+</w:t>
                  </w:r>
                  <w:r w:rsidR="003E01FE">
                    <w:rPr>
                      <w:rFonts w:eastAsia="Calibri"/>
                      <w:lang w:eastAsia="en-US"/>
                    </w:rPr>
                    <w:t>2 696</w:t>
                  </w:r>
                </w:p>
              </w:tc>
              <w:tc>
                <w:tcPr>
                  <w:tcW w:w="1374" w:type="dxa"/>
                </w:tcPr>
                <w:p w:rsidR="00C023A7" w:rsidRPr="0095377B" w:rsidRDefault="00DA5522" w:rsidP="003E01FE">
                  <w:pPr>
                    <w:spacing w:after="200" w:line="276" w:lineRule="auto"/>
                    <w:jc w:val="right"/>
                    <w:rPr>
                      <w:rFonts w:eastAsia="Calibri"/>
                      <w:lang w:eastAsia="en-US"/>
                    </w:rPr>
                  </w:pPr>
                  <w:r w:rsidRPr="0095377B">
                    <w:rPr>
                      <w:rFonts w:eastAsia="Calibri"/>
                      <w:lang w:eastAsia="en-US"/>
                    </w:rPr>
                    <w:t>+</w:t>
                  </w:r>
                  <w:r w:rsidR="003E01FE">
                    <w:rPr>
                      <w:rFonts w:eastAsia="Calibri"/>
                      <w:lang w:eastAsia="en-US"/>
                    </w:rPr>
                    <w:t>2 696</w:t>
                  </w:r>
                </w:p>
              </w:tc>
            </w:tr>
            <w:tr w:rsidR="00C023A7" w:rsidRPr="00473B6E" w:rsidTr="0095377B">
              <w:trPr>
                <w:trHeight w:val="381"/>
                <w:tblCellSpacing w:w="0" w:type="dxa"/>
              </w:trPr>
              <w:tc>
                <w:tcPr>
                  <w:tcW w:w="2529" w:type="dxa"/>
                </w:tcPr>
                <w:p w:rsidR="00C023A7" w:rsidRPr="0095377B" w:rsidRDefault="00C023A7" w:rsidP="00473B6E">
                  <w:pPr>
                    <w:rPr>
                      <w:rFonts w:eastAsia="Calibri"/>
                      <w:lang w:eastAsia="en-US"/>
                    </w:rPr>
                  </w:pPr>
                  <w:r w:rsidRPr="0095377B">
                    <w:rPr>
                      <w:rFonts w:eastAsia="Calibri"/>
                      <w:lang w:eastAsia="en-US"/>
                    </w:rPr>
                    <w:t>3.1. valsts pamatbudžets</w:t>
                  </w:r>
                </w:p>
              </w:tc>
              <w:tc>
                <w:tcPr>
                  <w:tcW w:w="1134" w:type="dxa"/>
                </w:tcPr>
                <w:p w:rsidR="00C023A7" w:rsidRPr="00473B6E" w:rsidRDefault="00C023A7" w:rsidP="00473B6E">
                  <w:pPr>
                    <w:spacing w:after="200" w:line="276" w:lineRule="auto"/>
                    <w:jc w:val="center"/>
                    <w:rPr>
                      <w:sz w:val="26"/>
                      <w:szCs w:val="26"/>
                    </w:rPr>
                  </w:pPr>
                </w:p>
              </w:tc>
              <w:tc>
                <w:tcPr>
                  <w:tcW w:w="1281" w:type="dxa"/>
                </w:tcPr>
                <w:p w:rsidR="00C023A7" w:rsidRPr="00473B6E" w:rsidRDefault="00C023A7" w:rsidP="00473B6E">
                  <w:pPr>
                    <w:spacing w:after="200" w:line="276" w:lineRule="auto"/>
                    <w:jc w:val="center"/>
                    <w:rPr>
                      <w:sz w:val="26"/>
                      <w:szCs w:val="26"/>
                    </w:rPr>
                  </w:pPr>
                </w:p>
              </w:tc>
              <w:tc>
                <w:tcPr>
                  <w:tcW w:w="1361" w:type="dxa"/>
                </w:tcPr>
                <w:p w:rsidR="00C023A7" w:rsidRPr="0095377B" w:rsidRDefault="00DA5522" w:rsidP="003E01FE">
                  <w:pPr>
                    <w:spacing w:after="200" w:line="276" w:lineRule="auto"/>
                    <w:jc w:val="right"/>
                    <w:rPr>
                      <w:rFonts w:eastAsia="Calibri"/>
                      <w:lang w:eastAsia="en-US"/>
                    </w:rPr>
                  </w:pPr>
                  <w:r>
                    <w:rPr>
                      <w:rFonts w:eastAsia="Calibri"/>
                      <w:lang w:eastAsia="en-US"/>
                    </w:rPr>
                    <w:t>+</w:t>
                  </w:r>
                  <w:r w:rsidR="003E01FE">
                    <w:rPr>
                      <w:rFonts w:eastAsia="Calibri"/>
                      <w:lang w:eastAsia="en-US"/>
                    </w:rPr>
                    <w:t>172</w:t>
                  </w:r>
                </w:p>
              </w:tc>
              <w:tc>
                <w:tcPr>
                  <w:tcW w:w="1361" w:type="dxa"/>
                </w:tcPr>
                <w:p w:rsidR="00C023A7" w:rsidRPr="0095377B" w:rsidRDefault="00DA5522" w:rsidP="003E01FE">
                  <w:pPr>
                    <w:spacing w:after="200" w:line="276" w:lineRule="auto"/>
                    <w:jc w:val="right"/>
                    <w:rPr>
                      <w:rFonts w:eastAsia="Calibri"/>
                      <w:lang w:eastAsia="en-US"/>
                    </w:rPr>
                  </w:pPr>
                  <w:r>
                    <w:rPr>
                      <w:rFonts w:eastAsia="Calibri"/>
                      <w:lang w:eastAsia="en-US"/>
                    </w:rPr>
                    <w:t>+</w:t>
                  </w:r>
                  <w:r w:rsidR="003E01FE">
                    <w:rPr>
                      <w:rFonts w:eastAsia="Calibri"/>
                      <w:lang w:eastAsia="en-US"/>
                    </w:rPr>
                    <w:t>172</w:t>
                  </w:r>
                </w:p>
              </w:tc>
              <w:tc>
                <w:tcPr>
                  <w:tcW w:w="1374" w:type="dxa"/>
                </w:tcPr>
                <w:p w:rsidR="00C023A7" w:rsidRPr="0095377B" w:rsidRDefault="00DA5522" w:rsidP="003E01FE">
                  <w:pPr>
                    <w:spacing w:after="200" w:line="276" w:lineRule="auto"/>
                    <w:jc w:val="right"/>
                    <w:rPr>
                      <w:rFonts w:eastAsia="Calibri"/>
                      <w:lang w:eastAsia="en-US"/>
                    </w:rPr>
                  </w:pPr>
                  <w:r>
                    <w:rPr>
                      <w:rFonts w:eastAsia="Calibri"/>
                      <w:lang w:eastAsia="en-US"/>
                    </w:rPr>
                    <w:t>+</w:t>
                  </w:r>
                  <w:r w:rsidR="00EB6B8C">
                    <w:rPr>
                      <w:rFonts w:eastAsia="Calibri"/>
                      <w:lang w:eastAsia="en-US"/>
                    </w:rPr>
                    <w:t>1</w:t>
                  </w:r>
                  <w:r w:rsidR="003E01FE">
                    <w:rPr>
                      <w:rFonts w:eastAsia="Calibri"/>
                      <w:lang w:eastAsia="en-US"/>
                    </w:rPr>
                    <w:t>72</w:t>
                  </w:r>
                </w:p>
              </w:tc>
            </w:tr>
            <w:tr w:rsidR="00C023A7" w:rsidRPr="00473B6E" w:rsidTr="0095377B">
              <w:trPr>
                <w:trHeight w:val="381"/>
                <w:tblCellSpacing w:w="0" w:type="dxa"/>
              </w:trPr>
              <w:tc>
                <w:tcPr>
                  <w:tcW w:w="2529" w:type="dxa"/>
                </w:tcPr>
                <w:p w:rsidR="00C023A7" w:rsidRPr="0095377B" w:rsidRDefault="00C023A7" w:rsidP="00473B6E">
                  <w:pPr>
                    <w:rPr>
                      <w:rFonts w:eastAsia="Calibri"/>
                      <w:lang w:eastAsia="en-US"/>
                    </w:rPr>
                  </w:pPr>
                  <w:r w:rsidRPr="0095377B">
                    <w:rPr>
                      <w:rFonts w:eastAsia="Calibri"/>
                      <w:lang w:eastAsia="en-US"/>
                    </w:rPr>
                    <w:t>3.2. speciālais budžets</w:t>
                  </w:r>
                </w:p>
              </w:tc>
              <w:tc>
                <w:tcPr>
                  <w:tcW w:w="1134" w:type="dxa"/>
                </w:tcPr>
                <w:p w:rsidR="00C023A7" w:rsidRPr="00473B6E" w:rsidRDefault="00C023A7" w:rsidP="00473B6E">
                  <w:pPr>
                    <w:spacing w:after="200" w:line="276" w:lineRule="auto"/>
                    <w:jc w:val="center"/>
                    <w:rPr>
                      <w:sz w:val="26"/>
                      <w:szCs w:val="26"/>
                    </w:rPr>
                  </w:pPr>
                </w:p>
              </w:tc>
              <w:tc>
                <w:tcPr>
                  <w:tcW w:w="1281" w:type="dxa"/>
                </w:tcPr>
                <w:p w:rsidR="00C023A7" w:rsidRPr="00473B6E" w:rsidRDefault="00C023A7" w:rsidP="00473B6E">
                  <w:pPr>
                    <w:spacing w:after="200" w:line="276" w:lineRule="auto"/>
                    <w:jc w:val="center"/>
                    <w:rPr>
                      <w:sz w:val="26"/>
                      <w:szCs w:val="26"/>
                    </w:rPr>
                  </w:pPr>
                </w:p>
              </w:tc>
              <w:tc>
                <w:tcPr>
                  <w:tcW w:w="1361" w:type="dxa"/>
                </w:tcPr>
                <w:p w:rsidR="00C023A7" w:rsidRPr="0095377B" w:rsidRDefault="00C023A7" w:rsidP="00DA5522">
                  <w:pPr>
                    <w:spacing w:after="200" w:line="276" w:lineRule="auto"/>
                    <w:jc w:val="right"/>
                    <w:rPr>
                      <w:rFonts w:eastAsia="Calibri"/>
                      <w:lang w:eastAsia="en-US"/>
                    </w:rPr>
                  </w:pPr>
                  <w:r w:rsidRPr="0095377B">
                    <w:rPr>
                      <w:rFonts w:eastAsia="Calibri"/>
                      <w:lang w:eastAsia="en-US"/>
                    </w:rPr>
                    <w:t xml:space="preserve">+1 </w:t>
                  </w:r>
                  <w:r w:rsidR="00DA5522">
                    <w:rPr>
                      <w:rFonts w:eastAsia="Calibri"/>
                      <w:lang w:eastAsia="en-US"/>
                    </w:rPr>
                    <w:t>738</w:t>
                  </w:r>
                </w:p>
              </w:tc>
              <w:tc>
                <w:tcPr>
                  <w:tcW w:w="1361" w:type="dxa"/>
                </w:tcPr>
                <w:p w:rsidR="00C023A7" w:rsidRPr="0095377B" w:rsidRDefault="00C023A7" w:rsidP="0095377B">
                  <w:pPr>
                    <w:spacing w:after="200" w:line="276" w:lineRule="auto"/>
                    <w:jc w:val="right"/>
                    <w:rPr>
                      <w:rFonts w:eastAsia="Calibri"/>
                      <w:lang w:eastAsia="en-US"/>
                    </w:rPr>
                  </w:pPr>
                  <w:r w:rsidRPr="0095377B">
                    <w:rPr>
                      <w:rFonts w:eastAsia="Calibri"/>
                      <w:lang w:eastAsia="en-US"/>
                    </w:rPr>
                    <w:t xml:space="preserve">+1 </w:t>
                  </w:r>
                  <w:r w:rsidR="00DA5522">
                    <w:rPr>
                      <w:rFonts w:eastAsia="Calibri"/>
                      <w:lang w:eastAsia="en-US"/>
                    </w:rPr>
                    <w:t>738</w:t>
                  </w:r>
                </w:p>
              </w:tc>
              <w:tc>
                <w:tcPr>
                  <w:tcW w:w="1374" w:type="dxa"/>
                </w:tcPr>
                <w:p w:rsidR="00C023A7" w:rsidRPr="0095377B" w:rsidRDefault="00C023A7" w:rsidP="0095377B">
                  <w:pPr>
                    <w:spacing w:after="200" w:line="276" w:lineRule="auto"/>
                    <w:jc w:val="right"/>
                    <w:rPr>
                      <w:rFonts w:eastAsia="Calibri"/>
                      <w:lang w:eastAsia="en-US"/>
                    </w:rPr>
                  </w:pPr>
                  <w:r w:rsidRPr="0095377B">
                    <w:rPr>
                      <w:rFonts w:eastAsia="Calibri"/>
                      <w:lang w:eastAsia="en-US"/>
                    </w:rPr>
                    <w:t xml:space="preserve">+1 </w:t>
                  </w:r>
                  <w:r w:rsidR="00DA5522">
                    <w:rPr>
                      <w:rFonts w:eastAsia="Calibri"/>
                      <w:lang w:eastAsia="en-US"/>
                    </w:rPr>
                    <w:t>738</w:t>
                  </w:r>
                </w:p>
              </w:tc>
            </w:tr>
            <w:tr w:rsidR="00C023A7" w:rsidRPr="00473B6E" w:rsidTr="0095377B">
              <w:trPr>
                <w:trHeight w:val="381"/>
                <w:tblCellSpacing w:w="0" w:type="dxa"/>
              </w:trPr>
              <w:tc>
                <w:tcPr>
                  <w:tcW w:w="2529" w:type="dxa"/>
                </w:tcPr>
                <w:p w:rsidR="00C023A7" w:rsidRDefault="00C023A7" w:rsidP="00473B6E">
                  <w:pPr>
                    <w:rPr>
                      <w:rFonts w:eastAsia="Calibri"/>
                      <w:lang w:eastAsia="en-US"/>
                    </w:rPr>
                  </w:pPr>
                  <w:r w:rsidRPr="0095377B">
                    <w:rPr>
                      <w:rFonts w:eastAsia="Calibri"/>
                      <w:lang w:eastAsia="en-US"/>
                    </w:rPr>
                    <w:t>3.3. pašvaldību budžets</w:t>
                  </w:r>
                </w:p>
                <w:p w:rsidR="003367D8" w:rsidRDefault="003367D8" w:rsidP="00473B6E">
                  <w:pPr>
                    <w:rPr>
                      <w:rFonts w:eastAsia="Calibri"/>
                      <w:lang w:eastAsia="en-US"/>
                    </w:rPr>
                  </w:pPr>
                </w:p>
                <w:p w:rsidR="003367D8" w:rsidRPr="0095377B" w:rsidRDefault="003367D8" w:rsidP="00473B6E">
                  <w:pPr>
                    <w:rPr>
                      <w:rFonts w:eastAsia="Calibri"/>
                      <w:lang w:eastAsia="en-US"/>
                    </w:rPr>
                  </w:pPr>
                </w:p>
                <w:p w:rsidR="00C023A7" w:rsidRPr="004F07D6" w:rsidRDefault="00C023A7" w:rsidP="001E02EF">
                  <w:pPr>
                    <w:pStyle w:val="NormalWeb"/>
                    <w:spacing w:before="0" w:beforeAutospacing="0" w:after="0" w:afterAutospacing="0"/>
                    <w:rPr>
                      <w:sz w:val="20"/>
                      <w:szCs w:val="20"/>
                    </w:rPr>
                  </w:pPr>
                  <w:r w:rsidRPr="004F07D6">
                    <w:rPr>
                      <w:sz w:val="20"/>
                      <w:szCs w:val="20"/>
                    </w:rPr>
                    <w:t>Tajā skaitā:</w:t>
                  </w:r>
                </w:p>
                <w:p w:rsidR="00C023A7" w:rsidRPr="004F07D6" w:rsidRDefault="003367D8" w:rsidP="003367D8">
                  <w:pPr>
                    <w:pStyle w:val="NormalWeb"/>
                    <w:spacing w:before="0" w:beforeAutospacing="0" w:after="0" w:afterAutospacing="0"/>
                    <w:jc w:val="both"/>
                    <w:rPr>
                      <w:sz w:val="20"/>
                      <w:szCs w:val="20"/>
                    </w:rPr>
                  </w:pPr>
                  <w:r>
                    <w:rPr>
                      <w:sz w:val="20"/>
                      <w:szCs w:val="20"/>
                    </w:rPr>
                    <w:t xml:space="preserve">1. </w:t>
                  </w:r>
                  <w:r w:rsidR="00C023A7" w:rsidRPr="00F77A75">
                    <w:rPr>
                      <w:sz w:val="20"/>
                      <w:szCs w:val="20"/>
                    </w:rPr>
                    <w:t>I</w:t>
                  </w:r>
                  <w:r w:rsidR="00C023A7" w:rsidRPr="0095377B">
                    <w:rPr>
                      <w:sz w:val="20"/>
                      <w:szCs w:val="20"/>
                    </w:rPr>
                    <w:t>enākums no īpašuma tiek pielīdzināts ienākumam no kapitāla, un arī aplikts pēc 10% likmes</w:t>
                  </w:r>
                </w:p>
                <w:p w:rsidR="00C023A7" w:rsidRPr="00206965" w:rsidRDefault="00C023A7" w:rsidP="0095377B">
                  <w:pPr>
                    <w:pStyle w:val="NormalWeb"/>
                    <w:spacing w:before="0" w:beforeAutospacing="0" w:after="0" w:afterAutospacing="0"/>
                    <w:ind w:left="280"/>
                    <w:rPr>
                      <w:sz w:val="20"/>
                      <w:szCs w:val="20"/>
                    </w:rPr>
                  </w:pPr>
                  <w:r w:rsidRPr="00F77A75">
                    <w:rPr>
                      <w:sz w:val="20"/>
                      <w:szCs w:val="20"/>
                    </w:rPr>
                    <w:lastRenderedPageBreak/>
                    <w:t xml:space="preserve"> t. </w:t>
                  </w:r>
                  <w:proofErr w:type="spellStart"/>
                  <w:r w:rsidRPr="00F77A75">
                    <w:rPr>
                      <w:sz w:val="20"/>
                      <w:szCs w:val="20"/>
                    </w:rPr>
                    <w:t>sk</w:t>
                  </w:r>
                  <w:proofErr w:type="spellEnd"/>
                  <w:r w:rsidRPr="00F77A75">
                    <w:rPr>
                      <w:sz w:val="20"/>
                      <w:szCs w:val="20"/>
                    </w:rPr>
                    <w:t>. valsts pamatbudžetā</w:t>
                  </w:r>
                </w:p>
                <w:p w:rsidR="00C023A7" w:rsidRPr="003D6C31" w:rsidRDefault="00C023A7" w:rsidP="0095377B">
                  <w:pPr>
                    <w:pStyle w:val="NormalWeb"/>
                    <w:spacing w:before="0" w:beforeAutospacing="0" w:after="0" w:afterAutospacing="0"/>
                    <w:ind w:left="280"/>
                    <w:rPr>
                      <w:sz w:val="20"/>
                      <w:szCs w:val="20"/>
                    </w:rPr>
                  </w:pPr>
                  <w:r w:rsidRPr="003D6C31">
                    <w:rPr>
                      <w:sz w:val="20"/>
                      <w:szCs w:val="20"/>
                    </w:rPr>
                    <w:t>pašvaldību budžetā</w:t>
                  </w:r>
                </w:p>
                <w:p w:rsidR="00C023A7" w:rsidRPr="004F07D6" w:rsidRDefault="00C023A7" w:rsidP="001E02EF">
                  <w:pPr>
                    <w:tabs>
                      <w:tab w:val="left" w:pos="284"/>
                    </w:tabs>
                    <w:jc w:val="both"/>
                    <w:rPr>
                      <w:sz w:val="20"/>
                      <w:szCs w:val="20"/>
                    </w:rPr>
                  </w:pPr>
                  <w:r w:rsidRPr="003D6C31">
                    <w:rPr>
                      <w:sz w:val="20"/>
                      <w:szCs w:val="20"/>
                    </w:rPr>
                    <w:t xml:space="preserve">2. </w:t>
                  </w:r>
                  <w:r w:rsidRPr="003D6C31">
                    <w:rPr>
                      <w:color w:val="000000"/>
                      <w:sz w:val="20"/>
                      <w:szCs w:val="20"/>
                    </w:rPr>
                    <w:t>P</w:t>
                  </w:r>
                  <w:r w:rsidRPr="0095377B">
                    <w:rPr>
                      <w:color w:val="000000"/>
                      <w:sz w:val="20"/>
                      <w:szCs w:val="20"/>
                    </w:rPr>
                    <w:t xml:space="preserve">apildu ierobežojumi attiecībā uz pakalpojumu līgumu, uzņēmumu līgumu, darbaspēka nomu </w:t>
                  </w:r>
                  <w:proofErr w:type="spellStart"/>
                  <w:r w:rsidRPr="0095377B">
                    <w:rPr>
                      <w:color w:val="000000"/>
                      <w:sz w:val="20"/>
                      <w:szCs w:val="20"/>
                    </w:rPr>
                    <w:t>u.c</w:t>
                  </w:r>
                  <w:proofErr w:type="spellEnd"/>
                  <w:r w:rsidRPr="0095377B">
                    <w:rPr>
                      <w:color w:val="000000"/>
                      <w:sz w:val="20"/>
                      <w:szCs w:val="20"/>
                    </w:rPr>
                    <w:t xml:space="preserve">. pakalpojumu saņemšanu no </w:t>
                  </w:r>
                  <w:proofErr w:type="spellStart"/>
                  <w:r w:rsidRPr="0095377B">
                    <w:rPr>
                      <w:color w:val="000000"/>
                      <w:sz w:val="20"/>
                      <w:szCs w:val="20"/>
                    </w:rPr>
                    <w:t>mikrouzņēmumiem</w:t>
                  </w:r>
                  <w:proofErr w:type="spellEnd"/>
                </w:p>
                <w:p w:rsidR="00C023A7" w:rsidRDefault="00C023A7" w:rsidP="001E02EF">
                  <w:pPr>
                    <w:pStyle w:val="NormalWeb"/>
                    <w:spacing w:before="0" w:beforeAutospacing="0" w:after="0" w:afterAutospacing="0"/>
                    <w:ind w:left="280"/>
                    <w:rPr>
                      <w:sz w:val="20"/>
                      <w:szCs w:val="20"/>
                    </w:rPr>
                  </w:pPr>
                  <w:r w:rsidRPr="00F77A75">
                    <w:rPr>
                      <w:sz w:val="20"/>
                      <w:szCs w:val="20"/>
                    </w:rPr>
                    <w:t xml:space="preserve">t. </w:t>
                  </w:r>
                  <w:proofErr w:type="spellStart"/>
                  <w:r w:rsidRPr="00F77A75">
                    <w:rPr>
                      <w:sz w:val="20"/>
                      <w:szCs w:val="20"/>
                    </w:rPr>
                    <w:t>sk</w:t>
                  </w:r>
                  <w:proofErr w:type="spellEnd"/>
                  <w:r w:rsidRPr="00F77A75">
                    <w:rPr>
                      <w:sz w:val="20"/>
                      <w:szCs w:val="20"/>
                    </w:rPr>
                    <w:t>. valsts pamatbudžetā</w:t>
                  </w:r>
                </w:p>
                <w:p w:rsidR="00C023A7" w:rsidRPr="00206965" w:rsidRDefault="00C023A7" w:rsidP="001E02EF">
                  <w:pPr>
                    <w:pStyle w:val="NormalWeb"/>
                    <w:spacing w:before="0" w:beforeAutospacing="0" w:after="0" w:afterAutospacing="0"/>
                    <w:ind w:left="280"/>
                    <w:rPr>
                      <w:sz w:val="20"/>
                      <w:szCs w:val="20"/>
                    </w:rPr>
                  </w:pPr>
                  <w:r>
                    <w:rPr>
                      <w:sz w:val="20"/>
                      <w:szCs w:val="20"/>
                    </w:rPr>
                    <w:t>speciālajā budžetā</w:t>
                  </w:r>
                </w:p>
                <w:p w:rsidR="00C023A7" w:rsidRPr="003D6C31" w:rsidRDefault="00C023A7" w:rsidP="001E02EF">
                  <w:pPr>
                    <w:pStyle w:val="NormalWeb"/>
                    <w:spacing w:before="0" w:beforeAutospacing="0" w:after="0" w:afterAutospacing="0"/>
                    <w:ind w:left="280"/>
                    <w:rPr>
                      <w:sz w:val="20"/>
                      <w:szCs w:val="20"/>
                    </w:rPr>
                  </w:pPr>
                  <w:r w:rsidRPr="003D6C31">
                    <w:rPr>
                      <w:sz w:val="20"/>
                      <w:szCs w:val="20"/>
                    </w:rPr>
                    <w:t>pašvaldību budžetā</w:t>
                  </w:r>
                </w:p>
                <w:p w:rsidR="00C023A7" w:rsidRPr="0095377B" w:rsidRDefault="00C023A7" w:rsidP="00473B6E">
                  <w:pPr>
                    <w:rPr>
                      <w:rFonts w:eastAsia="Calibri"/>
                      <w:lang w:eastAsia="en-US"/>
                    </w:rPr>
                  </w:pPr>
                </w:p>
              </w:tc>
              <w:tc>
                <w:tcPr>
                  <w:tcW w:w="1134" w:type="dxa"/>
                </w:tcPr>
                <w:p w:rsidR="00C023A7" w:rsidRPr="00473B6E" w:rsidRDefault="00C023A7" w:rsidP="00473B6E">
                  <w:pPr>
                    <w:spacing w:after="200" w:line="276" w:lineRule="auto"/>
                    <w:jc w:val="center"/>
                    <w:rPr>
                      <w:sz w:val="26"/>
                      <w:szCs w:val="26"/>
                    </w:rPr>
                  </w:pPr>
                </w:p>
              </w:tc>
              <w:tc>
                <w:tcPr>
                  <w:tcW w:w="1281" w:type="dxa"/>
                </w:tcPr>
                <w:p w:rsidR="00C023A7" w:rsidRPr="00473B6E" w:rsidRDefault="00C023A7" w:rsidP="00473B6E">
                  <w:pPr>
                    <w:spacing w:after="200" w:line="276" w:lineRule="auto"/>
                    <w:jc w:val="center"/>
                    <w:rPr>
                      <w:sz w:val="26"/>
                      <w:szCs w:val="26"/>
                    </w:rPr>
                  </w:pPr>
                </w:p>
              </w:tc>
              <w:tc>
                <w:tcPr>
                  <w:tcW w:w="1361" w:type="dxa"/>
                </w:tcPr>
                <w:p w:rsidR="00C023A7" w:rsidRPr="0095377B" w:rsidRDefault="00DA5522" w:rsidP="0095377B">
                  <w:pPr>
                    <w:spacing w:after="200" w:line="276" w:lineRule="auto"/>
                    <w:jc w:val="right"/>
                    <w:rPr>
                      <w:rFonts w:eastAsia="Calibri"/>
                      <w:lang w:eastAsia="en-US"/>
                    </w:rPr>
                  </w:pPr>
                  <w:r>
                    <w:rPr>
                      <w:rFonts w:eastAsia="Calibri"/>
                      <w:lang w:eastAsia="en-US"/>
                    </w:rPr>
                    <w:t>+</w:t>
                  </w:r>
                  <w:r w:rsidR="003E01FE">
                    <w:rPr>
                      <w:rFonts w:eastAsia="Calibri"/>
                      <w:lang w:eastAsia="en-US"/>
                    </w:rPr>
                    <w:t>786</w:t>
                  </w:r>
                </w:p>
                <w:p w:rsidR="00CD3986" w:rsidRDefault="00CD3986" w:rsidP="00C023A7">
                  <w:pPr>
                    <w:pStyle w:val="naisc"/>
                    <w:spacing w:before="0" w:after="0"/>
                    <w:jc w:val="right"/>
                    <w:rPr>
                      <w:rFonts w:eastAsia="Calibri"/>
                      <w:sz w:val="20"/>
                      <w:szCs w:val="20"/>
                      <w:lang w:eastAsia="en-US"/>
                    </w:rPr>
                  </w:pPr>
                </w:p>
                <w:p w:rsidR="00CD3986" w:rsidRDefault="00CD3986" w:rsidP="00C023A7">
                  <w:pPr>
                    <w:pStyle w:val="naisc"/>
                    <w:spacing w:before="0" w:after="0"/>
                    <w:jc w:val="right"/>
                    <w:rPr>
                      <w:rFonts w:eastAsia="Calibri"/>
                      <w:sz w:val="20"/>
                      <w:szCs w:val="20"/>
                      <w:lang w:eastAsia="en-US"/>
                    </w:rPr>
                  </w:pPr>
                </w:p>
                <w:p w:rsidR="00CD3986" w:rsidRDefault="00CD3986" w:rsidP="00C023A7">
                  <w:pPr>
                    <w:pStyle w:val="naisc"/>
                    <w:spacing w:before="0" w:after="0"/>
                    <w:jc w:val="right"/>
                    <w:rPr>
                      <w:rFonts w:eastAsia="Calibri"/>
                      <w:sz w:val="20"/>
                      <w:szCs w:val="20"/>
                      <w:lang w:eastAsia="en-US"/>
                    </w:rPr>
                  </w:pPr>
                </w:p>
                <w:p w:rsidR="00CD3986" w:rsidRDefault="00CD3986" w:rsidP="00C023A7">
                  <w:pPr>
                    <w:pStyle w:val="naisc"/>
                    <w:spacing w:before="0" w:after="0"/>
                    <w:jc w:val="right"/>
                    <w:rPr>
                      <w:rFonts w:eastAsia="Calibri"/>
                      <w:sz w:val="20"/>
                      <w:szCs w:val="20"/>
                      <w:lang w:eastAsia="en-US"/>
                    </w:rPr>
                  </w:pPr>
                </w:p>
                <w:p w:rsidR="00C023A7" w:rsidRDefault="00C023A7" w:rsidP="00C023A7">
                  <w:pPr>
                    <w:pStyle w:val="naisc"/>
                    <w:spacing w:before="0" w:after="0"/>
                    <w:jc w:val="right"/>
                    <w:rPr>
                      <w:sz w:val="20"/>
                      <w:szCs w:val="20"/>
                    </w:rPr>
                  </w:pPr>
                  <w:r w:rsidRPr="0095377B">
                    <w:rPr>
                      <w:rFonts w:eastAsia="Calibri"/>
                      <w:sz w:val="20"/>
                      <w:szCs w:val="20"/>
                      <w:lang w:eastAsia="en-US"/>
                    </w:rPr>
                    <w:t>-</w:t>
                  </w:r>
                  <w:r w:rsidR="003E01FE">
                    <w:rPr>
                      <w:sz w:val="20"/>
                      <w:szCs w:val="20"/>
                    </w:rPr>
                    <w:t>67</w:t>
                  </w:r>
                </w:p>
                <w:p w:rsidR="00CD3986" w:rsidRDefault="00CD3986" w:rsidP="005A05D6">
                  <w:pPr>
                    <w:pStyle w:val="naisc"/>
                    <w:spacing w:before="0" w:after="0"/>
                    <w:jc w:val="right"/>
                    <w:rPr>
                      <w:sz w:val="20"/>
                      <w:szCs w:val="20"/>
                    </w:rPr>
                  </w:pPr>
                </w:p>
                <w:p w:rsidR="00CD3986" w:rsidRDefault="00CD3986" w:rsidP="005A05D6">
                  <w:pPr>
                    <w:pStyle w:val="naisc"/>
                    <w:spacing w:before="0" w:after="0"/>
                    <w:jc w:val="right"/>
                    <w:rPr>
                      <w:sz w:val="20"/>
                      <w:szCs w:val="20"/>
                    </w:rPr>
                  </w:pPr>
                </w:p>
                <w:p w:rsidR="00C023A7" w:rsidRPr="0095377B" w:rsidRDefault="00C023A7" w:rsidP="005A05D6">
                  <w:pPr>
                    <w:pStyle w:val="naisc"/>
                    <w:spacing w:before="0" w:after="0"/>
                    <w:jc w:val="right"/>
                    <w:rPr>
                      <w:sz w:val="20"/>
                      <w:szCs w:val="20"/>
                    </w:rPr>
                  </w:pPr>
                  <w:r w:rsidRPr="0095377B">
                    <w:rPr>
                      <w:sz w:val="20"/>
                      <w:szCs w:val="20"/>
                    </w:rPr>
                    <w:t>-</w:t>
                  </w:r>
                  <w:r w:rsidR="003E01FE">
                    <w:rPr>
                      <w:sz w:val="20"/>
                      <w:szCs w:val="20"/>
                    </w:rPr>
                    <w:t>12</w:t>
                  </w:r>
                </w:p>
                <w:p w:rsidR="00C023A7" w:rsidRPr="0095377B" w:rsidRDefault="00C023A7" w:rsidP="0095377B">
                  <w:pPr>
                    <w:spacing w:after="200" w:line="276" w:lineRule="auto"/>
                    <w:jc w:val="right"/>
                    <w:rPr>
                      <w:sz w:val="20"/>
                      <w:szCs w:val="20"/>
                    </w:rPr>
                  </w:pPr>
                  <w:r w:rsidRPr="0095377B">
                    <w:rPr>
                      <w:sz w:val="20"/>
                      <w:szCs w:val="20"/>
                    </w:rPr>
                    <w:t>-</w:t>
                  </w:r>
                  <w:r w:rsidR="003E01FE">
                    <w:rPr>
                      <w:sz w:val="20"/>
                      <w:szCs w:val="20"/>
                    </w:rPr>
                    <w:t>55</w:t>
                  </w:r>
                </w:p>
                <w:p w:rsidR="00C023A7" w:rsidRPr="0095377B" w:rsidRDefault="00C023A7" w:rsidP="0095377B">
                  <w:pPr>
                    <w:spacing w:after="200" w:line="276" w:lineRule="auto"/>
                    <w:jc w:val="right"/>
                    <w:rPr>
                      <w:sz w:val="20"/>
                      <w:szCs w:val="20"/>
                    </w:rPr>
                  </w:pPr>
                </w:p>
                <w:p w:rsidR="008D49B3" w:rsidRDefault="008D49B3" w:rsidP="0095377B">
                  <w:pPr>
                    <w:spacing w:after="200" w:line="276" w:lineRule="auto"/>
                    <w:jc w:val="right"/>
                    <w:rPr>
                      <w:sz w:val="20"/>
                      <w:szCs w:val="20"/>
                    </w:rPr>
                  </w:pPr>
                </w:p>
                <w:p w:rsidR="00C023A7" w:rsidRDefault="00C023A7" w:rsidP="00C023A7">
                  <w:pPr>
                    <w:pStyle w:val="naisc"/>
                    <w:spacing w:before="0" w:after="0"/>
                    <w:jc w:val="right"/>
                    <w:rPr>
                      <w:rFonts w:eastAsia="Calibri"/>
                      <w:sz w:val="20"/>
                      <w:szCs w:val="20"/>
                      <w:lang w:eastAsia="en-US"/>
                    </w:rPr>
                  </w:pPr>
                  <w:r w:rsidRPr="0095377B">
                    <w:rPr>
                      <w:rFonts w:eastAsia="Calibri"/>
                      <w:sz w:val="20"/>
                      <w:szCs w:val="20"/>
                      <w:lang w:eastAsia="en-US"/>
                    </w:rPr>
                    <w:t>+</w:t>
                  </w:r>
                  <w:r w:rsidR="003367D8">
                    <w:rPr>
                      <w:rFonts w:eastAsia="Calibri"/>
                      <w:sz w:val="20"/>
                      <w:szCs w:val="20"/>
                      <w:lang w:eastAsia="en-US"/>
                    </w:rPr>
                    <w:t>2 763</w:t>
                  </w:r>
                </w:p>
                <w:p w:rsidR="008D49B3" w:rsidRDefault="008D49B3" w:rsidP="00C023A7">
                  <w:pPr>
                    <w:pStyle w:val="naisc"/>
                    <w:spacing w:before="0" w:after="0"/>
                    <w:jc w:val="right"/>
                    <w:rPr>
                      <w:rFonts w:eastAsia="Calibri"/>
                      <w:sz w:val="20"/>
                      <w:szCs w:val="20"/>
                      <w:lang w:eastAsia="en-US"/>
                    </w:rPr>
                  </w:pPr>
                </w:p>
                <w:p w:rsidR="002E443A" w:rsidRPr="002E443A" w:rsidRDefault="00C023A7" w:rsidP="002E443A">
                  <w:pPr>
                    <w:pStyle w:val="naisc"/>
                    <w:spacing w:before="0" w:after="0"/>
                    <w:jc w:val="right"/>
                    <w:rPr>
                      <w:sz w:val="20"/>
                      <w:szCs w:val="20"/>
                    </w:rPr>
                  </w:pPr>
                  <w:r w:rsidRPr="002E443A">
                    <w:rPr>
                      <w:sz w:val="20"/>
                      <w:szCs w:val="20"/>
                    </w:rPr>
                    <w:t>+</w:t>
                  </w:r>
                  <w:r w:rsidR="003367D8">
                    <w:rPr>
                      <w:sz w:val="20"/>
                      <w:szCs w:val="20"/>
                    </w:rPr>
                    <w:t>184</w:t>
                  </w:r>
                </w:p>
                <w:p w:rsidR="00C023A7" w:rsidRPr="002E443A" w:rsidRDefault="00C023A7" w:rsidP="00C023A7">
                  <w:pPr>
                    <w:pStyle w:val="naisc"/>
                    <w:spacing w:before="0" w:after="0"/>
                    <w:jc w:val="right"/>
                    <w:rPr>
                      <w:sz w:val="20"/>
                      <w:szCs w:val="20"/>
                    </w:rPr>
                  </w:pPr>
                  <w:r w:rsidRPr="002E443A">
                    <w:rPr>
                      <w:rFonts w:eastAsia="Calibri"/>
                      <w:sz w:val="20"/>
                      <w:szCs w:val="20"/>
                      <w:lang w:eastAsia="en-US"/>
                    </w:rPr>
                    <w:t>+</w:t>
                  </w:r>
                  <w:r w:rsidR="003367D8">
                    <w:rPr>
                      <w:rFonts w:eastAsia="Calibri"/>
                      <w:sz w:val="20"/>
                      <w:szCs w:val="20"/>
                      <w:lang w:eastAsia="en-US"/>
                    </w:rPr>
                    <w:t>1 738</w:t>
                  </w:r>
                </w:p>
                <w:p w:rsidR="00C023A7" w:rsidRPr="002E443A" w:rsidRDefault="00C023A7" w:rsidP="00C023A7">
                  <w:pPr>
                    <w:pStyle w:val="naisc"/>
                    <w:spacing w:before="0" w:after="0"/>
                    <w:jc w:val="right"/>
                    <w:rPr>
                      <w:sz w:val="20"/>
                      <w:szCs w:val="20"/>
                    </w:rPr>
                  </w:pPr>
                  <w:r w:rsidRPr="002E443A">
                    <w:rPr>
                      <w:sz w:val="20"/>
                      <w:szCs w:val="20"/>
                    </w:rPr>
                    <w:t>+</w:t>
                  </w:r>
                  <w:r w:rsidR="003367D8">
                    <w:rPr>
                      <w:sz w:val="20"/>
                      <w:szCs w:val="20"/>
                    </w:rPr>
                    <w:t>841</w:t>
                  </w:r>
                </w:p>
                <w:p w:rsidR="00C023A7" w:rsidRPr="0095377B" w:rsidRDefault="00C023A7" w:rsidP="0095377B">
                  <w:pPr>
                    <w:spacing w:after="200" w:line="276" w:lineRule="auto"/>
                    <w:jc w:val="right"/>
                    <w:rPr>
                      <w:rFonts w:eastAsia="Calibri"/>
                      <w:sz w:val="20"/>
                      <w:szCs w:val="20"/>
                      <w:lang w:eastAsia="en-US"/>
                    </w:rPr>
                  </w:pPr>
                </w:p>
              </w:tc>
              <w:tc>
                <w:tcPr>
                  <w:tcW w:w="1361" w:type="dxa"/>
                </w:tcPr>
                <w:p w:rsidR="00C023A7" w:rsidRPr="008D49B3" w:rsidRDefault="00DA5522" w:rsidP="0095377B">
                  <w:pPr>
                    <w:spacing w:after="200" w:line="276" w:lineRule="auto"/>
                    <w:jc w:val="right"/>
                    <w:rPr>
                      <w:rFonts w:eastAsia="Calibri"/>
                      <w:lang w:eastAsia="en-US"/>
                    </w:rPr>
                  </w:pPr>
                  <w:r>
                    <w:rPr>
                      <w:rFonts w:eastAsia="Calibri"/>
                      <w:lang w:eastAsia="en-US"/>
                    </w:rPr>
                    <w:lastRenderedPageBreak/>
                    <w:t>+</w:t>
                  </w:r>
                  <w:r w:rsidR="003E01FE">
                    <w:rPr>
                      <w:rFonts w:eastAsia="Calibri"/>
                      <w:lang w:eastAsia="en-US"/>
                    </w:rPr>
                    <w:t>786</w:t>
                  </w:r>
                </w:p>
                <w:p w:rsidR="00C023A7" w:rsidRDefault="00C023A7" w:rsidP="0095377B">
                  <w:pPr>
                    <w:spacing w:after="200" w:line="276" w:lineRule="auto"/>
                    <w:jc w:val="right"/>
                    <w:rPr>
                      <w:rFonts w:eastAsia="Calibri"/>
                      <w:sz w:val="20"/>
                      <w:szCs w:val="20"/>
                      <w:lang w:eastAsia="en-US"/>
                    </w:rPr>
                  </w:pPr>
                </w:p>
                <w:p w:rsidR="003367D8" w:rsidRPr="0095377B" w:rsidRDefault="003367D8" w:rsidP="0095377B">
                  <w:pPr>
                    <w:spacing w:after="200" w:line="276" w:lineRule="auto"/>
                    <w:jc w:val="right"/>
                    <w:rPr>
                      <w:rFonts w:eastAsia="Calibri"/>
                      <w:sz w:val="20"/>
                      <w:szCs w:val="20"/>
                      <w:lang w:eastAsia="en-US"/>
                    </w:rPr>
                  </w:pPr>
                </w:p>
                <w:p w:rsidR="00C023A7" w:rsidRDefault="00C023A7" w:rsidP="00C023A7">
                  <w:pPr>
                    <w:pStyle w:val="naisc"/>
                    <w:spacing w:before="0" w:after="0"/>
                    <w:jc w:val="right"/>
                    <w:rPr>
                      <w:sz w:val="20"/>
                      <w:szCs w:val="20"/>
                    </w:rPr>
                  </w:pPr>
                  <w:r w:rsidRPr="0095377B">
                    <w:rPr>
                      <w:rFonts w:eastAsia="Calibri"/>
                      <w:sz w:val="20"/>
                      <w:szCs w:val="20"/>
                      <w:lang w:eastAsia="en-US"/>
                    </w:rPr>
                    <w:t>-</w:t>
                  </w:r>
                  <w:r w:rsidR="003E01FE">
                    <w:rPr>
                      <w:sz w:val="20"/>
                      <w:szCs w:val="20"/>
                    </w:rPr>
                    <w:t>67</w:t>
                  </w:r>
                </w:p>
                <w:p w:rsidR="003367D8" w:rsidRDefault="003367D8" w:rsidP="00C023A7">
                  <w:pPr>
                    <w:pStyle w:val="naisc"/>
                    <w:spacing w:before="0" w:after="0"/>
                    <w:jc w:val="right"/>
                    <w:rPr>
                      <w:sz w:val="20"/>
                      <w:szCs w:val="20"/>
                    </w:rPr>
                  </w:pPr>
                </w:p>
                <w:p w:rsidR="003367D8" w:rsidRDefault="003367D8" w:rsidP="00C023A7">
                  <w:pPr>
                    <w:pStyle w:val="naisc"/>
                    <w:spacing w:before="0" w:after="0"/>
                    <w:jc w:val="right"/>
                    <w:rPr>
                      <w:sz w:val="20"/>
                      <w:szCs w:val="20"/>
                    </w:rPr>
                  </w:pPr>
                </w:p>
                <w:p w:rsidR="00C023A7" w:rsidRPr="0095377B" w:rsidRDefault="00C023A7" w:rsidP="00C023A7">
                  <w:pPr>
                    <w:pStyle w:val="naisc"/>
                    <w:spacing w:before="0" w:after="0"/>
                    <w:jc w:val="right"/>
                    <w:rPr>
                      <w:sz w:val="20"/>
                      <w:szCs w:val="20"/>
                    </w:rPr>
                  </w:pPr>
                  <w:r w:rsidRPr="0095377B">
                    <w:rPr>
                      <w:sz w:val="20"/>
                      <w:szCs w:val="20"/>
                    </w:rPr>
                    <w:t>-</w:t>
                  </w:r>
                  <w:r w:rsidR="003E01FE">
                    <w:rPr>
                      <w:sz w:val="20"/>
                      <w:szCs w:val="20"/>
                    </w:rPr>
                    <w:t>12</w:t>
                  </w:r>
                </w:p>
                <w:p w:rsidR="00C023A7" w:rsidRPr="0095377B" w:rsidRDefault="00C023A7" w:rsidP="00C023A7">
                  <w:pPr>
                    <w:spacing w:after="200" w:line="276" w:lineRule="auto"/>
                    <w:jc w:val="right"/>
                    <w:rPr>
                      <w:sz w:val="20"/>
                      <w:szCs w:val="20"/>
                    </w:rPr>
                  </w:pPr>
                  <w:r w:rsidRPr="0095377B">
                    <w:rPr>
                      <w:sz w:val="20"/>
                      <w:szCs w:val="20"/>
                    </w:rPr>
                    <w:t>-</w:t>
                  </w:r>
                  <w:r w:rsidR="003E01FE">
                    <w:rPr>
                      <w:sz w:val="20"/>
                      <w:szCs w:val="20"/>
                    </w:rPr>
                    <w:t>55</w:t>
                  </w:r>
                </w:p>
                <w:p w:rsidR="00C023A7" w:rsidRPr="0095377B" w:rsidRDefault="00C023A7" w:rsidP="00C023A7">
                  <w:pPr>
                    <w:spacing w:after="200" w:line="276" w:lineRule="auto"/>
                    <w:jc w:val="right"/>
                    <w:rPr>
                      <w:sz w:val="20"/>
                      <w:szCs w:val="20"/>
                    </w:rPr>
                  </w:pPr>
                </w:p>
                <w:p w:rsidR="002E443A" w:rsidRDefault="002E443A" w:rsidP="00C023A7">
                  <w:pPr>
                    <w:pStyle w:val="naisc"/>
                    <w:spacing w:before="0" w:after="0"/>
                    <w:jc w:val="right"/>
                    <w:rPr>
                      <w:rFonts w:eastAsia="Calibri"/>
                      <w:sz w:val="20"/>
                      <w:szCs w:val="20"/>
                      <w:lang w:eastAsia="en-US"/>
                    </w:rPr>
                  </w:pPr>
                </w:p>
                <w:p w:rsidR="002E443A" w:rsidRDefault="002E443A" w:rsidP="00C023A7">
                  <w:pPr>
                    <w:pStyle w:val="naisc"/>
                    <w:spacing w:before="0" w:after="0"/>
                    <w:jc w:val="right"/>
                    <w:rPr>
                      <w:rFonts w:eastAsia="Calibri"/>
                      <w:sz w:val="20"/>
                      <w:szCs w:val="20"/>
                      <w:lang w:eastAsia="en-US"/>
                    </w:rPr>
                  </w:pPr>
                </w:p>
                <w:p w:rsidR="003367D8" w:rsidRDefault="003367D8" w:rsidP="003367D8">
                  <w:pPr>
                    <w:pStyle w:val="naisc"/>
                    <w:spacing w:before="0" w:after="0"/>
                    <w:jc w:val="right"/>
                    <w:rPr>
                      <w:rFonts w:eastAsia="Calibri"/>
                      <w:sz w:val="20"/>
                      <w:szCs w:val="20"/>
                      <w:lang w:eastAsia="en-US"/>
                    </w:rPr>
                  </w:pPr>
                  <w:r w:rsidRPr="0095377B">
                    <w:rPr>
                      <w:rFonts w:eastAsia="Calibri"/>
                      <w:sz w:val="20"/>
                      <w:szCs w:val="20"/>
                      <w:lang w:eastAsia="en-US"/>
                    </w:rPr>
                    <w:t>+</w:t>
                  </w:r>
                  <w:r>
                    <w:rPr>
                      <w:rFonts w:eastAsia="Calibri"/>
                      <w:sz w:val="20"/>
                      <w:szCs w:val="20"/>
                      <w:lang w:eastAsia="en-US"/>
                    </w:rPr>
                    <w:t>2 763</w:t>
                  </w:r>
                </w:p>
                <w:p w:rsidR="003367D8" w:rsidRDefault="003367D8" w:rsidP="003367D8">
                  <w:pPr>
                    <w:pStyle w:val="naisc"/>
                    <w:spacing w:before="0" w:after="0"/>
                    <w:jc w:val="right"/>
                    <w:rPr>
                      <w:rFonts w:eastAsia="Calibri"/>
                      <w:sz w:val="20"/>
                      <w:szCs w:val="20"/>
                      <w:lang w:eastAsia="en-US"/>
                    </w:rPr>
                  </w:pPr>
                </w:p>
                <w:p w:rsidR="003367D8" w:rsidRPr="002E443A" w:rsidRDefault="003367D8" w:rsidP="003367D8">
                  <w:pPr>
                    <w:pStyle w:val="naisc"/>
                    <w:spacing w:before="0" w:after="0"/>
                    <w:jc w:val="right"/>
                    <w:rPr>
                      <w:sz w:val="20"/>
                      <w:szCs w:val="20"/>
                    </w:rPr>
                  </w:pPr>
                  <w:r w:rsidRPr="002E443A">
                    <w:rPr>
                      <w:sz w:val="20"/>
                      <w:szCs w:val="20"/>
                    </w:rPr>
                    <w:t>+</w:t>
                  </w:r>
                  <w:r>
                    <w:rPr>
                      <w:sz w:val="20"/>
                      <w:szCs w:val="20"/>
                    </w:rPr>
                    <w:t>184</w:t>
                  </w:r>
                </w:p>
                <w:p w:rsidR="003367D8" w:rsidRPr="002E443A" w:rsidRDefault="003367D8" w:rsidP="003367D8">
                  <w:pPr>
                    <w:pStyle w:val="naisc"/>
                    <w:spacing w:before="0" w:after="0"/>
                    <w:jc w:val="right"/>
                    <w:rPr>
                      <w:sz w:val="20"/>
                      <w:szCs w:val="20"/>
                    </w:rPr>
                  </w:pPr>
                  <w:r w:rsidRPr="002E443A">
                    <w:rPr>
                      <w:rFonts w:eastAsia="Calibri"/>
                      <w:sz w:val="20"/>
                      <w:szCs w:val="20"/>
                      <w:lang w:eastAsia="en-US"/>
                    </w:rPr>
                    <w:t>+</w:t>
                  </w:r>
                  <w:r>
                    <w:rPr>
                      <w:rFonts w:eastAsia="Calibri"/>
                      <w:sz w:val="20"/>
                      <w:szCs w:val="20"/>
                      <w:lang w:eastAsia="en-US"/>
                    </w:rPr>
                    <w:t>1 738</w:t>
                  </w:r>
                </w:p>
                <w:p w:rsidR="003367D8" w:rsidRPr="002E443A" w:rsidRDefault="003367D8" w:rsidP="003367D8">
                  <w:pPr>
                    <w:pStyle w:val="naisc"/>
                    <w:spacing w:before="0" w:after="0"/>
                    <w:jc w:val="right"/>
                    <w:rPr>
                      <w:sz w:val="20"/>
                      <w:szCs w:val="20"/>
                    </w:rPr>
                  </w:pPr>
                  <w:r w:rsidRPr="002E443A">
                    <w:rPr>
                      <w:sz w:val="20"/>
                      <w:szCs w:val="20"/>
                    </w:rPr>
                    <w:t>+</w:t>
                  </w:r>
                  <w:r>
                    <w:rPr>
                      <w:sz w:val="20"/>
                      <w:szCs w:val="20"/>
                    </w:rPr>
                    <w:t>841</w:t>
                  </w:r>
                </w:p>
                <w:p w:rsidR="00C023A7" w:rsidRPr="0095377B" w:rsidRDefault="00C023A7" w:rsidP="0095377B">
                  <w:pPr>
                    <w:spacing w:after="200" w:line="276" w:lineRule="auto"/>
                    <w:rPr>
                      <w:rFonts w:eastAsia="Calibri"/>
                      <w:sz w:val="20"/>
                      <w:szCs w:val="20"/>
                      <w:lang w:eastAsia="en-US"/>
                    </w:rPr>
                  </w:pPr>
                </w:p>
              </w:tc>
              <w:tc>
                <w:tcPr>
                  <w:tcW w:w="1374" w:type="dxa"/>
                </w:tcPr>
                <w:p w:rsidR="00C023A7" w:rsidRPr="008D49B3" w:rsidRDefault="00DA5522" w:rsidP="0095377B">
                  <w:pPr>
                    <w:spacing w:after="200" w:line="276" w:lineRule="auto"/>
                    <w:jc w:val="right"/>
                    <w:rPr>
                      <w:rFonts w:eastAsia="Calibri"/>
                      <w:lang w:eastAsia="en-US"/>
                    </w:rPr>
                  </w:pPr>
                  <w:r>
                    <w:rPr>
                      <w:rFonts w:eastAsia="Calibri"/>
                      <w:lang w:eastAsia="en-US"/>
                    </w:rPr>
                    <w:lastRenderedPageBreak/>
                    <w:t>+</w:t>
                  </w:r>
                  <w:r w:rsidR="003E01FE">
                    <w:rPr>
                      <w:rFonts w:eastAsia="Calibri"/>
                      <w:lang w:eastAsia="en-US"/>
                    </w:rPr>
                    <w:t>786</w:t>
                  </w:r>
                </w:p>
                <w:p w:rsidR="00C023A7" w:rsidRDefault="00C023A7" w:rsidP="0095377B">
                  <w:pPr>
                    <w:spacing w:after="200" w:line="276" w:lineRule="auto"/>
                    <w:jc w:val="right"/>
                    <w:rPr>
                      <w:rFonts w:eastAsia="Calibri"/>
                      <w:sz w:val="20"/>
                      <w:szCs w:val="20"/>
                      <w:lang w:eastAsia="en-US"/>
                    </w:rPr>
                  </w:pPr>
                </w:p>
                <w:p w:rsidR="003367D8" w:rsidRPr="0095377B" w:rsidRDefault="003367D8" w:rsidP="0095377B">
                  <w:pPr>
                    <w:spacing w:after="200" w:line="276" w:lineRule="auto"/>
                    <w:jc w:val="right"/>
                    <w:rPr>
                      <w:rFonts w:eastAsia="Calibri"/>
                      <w:sz w:val="20"/>
                      <w:szCs w:val="20"/>
                      <w:lang w:eastAsia="en-US"/>
                    </w:rPr>
                  </w:pPr>
                </w:p>
                <w:p w:rsidR="00C023A7" w:rsidRDefault="00C023A7" w:rsidP="00C023A7">
                  <w:pPr>
                    <w:pStyle w:val="naisc"/>
                    <w:spacing w:before="0" w:after="0"/>
                    <w:jc w:val="right"/>
                    <w:rPr>
                      <w:sz w:val="20"/>
                      <w:szCs w:val="20"/>
                    </w:rPr>
                  </w:pPr>
                  <w:r w:rsidRPr="0095377B">
                    <w:rPr>
                      <w:rFonts w:eastAsia="Calibri"/>
                      <w:sz w:val="20"/>
                      <w:szCs w:val="20"/>
                      <w:lang w:eastAsia="en-US"/>
                    </w:rPr>
                    <w:t>-</w:t>
                  </w:r>
                  <w:r w:rsidR="003E01FE">
                    <w:rPr>
                      <w:sz w:val="20"/>
                      <w:szCs w:val="20"/>
                    </w:rPr>
                    <w:t>67</w:t>
                  </w:r>
                </w:p>
                <w:p w:rsidR="003367D8" w:rsidRDefault="003367D8" w:rsidP="00C023A7">
                  <w:pPr>
                    <w:pStyle w:val="naisc"/>
                    <w:spacing w:before="0" w:after="0"/>
                    <w:jc w:val="right"/>
                    <w:rPr>
                      <w:sz w:val="20"/>
                      <w:szCs w:val="20"/>
                    </w:rPr>
                  </w:pPr>
                </w:p>
                <w:p w:rsidR="003367D8" w:rsidRDefault="003367D8" w:rsidP="00C023A7">
                  <w:pPr>
                    <w:pStyle w:val="naisc"/>
                    <w:spacing w:before="0" w:after="0"/>
                    <w:jc w:val="right"/>
                    <w:rPr>
                      <w:sz w:val="20"/>
                      <w:szCs w:val="20"/>
                    </w:rPr>
                  </w:pPr>
                </w:p>
                <w:p w:rsidR="00C023A7" w:rsidRPr="0095377B" w:rsidRDefault="00C023A7" w:rsidP="00C023A7">
                  <w:pPr>
                    <w:pStyle w:val="naisc"/>
                    <w:spacing w:before="0" w:after="0"/>
                    <w:jc w:val="right"/>
                    <w:rPr>
                      <w:sz w:val="20"/>
                      <w:szCs w:val="20"/>
                    </w:rPr>
                  </w:pPr>
                  <w:r w:rsidRPr="0095377B">
                    <w:rPr>
                      <w:sz w:val="20"/>
                      <w:szCs w:val="20"/>
                    </w:rPr>
                    <w:t>-</w:t>
                  </w:r>
                  <w:r w:rsidR="003E01FE">
                    <w:rPr>
                      <w:sz w:val="20"/>
                      <w:szCs w:val="20"/>
                    </w:rPr>
                    <w:t>12</w:t>
                  </w:r>
                </w:p>
                <w:p w:rsidR="00C023A7" w:rsidRPr="0095377B" w:rsidRDefault="00C023A7" w:rsidP="00C023A7">
                  <w:pPr>
                    <w:spacing w:after="200" w:line="276" w:lineRule="auto"/>
                    <w:jc w:val="right"/>
                    <w:rPr>
                      <w:sz w:val="20"/>
                      <w:szCs w:val="20"/>
                    </w:rPr>
                  </w:pPr>
                  <w:r w:rsidRPr="0095377B">
                    <w:rPr>
                      <w:sz w:val="20"/>
                      <w:szCs w:val="20"/>
                    </w:rPr>
                    <w:t>-</w:t>
                  </w:r>
                  <w:r w:rsidR="003E01FE">
                    <w:rPr>
                      <w:sz w:val="20"/>
                      <w:szCs w:val="20"/>
                    </w:rPr>
                    <w:t>55</w:t>
                  </w:r>
                </w:p>
                <w:p w:rsidR="00BD59A5" w:rsidRDefault="00BD59A5" w:rsidP="00C023A7">
                  <w:pPr>
                    <w:pStyle w:val="naisc"/>
                    <w:spacing w:before="0" w:after="0"/>
                    <w:jc w:val="right"/>
                    <w:rPr>
                      <w:rFonts w:eastAsia="Calibri"/>
                      <w:sz w:val="20"/>
                      <w:szCs w:val="20"/>
                      <w:lang w:eastAsia="en-US"/>
                    </w:rPr>
                  </w:pPr>
                </w:p>
                <w:p w:rsidR="008D49B3" w:rsidRDefault="008D49B3" w:rsidP="00C023A7">
                  <w:pPr>
                    <w:pStyle w:val="naisc"/>
                    <w:spacing w:before="0" w:after="0"/>
                    <w:jc w:val="right"/>
                    <w:rPr>
                      <w:rFonts w:eastAsia="Calibri"/>
                      <w:sz w:val="20"/>
                      <w:szCs w:val="20"/>
                      <w:lang w:eastAsia="en-US"/>
                    </w:rPr>
                  </w:pPr>
                </w:p>
                <w:p w:rsidR="005A05D6" w:rsidRDefault="005A05D6" w:rsidP="00C023A7">
                  <w:pPr>
                    <w:pStyle w:val="naisc"/>
                    <w:spacing w:before="0" w:after="0"/>
                    <w:jc w:val="right"/>
                    <w:rPr>
                      <w:rFonts w:eastAsia="Calibri"/>
                      <w:sz w:val="20"/>
                      <w:szCs w:val="20"/>
                      <w:lang w:eastAsia="en-US"/>
                    </w:rPr>
                  </w:pPr>
                </w:p>
                <w:p w:rsidR="002E443A" w:rsidRPr="0095377B" w:rsidRDefault="002E443A" w:rsidP="00C023A7">
                  <w:pPr>
                    <w:pStyle w:val="naisc"/>
                    <w:spacing w:before="0" w:after="0"/>
                    <w:jc w:val="right"/>
                    <w:rPr>
                      <w:rFonts w:eastAsia="Calibri"/>
                      <w:sz w:val="20"/>
                      <w:szCs w:val="20"/>
                      <w:lang w:eastAsia="en-US"/>
                    </w:rPr>
                  </w:pPr>
                </w:p>
                <w:p w:rsidR="003367D8" w:rsidRDefault="003367D8" w:rsidP="003367D8">
                  <w:pPr>
                    <w:pStyle w:val="naisc"/>
                    <w:spacing w:before="0" w:after="0"/>
                    <w:jc w:val="right"/>
                    <w:rPr>
                      <w:rFonts w:eastAsia="Calibri"/>
                      <w:sz w:val="20"/>
                      <w:szCs w:val="20"/>
                      <w:lang w:eastAsia="en-US"/>
                    </w:rPr>
                  </w:pPr>
                  <w:r w:rsidRPr="0095377B">
                    <w:rPr>
                      <w:rFonts w:eastAsia="Calibri"/>
                      <w:sz w:val="20"/>
                      <w:szCs w:val="20"/>
                      <w:lang w:eastAsia="en-US"/>
                    </w:rPr>
                    <w:t>+</w:t>
                  </w:r>
                  <w:r>
                    <w:rPr>
                      <w:rFonts w:eastAsia="Calibri"/>
                      <w:sz w:val="20"/>
                      <w:szCs w:val="20"/>
                      <w:lang w:eastAsia="en-US"/>
                    </w:rPr>
                    <w:t>2 763</w:t>
                  </w:r>
                </w:p>
                <w:p w:rsidR="003367D8" w:rsidRDefault="003367D8" w:rsidP="003367D8">
                  <w:pPr>
                    <w:pStyle w:val="naisc"/>
                    <w:spacing w:before="0" w:after="0"/>
                    <w:jc w:val="right"/>
                    <w:rPr>
                      <w:rFonts w:eastAsia="Calibri"/>
                      <w:sz w:val="20"/>
                      <w:szCs w:val="20"/>
                      <w:lang w:eastAsia="en-US"/>
                    </w:rPr>
                  </w:pPr>
                </w:p>
                <w:p w:rsidR="003367D8" w:rsidRPr="002E443A" w:rsidRDefault="003367D8" w:rsidP="003367D8">
                  <w:pPr>
                    <w:pStyle w:val="naisc"/>
                    <w:spacing w:before="0" w:after="0"/>
                    <w:jc w:val="right"/>
                    <w:rPr>
                      <w:sz w:val="20"/>
                      <w:szCs w:val="20"/>
                    </w:rPr>
                  </w:pPr>
                  <w:r w:rsidRPr="002E443A">
                    <w:rPr>
                      <w:sz w:val="20"/>
                      <w:szCs w:val="20"/>
                    </w:rPr>
                    <w:t>+</w:t>
                  </w:r>
                  <w:r>
                    <w:rPr>
                      <w:sz w:val="20"/>
                      <w:szCs w:val="20"/>
                    </w:rPr>
                    <w:t>184</w:t>
                  </w:r>
                </w:p>
                <w:p w:rsidR="003367D8" w:rsidRPr="002E443A" w:rsidRDefault="003367D8" w:rsidP="003367D8">
                  <w:pPr>
                    <w:pStyle w:val="naisc"/>
                    <w:spacing w:before="0" w:after="0"/>
                    <w:jc w:val="right"/>
                    <w:rPr>
                      <w:sz w:val="20"/>
                      <w:szCs w:val="20"/>
                    </w:rPr>
                  </w:pPr>
                  <w:r w:rsidRPr="002E443A">
                    <w:rPr>
                      <w:rFonts w:eastAsia="Calibri"/>
                      <w:sz w:val="20"/>
                      <w:szCs w:val="20"/>
                      <w:lang w:eastAsia="en-US"/>
                    </w:rPr>
                    <w:t>+</w:t>
                  </w:r>
                  <w:r>
                    <w:rPr>
                      <w:rFonts w:eastAsia="Calibri"/>
                      <w:sz w:val="20"/>
                      <w:szCs w:val="20"/>
                      <w:lang w:eastAsia="en-US"/>
                    </w:rPr>
                    <w:t>1 738</w:t>
                  </w:r>
                </w:p>
                <w:p w:rsidR="003367D8" w:rsidRPr="002E443A" w:rsidRDefault="003367D8" w:rsidP="003367D8">
                  <w:pPr>
                    <w:pStyle w:val="naisc"/>
                    <w:spacing w:before="0" w:after="0"/>
                    <w:jc w:val="right"/>
                    <w:rPr>
                      <w:sz w:val="20"/>
                      <w:szCs w:val="20"/>
                    </w:rPr>
                  </w:pPr>
                  <w:r w:rsidRPr="002E443A">
                    <w:rPr>
                      <w:sz w:val="20"/>
                      <w:szCs w:val="20"/>
                    </w:rPr>
                    <w:t>+</w:t>
                  </w:r>
                  <w:r>
                    <w:rPr>
                      <w:sz w:val="20"/>
                      <w:szCs w:val="20"/>
                    </w:rPr>
                    <w:t>841</w:t>
                  </w:r>
                </w:p>
                <w:p w:rsidR="00C023A7" w:rsidRPr="0095377B" w:rsidRDefault="00C023A7" w:rsidP="0095377B">
                  <w:pPr>
                    <w:spacing w:after="200" w:line="276" w:lineRule="auto"/>
                    <w:jc w:val="right"/>
                    <w:rPr>
                      <w:rFonts w:eastAsia="Calibri"/>
                      <w:sz w:val="20"/>
                      <w:szCs w:val="20"/>
                      <w:lang w:eastAsia="en-US"/>
                    </w:rPr>
                  </w:pPr>
                </w:p>
              </w:tc>
            </w:tr>
            <w:tr w:rsidR="00473B6E" w:rsidRPr="00473B6E" w:rsidTr="0095377B">
              <w:trPr>
                <w:trHeight w:val="381"/>
                <w:tblCellSpacing w:w="0" w:type="dxa"/>
              </w:trPr>
              <w:tc>
                <w:tcPr>
                  <w:tcW w:w="2529" w:type="dxa"/>
                  <w:vMerge w:val="restart"/>
                </w:tcPr>
                <w:p w:rsidR="00473B6E" w:rsidRPr="0095377B" w:rsidRDefault="00473B6E" w:rsidP="00473B6E">
                  <w:pPr>
                    <w:rPr>
                      <w:rFonts w:eastAsia="Calibri"/>
                      <w:lang w:eastAsia="en-US"/>
                    </w:rPr>
                  </w:pPr>
                  <w:r w:rsidRPr="0095377B">
                    <w:rPr>
                      <w:rFonts w:eastAsia="Calibri"/>
                      <w:lang w:eastAsia="en-US"/>
                    </w:rPr>
                    <w:lastRenderedPageBreak/>
                    <w:t>4. Finanšu līdzekļi papildu izde</w:t>
                  </w:r>
                  <w:r w:rsidRPr="0095377B">
                    <w:rPr>
                      <w:rFonts w:eastAsia="Calibri"/>
                      <w:lang w:eastAsia="en-US"/>
                    </w:rPr>
                    <w:softHyphen/>
                    <w:t>vumu finansēšanai (kompensējošu izdevumu samazinājumu norāda ar "+" zīmi)</w:t>
                  </w:r>
                </w:p>
              </w:tc>
              <w:tc>
                <w:tcPr>
                  <w:tcW w:w="1134" w:type="dxa"/>
                  <w:vMerge w:val="restart"/>
                </w:tcPr>
                <w:p w:rsidR="00473B6E" w:rsidRPr="00473B6E" w:rsidRDefault="00473B6E" w:rsidP="00473B6E">
                  <w:pPr>
                    <w:spacing w:after="200" w:line="276" w:lineRule="auto"/>
                    <w:jc w:val="center"/>
                    <w:rPr>
                      <w:sz w:val="26"/>
                      <w:szCs w:val="26"/>
                    </w:rPr>
                  </w:pPr>
                  <w:r w:rsidRPr="00473B6E">
                    <w:rPr>
                      <w:sz w:val="26"/>
                      <w:szCs w:val="26"/>
                    </w:rPr>
                    <w:t>X</w:t>
                  </w: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74" w:type="dxa"/>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95377B">
              <w:trPr>
                <w:trHeight w:val="381"/>
                <w:tblCellSpacing w:w="0" w:type="dxa"/>
              </w:trPr>
              <w:tc>
                <w:tcPr>
                  <w:tcW w:w="2529" w:type="dxa"/>
                  <w:vMerge/>
                </w:tcPr>
                <w:p w:rsidR="00473B6E" w:rsidRPr="0095377B" w:rsidRDefault="00473B6E" w:rsidP="00473B6E">
                  <w:pPr>
                    <w:jc w:val="center"/>
                    <w:rPr>
                      <w:rFonts w:eastAsia="Calibri"/>
                      <w:lang w:eastAsia="en-US"/>
                    </w:rPr>
                  </w:pPr>
                </w:p>
              </w:tc>
              <w:tc>
                <w:tcPr>
                  <w:tcW w:w="1134" w:type="dxa"/>
                  <w:vMerge/>
                </w:tcPr>
                <w:p w:rsidR="00473B6E" w:rsidRPr="00473B6E" w:rsidRDefault="00473B6E" w:rsidP="00473B6E">
                  <w:pPr>
                    <w:spacing w:after="200" w:line="276" w:lineRule="auto"/>
                    <w:jc w:val="center"/>
                    <w:rPr>
                      <w:sz w:val="26"/>
                      <w:szCs w:val="26"/>
                    </w:rPr>
                  </w:pP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74" w:type="dxa"/>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95377B">
              <w:trPr>
                <w:trHeight w:val="381"/>
                <w:tblCellSpacing w:w="0" w:type="dxa"/>
              </w:trPr>
              <w:tc>
                <w:tcPr>
                  <w:tcW w:w="2529" w:type="dxa"/>
                  <w:vMerge/>
                </w:tcPr>
                <w:p w:rsidR="00473B6E" w:rsidRPr="0095377B" w:rsidRDefault="00473B6E" w:rsidP="00473B6E">
                  <w:pPr>
                    <w:jc w:val="center"/>
                    <w:rPr>
                      <w:rFonts w:eastAsia="Calibri"/>
                      <w:lang w:eastAsia="en-US"/>
                    </w:rPr>
                  </w:pPr>
                </w:p>
              </w:tc>
              <w:tc>
                <w:tcPr>
                  <w:tcW w:w="1134" w:type="dxa"/>
                  <w:vMerge/>
                </w:tcPr>
                <w:p w:rsidR="00473B6E" w:rsidRPr="00473B6E" w:rsidRDefault="00473B6E" w:rsidP="00473B6E">
                  <w:pPr>
                    <w:spacing w:after="200" w:line="276" w:lineRule="auto"/>
                    <w:jc w:val="center"/>
                    <w:rPr>
                      <w:sz w:val="26"/>
                      <w:szCs w:val="26"/>
                    </w:rPr>
                  </w:pP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74" w:type="dxa"/>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5. Precizēta finansiālā ietekme:</w:t>
                  </w:r>
                </w:p>
              </w:tc>
              <w:tc>
                <w:tcPr>
                  <w:tcW w:w="1134" w:type="dxa"/>
                  <w:vMerge w:val="restart"/>
                </w:tcPr>
                <w:p w:rsidR="00473B6E" w:rsidRPr="00473B6E" w:rsidRDefault="00473B6E" w:rsidP="00473B6E">
                  <w:pPr>
                    <w:spacing w:after="200" w:line="276" w:lineRule="auto"/>
                    <w:jc w:val="center"/>
                    <w:rPr>
                      <w:sz w:val="26"/>
                      <w:szCs w:val="26"/>
                    </w:rPr>
                  </w:pPr>
                  <w:r w:rsidRPr="00473B6E">
                    <w:rPr>
                      <w:sz w:val="26"/>
                      <w:szCs w:val="26"/>
                    </w:rPr>
                    <w:t>X</w:t>
                  </w: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74" w:type="dxa"/>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5.1. valsts pamatbudžets</w:t>
                  </w:r>
                </w:p>
              </w:tc>
              <w:tc>
                <w:tcPr>
                  <w:tcW w:w="1134" w:type="dxa"/>
                  <w:vMerge/>
                </w:tcPr>
                <w:p w:rsidR="00473B6E" w:rsidRPr="00473B6E" w:rsidRDefault="00473B6E" w:rsidP="00473B6E">
                  <w:pPr>
                    <w:spacing w:after="200" w:line="276" w:lineRule="auto"/>
                    <w:jc w:val="center"/>
                    <w:rPr>
                      <w:sz w:val="26"/>
                      <w:szCs w:val="26"/>
                    </w:rPr>
                  </w:pP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74" w:type="dxa"/>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5.2. speciālais budžets</w:t>
                  </w:r>
                </w:p>
              </w:tc>
              <w:tc>
                <w:tcPr>
                  <w:tcW w:w="1134" w:type="dxa"/>
                  <w:vMerge/>
                </w:tcPr>
                <w:p w:rsidR="00473B6E" w:rsidRPr="00473B6E" w:rsidRDefault="00473B6E" w:rsidP="00473B6E">
                  <w:pPr>
                    <w:spacing w:after="200" w:line="276" w:lineRule="auto"/>
                    <w:jc w:val="center"/>
                    <w:rPr>
                      <w:sz w:val="26"/>
                      <w:szCs w:val="26"/>
                    </w:rPr>
                  </w:pP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74" w:type="dxa"/>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5.3. pašvaldību budžets</w:t>
                  </w:r>
                </w:p>
              </w:tc>
              <w:tc>
                <w:tcPr>
                  <w:tcW w:w="1134" w:type="dxa"/>
                  <w:vMerge/>
                </w:tcPr>
                <w:p w:rsidR="00473B6E" w:rsidRPr="00473B6E" w:rsidRDefault="00473B6E" w:rsidP="00473B6E">
                  <w:pPr>
                    <w:spacing w:after="200" w:line="276" w:lineRule="auto"/>
                    <w:jc w:val="center"/>
                    <w:rPr>
                      <w:sz w:val="26"/>
                      <w:szCs w:val="26"/>
                    </w:rPr>
                  </w:pPr>
                </w:p>
              </w:tc>
              <w:tc>
                <w:tcPr>
                  <w:tcW w:w="1281" w:type="dxa"/>
                </w:tcPr>
                <w:p w:rsidR="00473B6E" w:rsidRPr="00473B6E" w:rsidRDefault="00473B6E" w:rsidP="00473B6E">
                  <w:pPr>
                    <w:spacing w:after="200" w:line="276" w:lineRule="auto"/>
                    <w:jc w:val="center"/>
                    <w:rPr>
                      <w:sz w:val="26"/>
                      <w:szCs w:val="26"/>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61" w:type="dxa"/>
                </w:tcPr>
                <w:p w:rsidR="00473B6E" w:rsidRPr="00473B6E" w:rsidRDefault="00473B6E" w:rsidP="00473B6E">
                  <w:pPr>
                    <w:spacing w:after="200" w:line="276" w:lineRule="auto"/>
                    <w:jc w:val="center"/>
                    <w:rPr>
                      <w:rFonts w:eastAsia="Calibri"/>
                      <w:sz w:val="26"/>
                      <w:szCs w:val="26"/>
                      <w:lang w:eastAsia="en-US"/>
                    </w:rPr>
                  </w:pPr>
                </w:p>
              </w:tc>
              <w:tc>
                <w:tcPr>
                  <w:tcW w:w="1374" w:type="dxa"/>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6. Detalizēts ieņēmumu un izdevu</w:t>
                  </w:r>
                  <w:r w:rsidRPr="0095377B">
                    <w:rPr>
                      <w:rFonts w:eastAsia="Calibri"/>
                      <w:lang w:eastAsia="en-US"/>
                    </w:rPr>
                    <w:softHyphen/>
                    <w:t>mu aprēķins (ja nepieciešams, detalizētu ieņēmumu un izdevumu aprēķinu var pievienot anotācijas pielikumā):</w:t>
                  </w:r>
                </w:p>
              </w:tc>
              <w:tc>
                <w:tcPr>
                  <w:tcW w:w="6511" w:type="dxa"/>
                  <w:gridSpan w:val="5"/>
                  <w:vMerge w:val="restart"/>
                </w:tcPr>
                <w:p w:rsidR="00114F1C" w:rsidRDefault="00114F1C" w:rsidP="00114F1C">
                  <w:pPr>
                    <w:pStyle w:val="NormalWeb"/>
                    <w:spacing w:before="0" w:beforeAutospacing="0" w:after="0" w:afterAutospacing="0"/>
                    <w:ind w:left="280"/>
                    <w:rPr>
                      <w:sz w:val="20"/>
                      <w:szCs w:val="20"/>
                      <w:u w:val="single"/>
                    </w:rPr>
                  </w:pPr>
                  <w:r w:rsidRPr="0095377B">
                    <w:rPr>
                      <w:sz w:val="20"/>
                      <w:szCs w:val="20"/>
                      <w:u w:val="single"/>
                    </w:rPr>
                    <w:t>Ienākums no īpašuma tiek pielīdzināts ienākumam no kapitāla, un arī aplikts pēc 10% likmes</w:t>
                  </w:r>
                </w:p>
                <w:tbl>
                  <w:tblPr>
                    <w:tblW w:w="5305" w:type="dxa"/>
                    <w:tblLayout w:type="fixed"/>
                    <w:tblLook w:val="04A0" w:firstRow="1" w:lastRow="0" w:firstColumn="1" w:lastColumn="0" w:noHBand="0" w:noVBand="1"/>
                  </w:tblPr>
                  <w:tblGrid>
                    <w:gridCol w:w="1957"/>
                    <w:gridCol w:w="1080"/>
                    <w:gridCol w:w="1134"/>
                    <w:gridCol w:w="1134"/>
                  </w:tblGrid>
                  <w:tr w:rsidR="00114F1C" w:rsidRPr="004F07D6" w:rsidTr="0095377B">
                    <w:trPr>
                      <w:trHeight w:val="315"/>
                    </w:trPr>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F1C" w:rsidRPr="0095377B" w:rsidRDefault="002261D5" w:rsidP="005706F8">
                        <w:pPr>
                          <w:rPr>
                            <w:color w:val="000000"/>
                            <w:sz w:val="16"/>
                            <w:szCs w:val="16"/>
                          </w:rPr>
                        </w:pPr>
                        <w:r>
                          <w:rPr>
                            <w:rFonts w:eastAsia="Calibri"/>
                            <w:sz w:val="16"/>
                            <w:szCs w:val="16"/>
                            <w:lang w:eastAsia="en-US"/>
                          </w:rPr>
                          <w:t>P</w:t>
                        </w:r>
                        <w:r w:rsidRPr="00497C54">
                          <w:rPr>
                            <w:rFonts w:eastAsia="Calibri"/>
                            <w:sz w:val="16"/>
                            <w:szCs w:val="16"/>
                            <w:lang w:eastAsia="en-US"/>
                          </w:rPr>
                          <w:t>aziņojum</w:t>
                        </w:r>
                        <w:r w:rsidR="005706F8">
                          <w:rPr>
                            <w:rFonts w:eastAsia="Calibri"/>
                            <w:sz w:val="16"/>
                            <w:szCs w:val="16"/>
                            <w:lang w:eastAsia="en-US"/>
                          </w:rPr>
                          <w:t>a</w:t>
                        </w:r>
                        <w:r w:rsidRPr="00497C54">
                          <w:rPr>
                            <w:rFonts w:eastAsia="Calibri"/>
                            <w:sz w:val="16"/>
                            <w:szCs w:val="16"/>
                            <w:lang w:eastAsia="en-US"/>
                          </w:rPr>
                          <w:t xml:space="preserve"> par fiziskām personām izmaksātajām summām</w:t>
                        </w:r>
                        <w:r w:rsidR="00114F1C" w:rsidRPr="0095377B">
                          <w:rPr>
                            <w:color w:val="000000"/>
                            <w:sz w:val="16"/>
                            <w:szCs w:val="16"/>
                          </w:rPr>
                          <w:t xml:space="preserve"> rinda</w:t>
                        </w:r>
                        <w:r w:rsidR="007F499C">
                          <w:rPr>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14F1C" w:rsidRPr="0095377B" w:rsidRDefault="002261D5" w:rsidP="002261D5">
                        <w:pPr>
                          <w:rPr>
                            <w:color w:val="000000"/>
                            <w:sz w:val="16"/>
                            <w:szCs w:val="16"/>
                          </w:rPr>
                        </w:pPr>
                        <w:r w:rsidRPr="0095377B">
                          <w:rPr>
                            <w:color w:val="000000"/>
                            <w:sz w:val="16"/>
                            <w:szCs w:val="16"/>
                          </w:rPr>
                          <w:t>F</w:t>
                        </w:r>
                        <w:r>
                          <w:rPr>
                            <w:color w:val="000000"/>
                            <w:sz w:val="16"/>
                            <w:szCs w:val="16"/>
                          </w:rPr>
                          <w:t>izisko personu</w:t>
                        </w:r>
                        <w:r w:rsidRPr="0095377B">
                          <w:rPr>
                            <w:color w:val="000000"/>
                            <w:sz w:val="16"/>
                            <w:szCs w:val="16"/>
                          </w:rPr>
                          <w:t xml:space="preserve"> </w:t>
                        </w:r>
                        <w:r w:rsidR="00114F1C" w:rsidRPr="0095377B">
                          <w:rPr>
                            <w:color w:val="000000"/>
                            <w:sz w:val="16"/>
                            <w:szCs w:val="16"/>
                          </w:rPr>
                          <w:t xml:space="preserve"> skaits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Summa</w:t>
                        </w:r>
                        <w:r w:rsidR="007854DE">
                          <w:rPr>
                            <w:color w:val="000000"/>
                            <w:sz w:val="16"/>
                            <w:szCs w:val="16"/>
                          </w:rPr>
                          <w:t xml:space="preserve"> Ls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Ietekme Ls</w:t>
                        </w:r>
                      </w:p>
                    </w:tc>
                  </w:tr>
                  <w:tr w:rsidR="00114F1C" w:rsidRPr="004F07D6" w:rsidTr="0095377B">
                    <w:trPr>
                      <w:trHeight w:val="315"/>
                    </w:trPr>
                    <w:tc>
                      <w:tcPr>
                        <w:tcW w:w="1957" w:type="dxa"/>
                        <w:tcBorders>
                          <w:top w:val="nil"/>
                          <w:left w:val="single" w:sz="4" w:space="0" w:color="auto"/>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 xml:space="preserve">Apliekams ienākums (ietur </w:t>
                        </w:r>
                        <w:proofErr w:type="spellStart"/>
                        <w:r w:rsidRPr="0095377B">
                          <w:rPr>
                            <w:color w:val="000000"/>
                            <w:sz w:val="16"/>
                            <w:szCs w:val="16"/>
                          </w:rPr>
                          <w:t>izm</w:t>
                        </w:r>
                        <w:proofErr w:type="spellEnd"/>
                        <w:r w:rsidRPr="0095377B">
                          <w:rPr>
                            <w:color w:val="000000"/>
                            <w:sz w:val="16"/>
                            <w:szCs w:val="16"/>
                          </w:rPr>
                          <w:t>. vietā)</w:t>
                        </w:r>
                      </w:p>
                    </w:tc>
                    <w:tc>
                      <w:tcPr>
                        <w:tcW w:w="1080"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jc w:val="right"/>
                          <w:rPr>
                            <w:color w:val="000000"/>
                            <w:sz w:val="16"/>
                            <w:szCs w:val="16"/>
                          </w:rPr>
                        </w:pPr>
                        <w:r w:rsidRPr="0095377B">
                          <w:rPr>
                            <w:color w:val="000000"/>
                            <w:sz w:val="16"/>
                            <w:szCs w:val="16"/>
                          </w:rPr>
                          <w:t>7 955</w:t>
                        </w:r>
                      </w:p>
                    </w:tc>
                    <w:tc>
                      <w:tcPr>
                        <w:tcW w:w="1134"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jc w:val="right"/>
                          <w:rPr>
                            <w:color w:val="000000"/>
                            <w:sz w:val="16"/>
                            <w:szCs w:val="16"/>
                          </w:rPr>
                        </w:pPr>
                        <w:r w:rsidRPr="0095377B">
                          <w:rPr>
                            <w:color w:val="000000"/>
                            <w:sz w:val="16"/>
                            <w:szCs w:val="16"/>
                          </w:rPr>
                          <w:t>4 490 841</w:t>
                        </w:r>
                      </w:p>
                    </w:tc>
                    <w:tc>
                      <w:tcPr>
                        <w:tcW w:w="1134"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rsidP="00B26E34">
                        <w:pPr>
                          <w:jc w:val="right"/>
                          <w:rPr>
                            <w:color w:val="000000"/>
                            <w:sz w:val="16"/>
                            <w:szCs w:val="16"/>
                          </w:rPr>
                        </w:pPr>
                        <w:r w:rsidRPr="0095377B">
                          <w:rPr>
                            <w:color w:val="000000"/>
                            <w:sz w:val="16"/>
                            <w:szCs w:val="16"/>
                          </w:rPr>
                          <w:t>-</w:t>
                        </w:r>
                        <w:r w:rsidR="00B26E34">
                          <w:rPr>
                            <w:color w:val="000000"/>
                            <w:sz w:val="16"/>
                            <w:szCs w:val="16"/>
                          </w:rPr>
                          <w:t>202 088</w:t>
                        </w:r>
                      </w:p>
                    </w:tc>
                  </w:tr>
                  <w:tr w:rsidR="00114F1C" w:rsidRPr="004F07D6" w:rsidTr="0095377B">
                    <w:trPr>
                      <w:trHeight w:val="315"/>
                    </w:trPr>
                    <w:tc>
                      <w:tcPr>
                        <w:tcW w:w="1957" w:type="dxa"/>
                        <w:tcBorders>
                          <w:top w:val="nil"/>
                          <w:left w:val="single" w:sz="4" w:space="0" w:color="auto"/>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 xml:space="preserve">Apliekams ienākums (neietur </w:t>
                        </w:r>
                        <w:proofErr w:type="spellStart"/>
                        <w:r w:rsidRPr="0095377B">
                          <w:rPr>
                            <w:color w:val="000000"/>
                            <w:sz w:val="16"/>
                            <w:szCs w:val="16"/>
                          </w:rPr>
                          <w:t>izm</w:t>
                        </w:r>
                        <w:proofErr w:type="spellEnd"/>
                        <w:r w:rsidRPr="0095377B">
                          <w:rPr>
                            <w:color w:val="000000"/>
                            <w:sz w:val="16"/>
                            <w:szCs w:val="16"/>
                          </w:rPr>
                          <w:t>. vietā)</w:t>
                        </w:r>
                      </w:p>
                    </w:tc>
                    <w:tc>
                      <w:tcPr>
                        <w:tcW w:w="1080"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jc w:val="right"/>
                          <w:rPr>
                            <w:color w:val="000000"/>
                            <w:sz w:val="16"/>
                            <w:szCs w:val="16"/>
                          </w:rPr>
                        </w:pPr>
                        <w:r w:rsidRPr="0095377B">
                          <w:rPr>
                            <w:color w:val="000000"/>
                            <w:sz w:val="16"/>
                            <w:szCs w:val="16"/>
                          </w:rPr>
                          <w:t>6 761</w:t>
                        </w:r>
                      </w:p>
                    </w:tc>
                    <w:tc>
                      <w:tcPr>
                        <w:tcW w:w="1134"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jc w:val="right"/>
                          <w:rPr>
                            <w:color w:val="000000"/>
                            <w:sz w:val="16"/>
                            <w:szCs w:val="16"/>
                          </w:rPr>
                        </w:pPr>
                        <w:r w:rsidRPr="0095377B">
                          <w:rPr>
                            <w:color w:val="000000"/>
                            <w:sz w:val="16"/>
                            <w:szCs w:val="16"/>
                          </w:rPr>
                          <w:t>17 828 543</w:t>
                        </w:r>
                      </w:p>
                    </w:tc>
                    <w:tc>
                      <w:tcPr>
                        <w:tcW w:w="1134"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rsidP="00B26E34">
                        <w:pPr>
                          <w:jc w:val="right"/>
                          <w:rPr>
                            <w:color w:val="000000"/>
                            <w:sz w:val="16"/>
                            <w:szCs w:val="16"/>
                          </w:rPr>
                        </w:pPr>
                        <w:r w:rsidRPr="0095377B">
                          <w:rPr>
                            <w:color w:val="000000"/>
                            <w:sz w:val="16"/>
                            <w:szCs w:val="16"/>
                          </w:rPr>
                          <w:t>-</w:t>
                        </w:r>
                        <w:r w:rsidR="00B26E34">
                          <w:rPr>
                            <w:color w:val="000000"/>
                            <w:sz w:val="16"/>
                            <w:szCs w:val="16"/>
                          </w:rPr>
                          <w:t>534 856</w:t>
                        </w:r>
                      </w:p>
                    </w:tc>
                  </w:tr>
                  <w:tr w:rsidR="00114F1C" w:rsidRPr="004F07D6" w:rsidTr="0095377B">
                    <w:trPr>
                      <w:trHeight w:val="315"/>
                    </w:trPr>
                    <w:tc>
                      <w:tcPr>
                        <w:tcW w:w="1957" w:type="dxa"/>
                        <w:tcBorders>
                          <w:top w:val="nil"/>
                          <w:left w:val="single" w:sz="4" w:space="0" w:color="auto"/>
                          <w:bottom w:val="single" w:sz="4" w:space="0" w:color="auto"/>
                          <w:right w:val="single" w:sz="4" w:space="0" w:color="auto"/>
                        </w:tcBorders>
                        <w:shd w:val="clear" w:color="auto" w:fill="auto"/>
                        <w:noWrap/>
                        <w:vAlign w:val="bottom"/>
                        <w:hideMark/>
                      </w:tcPr>
                      <w:p w:rsidR="00114F1C" w:rsidRPr="0095377B" w:rsidRDefault="00114F1C">
                        <w:pPr>
                          <w:rPr>
                            <w:b/>
                            <w:bCs/>
                            <w:color w:val="000000"/>
                            <w:sz w:val="16"/>
                            <w:szCs w:val="16"/>
                          </w:rPr>
                        </w:pPr>
                        <w:r w:rsidRPr="0095377B">
                          <w:rPr>
                            <w:b/>
                            <w:bCs/>
                            <w:color w:val="000000"/>
                            <w:sz w:val="16"/>
                            <w:szCs w:val="16"/>
                          </w:rPr>
                          <w:t>Kopā:</w:t>
                        </w:r>
                      </w:p>
                    </w:tc>
                    <w:tc>
                      <w:tcPr>
                        <w:tcW w:w="1080"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14F1C" w:rsidRPr="0095377B" w:rsidRDefault="00B26E34" w:rsidP="00E01B62">
                        <w:pPr>
                          <w:jc w:val="right"/>
                          <w:rPr>
                            <w:b/>
                            <w:bCs/>
                            <w:color w:val="000000"/>
                            <w:sz w:val="16"/>
                            <w:szCs w:val="16"/>
                          </w:rPr>
                        </w:pPr>
                        <w:r>
                          <w:rPr>
                            <w:b/>
                            <w:bCs/>
                            <w:color w:val="000000"/>
                            <w:sz w:val="16"/>
                            <w:szCs w:val="16"/>
                          </w:rPr>
                          <w:t> -736 944</w:t>
                        </w:r>
                      </w:p>
                    </w:tc>
                  </w:tr>
                </w:tbl>
                <w:p w:rsidR="005706F8" w:rsidRPr="00921BC5" w:rsidRDefault="005706F8" w:rsidP="005706F8">
                  <w:pPr>
                    <w:spacing w:after="200" w:line="276" w:lineRule="auto"/>
                    <w:jc w:val="both"/>
                    <w:rPr>
                      <w:rFonts w:eastAsia="Calibri"/>
                      <w:sz w:val="20"/>
                      <w:szCs w:val="20"/>
                      <w:lang w:eastAsia="en-US"/>
                    </w:rPr>
                  </w:pPr>
                  <w:r w:rsidRPr="00921BC5">
                    <w:rPr>
                      <w:rFonts w:eastAsia="Calibri"/>
                      <w:sz w:val="20"/>
                      <w:szCs w:val="20"/>
                      <w:lang w:eastAsia="en-US"/>
                    </w:rPr>
                    <w:t>*</w:t>
                  </w:r>
                  <w:r w:rsidRPr="00CD3986">
                    <w:rPr>
                      <w:sz w:val="20"/>
                      <w:szCs w:val="20"/>
                      <w:u w:val="single"/>
                    </w:rPr>
                    <w:t>par ieņēmumiem no nekustamā īpašuma izmantošanas (iznomāšanas, izīrēšanas)</w:t>
                  </w:r>
                </w:p>
                <w:p w:rsidR="00473B6E" w:rsidRPr="00B54C71" w:rsidRDefault="00114F1C" w:rsidP="00473B6E">
                  <w:pPr>
                    <w:spacing w:after="200" w:line="276" w:lineRule="auto"/>
                    <w:jc w:val="both"/>
                    <w:rPr>
                      <w:rFonts w:eastAsia="Calibri"/>
                      <w:sz w:val="20"/>
                      <w:szCs w:val="20"/>
                      <w:lang w:eastAsia="en-US"/>
                    </w:rPr>
                  </w:pPr>
                  <w:r w:rsidRPr="0095377B">
                    <w:rPr>
                      <w:rFonts w:eastAsia="Calibri"/>
                      <w:sz w:val="20"/>
                      <w:szCs w:val="20"/>
                      <w:lang w:eastAsia="en-US"/>
                    </w:rPr>
                    <w:t>Izmantoti dati no paziņojumiem par fiziskām personām izmaksātajām summām 2010.gadā</w:t>
                  </w:r>
                  <w:r w:rsidRPr="00B54C71">
                    <w:rPr>
                      <w:rFonts w:eastAsia="Calibri"/>
                      <w:sz w:val="20"/>
                      <w:szCs w:val="20"/>
                      <w:lang w:eastAsia="en-US"/>
                    </w:rPr>
                    <w:t xml:space="preserve">. Pieņemts, ka </w:t>
                  </w:r>
                  <w:r w:rsidR="00B26E34">
                    <w:rPr>
                      <w:rFonts w:eastAsia="Calibri"/>
                      <w:sz w:val="20"/>
                      <w:szCs w:val="20"/>
                      <w:lang w:eastAsia="en-US"/>
                    </w:rPr>
                    <w:t>3</w:t>
                  </w:r>
                  <w:r w:rsidR="00B26E34" w:rsidRPr="00B54C71">
                    <w:rPr>
                      <w:rFonts w:eastAsia="Calibri"/>
                      <w:sz w:val="20"/>
                      <w:szCs w:val="20"/>
                      <w:lang w:eastAsia="en-US"/>
                    </w:rPr>
                    <w:t>0</w:t>
                  </w:r>
                  <w:r w:rsidRPr="00B54C71">
                    <w:rPr>
                      <w:rFonts w:eastAsia="Calibri"/>
                      <w:sz w:val="20"/>
                      <w:szCs w:val="20"/>
                      <w:lang w:eastAsia="en-US"/>
                    </w:rPr>
                    <w:t xml:space="preserve">% maksātāju, kuriem nodoklis tiek ieturēts izmaksas vietā un </w:t>
                  </w:r>
                  <w:r w:rsidR="00B26E34">
                    <w:rPr>
                      <w:rFonts w:eastAsia="Calibri"/>
                      <w:sz w:val="20"/>
                      <w:szCs w:val="20"/>
                      <w:lang w:eastAsia="en-US"/>
                    </w:rPr>
                    <w:t>2</w:t>
                  </w:r>
                  <w:r w:rsidR="00B26E34" w:rsidRPr="00B54C71">
                    <w:rPr>
                      <w:rFonts w:eastAsia="Calibri"/>
                      <w:sz w:val="20"/>
                      <w:szCs w:val="20"/>
                      <w:lang w:eastAsia="en-US"/>
                    </w:rPr>
                    <w:t>0</w:t>
                  </w:r>
                  <w:r w:rsidRPr="00B54C71">
                    <w:rPr>
                      <w:rFonts w:eastAsia="Calibri"/>
                      <w:sz w:val="20"/>
                      <w:szCs w:val="20"/>
                      <w:lang w:eastAsia="en-US"/>
                    </w:rPr>
                    <w:t>% maksātāju, kuriem nodoklis netiek ieturēts izmaksas vietā, izmanto</w:t>
                  </w:r>
                  <w:r w:rsidR="002047AC">
                    <w:rPr>
                      <w:rFonts w:eastAsia="Calibri"/>
                      <w:sz w:val="20"/>
                      <w:szCs w:val="20"/>
                      <w:lang w:eastAsia="en-US"/>
                    </w:rPr>
                    <w:t>s iespēju maksāt pēc 10% likmes.</w:t>
                  </w:r>
                </w:p>
                <w:p w:rsidR="00114F1C" w:rsidRPr="00B54C71" w:rsidRDefault="00114F1C" w:rsidP="00473B6E">
                  <w:pPr>
                    <w:spacing w:after="200" w:line="276" w:lineRule="auto"/>
                    <w:jc w:val="both"/>
                    <w:rPr>
                      <w:rFonts w:eastAsia="Calibri"/>
                      <w:sz w:val="20"/>
                      <w:szCs w:val="20"/>
                      <w:lang w:eastAsia="en-US"/>
                    </w:rPr>
                  </w:pPr>
                  <w:r w:rsidRPr="00B54C71">
                    <w:rPr>
                      <w:rFonts w:eastAsia="Calibri"/>
                      <w:sz w:val="20"/>
                      <w:szCs w:val="20"/>
                      <w:lang w:eastAsia="en-US"/>
                    </w:rPr>
                    <w:t>Jāņem vērā, ka minētās normas ieviešanu radīs maksātāju skaita pieaugumu, jo likme būs salīdzinoši zema, kā rezultātā daļa maksātāju turpmāk neizvairī</w:t>
                  </w:r>
                  <w:r w:rsidR="007854DE" w:rsidRPr="00B54C71">
                    <w:rPr>
                      <w:rFonts w:eastAsia="Calibri"/>
                      <w:sz w:val="20"/>
                      <w:szCs w:val="20"/>
                      <w:lang w:eastAsia="en-US"/>
                    </w:rPr>
                    <w:t>sie</w:t>
                  </w:r>
                  <w:r w:rsidRPr="00B54C71">
                    <w:rPr>
                      <w:rFonts w:eastAsia="Calibri"/>
                      <w:sz w:val="20"/>
                      <w:szCs w:val="20"/>
                      <w:lang w:eastAsia="en-US"/>
                    </w:rPr>
                    <w:t xml:space="preserve">s no nodokļa maksāšanas. Šis faktors varētu radīt maksātāju skaita pieaugumu par aptuveni </w:t>
                  </w:r>
                  <w:r w:rsidR="00B26E34">
                    <w:rPr>
                      <w:rFonts w:eastAsia="Calibri"/>
                      <w:sz w:val="20"/>
                      <w:szCs w:val="20"/>
                      <w:lang w:eastAsia="en-US"/>
                    </w:rPr>
                    <w:t>3</w:t>
                  </w:r>
                  <w:r w:rsidR="00B26E34" w:rsidRPr="00B54C71">
                    <w:rPr>
                      <w:rFonts w:eastAsia="Calibri"/>
                      <w:sz w:val="20"/>
                      <w:szCs w:val="20"/>
                      <w:lang w:eastAsia="en-US"/>
                    </w:rPr>
                    <w:t>0</w:t>
                  </w:r>
                  <w:r w:rsidRPr="00B54C71">
                    <w:rPr>
                      <w:rFonts w:eastAsia="Calibri"/>
                      <w:sz w:val="20"/>
                      <w:szCs w:val="20"/>
                      <w:lang w:eastAsia="en-US"/>
                    </w:rPr>
                    <w:t>%.</w:t>
                  </w:r>
                </w:p>
                <w:tbl>
                  <w:tblPr>
                    <w:tblW w:w="6204" w:type="dxa"/>
                    <w:tblLayout w:type="fixed"/>
                    <w:tblLook w:val="04A0" w:firstRow="1" w:lastRow="0" w:firstColumn="1" w:lastColumn="0" w:noHBand="0" w:noVBand="1"/>
                  </w:tblPr>
                  <w:tblGrid>
                    <w:gridCol w:w="1531"/>
                    <w:gridCol w:w="751"/>
                    <w:gridCol w:w="950"/>
                    <w:gridCol w:w="846"/>
                    <w:gridCol w:w="1134"/>
                    <w:gridCol w:w="992"/>
                  </w:tblGrid>
                  <w:tr w:rsidR="004F07D6" w:rsidTr="00CD3986">
                    <w:trPr>
                      <w:trHeight w:val="48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F1C" w:rsidRPr="0095377B" w:rsidRDefault="002261D5" w:rsidP="005706F8">
                        <w:pPr>
                          <w:jc w:val="center"/>
                          <w:rPr>
                            <w:color w:val="000000"/>
                            <w:sz w:val="16"/>
                            <w:szCs w:val="16"/>
                          </w:rPr>
                        </w:pPr>
                        <w:r>
                          <w:rPr>
                            <w:rFonts w:eastAsia="Calibri"/>
                            <w:sz w:val="16"/>
                            <w:szCs w:val="16"/>
                            <w:lang w:eastAsia="en-US"/>
                          </w:rPr>
                          <w:t>P</w:t>
                        </w:r>
                        <w:r w:rsidRPr="00CD3986">
                          <w:rPr>
                            <w:rFonts w:eastAsia="Calibri"/>
                            <w:sz w:val="16"/>
                            <w:szCs w:val="16"/>
                            <w:lang w:eastAsia="en-US"/>
                          </w:rPr>
                          <w:t>aziņojum</w:t>
                        </w:r>
                        <w:r w:rsidR="005706F8">
                          <w:rPr>
                            <w:rFonts w:eastAsia="Calibri"/>
                            <w:sz w:val="16"/>
                            <w:szCs w:val="16"/>
                            <w:lang w:eastAsia="en-US"/>
                          </w:rPr>
                          <w:t>a</w:t>
                        </w:r>
                        <w:r w:rsidRPr="00CD3986">
                          <w:rPr>
                            <w:rFonts w:eastAsia="Calibri"/>
                            <w:sz w:val="16"/>
                            <w:szCs w:val="16"/>
                            <w:lang w:eastAsia="en-US"/>
                          </w:rPr>
                          <w:t xml:space="preserve"> par fiziskām personām izmaksātajām summām</w:t>
                        </w:r>
                        <w:r w:rsidR="00114F1C" w:rsidRPr="0095377B">
                          <w:rPr>
                            <w:color w:val="000000"/>
                            <w:sz w:val="16"/>
                            <w:szCs w:val="16"/>
                          </w:rPr>
                          <w:t xml:space="preserve"> rinda</w:t>
                        </w:r>
                        <w:r w:rsidR="007F499C">
                          <w:rPr>
                            <w:color w:val="000000"/>
                            <w:sz w:val="16"/>
                            <w:szCs w:val="16"/>
                          </w:rPr>
                          <w:t>*</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114F1C" w:rsidRPr="0095377B" w:rsidRDefault="002261D5" w:rsidP="002261D5">
                        <w:pPr>
                          <w:jc w:val="center"/>
                          <w:rPr>
                            <w:color w:val="000000"/>
                            <w:sz w:val="16"/>
                            <w:szCs w:val="16"/>
                          </w:rPr>
                        </w:pPr>
                        <w:r w:rsidRPr="0095377B">
                          <w:rPr>
                            <w:color w:val="000000"/>
                            <w:sz w:val="16"/>
                            <w:szCs w:val="16"/>
                          </w:rPr>
                          <w:t>F</w:t>
                        </w:r>
                        <w:r>
                          <w:rPr>
                            <w:color w:val="000000"/>
                            <w:sz w:val="16"/>
                            <w:szCs w:val="16"/>
                          </w:rPr>
                          <w:t>izisko pers</w:t>
                        </w:r>
                        <w:r w:rsidR="00CD3986">
                          <w:rPr>
                            <w:color w:val="000000"/>
                            <w:sz w:val="16"/>
                            <w:szCs w:val="16"/>
                          </w:rPr>
                          <w:t>onu</w:t>
                        </w:r>
                        <w:r w:rsidRPr="0095377B">
                          <w:rPr>
                            <w:color w:val="000000"/>
                            <w:sz w:val="16"/>
                            <w:szCs w:val="16"/>
                          </w:rPr>
                          <w:t xml:space="preserve"> </w:t>
                        </w:r>
                        <w:r w:rsidR="00114F1C" w:rsidRPr="0095377B">
                          <w:rPr>
                            <w:color w:val="000000"/>
                            <w:sz w:val="16"/>
                            <w:szCs w:val="16"/>
                          </w:rPr>
                          <w:t>skaits</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114F1C" w:rsidRPr="0095377B" w:rsidRDefault="00114F1C">
                        <w:pPr>
                          <w:jc w:val="center"/>
                          <w:rPr>
                            <w:color w:val="000000"/>
                            <w:sz w:val="16"/>
                            <w:szCs w:val="16"/>
                          </w:rPr>
                        </w:pPr>
                        <w:r w:rsidRPr="0095377B">
                          <w:rPr>
                            <w:color w:val="000000"/>
                            <w:sz w:val="16"/>
                            <w:szCs w:val="16"/>
                          </w:rPr>
                          <w:t>Summa</w:t>
                        </w:r>
                        <w:r w:rsidR="00057F0B">
                          <w:rPr>
                            <w:color w:val="000000"/>
                            <w:sz w:val="16"/>
                            <w:szCs w:val="16"/>
                          </w:rPr>
                          <w:t xml:space="preserve"> L</w:t>
                        </w:r>
                        <w:r w:rsidR="007854DE">
                          <w:rPr>
                            <w:color w:val="000000"/>
                            <w:sz w:val="16"/>
                            <w:szCs w:val="16"/>
                          </w:rPr>
                          <w:t>s</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14F1C" w:rsidRPr="0095377B" w:rsidRDefault="00114F1C">
                        <w:pPr>
                          <w:jc w:val="center"/>
                          <w:rPr>
                            <w:color w:val="000000"/>
                            <w:sz w:val="16"/>
                            <w:szCs w:val="16"/>
                          </w:rPr>
                        </w:pPr>
                        <w:r w:rsidRPr="0095377B">
                          <w:rPr>
                            <w:color w:val="000000"/>
                            <w:sz w:val="16"/>
                            <w:szCs w:val="16"/>
                          </w:rPr>
                          <w:t>Vidējais ienākums</w:t>
                        </w:r>
                        <w:r w:rsidR="007854DE">
                          <w:rPr>
                            <w:color w:val="000000"/>
                            <w:sz w:val="16"/>
                            <w:szCs w:val="16"/>
                          </w:rPr>
                          <w:t xml:space="preserve"> 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4F1C" w:rsidRPr="0095377B" w:rsidRDefault="00114F1C">
                        <w:pPr>
                          <w:jc w:val="center"/>
                          <w:rPr>
                            <w:color w:val="000000"/>
                            <w:sz w:val="16"/>
                            <w:szCs w:val="16"/>
                          </w:rPr>
                        </w:pPr>
                        <w:r w:rsidRPr="0095377B">
                          <w:rPr>
                            <w:color w:val="000000"/>
                            <w:sz w:val="16"/>
                            <w:szCs w:val="16"/>
                          </w:rPr>
                          <w:t>Maksātāju pieaugums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4F1C" w:rsidRPr="0095377B" w:rsidRDefault="00114F1C">
                        <w:pPr>
                          <w:jc w:val="center"/>
                          <w:rPr>
                            <w:color w:val="000000"/>
                            <w:sz w:val="16"/>
                            <w:szCs w:val="16"/>
                          </w:rPr>
                        </w:pPr>
                        <w:r w:rsidRPr="0095377B">
                          <w:rPr>
                            <w:color w:val="000000"/>
                            <w:sz w:val="16"/>
                            <w:szCs w:val="16"/>
                          </w:rPr>
                          <w:t>Ietekme Ls</w:t>
                        </w:r>
                      </w:p>
                    </w:tc>
                  </w:tr>
                  <w:tr w:rsidR="004F07D6" w:rsidTr="00CD3986">
                    <w:trPr>
                      <w:trHeight w:val="31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lastRenderedPageBreak/>
                          <w:t xml:space="preserve">Apliekams ienākums (ietur </w:t>
                        </w:r>
                        <w:proofErr w:type="spellStart"/>
                        <w:r w:rsidRPr="0095377B">
                          <w:rPr>
                            <w:color w:val="000000"/>
                            <w:sz w:val="16"/>
                            <w:szCs w:val="16"/>
                          </w:rPr>
                          <w:t>izm</w:t>
                        </w:r>
                        <w:proofErr w:type="spellEnd"/>
                        <w:r w:rsidRPr="0095377B">
                          <w:rPr>
                            <w:color w:val="000000"/>
                            <w:sz w:val="16"/>
                            <w:szCs w:val="16"/>
                          </w:rPr>
                          <w:t>. vietā)</w:t>
                        </w:r>
                      </w:p>
                    </w:tc>
                    <w:tc>
                      <w:tcPr>
                        <w:tcW w:w="751"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jc w:val="right"/>
                          <w:rPr>
                            <w:color w:val="000000"/>
                            <w:sz w:val="16"/>
                            <w:szCs w:val="16"/>
                          </w:rPr>
                        </w:pPr>
                        <w:r w:rsidRPr="0095377B">
                          <w:rPr>
                            <w:color w:val="000000"/>
                            <w:sz w:val="16"/>
                            <w:szCs w:val="16"/>
                          </w:rPr>
                          <w:t>7 955</w:t>
                        </w:r>
                      </w:p>
                    </w:tc>
                    <w:tc>
                      <w:tcPr>
                        <w:tcW w:w="950"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jc w:val="right"/>
                          <w:rPr>
                            <w:color w:val="000000"/>
                            <w:sz w:val="16"/>
                            <w:szCs w:val="16"/>
                          </w:rPr>
                        </w:pPr>
                        <w:r w:rsidRPr="0095377B">
                          <w:rPr>
                            <w:color w:val="000000"/>
                            <w:sz w:val="16"/>
                            <w:szCs w:val="16"/>
                          </w:rPr>
                          <w:t>4 490 841</w:t>
                        </w:r>
                      </w:p>
                    </w:tc>
                    <w:tc>
                      <w:tcPr>
                        <w:tcW w:w="846"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jc w:val="right"/>
                          <w:rPr>
                            <w:color w:val="000000"/>
                            <w:sz w:val="16"/>
                            <w:szCs w:val="16"/>
                          </w:rPr>
                        </w:pPr>
                        <w:r w:rsidRPr="0095377B">
                          <w:rPr>
                            <w:color w:val="000000"/>
                            <w:sz w:val="16"/>
                            <w:szCs w:val="16"/>
                          </w:rPr>
                          <w:t>565</w:t>
                        </w:r>
                      </w:p>
                    </w:tc>
                    <w:tc>
                      <w:tcPr>
                        <w:tcW w:w="1134" w:type="dxa"/>
                        <w:tcBorders>
                          <w:top w:val="nil"/>
                          <w:left w:val="nil"/>
                          <w:bottom w:val="single" w:sz="4" w:space="0" w:color="auto"/>
                          <w:right w:val="single" w:sz="4" w:space="0" w:color="auto"/>
                        </w:tcBorders>
                        <w:shd w:val="clear" w:color="auto" w:fill="auto"/>
                        <w:noWrap/>
                        <w:vAlign w:val="bottom"/>
                        <w:hideMark/>
                      </w:tcPr>
                      <w:p w:rsidR="00114F1C" w:rsidRPr="0095377B" w:rsidRDefault="00B26E34">
                        <w:pPr>
                          <w:jc w:val="right"/>
                          <w:rPr>
                            <w:color w:val="000000"/>
                            <w:sz w:val="16"/>
                            <w:szCs w:val="16"/>
                          </w:rPr>
                        </w:pPr>
                        <w:r>
                          <w:rPr>
                            <w:color w:val="000000"/>
                            <w:sz w:val="16"/>
                            <w:szCs w:val="16"/>
                          </w:rPr>
                          <w:t>3</w:t>
                        </w:r>
                        <w:r w:rsidRPr="0095377B">
                          <w:rPr>
                            <w:color w:val="000000"/>
                            <w:sz w:val="16"/>
                            <w:szCs w:val="16"/>
                          </w:rPr>
                          <w:t>0</w:t>
                        </w:r>
                        <w:r w:rsidR="00114F1C" w:rsidRPr="0095377B">
                          <w:rPr>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114F1C" w:rsidRPr="0095377B" w:rsidRDefault="00B26E34">
                        <w:pPr>
                          <w:jc w:val="right"/>
                          <w:rPr>
                            <w:color w:val="000000"/>
                            <w:sz w:val="16"/>
                            <w:szCs w:val="16"/>
                          </w:rPr>
                        </w:pPr>
                        <w:r>
                          <w:rPr>
                            <w:color w:val="000000"/>
                            <w:sz w:val="16"/>
                            <w:szCs w:val="16"/>
                          </w:rPr>
                          <w:t>134 725</w:t>
                        </w:r>
                      </w:p>
                    </w:tc>
                  </w:tr>
                  <w:tr w:rsidR="004F07D6" w:rsidTr="00CD3986">
                    <w:trPr>
                      <w:trHeight w:val="31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 xml:space="preserve">Apliekams ienākums (neietur </w:t>
                        </w:r>
                        <w:proofErr w:type="spellStart"/>
                        <w:r w:rsidRPr="0095377B">
                          <w:rPr>
                            <w:color w:val="000000"/>
                            <w:sz w:val="16"/>
                            <w:szCs w:val="16"/>
                          </w:rPr>
                          <w:t>izm</w:t>
                        </w:r>
                        <w:proofErr w:type="spellEnd"/>
                        <w:r w:rsidRPr="0095377B">
                          <w:rPr>
                            <w:color w:val="000000"/>
                            <w:sz w:val="16"/>
                            <w:szCs w:val="16"/>
                          </w:rPr>
                          <w:t>. vietā)</w:t>
                        </w:r>
                      </w:p>
                    </w:tc>
                    <w:tc>
                      <w:tcPr>
                        <w:tcW w:w="751"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jc w:val="right"/>
                          <w:rPr>
                            <w:color w:val="000000"/>
                            <w:sz w:val="16"/>
                            <w:szCs w:val="16"/>
                          </w:rPr>
                        </w:pPr>
                        <w:r w:rsidRPr="0095377B">
                          <w:rPr>
                            <w:color w:val="000000"/>
                            <w:sz w:val="16"/>
                            <w:szCs w:val="16"/>
                          </w:rPr>
                          <w:t>6 761</w:t>
                        </w:r>
                      </w:p>
                    </w:tc>
                    <w:tc>
                      <w:tcPr>
                        <w:tcW w:w="950"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jc w:val="right"/>
                          <w:rPr>
                            <w:color w:val="000000"/>
                            <w:sz w:val="16"/>
                            <w:szCs w:val="16"/>
                          </w:rPr>
                        </w:pPr>
                        <w:r w:rsidRPr="0095377B">
                          <w:rPr>
                            <w:color w:val="000000"/>
                            <w:sz w:val="16"/>
                            <w:szCs w:val="16"/>
                          </w:rPr>
                          <w:t>17 828 543</w:t>
                        </w:r>
                      </w:p>
                    </w:tc>
                    <w:tc>
                      <w:tcPr>
                        <w:tcW w:w="846"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jc w:val="right"/>
                          <w:rPr>
                            <w:color w:val="000000"/>
                            <w:sz w:val="16"/>
                            <w:szCs w:val="16"/>
                          </w:rPr>
                        </w:pPr>
                        <w:r w:rsidRPr="0095377B">
                          <w:rPr>
                            <w:color w:val="000000"/>
                            <w:sz w:val="16"/>
                            <w:szCs w:val="16"/>
                          </w:rPr>
                          <w:t>2 637</w:t>
                        </w:r>
                      </w:p>
                    </w:tc>
                    <w:tc>
                      <w:tcPr>
                        <w:tcW w:w="1134" w:type="dxa"/>
                        <w:tcBorders>
                          <w:top w:val="nil"/>
                          <w:left w:val="nil"/>
                          <w:bottom w:val="single" w:sz="4" w:space="0" w:color="auto"/>
                          <w:right w:val="single" w:sz="4" w:space="0" w:color="auto"/>
                        </w:tcBorders>
                        <w:shd w:val="clear" w:color="auto" w:fill="auto"/>
                        <w:noWrap/>
                        <w:vAlign w:val="bottom"/>
                        <w:hideMark/>
                      </w:tcPr>
                      <w:p w:rsidR="00114F1C" w:rsidRPr="0095377B" w:rsidRDefault="00B26E34">
                        <w:pPr>
                          <w:jc w:val="right"/>
                          <w:rPr>
                            <w:color w:val="000000"/>
                            <w:sz w:val="16"/>
                            <w:szCs w:val="16"/>
                          </w:rPr>
                        </w:pPr>
                        <w:r>
                          <w:rPr>
                            <w:color w:val="000000"/>
                            <w:sz w:val="16"/>
                            <w:szCs w:val="16"/>
                          </w:rPr>
                          <w:t>3</w:t>
                        </w:r>
                        <w:r w:rsidRPr="0095377B">
                          <w:rPr>
                            <w:color w:val="000000"/>
                            <w:sz w:val="16"/>
                            <w:szCs w:val="16"/>
                          </w:rPr>
                          <w:t>0</w:t>
                        </w:r>
                        <w:r w:rsidR="00114F1C" w:rsidRPr="0095377B">
                          <w:rPr>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114F1C" w:rsidRPr="0095377B" w:rsidRDefault="00B26E34">
                        <w:pPr>
                          <w:jc w:val="right"/>
                          <w:rPr>
                            <w:color w:val="000000"/>
                            <w:sz w:val="16"/>
                            <w:szCs w:val="16"/>
                          </w:rPr>
                        </w:pPr>
                        <w:r>
                          <w:rPr>
                            <w:color w:val="000000"/>
                            <w:sz w:val="16"/>
                            <w:szCs w:val="16"/>
                          </w:rPr>
                          <w:t>534 856</w:t>
                        </w:r>
                      </w:p>
                    </w:tc>
                  </w:tr>
                  <w:tr w:rsidR="004F07D6" w:rsidTr="00CD3986">
                    <w:trPr>
                      <w:trHeight w:val="31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114F1C" w:rsidRPr="0095377B" w:rsidRDefault="00114F1C">
                        <w:pPr>
                          <w:rPr>
                            <w:b/>
                            <w:bCs/>
                            <w:color w:val="000000"/>
                            <w:sz w:val="16"/>
                            <w:szCs w:val="16"/>
                          </w:rPr>
                        </w:pPr>
                        <w:r w:rsidRPr="0095377B">
                          <w:rPr>
                            <w:b/>
                            <w:bCs/>
                            <w:color w:val="000000"/>
                            <w:sz w:val="16"/>
                            <w:szCs w:val="16"/>
                          </w:rPr>
                          <w:t>Kopā:</w:t>
                        </w:r>
                      </w:p>
                    </w:tc>
                    <w:tc>
                      <w:tcPr>
                        <w:tcW w:w="751"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 </w:t>
                        </w:r>
                      </w:p>
                    </w:tc>
                    <w:tc>
                      <w:tcPr>
                        <w:tcW w:w="950"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14F1C" w:rsidRPr="0095377B" w:rsidRDefault="00114F1C">
                        <w:pPr>
                          <w:rPr>
                            <w:color w:val="000000"/>
                            <w:sz w:val="16"/>
                            <w:szCs w:val="16"/>
                          </w:rPr>
                        </w:pPr>
                        <w:r w:rsidRPr="0095377B">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14F1C" w:rsidRPr="0095377B" w:rsidRDefault="00B26E34" w:rsidP="00E01B62">
                        <w:pPr>
                          <w:jc w:val="right"/>
                          <w:rPr>
                            <w:b/>
                            <w:bCs/>
                            <w:color w:val="000000"/>
                            <w:sz w:val="16"/>
                            <w:szCs w:val="16"/>
                          </w:rPr>
                        </w:pPr>
                        <w:r>
                          <w:rPr>
                            <w:b/>
                            <w:bCs/>
                            <w:color w:val="000000"/>
                            <w:sz w:val="16"/>
                            <w:szCs w:val="16"/>
                          </w:rPr>
                          <w:t>669 581</w:t>
                        </w:r>
                      </w:p>
                    </w:tc>
                  </w:tr>
                </w:tbl>
                <w:p w:rsidR="005706F8" w:rsidRPr="00921BC5" w:rsidRDefault="005706F8" w:rsidP="00473B6E">
                  <w:pPr>
                    <w:spacing w:after="200" w:line="276" w:lineRule="auto"/>
                    <w:jc w:val="both"/>
                    <w:rPr>
                      <w:rFonts w:eastAsia="Calibri"/>
                      <w:sz w:val="20"/>
                      <w:szCs w:val="20"/>
                      <w:lang w:eastAsia="en-US"/>
                    </w:rPr>
                  </w:pPr>
                  <w:r w:rsidRPr="00921BC5">
                    <w:rPr>
                      <w:rFonts w:eastAsia="Calibri"/>
                      <w:sz w:val="20"/>
                      <w:szCs w:val="20"/>
                      <w:lang w:eastAsia="en-US"/>
                    </w:rPr>
                    <w:t>*</w:t>
                  </w:r>
                  <w:r w:rsidRPr="00CD3986">
                    <w:rPr>
                      <w:sz w:val="20"/>
                      <w:szCs w:val="20"/>
                      <w:u w:val="single"/>
                    </w:rPr>
                    <w:t>par ieņēmumiem no nekustamā īpašuma izmantošanas (iznomāšanas, izīrēšanas)</w:t>
                  </w:r>
                </w:p>
                <w:p w:rsidR="00114F1C" w:rsidRDefault="00273D4B" w:rsidP="00473B6E">
                  <w:pPr>
                    <w:spacing w:after="200" w:line="276" w:lineRule="auto"/>
                    <w:jc w:val="both"/>
                    <w:rPr>
                      <w:rFonts w:eastAsia="Calibri"/>
                      <w:sz w:val="20"/>
                      <w:szCs w:val="20"/>
                      <w:lang w:eastAsia="en-US"/>
                    </w:rPr>
                  </w:pPr>
                  <w:r>
                    <w:rPr>
                      <w:rFonts w:eastAsia="Calibri"/>
                      <w:sz w:val="20"/>
                      <w:szCs w:val="20"/>
                      <w:lang w:eastAsia="en-US"/>
                    </w:rPr>
                    <w:t>Kopējā fiskālā ietekme tādējādi būtu -</w:t>
                  </w:r>
                  <w:r w:rsidR="00B26E34">
                    <w:rPr>
                      <w:rFonts w:eastAsia="Calibri"/>
                      <w:sz w:val="20"/>
                      <w:szCs w:val="20"/>
                      <w:lang w:eastAsia="en-US"/>
                    </w:rPr>
                    <w:t>67 363</w:t>
                  </w:r>
                  <w:r w:rsidR="007854DE">
                    <w:rPr>
                      <w:rFonts w:eastAsia="Calibri"/>
                      <w:sz w:val="20"/>
                      <w:szCs w:val="20"/>
                      <w:lang w:eastAsia="en-US"/>
                    </w:rPr>
                    <w:t xml:space="preserve"> (</w:t>
                  </w:r>
                  <w:r w:rsidR="00B26E34">
                    <w:rPr>
                      <w:rFonts w:eastAsia="Calibri"/>
                      <w:sz w:val="20"/>
                      <w:szCs w:val="20"/>
                      <w:lang w:eastAsia="en-US"/>
                    </w:rPr>
                    <w:t>669 581</w:t>
                  </w:r>
                  <w:r w:rsidR="007854DE">
                    <w:rPr>
                      <w:rFonts w:eastAsia="Calibri"/>
                      <w:sz w:val="20"/>
                      <w:szCs w:val="20"/>
                      <w:lang w:eastAsia="en-US"/>
                    </w:rPr>
                    <w:t>-</w:t>
                  </w:r>
                  <w:r w:rsidR="00B26E34">
                    <w:rPr>
                      <w:rFonts w:eastAsia="Calibri"/>
                      <w:sz w:val="20"/>
                      <w:szCs w:val="20"/>
                      <w:lang w:eastAsia="en-US"/>
                    </w:rPr>
                    <w:t>736 944</w:t>
                  </w:r>
                  <w:r w:rsidR="007854DE">
                    <w:rPr>
                      <w:rFonts w:eastAsia="Calibri"/>
                      <w:sz w:val="20"/>
                      <w:szCs w:val="20"/>
                      <w:lang w:eastAsia="en-US"/>
                    </w:rPr>
                    <w:t>)</w:t>
                  </w:r>
                  <w:r>
                    <w:rPr>
                      <w:rFonts w:eastAsia="Calibri"/>
                      <w:sz w:val="20"/>
                      <w:szCs w:val="20"/>
                      <w:lang w:eastAsia="en-US"/>
                    </w:rPr>
                    <w:t xml:space="preserve"> Ls apmērā.</w:t>
                  </w:r>
                </w:p>
                <w:p w:rsidR="004F07D6" w:rsidRDefault="004F07D6" w:rsidP="004F07D6">
                  <w:pPr>
                    <w:tabs>
                      <w:tab w:val="left" w:pos="284"/>
                    </w:tabs>
                    <w:jc w:val="both"/>
                    <w:rPr>
                      <w:color w:val="000000"/>
                      <w:sz w:val="20"/>
                      <w:szCs w:val="20"/>
                      <w:u w:val="single"/>
                    </w:rPr>
                  </w:pPr>
                  <w:r w:rsidRPr="0095377B">
                    <w:rPr>
                      <w:color w:val="000000"/>
                      <w:sz w:val="20"/>
                      <w:szCs w:val="20"/>
                      <w:u w:val="single"/>
                    </w:rPr>
                    <w:t xml:space="preserve">Papildu ierobežojumi attiecībā uz pakalpojumu līgumu, uzņēmumu līgumu, darbaspēka nomu </w:t>
                  </w:r>
                  <w:proofErr w:type="spellStart"/>
                  <w:r w:rsidRPr="0095377B">
                    <w:rPr>
                      <w:color w:val="000000"/>
                      <w:sz w:val="20"/>
                      <w:szCs w:val="20"/>
                      <w:u w:val="single"/>
                    </w:rPr>
                    <w:t>u.c</w:t>
                  </w:r>
                  <w:proofErr w:type="spellEnd"/>
                  <w:r w:rsidRPr="0095377B">
                    <w:rPr>
                      <w:color w:val="000000"/>
                      <w:sz w:val="20"/>
                      <w:szCs w:val="20"/>
                      <w:u w:val="single"/>
                    </w:rPr>
                    <w:t xml:space="preserve">. pakalpojumu saņemšanu no </w:t>
                  </w:r>
                  <w:proofErr w:type="spellStart"/>
                  <w:r w:rsidRPr="0095377B">
                    <w:rPr>
                      <w:color w:val="000000"/>
                      <w:sz w:val="20"/>
                      <w:szCs w:val="20"/>
                      <w:u w:val="single"/>
                    </w:rPr>
                    <w:t>mikrouzņēmumiem</w:t>
                  </w:r>
                  <w:proofErr w:type="spellEnd"/>
                  <w:r w:rsidR="00CD3986">
                    <w:rPr>
                      <w:color w:val="000000"/>
                      <w:sz w:val="20"/>
                      <w:szCs w:val="20"/>
                      <w:u w:val="single"/>
                    </w:rPr>
                    <w:t xml:space="preserve"> (turpmāk – MU)</w:t>
                  </w:r>
                </w:p>
                <w:p w:rsidR="004F07D6" w:rsidRDefault="004F07D6" w:rsidP="004F07D6">
                  <w:pPr>
                    <w:tabs>
                      <w:tab w:val="left" w:pos="284"/>
                    </w:tabs>
                    <w:jc w:val="both"/>
                    <w:rPr>
                      <w:sz w:val="20"/>
                      <w:szCs w:val="20"/>
                      <w:u w:val="single"/>
                    </w:rPr>
                  </w:pPr>
                </w:p>
                <w:p w:rsidR="00F77A75" w:rsidRDefault="00F77A75" w:rsidP="004F07D6">
                  <w:pPr>
                    <w:tabs>
                      <w:tab w:val="left" w:pos="284"/>
                    </w:tabs>
                    <w:jc w:val="both"/>
                    <w:rPr>
                      <w:sz w:val="20"/>
                      <w:szCs w:val="20"/>
                    </w:rPr>
                  </w:pPr>
                  <w:r w:rsidRPr="0095377B">
                    <w:rPr>
                      <w:sz w:val="20"/>
                      <w:szCs w:val="20"/>
                    </w:rPr>
                    <w:t>2011.gada</w:t>
                  </w:r>
                  <w:r>
                    <w:rPr>
                      <w:sz w:val="20"/>
                      <w:szCs w:val="20"/>
                    </w:rPr>
                    <w:t xml:space="preserve"> 31.oktobrī bija reģistrēti 10 376 MU ar darbības formu </w:t>
                  </w:r>
                  <w:r w:rsidR="00CD3986">
                    <w:rPr>
                      <w:sz w:val="20"/>
                      <w:szCs w:val="20"/>
                    </w:rPr>
                    <w:t xml:space="preserve">„sabiedrība ar ierobežotu atbildību” (turpmāk – </w:t>
                  </w:r>
                  <w:r>
                    <w:rPr>
                      <w:sz w:val="20"/>
                      <w:szCs w:val="20"/>
                    </w:rPr>
                    <w:t>SIA</w:t>
                  </w:r>
                  <w:r w:rsidR="00CD3986">
                    <w:rPr>
                      <w:sz w:val="20"/>
                      <w:szCs w:val="20"/>
                    </w:rPr>
                    <w:t>)</w:t>
                  </w:r>
                  <w:r>
                    <w:rPr>
                      <w:sz w:val="20"/>
                      <w:szCs w:val="20"/>
                    </w:rPr>
                    <w:t xml:space="preserve">. Vidēji vienā MU bija 2 nodarbinātie. </w:t>
                  </w:r>
                  <w:r w:rsidR="00DC0906">
                    <w:rPr>
                      <w:sz w:val="20"/>
                      <w:szCs w:val="20"/>
                    </w:rPr>
                    <w:t xml:space="preserve">Vidējais MU apgrozījums gadā veido aptuveni 12 000 Ls. </w:t>
                  </w:r>
                  <w:r>
                    <w:rPr>
                      <w:sz w:val="20"/>
                      <w:szCs w:val="20"/>
                    </w:rPr>
                    <w:t>Pieņemot, ka, ieviešot minēto normu,</w:t>
                  </w:r>
                  <w:r w:rsidR="0095377B">
                    <w:rPr>
                      <w:sz w:val="20"/>
                      <w:szCs w:val="20"/>
                    </w:rPr>
                    <w:t xml:space="preserve"> aptuveni</w:t>
                  </w:r>
                  <w:r>
                    <w:rPr>
                      <w:sz w:val="20"/>
                      <w:szCs w:val="20"/>
                    </w:rPr>
                    <w:t xml:space="preserve"> </w:t>
                  </w:r>
                  <w:r w:rsidR="00FF6E2D">
                    <w:rPr>
                      <w:sz w:val="20"/>
                      <w:szCs w:val="20"/>
                    </w:rPr>
                    <w:t>5</w:t>
                  </w:r>
                  <w:r>
                    <w:rPr>
                      <w:sz w:val="20"/>
                      <w:szCs w:val="20"/>
                    </w:rPr>
                    <w:t xml:space="preserve">% no MU </w:t>
                  </w:r>
                  <w:r w:rsidR="0095377B">
                    <w:rPr>
                      <w:sz w:val="20"/>
                      <w:szCs w:val="20"/>
                    </w:rPr>
                    <w:t>tiks ierobežotas</w:t>
                  </w:r>
                  <w:r>
                    <w:rPr>
                      <w:sz w:val="20"/>
                      <w:szCs w:val="20"/>
                    </w:rPr>
                    <w:t xml:space="preserve"> nodokļu plānošanas iespējas attiecībā uz darbaspēku, </w:t>
                  </w:r>
                  <w:r w:rsidR="00FF6E2D">
                    <w:rPr>
                      <w:sz w:val="20"/>
                      <w:szCs w:val="20"/>
                    </w:rPr>
                    <w:t>1038</w:t>
                  </w:r>
                  <w:r w:rsidR="00DC0906">
                    <w:rPr>
                      <w:sz w:val="20"/>
                      <w:szCs w:val="20"/>
                    </w:rPr>
                    <w:t xml:space="preserve"> (10376x</w:t>
                  </w:r>
                  <w:r w:rsidR="00FF6E2D">
                    <w:rPr>
                      <w:sz w:val="20"/>
                      <w:szCs w:val="20"/>
                    </w:rPr>
                    <w:t>5</w:t>
                  </w:r>
                  <w:r w:rsidR="00DC0906">
                    <w:rPr>
                      <w:sz w:val="20"/>
                      <w:szCs w:val="20"/>
                    </w:rPr>
                    <w:t>%x2cilvēki) nodarbinātie netiks iesaistīti minētajās pakalpojumu sniegšanas shēmās.</w:t>
                  </w:r>
                </w:p>
                <w:p w:rsidR="00206965" w:rsidRDefault="00206965" w:rsidP="00206965">
                  <w:pPr>
                    <w:spacing w:after="200" w:line="276" w:lineRule="auto"/>
                    <w:jc w:val="both"/>
                    <w:rPr>
                      <w:rFonts w:eastAsia="Calibri"/>
                      <w:sz w:val="20"/>
                      <w:szCs w:val="20"/>
                      <w:lang w:eastAsia="en-US"/>
                    </w:rPr>
                  </w:pPr>
                  <w:r>
                    <w:rPr>
                      <w:rFonts w:eastAsia="Calibri"/>
                      <w:sz w:val="20"/>
                      <w:szCs w:val="20"/>
                      <w:lang w:eastAsia="en-US"/>
                    </w:rPr>
                    <w:t xml:space="preserve">Tādējādi fiskālā ietekme būtu </w:t>
                  </w:r>
                  <w:r w:rsidR="003367D8">
                    <w:rPr>
                      <w:rFonts w:eastAsia="Calibri"/>
                      <w:sz w:val="20"/>
                      <w:szCs w:val="20"/>
                      <w:lang w:eastAsia="en-US"/>
                    </w:rPr>
                    <w:t>2 762 808</w:t>
                  </w:r>
                  <w:r>
                    <w:rPr>
                      <w:rFonts w:eastAsia="Calibri"/>
                      <w:sz w:val="20"/>
                      <w:szCs w:val="20"/>
                      <w:lang w:eastAsia="en-US"/>
                    </w:rPr>
                    <w:t xml:space="preserve"> Ls apmērā.</w:t>
                  </w:r>
                </w:p>
                <w:tbl>
                  <w:tblPr>
                    <w:tblW w:w="6281" w:type="dxa"/>
                    <w:tblLayout w:type="fixed"/>
                    <w:tblLook w:val="04A0" w:firstRow="1" w:lastRow="0" w:firstColumn="1" w:lastColumn="0" w:noHBand="0" w:noVBand="1"/>
                  </w:tblPr>
                  <w:tblGrid>
                    <w:gridCol w:w="689"/>
                    <w:gridCol w:w="600"/>
                    <w:gridCol w:w="993"/>
                    <w:gridCol w:w="992"/>
                    <w:gridCol w:w="992"/>
                    <w:gridCol w:w="992"/>
                    <w:gridCol w:w="1023"/>
                  </w:tblGrid>
                  <w:tr w:rsidR="007A74B7" w:rsidTr="00FF6E2D">
                    <w:trPr>
                      <w:trHeight w:val="48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965" w:rsidRPr="0095377B" w:rsidRDefault="00206965">
                        <w:pPr>
                          <w:jc w:val="center"/>
                          <w:rPr>
                            <w:color w:val="000000"/>
                            <w:sz w:val="16"/>
                            <w:szCs w:val="16"/>
                          </w:rPr>
                        </w:pPr>
                        <w:r w:rsidRPr="0095377B">
                          <w:rPr>
                            <w:color w:val="000000"/>
                            <w:sz w:val="16"/>
                            <w:szCs w:val="16"/>
                          </w:rPr>
                          <w:t>Vidējā alga mēnesī</w:t>
                        </w:r>
                        <w:r w:rsidR="007854DE">
                          <w:rPr>
                            <w:color w:val="000000"/>
                            <w:sz w:val="16"/>
                            <w:szCs w:val="16"/>
                          </w:rPr>
                          <w:t xml:space="preserve"> Ls</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06965" w:rsidRPr="0095377B" w:rsidRDefault="00206965" w:rsidP="00FF6E2D">
                        <w:pPr>
                          <w:jc w:val="center"/>
                          <w:rPr>
                            <w:color w:val="000000"/>
                            <w:sz w:val="16"/>
                            <w:szCs w:val="16"/>
                          </w:rPr>
                        </w:pPr>
                        <w:r w:rsidRPr="0095377B">
                          <w:rPr>
                            <w:color w:val="000000"/>
                            <w:sz w:val="16"/>
                            <w:szCs w:val="16"/>
                          </w:rPr>
                          <w:t>No</w:t>
                        </w:r>
                        <w:r w:rsidR="00FF6E2D">
                          <w:rPr>
                            <w:color w:val="000000"/>
                            <w:sz w:val="16"/>
                            <w:szCs w:val="16"/>
                          </w:rPr>
                          <w:t>-</w:t>
                        </w:r>
                        <w:proofErr w:type="spellStart"/>
                        <w:r w:rsidRPr="0095377B">
                          <w:rPr>
                            <w:color w:val="000000"/>
                            <w:sz w:val="16"/>
                            <w:szCs w:val="16"/>
                          </w:rPr>
                          <w:t>dar</w:t>
                        </w:r>
                        <w:r w:rsidR="00450FD3">
                          <w:rPr>
                            <w:color w:val="000000"/>
                            <w:sz w:val="16"/>
                            <w:szCs w:val="16"/>
                          </w:rPr>
                          <w:t>-</w:t>
                        </w:r>
                        <w:r w:rsidRPr="0095377B">
                          <w:rPr>
                            <w:color w:val="000000"/>
                            <w:sz w:val="16"/>
                            <w:szCs w:val="16"/>
                          </w:rPr>
                          <w:t>bināti</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06965" w:rsidRPr="0095377B" w:rsidRDefault="00206965">
                        <w:pPr>
                          <w:jc w:val="center"/>
                          <w:rPr>
                            <w:color w:val="000000"/>
                            <w:sz w:val="16"/>
                            <w:szCs w:val="16"/>
                          </w:rPr>
                        </w:pPr>
                        <w:r w:rsidRPr="0095377B">
                          <w:rPr>
                            <w:color w:val="000000"/>
                            <w:sz w:val="16"/>
                            <w:szCs w:val="16"/>
                          </w:rPr>
                          <w:t>IIN</w:t>
                        </w:r>
                        <w:r w:rsidR="00BE172D">
                          <w:rPr>
                            <w:color w:val="000000"/>
                            <w:sz w:val="16"/>
                            <w:szCs w:val="16"/>
                          </w:rPr>
                          <w:t>*</w:t>
                        </w:r>
                        <w:r w:rsidRPr="0095377B">
                          <w:rPr>
                            <w:color w:val="000000"/>
                            <w:sz w:val="16"/>
                            <w:szCs w:val="16"/>
                          </w:rPr>
                          <w:t xml:space="preserve"> SIA</w:t>
                        </w:r>
                        <w:r w:rsidR="007854DE">
                          <w:rPr>
                            <w:color w:val="000000"/>
                            <w:sz w:val="16"/>
                            <w:szCs w:val="16"/>
                          </w:rPr>
                          <w:t xml:space="preserve"> gadā Ls</w:t>
                        </w:r>
                        <w:r w:rsidRPr="0095377B">
                          <w:rPr>
                            <w:color w:val="000000"/>
                            <w:sz w:val="16"/>
                            <w:szCs w:val="16"/>
                          </w:rPr>
                          <w:t>*</w:t>
                        </w:r>
                        <w:r w:rsidR="00BE172D">
                          <w:rPr>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6965" w:rsidRPr="0095377B" w:rsidRDefault="00206965" w:rsidP="007854DE">
                        <w:pPr>
                          <w:jc w:val="center"/>
                          <w:rPr>
                            <w:color w:val="000000"/>
                            <w:sz w:val="16"/>
                            <w:szCs w:val="16"/>
                          </w:rPr>
                        </w:pPr>
                        <w:r w:rsidRPr="0095377B">
                          <w:rPr>
                            <w:color w:val="000000"/>
                            <w:sz w:val="16"/>
                            <w:szCs w:val="16"/>
                          </w:rPr>
                          <w:t>VSAOI</w:t>
                        </w:r>
                        <w:r w:rsidR="00BE172D">
                          <w:rPr>
                            <w:color w:val="000000"/>
                            <w:sz w:val="16"/>
                            <w:szCs w:val="16"/>
                          </w:rPr>
                          <w:t>***</w:t>
                        </w:r>
                        <w:r w:rsidRPr="0095377B">
                          <w:rPr>
                            <w:color w:val="000000"/>
                            <w:sz w:val="16"/>
                            <w:szCs w:val="16"/>
                          </w:rPr>
                          <w:t xml:space="preserve">  SIA</w:t>
                        </w:r>
                        <w:r w:rsidR="007854DE">
                          <w:rPr>
                            <w:color w:val="000000"/>
                            <w:sz w:val="16"/>
                            <w:szCs w:val="16"/>
                          </w:rPr>
                          <w:t xml:space="preserve"> gadā Ls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6965" w:rsidRPr="0095377B" w:rsidRDefault="00206965">
                        <w:pPr>
                          <w:jc w:val="center"/>
                          <w:rPr>
                            <w:color w:val="000000"/>
                            <w:sz w:val="16"/>
                            <w:szCs w:val="16"/>
                          </w:rPr>
                        </w:pPr>
                        <w:r w:rsidRPr="0095377B">
                          <w:rPr>
                            <w:color w:val="000000"/>
                            <w:sz w:val="16"/>
                            <w:szCs w:val="16"/>
                          </w:rPr>
                          <w:t>IIN MU</w:t>
                        </w:r>
                        <w:r w:rsidR="007854DE">
                          <w:rPr>
                            <w:color w:val="000000"/>
                            <w:sz w:val="16"/>
                            <w:szCs w:val="16"/>
                          </w:rPr>
                          <w:t xml:space="preserve"> gadā Ls</w:t>
                        </w:r>
                        <w:r w:rsidRPr="0095377B">
                          <w:rPr>
                            <w:color w:val="000000"/>
                            <w:sz w:val="16"/>
                            <w:szCs w:val="16"/>
                          </w:rPr>
                          <w:t>**</w:t>
                        </w:r>
                        <w:r w:rsidR="00BE172D">
                          <w:rPr>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6965" w:rsidRPr="0095377B" w:rsidRDefault="00206965" w:rsidP="007854DE">
                        <w:pPr>
                          <w:jc w:val="center"/>
                          <w:rPr>
                            <w:color w:val="000000"/>
                            <w:sz w:val="16"/>
                            <w:szCs w:val="16"/>
                          </w:rPr>
                        </w:pPr>
                        <w:r w:rsidRPr="0095377B">
                          <w:rPr>
                            <w:color w:val="000000"/>
                            <w:sz w:val="16"/>
                            <w:szCs w:val="16"/>
                          </w:rPr>
                          <w:t>VSAOI MU</w:t>
                        </w:r>
                        <w:r w:rsidR="007854DE">
                          <w:rPr>
                            <w:color w:val="000000"/>
                            <w:sz w:val="16"/>
                            <w:szCs w:val="16"/>
                          </w:rPr>
                          <w:t xml:space="preserve"> gadā Ls</w:t>
                        </w:r>
                        <w:r w:rsidRPr="0095377B">
                          <w:rPr>
                            <w:color w:val="000000"/>
                            <w:sz w:val="16"/>
                            <w:szCs w:val="16"/>
                          </w:rPr>
                          <w:t>**</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06965" w:rsidRPr="0095377B" w:rsidRDefault="00206965">
                        <w:pPr>
                          <w:jc w:val="center"/>
                          <w:rPr>
                            <w:color w:val="000000"/>
                            <w:sz w:val="16"/>
                            <w:szCs w:val="16"/>
                          </w:rPr>
                        </w:pPr>
                        <w:r w:rsidRPr="0095377B">
                          <w:rPr>
                            <w:color w:val="000000"/>
                            <w:sz w:val="16"/>
                            <w:szCs w:val="16"/>
                          </w:rPr>
                          <w:t>Ietekme Ls</w:t>
                        </w:r>
                      </w:p>
                    </w:tc>
                  </w:tr>
                  <w:tr w:rsidR="007A74B7" w:rsidTr="00FF6E2D">
                    <w:trPr>
                      <w:trHeight w:val="30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206965" w:rsidRPr="0095377B" w:rsidRDefault="00206965">
                        <w:pPr>
                          <w:jc w:val="right"/>
                          <w:rPr>
                            <w:color w:val="000000"/>
                            <w:sz w:val="16"/>
                            <w:szCs w:val="16"/>
                          </w:rPr>
                        </w:pPr>
                        <w:r w:rsidRPr="0095377B">
                          <w:rPr>
                            <w:color w:val="000000"/>
                            <w:sz w:val="16"/>
                            <w:szCs w:val="16"/>
                          </w:rPr>
                          <w:t>481</w:t>
                        </w:r>
                      </w:p>
                    </w:tc>
                    <w:tc>
                      <w:tcPr>
                        <w:tcW w:w="600" w:type="dxa"/>
                        <w:tcBorders>
                          <w:top w:val="nil"/>
                          <w:left w:val="nil"/>
                          <w:bottom w:val="single" w:sz="4" w:space="0" w:color="auto"/>
                          <w:right w:val="single" w:sz="4" w:space="0" w:color="auto"/>
                        </w:tcBorders>
                        <w:shd w:val="clear" w:color="auto" w:fill="auto"/>
                        <w:noWrap/>
                        <w:vAlign w:val="bottom"/>
                        <w:hideMark/>
                      </w:tcPr>
                      <w:p w:rsidR="00206965" w:rsidRPr="0095377B" w:rsidRDefault="00FF6E2D">
                        <w:pPr>
                          <w:jc w:val="right"/>
                          <w:rPr>
                            <w:color w:val="000000"/>
                            <w:sz w:val="16"/>
                            <w:szCs w:val="16"/>
                          </w:rPr>
                        </w:pPr>
                        <w:r>
                          <w:rPr>
                            <w:color w:val="000000"/>
                            <w:sz w:val="16"/>
                            <w:szCs w:val="16"/>
                          </w:rPr>
                          <w:t>1 038</w:t>
                        </w:r>
                      </w:p>
                    </w:tc>
                    <w:tc>
                      <w:tcPr>
                        <w:tcW w:w="993" w:type="dxa"/>
                        <w:tcBorders>
                          <w:top w:val="nil"/>
                          <w:left w:val="nil"/>
                          <w:bottom w:val="single" w:sz="4" w:space="0" w:color="auto"/>
                          <w:right w:val="single" w:sz="4" w:space="0" w:color="auto"/>
                        </w:tcBorders>
                        <w:shd w:val="clear" w:color="auto" w:fill="auto"/>
                        <w:noWrap/>
                        <w:vAlign w:val="bottom"/>
                        <w:hideMark/>
                      </w:tcPr>
                      <w:p w:rsidR="00206965" w:rsidRPr="0095377B" w:rsidRDefault="00FF6E2D">
                        <w:pPr>
                          <w:jc w:val="right"/>
                          <w:rPr>
                            <w:color w:val="000000"/>
                            <w:sz w:val="16"/>
                            <w:szCs w:val="16"/>
                          </w:rPr>
                        </w:pPr>
                        <w:r>
                          <w:rPr>
                            <w:color w:val="000000"/>
                            <w:sz w:val="16"/>
                            <w:szCs w:val="16"/>
                          </w:rPr>
                          <w:t>1 192 942</w:t>
                        </w:r>
                      </w:p>
                    </w:tc>
                    <w:tc>
                      <w:tcPr>
                        <w:tcW w:w="992" w:type="dxa"/>
                        <w:tcBorders>
                          <w:top w:val="nil"/>
                          <w:left w:val="nil"/>
                          <w:bottom w:val="single" w:sz="4" w:space="0" w:color="auto"/>
                          <w:right w:val="single" w:sz="4" w:space="0" w:color="auto"/>
                        </w:tcBorders>
                        <w:shd w:val="clear" w:color="auto" w:fill="auto"/>
                        <w:noWrap/>
                        <w:vAlign w:val="bottom"/>
                        <w:hideMark/>
                      </w:tcPr>
                      <w:p w:rsidR="00206965" w:rsidRPr="0095377B" w:rsidRDefault="00FF6E2D">
                        <w:pPr>
                          <w:jc w:val="right"/>
                          <w:rPr>
                            <w:color w:val="000000"/>
                            <w:sz w:val="16"/>
                            <w:szCs w:val="16"/>
                          </w:rPr>
                        </w:pPr>
                        <w:r>
                          <w:rPr>
                            <w:color w:val="000000"/>
                            <w:sz w:val="16"/>
                            <w:szCs w:val="16"/>
                          </w:rPr>
                          <w:t>2 102 360</w:t>
                        </w:r>
                      </w:p>
                    </w:tc>
                    <w:tc>
                      <w:tcPr>
                        <w:tcW w:w="992" w:type="dxa"/>
                        <w:tcBorders>
                          <w:top w:val="nil"/>
                          <w:left w:val="nil"/>
                          <w:bottom w:val="single" w:sz="4" w:space="0" w:color="auto"/>
                          <w:right w:val="single" w:sz="4" w:space="0" w:color="auto"/>
                        </w:tcBorders>
                        <w:shd w:val="clear" w:color="auto" w:fill="auto"/>
                        <w:noWrap/>
                        <w:vAlign w:val="bottom"/>
                        <w:hideMark/>
                      </w:tcPr>
                      <w:p w:rsidR="00206965" w:rsidRPr="0095377B" w:rsidRDefault="00FF6E2D">
                        <w:pPr>
                          <w:jc w:val="right"/>
                          <w:rPr>
                            <w:color w:val="000000"/>
                            <w:sz w:val="16"/>
                            <w:szCs w:val="16"/>
                          </w:rPr>
                        </w:pPr>
                        <w:r>
                          <w:rPr>
                            <w:color w:val="000000"/>
                            <w:sz w:val="16"/>
                            <w:szCs w:val="16"/>
                          </w:rPr>
                          <w:t>168 156</w:t>
                        </w:r>
                      </w:p>
                    </w:tc>
                    <w:tc>
                      <w:tcPr>
                        <w:tcW w:w="992" w:type="dxa"/>
                        <w:tcBorders>
                          <w:top w:val="nil"/>
                          <w:left w:val="nil"/>
                          <w:bottom w:val="single" w:sz="4" w:space="0" w:color="auto"/>
                          <w:right w:val="single" w:sz="4" w:space="0" w:color="auto"/>
                        </w:tcBorders>
                        <w:shd w:val="clear" w:color="auto" w:fill="auto"/>
                        <w:noWrap/>
                        <w:vAlign w:val="bottom"/>
                        <w:hideMark/>
                      </w:tcPr>
                      <w:p w:rsidR="00206965" w:rsidRPr="0095377B" w:rsidRDefault="00FF6E2D">
                        <w:pPr>
                          <w:jc w:val="right"/>
                          <w:rPr>
                            <w:color w:val="000000"/>
                            <w:sz w:val="16"/>
                            <w:szCs w:val="16"/>
                          </w:rPr>
                        </w:pPr>
                        <w:r>
                          <w:rPr>
                            <w:color w:val="000000"/>
                            <w:sz w:val="16"/>
                            <w:szCs w:val="16"/>
                          </w:rPr>
                          <w:t>364 338</w:t>
                        </w:r>
                      </w:p>
                    </w:tc>
                    <w:tc>
                      <w:tcPr>
                        <w:tcW w:w="1023" w:type="dxa"/>
                        <w:tcBorders>
                          <w:top w:val="nil"/>
                          <w:left w:val="nil"/>
                          <w:bottom w:val="single" w:sz="4" w:space="0" w:color="auto"/>
                          <w:right w:val="single" w:sz="4" w:space="0" w:color="auto"/>
                        </w:tcBorders>
                        <w:shd w:val="clear" w:color="auto" w:fill="auto"/>
                        <w:noWrap/>
                        <w:vAlign w:val="bottom"/>
                        <w:hideMark/>
                      </w:tcPr>
                      <w:p w:rsidR="00206965" w:rsidRPr="0095377B" w:rsidRDefault="00FF6E2D">
                        <w:pPr>
                          <w:jc w:val="right"/>
                          <w:rPr>
                            <w:color w:val="000000"/>
                            <w:sz w:val="16"/>
                            <w:szCs w:val="16"/>
                          </w:rPr>
                        </w:pPr>
                        <w:r>
                          <w:rPr>
                            <w:color w:val="000000"/>
                            <w:sz w:val="16"/>
                            <w:szCs w:val="16"/>
                          </w:rPr>
                          <w:t>2 762 808</w:t>
                        </w:r>
                      </w:p>
                    </w:tc>
                  </w:tr>
                </w:tbl>
                <w:p w:rsidR="00BE172D" w:rsidRDefault="00BE172D" w:rsidP="004F07D6">
                  <w:pPr>
                    <w:tabs>
                      <w:tab w:val="left" w:pos="284"/>
                    </w:tabs>
                    <w:jc w:val="both"/>
                    <w:rPr>
                      <w:sz w:val="20"/>
                      <w:szCs w:val="20"/>
                    </w:rPr>
                  </w:pPr>
                  <w:r>
                    <w:rPr>
                      <w:sz w:val="20"/>
                      <w:szCs w:val="20"/>
                    </w:rPr>
                    <w:t xml:space="preserve">*        </w:t>
                  </w:r>
                  <w:r w:rsidR="0013579F">
                    <w:rPr>
                      <w:sz w:val="20"/>
                      <w:szCs w:val="20"/>
                    </w:rPr>
                    <w:t xml:space="preserve"> </w:t>
                  </w:r>
                  <w:r>
                    <w:rPr>
                      <w:sz w:val="20"/>
                      <w:szCs w:val="20"/>
                    </w:rPr>
                    <w:t>- iedzīvotāju ienākuma nodoklis</w:t>
                  </w:r>
                </w:p>
                <w:p w:rsidR="00DC0906" w:rsidRDefault="00501538" w:rsidP="004F07D6">
                  <w:pPr>
                    <w:tabs>
                      <w:tab w:val="left" w:pos="284"/>
                    </w:tabs>
                    <w:jc w:val="both"/>
                    <w:rPr>
                      <w:sz w:val="20"/>
                      <w:szCs w:val="20"/>
                    </w:rPr>
                  </w:pPr>
                  <w:r>
                    <w:rPr>
                      <w:sz w:val="20"/>
                      <w:szCs w:val="20"/>
                    </w:rPr>
                    <w:t>*</w:t>
                  </w:r>
                  <w:r w:rsidR="00BE172D">
                    <w:rPr>
                      <w:sz w:val="20"/>
                      <w:szCs w:val="20"/>
                    </w:rPr>
                    <w:t>*</w:t>
                  </w:r>
                  <w:r>
                    <w:rPr>
                      <w:sz w:val="20"/>
                      <w:szCs w:val="20"/>
                    </w:rPr>
                    <w:t xml:space="preserve"> </w:t>
                  </w:r>
                  <w:r w:rsidR="00BE172D">
                    <w:rPr>
                      <w:sz w:val="20"/>
                      <w:szCs w:val="20"/>
                    </w:rPr>
                    <w:t xml:space="preserve">      - </w:t>
                  </w:r>
                  <w:r>
                    <w:rPr>
                      <w:sz w:val="20"/>
                      <w:szCs w:val="20"/>
                    </w:rPr>
                    <w:t>bez apgādībā esošām personām</w:t>
                  </w:r>
                </w:p>
                <w:p w:rsidR="00BE172D" w:rsidRDefault="00BE172D" w:rsidP="004F07D6">
                  <w:pPr>
                    <w:tabs>
                      <w:tab w:val="left" w:pos="284"/>
                    </w:tabs>
                    <w:jc w:val="both"/>
                    <w:rPr>
                      <w:sz w:val="20"/>
                      <w:szCs w:val="20"/>
                    </w:rPr>
                  </w:pPr>
                  <w:r>
                    <w:rPr>
                      <w:sz w:val="20"/>
                      <w:szCs w:val="20"/>
                    </w:rPr>
                    <w:t xml:space="preserve">***     - </w:t>
                  </w:r>
                  <w:r w:rsidR="004A3EEC">
                    <w:rPr>
                      <w:sz w:val="20"/>
                      <w:szCs w:val="20"/>
                    </w:rPr>
                    <w:t>valsts sociālās apdrošināšanas obligātās iemaksas</w:t>
                  </w:r>
                </w:p>
                <w:p w:rsidR="00114F1C" w:rsidRPr="00473B6E" w:rsidRDefault="00501538" w:rsidP="004A3EEC">
                  <w:pPr>
                    <w:tabs>
                      <w:tab w:val="left" w:pos="284"/>
                    </w:tabs>
                    <w:jc w:val="both"/>
                    <w:rPr>
                      <w:rFonts w:eastAsia="Calibri"/>
                      <w:b/>
                      <w:sz w:val="26"/>
                      <w:szCs w:val="26"/>
                      <w:u w:val="single"/>
                      <w:lang w:eastAsia="en-US"/>
                    </w:rPr>
                  </w:pPr>
                  <w:r>
                    <w:rPr>
                      <w:sz w:val="20"/>
                      <w:szCs w:val="20"/>
                    </w:rPr>
                    <w:t>**</w:t>
                  </w:r>
                  <w:r w:rsidR="00BE172D">
                    <w:rPr>
                      <w:sz w:val="20"/>
                      <w:szCs w:val="20"/>
                    </w:rPr>
                    <w:t>**</w:t>
                  </w:r>
                  <w:r>
                    <w:rPr>
                      <w:sz w:val="20"/>
                      <w:szCs w:val="20"/>
                    </w:rPr>
                    <w:t xml:space="preserve"> </w:t>
                  </w:r>
                  <w:r w:rsidR="0013579F">
                    <w:rPr>
                      <w:sz w:val="20"/>
                      <w:szCs w:val="20"/>
                    </w:rPr>
                    <w:t xml:space="preserve"> </w:t>
                  </w:r>
                  <w:r w:rsidR="00BE172D">
                    <w:rPr>
                      <w:sz w:val="20"/>
                      <w:szCs w:val="20"/>
                    </w:rPr>
                    <w:t xml:space="preserve"> - </w:t>
                  </w:r>
                  <w:r w:rsidR="007854DE">
                    <w:rPr>
                      <w:sz w:val="20"/>
                      <w:szCs w:val="20"/>
                    </w:rPr>
                    <w:t xml:space="preserve">viena MU </w:t>
                  </w:r>
                  <w:r>
                    <w:rPr>
                      <w:sz w:val="20"/>
                      <w:szCs w:val="20"/>
                    </w:rPr>
                    <w:t>gada apgrozījums 12 000 Ls; 2 darbinieki</w:t>
                  </w: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6.1. detalizēts ieņēmumu aprēķins</w:t>
                  </w:r>
                </w:p>
              </w:tc>
              <w:tc>
                <w:tcPr>
                  <w:tcW w:w="6511" w:type="dxa"/>
                  <w:gridSpan w:val="5"/>
                  <w:vMerge/>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t>6.2. detalizēts izdevumu aprēķins</w:t>
                  </w:r>
                </w:p>
              </w:tc>
              <w:tc>
                <w:tcPr>
                  <w:tcW w:w="6511" w:type="dxa"/>
                  <w:gridSpan w:val="5"/>
                  <w:vMerge/>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95377B">
              <w:trPr>
                <w:trHeight w:val="381"/>
                <w:tblCellSpacing w:w="0" w:type="dxa"/>
              </w:trPr>
              <w:tc>
                <w:tcPr>
                  <w:tcW w:w="2529" w:type="dxa"/>
                </w:tcPr>
                <w:p w:rsidR="00473B6E" w:rsidRPr="0095377B" w:rsidRDefault="00473B6E" w:rsidP="00473B6E">
                  <w:pPr>
                    <w:rPr>
                      <w:rFonts w:eastAsia="Calibri"/>
                      <w:lang w:eastAsia="en-US"/>
                    </w:rPr>
                  </w:pPr>
                  <w:r w:rsidRPr="0095377B">
                    <w:rPr>
                      <w:rFonts w:eastAsia="Calibri"/>
                      <w:lang w:eastAsia="en-US"/>
                    </w:rPr>
                    <w:lastRenderedPageBreak/>
                    <w:t>7. Cita informācija</w:t>
                  </w:r>
                </w:p>
              </w:tc>
              <w:tc>
                <w:tcPr>
                  <w:tcW w:w="6511" w:type="dxa"/>
                  <w:gridSpan w:val="5"/>
                </w:tcPr>
                <w:p w:rsidR="00473B6E" w:rsidRPr="00473B6E" w:rsidRDefault="0007124B" w:rsidP="0007124B">
                  <w:pPr>
                    <w:jc w:val="both"/>
                    <w:rPr>
                      <w:rFonts w:eastAsia="Calibri"/>
                      <w:sz w:val="26"/>
                      <w:szCs w:val="26"/>
                      <w:lang w:eastAsia="en-US"/>
                    </w:rPr>
                  </w:pPr>
                  <w:r>
                    <w:t xml:space="preserve">Pārējās likumprojektā paredzētās likuma normu izmaiņas </w:t>
                  </w:r>
                  <w:r w:rsidRPr="001A18B5">
                    <w:rPr>
                      <w:iCs/>
                    </w:rPr>
                    <w:t>no budžeta ieņēmumu un izdevumu viedokļa vērtējama</w:t>
                  </w:r>
                  <w:r>
                    <w:rPr>
                      <w:iCs/>
                    </w:rPr>
                    <w:t>s</w:t>
                  </w:r>
                  <w:r w:rsidRPr="001A18B5">
                    <w:rPr>
                      <w:iCs/>
                    </w:rPr>
                    <w:t xml:space="preserve"> kā </w:t>
                  </w:r>
                  <w:r>
                    <w:rPr>
                      <w:iCs/>
                    </w:rPr>
                    <w:t xml:space="preserve">nebūtiskas vai </w:t>
                  </w:r>
                  <w:r w:rsidRPr="001A18B5">
                    <w:rPr>
                      <w:iCs/>
                    </w:rPr>
                    <w:t>neitrāla</w:t>
                  </w:r>
                  <w:r>
                    <w:rPr>
                      <w:iCs/>
                    </w:rPr>
                    <w:t>s.</w:t>
                  </w:r>
                </w:p>
              </w:tc>
            </w:tr>
          </w:tbl>
          <w:p w:rsidR="00473B6E" w:rsidRPr="00473B6E" w:rsidRDefault="00473B6E" w:rsidP="00473B6E">
            <w:pPr>
              <w:jc w:val="center"/>
              <w:rPr>
                <w:rFonts w:eastAsia="Calibri"/>
                <w:sz w:val="28"/>
                <w:szCs w:val="28"/>
                <w:lang w:eastAsia="en-US"/>
              </w:rPr>
            </w:pPr>
          </w:p>
        </w:tc>
      </w:tr>
      <w:tr w:rsidR="00473B6E" w:rsidRPr="00473B6E" w:rsidTr="0095377B">
        <w:trPr>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473B6E" w:rsidRPr="00473B6E" w:rsidRDefault="00473B6E" w:rsidP="00473B6E">
            <w:pPr>
              <w:jc w:val="center"/>
              <w:rPr>
                <w:rFonts w:eastAsia="Calibri"/>
                <w:b/>
                <w:sz w:val="28"/>
                <w:szCs w:val="28"/>
                <w:lang w:eastAsia="en-US"/>
              </w:rPr>
            </w:pPr>
            <w:r w:rsidRPr="00473B6E">
              <w:rPr>
                <w:rFonts w:eastAsia="Calibri"/>
                <w:b/>
                <w:sz w:val="28"/>
                <w:szCs w:val="28"/>
                <w:lang w:eastAsia="en-US"/>
              </w:rPr>
              <w:lastRenderedPageBreak/>
              <w:t>IV. Tiesību akta projekta ietekme uz spēkā esošo tiesību normu sistēmu</w:t>
            </w:r>
          </w:p>
        </w:tc>
      </w:tr>
      <w:tr w:rsidR="00473B6E" w:rsidRPr="00473B6E" w:rsidTr="0095377B">
        <w:trPr>
          <w:tblCellSpacing w:w="0" w:type="dxa"/>
        </w:trPr>
        <w:tc>
          <w:tcPr>
            <w:tcW w:w="185" w:type="pct"/>
            <w:gridSpan w:val="2"/>
            <w:tcBorders>
              <w:top w:val="outset" w:sz="6" w:space="0" w:color="auto"/>
              <w:left w:val="outset" w:sz="6" w:space="0" w:color="auto"/>
              <w:bottom w:val="outset" w:sz="6" w:space="0" w:color="auto"/>
              <w:right w:val="outset" w:sz="6" w:space="0" w:color="auto"/>
            </w:tcBorders>
          </w:tcPr>
          <w:p w:rsidR="00473B6E" w:rsidRPr="007352D7" w:rsidRDefault="00473B6E" w:rsidP="00473B6E">
            <w:pPr>
              <w:jc w:val="both"/>
              <w:rPr>
                <w:rFonts w:eastAsia="Calibri"/>
                <w:sz w:val="26"/>
                <w:szCs w:val="26"/>
                <w:lang w:eastAsia="en-US"/>
              </w:rPr>
            </w:pPr>
            <w:r w:rsidRPr="007352D7">
              <w:rPr>
                <w:rFonts w:eastAsia="Calibri"/>
                <w:sz w:val="26"/>
                <w:szCs w:val="26"/>
                <w:lang w:eastAsia="en-US"/>
              </w:rPr>
              <w:t> 1.</w:t>
            </w:r>
          </w:p>
        </w:tc>
        <w:tc>
          <w:tcPr>
            <w:tcW w:w="1406" w:type="pct"/>
            <w:gridSpan w:val="2"/>
            <w:tcBorders>
              <w:top w:val="outset" w:sz="6" w:space="0" w:color="auto"/>
              <w:left w:val="outset" w:sz="6" w:space="0" w:color="auto"/>
              <w:bottom w:val="outset" w:sz="6" w:space="0" w:color="auto"/>
              <w:right w:val="outset" w:sz="6" w:space="0" w:color="auto"/>
            </w:tcBorders>
          </w:tcPr>
          <w:p w:rsidR="00473B6E" w:rsidRPr="007352D7" w:rsidRDefault="00473B6E" w:rsidP="00473B6E">
            <w:pPr>
              <w:jc w:val="both"/>
              <w:rPr>
                <w:rFonts w:eastAsia="Calibri"/>
                <w:sz w:val="26"/>
                <w:szCs w:val="26"/>
                <w:lang w:eastAsia="en-US"/>
              </w:rPr>
            </w:pPr>
            <w:r w:rsidRPr="007352D7">
              <w:rPr>
                <w:rFonts w:eastAsia="Calibri"/>
                <w:sz w:val="26"/>
                <w:szCs w:val="26"/>
                <w:lang w:eastAsia="en-US"/>
              </w:rPr>
              <w:t> Nepieciešamie saistītie tiesību aktu projekti</w:t>
            </w:r>
          </w:p>
        </w:tc>
        <w:tc>
          <w:tcPr>
            <w:tcW w:w="3410" w:type="pct"/>
            <w:gridSpan w:val="4"/>
            <w:tcBorders>
              <w:top w:val="outset" w:sz="6" w:space="0" w:color="auto"/>
              <w:left w:val="outset" w:sz="6" w:space="0" w:color="auto"/>
              <w:bottom w:val="outset" w:sz="6" w:space="0" w:color="auto"/>
              <w:right w:val="outset" w:sz="6" w:space="0" w:color="auto"/>
            </w:tcBorders>
          </w:tcPr>
          <w:p w:rsidR="00473B6E" w:rsidRPr="007352D7" w:rsidRDefault="00473B6E" w:rsidP="00473B6E">
            <w:pPr>
              <w:jc w:val="both"/>
              <w:rPr>
                <w:rFonts w:eastAsia="Calibri"/>
                <w:lang w:eastAsia="en-US"/>
              </w:rPr>
            </w:pPr>
            <w:r w:rsidRPr="007352D7">
              <w:rPr>
                <w:rFonts w:eastAsia="Calibri"/>
                <w:lang w:eastAsia="en-US"/>
              </w:rPr>
              <w:t>Nepieciešams veikt atbilstošus grozījumus likuma „Par valsts sociālo apdrošināšanu” 16.1pantā.</w:t>
            </w:r>
          </w:p>
        </w:tc>
      </w:tr>
      <w:tr w:rsidR="00473B6E" w:rsidRPr="00473B6E" w:rsidTr="0095377B">
        <w:trPr>
          <w:tblCellSpacing w:w="0" w:type="dxa"/>
        </w:trPr>
        <w:tc>
          <w:tcPr>
            <w:tcW w:w="185" w:type="pct"/>
            <w:gridSpan w:val="2"/>
            <w:tcBorders>
              <w:top w:val="outset" w:sz="6" w:space="0" w:color="auto"/>
              <w:left w:val="outset" w:sz="6" w:space="0" w:color="auto"/>
              <w:bottom w:val="outset" w:sz="6" w:space="0" w:color="auto"/>
              <w:right w:val="outset" w:sz="6" w:space="0" w:color="auto"/>
            </w:tcBorders>
          </w:tcPr>
          <w:p w:rsidR="00473B6E" w:rsidRPr="007352D7" w:rsidRDefault="00473B6E" w:rsidP="00473B6E">
            <w:pPr>
              <w:jc w:val="both"/>
              <w:rPr>
                <w:rFonts w:eastAsia="Calibri"/>
                <w:sz w:val="26"/>
                <w:szCs w:val="26"/>
                <w:lang w:eastAsia="en-US"/>
              </w:rPr>
            </w:pPr>
            <w:r w:rsidRPr="007352D7">
              <w:rPr>
                <w:rFonts w:eastAsia="Calibri"/>
                <w:sz w:val="26"/>
                <w:szCs w:val="26"/>
                <w:lang w:eastAsia="en-US"/>
              </w:rPr>
              <w:t> 2.</w:t>
            </w:r>
          </w:p>
        </w:tc>
        <w:tc>
          <w:tcPr>
            <w:tcW w:w="1406" w:type="pct"/>
            <w:gridSpan w:val="2"/>
            <w:tcBorders>
              <w:top w:val="outset" w:sz="6" w:space="0" w:color="auto"/>
              <w:left w:val="outset" w:sz="6" w:space="0" w:color="auto"/>
              <w:bottom w:val="outset" w:sz="6" w:space="0" w:color="auto"/>
              <w:right w:val="outset" w:sz="6" w:space="0" w:color="auto"/>
            </w:tcBorders>
          </w:tcPr>
          <w:p w:rsidR="00473B6E" w:rsidRPr="007352D7" w:rsidRDefault="00473B6E" w:rsidP="00473B6E">
            <w:pPr>
              <w:jc w:val="both"/>
              <w:rPr>
                <w:rFonts w:eastAsia="Calibri"/>
                <w:sz w:val="26"/>
                <w:szCs w:val="26"/>
                <w:lang w:eastAsia="en-US"/>
              </w:rPr>
            </w:pPr>
            <w:r w:rsidRPr="007352D7">
              <w:rPr>
                <w:rFonts w:eastAsia="Calibri"/>
                <w:sz w:val="26"/>
                <w:szCs w:val="26"/>
                <w:lang w:eastAsia="en-US"/>
              </w:rPr>
              <w:t> Cita informācija</w:t>
            </w:r>
          </w:p>
        </w:tc>
        <w:tc>
          <w:tcPr>
            <w:tcW w:w="3410" w:type="pct"/>
            <w:gridSpan w:val="4"/>
            <w:tcBorders>
              <w:top w:val="outset" w:sz="6" w:space="0" w:color="auto"/>
              <w:left w:val="outset" w:sz="6" w:space="0" w:color="auto"/>
              <w:bottom w:val="outset" w:sz="6" w:space="0" w:color="auto"/>
              <w:right w:val="outset" w:sz="6" w:space="0" w:color="auto"/>
            </w:tcBorders>
          </w:tcPr>
          <w:p w:rsidR="00473B6E" w:rsidRPr="007352D7" w:rsidRDefault="00473B6E" w:rsidP="00473B6E">
            <w:pPr>
              <w:jc w:val="both"/>
              <w:rPr>
                <w:rFonts w:eastAsia="Calibri"/>
                <w:lang w:eastAsia="en-US"/>
              </w:rPr>
            </w:pPr>
            <w:r w:rsidRPr="007352D7">
              <w:rPr>
                <w:rFonts w:eastAsia="Calibri"/>
                <w:lang w:eastAsia="en-US"/>
              </w:rPr>
              <w:t>Nav</w:t>
            </w:r>
          </w:p>
        </w:tc>
      </w:tr>
      <w:tr w:rsidR="00473B6E" w:rsidRPr="00473B6E" w:rsidTr="0095377B">
        <w:tblPrEx>
          <w:tblCellSpacing w:w="0" w:type="nil"/>
          <w:tblCellMar>
            <w:top w:w="30" w:type="dxa"/>
            <w:left w:w="30" w:type="dxa"/>
            <w:bottom w:w="30" w:type="dxa"/>
            <w:right w:w="30" w:type="dxa"/>
          </w:tblCellMar>
        </w:tblPrEx>
        <w:tc>
          <w:tcPr>
            <w:tcW w:w="5000" w:type="pct"/>
            <w:gridSpan w:val="8"/>
            <w:tcBorders>
              <w:top w:val="outset" w:sz="6" w:space="0" w:color="auto"/>
              <w:left w:val="outset" w:sz="6" w:space="0" w:color="auto"/>
              <w:bottom w:val="outset" w:sz="6" w:space="0" w:color="auto"/>
              <w:right w:val="outset" w:sz="6" w:space="0" w:color="auto"/>
            </w:tcBorders>
            <w:vAlign w:val="center"/>
          </w:tcPr>
          <w:p w:rsidR="00473B6E" w:rsidRPr="00473B6E" w:rsidRDefault="00473B6E" w:rsidP="00473B6E">
            <w:pPr>
              <w:jc w:val="center"/>
              <w:rPr>
                <w:rFonts w:eastAsia="Calibri"/>
                <w:b/>
                <w:sz w:val="28"/>
                <w:szCs w:val="28"/>
                <w:lang w:eastAsia="en-US"/>
              </w:rPr>
            </w:pPr>
            <w:r w:rsidRPr="00473B6E">
              <w:rPr>
                <w:rFonts w:eastAsia="Calibri"/>
                <w:sz w:val="28"/>
                <w:szCs w:val="28"/>
                <w:lang w:eastAsia="en-US"/>
              </w:rPr>
              <w:t> </w:t>
            </w:r>
            <w:r w:rsidRPr="00473B6E">
              <w:rPr>
                <w:rFonts w:eastAsia="Calibri"/>
                <w:b/>
                <w:sz w:val="28"/>
                <w:szCs w:val="28"/>
                <w:lang w:eastAsia="en-US"/>
              </w:rPr>
              <w:t>V. Tiesību akta projekta atbilstība Latvijas Republikas starptautiskajām saistībām</w:t>
            </w:r>
          </w:p>
        </w:tc>
      </w:tr>
      <w:tr w:rsidR="00C93187" w:rsidRPr="00473B6E" w:rsidTr="0095377B">
        <w:tblPrEx>
          <w:tblCellSpacing w:w="0" w:type="nil"/>
          <w:tblCellMar>
            <w:top w:w="30" w:type="dxa"/>
            <w:left w:w="30" w:type="dxa"/>
            <w:bottom w:w="30" w:type="dxa"/>
            <w:right w:w="30" w:type="dxa"/>
          </w:tblCellMar>
        </w:tblPrEx>
        <w:trPr>
          <w:trHeight w:val="430"/>
        </w:trPr>
        <w:tc>
          <w:tcPr>
            <w:tcW w:w="301" w:type="pct"/>
            <w:gridSpan w:val="3"/>
            <w:tcBorders>
              <w:top w:val="outset" w:sz="6" w:space="0" w:color="auto"/>
              <w:left w:val="outset" w:sz="6" w:space="0" w:color="auto"/>
              <w:bottom w:val="outset" w:sz="6" w:space="0" w:color="auto"/>
              <w:right w:val="outset" w:sz="6" w:space="0" w:color="auto"/>
            </w:tcBorders>
            <w:vAlign w:val="center"/>
          </w:tcPr>
          <w:p w:rsidR="00C93187" w:rsidRPr="007352D7" w:rsidRDefault="00C93187" w:rsidP="00473B6E">
            <w:pPr>
              <w:jc w:val="center"/>
              <w:rPr>
                <w:rFonts w:eastAsia="Calibri"/>
                <w:sz w:val="26"/>
                <w:szCs w:val="26"/>
                <w:lang w:eastAsia="en-US"/>
              </w:rPr>
            </w:pPr>
            <w:r w:rsidRPr="007352D7">
              <w:rPr>
                <w:rFonts w:eastAsia="Calibri"/>
                <w:sz w:val="26"/>
                <w:szCs w:val="26"/>
                <w:lang w:eastAsia="en-US"/>
              </w:rPr>
              <w:t>1.</w:t>
            </w:r>
          </w:p>
        </w:tc>
        <w:tc>
          <w:tcPr>
            <w:tcW w:w="1343" w:type="pct"/>
            <w:gridSpan w:val="2"/>
            <w:tcBorders>
              <w:top w:val="outset" w:sz="6" w:space="0" w:color="auto"/>
              <w:left w:val="outset" w:sz="6" w:space="0" w:color="auto"/>
              <w:bottom w:val="outset" w:sz="6" w:space="0" w:color="auto"/>
              <w:right w:val="outset" w:sz="6" w:space="0" w:color="auto"/>
            </w:tcBorders>
            <w:vAlign w:val="center"/>
          </w:tcPr>
          <w:p w:rsidR="00C93187" w:rsidRPr="007352D7" w:rsidRDefault="00C93187" w:rsidP="00C93187">
            <w:pPr>
              <w:rPr>
                <w:rFonts w:eastAsia="Calibri"/>
                <w:sz w:val="26"/>
                <w:szCs w:val="26"/>
                <w:lang w:eastAsia="en-US"/>
              </w:rPr>
            </w:pPr>
            <w:r w:rsidRPr="007352D7">
              <w:rPr>
                <w:rFonts w:eastAsia="Calibri"/>
                <w:sz w:val="26"/>
                <w:szCs w:val="26"/>
                <w:lang w:eastAsia="en-US"/>
              </w:rPr>
              <w:t>Saistības pret Eiropas Savienību</w:t>
            </w:r>
          </w:p>
        </w:tc>
        <w:tc>
          <w:tcPr>
            <w:tcW w:w="3356" w:type="pct"/>
            <w:gridSpan w:val="3"/>
            <w:tcBorders>
              <w:top w:val="outset" w:sz="6" w:space="0" w:color="auto"/>
              <w:left w:val="outset" w:sz="6" w:space="0" w:color="auto"/>
              <w:bottom w:val="outset" w:sz="6" w:space="0" w:color="auto"/>
              <w:right w:val="outset" w:sz="6" w:space="0" w:color="auto"/>
            </w:tcBorders>
            <w:vAlign w:val="center"/>
          </w:tcPr>
          <w:p w:rsidR="00C93187" w:rsidRPr="007352D7" w:rsidRDefault="00C93187" w:rsidP="005E702D">
            <w:pPr>
              <w:jc w:val="both"/>
              <w:rPr>
                <w:rFonts w:eastAsia="Calibri"/>
                <w:lang w:eastAsia="en-US"/>
              </w:rPr>
            </w:pPr>
            <w:r w:rsidRPr="007352D7">
              <w:rPr>
                <w:rFonts w:eastAsia="Calibri"/>
                <w:lang w:eastAsia="en-US"/>
              </w:rPr>
              <w:t xml:space="preserve">Likumprojekts nodrošinās 2009.gada 18.jūnija Eiropas Parlamenta un Padomes Direktīvas 2009/52/EK, ar ko nosaka minimālos standartus sankcijām un pasākumiem pret darba devējiem, kas nodarbina trešo valstu </w:t>
            </w:r>
            <w:proofErr w:type="spellStart"/>
            <w:r w:rsidRPr="007352D7">
              <w:rPr>
                <w:rFonts w:eastAsia="Calibri"/>
                <w:lang w:eastAsia="en-US"/>
              </w:rPr>
              <w:t>valstspiederīgos</w:t>
            </w:r>
            <w:proofErr w:type="spellEnd"/>
            <w:r w:rsidRPr="007352D7">
              <w:rPr>
                <w:rFonts w:eastAsia="Calibri"/>
                <w:lang w:eastAsia="en-US"/>
              </w:rPr>
              <w:t xml:space="preserve">, kuri dalībvalstīs uzturas nelikumīgi, 6.panta 3.punkta normas pārņemšanu Latvijas normatīvajos aktos. </w:t>
            </w:r>
          </w:p>
        </w:tc>
      </w:tr>
      <w:tr w:rsidR="00C93187" w:rsidRPr="00473B6E" w:rsidTr="0095377B">
        <w:tblPrEx>
          <w:tblCellSpacing w:w="0" w:type="nil"/>
          <w:tblCellMar>
            <w:top w:w="30" w:type="dxa"/>
            <w:left w:w="30" w:type="dxa"/>
            <w:bottom w:w="30" w:type="dxa"/>
            <w:right w:w="30" w:type="dxa"/>
          </w:tblCellMar>
        </w:tblPrEx>
        <w:trPr>
          <w:trHeight w:val="430"/>
        </w:trPr>
        <w:tc>
          <w:tcPr>
            <w:tcW w:w="301" w:type="pct"/>
            <w:gridSpan w:val="3"/>
            <w:tcBorders>
              <w:top w:val="outset" w:sz="6" w:space="0" w:color="auto"/>
              <w:left w:val="outset" w:sz="6" w:space="0" w:color="auto"/>
              <w:bottom w:val="outset" w:sz="6" w:space="0" w:color="auto"/>
              <w:right w:val="outset" w:sz="6" w:space="0" w:color="auto"/>
            </w:tcBorders>
            <w:vAlign w:val="center"/>
          </w:tcPr>
          <w:p w:rsidR="00C93187" w:rsidRDefault="00C93187" w:rsidP="00473B6E">
            <w:pPr>
              <w:jc w:val="center"/>
              <w:rPr>
                <w:rFonts w:eastAsia="Calibri"/>
                <w:sz w:val="28"/>
                <w:szCs w:val="28"/>
                <w:lang w:eastAsia="en-US"/>
              </w:rPr>
            </w:pPr>
            <w:r>
              <w:rPr>
                <w:rFonts w:eastAsia="Calibri"/>
                <w:sz w:val="28"/>
                <w:szCs w:val="28"/>
                <w:lang w:eastAsia="en-US"/>
              </w:rPr>
              <w:t>2.</w:t>
            </w:r>
          </w:p>
        </w:tc>
        <w:tc>
          <w:tcPr>
            <w:tcW w:w="1343" w:type="pct"/>
            <w:gridSpan w:val="2"/>
            <w:tcBorders>
              <w:top w:val="outset" w:sz="6" w:space="0" w:color="auto"/>
              <w:left w:val="outset" w:sz="6" w:space="0" w:color="auto"/>
              <w:bottom w:val="outset" w:sz="6" w:space="0" w:color="auto"/>
              <w:right w:val="outset" w:sz="6" w:space="0" w:color="auto"/>
            </w:tcBorders>
            <w:vAlign w:val="center"/>
          </w:tcPr>
          <w:p w:rsidR="00C93187" w:rsidRPr="007352D7" w:rsidRDefault="00C93187" w:rsidP="00C93187">
            <w:pPr>
              <w:rPr>
                <w:rFonts w:eastAsia="Calibri"/>
                <w:sz w:val="26"/>
                <w:szCs w:val="26"/>
                <w:lang w:eastAsia="en-US"/>
              </w:rPr>
            </w:pPr>
            <w:r w:rsidRPr="007352D7">
              <w:rPr>
                <w:rFonts w:eastAsia="Calibri"/>
                <w:sz w:val="26"/>
                <w:szCs w:val="26"/>
                <w:lang w:eastAsia="en-US"/>
              </w:rPr>
              <w:t>Citas starptautiskās saistības</w:t>
            </w:r>
          </w:p>
        </w:tc>
        <w:tc>
          <w:tcPr>
            <w:tcW w:w="3356" w:type="pct"/>
            <w:gridSpan w:val="3"/>
            <w:tcBorders>
              <w:top w:val="outset" w:sz="6" w:space="0" w:color="auto"/>
              <w:left w:val="outset" w:sz="6" w:space="0" w:color="auto"/>
              <w:bottom w:val="outset" w:sz="6" w:space="0" w:color="auto"/>
              <w:right w:val="outset" w:sz="6" w:space="0" w:color="auto"/>
            </w:tcBorders>
            <w:vAlign w:val="center"/>
          </w:tcPr>
          <w:p w:rsidR="00C93187" w:rsidRPr="007352D7" w:rsidRDefault="00C93187" w:rsidP="00C93187">
            <w:pPr>
              <w:rPr>
                <w:rFonts w:eastAsia="Calibri"/>
                <w:lang w:eastAsia="en-US"/>
              </w:rPr>
            </w:pPr>
            <w:r w:rsidRPr="007352D7">
              <w:rPr>
                <w:rFonts w:eastAsia="Calibri"/>
                <w:lang w:eastAsia="en-US"/>
              </w:rPr>
              <w:t>Nav.</w:t>
            </w:r>
          </w:p>
        </w:tc>
      </w:tr>
      <w:tr w:rsidR="00C93187" w:rsidRPr="00473B6E" w:rsidTr="0095377B">
        <w:tblPrEx>
          <w:tblCellSpacing w:w="0" w:type="nil"/>
          <w:tblCellMar>
            <w:top w:w="30" w:type="dxa"/>
            <w:left w:w="30" w:type="dxa"/>
            <w:bottom w:w="30" w:type="dxa"/>
            <w:right w:w="30" w:type="dxa"/>
          </w:tblCellMar>
        </w:tblPrEx>
        <w:trPr>
          <w:trHeight w:val="430"/>
        </w:trPr>
        <w:tc>
          <w:tcPr>
            <w:tcW w:w="301" w:type="pct"/>
            <w:gridSpan w:val="3"/>
            <w:tcBorders>
              <w:top w:val="outset" w:sz="6" w:space="0" w:color="auto"/>
              <w:left w:val="outset" w:sz="6" w:space="0" w:color="auto"/>
              <w:bottom w:val="outset" w:sz="6" w:space="0" w:color="auto"/>
              <w:right w:val="outset" w:sz="6" w:space="0" w:color="auto"/>
            </w:tcBorders>
            <w:vAlign w:val="center"/>
          </w:tcPr>
          <w:p w:rsidR="00C93187" w:rsidRDefault="00C93187" w:rsidP="00473B6E">
            <w:pPr>
              <w:jc w:val="center"/>
              <w:rPr>
                <w:rFonts w:eastAsia="Calibri"/>
                <w:sz w:val="28"/>
                <w:szCs w:val="28"/>
                <w:lang w:eastAsia="en-US"/>
              </w:rPr>
            </w:pPr>
            <w:r>
              <w:rPr>
                <w:rFonts w:eastAsia="Calibri"/>
                <w:sz w:val="28"/>
                <w:szCs w:val="28"/>
                <w:lang w:eastAsia="en-US"/>
              </w:rPr>
              <w:t>3.</w:t>
            </w:r>
          </w:p>
        </w:tc>
        <w:tc>
          <w:tcPr>
            <w:tcW w:w="1343" w:type="pct"/>
            <w:gridSpan w:val="2"/>
            <w:tcBorders>
              <w:top w:val="outset" w:sz="6" w:space="0" w:color="auto"/>
              <w:left w:val="outset" w:sz="6" w:space="0" w:color="auto"/>
              <w:bottom w:val="outset" w:sz="6" w:space="0" w:color="auto"/>
              <w:right w:val="outset" w:sz="6" w:space="0" w:color="auto"/>
            </w:tcBorders>
            <w:vAlign w:val="center"/>
          </w:tcPr>
          <w:p w:rsidR="00C93187" w:rsidRPr="007352D7" w:rsidRDefault="00C93187" w:rsidP="00C93187">
            <w:pPr>
              <w:rPr>
                <w:rFonts w:eastAsia="Calibri"/>
                <w:sz w:val="26"/>
                <w:szCs w:val="26"/>
                <w:lang w:eastAsia="en-US"/>
              </w:rPr>
            </w:pPr>
            <w:r w:rsidRPr="007352D7">
              <w:rPr>
                <w:rFonts w:eastAsia="Calibri"/>
                <w:sz w:val="26"/>
                <w:szCs w:val="26"/>
                <w:lang w:eastAsia="en-US"/>
              </w:rPr>
              <w:t>Cita informācija</w:t>
            </w:r>
          </w:p>
        </w:tc>
        <w:tc>
          <w:tcPr>
            <w:tcW w:w="3356" w:type="pct"/>
            <w:gridSpan w:val="3"/>
            <w:tcBorders>
              <w:top w:val="outset" w:sz="6" w:space="0" w:color="auto"/>
              <w:left w:val="outset" w:sz="6" w:space="0" w:color="auto"/>
              <w:bottom w:val="outset" w:sz="6" w:space="0" w:color="auto"/>
              <w:right w:val="outset" w:sz="6" w:space="0" w:color="auto"/>
            </w:tcBorders>
            <w:vAlign w:val="center"/>
          </w:tcPr>
          <w:p w:rsidR="00C93187" w:rsidRPr="007352D7" w:rsidRDefault="00C93187" w:rsidP="00C93187">
            <w:pPr>
              <w:rPr>
                <w:rFonts w:eastAsia="Calibri"/>
                <w:lang w:eastAsia="en-US"/>
              </w:rPr>
            </w:pPr>
            <w:r w:rsidRPr="007352D7">
              <w:rPr>
                <w:rFonts w:eastAsia="Calibri"/>
                <w:lang w:eastAsia="en-US"/>
              </w:rPr>
              <w:t>Nav.</w:t>
            </w:r>
          </w:p>
        </w:tc>
      </w:tr>
      <w:tr w:rsidR="00473B6E" w:rsidRPr="00473B6E" w:rsidTr="0095377B">
        <w:trPr>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5E702D" w:rsidRDefault="005E702D" w:rsidP="00473B6E">
            <w:pPr>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2264"/>
              <w:gridCol w:w="2264"/>
            </w:tblGrid>
            <w:tr w:rsidR="005E702D" w:rsidRPr="00F42173" w:rsidTr="0095377B">
              <w:tc>
                <w:tcPr>
                  <w:tcW w:w="9056" w:type="dxa"/>
                  <w:gridSpan w:val="4"/>
                  <w:shd w:val="clear" w:color="auto" w:fill="auto"/>
                </w:tcPr>
                <w:p w:rsidR="005E702D" w:rsidRPr="00F42173" w:rsidRDefault="005E702D" w:rsidP="00F42173">
                  <w:pPr>
                    <w:jc w:val="center"/>
                    <w:rPr>
                      <w:rFonts w:eastAsia="Calibri"/>
                      <w:b/>
                      <w:sz w:val="28"/>
                      <w:szCs w:val="28"/>
                      <w:lang w:eastAsia="en-US"/>
                    </w:rPr>
                  </w:pPr>
                  <w:r w:rsidRPr="00F42173">
                    <w:rPr>
                      <w:rFonts w:eastAsia="Calibri"/>
                      <w:b/>
                      <w:sz w:val="28"/>
                      <w:szCs w:val="28"/>
                      <w:lang w:eastAsia="en-US"/>
                    </w:rPr>
                    <w:t>1.tabula</w:t>
                  </w:r>
                </w:p>
                <w:p w:rsidR="005E702D" w:rsidRPr="00F42173" w:rsidRDefault="005E702D" w:rsidP="00F42173">
                  <w:pPr>
                    <w:jc w:val="center"/>
                    <w:rPr>
                      <w:rFonts w:eastAsia="Calibri"/>
                      <w:b/>
                      <w:sz w:val="28"/>
                      <w:szCs w:val="28"/>
                      <w:lang w:eastAsia="en-US"/>
                    </w:rPr>
                  </w:pPr>
                  <w:r w:rsidRPr="00F42173">
                    <w:rPr>
                      <w:rFonts w:eastAsia="Calibri"/>
                      <w:b/>
                      <w:sz w:val="28"/>
                      <w:szCs w:val="28"/>
                      <w:lang w:eastAsia="en-US"/>
                    </w:rPr>
                    <w:lastRenderedPageBreak/>
                    <w:t>Tiesību akta projekta atbilstība ES tiesību aktiem</w:t>
                  </w:r>
                </w:p>
              </w:tc>
            </w:tr>
            <w:tr w:rsidR="005E702D" w:rsidRPr="00F42173" w:rsidTr="0095377B">
              <w:tc>
                <w:tcPr>
                  <w:tcW w:w="2264" w:type="dxa"/>
                  <w:shd w:val="clear" w:color="auto" w:fill="auto"/>
                </w:tcPr>
                <w:p w:rsidR="005E702D" w:rsidRPr="00F42173" w:rsidRDefault="005E702D" w:rsidP="00F42173">
                  <w:pPr>
                    <w:jc w:val="center"/>
                    <w:rPr>
                      <w:rFonts w:eastAsia="Calibri"/>
                      <w:sz w:val="26"/>
                      <w:szCs w:val="26"/>
                      <w:lang w:eastAsia="en-US"/>
                    </w:rPr>
                  </w:pPr>
                  <w:r w:rsidRPr="00F42173">
                    <w:rPr>
                      <w:rFonts w:eastAsia="Calibri"/>
                      <w:sz w:val="26"/>
                      <w:szCs w:val="26"/>
                      <w:lang w:eastAsia="en-US"/>
                    </w:rPr>
                    <w:lastRenderedPageBreak/>
                    <w:t>Attiecīgā ES tiesību akta datums, numurs un nosaukums</w:t>
                  </w:r>
                </w:p>
              </w:tc>
              <w:tc>
                <w:tcPr>
                  <w:tcW w:w="6792" w:type="dxa"/>
                  <w:gridSpan w:val="3"/>
                  <w:shd w:val="clear" w:color="auto" w:fill="auto"/>
                </w:tcPr>
                <w:p w:rsidR="005E702D" w:rsidRPr="00F42173" w:rsidRDefault="00843A91" w:rsidP="00F42173">
                  <w:pPr>
                    <w:jc w:val="both"/>
                    <w:rPr>
                      <w:rFonts w:eastAsia="Calibri"/>
                      <w:lang w:eastAsia="en-US"/>
                    </w:rPr>
                  </w:pPr>
                  <w:r w:rsidRPr="00F42173">
                    <w:rPr>
                      <w:rFonts w:eastAsia="Calibri"/>
                      <w:lang w:eastAsia="en-US"/>
                    </w:rPr>
                    <w:t xml:space="preserve">2009.gada 18.jūnija Eiropas Parlamenta un Padomes Direktīvas 2009/52/EK, ar ko nosaka minimālos standartus sankcijām un pasākumiem pret darba devējiem, kas nodarbina trešo valstu </w:t>
                  </w:r>
                  <w:proofErr w:type="spellStart"/>
                  <w:r w:rsidRPr="00F42173">
                    <w:rPr>
                      <w:rFonts w:eastAsia="Calibri"/>
                      <w:lang w:eastAsia="en-US"/>
                    </w:rPr>
                    <w:t>valstspiederīgos</w:t>
                  </w:r>
                  <w:proofErr w:type="spellEnd"/>
                  <w:r w:rsidRPr="00F42173">
                    <w:rPr>
                      <w:rFonts w:eastAsia="Calibri"/>
                      <w:lang w:eastAsia="en-US"/>
                    </w:rPr>
                    <w:t>, kuri dalībvalstīs uzturas nelikumīgi.</w:t>
                  </w:r>
                </w:p>
              </w:tc>
            </w:tr>
            <w:tr w:rsidR="005E702D" w:rsidRPr="00F42173" w:rsidTr="0095377B">
              <w:tc>
                <w:tcPr>
                  <w:tcW w:w="9056" w:type="dxa"/>
                  <w:gridSpan w:val="4"/>
                  <w:shd w:val="clear" w:color="auto" w:fill="auto"/>
                </w:tcPr>
                <w:p w:rsidR="005E702D" w:rsidRPr="00F42173" w:rsidRDefault="005E702D" w:rsidP="00F42173">
                  <w:pPr>
                    <w:jc w:val="center"/>
                    <w:rPr>
                      <w:rFonts w:eastAsia="Calibri"/>
                      <w:b/>
                      <w:sz w:val="28"/>
                      <w:szCs w:val="28"/>
                      <w:lang w:eastAsia="en-US"/>
                    </w:rPr>
                  </w:pPr>
                </w:p>
              </w:tc>
            </w:tr>
            <w:tr w:rsidR="005E702D" w:rsidRPr="00F42173" w:rsidTr="0095377B">
              <w:tc>
                <w:tcPr>
                  <w:tcW w:w="2264" w:type="dxa"/>
                  <w:shd w:val="clear" w:color="auto" w:fill="auto"/>
                </w:tcPr>
                <w:p w:rsidR="005E702D" w:rsidRPr="00F42173" w:rsidRDefault="005E702D" w:rsidP="00F42173">
                  <w:pPr>
                    <w:jc w:val="center"/>
                    <w:rPr>
                      <w:rFonts w:eastAsia="Calibri"/>
                      <w:sz w:val="28"/>
                      <w:szCs w:val="28"/>
                      <w:lang w:eastAsia="en-US"/>
                    </w:rPr>
                  </w:pPr>
                  <w:r w:rsidRPr="00F42173">
                    <w:rPr>
                      <w:rFonts w:eastAsia="Calibri"/>
                      <w:sz w:val="28"/>
                      <w:szCs w:val="28"/>
                      <w:lang w:eastAsia="en-US"/>
                    </w:rPr>
                    <w:t>A</w:t>
                  </w:r>
                </w:p>
              </w:tc>
              <w:tc>
                <w:tcPr>
                  <w:tcW w:w="2264" w:type="dxa"/>
                  <w:shd w:val="clear" w:color="auto" w:fill="auto"/>
                </w:tcPr>
                <w:p w:rsidR="005E702D" w:rsidRPr="00F42173" w:rsidRDefault="005E702D" w:rsidP="00F42173">
                  <w:pPr>
                    <w:jc w:val="center"/>
                    <w:rPr>
                      <w:rFonts w:eastAsia="Calibri"/>
                      <w:sz w:val="28"/>
                      <w:szCs w:val="28"/>
                      <w:lang w:eastAsia="en-US"/>
                    </w:rPr>
                  </w:pPr>
                  <w:r w:rsidRPr="00F42173">
                    <w:rPr>
                      <w:rFonts w:eastAsia="Calibri"/>
                      <w:sz w:val="28"/>
                      <w:szCs w:val="28"/>
                      <w:lang w:eastAsia="en-US"/>
                    </w:rPr>
                    <w:t>B</w:t>
                  </w:r>
                </w:p>
              </w:tc>
              <w:tc>
                <w:tcPr>
                  <w:tcW w:w="2264" w:type="dxa"/>
                  <w:shd w:val="clear" w:color="auto" w:fill="auto"/>
                </w:tcPr>
                <w:p w:rsidR="005E702D" w:rsidRPr="00F42173" w:rsidRDefault="005E702D" w:rsidP="00F42173">
                  <w:pPr>
                    <w:jc w:val="center"/>
                    <w:rPr>
                      <w:rFonts w:eastAsia="Calibri"/>
                      <w:sz w:val="28"/>
                      <w:szCs w:val="28"/>
                      <w:lang w:eastAsia="en-US"/>
                    </w:rPr>
                  </w:pPr>
                  <w:r w:rsidRPr="00F42173">
                    <w:rPr>
                      <w:rFonts w:eastAsia="Calibri"/>
                      <w:sz w:val="28"/>
                      <w:szCs w:val="28"/>
                      <w:lang w:eastAsia="en-US"/>
                    </w:rPr>
                    <w:t>C</w:t>
                  </w:r>
                </w:p>
              </w:tc>
              <w:tc>
                <w:tcPr>
                  <w:tcW w:w="2264" w:type="dxa"/>
                  <w:shd w:val="clear" w:color="auto" w:fill="auto"/>
                </w:tcPr>
                <w:p w:rsidR="005E702D" w:rsidRPr="00F42173" w:rsidRDefault="005E702D" w:rsidP="00F42173">
                  <w:pPr>
                    <w:jc w:val="center"/>
                    <w:rPr>
                      <w:rFonts w:eastAsia="Calibri"/>
                      <w:sz w:val="28"/>
                      <w:szCs w:val="28"/>
                      <w:lang w:eastAsia="en-US"/>
                    </w:rPr>
                  </w:pPr>
                  <w:r w:rsidRPr="00F42173">
                    <w:rPr>
                      <w:rFonts w:eastAsia="Calibri"/>
                      <w:sz w:val="28"/>
                      <w:szCs w:val="28"/>
                      <w:lang w:eastAsia="en-US"/>
                    </w:rPr>
                    <w:t>D</w:t>
                  </w:r>
                </w:p>
              </w:tc>
            </w:tr>
            <w:tr w:rsidR="005E702D" w:rsidRPr="00F42173" w:rsidTr="0095377B">
              <w:tc>
                <w:tcPr>
                  <w:tcW w:w="2264" w:type="dxa"/>
                  <w:shd w:val="clear" w:color="auto" w:fill="auto"/>
                </w:tcPr>
                <w:p w:rsidR="005E702D" w:rsidRPr="00F42173" w:rsidRDefault="00843A91" w:rsidP="00F42173">
                  <w:pPr>
                    <w:jc w:val="both"/>
                    <w:rPr>
                      <w:rFonts w:eastAsia="Calibri"/>
                      <w:lang w:eastAsia="en-US"/>
                    </w:rPr>
                  </w:pPr>
                  <w:r w:rsidRPr="00F42173">
                    <w:rPr>
                      <w:rFonts w:eastAsia="Calibri"/>
                      <w:lang w:eastAsia="en-US"/>
                    </w:rPr>
                    <w:t>Attiecīgā ES tiesību akta panta numurs (uzskaitot katru tiesību akta vienību – pantu, daļu, punktu, apakšpunktu)</w:t>
                  </w:r>
                </w:p>
              </w:tc>
              <w:tc>
                <w:tcPr>
                  <w:tcW w:w="2264" w:type="dxa"/>
                  <w:shd w:val="clear" w:color="auto" w:fill="auto"/>
                </w:tcPr>
                <w:p w:rsidR="005E702D" w:rsidRPr="00F42173" w:rsidRDefault="00E43F3E" w:rsidP="00F42173">
                  <w:pPr>
                    <w:jc w:val="both"/>
                    <w:rPr>
                      <w:rFonts w:eastAsia="Calibri"/>
                      <w:lang w:eastAsia="en-US"/>
                    </w:rPr>
                  </w:pPr>
                  <w:r w:rsidRPr="00F42173">
                    <w:rPr>
                      <w:rFonts w:eastAsia="Calibri"/>
                      <w:lang w:eastAsia="en-US"/>
                    </w:rPr>
                    <w:t>Projekta vienība, kas pārņem vai ievieš katru šīs tabulas A ailē minēto ES tiesību akta vienību</w:t>
                  </w:r>
                </w:p>
              </w:tc>
              <w:tc>
                <w:tcPr>
                  <w:tcW w:w="2264" w:type="dxa"/>
                  <w:shd w:val="clear" w:color="auto" w:fill="auto"/>
                </w:tcPr>
                <w:p w:rsidR="005E702D" w:rsidRPr="00F42173" w:rsidRDefault="00E43F3E" w:rsidP="00F42173">
                  <w:pPr>
                    <w:jc w:val="both"/>
                    <w:rPr>
                      <w:rFonts w:eastAsia="Calibri"/>
                      <w:lang w:eastAsia="en-US"/>
                    </w:rPr>
                  </w:pPr>
                  <w:r w:rsidRPr="00F42173">
                    <w:rPr>
                      <w:rFonts w:eastAsia="Calibri"/>
                      <w:lang w:eastAsia="en-US"/>
                    </w:rPr>
                    <w:t>Informācija par to, vai šīs tabulas A ailē minētās ES tiesību akta vienības tiek pārņemtas vai ieviestas pilnībā vai daļēji.</w:t>
                  </w:r>
                </w:p>
                <w:p w:rsidR="00E43F3E" w:rsidRPr="00F42173" w:rsidRDefault="00E43F3E" w:rsidP="00F42173">
                  <w:pPr>
                    <w:jc w:val="both"/>
                    <w:rPr>
                      <w:rFonts w:eastAsia="Calibri"/>
                      <w:lang w:eastAsia="en-US"/>
                    </w:rPr>
                  </w:pPr>
                  <w:r w:rsidRPr="00F42173">
                    <w:rPr>
                      <w:rFonts w:eastAsia="Calibri"/>
                      <w:lang w:eastAsia="en-US"/>
                    </w:rPr>
                    <w:t>Ja attiecīgā ES tiesību akta vienība tiek pārņemta vai ieviesta daļēji, - sniedz attiecīgu skaidrojumu, kā arī precīzi norāda, kad un kādā veidā ES tiesību akta vienība tiks pārņemta vai ieviesta pilnībā.</w:t>
                  </w:r>
                </w:p>
                <w:p w:rsidR="00623810" w:rsidRPr="00F42173" w:rsidRDefault="00623810" w:rsidP="00F42173">
                  <w:pPr>
                    <w:jc w:val="both"/>
                    <w:rPr>
                      <w:rFonts w:eastAsia="Calibri"/>
                      <w:lang w:eastAsia="en-US"/>
                    </w:rPr>
                  </w:pPr>
                  <w:r w:rsidRPr="00F42173">
                    <w:rPr>
                      <w:rFonts w:eastAsia="Calibri"/>
                      <w:lang w:eastAsia="en-US"/>
                    </w:rPr>
                    <w:t>Norāda institūciju, kas ir atbildīga par šo saistību izpildi pilnībā.</w:t>
                  </w:r>
                </w:p>
              </w:tc>
              <w:tc>
                <w:tcPr>
                  <w:tcW w:w="2264" w:type="dxa"/>
                  <w:shd w:val="clear" w:color="auto" w:fill="auto"/>
                </w:tcPr>
                <w:p w:rsidR="005E702D" w:rsidRPr="00F42173" w:rsidRDefault="00E43F3E" w:rsidP="00F42173">
                  <w:pPr>
                    <w:jc w:val="both"/>
                    <w:rPr>
                      <w:rFonts w:eastAsia="Calibri"/>
                      <w:lang w:eastAsia="en-US"/>
                    </w:rPr>
                  </w:pPr>
                  <w:r w:rsidRPr="00F42173">
                    <w:rPr>
                      <w:rFonts w:eastAsia="Calibri"/>
                      <w:lang w:eastAsia="en-US"/>
                    </w:rPr>
                    <w:t>Informācija par to, vai šīs tabulas B ailē minētās projekta vienības paredz stingrākas prasības nekā šīs tabulas A ailē minētās ES tiesību akta vienības. Ja projekts satur stingrākas prasības nekā attiecīgais ES tiesību akts, - norāda pamatojumu un samērīgumu.</w:t>
                  </w:r>
                </w:p>
                <w:p w:rsidR="00E43F3E" w:rsidRPr="00F42173" w:rsidRDefault="00E43F3E" w:rsidP="00F42173">
                  <w:pPr>
                    <w:jc w:val="both"/>
                    <w:rPr>
                      <w:rFonts w:eastAsia="Calibri"/>
                      <w:lang w:eastAsia="en-US"/>
                    </w:rPr>
                  </w:pPr>
                  <w:r w:rsidRPr="00F42173">
                    <w:rPr>
                      <w:rFonts w:eastAsia="Calibri"/>
                      <w:lang w:eastAsia="en-US"/>
                    </w:rPr>
                    <w:t>Norāda iespējamās alternatīvas (</w:t>
                  </w:r>
                  <w:proofErr w:type="spellStart"/>
                  <w:r w:rsidRPr="00F42173">
                    <w:rPr>
                      <w:rFonts w:eastAsia="Calibri"/>
                      <w:lang w:eastAsia="en-US"/>
                    </w:rPr>
                    <w:t>t.sk</w:t>
                  </w:r>
                  <w:proofErr w:type="spellEnd"/>
                  <w:r w:rsidRPr="00F42173">
                    <w:rPr>
                      <w:rFonts w:eastAsia="Calibri"/>
                      <w:lang w:eastAsia="en-US"/>
                    </w:rPr>
                    <w:t>. alternatīvas, kas neparedz tiesiskā regulējuma izstrādi) – kādos gad</w:t>
                  </w:r>
                  <w:r w:rsidR="00E47ACD" w:rsidRPr="00F42173">
                    <w:rPr>
                      <w:rFonts w:eastAsia="Calibri"/>
                      <w:lang w:eastAsia="en-US"/>
                    </w:rPr>
                    <w:t>ījumo</w:t>
                  </w:r>
                  <w:r w:rsidRPr="00F42173">
                    <w:rPr>
                      <w:rFonts w:eastAsia="Calibri"/>
                      <w:lang w:eastAsia="en-US"/>
                    </w:rPr>
                    <w:t>s būtu iespējams izvairīties no stingrāku</w:t>
                  </w:r>
                  <w:r w:rsidR="00623810" w:rsidRPr="00F42173">
                    <w:rPr>
                      <w:rFonts w:eastAsia="Calibri"/>
                      <w:lang w:eastAsia="en-US"/>
                    </w:rPr>
                    <w:t xml:space="preserve"> prasību noteikšanas, nekā paredzēts attiecīgajos ES tiesību aktos.</w:t>
                  </w:r>
                </w:p>
              </w:tc>
            </w:tr>
            <w:tr w:rsidR="005E702D" w:rsidRPr="00F42173" w:rsidTr="0095377B">
              <w:tc>
                <w:tcPr>
                  <w:tcW w:w="2264" w:type="dxa"/>
                  <w:shd w:val="clear" w:color="auto" w:fill="auto"/>
                </w:tcPr>
                <w:p w:rsidR="005E702D" w:rsidRPr="00F42173" w:rsidRDefault="00F852E1" w:rsidP="00F42173">
                  <w:pPr>
                    <w:jc w:val="both"/>
                    <w:rPr>
                      <w:rFonts w:eastAsia="Calibri"/>
                      <w:lang w:eastAsia="en-US"/>
                    </w:rPr>
                  </w:pPr>
                  <w:r w:rsidRPr="00F42173">
                    <w:rPr>
                      <w:rFonts w:eastAsia="Calibri"/>
                      <w:lang w:eastAsia="en-US"/>
                    </w:rPr>
                    <w:t>Direktīvas 6.panta 3.punkts</w:t>
                  </w:r>
                </w:p>
              </w:tc>
              <w:tc>
                <w:tcPr>
                  <w:tcW w:w="2264" w:type="dxa"/>
                  <w:shd w:val="clear" w:color="auto" w:fill="auto"/>
                </w:tcPr>
                <w:p w:rsidR="005E702D" w:rsidRPr="00F42173" w:rsidRDefault="00F852E1" w:rsidP="00F42173">
                  <w:pPr>
                    <w:jc w:val="both"/>
                    <w:rPr>
                      <w:rFonts w:eastAsia="Calibri"/>
                      <w:lang w:eastAsia="en-US"/>
                    </w:rPr>
                  </w:pPr>
                  <w:r w:rsidRPr="00F42173">
                    <w:rPr>
                      <w:rFonts w:eastAsia="Calibri"/>
                      <w:lang w:eastAsia="en-US"/>
                    </w:rPr>
                    <w:t>Likumprojekta pants (Likuma 31.</w:t>
                  </w:r>
                  <w:r w:rsidRPr="00F42173">
                    <w:rPr>
                      <w:rFonts w:eastAsia="Calibri"/>
                      <w:vertAlign w:val="superscript"/>
                      <w:lang w:eastAsia="en-US"/>
                    </w:rPr>
                    <w:t>2</w:t>
                  </w:r>
                  <w:r w:rsidRPr="00F42173">
                    <w:rPr>
                      <w:rFonts w:eastAsia="Calibri"/>
                      <w:lang w:eastAsia="en-US"/>
                    </w:rPr>
                    <w:t xml:space="preserve"> panta 1.</w:t>
                  </w:r>
                  <w:r w:rsidRPr="00F42173">
                    <w:rPr>
                      <w:rFonts w:eastAsia="Calibri"/>
                      <w:vertAlign w:val="superscript"/>
                      <w:lang w:eastAsia="en-US"/>
                    </w:rPr>
                    <w:t>2</w:t>
                  </w:r>
                  <w:r w:rsidRPr="00F42173">
                    <w:rPr>
                      <w:rFonts w:eastAsia="Calibri"/>
                      <w:lang w:eastAsia="en-US"/>
                    </w:rPr>
                    <w:t xml:space="preserve"> daļa)</w:t>
                  </w:r>
                </w:p>
                <w:p w:rsidR="008A6AE3" w:rsidRPr="00F42173" w:rsidRDefault="008A6AE3" w:rsidP="00F42173">
                  <w:pPr>
                    <w:jc w:val="both"/>
                    <w:rPr>
                      <w:rFonts w:eastAsia="Calibri"/>
                      <w:lang w:eastAsia="en-US"/>
                    </w:rPr>
                  </w:pPr>
                </w:p>
              </w:tc>
              <w:tc>
                <w:tcPr>
                  <w:tcW w:w="2264" w:type="dxa"/>
                  <w:shd w:val="clear" w:color="auto" w:fill="auto"/>
                </w:tcPr>
                <w:p w:rsidR="005E702D" w:rsidRPr="00F42173" w:rsidRDefault="00BF48C7" w:rsidP="00F42173">
                  <w:pPr>
                    <w:jc w:val="both"/>
                    <w:rPr>
                      <w:rFonts w:eastAsia="Calibri"/>
                      <w:lang w:eastAsia="en-US"/>
                    </w:rPr>
                  </w:pPr>
                  <w:r w:rsidRPr="00F42173">
                    <w:rPr>
                      <w:rFonts w:eastAsia="Calibri"/>
                      <w:lang w:eastAsia="en-US"/>
                    </w:rPr>
                    <w:t>Ieviestas pilnībā.</w:t>
                  </w:r>
                </w:p>
              </w:tc>
              <w:tc>
                <w:tcPr>
                  <w:tcW w:w="2264" w:type="dxa"/>
                  <w:shd w:val="clear" w:color="auto" w:fill="auto"/>
                </w:tcPr>
                <w:p w:rsidR="005E702D" w:rsidRPr="00F42173" w:rsidRDefault="00BF48C7" w:rsidP="00F42173">
                  <w:pPr>
                    <w:jc w:val="both"/>
                    <w:rPr>
                      <w:rFonts w:eastAsia="Calibri"/>
                      <w:lang w:eastAsia="en-US"/>
                    </w:rPr>
                  </w:pPr>
                  <w:r w:rsidRPr="00F42173">
                    <w:rPr>
                      <w:rFonts w:eastAsia="Calibri"/>
                      <w:lang w:eastAsia="en-US"/>
                    </w:rPr>
                    <w:t>Neparedz stingrākas prasības.</w:t>
                  </w:r>
                </w:p>
              </w:tc>
            </w:tr>
            <w:tr w:rsidR="005D037B" w:rsidRPr="00F42173" w:rsidTr="0095377B">
              <w:tc>
                <w:tcPr>
                  <w:tcW w:w="2264" w:type="dxa"/>
                  <w:shd w:val="clear" w:color="auto" w:fill="auto"/>
                </w:tcPr>
                <w:p w:rsidR="005D037B" w:rsidRPr="00F42173" w:rsidRDefault="005D037B" w:rsidP="00F42173">
                  <w:pPr>
                    <w:jc w:val="both"/>
                    <w:rPr>
                      <w:rFonts w:eastAsia="Calibri"/>
                      <w:lang w:eastAsia="en-US"/>
                    </w:rPr>
                  </w:pPr>
                  <w:r w:rsidRPr="00F42173">
                    <w:rPr>
                      <w:rFonts w:eastAsia="Calibri"/>
                      <w:lang w:eastAsia="en-US"/>
                    </w:rPr>
                    <w:t>Kā ir izmantota ES tiesību aktā paredzētā rīcības brīvība dalībvalstij pārņemt vai ieviest noteiktas ES tiesību akta normas. Kādēļ?</w:t>
                  </w:r>
                </w:p>
              </w:tc>
              <w:tc>
                <w:tcPr>
                  <w:tcW w:w="6792" w:type="dxa"/>
                  <w:gridSpan w:val="3"/>
                  <w:shd w:val="clear" w:color="auto" w:fill="auto"/>
                </w:tcPr>
                <w:p w:rsidR="005D037B" w:rsidRPr="00F42173" w:rsidRDefault="005D037B" w:rsidP="005D037B">
                  <w:pPr>
                    <w:rPr>
                      <w:rFonts w:eastAsia="Calibri"/>
                      <w:lang w:eastAsia="en-US"/>
                    </w:rPr>
                  </w:pPr>
                  <w:r w:rsidRPr="00F42173">
                    <w:rPr>
                      <w:rFonts w:eastAsia="Calibri"/>
                      <w:lang w:eastAsia="en-US"/>
                    </w:rPr>
                    <w:t>Likumprojekts šo jomu neskar.</w:t>
                  </w:r>
                </w:p>
              </w:tc>
            </w:tr>
            <w:tr w:rsidR="00F55537" w:rsidRPr="00F42173" w:rsidTr="0095377B">
              <w:tc>
                <w:tcPr>
                  <w:tcW w:w="2264" w:type="dxa"/>
                  <w:shd w:val="clear" w:color="auto" w:fill="auto"/>
                </w:tcPr>
                <w:p w:rsidR="00F55537" w:rsidRPr="00F42173" w:rsidRDefault="00F55537" w:rsidP="00F42173">
                  <w:pPr>
                    <w:jc w:val="both"/>
                    <w:rPr>
                      <w:rFonts w:eastAsia="Calibri"/>
                      <w:lang w:eastAsia="en-US"/>
                    </w:rPr>
                  </w:pPr>
                  <w:r w:rsidRPr="00F42173">
                    <w:rPr>
                      <w:rFonts w:eastAsia="Calibri"/>
                      <w:lang w:eastAsia="en-US"/>
                    </w:rPr>
                    <w:t xml:space="preserve">Saistības sniegt paziņojumu ES institūcijām un ES dalībvalstīm atbilstoši </w:t>
                  </w:r>
                  <w:r w:rsidRPr="00F42173">
                    <w:rPr>
                      <w:rFonts w:eastAsia="Calibri"/>
                      <w:lang w:eastAsia="en-US"/>
                    </w:rPr>
                    <w:lastRenderedPageBreak/>
                    <w:t>normatīvajiem aktiem, kas regulē informācijas sniegšanu par tehnisko noteikumu, valsts atbalsta piešķiršanas un finanšu noteikumu (attiecībā uz monetāro politiku) projektiem.</w:t>
                  </w:r>
                </w:p>
              </w:tc>
              <w:tc>
                <w:tcPr>
                  <w:tcW w:w="6792" w:type="dxa"/>
                  <w:gridSpan w:val="3"/>
                  <w:shd w:val="clear" w:color="auto" w:fill="auto"/>
                </w:tcPr>
                <w:p w:rsidR="00F55537" w:rsidRPr="00F42173" w:rsidRDefault="00F55537" w:rsidP="00F42173">
                  <w:pPr>
                    <w:rPr>
                      <w:rFonts w:eastAsia="Calibri"/>
                      <w:lang w:eastAsia="en-US"/>
                    </w:rPr>
                  </w:pPr>
                  <w:r w:rsidRPr="00F42173">
                    <w:rPr>
                      <w:rFonts w:eastAsia="Calibri"/>
                      <w:lang w:eastAsia="en-US"/>
                    </w:rPr>
                    <w:lastRenderedPageBreak/>
                    <w:t>Likumprojekts šo jomu neskar.</w:t>
                  </w:r>
                </w:p>
              </w:tc>
            </w:tr>
            <w:tr w:rsidR="00F55537" w:rsidRPr="00F42173" w:rsidTr="0095377B">
              <w:tc>
                <w:tcPr>
                  <w:tcW w:w="2264" w:type="dxa"/>
                  <w:shd w:val="clear" w:color="auto" w:fill="auto"/>
                </w:tcPr>
                <w:p w:rsidR="00F55537" w:rsidRPr="00F42173" w:rsidRDefault="00F55537" w:rsidP="00F55537">
                  <w:pPr>
                    <w:rPr>
                      <w:rFonts w:eastAsia="Calibri"/>
                      <w:lang w:eastAsia="en-US"/>
                    </w:rPr>
                  </w:pPr>
                  <w:r w:rsidRPr="00F42173">
                    <w:rPr>
                      <w:rFonts w:eastAsia="Calibri"/>
                      <w:lang w:eastAsia="en-US"/>
                    </w:rPr>
                    <w:lastRenderedPageBreak/>
                    <w:t>Cita informācija</w:t>
                  </w:r>
                </w:p>
              </w:tc>
              <w:tc>
                <w:tcPr>
                  <w:tcW w:w="6792" w:type="dxa"/>
                  <w:gridSpan w:val="3"/>
                  <w:shd w:val="clear" w:color="auto" w:fill="auto"/>
                </w:tcPr>
                <w:p w:rsidR="00F55537" w:rsidRPr="00F42173" w:rsidRDefault="00F55537" w:rsidP="00F55537">
                  <w:pPr>
                    <w:rPr>
                      <w:rFonts w:eastAsia="Calibri"/>
                      <w:lang w:eastAsia="en-US"/>
                    </w:rPr>
                  </w:pPr>
                  <w:r w:rsidRPr="00F42173">
                    <w:rPr>
                      <w:rFonts w:eastAsia="Calibri"/>
                      <w:lang w:eastAsia="en-US"/>
                    </w:rPr>
                    <w:t>Nav.</w:t>
                  </w:r>
                </w:p>
              </w:tc>
            </w:tr>
          </w:tbl>
          <w:p w:rsidR="00473B6E" w:rsidRPr="00473B6E" w:rsidRDefault="00473B6E" w:rsidP="00473B6E">
            <w:pPr>
              <w:jc w:val="center"/>
              <w:rPr>
                <w:rFonts w:eastAsia="Calibri"/>
                <w:b/>
                <w:sz w:val="28"/>
                <w:szCs w:val="28"/>
                <w:lang w:eastAsia="en-US"/>
              </w:rPr>
            </w:pPr>
            <w:r w:rsidRPr="00473B6E">
              <w:rPr>
                <w:rFonts w:eastAsia="Calibri"/>
                <w:b/>
                <w:sz w:val="28"/>
                <w:szCs w:val="28"/>
                <w:lang w:eastAsia="en-US"/>
              </w:rPr>
              <w:t>VI. Sabiedrības līdzdalība un šīs līdzdalības rezultāti</w:t>
            </w:r>
          </w:p>
        </w:tc>
      </w:tr>
      <w:tr w:rsidR="00473B6E" w:rsidRPr="00473B6E" w:rsidTr="0095377B">
        <w:trPr>
          <w:trHeight w:val="342"/>
          <w:tblCellSpacing w:w="0" w:type="dxa"/>
        </w:trPr>
        <w:tc>
          <w:tcPr>
            <w:tcW w:w="5000" w:type="pct"/>
            <w:gridSpan w:val="8"/>
            <w:tcBorders>
              <w:top w:val="outset" w:sz="6" w:space="0" w:color="auto"/>
              <w:left w:val="outset" w:sz="6" w:space="0" w:color="auto"/>
              <w:right w:val="outset" w:sz="6" w:space="0" w:color="auto"/>
            </w:tcBorders>
          </w:tcPr>
          <w:p w:rsidR="00473B6E" w:rsidRPr="00260F5A" w:rsidRDefault="00473B6E" w:rsidP="00473B6E">
            <w:pPr>
              <w:jc w:val="center"/>
              <w:rPr>
                <w:rFonts w:eastAsia="Calibri"/>
                <w:lang w:eastAsia="en-US"/>
              </w:rPr>
            </w:pPr>
            <w:r w:rsidRPr="00260F5A">
              <w:rPr>
                <w:rFonts w:eastAsia="Calibri"/>
                <w:lang w:eastAsia="en-US"/>
              </w:rPr>
              <w:lastRenderedPageBreak/>
              <w:t>Projekts šo jomu neskar.</w:t>
            </w:r>
          </w:p>
        </w:tc>
      </w:tr>
      <w:tr w:rsidR="00473B6E" w:rsidRPr="00473B6E" w:rsidTr="0095377B">
        <w:trPr>
          <w:gridBefore w:val="1"/>
          <w:gridAfter w:val="1"/>
          <w:wBefore w:w="9" w:type="pct"/>
          <w:wAfter w:w="8" w:type="pct"/>
          <w:tblCellSpacing w:w="0" w:type="dxa"/>
        </w:trPr>
        <w:tc>
          <w:tcPr>
            <w:tcW w:w="4983" w:type="pct"/>
            <w:gridSpan w:val="6"/>
            <w:tcBorders>
              <w:top w:val="outset" w:sz="6" w:space="0" w:color="auto"/>
              <w:left w:val="outset" w:sz="6" w:space="0" w:color="auto"/>
              <w:bottom w:val="outset" w:sz="6" w:space="0" w:color="auto"/>
              <w:right w:val="outset" w:sz="6" w:space="0" w:color="auto"/>
            </w:tcBorders>
          </w:tcPr>
          <w:p w:rsidR="00473B6E" w:rsidRPr="00473B6E" w:rsidRDefault="00473B6E" w:rsidP="00473B6E">
            <w:pPr>
              <w:jc w:val="center"/>
              <w:rPr>
                <w:rFonts w:eastAsia="Calibri"/>
                <w:b/>
                <w:sz w:val="28"/>
                <w:szCs w:val="28"/>
                <w:lang w:eastAsia="en-US"/>
              </w:rPr>
            </w:pPr>
            <w:r w:rsidRPr="00473B6E">
              <w:rPr>
                <w:rFonts w:eastAsia="Calibri"/>
                <w:b/>
                <w:sz w:val="28"/>
                <w:szCs w:val="28"/>
                <w:lang w:eastAsia="en-US"/>
              </w:rPr>
              <w:t>VII. Tiesību akta projekta izpildes nodrošināšana un tās ietekme uz institūcijām</w:t>
            </w:r>
          </w:p>
        </w:tc>
      </w:tr>
      <w:tr w:rsidR="00473B6E" w:rsidRPr="00473B6E" w:rsidTr="0095377B">
        <w:trPr>
          <w:gridBefore w:val="1"/>
          <w:gridAfter w:val="1"/>
          <w:wBefore w:w="9" w:type="pct"/>
          <w:wAfter w:w="8" w:type="pct"/>
          <w:trHeight w:val="427"/>
          <w:tblCellSpacing w:w="0" w:type="dxa"/>
        </w:trPr>
        <w:tc>
          <w:tcPr>
            <w:tcW w:w="292" w:type="pct"/>
            <w:gridSpan w:val="2"/>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1.</w:t>
            </w:r>
          </w:p>
        </w:tc>
        <w:tc>
          <w:tcPr>
            <w:tcW w:w="1965" w:type="pct"/>
            <w:gridSpan w:val="3"/>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Projekta izpildē iesaistītās institūcijas</w:t>
            </w:r>
          </w:p>
        </w:tc>
        <w:tc>
          <w:tcPr>
            <w:tcW w:w="2726" w:type="pct"/>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Finanšu ministrija un Valsts ieņēmumu dienests.</w:t>
            </w:r>
          </w:p>
        </w:tc>
      </w:tr>
      <w:tr w:rsidR="00473B6E" w:rsidRPr="00473B6E" w:rsidTr="0095377B">
        <w:trPr>
          <w:gridBefore w:val="1"/>
          <w:gridAfter w:val="1"/>
          <w:wBefore w:w="9" w:type="pct"/>
          <w:wAfter w:w="8" w:type="pct"/>
          <w:trHeight w:val="463"/>
          <w:tblCellSpacing w:w="0" w:type="dxa"/>
        </w:trPr>
        <w:tc>
          <w:tcPr>
            <w:tcW w:w="292" w:type="pct"/>
            <w:gridSpan w:val="2"/>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2.</w:t>
            </w:r>
          </w:p>
        </w:tc>
        <w:tc>
          <w:tcPr>
            <w:tcW w:w="1965" w:type="pct"/>
            <w:gridSpan w:val="3"/>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Projekta izpildes ietekme uz pārvaldes funkcijām</w:t>
            </w:r>
          </w:p>
        </w:tc>
        <w:tc>
          <w:tcPr>
            <w:tcW w:w="2726" w:type="pct"/>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Projekts šo jomu neskar.</w:t>
            </w:r>
          </w:p>
        </w:tc>
      </w:tr>
      <w:tr w:rsidR="00473B6E" w:rsidRPr="00473B6E" w:rsidTr="0095377B">
        <w:trPr>
          <w:gridBefore w:val="1"/>
          <w:gridAfter w:val="1"/>
          <w:wBefore w:w="9" w:type="pct"/>
          <w:wAfter w:w="8" w:type="pct"/>
          <w:trHeight w:val="725"/>
          <w:tblCellSpacing w:w="0" w:type="dxa"/>
        </w:trPr>
        <w:tc>
          <w:tcPr>
            <w:tcW w:w="292" w:type="pct"/>
            <w:gridSpan w:val="2"/>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3.</w:t>
            </w:r>
          </w:p>
        </w:tc>
        <w:tc>
          <w:tcPr>
            <w:tcW w:w="1965" w:type="pct"/>
            <w:gridSpan w:val="3"/>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Projekta izpildes ietekme uz pārvaldes institucionālo struktūru.</w:t>
            </w:r>
          </w:p>
          <w:p w:rsidR="00473B6E" w:rsidRPr="008A6AE3" w:rsidRDefault="00473B6E" w:rsidP="00473B6E">
            <w:pPr>
              <w:jc w:val="both"/>
              <w:rPr>
                <w:rFonts w:eastAsia="Calibri"/>
                <w:lang w:eastAsia="en-US"/>
              </w:rPr>
            </w:pPr>
            <w:r w:rsidRPr="008A6AE3">
              <w:rPr>
                <w:rFonts w:eastAsia="Calibri"/>
                <w:lang w:eastAsia="en-US"/>
              </w:rPr>
              <w:t>Jaunu institūciju izveide</w:t>
            </w:r>
          </w:p>
        </w:tc>
        <w:tc>
          <w:tcPr>
            <w:tcW w:w="2726" w:type="pct"/>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Jaunas institūcijas nav nepieciešams izveidot.</w:t>
            </w:r>
          </w:p>
        </w:tc>
      </w:tr>
      <w:tr w:rsidR="00473B6E" w:rsidRPr="00473B6E" w:rsidTr="0095377B">
        <w:trPr>
          <w:gridBefore w:val="1"/>
          <w:gridAfter w:val="1"/>
          <w:wBefore w:w="9" w:type="pct"/>
          <w:wAfter w:w="8" w:type="pct"/>
          <w:trHeight w:val="780"/>
          <w:tblCellSpacing w:w="0" w:type="dxa"/>
        </w:trPr>
        <w:tc>
          <w:tcPr>
            <w:tcW w:w="292" w:type="pct"/>
            <w:gridSpan w:val="2"/>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4.</w:t>
            </w:r>
          </w:p>
        </w:tc>
        <w:tc>
          <w:tcPr>
            <w:tcW w:w="1965" w:type="pct"/>
            <w:gridSpan w:val="3"/>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Projekta izpildes ietekme uz pārvaldes institucionālo struktūru.</w:t>
            </w:r>
          </w:p>
          <w:p w:rsidR="00473B6E" w:rsidRPr="008A6AE3" w:rsidRDefault="00473B6E" w:rsidP="00473B6E">
            <w:pPr>
              <w:jc w:val="both"/>
              <w:rPr>
                <w:rFonts w:eastAsia="Calibri"/>
                <w:lang w:eastAsia="en-US"/>
              </w:rPr>
            </w:pPr>
            <w:r w:rsidRPr="008A6AE3">
              <w:rPr>
                <w:rFonts w:eastAsia="Calibri"/>
                <w:lang w:eastAsia="en-US"/>
              </w:rPr>
              <w:t>Esošu institūciju likvidācija</w:t>
            </w:r>
          </w:p>
        </w:tc>
        <w:tc>
          <w:tcPr>
            <w:tcW w:w="2726" w:type="pct"/>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Nav plānota esošu institūciju likvidācija.</w:t>
            </w:r>
          </w:p>
        </w:tc>
      </w:tr>
      <w:tr w:rsidR="00473B6E" w:rsidRPr="00473B6E" w:rsidTr="0095377B">
        <w:trPr>
          <w:gridBefore w:val="1"/>
          <w:gridAfter w:val="1"/>
          <w:wBefore w:w="9" w:type="pct"/>
          <w:wAfter w:w="8" w:type="pct"/>
          <w:trHeight w:val="703"/>
          <w:tblCellSpacing w:w="0" w:type="dxa"/>
        </w:trPr>
        <w:tc>
          <w:tcPr>
            <w:tcW w:w="292" w:type="pct"/>
            <w:gridSpan w:val="2"/>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5.</w:t>
            </w:r>
          </w:p>
        </w:tc>
        <w:tc>
          <w:tcPr>
            <w:tcW w:w="1965" w:type="pct"/>
            <w:gridSpan w:val="3"/>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Projekta izpildes ietekme uz pārvaldes institucionālo struktūru.</w:t>
            </w:r>
          </w:p>
          <w:p w:rsidR="00473B6E" w:rsidRPr="008A6AE3" w:rsidRDefault="00473B6E" w:rsidP="00473B6E">
            <w:pPr>
              <w:jc w:val="both"/>
              <w:rPr>
                <w:rFonts w:eastAsia="Calibri"/>
                <w:lang w:eastAsia="en-US"/>
              </w:rPr>
            </w:pPr>
            <w:r w:rsidRPr="008A6AE3">
              <w:rPr>
                <w:rFonts w:eastAsia="Calibri"/>
                <w:lang w:eastAsia="en-US"/>
              </w:rPr>
              <w:t>Esošu institūciju reorganizācija</w:t>
            </w:r>
          </w:p>
        </w:tc>
        <w:tc>
          <w:tcPr>
            <w:tcW w:w="2726" w:type="pct"/>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 Nav plānota esošu institūciju reorganizācija.</w:t>
            </w:r>
          </w:p>
        </w:tc>
      </w:tr>
      <w:tr w:rsidR="00473B6E" w:rsidRPr="00473B6E" w:rsidTr="0095377B">
        <w:trPr>
          <w:gridBefore w:val="1"/>
          <w:gridAfter w:val="1"/>
          <w:wBefore w:w="9" w:type="pct"/>
          <w:wAfter w:w="8" w:type="pct"/>
          <w:trHeight w:val="701"/>
          <w:tblCellSpacing w:w="0" w:type="dxa"/>
        </w:trPr>
        <w:tc>
          <w:tcPr>
            <w:tcW w:w="292" w:type="pct"/>
            <w:gridSpan w:val="2"/>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6.</w:t>
            </w:r>
          </w:p>
        </w:tc>
        <w:tc>
          <w:tcPr>
            <w:tcW w:w="1965" w:type="pct"/>
            <w:gridSpan w:val="3"/>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Cita informācija</w:t>
            </w:r>
          </w:p>
        </w:tc>
        <w:tc>
          <w:tcPr>
            <w:tcW w:w="2726" w:type="pct"/>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Jaunā funkcija tiks īstenota, izmantojot esošos pārvaldes resursus.</w:t>
            </w:r>
          </w:p>
        </w:tc>
      </w:tr>
    </w:tbl>
    <w:p w:rsidR="00454CFA" w:rsidRDefault="00454CFA" w:rsidP="00791766">
      <w:pPr>
        <w:rPr>
          <w:bCs/>
          <w:iCs/>
          <w:sz w:val="28"/>
          <w:szCs w:val="28"/>
        </w:rPr>
      </w:pPr>
    </w:p>
    <w:p w:rsidR="0013579F" w:rsidRDefault="0013579F" w:rsidP="00791766">
      <w:pPr>
        <w:rPr>
          <w:bCs/>
          <w:iCs/>
          <w:sz w:val="28"/>
          <w:szCs w:val="28"/>
        </w:rPr>
      </w:pPr>
    </w:p>
    <w:p w:rsidR="00A80706" w:rsidRPr="0002441D" w:rsidRDefault="003B34FC" w:rsidP="00791766">
      <w:pPr>
        <w:rPr>
          <w:bCs/>
          <w:iCs/>
          <w:sz w:val="28"/>
          <w:szCs w:val="28"/>
        </w:rPr>
      </w:pPr>
      <w:r w:rsidRPr="003B34FC">
        <w:rPr>
          <w:bCs/>
          <w:iCs/>
          <w:sz w:val="28"/>
          <w:szCs w:val="28"/>
        </w:rPr>
        <w:t>Finanšu ministrs</w:t>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t>A.Vilks</w:t>
      </w:r>
    </w:p>
    <w:p w:rsidR="00454CFA" w:rsidRDefault="00454CFA" w:rsidP="00791766">
      <w:pPr>
        <w:tabs>
          <w:tab w:val="left" w:pos="7088"/>
        </w:tabs>
        <w:jc w:val="both"/>
        <w:rPr>
          <w:sz w:val="20"/>
          <w:szCs w:val="20"/>
        </w:rPr>
      </w:pPr>
    </w:p>
    <w:p w:rsidR="0013579F" w:rsidRDefault="0013579F" w:rsidP="00791766">
      <w:pPr>
        <w:tabs>
          <w:tab w:val="left" w:pos="7088"/>
        </w:tabs>
        <w:jc w:val="both"/>
        <w:rPr>
          <w:sz w:val="20"/>
          <w:szCs w:val="20"/>
        </w:rPr>
      </w:pPr>
    </w:p>
    <w:p w:rsidR="0013579F" w:rsidRDefault="0013579F" w:rsidP="00791766">
      <w:pPr>
        <w:tabs>
          <w:tab w:val="left" w:pos="7088"/>
        </w:tabs>
        <w:jc w:val="both"/>
        <w:rPr>
          <w:sz w:val="20"/>
          <w:szCs w:val="20"/>
        </w:rPr>
      </w:pPr>
    </w:p>
    <w:p w:rsidR="003E55F8" w:rsidRDefault="003E55F8" w:rsidP="00791766">
      <w:pPr>
        <w:tabs>
          <w:tab w:val="left" w:pos="7088"/>
        </w:tabs>
        <w:jc w:val="both"/>
        <w:rPr>
          <w:sz w:val="20"/>
          <w:szCs w:val="20"/>
        </w:rPr>
      </w:pPr>
    </w:p>
    <w:p w:rsidR="003E55F8" w:rsidRDefault="003E55F8" w:rsidP="00791766">
      <w:pPr>
        <w:tabs>
          <w:tab w:val="left" w:pos="7088"/>
        </w:tabs>
        <w:jc w:val="both"/>
        <w:rPr>
          <w:sz w:val="20"/>
          <w:szCs w:val="20"/>
        </w:rPr>
      </w:pPr>
    </w:p>
    <w:p w:rsidR="003E55F8" w:rsidRDefault="003E55F8" w:rsidP="00791766">
      <w:pPr>
        <w:tabs>
          <w:tab w:val="left" w:pos="7088"/>
        </w:tabs>
        <w:jc w:val="both"/>
        <w:rPr>
          <w:sz w:val="20"/>
          <w:szCs w:val="20"/>
        </w:rPr>
      </w:pPr>
    </w:p>
    <w:p w:rsidR="003E55F8" w:rsidRDefault="003E55F8" w:rsidP="00791766">
      <w:pPr>
        <w:tabs>
          <w:tab w:val="left" w:pos="7088"/>
        </w:tabs>
        <w:jc w:val="both"/>
        <w:rPr>
          <w:sz w:val="20"/>
          <w:szCs w:val="20"/>
        </w:rPr>
      </w:pPr>
    </w:p>
    <w:p w:rsidR="003E55F8" w:rsidRDefault="003E55F8" w:rsidP="00791766">
      <w:pPr>
        <w:tabs>
          <w:tab w:val="left" w:pos="7088"/>
        </w:tabs>
        <w:jc w:val="both"/>
        <w:rPr>
          <w:sz w:val="20"/>
          <w:szCs w:val="20"/>
        </w:rPr>
      </w:pPr>
    </w:p>
    <w:p w:rsidR="003E55F8" w:rsidRDefault="003E55F8" w:rsidP="00791766">
      <w:pPr>
        <w:tabs>
          <w:tab w:val="left" w:pos="7088"/>
        </w:tabs>
        <w:jc w:val="both"/>
        <w:rPr>
          <w:sz w:val="20"/>
          <w:szCs w:val="20"/>
        </w:rPr>
      </w:pPr>
    </w:p>
    <w:p w:rsidR="003E55F8" w:rsidRDefault="003E55F8" w:rsidP="00791766">
      <w:pPr>
        <w:tabs>
          <w:tab w:val="left" w:pos="7088"/>
        </w:tabs>
        <w:jc w:val="both"/>
        <w:rPr>
          <w:sz w:val="20"/>
          <w:szCs w:val="20"/>
        </w:rPr>
      </w:pPr>
    </w:p>
    <w:p w:rsidR="003E55F8" w:rsidRDefault="003E55F8" w:rsidP="00791766">
      <w:pPr>
        <w:tabs>
          <w:tab w:val="left" w:pos="7088"/>
        </w:tabs>
        <w:jc w:val="both"/>
        <w:rPr>
          <w:sz w:val="20"/>
          <w:szCs w:val="20"/>
        </w:rPr>
      </w:pPr>
    </w:p>
    <w:p w:rsidR="003E55F8" w:rsidRDefault="003E55F8" w:rsidP="00791766">
      <w:pPr>
        <w:tabs>
          <w:tab w:val="left" w:pos="7088"/>
        </w:tabs>
        <w:jc w:val="both"/>
        <w:rPr>
          <w:sz w:val="20"/>
          <w:szCs w:val="20"/>
        </w:rPr>
      </w:pPr>
    </w:p>
    <w:p w:rsidR="0013579F" w:rsidRDefault="00E9753E" w:rsidP="00791766">
      <w:pPr>
        <w:tabs>
          <w:tab w:val="left" w:pos="7088"/>
        </w:tabs>
        <w:jc w:val="both"/>
        <w:rPr>
          <w:sz w:val="20"/>
          <w:szCs w:val="20"/>
        </w:rPr>
      </w:pPr>
      <w:r>
        <w:rPr>
          <w:sz w:val="20"/>
          <w:szCs w:val="20"/>
        </w:rPr>
        <w:t>11.11.2011</w:t>
      </w:r>
    </w:p>
    <w:p w:rsidR="00A80706" w:rsidRDefault="00A80706" w:rsidP="00791766">
      <w:pPr>
        <w:tabs>
          <w:tab w:val="left" w:pos="7088"/>
        </w:tabs>
        <w:jc w:val="both"/>
        <w:rPr>
          <w:sz w:val="20"/>
          <w:szCs w:val="20"/>
        </w:rPr>
      </w:pPr>
      <w:r w:rsidRPr="006C15CB">
        <w:rPr>
          <w:sz w:val="20"/>
          <w:szCs w:val="20"/>
        </w:rPr>
        <w:fldChar w:fldCharType="begin"/>
      </w:r>
      <w:r w:rsidRPr="006C15CB">
        <w:rPr>
          <w:sz w:val="20"/>
          <w:szCs w:val="20"/>
        </w:rPr>
        <w:instrText xml:space="preserve"> NUMWORDS  \* MERGEFORMAT </w:instrText>
      </w:r>
      <w:r w:rsidRPr="006C15CB">
        <w:rPr>
          <w:sz w:val="20"/>
          <w:szCs w:val="20"/>
        </w:rPr>
        <w:fldChar w:fldCharType="separate"/>
      </w:r>
      <w:r w:rsidR="004D262E">
        <w:rPr>
          <w:noProof/>
          <w:sz w:val="20"/>
          <w:szCs w:val="20"/>
        </w:rPr>
        <w:t>5079</w:t>
      </w:r>
      <w:r w:rsidRPr="006C15CB">
        <w:rPr>
          <w:sz w:val="20"/>
          <w:szCs w:val="20"/>
        </w:rPr>
        <w:fldChar w:fldCharType="end"/>
      </w:r>
    </w:p>
    <w:p w:rsidR="00A80706" w:rsidRDefault="00951922" w:rsidP="00791766">
      <w:pPr>
        <w:tabs>
          <w:tab w:val="left" w:pos="7088"/>
        </w:tabs>
        <w:jc w:val="both"/>
        <w:rPr>
          <w:sz w:val="20"/>
          <w:szCs w:val="20"/>
        </w:rPr>
      </w:pPr>
      <w:r>
        <w:rPr>
          <w:sz w:val="20"/>
          <w:szCs w:val="20"/>
        </w:rPr>
        <w:t>Orehova 67095494</w:t>
      </w:r>
    </w:p>
    <w:p w:rsidR="004368E3" w:rsidRPr="009F4215" w:rsidRDefault="00A80706" w:rsidP="00791766">
      <w:pPr>
        <w:rPr>
          <w:sz w:val="20"/>
          <w:szCs w:val="20"/>
        </w:rPr>
      </w:pPr>
      <w:r>
        <w:rPr>
          <w:sz w:val="20"/>
          <w:szCs w:val="20"/>
        </w:rPr>
        <w:t>e-pasts</w:t>
      </w:r>
      <w:r w:rsidRPr="00F053FB">
        <w:rPr>
          <w:sz w:val="20"/>
          <w:szCs w:val="20"/>
        </w:rPr>
        <w:t xml:space="preserve">: </w:t>
      </w:r>
      <w:hyperlink r:id="rId9" w:history="1">
        <w:r w:rsidR="00951922" w:rsidRPr="007D1946">
          <w:rPr>
            <w:rStyle w:val="Hyperlink"/>
            <w:sz w:val="20"/>
            <w:szCs w:val="20"/>
          </w:rPr>
          <w:t>anda.orehova@fm.gov.lv</w:t>
        </w:r>
      </w:hyperlink>
    </w:p>
    <w:sectPr w:rsidR="004368E3" w:rsidRPr="009F4215" w:rsidSect="001B1222">
      <w:headerReference w:type="even" r:id="rId10"/>
      <w:headerReference w:type="default" r:id="rId11"/>
      <w:footerReference w:type="even" r:id="rId12"/>
      <w:footerReference w:type="default" r:id="rId13"/>
      <w:footerReference w:type="first" r:id="rId14"/>
      <w:pgSz w:w="11906" w:h="16838" w:code="9"/>
      <w:pgMar w:top="851" w:right="1134" w:bottom="1134" w:left="1701" w:header="709"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5A" w:rsidRDefault="00FD2A5A">
      <w:r>
        <w:separator/>
      </w:r>
    </w:p>
  </w:endnote>
  <w:endnote w:type="continuationSeparator" w:id="0">
    <w:p w:rsidR="00FD2A5A" w:rsidRDefault="00FD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F8" w:rsidRDefault="003E55F8"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5F8" w:rsidRDefault="003E55F8"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F8" w:rsidRPr="00432A31" w:rsidRDefault="003E55F8" w:rsidP="00432A31">
    <w:pPr>
      <w:pStyle w:val="naislab"/>
      <w:spacing w:before="0" w:after="0"/>
      <w:jc w:val="both"/>
      <w:rPr>
        <w:bCs/>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CB12D6">
      <w:rPr>
        <w:noProof/>
        <w:sz w:val="20"/>
        <w:szCs w:val="20"/>
      </w:rPr>
      <w:t>FMAnot_111111_IINgroz.docx</w:t>
    </w:r>
    <w:r>
      <w:rPr>
        <w:sz w:val="20"/>
        <w:szCs w:val="20"/>
      </w:rPr>
      <w:fldChar w:fldCharType="end"/>
    </w:r>
    <w:r>
      <w:rPr>
        <w:sz w:val="20"/>
        <w:szCs w:val="20"/>
      </w:rPr>
      <w:t>; Anotācija likumprojektam „</w:t>
    </w:r>
    <w:r>
      <w:rPr>
        <w:bCs/>
        <w:sz w:val="20"/>
        <w:szCs w:val="20"/>
        <w:lang w:val="pt-BR"/>
      </w:rPr>
      <w:t xml:space="preserve">Grozījumi </w:t>
    </w:r>
    <w:r>
      <w:rPr>
        <w:bCs/>
        <w:sz w:val="20"/>
        <w:szCs w:val="20"/>
      </w:rPr>
      <w:t>likumā „Par iedzīvotāju ienākuma nodokli</w:t>
    </w:r>
    <w:r>
      <w:rPr>
        <w:bCs/>
        <w:sz w:val="20"/>
        <w:szCs w:val="20"/>
        <w:lang w:val="pt-B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F8" w:rsidRPr="004864E2" w:rsidRDefault="003E55F8" w:rsidP="004864E2">
    <w:pPr>
      <w:pStyle w:val="naislab"/>
      <w:spacing w:before="0" w:after="0"/>
      <w:jc w:val="both"/>
      <w:rPr>
        <w:bCs/>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CB12D6">
      <w:rPr>
        <w:noProof/>
        <w:sz w:val="20"/>
        <w:szCs w:val="20"/>
      </w:rPr>
      <w:t>FMAnot_111111_IINgroz.docx</w:t>
    </w:r>
    <w:r>
      <w:rPr>
        <w:sz w:val="20"/>
        <w:szCs w:val="20"/>
      </w:rPr>
      <w:fldChar w:fldCharType="end"/>
    </w:r>
    <w:r>
      <w:rPr>
        <w:sz w:val="20"/>
        <w:szCs w:val="20"/>
      </w:rPr>
      <w:t>2; Anotācija likumprojektam „</w:t>
    </w:r>
    <w:r>
      <w:rPr>
        <w:bCs/>
        <w:sz w:val="20"/>
        <w:szCs w:val="20"/>
        <w:lang w:val="pt-BR"/>
      </w:rPr>
      <w:t xml:space="preserve">Grozījumi </w:t>
    </w:r>
    <w:r>
      <w:rPr>
        <w:bCs/>
        <w:sz w:val="20"/>
        <w:szCs w:val="20"/>
      </w:rPr>
      <w:t>likumā „Par iedzīvotāju ienākuma nodokli</w:t>
    </w:r>
    <w:r>
      <w:rPr>
        <w:bCs/>
        <w:sz w:val="20"/>
        <w:szCs w:val="20"/>
        <w:lang w:val="pt-B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5A" w:rsidRDefault="00FD2A5A">
      <w:r>
        <w:separator/>
      </w:r>
    </w:p>
  </w:footnote>
  <w:footnote w:type="continuationSeparator" w:id="0">
    <w:p w:rsidR="00FD2A5A" w:rsidRDefault="00FD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F8" w:rsidRDefault="003E55F8"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55F8" w:rsidRDefault="003E5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F8" w:rsidRDefault="003E55F8"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624">
      <w:rPr>
        <w:rStyle w:val="PageNumber"/>
        <w:noProof/>
      </w:rPr>
      <w:t>16</w:t>
    </w:r>
    <w:r>
      <w:rPr>
        <w:rStyle w:val="PageNumber"/>
      </w:rPr>
      <w:fldChar w:fldCharType="end"/>
    </w:r>
  </w:p>
  <w:p w:rsidR="003E55F8" w:rsidRPr="004F7101" w:rsidRDefault="003E55F8"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555"/>
    <w:multiLevelType w:val="hybridMultilevel"/>
    <w:tmpl w:val="3752A3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EA20BF8"/>
    <w:multiLevelType w:val="hybridMultilevel"/>
    <w:tmpl w:val="F370C808"/>
    <w:lvl w:ilvl="0" w:tplc="39D6150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
    <w:nsid w:val="2C4920E7"/>
    <w:multiLevelType w:val="hybridMultilevel"/>
    <w:tmpl w:val="8CD0AD06"/>
    <w:lvl w:ilvl="0" w:tplc="B212D8C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A3F451E"/>
    <w:multiLevelType w:val="hybridMultilevel"/>
    <w:tmpl w:val="2368C634"/>
    <w:lvl w:ilvl="0" w:tplc="BF107CC6">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nsid w:val="3FE33924"/>
    <w:multiLevelType w:val="multilevel"/>
    <w:tmpl w:val="9A486CBA"/>
    <w:lvl w:ilvl="0">
      <w:start w:val="1"/>
      <w:numFmt w:val="decimal"/>
      <w:lvlText w:val="%1."/>
      <w:lvlJc w:val="left"/>
      <w:pPr>
        <w:tabs>
          <w:tab w:val="num" w:pos="1060"/>
        </w:tabs>
        <w:ind w:left="1060" w:hanging="360"/>
      </w:pPr>
      <w:rPr>
        <w:rFonts w:hint="default"/>
      </w:rPr>
    </w:lvl>
    <w:lvl w:ilvl="1">
      <w:start w:val="2"/>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6">
    <w:nsid w:val="51403BAA"/>
    <w:multiLevelType w:val="hybridMultilevel"/>
    <w:tmpl w:val="D9C4D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AD642B"/>
    <w:multiLevelType w:val="hybridMultilevel"/>
    <w:tmpl w:val="1D2226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C4E78F2"/>
    <w:multiLevelType w:val="hybridMultilevel"/>
    <w:tmpl w:val="959E3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1C4263"/>
    <w:multiLevelType w:val="hybridMultilevel"/>
    <w:tmpl w:val="67BE6714"/>
    <w:lvl w:ilvl="0" w:tplc="687E25B0">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0">
    <w:nsid w:val="60C53BA4"/>
    <w:multiLevelType w:val="hybridMultilevel"/>
    <w:tmpl w:val="29E49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2">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C300F6F"/>
    <w:multiLevelType w:val="hybridMultilevel"/>
    <w:tmpl w:val="26FC0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4"/>
  </w:num>
  <w:num w:numId="2">
    <w:abstractNumId w:val="11"/>
  </w:num>
  <w:num w:numId="3">
    <w:abstractNumId w:val="12"/>
  </w:num>
  <w:num w:numId="4">
    <w:abstractNumId w:val="1"/>
  </w:num>
  <w:num w:numId="5">
    <w:abstractNumId w:val="2"/>
  </w:num>
  <w:num w:numId="6">
    <w:abstractNumId w:val="4"/>
  </w:num>
  <w:num w:numId="7">
    <w:abstractNumId w:val="6"/>
  </w:num>
  <w:num w:numId="8">
    <w:abstractNumId w:val="13"/>
  </w:num>
  <w:num w:numId="9">
    <w:abstractNumId w:val="5"/>
  </w:num>
  <w:num w:numId="10">
    <w:abstractNumId w:val="10"/>
  </w:num>
  <w:num w:numId="11">
    <w:abstractNumId w:val="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23A3"/>
    <w:rsid w:val="00002826"/>
    <w:rsid w:val="000037D1"/>
    <w:rsid w:val="000038AC"/>
    <w:rsid w:val="00004F5E"/>
    <w:rsid w:val="0000548E"/>
    <w:rsid w:val="000066BE"/>
    <w:rsid w:val="00007705"/>
    <w:rsid w:val="00015014"/>
    <w:rsid w:val="000155B9"/>
    <w:rsid w:val="00016DD1"/>
    <w:rsid w:val="0001718B"/>
    <w:rsid w:val="0002441D"/>
    <w:rsid w:val="00025259"/>
    <w:rsid w:val="00027EED"/>
    <w:rsid w:val="00031574"/>
    <w:rsid w:val="00031F99"/>
    <w:rsid w:val="00032913"/>
    <w:rsid w:val="000337D8"/>
    <w:rsid w:val="000346F8"/>
    <w:rsid w:val="00035354"/>
    <w:rsid w:val="00036703"/>
    <w:rsid w:val="00040E0A"/>
    <w:rsid w:val="00040E7B"/>
    <w:rsid w:val="00043DB9"/>
    <w:rsid w:val="0004541B"/>
    <w:rsid w:val="00045F01"/>
    <w:rsid w:val="00045FE1"/>
    <w:rsid w:val="00047CB9"/>
    <w:rsid w:val="00047D53"/>
    <w:rsid w:val="000506D8"/>
    <w:rsid w:val="0005107F"/>
    <w:rsid w:val="00051A01"/>
    <w:rsid w:val="000549EE"/>
    <w:rsid w:val="000566F9"/>
    <w:rsid w:val="00057000"/>
    <w:rsid w:val="0005736C"/>
    <w:rsid w:val="00057C6A"/>
    <w:rsid w:val="00057F0B"/>
    <w:rsid w:val="00060AB5"/>
    <w:rsid w:val="0006166B"/>
    <w:rsid w:val="00063185"/>
    <w:rsid w:val="00063764"/>
    <w:rsid w:val="000648DA"/>
    <w:rsid w:val="000654F2"/>
    <w:rsid w:val="00065C39"/>
    <w:rsid w:val="00066F97"/>
    <w:rsid w:val="0007105F"/>
    <w:rsid w:val="0007124B"/>
    <w:rsid w:val="00072671"/>
    <w:rsid w:val="000733D6"/>
    <w:rsid w:val="00073FA9"/>
    <w:rsid w:val="00074B2B"/>
    <w:rsid w:val="00084265"/>
    <w:rsid w:val="00087B78"/>
    <w:rsid w:val="00092756"/>
    <w:rsid w:val="00093E4A"/>
    <w:rsid w:val="000944C2"/>
    <w:rsid w:val="00096DF4"/>
    <w:rsid w:val="00097F11"/>
    <w:rsid w:val="000A10BB"/>
    <w:rsid w:val="000A3197"/>
    <w:rsid w:val="000A4C8F"/>
    <w:rsid w:val="000A569A"/>
    <w:rsid w:val="000A6650"/>
    <w:rsid w:val="000B19AF"/>
    <w:rsid w:val="000B4ACB"/>
    <w:rsid w:val="000B7C20"/>
    <w:rsid w:val="000C57C3"/>
    <w:rsid w:val="000C609C"/>
    <w:rsid w:val="000C728E"/>
    <w:rsid w:val="000D04BB"/>
    <w:rsid w:val="000D27D1"/>
    <w:rsid w:val="000D2826"/>
    <w:rsid w:val="000D4ACE"/>
    <w:rsid w:val="000D775C"/>
    <w:rsid w:val="000E0A41"/>
    <w:rsid w:val="000E0B55"/>
    <w:rsid w:val="000E3151"/>
    <w:rsid w:val="000E36BB"/>
    <w:rsid w:val="000E46F3"/>
    <w:rsid w:val="000E654B"/>
    <w:rsid w:val="000F01C4"/>
    <w:rsid w:val="000F37F0"/>
    <w:rsid w:val="000F5642"/>
    <w:rsid w:val="000F67EB"/>
    <w:rsid w:val="001044CC"/>
    <w:rsid w:val="001051D2"/>
    <w:rsid w:val="001114B6"/>
    <w:rsid w:val="001146CF"/>
    <w:rsid w:val="00114B61"/>
    <w:rsid w:val="00114F1C"/>
    <w:rsid w:val="001166E6"/>
    <w:rsid w:val="001167B2"/>
    <w:rsid w:val="001173E0"/>
    <w:rsid w:val="001201E5"/>
    <w:rsid w:val="00121BBA"/>
    <w:rsid w:val="0012288B"/>
    <w:rsid w:val="0012314A"/>
    <w:rsid w:val="0012363C"/>
    <w:rsid w:val="001237BA"/>
    <w:rsid w:val="001251C7"/>
    <w:rsid w:val="00125621"/>
    <w:rsid w:val="0013579F"/>
    <w:rsid w:val="00135A06"/>
    <w:rsid w:val="0013717B"/>
    <w:rsid w:val="0013789E"/>
    <w:rsid w:val="00140B20"/>
    <w:rsid w:val="00143130"/>
    <w:rsid w:val="001448FD"/>
    <w:rsid w:val="00151C47"/>
    <w:rsid w:val="00151DC5"/>
    <w:rsid w:val="001542B7"/>
    <w:rsid w:val="00154C6F"/>
    <w:rsid w:val="0016059D"/>
    <w:rsid w:val="00160B43"/>
    <w:rsid w:val="00160F5C"/>
    <w:rsid w:val="00166B4A"/>
    <w:rsid w:val="00171775"/>
    <w:rsid w:val="00172BA3"/>
    <w:rsid w:val="00174655"/>
    <w:rsid w:val="0018015A"/>
    <w:rsid w:val="001834F5"/>
    <w:rsid w:val="0018701E"/>
    <w:rsid w:val="00187902"/>
    <w:rsid w:val="00193630"/>
    <w:rsid w:val="001937CD"/>
    <w:rsid w:val="00195386"/>
    <w:rsid w:val="00197F7C"/>
    <w:rsid w:val="001A1047"/>
    <w:rsid w:val="001B1222"/>
    <w:rsid w:val="001B2CA8"/>
    <w:rsid w:val="001B4731"/>
    <w:rsid w:val="001B4F4E"/>
    <w:rsid w:val="001B5C7A"/>
    <w:rsid w:val="001C1C65"/>
    <w:rsid w:val="001C2C54"/>
    <w:rsid w:val="001C5B40"/>
    <w:rsid w:val="001C784F"/>
    <w:rsid w:val="001E02BD"/>
    <w:rsid w:val="001E02EF"/>
    <w:rsid w:val="001E03C0"/>
    <w:rsid w:val="001E1D76"/>
    <w:rsid w:val="001E3915"/>
    <w:rsid w:val="001E3C26"/>
    <w:rsid w:val="001E626A"/>
    <w:rsid w:val="001E6E99"/>
    <w:rsid w:val="001E796F"/>
    <w:rsid w:val="001F012A"/>
    <w:rsid w:val="001F06B9"/>
    <w:rsid w:val="001F089C"/>
    <w:rsid w:val="001F0AF8"/>
    <w:rsid w:val="001F393F"/>
    <w:rsid w:val="001F4064"/>
    <w:rsid w:val="00200090"/>
    <w:rsid w:val="002047AC"/>
    <w:rsid w:val="00205E66"/>
    <w:rsid w:val="002067BD"/>
    <w:rsid w:val="00206965"/>
    <w:rsid w:val="002102F0"/>
    <w:rsid w:val="0021196D"/>
    <w:rsid w:val="00212CDB"/>
    <w:rsid w:val="002144A3"/>
    <w:rsid w:val="002147DE"/>
    <w:rsid w:val="00217F40"/>
    <w:rsid w:val="00220F22"/>
    <w:rsid w:val="002237FF"/>
    <w:rsid w:val="002261D5"/>
    <w:rsid w:val="0022688C"/>
    <w:rsid w:val="002361D3"/>
    <w:rsid w:val="00236243"/>
    <w:rsid w:val="00242385"/>
    <w:rsid w:val="00243891"/>
    <w:rsid w:val="00243FCE"/>
    <w:rsid w:val="00244B07"/>
    <w:rsid w:val="00245644"/>
    <w:rsid w:val="00247D6F"/>
    <w:rsid w:val="00251722"/>
    <w:rsid w:val="00251E5A"/>
    <w:rsid w:val="00251FE7"/>
    <w:rsid w:val="002523D7"/>
    <w:rsid w:val="00253117"/>
    <w:rsid w:val="00255A73"/>
    <w:rsid w:val="00256AE8"/>
    <w:rsid w:val="0026006B"/>
    <w:rsid w:val="00260F5A"/>
    <w:rsid w:val="0026529E"/>
    <w:rsid w:val="002675F4"/>
    <w:rsid w:val="00272727"/>
    <w:rsid w:val="002730AB"/>
    <w:rsid w:val="00273D4B"/>
    <w:rsid w:val="00274CEF"/>
    <w:rsid w:val="0027668D"/>
    <w:rsid w:val="00280047"/>
    <w:rsid w:val="00280A6B"/>
    <w:rsid w:val="00280FFF"/>
    <w:rsid w:val="00287C5F"/>
    <w:rsid w:val="002914B8"/>
    <w:rsid w:val="00297048"/>
    <w:rsid w:val="00297F1A"/>
    <w:rsid w:val="00297FFC"/>
    <w:rsid w:val="002A1A91"/>
    <w:rsid w:val="002A2389"/>
    <w:rsid w:val="002A3320"/>
    <w:rsid w:val="002A45E0"/>
    <w:rsid w:val="002B100D"/>
    <w:rsid w:val="002B1E4F"/>
    <w:rsid w:val="002B4701"/>
    <w:rsid w:val="002B6FAF"/>
    <w:rsid w:val="002B72DE"/>
    <w:rsid w:val="002C1DAD"/>
    <w:rsid w:val="002C463A"/>
    <w:rsid w:val="002C6535"/>
    <w:rsid w:val="002C66F4"/>
    <w:rsid w:val="002C6A92"/>
    <w:rsid w:val="002D113F"/>
    <w:rsid w:val="002D1A8F"/>
    <w:rsid w:val="002D227F"/>
    <w:rsid w:val="002D25DC"/>
    <w:rsid w:val="002D27AA"/>
    <w:rsid w:val="002D2955"/>
    <w:rsid w:val="002D49DC"/>
    <w:rsid w:val="002D4CC2"/>
    <w:rsid w:val="002D69F9"/>
    <w:rsid w:val="002D78FA"/>
    <w:rsid w:val="002D7958"/>
    <w:rsid w:val="002D7B87"/>
    <w:rsid w:val="002D7FB6"/>
    <w:rsid w:val="002E443A"/>
    <w:rsid w:val="002E5C61"/>
    <w:rsid w:val="002E636C"/>
    <w:rsid w:val="002E63B3"/>
    <w:rsid w:val="002E6AA6"/>
    <w:rsid w:val="002E7758"/>
    <w:rsid w:val="002F05A0"/>
    <w:rsid w:val="002F6E1A"/>
    <w:rsid w:val="00303319"/>
    <w:rsid w:val="003034C2"/>
    <w:rsid w:val="0031297B"/>
    <w:rsid w:val="003148DA"/>
    <w:rsid w:val="00314F97"/>
    <w:rsid w:val="00316A49"/>
    <w:rsid w:val="00322DEC"/>
    <w:rsid w:val="00322E6F"/>
    <w:rsid w:val="0032418A"/>
    <w:rsid w:val="00324AC2"/>
    <w:rsid w:val="00331977"/>
    <w:rsid w:val="00331DF1"/>
    <w:rsid w:val="003367D8"/>
    <w:rsid w:val="00343AC7"/>
    <w:rsid w:val="00343C43"/>
    <w:rsid w:val="00345ECA"/>
    <w:rsid w:val="00346F79"/>
    <w:rsid w:val="00350386"/>
    <w:rsid w:val="0035132A"/>
    <w:rsid w:val="0035263D"/>
    <w:rsid w:val="00353A9E"/>
    <w:rsid w:val="0035665B"/>
    <w:rsid w:val="00360DBA"/>
    <w:rsid w:val="003621A9"/>
    <w:rsid w:val="003621E5"/>
    <w:rsid w:val="00362830"/>
    <w:rsid w:val="00362CDA"/>
    <w:rsid w:val="0036307F"/>
    <w:rsid w:val="00365595"/>
    <w:rsid w:val="003658EE"/>
    <w:rsid w:val="003665F8"/>
    <w:rsid w:val="00366DB5"/>
    <w:rsid w:val="00373F94"/>
    <w:rsid w:val="003756A5"/>
    <w:rsid w:val="003774D3"/>
    <w:rsid w:val="00377F28"/>
    <w:rsid w:val="00383334"/>
    <w:rsid w:val="00387916"/>
    <w:rsid w:val="0039194F"/>
    <w:rsid w:val="00391FC6"/>
    <w:rsid w:val="00393D80"/>
    <w:rsid w:val="003953CD"/>
    <w:rsid w:val="003A0B50"/>
    <w:rsid w:val="003A1839"/>
    <w:rsid w:val="003A1CCF"/>
    <w:rsid w:val="003A1F0B"/>
    <w:rsid w:val="003A3ECB"/>
    <w:rsid w:val="003A4BA0"/>
    <w:rsid w:val="003A4BE0"/>
    <w:rsid w:val="003A4E6B"/>
    <w:rsid w:val="003A57AD"/>
    <w:rsid w:val="003A6E58"/>
    <w:rsid w:val="003A70A0"/>
    <w:rsid w:val="003B10C7"/>
    <w:rsid w:val="003B28C2"/>
    <w:rsid w:val="003B30D3"/>
    <w:rsid w:val="003B34FC"/>
    <w:rsid w:val="003C2AF9"/>
    <w:rsid w:val="003C37CA"/>
    <w:rsid w:val="003C5117"/>
    <w:rsid w:val="003C5840"/>
    <w:rsid w:val="003C62DB"/>
    <w:rsid w:val="003C78E6"/>
    <w:rsid w:val="003D0A24"/>
    <w:rsid w:val="003D0ED1"/>
    <w:rsid w:val="003D4145"/>
    <w:rsid w:val="003D47D5"/>
    <w:rsid w:val="003D5418"/>
    <w:rsid w:val="003D6C31"/>
    <w:rsid w:val="003E01FE"/>
    <w:rsid w:val="003E2622"/>
    <w:rsid w:val="003E2A10"/>
    <w:rsid w:val="003E4712"/>
    <w:rsid w:val="003E55F8"/>
    <w:rsid w:val="003E62D2"/>
    <w:rsid w:val="003F0115"/>
    <w:rsid w:val="003F0227"/>
    <w:rsid w:val="003F14B5"/>
    <w:rsid w:val="003F4BFA"/>
    <w:rsid w:val="003F54B7"/>
    <w:rsid w:val="003F5D8F"/>
    <w:rsid w:val="003F5DF4"/>
    <w:rsid w:val="00401523"/>
    <w:rsid w:val="00402105"/>
    <w:rsid w:val="004038AD"/>
    <w:rsid w:val="004042CA"/>
    <w:rsid w:val="00410F9A"/>
    <w:rsid w:val="004144D5"/>
    <w:rsid w:val="004173EC"/>
    <w:rsid w:val="00423D96"/>
    <w:rsid w:val="004274C4"/>
    <w:rsid w:val="004305E1"/>
    <w:rsid w:val="00432A31"/>
    <w:rsid w:val="00433324"/>
    <w:rsid w:val="00433E14"/>
    <w:rsid w:val="00434BB3"/>
    <w:rsid w:val="00435946"/>
    <w:rsid w:val="004362AA"/>
    <w:rsid w:val="004368E3"/>
    <w:rsid w:val="00436D67"/>
    <w:rsid w:val="004371D9"/>
    <w:rsid w:val="00441817"/>
    <w:rsid w:val="00442A67"/>
    <w:rsid w:val="004462BA"/>
    <w:rsid w:val="00450FD3"/>
    <w:rsid w:val="00452463"/>
    <w:rsid w:val="004528E6"/>
    <w:rsid w:val="00453C48"/>
    <w:rsid w:val="00454CFA"/>
    <w:rsid w:val="00471D23"/>
    <w:rsid w:val="004734D4"/>
    <w:rsid w:val="00473B6E"/>
    <w:rsid w:val="00473E68"/>
    <w:rsid w:val="004740C6"/>
    <w:rsid w:val="00475E96"/>
    <w:rsid w:val="0047704C"/>
    <w:rsid w:val="00477DD1"/>
    <w:rsid w:val="00481233"/>
    <w:rsid w:val="00481CEC"/>
    <w:rsid w:val="00482CC0"/>
    <w:rsid w:val="004864E2"/>
    <w:rsid w:val="00487128"/>
    <w:rsid w:val="00493ED1"/>
    <w:rsid w:val="004A32C9"/>
    <w:rsid w:val="004A3EEC"/>
    <w:rsid w:val="004A5D7C"/>
    <w:rsid w:val="004A5E4A"/>
    <w:rsid w:val="004A6555"/>
    <w:rsid w:val="004A7803"/>
    <w:rsid w:val="004B03AB"/>
    <w:rsid w:val="004B1E69"/>
    <w:rsid w:val="004B6A09"/>
    <w:rsid w:val="004C0983"/>
    <w:rsid w:val="004C2A4A"/>
    <w:rsid w:val="004C5DBD"/>
    <w:rsid w:val="004C7C1C"/>
    <w:rsid w:val="004D262E"/>
    <w:rsid w:val="004D2863"/>
    <w:rsid w:val="004E03A9"/>
    <w:rsid w:val="004E33EC"/>
    <w:rsid w:val="004E36F0"/>
    <w:rsid w:val="004E4172"/>
    <w:rsid w:val="004E4520"/>
    <w:rsid w:val="004E4F4C"/>
    <w:rsid w:val="004F07D6"/>
    <w:rsid w:val="004F4651"/>
    <w:rsid w:val="004F4A5C"/>
    <w:rsid w:val="004F65E9"/>
    <w:rsid w:val="004F7101"/>
    <w:rsid w:val="00501538"/>
    <w:rsid w:val="00501AC7"/>
    <w:rsid w:val="00502E97"/>
    <w:rsid w:val="005036FC"/>
    <w:rsid w:val="00503B57"/>
    <w:rsid w:val="00505C2E"/>
    <w:rsid w:val="00506850"/>
    <w:rsid w:val="005103B8"/>
    <w:rsid w:val="00511858"/>
    <w:rsid w:val="00511A6E"/>
    <w:rsid w:val="005129CF"/>
    <w:rsid w:val="00512D27"/>
    <w:rsid w:val="00514BA9"/>
    <w:rsid w:val="005163C8"/>
    <w:rsid w:val="0051769F"/>
    <w:rsid w:val="005202A7"/>
    <w:rsid w:val="005239CD"/>
    <w:rsid w:val="00523C3F"/>
    <w:rsid w:val="0052644E"/>
    <w:rsid w:val="00531F55"/>
    <w:rsid w:val="00532071"/>
    <w:rsid w:val="00533304"/>
    <w:rsid w:val="00533D63"/>
    <w:rsid w:val="0053419F"/>
    <w:rsid w:val="00534C93"/>
    <w:rsid w:val="0053524E"/>
    <w:rsid w:val="00540205"/>
    <w:rsid w:val="0054284D"/>
    <w:rsid w:val="00543510"/>
    <w:rsid w:val="005436F4"/>
    <w:rsid w:val="00546CBC"/>
    <w:rsid w:val="00552D19"/>
    <w:rsid w:val="005577C0"/>
    <w:rsid w:val="005610AE"/>
    <w:rsid w:val="00561A10"/>
    <w:rsid w:val="00562B5E"/>
    <w:rsid w:val="005706F8"/>
    <w:rsid w:val="0057157D"/>
    <w:rsid w:val="00573F78"/>
    <w:rsid w:val="0057459B"/>
    <w:rsid w:val="00576296"/>
    <w:rsid w:val="00580C3E"/>
    <w:rsid w:val="00580F14"/>
    <w:rsid w:val="0058116E"/>
    <w:rsid w:val="00581902"/>
    <w:rsid w:val="005846AB"/>
    <w:rsid w:val="00586FA9"/>
    <w:rsid w:val="00587248"/>
    <w:rsid w:val="005900F8"/>
    <w:rsid w:val="00592270"/>
    <w:rsid w:val="00594F0F"/>
    <w:rsid w:val="005A05D6"/>
    <w:rsid w:val="005A0A0B"/>
    <w:rsid w:val="005A38BC"/>
    <w:rsid w:val="005A4734"/>
    <w:rsid w:val="005A65B0"/>
    <w:rsid w:val="005A743F"/>
    <w:rsid w:val="005B0405"/>
    <w:rsid w:val="005B05E5"/>
    <w:rsid w:val="005B1825"/>
    <w:rsid w:val="005B2213"/>
    <w:rsid w:val="005B2727"/>
    <w:rsid w:val="005C615C"/>
    <w:rsid w:val="005C653A"/>
    <w:rsid w:val="005C673A"/>
    <w:rsid w:val="005C708F"/>
    <w:rsid w:val="005D037B"/>
    <w:rsid w:val="005D1999"/>
    <w:rsid w:val="005D4084"/>
    <w:rsid w:val="005E0432"/>
    <w:rsid w:val="005E063A"/>
    <w:rsid w:val="005E253C"/>
    <w:rsid w:val="005E28C7"/>
    <w:rsid w:val="005E3AE4"/>
    <w:rsid w:val="005E52C3"/>
    <w:rsid w:val="005E702D"/>
    <w:rsid w:val="005F13AC"/>
    <w:rsid w:val="005F2DC9"/>
    <w:rsid w:val="005F3559"/>
    <w:rsid w:val="005F3E65"/>
    <w:rsid w:val="005F514E"/>
    <w:rsid w:val="005F7EDF"/>
    <w:rsid w:val="00601053"/>
    <w:rsid w:val="00601409"/>
    <w:rsid w:val="00602A8B"/>
    <w:rsid w:val="00603F40"/>
    <w:rsid w:val="00605B90"/>
    <w:rsid w:val="00613535"/>
    <w:rsid w:val="00615EF9"/>
    <w:rsid w:val="00621DE7"/>
    <w:rsid w:val="00622385"/>
    <w:rsid w:val="00623810"/>
    <w:rsid w:val="00623AF5"/>
    <w:rsid w:val="00624E3E"/>
    <w:rsid w:val="0062578D"/>
    <w:rsid w:val="006314B2"/>
    <w:rsid w:val="0063265A"/>
    <w:rsid w:val="00637C6D"/>
    <w:rsid w:val="00640B0D"/>
    <w:rsid w:val="0064166A"/>
    <w:rsid w:val="0064425D"/>
    <w:rsid w:val="00644878"/>
    <w:rsid w:val="00645392"/>
    <w:rsid w:val="0064729F"/>
    <w:rsid w:val="00650DAC"/>
    <w:rsid w:val="00650F9F"/>
    <w:rsid w:val="006535BE"/>
    <w:rsid w:val="006536D7"/>
    <w:rsid w:val="00653D6B"/>
    <w:rsid w:val="006578E6"/>
    <w:rsid w:val="00660CF8"/>
    <w:rsid w:val="00660FDC"/>
    <w:rsid w:val="00664DDD"/>
    <w:rsid w:val="00666F58"/>
    <w:rsid w:val="006671DA"/>
    <w:rsid w:val="00670E1D"/>
    <w:rsid w:val="00670F1F"/>
    <w:rsid w:val="00677127"/>
    <w:rsid w:val="0068053F"/>
    <w:rsid w:val="00680F0C"/>
    <w:rsid w:val="00682324"/>
    <w:rsid w:val="0068295D"/>
    <w:rsid w:val="00683E2F"/>
    <w:rsid w:val="00685996"/>
    <w:rsid w:val="00690DA6"/>
    <w:rsid w:val="006915A2"/>
    <w:rsid w:val="00694EFE"/>
    <w:rsid w:val="0069591B"/>
    <w:rsid w:val="006961F2"/>
    <w:rsid w:val="006966BD"/>
    <w:rsid w:val="006A195C"/>
    <w:rsid w:val="006A1C48"/>
    <w:rsid w:val="006A2164"/>
    <w:rsid w:val="006A434A"/>
    <w:rsid w:val="006B1E91"/>
    <w:rsid w:val="006B2374"/>
    <w:rsid w:val="006B3B23"/>
    <w:rsid w:val="006B7056"/>
    <w:rsid w:val="006B75C3"/>
    <w:rsid w:val="006C1684"/>
    <w:rsid w:val="006C2582"/>
    <w:rsid w:val="006C618B"/>
    <w:rsid w:val="006C7F58"/>
    <w:rsid w:val="006D0282"/>
    <w:rsid w:val="006D06DA"/>
    <w:rsid w:val="006D337F"/>
    <w:rsid w:val="006D3469"/>
    <w:rsid w:val="006D47C1"/>
    <w:rsid w:val="006D5A9A"/>
    <w:rsid w:val="006D68A6"/>
    <w:rsid w:val="006D6F72"/>
    <w:rsid w:val="006E0EEB"/>
    <w:rsid w:val="006E17CF"/>
    <w:rsid w:val="006E1DE0"/>
    <w:rsid w:val="006E23AD"/>
    <w:rsid w:val="006E400E"/>
    <w:rsid w:val="006E51D2"/>
    <w:rsid w:val="006E547E"/>
    <w:rsid w:val="006E56BA"/>
    <w:rsid w:val="006E60C1"/>
    <w:rsid w:val="006F1293"/>
    <w:rsid w:val="006F34B8"/>
    <w:rsid w:val="006F466A"/>
    <w:rsid w:val="006F49E6"/>
    <w:rsid w:val="006F7181"/>
    <w:rsid w:val="006F72C7"/>
    <w:rsid w:val="00700017"/>
    <w:rsid w:val="007032E3"/>
    <w:rsid w:val="00705572"/>
    <w:rsid w:val="00705703"/>
    <w:rsid w:val="00707236"/>
    <w:rsid w:val="00707A02"/>
    <w:rsid w:val="00710011"/>
    <w:rsid w:val="00713029"/>
    <w:rsid w:val="0071406E"/>
    <w:rsid w:val="0071443D"/>
    <w:rsid w:val="00716105"/>
    <w:rsid w:val="00722064"/>
    <w:rsid w:val="00726B60"/>
    <w:rsid w:val="00727AEB"/>
    <w:rsid w:val="00730ED8"/>
    <w:rsid w:val="00733F6C"/>
    <w:rsid w:val="007352D7"/>
    <w:rsid w:val="007379F4"/>
    <w:rsid w:val="00737DB3"/>
    <w:rsid w:val="0074034C"/>
    <w:rsid w:val="00742BEE"/>
    <w:rsid w:val="0074443D"/>
    <w:rsid w:val="00744891"/>
    <w:rsid w:val="00745587"/>
    <w:rsid w:val="00746169"/>
    <w:rsid w:val="007518B4"/>
    <w:rsid w:val="00753920"/>
    <w:rsid w:val="0075650F"/>
    <w:rsid w:val="00761D65"/>
    <w:rsid w:val="00763A8E"/>
    <w:rsid w:val="007643C2"/>
    <w:rsid w:val="00765A04"/>
    <w:rsid w:val="00765BA6"/>
    <w:rsid w:val="00767BB2"/>
    <w:rsid w:val="00767F03"/>
    <w:rsid w:val="00770B8F"/>
    <w:rsid w:val="007750A6"/>
    <w:rsid w:val="007767A3"/>
    <w:rsid w:val="00780EFF"/>
    <w:rsid w:val="00781781"/>
    <w:rsid w:val="007817D8"/>
    <w:rsid w:val="007854DE"/>
    <w:rsid w:val="00786ED5"/>
    <w:rsid w:val="00790CCD"/>
    <w:rsid w:val="00791766"/>
    <w:rsid w:val="00792B5A"/>
    <w:rsid w:val="00792E4A"/>
    <w:rsid w:val="00792EF3"/>
    <w:rsid w:val="007A3AEF"/>
    <w:rsid w:val="007A5755"/>
    <w:rsid w:val="007A6633"/>
    <w:rsid w:val="007A74B7"/>
    <w:rsid w:val="007B1958"/>
    <w:rsid w:val="007B4F46"/>
    <w:rsid w:val="007B5FB7"/>
    <w:rsid w:val="007C12BD"/>
    <w:rsid w:val="007C3EEF"/>
    <w:rsid w:val="007D1250"/>
    <w:rsid w:val="007D3D6A"/>
    <w:rsid w:val="007D51C7"/>
    <w:rsid w:val="007E02B3"/>
    <w:rsid w:val="007E04C4"/>
    <w:rsid w:val="007E19D7"/>
    <w:rsid w:val="007E25B0"/>
    <w:rsid w:val="007E42D8"/>
    <w:rsid w:val="007E59FC"/>
    <w:rsid w:val="007E6281"/>
    <w:rsid w:val="007E6533"/>
    <w:rsid w:val="007E71D0"/>
    <w:rsid w:val="007E7C26"/>
    <w:rsid w:val="007F06F6"/>
    <w:rsid w:val="007F33EF"/>
    <w:rsid w:val="007F34C9"/>
    <w:rsid w:val="007F4220"/>
    <w:rsid w:val="007F44A0"/>
    <w:rsid w:val="007F499C"/>
    <w:rsid w:val="007F4F39"/>
    <w:rsid w:val="007F7622"/>
    <w:rsid w:val="0080283B"/>
    <w:rsid w:val="00802E77"/>
    <w:rsid w:val="008047ED"/>
    <w:rsid w:val="008052DB"/>
    <w:rsid w:val="008069C4"/>
    <w:rsid w:val="0081010E"/>
    <w:rsid w:val="008113F0"/>
    <w:rsid w:val="00811B5F"/>
    <w:rsid w:val="00811B62"/>
    <w:rsid w:val="00811D87"/>
    <w:rsid w:val="0081419B"/>
    <w:rsid w:val="00814460"/>
    <w:rsid w:val="00822EDE"/>
    <w:rsid w:val="008247DA"/>
    <w:rsid w:val="00826794"/>
    <w:rsid w:val="008309A0"/>
    <w:rsid w:val="0083152E"/>
    <w:rsid w:val="00832A4E"/>
    <w:rsid w:val="00832B10"/>
    <w:rsid w:val="00833ED3"/>
    <w:rsid w:val="00835E9D"/>
    <w:rsid w:val="0083745B"/>
    <w:rsid w:val="00841648"/>
    <w:rsid w:val="00843A91"/>
    <w:rsid w:val="00847167"/>
    <w:rsid w:val="0084747F"/>
    <w:rsid w:val="00852749"/>
    <w:rsid w:val="00860361"/>
    <w:rsid w:val="008621E2"/>
    <w:rsid w:val="008624A0"/>
    <w:rsid w:val="0086374E"/>
    <w:rsid w:val="008641F4"/>
    <w:rsid w:val="00864C5F"/>
    <w:rsid w:val="00865091"/>
    <w:rsid w:val="0086521B"/>
    <w:rsid w:val="00866955"/>
    <w:rsid w:val="008704E6"/>
    <w:rsid w:val="00882EF1"/>
    <w:rsid w:val="008832E0"/>
    <w:rsid w:val="00883E6A"/>
    <w:rsid w:val="0088408C"/>
    <w:rsid w:val="008879D7"/>
    <w:rsid w:val="008907D5"/>
    <w:rsid w:val="00890CE7"/>
    <w:rsid w:val="008A18EE"/>
    <w:rsid w:val="008A2266"/>
    <w:rsid w:val="008A405A"/>
    <w:rsid w:val="008A40EB"/>
    <w:rsid w:val="008A434B"/>
    <w:rsid w:val="008A6AE3"/>
    <w:rsid w:val="008C1F57"/>
    <w:rsid w:val="008C2BEC"/>
    <w:rsid w:val="008C4E30"/>
    <w:rsid w:val="008C52E7"/>
    <w:rsid w:val="008C555E"/>
    <w:rsid w:val="008C5A26"/>
    <w:rsid w:val="008D407B"/>
    <w:rsid w:val="008D49B3"/>
    <w:rsid w:val="008D4E6A"/>
    <w:rsid w:val="008D6B6F"/>
    <w:rsid w:val="008E04FF"/>
    <w:rsid w:val="008E2914"/>
    <w:rsid w:val="008F1589"/>
    <w:rsid w:val="008F18CF"/>
    <w:rsid w:val="008F27F1"/>
    <w:rsid w:val="008F4BDA"/>
    <w:rsid w:val="00902709"/>
    <w:rsid w:val="009054B5"/>
    <w:rsid w:val="00905C1C"/>
    <w:rsid w:val="0090777A"/>
    <w:rsid w:val="00910ECA"/>
    <w:rsid w:val="00911BE3"/>
    <w:rsid w:val="00916463"/>
    <w:rsid w:val="009211DB"/>
    <w:rsid w:val="00921BC5"/>
    <w:rsid w:val="0092264E"/>
    <w:rsid w:val="00924173"/>
    <w:rsid w:val="0092681F"/>
    <w:rsid w:val="0092757F"/>
    <w:rsid w:val="00931D3F"/>
    <w:rsid w:val="009339FD"/>
    <w:rsid w:val="0093521E"/>
    <w:rsid w:val="0093608E"/>
    <w:rsid w:val="00936D1C"/>
    <w:rsid w:val="00937F78"/>
    <w:rsid w:val="0094020F"/>
    <w:rsid w:val="009415C8"/>
    <w:rsid w:val="00944841"/>
    <w:rsid w:val="009461D8"/>
    <w:rsid w:val="009474EF"/>
    <w:rsid w:val="00950F05"/>
    <w:rsid w:val="00951922"/>
    <w:rsid w:val="00951ACC"/>
    <w:rsid w:val="00953133"/>
    <w:rsid w:val="0095377B"/>
    <w:rsid w:val="00956992"/>
    <w:rsid w:val="00957AAA"/>
    <w:rsid w:val="00960BF8"/>
    <w:rsid w:val="0096212D"/>
    <w:rsid w:val="00962E3D"/>
    <w:rsid w:val="00963EC8"/>
    <w:rsid w:val="00966905"/>
    <w:rsid w:val="009672D9"/>
    <w:rsid w:val="009708F5"/>
    <w:rsid w:val="009716E6"/>
    <w:rsid w:val="0097632E"/>
    <w:rsid w:val="00977C5E"/>
    <w:rsid w:val="0098112A"/>
    <w:rsid w:val="009825BB"/>
    <w:rsid w:val="00984D50"/>
    <w:rsid w:val="00986592"/>
    <w:rsid w:val="00986700"/>
    <w:rsid w:val="00993B99"/>
    <w:rsid w:val="009946B9"/>
    <w:rsid w:val="00994C83"/>
    <w:rsid w:val="00994D06"/>
    <w:rsid w:val="00994F1C"/>
    <w:rsid w:val="0099539A"/>
    <w:rsid w:val="00997474"/>
    <w:rsid w:val="00997515"/>
    <w:rsid w:val="009A22C8"/>
    <w:rsid w:val="009A355D"/>
    <w:rsid w:val="009A35BF"/>
    <w:rsid w:val="009A36C5"/>
    <w:rsid w:val="009A5642"/>
    <w:rsid w:val="009B7039"/>
    <w:rsid w:val="009C1BD0"/>
    <w:rsid w:val="009C302D"/>
    <w:rsid w:val="009C3EB6"/>
    <w:rsid w:val="009C788C"/>
    <w:rsid w:val="009D1E69"/>
    <w:rsid w:val="009D7E6D"/>
    <w:rsid w:val="009D7F6D"/>
    <w:rsid w:val="009E044D"/>
    <w:rsid w:val="009E3571"/>
    <w:rsid w:val="009E4776"/>
    <w:rsid w:val="009E4AE0"/>
    <w:rsid w:val="009E7031"/>
    <w:rsid w:val="009F1C79"/>
    <w:rsid w:val="009F4215"/>
    <w:rsid w:val="009F4E97"/>
    <w:rsid w:val="00A000D4"/>
    <w:rsid w:val="00A06E0E"/>
    <w:rsid w:val="00A0716A"/>
    <w:rsid w:val="00A1167A"/>
    <w:rsid w:val="00A15BD7"/>
    <w:rsid w:val="00A1603E"/>
    <w:rsid w:val="00A17349"/>
    <w:rsid w:val="00A24FD2"/>
    <w:rsid w:val="00A27A77"/>
    <w:rsid w:val="00A31609"/>
    <w:rsid w:val="00A42B1A"/>
    <w:rsid w:val="00A4641F"/>
    <w:rsid w:val="00A50296"/>
    <w:rsid w:val="00A50C91"/>
    <w:rsid w:val="00A5381F"/>
    <w:rsid w:val="00A53FED"/>
    <w:rsid w:val="00A55CB6"/>
    <w:rsid w:val="00A5635A"/>
    <w:rsid w:val="00A6030D"/>
    <w:rsid w:val="00A61416"/>
    <w:rsid w:val="00A6183D"/>
    <w:rsid w:val="00A63D10"/>
    <w:rsid w:val="00A64AC7"/>
    <w:rsid w:val="00A64D10"/>
    <w:rsid w:val="00A65864"/>
    <w:rsid w:val="00A67F31"/>
    <w:rsid w:val="00A70FB5"/>
    <w:rsid w:val="00A72958"/>
    <w:rsid w:val="00A7447F"/>
    <w:rsid w:val="00A80706"/>
    <w:rsid w:val="00A82A2D"/>
    <w:rsid w:val="00A83033"/>
    <w:rsid w:val="00A838A8"/>
    <w:rsid w:val="00A84595"/>
    <w:rsid w:val="00A870AD"/>
    <w:rsid w:val="00A91789"/>
    <w:rsid w:val="00A91824"/>
    <w:rsid w:val="00A919F6"/>
    <w:rsid w:val="00A91B4A"/>
    <w:rsid w:val="00AA1413"/>
    <w:rsid w:val="00AA2657"/>
    <w:rsid w:val="00AA7E04"/>
    <w:rsid w:val="00AB04DA"/>
    <w:rsid w:val="00AB2D7E"/>
    <w:rsid w:val="00AB553D"/>
    <w:rsid w:val="00AB57A6"/>
    <w:rsid w:val="00AB6B23"/>
    <w:rsid w:val="00AC1031"/>
    <w:rsid w:val="00AC1309"/>
    <w:rsid w:val="00AC29CE"/>
    <w:rsid w:val="00AC30E6"/>
    <w:rsid w:val="00AC3E14"/>
    <w:rsid w:val="00AC6070"/>
    <w:rsid w:val="00AC74A0"/>
    <w:rsid w:val="00AD045D"/>
    <w:rsid w:val="00AD2834"/>
    <w:rsid w:val="00AD3DB1"/>
    <w:rsid w:val="00AD5A97"/>
    <w:rsid w:val="00AD5B10"/>
    <w:rsid w:val="00AD6D25"/>
    <w:rsid w:val="00AE3FBA"/>
    <w:rsid w:val="00AE407F"/>
    <w:rsid w:val="00AE69D4"/>
    <w:rsid w:val="00AF1207"/>
    <w:rsid w:val="00AF1D4A"/>
    <w:rsid w:val="00AF2924"/>
    <w:rsid w:val="00AF35AE"/>
    <w:rsid w:val="00AF3F12"/>
    <w:rsid w:val="00AF60BE"/>
    <w:rsid w:val="00AF6DA8"/>
    <w:rsid w:val="00AF73A3"/>
    <w:rsid w:val="00B0028B"/>
    <w:rsid w:val="00B005F7"/>
    <w:rsid w:val="00B04AC8"/>
    <w:rsid w:val="00B1098C"/>
    <w:rsid w:val="00B138AD"/>
    <w:rsid w:val="00B16C29"/>
    <w:rsid w:val="00B16E2D"/>
    <w:rsid w:val="00B177F5"/>
    <w:rsid w:val="00B25B35"/>
    <w:rsid w:val="00B26E34"/>
    <w:rsid w:val="00B31E50"/>
    <w:rsid w:val="00B323B6"/>
    <w:rsid w:val="00B32B29"/>
    <w:rsid w:val="00B33ADD"/>
    <w:rsid w:val="00B355CD"/>
    <w:rsid w:val="00B3597D"/>
    <w:rsid w:val="00B35BFB"/>
    <w:rsid w:val="00B429E1"/>
    <w:rsid w:val="00B43B00"/>
    <w:rsid w:val="00B43CC4"/>
    <w:rsid w:val="00B451A4"/>
    <w:rsid w:val="00B46C05"/>
    <w:rsid w:val="00B46E2A"/>
    <w:rsid w:val="00B548D5"/>
    <w:rsid w:val="00B54C71"/>
    <w:rsid w:val="00B559A4"/>
    <w:rsid w:val="00B55F79"/>
    <w:rsid w:val="00B57437"/>
    <w:rsid w:val="00B61D62"/>
    <w:rsid w:val="00B629EC"/>
    <w:rsid w:val="00B701CC"/>
    <w:rsid w:val="00B73AB1"/>
    <w:rsid w:val="00B74751"/>
    <w:rsid w:val="00B76644"/>
    <w:rsid w:val="00B7706D"/>
    <w:rsid w:val="00B81357"/>
    <w:rsid w:val="00B81EB4"/>
    <w:rsid w:val="00B8448E"/>
    <w:rsid w:val="00B84E20"/>
    <w:rsid w:val="00B855F7"/>
    <w:rsid w:val="00B9058C"/>
    <w:rsid w:val="00B93393"/>
    <w:rsid w:val="00B97624"/>
    <w:rsid w:val="00BA03A1"/>
    <w:rsid w:val="00BA049F"/>
    <w:rsid w:val="00BA0702"/>
    <w:rsid w:val="00BA1225"/>
    <w:rsid w:val="00BA458A"/>
    <w:rsid w:val="00BA6652"/>
    <w:rsid w:val="00BA767C"/>
    <w:rsid w:val="00BB1055"/>
    <w:rsid w:val="00BB1188"/>
    <w:rsid w:val="00BB1C13"/>
    <w:rsid w:val="00BB265E"/>
    <w:rsid w:val="00BB4C8A"/>
    <w:rsid w:val="00BB5843"/>
    <w:rsid w:val="00BB691D"/>
    <w:rsid w:val="00BB6BF3"/>
    <w:rsid w:val="00BC08C6"/>
    <w:rsid w:val="00BC11F4"/>
    <w:rsid w:val="00BC21CD"/>
    <w:rsid w:val="00BC283B"/>
    <w:rsid w:val="00BC3593"/>
    <w:rsid w:val="00BC367B"/>
    <w:rsid w:val="00BD59A5"/>
    <w:rsid w:val="00BD77BE"/>
    <w:rsid w:val="00BE16A4"/>
    <w:rsid w:val="00BE172D"/>
    <w:rsid w:val="00BE3694"/>
    <w:rsid w:val="00BE5D42"/>
    <w:rsid w:val="00BF0144"/>
    <w:rsid w:val="00BF0398"/>
    <w:rsid w:val="00BF17F3"/>
    <w:rsid w:val="00BF2DDB"/>
    <w:rsid w:val="00BF323C"/>
    <w:rsid w:val="00BF467A"/>
    <w:rsid w:val="00BF48C7"/>
    <w:rsid w:val="00BF5924"/>
    <w:rsid w:val="00C005E9"/>
    <w:rsid w:val="00C023A7"/>
    <w:rsid w:val="00C03C8F"/>
    <w:rsid w:val="00C044DE"/>
    <w:rsid w:val="00C10030"/>
    <w:rsid w:val="00C10154"/>
    <w:rsid w:val="00C117C2"/>
    <w:rsid w:val="00C117D6"/>
    <w:rsid w:val="00C13597"/>
    <w:rsid w:val="00C15037"/>
    <w:rsid w:val="00C16F8A"/>
    <w:rsid w:val="00C20745"/>
    <w:rsid w:val="00C20EB4"/>
    <w:rsid w:val="00C2166C"/>
    <w:rsid w:val="00C23F10"/>
    <w:rsid w:val="00C25FD9"/>
    <w:rsid w:val="00C2686D"/>
    <w:rsid w:val="00C26B2B"/>
    <w:rsid w:val="00C279F1"/>
    <w:rsid w:val="00C27AA8"/>
    <w:rsid w:val="00C30474"/>
    <w:rsid w:val="00C30CE6"/>
    <w:rsid w:val="00C30D12"/>
    <w:rsid w:val="00C31A89"/>
    <w:rsid w:val="00C37768"/>
    <w:rsid w:val="00C4208F"/>
    <w:rsid w:val="00C4409E"/>
    <w:rsid w:val="00C4515D"/>
    <w:rsid w:val="00C45B46"/>
    <w:rsid w:val="00C469FC"/>
    <w:rsid w:val="00C50816"/>
    <w:rsid w:val="00C55824"/>
    <w:rsid w:val="00C55A9B"/>
    <w:rsid w:val="00C56720"/>
    <w:rsid w:val="00C613AD"/>
    <w:rsid w:val="00C65403"/>
    <w:rsid w:val="00C72FF3"/>
    <w:rsid w:val="00C741A8"/>
    <w:rsid w:val="00C7457C"/>
    <w:rsid w:val="00C75317"/>
    <w:rsid w:val="00C77314"/>
    <w:rsid w:val="00C7753C"/>
    <w:rsid w:val="00C77BF0"/>
    <w:rsid w:val="00C8152F"/>
    <w:rsid w:val="00C85256"/>
    <w:rsid w:val="00C87114"/>
    <w:rsid w:val="00C93187"/>
    <w:rsid w:val="00C93239"/>
    <w:rsid w:val="00C93564"/>
    <w:rsid w:val="00C94042"/>
    <w:rsid w:val="00C95AC6"/>
    <w:rsid w:val="00C965DD"/>
    <w:rsid w:val="00C97315"/>
    <w:rsid w:val="00CA427F"/>
    <w:rsid w:val="00CA49D4"/>
    <w:rsid w:val="00CB12D6"/>
    <w:rsid w:val="00CB23D9"/>
    <w:rsid w:val="00CB4D63"/>
    <w:rsid w:val="00CC2E6A"/>
    <w:rsid w:val="00CC49EB"/>
    <w:rsid w:val="00CC544D"/>
    <w:rsid w:val="00CC6464"/>
    <w:rsid w:val="00CC7217"/>
    <w:rsid w:val="00CD3986"/>
    <w:rsid w:val="00CD431A"/>
    <w:rsid w:val="00CD46E3"/>
    <w:rsid w:val="00CD4949"/>
    <w:rsid w:val="00CD765E"/>
    <w:rsid w:val="00CE2198"/>
    <w:rsid w:val="00CF03E3"/>
    <w:rsid w:val="00CF11C9"/>
    <w:rsid w:val="00CF1B9B"/>
    <w:rsid w:val="00CF6AC1"/>
    <w:rsid w:val="00CF6C72"/>
    <w:rsid w:val="00CF7060"/>
    <w:rsid w:val="00CF71CF"/>
    <w:rsid w:val="00CF781D"/>
    <w:rsid w:val="00CF7AED"/>
    <w:rsid w:val="00D0108C"/>
    <w:rsid w:val="00D042AB"/>
    <w:rsid w:val="00D04B77"/>
    <w:rsid w:val="00D06F46"/>
    <w:rsid w:val="00D10893"/>
    <w:rsid w:val="00D10D94"/>
    <w:rsid w:val="00D11B4E"/>
    <w:rsid w:val="00D12689"/>
    <w:rsid w:val="00D20041"/>
    <w:rsid w:val="00D21C39"/>
    <w:rsid w:val="00D2273B"/>
    <w:rsid w:val="00D228B5"/>
    <w:rsid w:val="00D23457"/>
    <w:rsid w:val="00D25B96"/>
    <w:rsid w:val="00D339E8"/>
    <w:rsid w:val="00D36729"/>
    <w:rsid w:val="00D4186C"/>
    <w:rsid w:val="00D45671"/>
    <w:rsid w:val="00D45AC4"/>
    <w:rsid w:val="00D47AFF"/>
    <w:rsid w:val="00D500B4"/>
    <w:rsid w:val="00D5187B"/>
    <w:rsid w:val="00D5271E"/>
    <w:rsid w:val="00D538EC"/>
    <w:rsid w:val="00D56944"/>
    <w:rsid w:val="00D56FAF"/>
    <w:rsid w:val="00D61963"/>
    <w:rsid w:val="00D630EE"/>
    <w:rsid w:val="00D6345A"/>
    <w:rsid w:val="00D63F6E"/>
    <w:rsid w:val="00D65323"/>
    <w:rsid w:val="00D65984"/>
    <w:rsid w:val="00D66079"/>
    <w:rsid w:val="00D81CB4"/>
    <w:rsid w:val="00D81D34"/>
    <w:rsid w:val="00D84966"/>
    <w:rsid w:val="00D85317"/>
    <w:rsid w:val="00D87ADD"/>
    <w:rsid w:val="00D9066B"/>
    <w:rsid w:val="00D92666"/>
    <w:rsid w:val="00DA5522"/>
    <w:rsid w:val="00DB0B6D"/>
    <w:rsid w:val="00DB22DC"/>
    <w:rsid w:val="00DB61CF"/>
    <w:rsid w:val="00DC0906"/>
    <w:rsid w:val="00DC16E0"/>
    <w:rsid w:val="00DC1944"/>
    <w:rsid w:val="00DC3E3B"/>
    <w:rsid w:val="00DC416D"/>
    <w:rsid w:val="00DC4553"/>
    <w:rsid w:val="00DC4815"/>
    <w:rsid w:val="00DD253B"/>
    <w:rsid w:val="00DD5A80"/>
    <w:rsid w:val="00DD7D19"/>
    <w:rsid w:val="00DE52C5"/>
    <w:rsid w:val="00DE59A6"/>
    <w:rsid w:val="00DE721C"/>
    <w:rsid w:val="00DF119F"/>
    <w:rsid w:val="00DF7C18"/>
    <w:rsid w:val="00DF7F32"/>
    <w:rsid w:val="00E007F1"/>
    <w:rsid w:val="00E01733"/>
    <w:rsid w:val="00E01B62"/>
    <w:rsid w:val="00E02459"/>
    <w:rsid w:val="00E02B8F"/>
    <w:rsid w:val="00E03515"/>
    <w:rsid w:val="00E0493E"/>
    <w:rsid w:val="00E0528F"/>
    <w:rsid w:val="00E0686B"/>
    <w:rsid w:val="00E079E4"/>
    <w:rsid w:val="00E1216B"/>
    <w:rsid w:val="00E13DCE"/>
    <w:rsid w:val="00E17A22"/>
    <w:rsid w:val="00E24C33"/>
    <w:rsid w:val="00E25992"/>
    <w:rsid w:val="00E26933"/>
    <w:rsid w:val="00E2784C"/>
    <w:rsid w:val="00E27904"/>
    <w:rsid w:val="00E30141"/>
    <w:rsid w:val="00E340DB"/>
    <w:rsid w:val="00E35EB1"/>
    <w:rsid w:val="00E408C3"/>
    <w:rsid w:val="00E41431"/>
    <w:rsid w:val="00E43F3E"/>
    <w:rsid w:val="00E43FBB"/>
    <w:rsid w:val="00E47ACD"/>
    <w:rsid w:val="00E53F21"/>
    <w:rsid w:val="00E60D5C"/>
    <w:rsid w:val="00E61FAC"/>
    <w:rsid w:val="00E66276"/>
    <w:rsid w:val="00E672CF"/>
    <w:rsid w:val="00E67AE1"/>
    <w:rsid w:val="00E707E8"/>
    <w:rsid w:val="00E71FF6"/>
    <w:rsid w:val="00E76E9E"/>
    <w:rsid w:val="00E82718"/>
    <w:rsid w:val="00E82A8B"/>
    <w:rsid w:val="00E839AC"/>
    <w:rsid w:val="00E856FD"/>
    <w:rsid w:val="00E86A8E"/>
    <w:rsid w:val="00E90C77"/>
    <w:rsid w:val="00E90D59"/>
    <w:rsid w:val="00E93949"/>
    <w:rsid w:val="00E93C4A"/>
    <w:rsid w:val="00E9447B"/>
    <w:rsid w:val="00E9481D"/>
    <w:rsid w:val="00E957D9"/>
    <w:rsid w:val="00E9753E"/>
    <w:rsid w:val="00EA4B97"/>
    <w:rsid w:val="00EA52D8"/>
    <w:rsid w:val="00EA7877"/>
    <w:rsid w:val="00EB1C8B"/>
    <w:rsid w:val="00EB37ED"/>
    <w:rsid w:val="00EB44B7"/>
    <w:rsid w:val="00EB666A"/>
    <w:rsid w:val="00EB6B8C"/>
    <w:rsid w:val="00EB7013"/>
    <w:rsid w:val="00EB70CF"/>
    <w:rsid w:val="00EC0778"/>
    <w:rsid w:val="00EC0C14"/>
    <w:rsid w:val="00EC226B"/>
    <w:rsid w:val="00EC53E7"/>
    <w:rsid w:val="00EC73CC"/>
    <w:rsid w:val="00ED0004"/>
    <w:rsid w:val="00ED1F78"/>
    <w:rsid w:val="00ED2149"/>
    <w:rsid w:val="00ED41C6"/>
    <w:rsid w:val="00ED436F"/>
    <w:rsid w:val="00ED5B5A"/>
    <w:rsid w:val="00ED6E5D"/>
    <w:rsid w:val="00EE71FC"/>
    <w:rsid w:val="00EE7C9C"/>
    <w:rsid w:val="00EF1EC2"/>
    <w:rsid w:val="00EF61F7"/>
    <w:rsid w:val="00EF6A6C"/>
    <w:rsid w:val="00EF71C3"/>
    <w:rsid w:val="00EF74EB"/>
    <w:rsid w:val="00F008AC"/>
    <w:rsid w:val="00F032D7"/>
    <w:rsid w:val="00F038A8"/>
    <w:rsid w:val="00F050F8"/>
    <w:rsid w:val="00F11D8F"/>
    <w:rsid w:val="00F157C0"/>
    <w:rsid w:val="00F1785C"/>
    <w:rsid w:val="00F17EA6"/>
    <w:rsid w:val="00F17EBA"/>
    <w:rsid w:val="00F264CF"/>
    <w:rsid w:val="00F30069"/>
    <w:rsid w:val="00F315DC"/>
    <w:rsid w:val="00F31D59"/>
    <w:rsid w:val="00F33992"/>
    <w:rsid w:val="00F34D87"/>
    <w:rsid w:val="00F36620"/>
    <w:rsid w:val="00F37FFB"/>
    <w:rsid w:val="00F4096A"/>
    <w:rsid w:val="00F42173"/>
    <w:rsid w:val="00F42BCB"/>
    <w:rsid w:val="00F45880"/>
    <w:rsid w:val="00F55537"/>
    <w:rsid w:val="00F60E7D"/>
    <w:rsid w:val="00F645F0"/>
    <w:rsid w:val="00F65E3D"/>
    <w:rsid w:val="00F76870"/>
    <w:rsid w:val="00F778A6"/>
    <w:rsid w:val="00F77A75"/>
    <w:rsid w:val="00F83208"/>
    <w:rsid w:val="00F852E1"/>
    <w:rsid w:val="00F85E95"/>
    <w:rsid w:val="00F862F6"/>
    <w:rsid w:val="00F90503"/>
    <w:rsid w:val="00F937B8"/>
    <w:rsid w:val="00F9632B"/>
    <w:rsid w:val="00F969B1"/>
    <w:rsid w:val="00F9731B"/>
    <w:rsid w:val="00F97A4D"/>
    <w:rsid w:val="00FA09E8"/>
    <w:rsid w:val="00FA2BC0"/>
    <w:rsid w:val="00FA4493"/>
    <w:rsid w:val="00FA465A"/>
    <w:rsid w:val="00FB0F97"/>
    <w:rsid w:val="00FB1818"/>
    <w:rsid w:val="00FB29DA"/>
    <w:rsid w:val="00FB36A8"/>
    <w:rsid w:val="00FB7D13"/>
    <w:rsid w:val="00FC0DAC"/>
    <w:rsid w:val="00FC2488"/>
    <w:rsid w:val="00FC2A65"/>
    <w:rsid w:val="00FC2B83"/>
    <w:rsid w:val="00FC2F97"/>
    <w:rsid w:val="00FD03D9"/>
    <w:rsid w:val="00FD280A"/>
    <w:rsid w:val="00FD2A5A"/>
    <w:rsid w:val="00FD2BEA"/>
    <w:rsid w:val="00FE2B7F"/>
    <w:rsid w:val="00FE3D8B"/>
    <w:rsid w:val="00FE42ED"/>
    <w:rsid w:val="00FE5B4A"/>
    <w:rsid w:val="00FE74FE"/>
    <w:rsid w:val="00FF0710"/>
    <w:rsid w:val="00FF0929"/>
    <w:rsid w:val="00FF0EF7"/>
    <w:rsid w:val="00FF6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39"/>
    <w:rPr>
      <w:sz w:val="24"/>
      <w:szCs w:val="24"/>
    </w:rPr>
  </w:style>
  <w:style w:type="paragraph" w:styleId="Heading1">
    <w:name w:val="heading 1"/>
    <w:basedOn w:val="Normal"/>
    <w:next w:val="Normal"/>
    <w:link w:val="Heading1Char"/>
    <w:qFormat/>
    <w:rsid w:val="00561A10"/>
    <w:pPr>
      <w:keepNext/>
      <w:outlineLvl w:val="0"/>
    </w:pPr>
    <w:rPr>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rPr>
  </w:style>
  <w:style w:type="character" w:customStyle="1" w:styleId="BodyTextIndent3Char">
    <w:name w:val="Body Text Indent 3 Char"/>
    <w:link w:val="BodyTextIndent3"/>
    <w:rsid w:val="007F4F39"/>
    <w:rPr>
      <w:sz w:val="16"/>
      <w:szCs w:val="16"/>
    </w:rPr>
  </w:style>
  <w:style w:type="table" w:styleId="TableGrid">
    <w:name w:val="Table Grid"/>
    <w:basedOn w:val="TableNormal"/>
    <w:rsid w:val="005E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39"/>
    <w:rPr>
      <w:sz w:val="24"/>
      <w:szCs w:val="24"/>
    </w:rPr>
  </w:style>
  <w:style w:type="paragraph" w:styleId="Heading1">
    <w:name w:val="heading 1"/>
    <w:basedOn w:val="Normal"/>
    <w:next w:val="Normal"/>
    <w:link w:val="Heading1Char"/>
    <w:qFormat/>
    <w:rsid w:val="00561A10"/>
    <w:pPr>
      <w:keepNext/>
      <w:outlineLvl w:val="0"/>
    </w:pPr>
    <w:rPr>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rPr>
  </w:style>
  <w:style w:type="character" w:customStyle="1" w:styleId="BodyTextIndent3Char">
    <w:name w:val="Body Text Indent 3 Char"/>
    <w:link w:val="BodyTextIndent3"/>
    <w:rsid w:val="007F4F39"/>
    <w:rPr>
      <w:sz w:val="16"/>
      <w:szCs w:val="16"/>
    </w:rPr>
  </w:style>
  <w:style w:type="table" w:styleId="TableGrid">
    <w:name w:val="Table Grid"/>
    <w:basedOn w:val="TableNormal"/>
    <w:rsid w:val="005E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374">
      <w:bodyDiv w:val="1"/>
      <w:marLeft w:val="0"/>
      <w:marRight w:val="0"/>
      <w:marTop w:val="0"/>
      <w:marBottom w:val="0"/>
      <w:divBdr>
        <w:top w:val="none" w:sz="0" w:space="0" w:color="auto"/>
        <w:left w:val="none" w:sz="0" w:space="0" w:color="auto"/>
        <w:bottom w:val="none" w:sz="0" w:space="0" w:color="auto"/>
        <w:right w:val="none" w:sz="0" w:space="0" w:color="auto"/>
      </w:divBdr>
    </w:div>
    <w:div w:id="46613783">
      <w:bodyDiv w:val="1"/>
      <w:marLeft w:val="0"/>
      <w:marRight w:val="0"/>
      <w:marTop w:val="0"/>
      <w:marBottom w:val="0"/>
      <w:divBdr>
        <w:top w:val="none" w:sz="0" w:space="0" w:color="auto"/>
        <w:left w:val="none" w:sz="0" w:space="0" w:color="auto"/>
        <w:bottom w:val="none" w:sz="0" w:space="0" w:color="auto"/>
        <w:right w:val="none" w:sz="0" w:space="0" w:color="auto"/>
      </w:divBdr>
    </w:div>
    <w:div w:id="69350627">
      <w:bodyDiv w:val="1"/>
      <w:marLeft w:val="0"/>
      <w:marRight w:val="0"/>
      <w:marTop w:val="0"/>
      <w:marBottom w:val="0"/>
      <w:divBdr>
        <w:top w:val="none" w:sz="0" w:space="0" w:color="auto"/>
        <w:left w:val="none" w:sz="0" w:space="0" w:color="auto"/>
        <w:bottom w:val="none" w:sz="0" w:space="0" w:color="auto"/>
        <w:right w:val="none" w:sz="0" w:space="0" w:color="auto"/>
      </w:divBdr>
    </w:div>
    <w:div w:id="190807734">
      <w:bodyDiv w:val="1"/>
      <w:marLeft w:val="0"/>
      <w:marRight w:val="0"/>
      <w:marTop w:val="0"/>
      <w:marBottom w:val="0"/>
      <w:divBdr>
        <w:top w:val="none" w:sz="0" w:space="0" w:color="auto"/>
        <w:left w:val="none" w:sz="0" w:space="0" w:color="auto"/>
        <w:bottom w:val="none" w:sz="0" w:space="0" w:color="auto"/>
        <w:right w:val="none" w:sz="0" w:space="0" w:color="auto"/>
      </w:divBdr>
    </w:div>
    <w:div w:id="261308022">
      <w:bodyDiv w:val="1"/>
      <w:marLeft w:val="0"/>
      <w:marRight w:val="0"/>
      <w:marTop w:val="0"/>
      <w:marBottom w:val="0"/>
      <w:divBdr>
        <w:top w:val="none" w:sz="0" w:space="0" w:color="auto"/>
        <w:left w:val="none" w:sz="0" w:space="0" w:color="auto"/>
        <w:bottom w:val="none" w:sz="0" w:space="0" w:color="auto"/>
        <w:right w:val="none" w:sz="0" w:space="0" w:color="auto"/>
      </w:divBdr>
    </w:div>
    <w:div w:id="595408290">
      <w:bodyDiv w:val="1"/>
      <w:marLeft w:val="0"/>
      <w:marRight w:val="0"/>
      <w:marTop w:val="0"/>
      <w:marBottom w:val="0"/>
      <w:divBdr>
        <w:top w:val="none" w:sz="0" w:space="0" w:color="auto"/>
        <w:left w:val="none" w:sz="0" w:space="0" w:color="auto"/>
        <w:bottom w:val="none" w:sz="0" w:space="0" w:color="auto"/>
        <w:right w:val="none" w:sz="0" w:space="0" w:color="auto"/>
      </w:divBdr>
    </w:div>
    <w:div w:id="774786157">
      <w:bodyDiv w:val="1"/>
      <w:marLeft w:val="0"/>
      <w:marRight w:val="0"/>
      <w:marTop w:val="0"/>
      <w:marBottom w:val="0"/>
      <w:divBdr>
        <w:top w:val="none" w:sz="0" w:space="0" w:color="auto"/>
        <w:left w:val="none" w:sz="0" w:space="0" w:color="auto"/>
        <w:bottom w:val="none" w:sz="0" w:space="0" w:color="auto"/>
        <w:right w:val="none" w:sz="0" w:space="0" w:color="auto"/>
      </w:divBdr>
    </w:div>
    <w:div w:id="807816701">
      <w:bodyDiv w:val="1"/>
      <w:marLeft w:val="0"/>
      <w:marRight w:val="0"/>
      <w:marTop w:val="0"/>
      <w:marBottom w:val="0"/>
      <w:divBdr>
        <w:top w:val="none" w:sz="0" w:space="0" w:color="auto"/>
        <w:left w:val="none" w:sz="0" w:space="0" w:color="auto"/>
        <w:bottom w:val="none" w:sz="0" w:space="0" w:color="auto"/>
        <w:right w:val="none" w:sz="0" w:space="0" w:color="auto"/>
      </w:divBdr>
    </w:div>
    <w:div w:id="911816010">
      <w:bodyDiv w:val="1"/>
      <w:marLeft w:val="0"/>
      <w:marRight w:val="0"/>
      <w:marTop w:val="0"/>
      <w:marBottom w:val="0"/>
      <w:divBdr>
        <w:top w:val="none" w:sz="0" w:space="0" w:color="auto"/>
        <w:left w:val="none" w:sz="0" w:space="0" w:color="auto"/>
        <w:bottom w:val="none" w:sz="0" w:space="0" w:color="auto"/>
        <w:right w:val="none" w:sz="0" w:space="0" w:color="auto"/>
      </w:divBdr>
    </w:div>
    <w:div w:id="1146774308">
      <w:bodyDiv w:val="1"/>
      <w:marLeft w:val="0"/>
      <w:marRight w:val="0"/>
      <w:marTop w:val="0"/>
      <w:marBottom w:val="0"/>
      <w:divBdr>
        <w:top w:val="none" w:sz="0" w:space="0" w:color="auto"/>
        <w:left w:val="none" w:sz="0" w:space="0" w:color="auto"/>
        <w:bottom w:val="none" w:sz="0" w:space="0" w:color="auto"/>
        <w:right w:val="none" w:sz="0" w:space="0" w:color="auto"/>
      </w:divBdr>
    </w:div>
    <w:div w:id="1326474654">
      <w:bodyDiv w:val="1"/>
      <w:marLeft w:val="0"/>
      <w:marRight w:val="0"/>
      <w:marTop w:val="0"/>
      <w:marBottom w:val="0"/>
      <w:divBdr>
        <w:top w:val="none" w:sz="0" w:space="0" w:color="auto"/>
        <w:left w:val="none" w:sz="0" w:space="0" w:color="auto"/>
        <w:bottom w:val="none" w:sz="0" w:space="0" w:color="auto"/>
        <w:right w:val="none" w:sz="0" w:space="0" w:color="auto"/>
      </w:divBdr>
    </w:div>
    <w:div w:id="1385518950">
      <w:bodyDiv w:val="1"/>
      <w:marLeft w:val="0"/>
      <w:marRight w:val="0"/>
      <w:marTop w:val="0"/>
      <w:marBottom w:val="0"/>
      <w:divBdr>
        <w:top w:val="none" w:sz="0" w:space="0" w:color="auto"/>
        <w:left w:val="none" w:sz="0" w:space="0" w:color="auto"/>
        <w:bottom w:val="none" w:sz="0" w:space="0" w:color="auto"/>
        <w:right w:val="none" w:sz="0" w:space="0" w:color="auto"/>
      </w:divBdr>
    </w:div>
    <w:div w:id="1443842051">
      <w:bodyDiv w:val="1"/>
      <w:marLeft w:val="0"/>
      <w:marRight w:val="0"/>
      <w:marTop w:val="0"/>
      <w:marBottom w:val="0"/>
      <w:divBdr>
        <w:top w:val="none" w:sz="0" w:space="0" w:color="auto"/>
        <w:left w:val="none" w:sz="0" w:space="0" w:color="auto"/>
        <w:bottom w:val="none" w:sz="0" w:space="0" w:color="auto"/>
        <w:right w:val="none" w:sz="0" w:space="0" w:color="auto"/>
      </w:divBdr>
    </w:div>
    <w:div w:id="1702053433">
      <w:bodyDiv w:val="1"/>
      <w:marLeft w:val="0"/>
      <w:marRight w:val="0"/>
      <w:marTop w:val="0"/>
      <w:marBottom w:val="0"/>
      <w:divBdr>
        <w:top w:val="none" w:sz="0" w:space="0" w:color="auto"/>
        <w:left w:val="none" w:sz="0" w:space="0" w:color="auto"/>
        <w:bottom w:val="none" w:sz="0" w:space="0" w:color="auto"/>
        <w:right w:val="none" w:sz="0" w:space="0" w:color="auto"/>
      </w:divBdr>
    </w:div>
    <w:div w:id="1922056028">
      <w:bodyDiv w:val="1"/>
      <w:marLeft w:val="0"/>
      <w:marRight w:val="0"/>
      <w:marTop w:val="0"/>
      <w:marBottom w:val="0"/>
      <w:divBdr>
        <w:top w:val="none" w:sz="0" w:space="0" w:color="auto"/>
        <w:left w:val="none" w:sz="0" w:space="0" w:color="auto"/>
        <w:bottom w:val="none" w:sz="0" w:space="0" w:color="auto"/>
        <w:right w:val="none" w:sz="0" w:space="0" w:color="auto"/>
      </w:divBdr>
    </w:div>
    <w:div w:id="2146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a.orehova@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17C4-8B1C-422E-A373-5D4A91AD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25574</Words>
  <Characters>14578</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2001.gada 5.jūnija noteikumos Nr.222 “Kārtība, kādā iesniedzama algas nodokļa grāmatiņa”” sākotnējās ietekmes novērtējuma ziņojums (anotācija)</vt:lpstr>
    </vt:vector>
  </TitlesOfParts>
  <Company>FM</Company>
  <LinksUpToDate>false</LinksUpToDate>
  <CharactersWithSpaces>40072</CharactersWithSpaces>
  <SharedDoc>false</SharedDoc>
  <HLinks>
    <vt:vector size="6" baseType="variant">
      <vt:variant>
        <vt:i4>7667784</vt:i4>
      </vt:variant>
      <vt:variant>
        <vt:i4>6</vt:i4>
      </vt:variant>
      <vt:variant>
        <vt:i4>0</vt:i4>
      </vt:variant>
      <vt:variant>
        <vt:i4>5</vt:i4>
      </vt:variant>
      <vt:variant>
        <vt:lpwstr>mailto:anda.orehova@fm.gov.lv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dc:title>
  <dc:subject>Anotācija</dc:subject>
  <dc:creator>Anda Orehova</dc:creator>
  <cp:keywords/>
  <dc:description>T.67095494
Anda.Orehova@fm.gov.lv</dc:description>
  <cp:lastModifiedBy>kc-siman</cp:lastModifiedBy>
  <cp:revision>3</cp:revision>
  <cp:lastPrinted>2011-11-16T14:00:00Z</cp:lastPrinted>
  <dcterms:created xsi:type="dcterms:W3CDTF">2011-11-16T14:11:00Z</dcterms:created>
  <dcterms:modified xsi:type="dcterms:W3CDTF">2011-11-17T13:53:00Z</dcterms:modified>
</cp:coreProperties>
</file>