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B4" w:rsidRPr="001338B4" w:rsidRDefault="001338B4" w:rsidP="001338B4">
      <w:pPr>
        <w:jc w:val="center"/>
        <w:rPr>
          <w:b/>
          <w:szCs w:val="28"/>
        </w:rPr>
      </w:pPr>
      <w:bookmarkStart w:id="0" w:name="OLE_LINK8"/>
      <w:bookmarkStart w:id="1" w:name="OLE_LINK7"/>
      <w:bookmarkStart w:id="2" w:name="OLE_LINK1"/>
      <w:bookmarkStart w:id="3" w:name="OLE_LINK2"/>
      <w:r w:rsidRPr="001338B4">
        <w:rPr>
          <w:b/>
          <w:szCs w:val="28"/>
        </w:rPr>
        <w:t>Ministru kabineta noteikumu projekta</w:t>
      </w:r>
    </w:p>
    <w:p w:rsidR="001338B4" w:rsidRPr="001338B4" w:rsidRDefault="001338B4" w:rsidP="001338B4">
      <w:pPr>
        <w:jc w:val="center"/>
        <w:rPr>
          <w:rFonts w:eastAsia="Times New Roman" w:cs="Times New Roman"/>
          <w:szCs w:val="28"/>
          <w:lang w:eastAsia="lv-LV"/>
        </w:rPr>
      </w:pPr>
      <w:r w:rsidRPr="001338B4">
        <w:rPr>
          <w:b/>
          <w:szCs w:val="28"/>
        </w:rPr>
        <w:t>„</w:t>
      </w:r>
      <w:r w:rsidRPr="001338B4">
        <w:rPr>
          <w:b/>
          <w:bCs/>
          <w:szCs w:val="28"/>
        </w:rPr>
        <w:t>Grozījum</w:t>
      </w:r>
      <w:r w:rsidR="00483309">
        <w:rPr>
          <w:b/>
          <w:bCs/>
          <w:szCs w:val="28"/>
        </w:rPr>
        <w:t>i</w:t>
      </w:r>
      <w:r w:rsidRPr="001338B4">
        <w:rPr>
          <w:b/>
          <w:bCs/>
          <w:szCs w:val="28"/>
        </w:rPr>
        <w:t xml:space="preserve"> Ministru kabineta 2009.gada 15.decembra noteikumos Nr.1471 „</w:t>
      </w:r>
      <w:r w:rsidRPr="001338B4">
        <w:rPr>
          <w:rFonts w:eastAsia="Times New Roman" w:cs="Times New Roman"/>
          <w:b/>
          <w:bCs/>
          <w:szCs w:val="28"/>
          <w:lang w:eastAsia="lv-LV"/>
        </w:rPr>
        <w:t>Kārtība, kādā tiek noteikta un ieskaitīta valsts budžetā izmaksājamā peļņas daļa par valsts kapitāla izmantošanu</w:t>
      </w:r>
      <w:r w:rsidRPr="001338B4">
        <w:rPr>
          <w:b/>
          <w:bCs/>
          <w:szCs w:val="28"/>
        </w:rPr>
        <w:t>””</w:t>
      </w:r>
    </w:p>
    <w:p w:rsidR="008A238C" w:rsidRPr="001338B4" w:rsidRDefault="001338B4" w:rsidP="001338B4">
      <w:pPr>
        <w:jc w:val="center"/>
        <w:rPr>
          <w:rFonts w:eastAsia="Times New Roman"/>
          <w:b/>
          <w:bCs/>
          <w:szCs w:val="28"/>
          <w:lang w:eastAsia="lv-LV"/>
        </w:rPr>
      </w:pPr>
      <w:r w:rsidRPr="001338B4">
        <w:rPr>
          <w:rFonts w:eastAsia="Times New Roman"/>
          <w:b/>
          <w:bCs/>
          <w:szCs w:val="28"/>
          <w:lang w:eastAsia="lv-LV"/>
        </w:rPr>
        <w:t>sākotnējās ietekmes novērtējuma ziņojums (anotācija)</w:t>
      </w:r>
      <w:bookmarkEnd w:id="0"/>
      <w:bookmarkEnd w:id="1"/>
    </w:p>
    <w:p w:rsidR="001338B4" w:rsidRPr="008A238C" w:rsidRDefault="001338B4" w:rsidP="001338B4">
      <w:pPr>
        <w:jc w:val="center"/>
        <w:rPr>
          <w:sz w:val="16"/>
          <w:szCs w:val="16"/>
          <w:lang w:eastAsia="lv-LV"/>
        </w:rPr>
      </w:pPr>
    </w:p>
    <w:tbl>
      <w:tblPr>
        <w:tblW w:w="10961"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2258"/>
        <w:gridCol w:w="266"/>
        <w:gridCol w:w="284"/>
        <w:gridCol w:w="970"/>
        <w:gridCol w:w="1529"/>
        <w:gridCol w:w="1201"/>
        <w:gridCol w:w="1269"/>
        <w:gridCol w:w="1061"/>
        <w:gridCol w:w="1613"/>
      </w:tblGrid>
      <w:tr w:rsidR="005A039A" w:rsidRPr="005A039A" w:rsidTr="00D05768">
        <w:trPr>
          <w:gridAfter w:val="1"/>
          <w:wAfter w:w="1613" w:type="dxa"/>
          <w:tblCellSpacing w:w="0" w:type="dxa"/>
        </w:trPr>
        <w:tc>
          <w:tcPr>
            <w:tcW w:w="9348" w:type="dxa"/>
            <w:gridSpan w:val="9"/>
            <w:tcBorders>
              <w:top w:val="outset" w:sz="6" w:space="0" w:color="auto"/>
              <w:left w:val="outset" w:sz="6" w:space="0" w:color="auto"/>
              <w:bottom w:val="outset" w:sz="6" w:space="0" w:color="auto"/>
              <w:right w:val="outset" w:sz="6" w:space="0" w:color="auto"/>
            </w:tcBorders>
            <w:vAlign w:val="center"/>
            <w:hideMark/>
          </w:tcPr>
          <w:bookmarkEnd w:id="2"/>
          <w:bookmarkEnd w:id="3"/>
          <w:p w:rsidR="005A039A" w:rsidRPr="005A039A" w:rsidRDefault="005A039A" w:rsidP="001119FE">
            <w:pPr>
              <w:jc w:val="center"/>
              <w:rPr>
                <w:rFonts w:eastAsia="Times New Roman" w:cs="Times New Roman"/>
                <w:sz w:val="24"/>
                <w:szCs w:val="24"/>
                <w:lang w:eastAsia="lv-LV"/>
              </w:rPr>
            </w:pPr>
            <w:r w:rsidRPr="005A039A">
              <w:rPr>
                <w:rFonts w:eastAsia="Times New Roman" w:cs="Times New Roman"/>
                <w:b/>
                <w:bCs/>
                <w:sz w:val="24"/>
                <w:szCs w:val="24"/>
                <w:lang w:eastAsia="lv-LV"/>
              </w:rPr>
              <w:t>I. Tiesību akta projekta izstrādes nepieciešamība</w:t>
            </w: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225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Pamatojums</w:t>
            </w:r>
          </w:p>
        </w:tc>
        <w:tc>
          <w:tcPr>
            <w:tcW w:w="6580" w:type="dxa"/>
            <w:gridSpan w:val="7"/>
            <w:tcBorders>
              <w:top w:val="outset" w:sz="6" w:space="0" w:color="auto"/>
              <w:left w:val="outset" w:sz="6" w:space="0" w:color="auto"/>
              <w:bottom w:val="outset" w:sz="6" w:space="0" w:color="auto"/>
              <w:right w:val="outset" w:sz="6" w:space="0" w:color="auto"/>
            </w:tcBorders>
            <w:hideMark/>
          </w:tcPr>
          <w:p w:rsidR="002C0D94" w:rsidRDefault="008F5DC3" w:rsidP="00D05768">
            <w:pPr>
              <w:tabs>
                <w:tab w:val="left" w:pos="306"/>
                <w:tab w:val="left" w:pos="977"/>
                <w:tab w:val="left" w:pos="1431"/>
              </w:tabs>
              <w:ind w:right="52"/>
              <w:jc w:val="both"/>
              <w:rPr>
                <w:bCs/>
                <w:sz w:val="24"/>
                <w:szCs w:val="24"/>
              </w:rPr>
            </w:pPr>
            <w:r w:rsidRPr="008F5DC3">
              <w:rPr>
                <w:bCs/>
                <w:sz w:val="24"/>
                <w:szCs w:val="24"/>
              </w:rPr>
              <w:t>Ministru kabineta 2012.gada 16.augusta sēd</w:t>
            </w:r>
            <w:r w:rsidR="001426D2">
              <w:rPr>
                <w:bCs/>
                <w:sz w:val="24"/>
                <w:szCs w:val="24"/>
              </w:rPr>
              <w:t>es protokola Nr.46 11.</w:t>
            </w:r>
            <w:r w:rsidR="001426D2">
              <w:rPr>
                <w:rFonts w:cs="Times New Roman"/>
                <w:bCs/>
                <w:sz w:val="24"/>
                <w:szCs w:val="24"/>
              </w:rPr>
              <w:t>§</w:t>
            </w:r>
            <w:r w:rsidR="001426D2">
              <w:rPr>
                <w:bCs/>
                <w:sz w:val="24"/>
                <w:szCs w:val="24"/>
              </w:rPr>
              <w:t xml:space="preserve">  8.punkts. </w:t>
            </w:r>
          </w:p>
          <w:p w:rsidR="00C33C87" w:rsidRDefault="008F5DC3" w:rsidP="00D05768">
            <w:pPr>
              <w:tabs>
                <w:tab w:val="left" w:pos="306"/>
                <w:tab w:val="left" w:pos="977"/>
                <w:tab w:val="left" w:pos="1431"/>
              </w:tabs>
              <w:ind w:right="52"/>
              <w:jc w:val="both"/>
              <w:rPr>
                <w:bCs/>
                <w:sz w:val="24"/>
                <w:szCs w:val="24"/>
              </w:rPr>
            </w:pPr>
            <w:r w:rsidRPr="008F5DC3">
              <w:rPr>
                <w:bCs/>
                <w:sz w:val="24"/>
                <w:szCs w:val="24"/>
              </w:rPr>
              <w:t xml:space="preserve"> </w:t>
            </w:r>
            <w:r w:rsidR="006A5DFE">
              <w:rPr>
                <w:bCs/>
                <w:sz w:val="24"/>
                <w:szCs w:val="24"/>
              </w:rPr>
              <w:t xml:space="preserve">Ministru kabineta </w:t>
            </w:r>
            <w:r w:rsidR="00674CFE">
              <w:rPr>
                <w:bCs/>
                <w:sz w:val="24"/>
                <w:szCs w:val="24"/>
              </w:rPr>
              <w:t>201</w:t>
            </w:r>
            <w:r w:rsidR="009C2D86">
              <w:rPr>
                <w:bCs/>
                <w:sz w:val="24"/>
                <w:szCs w:val="24"/>
              </w:rPr>
              <w:t>2</w:t>
            </w:r>
            <w:r w:rsidR="00674CFE">
              <w:rPr>
                <w:bCs/>
                <w:sz w:val="24"/>
                <w:szCs w:val="24"/>
              </w:rPr>
              <w:t xml:space="preserve">.gada </w:t>
            </w:r>
            <w:r w:rsidR="002B08C9">
              <w:rPr>
                <w:bCs/>
                <w:sz w:val="24"/>
                <w:szCs w:val="24"/>
              </w:rPr>
              <w:t>25</w:t>
            </w:r>
            <w:r w:rsidR="00674CFE">
              <w:rPr>
                <w:bCs/>
                <w:sz w:val="24"/>
                <w:szCs w:val="24"/>
              </w:rPr>
              <w:t>.</w:t>
            </w:r>
            <w:r w:rsidR="002B08C9">
              <w:rPr>
                <w:bCs/>
                <w:sz w:val="24"/>
                <w:szCs w:val="24"/>
              </w:rPr>
              <w:t>septembra</w:t>
            </w:r>
            <w:r w:rsidR="009C2D86">
              <w:rPr>
                <w:bCs/>
                <w:sz w:val="24"/>
                <w:szCs w:val="24"/>
              </w:rPr>
              <w:t xml:space="preserve"> sēd</w:t>
            </w:r>
            <w:r w:rsidR="002B08C9">
              <w:rPr>
                <w:bCs/>
                <w:sz w:val="24"/>
                <w:szCs w:val="24"/>
              </w:rPr>
              <w:t>es protokola Nr.53 51.</w:t>
            </w:r>
            <w:r w:rsidR="002B08C9">
              <w:rPr>
                <w:rFonts w:cs="Times New Roman"/>
                <w:bCs/>
                <w:sz w:val="24"/>
                <w:szCs w:val="24"/>
              </w:rPr>
              <w:t>§</w:t>
            </w:r>
            <w:r w:rsidR="002B08C9">
              <w:rPr>
                <w:bCs/>
                <w:sz w:val="24"/>
                <w:szCs w:val="24"/>
              </w:rPr>
              <w:t xml:space="preserve"> 4.punkts.</w:t>
            </w:r>
          </w:p>
          <w:p w:rsidR="006C38B6" w:rsidRDefault="006C38B6" w:rsidP="00D05768">
            <w:pPr>
              <w:tabs>
                <w:tab w:val="left" w:pos="306"/>
                <w:tab w:val="left" w:pos="977"/>
                <w:tab w:val="left" w:pos="1431"/>
              </w:tabs>
              <w:ind w:right="52"/>
              <w:jc w:val="both"/>
              <w:rPr>
                <w:bCs/>
                <w:sz w:val="24"/>
                <w:szCs w:val="24"/>
              </w:rPr>
            </w:pPr>
            <w:r>
              <w:rPr>
                <w:rStyle w:val="spelle"/>
                <w:sz w:val="24"/>
                <w:szCs w:val="24"/>
              </w:rPr>
              <w:t xml:space="preserve">Saeimā </w:t>
            </w:r>
            <w:r w:rsidR="009A0809">
              <w:rPr>
                <w:rStyle w:val="spelle"/>
                <w:sz w:val="24"/>
                <w:szCs w:val="24"/>
              </w:rPr>
              <w:t xml:space="preserve">2012.gada 15.decembrī pieņemtais likums </w:t>
            </w:r>
            <w:r>
              <w:rPr>
                <w:rStyle w:val="spelle"/>
                <w:sz w:val="24"/>
                <w:szCs w:val="24"/>
              </w:rPr>
              <w:t xml:space="preserve">„Par </w:t>
            </w:r>
            <w:r w:rsidRPr="00EF0822">
              <w:rPr>
                <w:bCs/>
                <w:sz w:val="24"/>
                <w:szCs w:val="24"/>
              </w:rPr>
              <w:t>vidēja termiņa budžeta ietvaru 2013.</w:t>
            </w:r>
            <w:r w:rsidR="009A0809">
              <w:rPr>
                <w:bCs/>
                <w:sz w:val="24"/>
                <w:szCs w:val="24"/>
              </w:rPr>
              <w:t xml:space="preserve">, 2014. un </w:t>
            </w:r>
            <w:r w:rsidRPr="00EF0822">
              <w:rPr>
                <w:bCs/>
                <w:sz w:val="24"/>
                <w:szCs w:val="24"/>
              </w:rPr>
              <w:t>2015.gadam”</w:t>
            </w:r>
            <w:r w:rsidR="00D05768">
              <w:rPr>
                <w:bCs/>
                <w:sz w:val="24"/>
                <w:szCs w:val="24"/>
              </w:rPr>
              <w:t>.</w:t>
            </w:r>
          </w:p>
          <w:p w:rsidR="006C38B6" w:rsidRPr="008264EB" w:rsidRDefault="006C38B6" w:rsidP="00D05768">
            <w:pPr>
              <w:tabs>
                <w:tab w:val="left" w:pos="306"/>
                <w:tab w:val="left" w:pos="977"/>
                <w:tab w:val="left" w:pos="1431"/>
              </w:tabs>
              <w:ind w:right="52"/>
              <w:jc w:val="both"/>
              <w:rPr>
                <w:rFonts w:eastAsia="Times New Roman" w:cs="Times New Roman"/>
                <w:sz w:val="24"/>
                <w:szCs w:val="24"/>
                <w:lang w:eastAsia="lv-LV"/>
              </w:rPr>
            </w:pP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79410D" w:rsidP="005F0EFE">
            <w:pPr>
              <w:rPr>
                <w:rFonts w:eastAsia="Times New Roman" w:cs="Times New Roman"/>
                <w:sz w:val="24"/>
                <w:szCs w:val="24"/>
                <w:lang w:eastAsia="lv-LV"/>
              </w:rPr>
            </w:pPr>
            <w:r>
              <w:rPr>
                <w:rFonts w:eastAsia="Times New Roman" w:cs="Times New Roman"/>
                <w:sz w:val="24"/>
                <w:szCs w:val="24"/>
                <w:lang w:eastAsia="lv-LV"/>
              </w:rPr>
              <w:t xml:space="preserve">   </w:t>
            </w:r>
            <w:r w:rsidR="007D6062">
              <w:rPr>
                <w:rFonts w:eastAsia="Times New Roman" w:cs="Times New Roman"/>
                <w:sz w:val="24"/>
                <w:szCs w:val="24"/>
                <w:lang w:eastAsia="lv-LV"/>
              </w:rPr>
              <w:t>2.</w:t>
            </w:r>
          </w:p>
        </w:tc>
        <w:tc>
          <w:tcPr>
            <w:tcW w:w="225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rPr>
                <w:rFonts w:eastAsia="Times New Roman" w:cs="Times New Roman"/>
                <w:sz w:val="24"/>
                <w:szCs w:val="24"/>
                <w:lang w:eastAsia="lv-LV"/>
              </w:rPr>
            </w:pPr>
            <w:r w:rsidRPr="005A039A">
              <w:rPr>
                <w:rFonts w:eastAsia="Times New Roman" w:cs="Times New Roman"/>
                <w:sz w:val="24"/>
                <w:szCs w:val="24"/>
                <w:lang w:eastAsia="lv-LV"/>
              </w:rPr>
              <w:t xml:space="preserve">Pašreizējā situācija un </w:t>
            </w:r>
            <w:r w:rsidR="00C33C87">
              <w:rPr>
                <w:rFonts w:eastAsia="Times New Roman" w:cs="Times New Roman"/>
                <w:sz w:val="24"/>
                <w:szCs w:val="24"/>
                <w:lang w:eastAsia="lv-LV"/>
              </w:rPr>
              <w:t xml:space="preserve">   </w:t>
            </w:r>
            <w:r w:rsidRPr="005A039A">
              <w:rPr>
                <w:rFonts w:eastAsia="Times New Roman" w:cs="Times New Roman"/>
                <w:sz w:val="24"/>
                <w:szCs w:val="24"/>
                <w:lang w:eastAsia="lv-LV"/>
              </w:rPr>
              <w:t>problēmas</w:t>
            </w:r>
          </w:p>
        </w:tc>
        <w:tc>
          <w:tcPr>
            <w:tcW w:w="6580" w:type="dxa"/>
            <w:gridSpan w:val="7"/>
            <w:tcBorders>
              <w:top w:val="outset" w:sz="6" w:space="0" w:color="auto"/>
              <w:left w:val="outset" w:sz="6" w:space="0" w:color="auto"/>
              <w:bottom w:val="outset" w:sz="6" w:space="0" w:color="auto"/>
              <w:right w:val="outset" w:sz="6" w:space="0" w:color="auto"/>
            </w:tcBorders>
            <w:hideMark/>
          </w:tcPr>
          <w:p w:rsidR="006A5DFE" w:rsidRDefault="00450FB7" w:rsidP="00D05768">
            <w:pPr>
              <w:tabs>
                <w:tab w:val="left" w:pos="194"/>
              </w:tabs>
              <w:ind w:right="52"/>
              <w:jc w:val="both"/>
              <w:rPr>
                <w:sz w:val="24"/>
                <w:szCs w:val="24"/>
              </w:rPr>
            </w:pPr>
            <w:r w:rsidRPr="009C2D86">
              <w:rPr>
                <w:sz w:val="24"/>
                <w:szCs w:val="24"/>
              </w:rPr>
              <w:t xml:space="preserve">Minimālā dividendēs izmaksājamā peļņas daļa par 2013.gadu un turpmāk </w:t>
            </w:r>
            <w:r w:rsidR="002C0D94">
              <w:rPr>
                <w:sz w:val="24"/>
                <w:szCs w:val="24"/>
              </w:rPr>
              <w:t xml:space="preserve">atbilstoši Ministru kabineta 2009.gada 15.decembra noteikumiem Nr.1471 „Kārtība, kādā tiek noteikta un ieskaitīta valsts budžetā izmaksājamā peļņas daļa par valsts kapitāla izmantošanu” </w:t>
            </w:r>
            <w:r w:rsidR="006C38B6">
              <w:rPr>
                <w:sz w:val="24"/>
                <w:szCs w:val="24"/>
              </w:rPr>
              <w:t xml:space="preserve">(turpmāk – MK noteikumi Nr.1471) </w:t>
            </w:r>
            <w:r w:rsidRPr="009C2D86">
              <w:rPr>
                <w:sz w:val="24"/>
                <w:szCs w:val="24"/>
              </w:rPr>
              <w:t>valsts kapitālsabiedrībām ir 27% no attiecīgās kapitālsabiedrības tīrās peļņas (līdzšinējo 90% vietā), kas nozīmē mazākus ieņēmumus valsts budžetā 2014. gadā un turpmāk.</w:t>
            </w:r>
          </w:p>
          <w:p w:rsidR="002C0D94" w:rsidRDefault="002C0D94" w:rsidP="002C0D94">
            <w:pPr>
              <w:tabs>
                <w:tab w:val="left" w:pos="194"/>
              </w:tabs>
              <w:ind w:left="194" w:right="52"/>
              <w:jc w:val="both"/>
              <w:rPr>
                <w:bCs/>
                <w:sz w:val="24"/>
                <w:szCs w:val="24"/>
              </w:rPr>
            </w:pPr>
          </w:p>
          <w:p w:rsidR="002C0D94" w:rsidRDefault="002C0D94" w:rsidP="00D05768">
            <w:pPr>
              <w:tabs>
                <w:tab w:val="left" w:pos="306"/>
                <w:tab w:val="left" w:pos="977"/>
                <w:tab w:val="left" w:pos="1431"/>
              </w:tabs>
              <w:ind w:right="52"/>
              <w:jc w:val="both"/>
              <w:rPr>
                <w:bCs/>
                <w:sz w:val="24"/>
                <w:szCs w:val="24"/>
              </w:rPr>
            </w:pPr>
            <w:r w:rsidRPr="008F5DC3">
              <w:rPr>
                <w:bCs/>
                <w:sz w:val="24"/>
                <w:szCs w:val="24"/>
              </w:rPr>
              <w:t>Ministru kabineta 2012.gada 16.augusta sēd</w:t>
            </w:r>
            <w:r>
              <w:rPr>
                <w:bCs/>
                <w:sz w:val="24"/>
                <w:szCs w:val="24"/>
              </w:rPr>
              <w:t>ē, lemjot par valsts budžeta prioritārajiem pasākumiem 2013.-2015.gadam</w:t>
            </w:r>
            <w:r w:rsidRPr="008F5DC3">
              <w:rPr>
                <w:bCs/>
                <w:sz w:val="24"/>
                <w:szCs w:val="24"/>
              </w:rPr>
              <w:t xml:space="preserve"> Finanšu ministrijai </w:t>
            </w:r>
            <w:r>
              <w:rPr>
                <w:bCs/>
                <w:sz w:val="24"/>
                <w:szCs w:val="24"/>
              </w:rPr>
              <w:t xml:space="preserve">tika uzdots </w:t>
            </w:r>
            <w:r w:rsidRPr="008F5DC3">
              <w:rPr>
                <w:bCs/>
                <w:sz w:val="24"/>
                <w:szCs w:val="24"/>
              </w:rPr>
              <w:t>izvērtēt finanšu līdzekļu pārdales ietekmi uz vispārējās valdības budžeta deficīta (atbilstoši EKS 95) apjomiem 2014. un 2015.gadā un nepieciešamības gadījumā iesniegt Ministru kabinetā priekšlikumus par tālāko rīcību, tai skaitā izvērtējot iespējas noteikt maksājumiem par valsts kapitāla izmantošanu likmi 80% apmērā 2014.gadā un 70% 2015.gadā.</w:t>
            </w:r>
          </w:p>
          <w:p w:rsidR="002C0D94" w:rsidRDefault="002C0D94" w:rsidP="002C0D94">
            <w:pPr>
              <w:tabs>
                <w:tab w:val="left" w:pos="194"/>
              </w:tabs>
              <w:ind w:left="194" w:right="52"/>
              <w:jc w:val="both"/>
              <w:rPr>
                <w:sz w:val="24"/>
                <w:szCs w:val="24"/>
              </w:rPr>
            </w:pPr>
          </w:p>
          <w:p w:rsidR="002C0D94" w:rsidRDefault="002C0D94" w:rsidP="002C0D94">
            <w:pPr>
              <w:jc w:val="both"/>
              <w:rPr>
                <w:rStyle w:val="spelle"/>
                <w:sz w:val="24"/>
                <w:szCs w:val="24"/>
              </w:rPr>
            </w:pPr>
            <w:r w:rsidRPr="002C0D94">
              <w:rPr>
                <w:bCs/>
                <w:sz w:val="24"/>
                <w:szCs w:val="24"/>
              </w:rPr>
              <w:t>M</w:t>
            </w:r>
            <w:r w:rsidRPr="006C38B6">
              <w:rPr>
                <w:bCs/>
                <w:sz w:val="24"/>
                <w:szCs w:val="24"/>
              </w:rPr>
              <w:t xml:space="preserve">inistru kabineta 2012.gada 25.septembra sēdē, izskatot likumprojektu </w:t>
            </w:r>
            <w:r w:rsidRPr="00354405">
              <w:rPr>
                <w:bCs/>
                <w:sz w:val="24"/>
                <w:szCs w:val="24"/>
              </w:rPr>
              <w:t>„Par valsts budžetu 2013.gadam</w:t>
            </w:r>
            <w:r w:rsidRPr="00851E95">
              <w:rPr>
                <w:bCs/>
                <w:sz w:val="24"/>
                <w:szCs w:val="24"/>
              </w:rPr>
              <w:t>”</w:t>
            </w:r>
            <w:r w:rsidRPr="00E90C80">
              <w:rPr>
                <w:bCs/>
                <w:sz w:val="24"/>
                <w:szCs w:val="24"/>
              </w:rPr>
              <w:t xml:space="preserve"> un likumprojektu </w:t>
            </w:r>
            <w:r w:rsidRPr="002C0D94">
              <w:rPr>
                <w:bCs/>
                <w:sz w:val="24"/>
                <w:szCs w:val="24"/>
              </w:rPr>
              <w:t xml:space="preserve">„Par vidēja termiņa budžeta ietvaru 2013.-2015.gadam” tika nolemts, ka </w:t>
            </w:r>
            <w:r w:rsidR="006C38B6">
              <w:rPr>
                <w:rStyle w:val="spelle"/>
                <w:sz w:val="24"/>
                <w:szCs w:val="24"/>
              </w:rPr>
              <w:t>m</w:t>
            </w:r>
            <w:r w:rsidRPr="00D05768">
              <w:rPr>
                <w:rStyle w:val="spelle"/>
                <w:sz w:val="24"/>
                <w:szCs w:val="24"/>
              </w:rPr>
              <w:t>inimālo dividendēs izmaksājamo peļņas daļu par 2012., 2013. un 2014.gada pārskata gadu valsts izšķirošā ietekmē esošām kapitālsabiedrībām (tajā skaitā netiešā izšķirošā ietekmē esošām kapitālsabiedrībām) nosaka un aprēķina 50 procentu apmērā, bet kapitālsabiedrībām, kurās visas kapitāla daļas tieši vai pastarpināti pieder valstij – minimālo dividendēs izmaksājamo peļņas daļu nosaka un aprēķina šādi: 2013. gadā (par 2012.gada pārskata gadu) 90 procentu apmērā, 2014. gadā (par 2013.gada pārskata gadu) 80 procentu apmērā un 2015. gadā (par 2014.gada pārskata gadu) - 70 procentu apmērā no attiecīgās kapitālsabiedrības tīrās peļņas, ja valsts budžeta likumā kārtējam gadam nav noteikts citādi.</w:t>
            </w:r>
          </w:p>
          <w:p w:rsidR="002C0D94" w:rsidRDefault="006C38B6" w:rsidP="00444A51">
            <w:pPr>
              <w:jc w:val="both"/>
              <w:rPr>
                <w:sz w:val="24"/>
                <w:szCs w:val="24"/>
              </w:rPr>
            </w:pPr>
            <w:r>
              <w:rPr>
                <w:rStyle w:val="spelle"/>
                <w:sz w:val="24"/>
                <w:szCs w:val="24"/>
              </w:rPr>
              <w:t xml:space="preserve">Līdz ar to arī Saeimā 2012.gada 15.novembrī 2.lasījumā pieņemtajā likumā „Par </w:t>
            </w:r>
            <w:r w:rsidRPr="00EF0822">
              <w:rPr>
                <w:bCs/>
                <w:sz w:val="24"/>
                <w:szCs w:val="24"/>
              </w:rPr>
              <w:t>vidēja termiņa budžeta ietvaru 2013.</w:t>
            </w:r>
            <w:r w:rsidR="009A0809">
              <w:rPr>
                <w:bCs/>
                <w:sz w:val="24"/>
                <w:szCs w:val="24"/>
              </w:rPr>
              <w:t>, 2014. un</w:t>
            </w:r>
            <w:r w:rsidRPr="00EF0822">
              <w:rPr>
                <w:bCs/>
                <w:sz w:val="24"/>
                <w:szCs w:val="24"/>
              </w:rPr>
              <w:t>2015.gadam”</w:t>
            </w:r>
            <w:r>
              <w:rPr>
                <w:bCs/>
                <w:sz w:val="24"/>
                <w:szCs w:val="24"/>
              </w:rPr>
              <w:t xml:space="preserve"> </w:t>
            </w:r>
            <w:r w:rsidR="00444A51">
              <w:rPr>
                <w:bCs/>
                <w:sz w:val="24"/>
                <w:szCs w:val="24"/>
              </w:rPr>
              <w:t xml:space="preserve">ieņēmumos no dividendēm 2014. un 2015. gadam </w:t>
            </w:r>
            <w:r>
              <w:rPr>
                <w:bCs/>
                <w:sz w:val="24"/>
                <w:szCs w:val="24"/>
              </w:rPr>
              <w:lastRenderedPageBreak/>
              <w:t>ir iekļautas prognozes</w:t>
            </w:r>
            <w:r w:rsidR="00444A51">
              <w:rPr>
                <w:bCs/>
                <w:sz w:val="24"/>
                <w:szCs w:val="24"/>
              </w:rPr>
              <w:t xml:space="preserve"> saskaņā ar MK </w:t>
            </w:r>
            <w:r w:rsidR="00444A51" w:rsidRPr="00444A51">
              <w:rPr>
                <w:bCs/>
                <w:sz w:val="24"/>
                <w:szCs w:val="24"/>
              </w:rPr>
              <w:t>2012.gada 25.septembra sēdē</w:t>
            </w:r>
            <w:r w:rsidR="00444A51">
              <w:rPr>
                <w:bCs/>
                <w:sz w:val="24"/>
                <w:szCs w:val="24"/>
              </w:rPr>
              <w:t xml:space="preserve"> pieņemto lēmumu par minimālajām dividendēs izmaksājamām peļņas apmēru daļām.</w:t>
            </w:r>
            <w:r>
              <w:rPr>
                <w:bCs/>
                <w:sz w:val="24"/>
                <w:szCs w:val="24"/>
              </w:rPr>
              <w:t xml:space="preserve"> </w:t>
            </w:r>
            <w:r w:rsidR="00444A51" w:rsidRPr="006A5DFE">
              <w:rPr>
                <w:sz w:val="24"/>
                <w:szCs w:val="24"/>
              </w:rPr>
              <w:t xml:space="preserve"> </w:t>
            </w:r>
          </w:p>
          <w:p w:rsidR="00444A51" w:rsidRPr="006A5DFE" w:rsidRDefault="00444A51" w:rsidP="00444A51">
            <w:pPr>
              <w:jc w:val="both"/>
              <w:rPr>
                <w:sz w:val="24"/>
                <w:szCs w:val="24"/>
              </w:rPr>
            </w:pP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lastRenderedPageBreak/>
              <w:t> 3.</w:t>
            </w:r>
          </w:p>
        </w:tc>
        <w:tc>
          <w:tcPr>
            <w:tcW w:w="225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rPr>
                <w:rFonts w:eastAsia="Times New Roman" w:cs="Times New Roman"/>
                <w:sz w:val="24"/>
                <w:szCs w:val="24"/>
                <w:lang w:eastAsia="lv-LV"/>
              </w:rPr>
            </w:pPr>
            <w:r w:rsidRPr="005A039A">
              <w:rPr>
                <w:rFonts w:eastAsia="Times New Roman" w:cs="Times New Roman"/>
                <w:sz w:val="24"/>
                <w:szCs w:val="24"/>
                <w:lang w:eastAsia="lv-LV"/>
              </w:rPr>
              <w:t xml:space="preserve"> Saistītie politikas </w:t>
            </w:r>
            <w:r w:rsidR="00563363">
              <w:rPr>
                <w:rFonts w:eastAsia="Times New Roman" w:cs="Times New Roman"/>
                <w:sz w:val="24"/>
                <w:szCs w:val="24"/>
                <w:lang w:eastAsia="lv-LV"/>
              </w:rPr>
              <w:t xml:space="preserve"> </w:t>
            </w:r>
            <w:r w:rsidRPr="005A039A">
              <w:rPr>
                <w:rFonts w:eastAsia="Times New Roman" w:cs="Times New Roman"/>
                <w:sz w:val="24"/>
                <w:szCs w:val="24"/>
                <w:lang w:eastAsia="lv-LV"/>
              </w:rPr>
              <w:t>ietekmes novērtējumi un pētījumi</w:t>
            </w:r>
          </w:p>
        </w:tc>
        <w:tc>
          <w:tcPr>
            <w:tcW w:w="6580" w:type="dxa"/>
            <w:gridSpan w:val="7"/>
            <w:tcBorders>
              <w:top w:val="outset" w:sz="6" w:space="0" w:color="auto"/>
              <w:left w:val="outset" w:sz="6" w:space="0" w:color="auto"/>
              <w:bottom w:val="outset" w:sz="6" w:space="0" w:color="auto"/>
              <w:right w:val="outset" w:sz="6" w:space="0" w:color="auto"/>
            </w:tcBorders>
            <w:hideMark/>
          </w:tcPr>
          <w:p w:rsidR="0070128C" w:rsidRPr="005A039A" w:rsidRDefault="00903433" w:rsidP="001E5245">
            <w:pPr>
              <w:ind w:right="52"/>
              <w:jc w:val="both"/>
              <w:rPr>
                <w:rFonts w:eastAsia="Times New Roman" w:cs="Times New Roman"/>
                <w:sz w:val="24"/>
                <w:szCs w:val="24"/>
                <w:lang w:eastAsia="lv-LV"/>
              </w:rPr>
            </w:pPr>
            <w:r>
              <w:rPr>
                <w:rFonts w:eastAsia="Times New Roman" w:cs="Times New Roman"/>
                <w:sz w:val="24"/>
                <w:szCs w:val="24"/>
                <w:lang w:eastAsia="lv-LV"/>
              </w:rPr>
              <w:t>Nav attiecināms</w:t>
            </w:r>
            <w:r w:rsidR="00845E11" w:rsidRPr="00845E11">
              <w:rPr>
                <w:sz w:val="24"/>
                <w:szCs w:val="24"/>
              </w:rPr>
              <w:t xml:space="preserve"> </w:t>
            </w:r>
          </w:p>
        </w:tc>
      </w:tr>
      <w:tr w:rsidR="005A039A" w:rsidRPr="005A039A" w:rsidTr="00D05768">
        <w:trPr>
          <w:gridAfter w:val="1"/>
          <w:wAfter w:w="1613" w:type="dxa"/>
          <w:trHeight w:val="3806"/>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225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ind w:left="25" w:hanging="25"/>
              <w:rPr>
                <w:rFonts w:eastAsia="Times New Roman" w:cs="Times New Roman"/>
                <w:sz w:val="24"/>
                <w:szCs w:val="24"/>
                <w:lang w:eastAsia="lv-LV"/>
              </w:rPr>
            </w:pPr>
            <w:r w:rsidRPr="005A039A">
              <w:rPr>
                <w:rFonts w:eastAsia="Times New Roman" w:cs="Times New Roman"/>
                <w:sz w:val="24"/>
                <w:szCs w:val="24"/>
                <w:lang w:eastAsia="lv-LV"/>
              </w:rPr>
              <w:t> Tiesiskā regulējuma mērķis un būtība</w:t>
            </w:r>
          </w:p>
        </w:tc>
        <w:tc>
          <w:tcPr>
            <w:tcW w:w="6580" w:type="dxa"/>
            <w:gridSpan w:val="7"/>
            <w:tcBorders>
              <w:top w:val="outset" w:sz="6" w:space="0" w:color="auto"/>
              <w:left w:val="outset" w:sz="6" w:space="0" w:color="auto"/>
              <w:bottom w:val="outset" w:sz="6" w:space="0" w:color="auto"/>
              <w:right w:val="outset" w:sz="6" w:space="0" w:color="auto"/>
            </w:tcBorders>
            <w:hideMark/>
          </w:tcPr>
          <w:p w:rsidR="00354405" w:rsidRDefault="001338B4" w:rsidP="00916A27">
            <w:pPr>
              <w:jc w:val="both"/>
              <w:rPr>
                <w:sz w:val="24"/>
                <w:szCs w:val="24"/>
              </w:rPr>
            </w:pPr>
            <w:r>
              <w:rPr>
                <w:sz w:val="24"/>
                <w:szCs w:val="24"/>
              </w:rPr>
              <w:t>Noteikumu projekts</w:t>
            </w:r>
            <w:r w:rsidR="008264EB" w:rsidRPr="001338B4">
              <w:rPr>
                <w:sz w:val="24"/>
                <w:szCs w:val="24"/>
              </w:rPr>
              <w:t xml:space="preserve"> paredz</w:t>
            </w:r>
            <w:r w:rsidR="006C38B6">
              <w:rPr>
                <w:sz w:val="24"/>
                <w:szCs w:val="24"/>
              </w:rPr>
              <w:t xml:space="preserve"> papildināt MK noteikumus Nr.1471 ar </w:t>
            </w:r>
            <w:r w:rsidR="00354405">
              <w:rPr>
                <w:sz w:val="24"/>
                <w:szCs w:val="24"/>
              </w:rPr>
              <w:t>4.</w:t>
            </w:r>
            <w:r w:rsidR="00354405">
              <w:rPr>
                <w:sz w:val="24"/>
                <w:szCs w:val="24"/>
                <w:vertAlign w:val="superscript"/>
              </w:rPr>
              <w:t xml:space="preserve">2 </w:t>
            </w:r>
            <w:r w:rsidR="00354405">
              <w:rPr>
                <w:sz w:val="24"/>
                <w:szCs w:val="24"/>
              </w:rPr>
              <w:t>punktu, kas nosaka, ka</w:t>
            </w:r>
            <w:r>
              <w:rPr>
                <w:sz w:val="24"/>
                <w:szCs w:val="24"/>
              </w:rPr>
              <w:t>:</w:t>
            </w:r>
          </w:p>
          <w:p w:rsidR="00354405" w:rsidRPr="00D05768" w:rsidRDefault="002B08C9" w:rsidP="00D05768">
            <w:pPr>
              <w:jc w:val="both"/>
              <w:rPr>
                <w:sz w:val="24"/>
                <w:szCs w:val="24"/>
              </w:rPr>
            </w:pPr>
            <w:r w:rsidRPr="00D05768">
              <w:rPr>
                <w:rFonts w:cs="Times New Roman"/>
                <w:sz w:val="24"/>
                <w:szCs w:val="24"/>
                <w:lang w:eastAsia="lv-LV"/>
              </w:rPr>
              <w:t>Minimālo dividendēs izmaksājamo peļņas daļu par 2013. un 2014.gada pārskata gadu valsts izšķirošā ietekmē esošām kapitālsabiedrībām (tajā skaitā netiešā izšķirošā ietekmē esošām kapitālsabiedrībām) nosaka un aprēķina 50 procentu apmērā, bet kapitālsabiedrībām, kurās visas kapitāla daļas tieši vai pastarpināti pieder valstij – minimālo dividendēs izmaksājamo peļņas daļu nosaka un aprēķina šādi: 2014.</w:t>
            </w:r>
            <w:r w:rsidR="00792BD1" w:rsidRPr="00D05768">
              <w:rPr>
                <w:rFonts w:cs="Times New Roman"/>
                <w:sz w:val="24"/>
                <w:szCs w:val="24"/>
                <w:lang w:eastAsia="lv-LV"/>
              </w:rPr>
              <w:t> </w:t>
            </w:r>
            <w:r w:rsidRPr="00D05768">
              <w:rPr>
                <w:rFonts w:cs="Times New Roman"/>
                <w:sz w:val="24"/>
                <w:szCs w:val="24"/>
                <w:lang w:eastAsia="lv-LV"/>
              </w:rPr>
              <w:t xml:space="preserve">gadā (par 2013.gada pārskata gadu) 80 procentu apmērā  un 2015. gadā (par 2014.gada pārskata gadu) </w:t>
            </w:r>
            <w:r w:rsidR="00792BD1" w:rsidRPr="00D05768">
              <w:rPr>
                <w:rFonts w:cs="Times New Roman"/>
                <w:sz w:val="24"/>
                <w:szCs w:val="24"/>
                <w:lang w:eastAsia="lv-LV"/>
              </w:rPr>
              <w:t>–</w:t>
            </w:r>
            <w:r w:rsidRPr="00D05768">
              <w:rPr>
                <w:rFonts w:cs="Times New Roman"/>
                <w:sz w:val="24"/>
                <w:szCs w:val="24"/>
                <w:lang w:eastAsia="lv-LV"/>
              </w:rPr>
              <w:t xml:space="preserve"> 70</w:t>
            </w:r>
            <w:r w:rsidR="00792BD1" w:rsidRPr="00D05768">
              <w:rPr>
                <w:rFonts w:cs="Times New Roman"/>
                <w:sz w:val="24"/>
                <w:szCs w:val="24"/>
                <w:lang w:eastAsia="lv-LV"/>
              </w:rPr>
              <w:t> </w:t>
            </w:r>
            <w:r w:rsidRPr="00D05768">
              <w:rPr>
                <w:rFonts w:cs="Times New Roman"/>
                <w:sz w:val="24"/>
                <w:szCs w:val="24"/>
                <w:lang w:eastAsia="lv-LV"/>
              </w:rPr>
              <w:t>procentu apmērā no attiecīgās kapitālsabiedrības tīrās peļņas, ja valsts budžeta likumā kārtējam gadam nav noteikts citādi.</w:t>
            </w:r>
          </w:p>
          <w:p w:rsidR="00354405" w:rsidRDefault="00354405" w:rsidP="00D05768">
            <w:pPr>
              <w:jc w:val="both"/>
              <w:rPr>
                <w:sz w:val="24"/>
                <w:szCs w:val="24"/>
              </w:rPr>
            </w:pPr>
            <w:r w:rsidRPr="00D05768">
              <w:rPr>
                <w:sz w:val="24"/>
                <w:szCs w:val="24"/>
              </w:rPr>
              <w:t>Noteikumu projekts arī paredz veikt redakcionālus grozījumus</w:t>
            </w:r>
            <w:r>
              <w:rPr>
                <w:sz w:val="24"/>
                <w:szCs w:val="24"/>
              </w:rPr>
              <w:t xml:space="preserve"> MK noteikumu Nr.1471 </w:t>
            </w:r>
            <w:r w:rsidRPr="00D05768">
              <w:rPr>
                <w:sz w:val="24"/>
                <w:szCs w:val="24"/>
              </w:rPr>
              <w:t xml:space="preserve">3. un 5.punktā, lai tajos  iekļautu atsauci uz noteikumu </w:t>
            </w:r>
            <w:r>
              <w:rPr>
                <w:sz w:val="24"/>
                <w:szCs w:val="24"/>
              </w:rPr>
              <w:t>4.</w:t>
            </w:r>
            <w:r w:rsidRPr="00D05768">
              <w:rPr>
                <w:sz w:val="24"/>
                <w:szCs w:val="24"/>
                <w:vertAlign w:val="superscript"/>
              </w:rPr>
              <w:t>2</w:t>
            </w:r>
            <w:r w:rsidRPr="00D05768">
              <w:rPr>
                <w:sz w:val="24"/>
                <w:szCs w:val="24"/>
              </w:rPr>
              <w:t xml:space="preserve"> </w:t>
            </w:r>
            <w:r>
              <w:rPr>
                <w:sz w:val="24"/>
                <w:szCs w:val="24"/>
              </w:rPr>
              <w:t>punktu</w:t>
            </w:r>
            <w:r w:rsidRPr="00D05768">
              <w:rPr>
                <w:sz w:val="24"/>
                <w:szCs w:val="24"/>
              </w:rPr>
              <w:t>.</w:t>
            </w:r>
          </w:p>
          <w:p w:rsidR="00D05768" w:rsidRPr="00D05768" w:rsidRDefault="00D05768" w:rsidP="00D05768">
            <w:pPr>
              <w:jc w:val="both"/>
              <w:rPr>
                <w:sz w:val="24"/>
                <w:szCs w:val="24"/>
              </w:rPr>
            </w:pP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5.</w:t>
            </w:r>
          </w:p>
        </w:tc>
        <w:tc>
          <w:tcPr>
            <w:tcW w:w="225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Projekta izstrādē iesaistītās institūcijas</w:t>
            </w:r>
          </w:p>
        </w:tc>
        <w:tc>
          <w:tcPr>
            <w:tcW w:w="6580" w:type="dxa"/>
            <w:gridSpan w:val="7"/>
            <w:tcBorders>
              <w:top w:val="outset" w:sz="6" w:space="0" w:color="auto"/>
              <w:left w:val="outset" w:sz="6" w:space="0" w:color="auto"/>
              <w:bottom w:val="outset" w:sz="6" w:space="0" w:color="auto"/>
              <w:right w:val="outset" w:sz="6" w:space="0" w:color="auto"/>
            </w:tcBorders>
            <w:hideMark/>
          </w:tcPr>
          <w:p w:rsidR="00E24E81" w:rsidRPr="00566CC9" w:rsidRDefault="00C85F36" w:rsidP="00A848A1">
            <w:pPr>
              <w:ind w:left="126" w:hanging="126"/>
              <w:rPr>
                <w:sz w:val="24"/>
                <w:szCs w:val="24"/>
                <w:lang w:eastAsia="lv-LV"/>
              </w:rPr>
            </w:pPr>
            <w:r w:rsidRPr="00566CC9">
              <w:rPr>
                <w:sz w:val="24"/>
                <w:szCs w:val="24"/>
                <w:lang w:eastAsia="lv-LV"/>
              </w:rPr>
              <w:t xml:space="preserve"> </w:t>
            </w:r>
            <w:r w:rsidR="00A848A1" w:rsidRPr="00A848A1">
              <w:rPr>
                <w:sz w:val="24"/>
                <w:szCs w:val="24"/>
                <w:lang w:eastAsia="lv-LV"/>
              </w:rPr>
              <w:t>Nav attiecināms</w:t>
            </w: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6.</w:t>
            </w:r>
          </w:p>
        </w:tc>
        <w:tc>
          <w:tcPr>
            <w:tcW w:w="225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Iemesli, kādēļ netika nodrošināta sabiedrības līdzdalība</w:t>
            </w:r>
          </w:p>
        </w:tc>
        <w:tc>
          <w:tcPr>
            <w:tcW w:w="6580" w:type="dxa"/>
            <w:gridSpan w:val="7"/>
            <w:tcBorders>
              <w:top w:val="outset" w:sz="6" w:space="0" w:color="auto"/>
              <w:left w:val="outset" w:sz="6" w:space="0" w:color="auto"/>
              <w:bottom w:val="outset" w:sz="6" w:space="0" w:color="auto"/>
              <w:right w:val="outset" w:sz="6" w:space="0" w:color="auto"/>
            </w:tcBorders>
            <w:hideMark/>
          </w:tcPr>
          <w:p w:rsidR="005A039A" w:rsidRDefault="00C85F36" w:rsidP="00851E95">
            <w:pPr>
              <w:jc w:val="both"/>
              <w:rPr>
                <w:sz w:val="24"/>
                <w:szCs w:val="24"/>
                <w:lang w:eastAsia="lv-LV"/>
              </w:rPr>
            </w:pPr>
            <w:r w:rsidRPr="00566CC9">
              <w:rPr>
                <w:color w:val="000000"/>
                <w:sz w:val="24"/>
                <w:szCs w:val="24"/>
              </w:rPr>
              <w:t xml:space="preserve"> </w:t>
            </w:r>
            <w:r w:rsidR="00851E95">
              <w:rPr>
                <w:sz w:val="24"/>
                <w:szCs w:val="24"/>
                <w:lang w:eastAsia="lv-LV"/>
              </w:rPr>
              <w:t xml:space="preserve">Noteikumu projekts </w:t>
            </w:r>
            <w:r w:rsidR="00851E95" w:rsidRPr="007554AD">
              <w:rPr>
                <w:sz w:val="24"/>
                <w:szCs w:val="24"/>
                <w:lang w:eastAsia="lv-LV"/>
              </w:rPr>
              <w:t>attiecas uz valsts</w:t>
            </w:r>
            <w:r w:rsidR="00851E95">
              <w:rPr>
                <w:sz w:val="24"/>
                <w:szCs w:val="24"/>
                <w:lang w:eastAsia="lv-LV"/>
              </w:rPr>
              <w:t xml:space="preserve"> izšķirošā ietekmē esošo kapitālsabiedrību un kapitālsabiedrību, kurās visas kapitāla daļas tieši vai pastarpināti pieder valstij,</w:t>
            </w:r>
            <w:r w:rsidR="00851E95" w:rsidRPr="007554AD">
              <w:rPr>
                <w:sz w:val="24"/>
                <w:szCs w:val="24"/>
                <w:lang w:eastAsia="lv-LV"/>
              </w:rPr>
              <w:t xml:space="preserve"> </w:t>
            </w:r>
            <w:r w:rsidR="00851E95">
              <w:rPr>
                <w:sz w:val="24"/>
                <w:szCs w:val="24"/>
                <w:lang w:eastAsia="lv-LV"/>
              </w:rPr>
              <w:t>dividenžu apmēra noteikšanu</w:t>
            </w:r>
            <w:r w:rsidR="00851E95" w:rsidRPr="007554AD">
              <w:rPr>
                <w:sz w:val="24"/>
                <w:szCs w:val="24"/>
                <w:lang w:eastAsia="lv-LV"/>
              </w:rPr>
              <w:t>, kurā sabiedrība tieši netiek iesaistīta.</w:t>
            </w:r>
          </w:p>
          <w:p w:rsidR="00D05768" w:rsidRPr="00566CC9" w:rsidRDefault="00D05768" w:rsidP="00851E95">
            <w:pPr>
              <w:jc w:val="both"/>
              <w:rPr>
                <w:rFonts w:eastAsia="Times New Roman" w:cs="Times New Roman"/>
                <w:sz w:val="24"/>
                <w:szCs w:val="24"/>
                <w:lang w:eastAsia="lv-LV"/>
              </w:rPr>
            </w:pP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7.</w:t>
            </w:r>
          </w:p>
        </w:tc>
        <w:tc>
          <w:tcPr>
            <w:tcW w:w="2258"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6580" w:type="dxa"/>
            <w:gridSpan w:val="7"/>
            <w:tcBorders>
              <w:top w:val="outset" w:sz="6" w:space="0" w:color="auto"/>
              <w:left w:val="outset" w:sz="6" w:space="0" w:color="auto"/>
              <w:bottom w:val="outset" w:sz="6" w:space="0" w:color="auto"/>
              <w:right w:val="outset" w:sz="6" w:space="0" w:color="auto"/>
            </w:tcBorders>
            <w:hideMark/>
          </w:tcPr>
          <w:p w:rsidR="00912059"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Nav</w:t>
            </w:r>
          </w:p>
        </w:tc>
      </w:tr>
      <w:tr w:rsidR="005A039A" w:rsidRPr="005A039A" w:rsidTr="00D05768">
        <w:trPr>
          <w:gridAfter w:val="1"/>
          <w:wAfter w:w="1613" w:type="dxa"/>
          <w:tblCellSpacing w:w="0" w:type="dxa"/>
        </w:trPr>
        <w:tc>
          <w:tcPr>
            <w:tcW w:w="9348" w:type="dxa"/>
            <w:gridSpan w:val="9"/>
            <w:tcBorders>
              <w:top w:val="outset" w:sz="6" w:space="0" w:color="auto"/>
              <w:left w:val="outset" w:sz="6" w:space="0" w:color="auto"/>
              <w:bottom w:val="outset" w:sz="6" w:space="0" w:color="auto"/>
              <w:right w:val="outset" w:sz="6" w:space="0" w:color="auto"/>
            </w:tcBorders>
            <w:vAlign w:val="center"/>
            <w:hideMark/>
          </w:tcPr>
          <w:p w:rsidR="00912059" w:rsidRPr="001119FE" w:rsidRDefault="005A039A" w:rsidP="00912059">
            <w:pPr>
              <w:jc w:val="center"/>
              <w:rPr>
                <w:rFonts w:eastAsia="Times New Roman" w:cs="Times New Roman"/>
                <w:b/>
                <w:sz w:val="24"/>
                <w:szCs w:val="24"/>
                <w:lang w:eastAsia="lv-LV"/>
              </w:rPr>
            </w:pPr>
            <w:r w:rsidRPr="001119FE">
              <w:rPr>
                <w:rFonts w:eastAsia="Times New Roman" w:cs="Times New Roman"/>
                <w:b/>
                <w:sz w:val="24"/>
                <w:szCs w:val="24"/>
                <w:lang w:eastAsia="lv-LV"/>
              </w:rPr>
              <w:t>II. Tiesību akta projekta ietekme uz sabiedrību</w:t>
            </w: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1.</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xml:space="preserve"> Sabiedrības </w:t>
            </w:r>
            <w:proofErr w:type="spellStart"/>
            <w:r w:rsidRPr="005A039A">
              <w:rPr>
                <w:rFonts w:eastAsia="Times New Roman" w:cs="Times New Roman"/>
                <w:sz w:val="24"/>
                <w:szCs w:val="24"/>
                <w:lang w:eastAsia="lv-LV"/>
              </w:rPr>
              <w:t>mērķgrupa</w:t>
            </w:r>
            <w:proofErr w:type="spellEnd"/>
          </w:p>
        </w:tc>
        <w:tc>
          <w:tcPr>
            <w:tcW w:w="6030" w:type="dxa"/>
            <w:gridSpan w:val="5"/>
            <w:tcBorders>
              <w:top w:val="outset" w:sz="6" w:space="0" w:color="auto"/>
              <w:left w:val="outset" w:sz="6" w:space="0" w:color="auto"/>
              <w:bottom w:val="outset" w:sz="6" w:space="0" w:color="auto"/>
              <w:right w:val="outset" w:sz="6" w:space="0" w:color="auto"/>
            </w:tcBorders>
            <w:hideMark/>
          </w:tcPr>
          <w:p w:rsidR="00444A51" w:rsidRPr="00915520" w:rsidRDefault="00851E95" w:rsidP="00444A51">
            <w:pPr>
              <w:ind w:right="52"/>
              <w:jc w:val="both"/>
              <w:rPr>
                <w:rFonts w:eastAsia="Times New Roman" w:cs="Times New Roman"/>
                <w:sz w:val="24"/>
                <w:szCs w:val="24"/>
                <w:lang w:eastAsia="lv-LV"/>
              </w:rPr>
            </w:pPr>
            <w:r>
              <w:rPr>
                <w:sz w:val="24"/>
                <w:szCs w:val="24"/>
                <w:lang w:eastAsia="lv-LV"/>
              </w:rPr>
              <w:t>V</w:t>
            </w:r>
            <w:r w:rsidRPr="007554AD">
              <w:rPr>
                <w:sz w:val="24"/>
                <w:szCs w:val="24"/>
                <w:lang w:eastAsia="lv-LV"/>
              </w:rPr>
              <w:t>alsts</w:t>
            </w:r>
            <w:r>
              <w:rPr>
                <w:sz w:val="24"/>
                <w:szCs w:val="24"/>
                <w:lang w:eastAsia="lv-LV"/>
              </w:rPr>
              <w:t xml:space="preserve"> izšķirošā ietekmē esošās kapitālsabiedrības un kapitālsabiedrības, kurās visas kapitāla daļas tieši vai pastarpināti pieder valstij</w:t>
            </w:r>
            <w:r w:rsidR="00D05768">
              <w:rPr>
                <w:sz w:val="24"/>
                <w:szCs w:val="24"/>
                <w:lang w:eastAsia="lv-LV"/>
              </w:rPr>
              <w:t>.</w:t>
            </w: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2.</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xml:space="preserve"> Citas sabiedrības grupas (bez </w:t>
            </w:r>
            <w:proofErr w:type="spellStart"/>
            <w:r w:rsidRPr="005A039A">
              <w:rPr>
                <w:rFonts w:eastAsia="Times New Roman" w:cs="Times New Roman"/>
                <w:sz w:val="24"/>
                <w:szCs w:val="24"/>
                <w:lang w:eastAsia="lv-LV"/>
              </w:rPr>
              <w:t>mērķgrupas</w:t>
            </w:r>
            <w:proofErr w:type="spellEnd"/>
            <w:r w:rsidRPr="005A039A">
              <w:rPr>
                <w:rFonts w:eastAsia="Times New Roman" w:cs="Times New Roman"/>
                <w:sz w:val="24"/>
                <w:szCs w:val="24"/>
                <w:lang w:eastAsia="lv-LV"/>
              </w:rPr>
              <w:t>), kuras tiesiskais regulējums arī ietekmē vai varētu ietekmēt</w:t>
            </w:r>
          </w:p>
        </w:tc>
        <w:tc>
          <w:tcPr>
            <w:tcW w:w="6030" w:type="dxa"/>
            <w:gridSpan w:val="5"/>
            <w:tcBorders>
              <w:top w:val="outset" w:sz="6" w:space="0" w:color="auto"/>
              <w:left w:val="outset" w:sz="6" w:space="0" w:color="auto"/>
              <w:bottom w:val="outset" w:sz="6" w:space="0" w:color="auto"/>
              <w:right w:val="outset" w:sz="6" w:space="0" w:color="auto"/>
            </w:tcBorders>
            <w:hideMark/>
          </w:tcPr>
          <w:p w:rsidR="005A039A" w:rsidRPr="008264EB" w:rsidRDefault="00E41C8D" w:rsidP="00A503FA">
            <w:pPr>
              <w:tabs>
                <w:tab w:val="left" w:pos="190"/>
              </w:tabs>
              <w:snapToGrid w:val="0"/>
              <w:jc w:val="both"/>
              <w:rPr>
                <w:color w:val="000000"/>
                <w:sz w:val="24"/>
                <w:szCs w:val="24"/>
              </w:rPr>
            </w:pPr>
            <w:r w:rsidRPr="009231B6">
              <w:rPr>
                <w:color w:val="000000"/>
                <w:sz w:val="24"/>
                <w:szCs w:val="24"/>
              </w:rPr>
              <w:t>Nav attiecināms</w:t>
            </w: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3.</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Tiesiskā regulējuma finansiālā ietekme</w:t>
            </w:r>
          </w:p>
        </w:tc>
        <w:tc>
          <w:tcPr>
            <w:tcW w:w="6030" w:type="dxa"/>
            <w:gridSpan w:val="5"/>
            <w:tcBorders>
              <w:top w:val="outset" w:sz="6" w:space="0" w:color="auto"/>
              <w:left w:val="outset" w:sz="6" w:space="0" w:color="auto"/>
              <w:bottom w:val="outset" w:sz="6" w:space="0" w:color="auto"/>
              <w:right w:val="outset" w:sz="6" w:space="0" w:color="auto"/>
            </w:tcBorders>
            <w:hideMark/>
          </w:tcPr>
          <w:p w:rsidR="005A039A" w:rsidRPr="009231B6" w:rsidRDefault="009231B6" w:rsidP="005F0EFE">
            <w:pPr>
              <w:rPr>
                <w:rFonts w:eastAsia="Times New Roman" w:cs="Times New Roman"/>
                <w:sz w:val="24"/>
                <w:szCs w:val="24"/>
                <w:lang w:eastAsia="lv-LV"/>
              </w:rPr>
            </w:pPr>
            <w:r w:rsidRPr="009231B6">
              <w:rPr>
                <w:color w:val="000000"/>
                <w:sz w:val="24"/>
                <w:szCs w:val="24"/>
              </w:rPr>
              <w:t>Nav attiecināms</w:t>
            </w: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4.</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Tiesiskā regulējuma nefinansiālā ietekme</w:t>
            </w:r>
          </w:p>
        </w:tc>
        <w:tc>
          <w:tcPr>
            <w:tcW w:w="6030" w:type="dxa"/>
            <w:gridSpan w:val="5"/>
            <w:tcBorders>
              <w:top w:val="outset" w:sz="6" w:space="0" w:color="auto"/>
              <w:left w:val="outset" w:sz="6" w:space="0" w:color="auto"/>
              <w:bottom w:val="outset" w:sz="6" w:space="0" w:color="auto"/>
              <w:right w:val="outset" w:sz="6" w:space="0" w:color="auto"/>
            </w:tcBorders>
            <w:hideMark/>
          </w:tcPr>
          <w:p w:rsidR="005A039A" w:rsidRPr="00DE676A" w:rsidRDefault="008264EB" w:rsidP="005F0EFE">
            <w:pPr>
              <w:rPr>
                <w:rFonts w:eastAsia="Times New Roman" w:cs="Times New Roman"/>
                <w:sz w:val="24"/>
                <w:szCs w:val="24"/>
                <w:lang w:eastAsia="lv-LV"/>
              </w:rPr>
            </w:pPr>
            <w:r w:rsidRPr="009231B6">
              <w:rPr>
                <w:color w:val="000000"/>
                <w:sz w:val="24"/>
                <w:szCs w:val="24"/>
              </w:rPr>
              <w:t>Nav attiecināms</w:t>
            </w: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5.</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Administratīvās procedūras raksturojums</w:t>
            </w:r>
          </w:p>
        </w:tc>
        <w:tc>
          <w:tcPr>
            <w:tcW w:w="6030" w:type="dxa"/>
            <w:gridSpan w:val="5"/>
            <w:tcBorders>
              <w:top w:val="outset" w:sz="6" w:space="0" w:color="auto"/>
              <w:left w:val="outset" w:sz="6" w:space="0" w:color="auto"/>
              <w:bottom w:val="outset" w:sz="6" w:space="0" w:color="auto"/>
              <w:right w:val="outset" w:sz="6" w:space="0" w:color="auto"/>
            </w:tcBorders>
            <w:hideMark/>
          </w:tcPr>
          <w:p w:rsidR="002F231C" w:rsidRPr="005A039A" w:rsidRDefault="008264EB" w:rsidP="002F231C">
            <w:pPr>
              <w:ind w:left="126" w:right="52" w:hanging="126"/>
              <w:jc w:val="both"/>
              <w:rPr>
                <w:rFonts w:eastAsia="Times New Roman" w:cs="Times New Roman"/>
                <w:lang w:eastAsia="lv-LV"/>
              </w:rPr>
            </w:pPr>
            <w:r w:rsidRPr="009231B6">
              <w:rPr>
                <w:color w:val="000000"/>
                <w:sz w:val="24"/>
                <w:szCs w:val="24"/>
              </w:rPr>
              <w:t>Nav attiecināms</w:t>
            </w:r>
            <w:r w:rsidRPr="005A039A">
              <w:rPr>
                <w:rFonts w:eastAsia="Times New Roman" w:cs="Times New Roman"/>
                <w:lang w:eastAsia="lv-LV"/>
              </w:rPr>
              <w:t xml:space="preserve"> </w:t>
            </w: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6.</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Administratīvo izmaksu monetārs novērtējums</w:t>
            </w:r>
          </w:p>
        </w:tc>
        <w:tc>
          <w:tcPr>
            <w:tcW w:w="6030" w:type="dxa"/>
            <w:gridSpan w:val="5"/>
            <w:tcBorders>
              <w:top w:val="outset" w:sz="6" w:space="0" w:color="auto"/>
              <w:left w:val="outset" w:sz="6" w:space="0" w:color="auto"/>
              <w:bottom w:val="outset" w:sz="6" w:space="0" w:color="auto"/>
              <w:right w:val="outset" w:sz="6" w:space="0" w:color="auto"/>
            </w:tcBorders>
            <w:hideMark/>
          </w:tcPr>
          <w:p w:rsidR="00912059" w:rsidRDefault="00B60C0D" w:rsidP="005F0EFE">
            <w:pPr>
              <w:rPr>
                <w:color w:val="000000"/>
                <w:sz w:val="24"/>
                <w:szCs w:val="24"/>
              </w:rPr>
            </w:pPr>
            <w:r w:rsidRPr="009231B6">
              <w:rPr>
                <w:color w:val="000000"/>
                <w:sz w:val="24"/>
                <w:szCs w:val="24"/>
              </w:rPr>
              <w:t>Nav attiecināms</w:t>
            </w:r>
          </w:p>
          <w:p w:rsidR="00912059" w:rsidRPr="005A039A" w:rsidRDefault="00912059" w:rsidP="005F0EFE">
            <w:pPr>
              <w:rPr>
                <w:rFonts w:eastAsia="Times New Roman" w:cs="Times New Roman"/>
                <w:sz w:val="24"/>
                <w:szCs w:val="24"/>
                <w:lang w:eastAsia="lv-LV"/>
              </w:rPr>
            </w:pPr>
          </w:p>
        </w:tc>
      </w:tr>
      <w:tr w:rsidR="005A039A" w:rsidRPr="005A039A" w:rsidTr="00D05768">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5A039A" w:rsidRDefault="005A039A" w:rsidP="005F0EFE">
            <w:pPr>
              <w:rPr>
                <w:rFonts w:eastAsia="Times New Roman" w:cs="Times New Roman"/>
                <w:sz w:val="24"/>
                <w:szCs w:val="24"/>
                <w:lang w:eastAsia="lv-LV"/>
              </w:rPr>
            </w:pPr>
            <w:r w:rsidRPr="005A039A">
              <w:rPr>
                <w:rFonts w:eastAsia="Times New Roman" w:cs="Times New Roman"/>
                <w:sz w:val="24"/>
                <w:szCs w:val="24"/>
                <w:lang w:eastAsia="lv-LV"/>
              </w:rPr>
              <w:t> 7.</w:t>
            </w:r>
          </w:p>
        </w:tc>
        <w:tc>
          <w:tcPr>
            <w:tcW w:w="2808" w:type="dxa"/>
            <w:gridSpan w:val="3"/>
            <w:tcBorders>
              <w:top w:val="outset" w:sz="6" w:space="0" w:color="auto"/>
              <w:left w:val="outset" w:sz="6" w:space="0" w:color="auto"/>
              <w:bottom w:val="outset" w:sz="6" w:space="0" w:color="auto"/>
              <w:right w:val="outset" w:sz="6" w:space="0" w:color="auto"/>
            </w:tcBorders>
            <w:hideMark/>
          </w:tcPr>
          <w:p w:rsidR="00912059" w:rsidRPr="005A039A" w:rsidRDefault="005A039A" w:rsidP="00CD537F">
            <w:pPr>
              <w:rPr>
                <w:rFonts w:eastAsia="Times New Roman" w:cs="Times New Roman"/>
                <w:sz w:val="24"/>
                <w:szCs w:val="24"/>
                <w:lang w:eastAsia="lv-LV"/>
              </w:rPr>
            </w:pPr>
            <w:r w:rsidRPr="005A039A">
              <w:rPr>
                <w:rFonts w:eastAsia="Times New Roman" w:cs="Times New Roman"/>
                <w:sz w:val="24"/>
                <w:szCs w:val="24"/>
                <w:lang w:eastAsia="lv-LV"/>
              </w:rPr>
              <w:t> Cita informācija</w:t>
            </w:r>
          </w:p>
        </w:tc>
        <w:tc>
          <w:tcPr>
            <w:tcW w:w="6030" w:type="dxa"/>
            <w:gridSpan w:val="5"/>
            <w:tcBorders>
              <w:top w:val="outset" w:sz="6" w:space="0" w:color="auto"/>
              <w:left w:val="outset" w:sz="6" w:space="0" w:color="auto"/>
              <w:bottom w:val="outset" w:sz="6" w:space="0" w:color="auto"/>
              <w:right w:val="outset" w:sz="6" w:space="0" w:color="auto"/>
            </w:tcBorders>
            <w:hideMark/>
          </w:tcPr>
          <w:p w:rsidR="0002353E" w:rsidRPr="0002353E" w:rsidRDefault="00D05768" w:rsidP="00D05768">
            <w:pPr>
              <w:jc w:val="both"/>
              <w:rPr>
                <w:rFonts w:eastAsia="Times New Roman" w:cs="Times New Roman"/>
                <w:sz w:val="24"/>
                <w:szCs w:val="24"/>
                <w:lang w:eastAsia="lv-LV"/>
              </w:rPr>
            </w:pPr>
            <w:r>
              <w:rPr>
                <w:rFonts w:eastAsia="Times New Roman" w:cs="Times New Roman"/>
                <w:sz w:val="24"/>
                <w:szCs w:val="24"/>
                <w:lang w:eastAsia="lv-LV"/>
              </w:rPr>
              <w:t xml:space="preserve"> </w:t>
            </w:r>
            <w:r w:rsidR="00004CCF">
              <w:rPr>
                <w:rFonts w:eastAsia="Times New Roman" w:cs="Times New Roman"/>
                <w:sz w:val="24"/>
                <w:szCs w:val="24"/>
                <w:lang w:eastAsia="lv-LV"/>
              </w:rPr>
              <w:t>Nav</w:t>
            </w:r>
            <w:r w:rsidR="0002353E" w:rsidRPr="0002353E">
              <w:rPr>
                <w:color w:val="000000"/>
                <w:sz w:val="24"/>
                <w:szCs w:val="24"/>
              </w:rPr>
              <w:t xml:space="preserve"> </w:t>
            </w:r>
            <w:r w:rsidR="0002353E" w:rsidRPr="0002353E">
              <w:rPr>
                <w:rFonts w:eastAsia="Times New Roman" w:cs="Times New Roman"/>
                <w:sz w:val="24"/>
                <w:szCs w:val="24"/>
                <w:lang w:eastAsia="lv-LV"/>
              </w:rPr>
              <w:t>attiecināms</w:t>
            </w:r>
          </w:p>
          <w:p w:rsidR="00CA4DC4" w:rsidRPr="00CA4DC4" w:rsidRDefault="00CA4DC4" w:rsidP="005F0EFE">
            <w:pPr>
              <w:ind w:left="126"/>
              <w:jc w:val="both"/>
              <w:rPr>
                <w:rFonts w:eastAsia="Times New Roman" w:cs="Times New Roman"/>
                <w:sz w:val="24"/>
                <w:szCs w:val="24"/>
                <w:lang w:eastAsia="lv-LV"/>
              </w:rPr>
            </w:pPr>
          </w:p>
        </w:tc>
      </w:tr>
      <w:tr w:rsidR="00450FB7" w:rsidRPr="00450FB7" w:rsidTr="00D05768">
        <w:trPr>
          <w:gridAfter w:val="1"/>
          <w:wAfter w:w="1613" w:type="dxa"/>
          <w:trHeight w:val="50"/>
          <w:tblCellSpacing w:w="0" w:type="dxa"/>
        </w:trPr>
        <w:tc>
          <w:tcPr>
            <w:tcW w:w="9348" w:type="dxa"/>
            <w:gridSpan w:val="9"/>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jc w:val="center"/>
              <w:rPr>
                <w:rFonts w:eastAsia="Times New Roman" w:cs="Times New Roman"/>
                <w:b/>
                <w:sz w:val="24"/>
                <w:szCs w:val="24"/>
                <w:lang w:eastAsia="lv-LV"/>
              </w:rPr>
            </w:pPr>
            <w:r w:rsidRPr="00D05768">
              <w:rPr>
                <w:rFonts w:eastAsia="Times New Roman" w:cs="Times New Roman"/>
                <w:b/>
                <w:sz w:val="24"/>
                <w:szCs w:val="24"/>
                <w:lang w:eastAsia="lv-LV"/>
              </w:rPr>
              <w:lastRenderedPageBreak/>
              <w:t>III. Tiesību akta projekta ietekme uz valsts budžetu un pašvaldību budžetiem</w:t>
            </w:r>
          </w:p>
        </w:tc>
      </w:tr>
      <w:tr w:rsidR="00450FB7" w:rsidRPr="00450FB7" w:rsidTr="00D05768">
        <w:trPr>
          <w:gridAfter w:val="1"/>
          <w:wAfter w:w="1613" w:type="dxa"/>
          <w:tblCellSpacing w:w="0" w:type="dxa"/>
        </w:trPr>
        <w:tc>
          <w:tcPr>
            <w:tcW w:w="3034"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b/>
                <w:bCs/>
                <w:sz w:val="24"/>
                <w:szCs w:val="24"/>
                <w:lang w:eastAsia="lv-LV"/>
              </w:rPr>
              <w:t>Rādītāji</w:t>
            </w:r>
          </w:p>
        </w:tc>
        <w:tc>
          <w:tcPr>
            <w:tcW w:w="2783"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b/>
                <w:bCs/>
                <w:sz w:val="24"/>
                <w:szCs w:val="24"/>
                <w:lang w:eastAsia="lv-LV"/>
              </w:rPr>
              <w:t>2012</w:t>
            </w:r>
          </w:p>
        </w:tc>
        <w:tc>
          <w:tcPr>
            <w:tcW w:w="3531" w:type="dxa"/>
            <w:gridSpan w:val="3"/>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Turpmākie trīs gadi (</w:t>
            </w:r>
            <w:proofErr w:type="spellStart"/>
            <w:r w:rsidRPr="00D05768">
              <w:rPr>
                <w:rFonts w:eastAsia="Times New Roman" w:cs="Times New Roman"/>
                <w:sz w:val="24"/>
                <w:szCs w:val="24"/>
                <w:lang w:eastAsia="lv-LV"/>
              </w:rPr>
              <w:t>tūkst</w:t>
            </w:r>
            <w:proofErr w:type="spellEnd"/>
            <w:r w:rsidRPr="00D05768">
              <w:rPr>
                <w:rFonts w:eastAsia="Times New Roman" w:cs="Times New Roman"/>
                <w:sz w:val="24"/>
                <w:szCs w:val="24"/>
                <w:lang w:eastAsia="lv-LV"/>
              </w:rPr>
              <w:t>. latu)</w:t>
            </w:r>
          </w:p>
        </w:tc>
      </w:tr>
      <w:tr w:rsidR="00450FB7" w:rsidRPr="00450FB7" w:rsidTr="00D05768">
        <w:trPr>
          <w:gridAfter w:val="1"/>
          <w:wAfter w:w="1613" w:type="dxa"/>
          <w:trHeight w:val="168"/>
          <w:tblCellSpacing w:w="0" w:type="dxa"/>
        </w:trPr>
        <w:tc>
          <w:tcPr>
            <w:tcW w:w="3034" w:type="dxa"/>
            <w:gridSpan w:val="3"/>
            <w:vMerge/>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rPr>
                <w:rFonts w:eastAsia="Times New Roman" w:cs="Times New Roman"/>
                <w:sz w:val="24"/>
                <w:szCs w:val="24"/>
                <w:lang w:eastAsia="lv-LV"/>
              </w:rPr>
            </w:pPr>
          </w:p>
        </w:tc>
        <w:tc>
          <w:tcPr>
            <w:tcW w:w="2783" w:type="dxa"/>
            <w:gridSpan w:val="3"/>
            <w:vMerge/>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rPr>
                <w:rFonts w:eastAsia="Times New Roman" w:cs="Times New Roman"/>
                <w:sz w:val="24"/>
                <w:szCs w:val="24"/>
                <w:lang w:eastAsia="lv-LV"/>
              </w:rPr>
            </w:pPr>
          </w:p>
        </w:tc>
        <w:tc>
          <w:tcPr>
            <w:tcW w:w="1201" w:type="dxa"/>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2013</w:t>
            </w:r>
          </w:p>
        </w:tc>
        <w:tc>
          <w:tcPr>
            <w:tcW w:w="1269" w:type="dxa"/>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2014</w:t>
            </w:r>
          </w:p>
        </w:tc>
        <w:tc>
          <w:tcPr>
            <w:tcW w:w="1061" w:type="dxa"/>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2015</w:t>
            </w:r>
          </w:p>
        </w:tc>
      </w:tr>
      <w:tr w:rsidR="00450FB7" w:rsidRPr="00450FB7" w:rsidTr="00D05768">
        <w:trPr>
          <w:gridAfter w:val="1"/>
          <w:wAfter w:w="1613" w:type="dxa"/>
          <w:tblCellSpacing w:w="0" w:type="dxa"/>
        </w:trPr>
        <w:tc>
          <w:tcPr>
            <w:tcW w:w="3034" w:type="dxa"/>
            <w:gridSpan w:val="3"/>
            <w:vMerge/>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rPr>
                <w:rFonts w:eastAsia="Times New Roman" w:cs="Times New Roman"/>
                <w:sz w:val="24"/>
                <w:szCs w:val="24"/>
                <w:lang w:eastAsia="lv-LV"/>
              </w:rPr>
            </w:pPr>
          </w:p>
        </w:tc>
        <w:tc>
          <w:tcPr>
            <w:tcW w:w="1254" w:type="dxa"/>
            <w:gridSpan w:val="2"/>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Saskaņā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ind w:right="68"/>
              <w:jc w:val="center"/>
              <w:rPr>
                <w:rFonts w:eastAsia="Times New Roman" w:cs="Times New Roman"/>
                <w:sz w:val="24"/>
                <w:szCs w:val="24"/>
                <w:lang w:eastAsia="lv-LV"/>
              </w:rPr>
            </w:pPr>
            <w:r w:rsidRPr="00D05768">
              <w:rPr>
                <w:rFonts w:eastAsia="Times New Roman" w:cs="Times New Roman"/>
                <w:sz w:val="24"/>
                <w:szCs w:val="24"/>
                <w:lang w:eastAsia="lv-LV"/>
              </w:rPr>
              <w:t>Izmaiņas kārtējā gadā, salīdzinot ar budžetu kārtējam gadam</w:t>
            </w:r>
          </w:p>
        </w:tc>
        <w:tc>
          <w:tcPr>
            <w:tcW w:w="1201" w:type="dxa"/>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ind w:left="43" w:hanging="43"/>
              <w:jc w:val="center"/>
              <w:rPr>
                <w:rFonts w:eastAsia="Times New Roman" w:cs="Times New Roman"/>
                <w:sz w:val="24"/>
                <w:szCs w:val="24"/>
                <w:lang w:eastAsia="lv-LV"/>
              </w:rPr>
            </w:pPr>
            <w:r w:rsidRPr="00D05768">
              <w:rPr>
                <w:rFonts w:eastAsia="Times New Roman" w:cs="Times New Roman"/>
                <w:sz w:val="24"/>
                <w:szCs w:val="24"/>
              </w:rPr>
              <w:t>Izmaiņas, salīdzinot ar kārtējo (n) gadu</w:t>
            </w:r>
          </w:p>
        </w:tc>
        <w:tc>
          <w:tcPr>
            <w:tcW w:w="1269" w:type="dxa"/>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Izmaiņas, salīdzinot ar kārtējo (n) gadu</w:t>
            </w:r>
          </w:p>
        </w:tc>
        <w:tc>
          <w:tcPr>
            <w:tcW w:w="1061" w:type="dxa"/>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Izmaiņas, salīdzinot ar kārtējo (n) gadu</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1</w:t>
            </w:r>
          </w:p>
        </w:tc>
        <w:tc>
          <w:tcPr>
            <w:tcW w:w="1254" w:type="dxa"/>
            <w:gridSpan w:val="2"/>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3</w:t>
            </w:r>
          </w:p>
        </w:tc>
        <w:tc>
          <w:tcPr>
            <w:tcW w:w="1201" w:type="dxa"/>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4</w:t>
            </w:r>
          </w:p>
        </w:tc>
        <w:tc>
          <w:tcPr>
            <w:tcW w:w="1269" w:type="dxa"/>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5</w:t>
            </w:r>
          </w:p>
        </w:tc>
        <w:tc>
          <w:tcPr>
            <w:tcW w:w="1061" w:type="dxa"/>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6</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1. Budžeta ieņēmumi:</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D05768" w:rsidRDefault="002B08C9" w:rsidP="002B08C9">
            <w:pPr>
              <w:jc w:val="center"/>
              <w:rPr>
                <w:rFonts w:eastAsia="Times New Roman" w:cs="Times New Roman"/>
                <w:sz w:val="24"/>
                <w:szCs w:val="24"/>
                <w:lang w:eastAsia="lv-LV"/>
              </w:rPr>
            </w:pPr>
            <w:r w:rsidRPr="00D05768">
              <w:rPr>
                <w:rFonts w:eastAsia="Times New Roman" w:cs="Times New Roman"/>
                <w:sz w:val="24"/>
                <w:szCs w:val="24"/>
                <w:lang w:eastAsia="lv-LV"/>
              </w:rPr>
              <w:t>125</w:t>
            </w:r>
            <w:r w:rsidR="00200ED3" w:rsidRPr="00D05768">
              <w:rPr>
                <w:rFonts w:eastAsia="Times New Roman" w:cs="Times New Roman"/>
                <w:sz w:val="24"/>
                <w:szCs w:val="24"/>
                <w:lang w:eastAsia="lv-LV"/>
              </w:rPr>
              <w:t xml:space="preserve"> </w:t>
            </w:r>
            <w:r w:rsidRPr="00D05768">
              <w:rPr>
                <w:rFonts w:eastAsia="Times New Roman" w:cs="Times New Roman"/>
                <w:sz w:val="24"/>
                <w:szCs w:val="24"/>
                <w:lang w:eastAsia="lv-LV"/>
              </w:rPr>
              <w:t>987</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200ED3"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200ED3"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792BD1" w:rsidP="00766A86">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792BD1" w:rsidP="00766A86">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jc w:val="both"/>
              <w:rPr>
                <w:rFonts w:eastAsia="Times New Roman" w:cs="Times New Roman"/>
                <w:sz w:val="24"/>
                <w:szCs w:val="24"/>
                <w:lang w:eastAsia="lv-LV"/>
              </w:rPr>
            </w:pPr>
            <w:r w:rsidRPr="00D05768">
              <w:rPr>
                <w:rFonts w:eastAsia="Times New Roman" w:cs="Times New Roman"/>
                <w:sz w:val="24"/>
                <w:szCs w:val="24"/>
                <w:lang w:eastAsia="lv-LV"/>
              </w:rPr>
              <w:t> 1.1. valsts pamatbudžets, tai skaitā ieņēmumi no maksas pakalpojumiem un citi pašu ieņēmumi</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D05768" w:rsidRDefault="002B08C9" w:rsidP="00450FB7">
            <w:pPr>
              <w:jc w:val="center"/>
              <w:rPr>
                <w:rFonts w:eastAsia="Times New Roman" w:cs="Times New Roman"/>
                <w:sz w:val="24"/>
                <w:szCs w:val="24"/>
                <w:lang w:eastAsia="lv-LV"/>
              </w:rPr>
            </w:pPr>
            <w:r w:rsidRPr="00D05768">
              <w:rPr>
                <w:rFonts w:eastAsia="Times New Roman" w:cs="Times New Roman"/>
                <w:sz w:val="24"/>
                <w:szCs w:val="24"/>
                <w:lang w:eastAsia="lv-LV"/>
              </w:rPr>
              <w:t>125 987</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200ED3"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200ED3"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792BD1" w:rsidP="00766A86">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792BD1"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1.2. valsts speciālais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1.3. pašvaldību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2. Budžeta izdevumi:</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2.1. valsts pamatbudžets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2.2. valsts speciālais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2.3. pašvaldību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E73089"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E73089" w:rsidRPr="00D05768" w:rsidRDefault="00E73089" w:rsidP="00450FB7">
            <w:pPr>
              <w:rPr>
                <w:rFonts w:eastAsia="Times New Roman" w:cs="Times New Roman"/>
                <w:sz w:val="24"/>
                <w:szCs w:val="24"/>
                <w:lang w:eastAsia="lv-LV"/>
              </w:rPr>
            </w:pPr>
            <w:r w:rsidRPr="00D05768">
              <w:rPr>
                <w:rFonts w:eastAsia="Times New Roman" w:cs="Times New Roman"/>
                <w:sz w:val="24"/>
                <w:szCs w:val="24"/>
                <w:lang w:eastAsia="lv-LV"/>
              </w:rPr>
              <w:t> 3. Finansiālā ietekme:</w:t>
            </w:r>
          </w:p>
        </w:tc>
        <w:tc>
          <w:tcPr>
            <w:tcW w:w="1254" w:type="dxa"/>
            <w:gridSpan w:val="2"/>
            <w:tcBorders>
              <w:top w:val="outset" w:sz="6" w:space="0" w:color="auto"/>
              <w:left w:val="outset" w:sz="6" w:space="0" w:color="auto"/>
              <w:bottom w:val="outset" w:sz="6" w:space="0" w:color="auto"/>
              <w:right w:val="outset" w:sz="6" w:space="0" w:color="auto"/>
            </w:tcBorders>
            <w:vAlign w:val="center"/>
          </w:tcPr>
          <w:p w:rsidR="00E73089" w:rsidRPr="00D05768" w:rsidRDefault="00E73089"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tcPr>
          <w:p w:rsidR="00E73089" w:rsidRPr="00D05768" w:rsidRDefault="00E73089"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E73089" w:rsidRPr="00D05768" w:rsidRDefault="00E73089"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E73089" w:rsidRPr="00D05768" w:rsidRDefault="00792BD1" w:rsidP="00766A86">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E73089" w:rsidRPr="00D05768" w:rsidRDefault="00792BD1" w:rsidP="00E73089">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E73089"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E73089" w:rsidRPr="00D05768" w:rsidRDefault="00E73089" w:rsidP="00450FB7">
            <w:pPr>
              <w:rPr>
                <w:rFonts w:eastAsia="Times New Roman" w:cs="Times New Roman"/>
                <w:sz w:val="24"/>
                <w:szCs w:val="24"/>
                <w:lang w:eastAsia="lv-LV"/>
              </w:rPr>
            </w:pPr>
            <w:r w:rsidRPr="00D05768">
              <w:rPr>
                <w:rFonts w:eastAsia="Times New Roman" w:cs="Times New Roman"/>
                <w:sz w:val="24"/>
                <w:szCs w:val="24"/>
                <w:lang w:eastAsia="lv-LV"/>
              </w:rPr>
              <w:t> 3.1. valsts pamatbudžets</w:t>
            </w:r>
          </w:p>
        </w:tc>
        <w:tc>
          <w:tcPr>
            <w:tcW w:w="1254" w:type="dxa"/>
            <w:gridSpan w:val="2"/>
            <w:tcBorders>
              <w:top w:val="outset" w:sz="6" w:space="0" w:color="auto"/>
              <w:left w:val="outset" w:sz="6" w:space="0" w:color="auto"/>
              <w:bottom w:val="outset" w:sz="6" w:space="0" w:color="auto"/>
              <w:right w:val="outset" w:sz="6" w:space="0" w:color="auto"/>
            </w:tcBorders>
          </w:tcPr>
          <w:p w:rsidR="00E73089" w:rsidRPr="00D05768" w:rsidRDefault="00E73089"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tcPr>
          <w:p w:rsidR="00E73089" w:rsidRPr="00D05768" w:rsidRDefault="00E73089"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E73089" w:rsidRPr="00D05768" w:rsidRDefault="00E73089"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E73089" w:rsidRPr="00D05768" w:rsidRDefault="00792BD1" w:rsidP="00766A86">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E73089" w:rsidRPr="00D05768" w:rsidRDefault="00792BD1" w:rsidP="00E73089">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3.2. speciālais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3.3. pašvaldību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both"/>
              <w:rPr>
                <w:rFonts w:eastAsia="Times New Roman" w:cs="Times New Roman"/>
                <w:sz w:val="24"/>
                <w:szCs w:val="24"/>
                <w:lang w:eastAsia="lv-LV"/>
              </w:rPr>
            </w:pPr>
            <w:r w:rsidRPr="00D05768">
              <w:rPr>
                <w:rFonts w:eastAsia="Times New Roman" w:cs="Times New Roman"/>
                <w:sz w:val="24"/>
                <w:szCs w:val="24"/>
                <w:lang w:eastAsia="lv-LV"/>
              </w:rPr>
              <w:t xml:space="preserve"> 4. Finanšu līdzekļi papildu izde</w:t>
            </w:r>
            <w:r w:rsidRPr="00D05768">
              <w:rPr>
                <w:rFonts w:eastAsia="Times New Roman" w:cs="Times New Roman"/>
                <w:sz w:val="24"/>
                <w:szCs w:val="24"/>
                <w:lang w:eastAsia="lv-LV"/>
              </w:rPr>
              <w:softHyphen/>
              <w:t>vumu finansēšanai (kompensējošu izdevumu samazinājumu norāda ar "+" zīmi)</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B8576B"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5. Precizēta finansiālā ietekme:</w:t>
            </w:r>
          </w:p>
        </w:tc>
        <w:tc>
          <w:tcPr>
            <w:tcW w:w="1254" w:type="dxa"/>
            <w:gridSpan w:val="2"/>
            <w:vMerge w:val="restart"/>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p>
          <w:p w:rsidR="00450FB7" w:rsidRPr="00D05768" w:rsidRDefault="00450FB7" w:rsidP="00450FB7">
            <w:pPr>
              <w:jc w:val="center"/>
              <w:rPr>
                <w:rFonts w:eastAsia="Times New Roman" w:cs="Times New Roman"/>
                <w:sz w:val="24"/>
                <w:szCs w:val="24"/>
                <w:lang w:eastAsia="lv-LV"/>
              </w:rPr>
            </w:pPr>
          </w:p>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5.1. valsts pamatbudžets</w:t>
            </w:r>
          </w:p>
        </w:tc>
        <w:tc>
          <w:tcPr>
            <w:tcW w:w="1254" w:type="dxa"/>
            <w:gridSpan w:val="2"/>
            <w:vMerge/>
            <w:tcBorders>
              <w:top w:val="outset" w:sz="6" w:space="0" w:color="auto"/>
              <w:left w:val="outset" w:sz="6" w:space="0" w:color="auto"/>
              <w:bottom w:val="outset" w:sz="6" w:space="0" w:color="auto"/>
              <w:right w:val="outset" w:sz="6" w:space="0" w:color="auto"/>
            </w:tcBorders>
            <w:vAlign w:val="center"/>
          </w:tcPr>
          <w:p w:rsidR="00450FB7" w:rsidRPr="00D05768" w:rsidRDefault="00450FB7" w:rsidP="00450FB7">
            <w:pPr>
              <w:jc w:val="center"/>
              <w:rPr>
                <w:rFonts w:eastAsia="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p>
        </w:tc>
      </w:tr>
      <w:tr w:rsidR="00450FB7" w:rsidRPr="00450FB7" w:rsidTr="00D05768">
        <w:trPr>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5.2. speciālais budžets</w:t>
            </w:r>
          </w:p>
        </w:tc>
        <w:tc>
          <w:tcPr>
            <w:tcW w:w="1254" w:type="dxa"/>
            <w:gridSpan w:val="2"/>
            <w:vMerge/>
            <w:tcBorders>
              <w:top w:val="outset" w:sz="6" w:space="0" w:color="auto"/>
              <w:left w:val="outset" w:sz="6" w:space="0" w:color="auto"/>
              <w:bottom w:val="outset" w:sz="6" w:space="0" w:color="auto"/>
              <w:right w:val="outset" w:sz="6" w:space="0" w:color="auto"/>
            </w:tcBorders>
            <w:vAlign w:val="center"/>
          </w:tcPr>
          <w:p w:rsidR="00450FB7" w:rsidRPr="00D05768" w:rsidRDefault="00450FB7" w:rsidP="00450FB7">
            <w:pPr>
              <w:jc w:val="center"/>
              <w:rPr>
                <w:rFonts w:eastAsia="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single" w:sz="4"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613" w:type="dxa"/>
          </w:tcPr>
          <w:p w:rsidR="00450FB7" w:rsidRPr="00450FB7" w:rsidRDefault="00450FB7" w:rsidP="00450FB7">
            <w:pPr>
              <w:jc w:val="center"/>
              <w:rPr>
                <w:rFonts w:eastAsia="Times New Roman" w:cs="Times New Roman"/>
                <w:sz w:val="26"/>
                <w:szCs w:val="26"/>
                <w:lang w:eastAsia="lv-LV"/>
              </w:rPr>
            </w:pPr>
          </w:p>
        </w:tc>
      </w:tr>
      <w:tr w:rsidR="00450FB7" w:rsidRPr="00450FB7" w:rsidTr="00D05768">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5.3. pašvaldību budžets</w:t>
            </w:r>
          </w:p>
        </w:tc>
        <w:tc>
          <w:tcPr>
            <w:tcW w:w="1254" w:type="dxa"/>
            <w:gridSpan w:val="2"/>
            <w:vMerge/>
            <w:tcBorders>
              <w:top w:val="outset" w:sz="6" w:space="0" w:color="auto"/>
              <w:left w:val="outset" w:sz="6" w:space="0" w:color="auto"/>
              <w:bottom w:val="outset" w:sz="6" w:space="0" w:color="auto"/>
              <w:right w:val="outset" w:sz="6" w:space="0" w:color="auto"/>
            </w:tcBorders>
            <w:vAlign w:val="center"/>
          </w:tcPr>
          <w:p w:rsidR="00450FB7" w:rsidRPr="00D05768" w:rsidRDefault="00450FB7" w:rsidP="00450FB7">
            <w:pPr>
              <w:jc w:val="center"/>
              <w:rPr>
                <w:rFonts w:eastAsia="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c>
          <w:tcPr>
            <w:tcW w:w="1061" w:type="dxa"/>
            <w:tcBorders>
              <w:top w:val="outset" w:sz="6" w:space="0" w:color="auto"/>
              <w:left w:val="outset" w:sz="6" w:space="0" w:color="auto"/>
              <w:bottom w:val="outset" w:sz="6" w:space="0" w:color="auto"/>
              <w:right w:val="outset" w:sz="6" w:space="0" w:color="auto"/>
            </w:tcBorders>
          </w:tcPr>
          <w:p w:rsidR="00450FB7" w:rsidRPr="00D05768" w:rsidRDefault="00450FB7" w:rsidP="00450FB7">
            <w:pPr>
              <w:jc w:val="center"/>
              <w:rPr>
                <w:rFonts w:eastAsia="Times New Roman" w:cs="Times New Roman"/>
                <w:sz w:val="24"/>
                <w:szCs w:val="24"/>
                <w:lang w:eastAsia="lv-LV"/>
              </w:rPr>
            </w:pPr>
            <w:r w:rsidRPr="00D05768">
              <w:rPr>
                <w:rFonts w:eastAsia="Times New Roman" w:cs="Times New Roman"/>
                <w:sz w:val="24"/>
                <w:szCs w:val="24"/>
                <w:lang w:eastAsia="lv-LV"/>
              </w:rPr>
              <w:t>0</w:t>
            </w:r>
          </w:p>
        </w:tc>
      </w:tr>
      <w:tr w:rsidR="00450FB7" w:rsidRPr="00450FB7" w:rsidTr="00D05768">
        <w:trPr>
          <w:gridAfter w:val="1"/>
          <w:wAfter w:w="1613" w:type="dxa"/>
          <w:trHeight w:val="1706"/>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6. Detalizēts ieņēmumu un izdevu</w:t>
            </w:r>
            <w:r w:rsidRPr="00D05768">
              <w:rPr>
                <w:rFonts w:eastAsia="Times New Roman" w:cs="Times New Roman"/>
                <w:sz w:val="24"/>
                <w:szCs w:val="24"/>
                <w:lang w:eastAsia="lv-LV"/>
              </w:rPr>
              <w:softHyphen/>
              <w:t>mu aprēķins (ja nepieciešams, detalizētu ieņēmumu un izdevumu aprēķinu var pievienot anotācijas pielikumā):</w:t>
            </w:r>
          </w:p>
        </w:tc>
        <w:tc>
          <w:tcPr>
            <w:tcW w:w="6314" w:type="dxa"/>
            <w:gridSpan w:val="6"/>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B55B09">
            <w:pPr>
              <w:ind w:right="126" w:firstLine="354"/>
              <w:jc w:val="both"/>
              <w:rPr>
                <w:rFonts w:eastAsia="Times New Roman" w:cs="Times New Roman"/>
                <w:sz w:val="24"/>
                <w:szCs w:val="24"/>
                <w:lang w:eastAsia="lv-LV"/>
              </w:rPr>
            </w:pPr>
          </w:p>
        </w:tc>
      </w:tr>
      <w:tr w:rsidR="00450FB7" w:rsidRPr="00450FB7" w:rsidTr="00D05768">
        <w:trPr>
          <w:gridAfter w:val="1"/>
          <w:wAfter w:w="1613" w:type="dxa"/>
          <w:trHeight w:val="525"/>
          <w:tblCellSpacing w:w="0" w:type="dxa"/>
        </w:trPr>
        <w:tc>
          <w:tcPr>
            <w:tcW w:w="3034" w:type="dxa"/>
            <w:gridSpan w:val="3"/>
            <w:tcBorders>
              <w:top w:val="outset" w:sz="6" w:space="0" w:color="auto"/>
              <w:left w:val="outset" w:sz="6" w:space="0" w:color="auto"/>
              <w:bottom w:val="outset" w:sz="6" w:space="0" w:color="auto"/>
              <w:right w:val="outset" w:sz="6" w:space="0" w:color="auto"/>
            </w:tcBorders>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6.1. detalizēts ieņēmumu  aprēķins</w:t>
            </w:r>
          </w:p>
        </w:tc>
        <w:tc>
          <w:tcPr>
            <w:tcW w:w="6314" w:type="dxa"/>
            <w:gridSpan w:val="6"/>
            <w:tcBorders>
              <w:top w:val="outset" w:sz="6" w:space="0" w:color="auto"/>
              <w:left w:val="outset" w:sz="6" w:space="0" w:color="auto"/>
              <w:bottom w:val="outset" w:sz="6" w:space="0" w:color="auto"/>
              <w:right w:val="outset" w:sz="6" w:space="0" w:color="auto"/>
            </w:tcBorders>
            <w:vAlign w:val="center"/>
          </w:tcPr>
          <w:p w:rsidR="00792BD1" w:rsidRDefault="00792BD1" w:rsidP="001E0197">
            <w:pPr>
              <w:ind w:firstLine="354"/>
              <w:jc w:val="both"/>
              <w:rPr>
                <w:bCs/>
                <w:sz w:val="24"/>
                <w:szCs w:val="24"/>
              </w:rPr>
            </w:pPr>
            <w:r w:rsidRPr="00E90C80">
              <w:rPr>
                <w:bCs/>
                <w:sz w:val="24"/>
                <w:szCs w:val="24"/>
              </w:rPr>
              <w:t>Pamatojoties uz 2012. gada 25. septembrī Ministru kabineta pieņemto lēmumu (protokols Nr.53, 51</w:t>
            </w:r>
            <w:r w:rsidRPr="00E90C80">
              <w:rPr>
                <w:rFonts w:cs="Times New Roman"/>
                <w:bCs/>
                <w:sz w:val="24"/>
                <w:szCs w:val="24"/>
              </w:rPr>
              <w:t>§</w:t>
            </w:r>
            <w:r w:rsidRPr="00E90C80">
              <w:rPr>
                <w:bCs/>
                <w:sz w:val="24"/>
                <w:szCs w:val="24"/>
              </w:rPr>
              <w:t>, 4.punkts), maksājumu par valsts kapitāla izmantošanu ieņēmumu fiskālās ietekmes no likmes izmaiņām ir ņemtas vērā un iekļautas likumā „Par vidēja termiņa budžeta ietvaru 2013.</w:t>
            </w:r>
            <w:r w:rsidR="009A0809">
              <w:rPr>
                <w:bCs/>
                <w:sz w:val="24"/>
                <w:szCs w:val="24"/>
              </w:rPr>
              <w:t xml:space="preserve">, 2014. un </w:t>
            </w:r>
            <w:r w:rsidRPr="00E90C80">
              <w:rPr>
                <w:bCs/>
                <w:sz w:val="24"/>
                <w:szCs w:val="24"/>
              </w:rPr>
              <w:t>2015.gadam"</w:t>
            </w:r>
            <w:r w:rsidR="00CB75C0" w:rsidRPr="00E90C80">
              <w:rPr>
                <w:bCs/>
                <w:sz w:val="24"/>
                <w:szCs w:val="24"/>
              </w:rPr>
              <w:t xml:space="preserve"> iekļautajās prognozēs</w:t>
            </w:r>
            <w:r w:rsidRPr="00E90C80">
              <w:rPr>
                <w:bCs/>
                <w:sz w:val="24"/>
                <w:szCs w:val="24"/>
              </w:rPr>
              <w:t>.</w:t>
            </w:r>
          </w:p>
          <w:p w:rsidR="00444A51" w:rsidRPr="00E90C80" w:rsidRDefault="00444A51" w:rsidP="001E0197">
            <w:pPr>
              <w:ind w:firstLine="354"/>
              <w:jc w:val="both"/>
              <w:rPr>
                <w:bCs/>
                <w:sz w:val="24"/>
                <w:szCs w:val="24"/>
              </w:rPr>
            </w:pPr>
          </w:p>
          <w:p w:rsidR="00792BD1" w:rsidRPr="00E90C80" w:rsidRDefault="00792BD1" w:rsidP="001E0197">
            <w:pPr>
              <w:ind w:firstLine="354"/>
              <w:jc w:val="both"/>
              <w:rPr>
                <w:b/>
                <w:bCs/>
                <w:sz w:val="24"/>
                <w:szCs w:val="24"/>
              </w:rPr>
            </w:pPr>
            <w:r w:rsidRPr="00E90C80">
              <w:rPr>
                <w:b/>
                <w:bCs/>
                <w:sz w:val="24"/>
                <w:szCs w:val="24"/>
              </w:rPr>
              <w:lastRenderedPageBreak/>
              <w:t>Informatīvs fiskālās ietekmes novērtējums</w:t>
            </w:r>
          </w:p>
          <w:p w:rsidR="001E0197" w:rsidRPr="00E90C80" w:rsidRDefault="001E0197" w:rsidP="001E0197">
            <w:pPr>
              <w:ind w:firstLine="354"/>
              <w:jc w:val="both"/>
              <w:rPr>
                <w:bCs/>
                <w:sz w:val="24"/>
                <w:szCs w:val="24"/>
              </w:rPr>
            </w:pPr>
            <w:r w:rsidRPr="00E90C80">
              <w:rPr>
                <w:bCs/>
                <w:sz w:val="24"/>
                <w:szCs w:val="24"/>
              </w:rPr>
              <w:t>Ņemot vērā, ka 2013.-2015.gadā ir paredzēti atšķirīgi procenti minimālās dividendēs izmaksājamās daļas noteikšanai, kā arī faktu, ka valsts kapitālsabiedrību peļņas rādītāji katru gadu ir atšķirīgi, fiskālās ietekmes aprēķinā sniegts salīdzinājums ar attiecīgā gada prognozi, kas aprēķināta pēc spēkā esošo MK noteikumu normām, kas paredz minimālo dividendēs izmaksājamās peļņas daļu par 2013. gadu un turpmāk 27% no attiecīgās kapitālsabiedrības tīrās peļņas.</w:t>
            </w:r>
          </w:p>
          <w:p w:rsidR="001E0197" w:rsidRPr="00E90C80" w:rsidRDefault="001E0197" w:rsidP="001E0197">
            <w:pPr>
              <w:ind w:firstLine="354"/>
              <w:jc w:val="both"/>
              <w:rPr>
                <w:bCs/>
                <w:sz w:val="24"/>
                <w:szCs w:val="24"/>
              </w:rPr>
            </w:pPr>
            <w:r w:rsidRPr="00E90C80">
              <w:rPr>
                <w:bCs/>
                <w:sz w:val="24"/>
                <w:szCs w:val="24"/>
              </w:rPr>
              <w:t xml:space="preserve">Tādejādi noteikumu projekts paredz šādu fiskālo ietekmi: 2014.gads +37 500 </w:t>
            </w:r>
            <w:proofErr w:type="spellStart"/>
            <w:r w:rsidRPr="00E90C80">
              <w:rPr>
                <w:bCs/>
                <w:sz w:val="24"/>
                <w:szCs w:val="24"/>
              </w:rPr>
              <w:t>tūkst</w:t>
            </w:r>
            <w:proofErr w:type="spellEnd"/>
            <w:r w:rsidRPr="00E90C80">
              <w:rPr>
                <w:bCs/>
                <w:sz w:val="24"/>
                <w:szCs w:val="24"/>
              </w:rPr>
              <w:t xml:space="preserve">. latu, 2015. gads +32 600 </w:t>
            </w:r>
            <w:proofErr w:type="spellStart"/>
            <w:r w:rsidRPr="00E90C80">
              <w:rPr>
                <w:bCs/>
                <w:sz w:val="24"/>
                <w:szCs w:val="24"/>
              </w:rPr>
              <w:t>tūkst</w:t>
            </w:r>
            <w:proofErr w:type="spellEnd"/>
            <w:r w:rsidRPr="00E90C80">
              <w:rPr>
                <w:bCs/>
                <w:sz w:val="24"/>
                <w:szCs w:val="24"/>
              </w:rPr>
              <w:t>. latu.</w:t>
            </w:r>
          </w:p>
          <w:p w:rsidR="00450FB7" w:rsidRPr="00E90C80" w:rsidRDefault="00450FB7" w:rsidP="001E0197">
            <w:pPr>
              <w:ind w:right="126" w:firstLine="354"/>
              <w:jc w:val="both"/>
              <w:rPr>
                <w:bCs/>
                <w:sz w:val="24"/>
                <w:szCs w:val="24"/>
                <w:highlight w:val="yellow"/>
              </w:rPr>
            </w:pPr>
            <w:r w:rsidRPr="00E90C80">
              <w:rPr>
                <w:bCs/>
                <w:sz w:val="24"/>
                <w:szCs w:val="24"/>
              </w:rPr>
              <w:t xml:space="preserve"> </w:t>
            </w:r>
          </w:p>
        </w:tc>
      </w:tr>
      <w:tr w:rsidR="00450FB7" w:rsidRPr="00450FB7" w:rsidTr="00D05768">
        <w:trPr>
          <w:gridAfter w:val="1"/>
          <w:wAfter w:w="1613" w:type="dxa"/>
          <w:trHeight w:val="525"/>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lastRenderedPageBreak/>
              <w:t xml:space="preserve"> 6.2. detalizēts izdevumu aprēķins</w:t>
            </w:r>
          </w:p>
        </w:tc>
        <w:tc>
          <w:tcPr>
            <w:tcW w:w="6314" w:type="dxa"/>
            <w:gridSpan w:val="6"/>
            <w:tcBorders>
              <w:top w:val="outset" w:sz="6" w:space="0" w:color="auto"/>
              <w:left w:val="outset" w:sz="6" w:space="0" w:color="auto"/>
              <w:bottom w:val="outset" w:sz="6" w:space="0" w:color="auto"/>
              <w:right w:val="outset" w:sz="6" w:space="0" w:color="auto"/>
            </w:tcBorders>
            <w:vAlign w:val="center"/>
            <w:hideMark/>
          </w:tcPr>
          <w:p w:rsidR="00450FB7" w:rsidRPr="00D05768" w:rsidRDefault="00450FB7" w:rsidP="00450FB7">
            <w:pPr>
              <w:ind w:left="176"/>
              <w:rPr>
                <w:rFonts w:eastAsia="Times New Roman" w:cs="Times New Roman"/>
                <w:sz w:val="24"/>
                <w:szCs w:val="24"/>
                <w:lang w:eastAsia="lv-LV"/>
              </w:rPr>
            </w:pPr>
          </w:p>
        </w:tc>
      </w:tr>
      <w:tr w:rsidR="00450FB7" w:rsidRPr="00450FB7" w:rsidTr="00D05768">
        <w:trPr>
          <w:gridAfter w:val="1"/>
          <w:wAfter w:w="1613" w:type="dxa"/>
          <w:trHeight w:val="535"/>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D05768" w:rsidRDefault="00450FB7" w:rsidP="00450FB7">
            <w:pPr>
              <w:rPr>
                <w:rFonts w:eastAsia="Times New Roman" w:cs="Times New Roman"/>
                <w:sz w:val="24"/>
                <w:szCs w:val="24"/>
                <w:lang w:eastAsia="lv-LV"/>
              </w:rPr>
            </w:pPr>
            <w:r w:rsidRPr="00D05768">
              <w:rPr>
                <w:rFonts w:eastAsia="Times New Roman" w:cs="Times New Roman"/>
                <w:sz w:val="24"/>
                <w:szCs w:val="24"/>
                <w:lang w:eastAsia="lv-LV"/>
              </w:rPr>
              <w:t> 7. Cita informācija</w:t>
            </w:r>
          </w:p>
        </w:tc>
        <w:tc>
          <w:tcPr>
            <w:tcW w:w="6314" w:type="dxa"/>
            <w:gridSpan w:val="6"/>
            <w:tcBorders>
              <w:top w:val="outset" w:sz="6" w:space="0" w:color="auto"/>
              <w:left w:val="outset" w:sz="6" w:space="0" w:color="auto"/>
              <w:bottom w:val="outset" w:sz="6" w:space="0" w:color="auto"/>
              <w:right w:val="outset" w:sz="6" w:space="0" w:color="auto"/>
            </w:tcBorders>
            <w:hideMark/>
          </w:tcPr>
          <w:p w:rsidR="0017791D" w:rsidRPr="00D05768" w:rsidRDefault="0017791D" w:rsidP="00FB7AC4">
            <w:pPr>
              <w:jc w:val="both"/>
              <w:rPr>
                <w:rFonts w:eastAsia="Times New Roman" w:cs="Times New Roman"/>
                <w:sz w:val="24"/>
                <w:szCs w:val="24"/>
              </w:rPr>
            </w:pPr>
            <w:r w:rsidRPr="00D05768">
              <w:rPr>
                <w:rFonts w:eastAsia="Times New Roman" w:cs="Times New Roman"/>
                <w:sz w:val="24"/>
                <w:szCs w:val="24"/>
              </w:rPr>
              <w:t xml:space="preserve"> </w:t>
            </w:r>
            <w:r w:rsidR="003B2389" w:rsidRPr="00D05768">
              <w:rPr>
                <w:rFonts w:eastAsia="Times New Roman" w:cs="Times New Roman"/>
                <w:sz w:val="24"/>
                <w:szCs w:val="24"/>
              </w:rPr>
              <w:t>Nav</w:t>
            </w:r>
          </w:p>
        </w:tc>
      </w:tr>
    </w:tbl>
    <w:p w:rsidR="00674CFE" w:rsidRDefault="00674CFE" w:rsidP="00450FB7">
      <w:pPr>
        <w:pStyle w:val="BodyTextIndent"/>
        <w:ind w:firstLine="0"/>
        <w:rPr>
          <w:szCs w:val="28"/>
          <w:lang w:eastAsia="lv-LV"/>
        </w:rPr>
      </w:pPr>
    </w:p>
    <w:p w:rsidR="00674CFE" w:rsidRPr="00D05768" w:rsidRDefault="00674CFE" w:rsidP="00674CFE">
      <w:pPr>
        <w:pStyle w:val="BodyTextIndent"/>
        <w:rPr>
          <w:sz w:val="24"/>
          <w:lang w:eastAsia="lv-LV"/>
        </w:rPr>
      </w:pPr>
      <w:r w:rsidRPr="00D05768">
        <w:rPr>
          <w:sz w:val="24"/>
          <w:lang w:eastAsia="lv-LV"/>
        </w:rPr>
        <w:t xml:space="preserve">Anotācijas IV, V, VI, un VII sadaļa – </w:t>
      </w:r>
      <w:r w:rsidR="00E90C80">
        <w:rPr>
          <w:sz w:val="24"/>
          <w:lang w:eastAsia="lv-LV"/>
        </w:rPr>
        <w:t>projekts šīs jomas neskar</w:t>
      </w:r>
    </w:p>
    <w:p w:rsidR="001706FB" w:rsidRDefault="001706FB" w:rsidP="005F0EFE">
      <w:pPr>
        <w:pStyle w:val="BodyTextIndent"/>
        <w:ind w:firstLine="0"/>
        <w:rPr>
          <w:sz w:val="24"/>
          <w:lang w:eastAsia="lv-LV"/>
        </w:rPr>
      </w:pPr>
    </w:p>
    <w:p w:rsidR="00674CFE" w:rsidRDefault="00674CFE" w:rsidP="007F273F">
      <w:pPr>
        <w:pStyle w:val="Heading5"/>
        <w:tabs>
          <w:tab w:val="left" w:pos="142"/>
          <w:tab w:val="left" w:pos="7200"/>
        </w:tabs>
        <w:spacing w:before="0" w:after="0"/>
        <w:rPr>
          <w:b w:val="0"/>
          <w:i w:val="0"/>
          <w:sz w:val="28"/>
          <w:szCs w:val="28"/>
        </w:rPr>
      </w:pPr>
    </w:p>
    <w:p w:rsidR="006126FB" w:rsidRPr="006126FB" w:rsidRDefault="006126FB" w:rsidP="006126FB">
      <w:pPr>
        <w:pStyle w:val="Heading5"/>
        <w:tabs>
          <w:tab w:val="left" w:pos="142"/>
          <w:tab w:val="left" w:pos="7200"/>
        </w:tabs>
        <w:rPr>
          <w:b w:val="0"/>
          <w:i w:val="0"/>
          <w:sz w:val="28"/>
          <w:szCs w:val="28"/>
        </w:rPr>
      </w:pPr>
      <w:r>
        <w:rPr>
          <w:b w:val="0"/>
          <w:i w:val="0"/>
          <w:sz w:val="28"/>
          <w:szCs w:val="28"/>
        </w:rPr>
        <w:t>F</w:t>
      </w:r>
      <w:r w:rsidRPr="006126FB">
        <w:rPr>
          <w:b w:val="0"/>
          <w:i w:val="0"/>
          <w:sz w:val="28"/>
          <w:szCs w:val="28"/>
        </w:rPr>
        <w:t xml:space="preserve">inanšu ministra vietā – </w:t>
      </w:r>
    </w:p>
    <w:p w:rsidR="008264EB" w:rsidRPr="007F273F" w:rsidRDefault="006126FB" w:rsidP="006126FB">
      <w:pPr>
        <w:pStyle w:val="Heading5"/>
        <w:tabs>
          <w:tab w:val="left" w:pos="142"/>
          <w:tab w:val="left" w:pos="7200"/>
        </w:tabs>
        <w:spacing w:before="0" w:after="0"/>
        <w:rPr>
          <w:b w:val="0"/>
          <w:i w:val="0"/>
          <w:sz w:val="28"/>
          <w:szCs w:val="28"/>
        </w:rPr>
      </w:pPr>
      <w:r w:rsidRPr="006126FB">
        <w:rPr>
          <w:b w:val="0"/>
          <w:i w:val="0"/>
          <w:sz w:val="28"/>
          <w:szCs w:val="28"/>
        </w:rPr>
        <w:t>zemkopības ministre</w:t>
      </w:r>
      <w:r w:rsidRPr="006126FB">
        <w:rPr>
          <w:b w:val="0"/>
          <w:i w:val="0"/>
          <w:sz w:val="28"/>
          <w:szCs w:val="28"/>
        </w:rPr>
        <w:tab/>
        <w:t>L.Straujuma</w:t>
      </w:r>
    </w:p>
    <w:p w:rsidR="00A503FA" w:rsidRDefault="00A503FA" w:rsidP="008264EB">
      <w:pPr>
        <w:rPr>
          <w:rFonts w:cs="Times New Roman"/>
          <w:sz w:val="20"/>
          <w:szCs w:val="20"/>
        </w:rPr>
      </w:pPr>
    </w:p>
    <w:p w:rsidR="00674CFE" w:rsidRDefault="00674CFE"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444A51" w:rsidRDefault="00444A51" w:rsidP="008264EB">
      <w:pPr>
        <w:rPr>
          <w:rFonts w:cs="Times New Roman"/>
          <w:sz w:val="20"/>
          <w:szCs w:val="20"/>
        </w:rPr>
      </w:pPr>
    </w:p>
    <w:p w:rsidR="003B2389" w:rsidRDefault="003B2389" w:rsidP="008264EB">
      <w:pPr>
        <w:rPr>
          <w:rFonts w:cs="Times New Roman"/>
          <w:sz w:val="20"/>
          <w:szCs w:val="20"/>
        </w:rPr>
      </w:pPr>
    </w:p>
    <w:p w:rsidR="00191F23" w:rsidRDefault="00191F23" w:rsidP="003C1197">
      <w:pPr>
        <w:rPr>
          <w:rFonts w:cs="Times New Roman"/>
          <w:bCs/>
          <w:sz w:val="20"/>
          <w:szCs w:val="20"/>
        </w:rPr>
      </w:pPr>
      <w:r w:rsidRPr="00191F23">
        <w:rPr>
          <w:rFonts w:cs="Times New Roman"/>
          <w:bCs/>
          <w:sz w:val="20"/>
          <w:szCs w:val="20"/>
        </w:rPr>
        <w:t>1</w:t>
      </w:r>
      <w:r>
        <w:rPr>
          <w:rFonts w:cs="Times New Roman"/>
          <w:bCs/>
          <w:sz w:val="20"/>
          <w:szCs w:val="20"/>
        </w:rPr>
        <w:t>1</w:t>
      </w:r>
      <w:r w:rsidRPr="00191F23">
        <w:rPr>
          <w:rFonts w:cs="Times New Roman"/>
          <w:bCs/>
          <w:sz w:val="20"/>
          <w:szCs w:val="20"/>
        </w:rPr>
        <w:t>.12.2012 1</w:t>
      </w:r>
      <w:r>
        <w:rPr>
          <w:rFonts w:cs="Times New Roman"/>
          <w:bCs/>
          <w:sz w:val="20"/>
          <w:szCs w:val="20"/>
        </w:rPr>
        <w:t>4</w:t>
      </w:r>
      <w:r w:rsidRPr="00191F23">
        <w:rPr>
          <w:rFonts w:cs="Times New Roman"/>
          <w:bCs/>
          <w:sz w:val="20"/>
          <w:szCs w:val="20"/>
        </w:rPr>
        <w:t>:</w:t>
      </w:r>
      <w:r>
        <w:rPr>
          <w:rFonts w:cs="Times New Roman"/>
          <w:bCs/>
          <w:sz w:val="20"/>
          <w:szCs w:val="20"/>
        </w:rPr>
        <w:t>34</w:t>
      </w:r>
      <w:bookmarkStart w:id="4" w:name="_GoBack"/>
      <w:bookmarkEnd w:id="4"/>
    </w:p>
    <w:p w:rsidR="003C1197" w:rsidRDefault="003C1197" w:rsidP="003C1197">
      <w:pPr>
        <w:rPr>
          <w:rFonts w:cs="Times New Roman"/>
          <w:sz w:val="20"/>
          <w:szCs w:val="20"/>
        </w:rPr>
      </w:pPr>
      <w:r w:rsidRPr="003C1197">
        <w:rPr>
          <w:rFonts w:cs="Times New Roman"/>
          <w:bCs/>
          <w:sz w:val="20"/>
          <w:szCs w:val="20"/>
        </w:rPr>
        <w:fldChar w:fldCharType="begin"/>
      </w:r>
      <w:r w:rsidRPr="003C1197">
        <w:rPr>
          <w:rFonts w:cs="Times New Roman"/>
          <w:bCs/>
          <w:sz w:val="20"/>
          <w:szCs w:val="20"/>
        </w:rPr>
        <w:instrText xml:space="preserve"> NUMWORDS   \* MERGEFORMAT </w:instrText>
      </w:r>
      <w:r w:rsidRPr="003C1197">
        <w:rPr>
          <w:rFonts w:cs="Times New Roman"/>
          <w:bCs/>
          <w:sz w:val="20"/>
          <w:szCs w:val="20"/>
        </w:rPr>
        <w:fldChar w:fldCharType="separate"/>
      </w:r>
      <w:r w:rsidR="006126FB">
        <w:rPr>
          <w:rFonts w:cs="Times New Roman"/>
          <w:bCs/>
          <w:noProof/>
          <w:sz w:val="20"/>
          <w:szCs w:val="20"/>
        </w:rPr>
        <w:t>1000</w:t>
      </w:r>
      <w:r w:rsidRPr="003C1197">
        <w:rPr>
          <w:rFonts w:cs="Times New Roman"/>
          <w:sz w:val="20"/>
          <w:szCs w:val="20"/>
        </w:rPr>
        <w:fldChar w:fldCharType="end"/>
      </w:r>
    </w:p>
    <w:p w:rsidR="00F348D2" w:rsidRPr="00F348D2" w:rsidRDefault="00F348D2" w:rsidP="00F348D2">
      <w:pPr>
        <w:jc w:val="both"/>
        <w:rPr>
          <w:rFonts w:eastAsia="Times New Roman" w:cs="Times New Roman"/>
          <w:sz w:val="20"/>
          <w:szCs w:val="20"/>
        </w:rPr>
      </w:pPr>
      <w:r w:rsidRPr="00F348D2">
        <w:rPr>
          <w:rFonts w:eastAsia="Times New Roman" w:cs="Times New Roman"/>
          <w:sz w:val="20"/>
          <w:szCs w:val="20"/>
        </w:rPr>
        <w:t>Ieviņa Dzenīte</w:t>
      </w:r>
    </w:p>
    <w:p w:rsidR="00F348D2" w:rsidRPr="00F348D2" w:rsidRDefault="00F348D2" w:rsidP="00F348D2">
      <w:pPr>
        <w:tabs>
          <w:tab w:val="left" w:pos="2130"/>
        </w:tabs>
        <w:jc w:val="both"/>
        <w:rPr>
          <w:rFonts w:eastAsia="Times New Roman" w:cs="Times New Roman"/>
          <w:sz w:val="20"/>
          <w:szCs w:val="20"/>
        </w:rPr>
      </w:pPr>
      <w:r w:rsidRPr="00F348D2">
        <w:rPr>
          <w:rFonts w:eastAsia="Times New Roman" w:cs="Times New Roman"/>
          <w:sz w:val="20"/>
          <w:szCs w:val="20"/>
        </w:rPr>
        <w:t>Finanšu ministrijas Nodokļu analīzes departamenta</w:t>
      </w:r>
    </w:p>
    <w:p w:rsidR="00F348D2" w:rsidRPr="00F348D2" w:rsidRDefault="00F348D2" w:rsidP="00F348D2">
      <w:pPr>
        <w:jc w:val="both"/>
        <w:rPr>
          <w:rFonts w:eastAsia="Times New Roman" w:cs="Times New Roman"/>
          <w:sz w:val="20"/>
          <w:szCs w:val="20"/>
        </w:rPr>
      </w:pPr>
      <w:r w:rsidRPr="00F348D2">
        <w:rPr>
          <w:rFonts w:eastAsia="Times New Roman" w:cs="Times New Roman"/>
          <w:sz w:val="20"/>
          <w:szCs w:val="20"/>
        </w:rPr>
        <w:t>Ieņēmumu analīzes un prognozēšanas</w:t>
      </w:r>
    </w:p>
    <w:p w:rsidR="00F348D2" w:rsidRPr="00F348D2" w:rsidRDefault="00F348D2" w:rsidP="00F348D2">
      <w:pPr>
        <w:jc w:val="both"/>
        <w:rPr>
          <w:rFonts w:eastAsia="Times New Roman" w:cs="Times New Roman"/>
          <w:sz w:val="20"/>
          <w:szCs w:val="20"/>
        </w:rPr>
      </w:pPr>
      <w:r w:rsidRPr="00F348D2">
        <w:rPr>
          <w:rFonts w:eastAsia="Times New Roman" w:cs="Times New Roman"/>
          <w:sz w:val="20"/>
          <w:szCs w:val="20"/>
        </w:rPr>
        <w:t>nodaļas vadītājas vietniece</w:t>
      </w:r>
      <w:r w:rsidRPr="00F348D2">
        <w:rPr>
          <w:rFonts w:ascii="Arial" w:eastAsia="Times New Roman" w:hAnsi="Arial" w:cs="Arial"/>
          <w:sz w:val="20"/>
          <w:szCs w:val="20"/>
        </w:rPr>
        <w:t> </w:t>
      </w:r>
    </w:p>
    <w:p w:rsidR="00F348D2" w:rsidRPr="00F348D2" w:rsidRDefault="00F348D2" w:rsidP="00F348D2">
      <w:pPr>
        <w:jc w:val="both"/>
        <w:rPr>
          <w:rFonts w:eastAsia="Times New Roman" w:cs="Times New Roman"/>
          <w:color w:val="0000FF"/>
          <w:sz w:val="20"/>
          <w:szCs w:val="20"/>
          <w:u w:val="single"/>
        </w:rPr>
      </w:pPr>
      <w:r w:rsidRPr="00F348D2">
        <w:rPr>
          <w:rFonts w:eastAsia="Times New Roman" w:cs="Times New Roman"/>
          <w:sz w:val="20"/>
          <w:szCs w:val="20"/>
        </w:rPr>
        <w:t xml:space="preserve">67095594; </w:t>
      </w:r>
      <w:hyperlink r:id="rId9" w:history="1">
        <w:r w:rsidRPr="00F348D2">
          <w:rPr>
            <w:rFonts w:eastAsia="Times New Roman" w:cs="Times New Roman"/>
            <w:color w:val="0000FF"/>
            <w:sz w:val="20"/>
            <w:szCs w:val="20"/>
            <w:u w:val="single"/>
          </w:rPr>
          <w:t>Ievina.Dzenite@fm.gov.lv</w:t>
        </w:r>
      </w:hyperlink>
    </w:p>
    <w:p w:rsidR="00F348D2" w:rsidRPr="003C1197" w:rsidRDefault="00F348D2" w:rsidP="003C1197">
      <w:pPr>
        <w:rPr>
          <w:rFonts w:cs="Times New Roman"/>
          <w:bCs/>
          <w:sz w:val="20"/>
          <w:szCs w:val="20"/>
        </w:rPr>
      </w:pPr>
    </w:p>
    <w:sectPr w:rsidR="00F348D2" w:rsidRPr="003C1197" w:rsidSect="00A503FA">
      <w:headerReference w:type="default" r:id="rId10"/>
      <w:footerReference w:type="default" r:id="rId11"/>
      <w:footerReference w:type="first" r:id="rId12"/>
      <w:pgSz w:w="11906" w:h="16838"/>
      <w:pgMar w:top="1418" w:right="1134" w:bottom="1134" w:left="1701" w:header="709" w:footer="40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EE" w:rsidRDefault="00A65BEE" w:rsidP="008125DD">
      <w:r>
        <w:separator/>
      </w:r>
    </w:p>
  </w:endnote>
  <w:endnote w:type="continuationSeparator" w:id="0">
    <w:p w:rsidR="00A65BEE" w:rsidRDefault="00A65BEE" w:rsidP="0081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68" w:rsidRPr="007F273F" w:rsidRDefault="00D05768" w:rsidP="007F273F">
    <w:pPr>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DA114B">
      <w:rPr>
        <w:noProof/>
        <w:sz w:val="18"/>
        <w:szCs w:val="18"/>
      </w:rPr>
      <w:t>FMAnot_111212_MK1471</w:t>
    </w:r>
    <w:r>
      <w:rPr>
        <w:sz w:val="18"/>
        <w:szCs w:val="18"/>
      </w:rPr>
      <w:fldChar w:fldCharType="end"/>
    </w:r>
    <w:r w:rsidRPr="007F273F">
      <w:rPr>
        <w:sz w:val="18"/>
        <w:szCs w:val="18"/>
      </w:rPr>
      <w:t>; Ministru kabineta noteikumu projekta „</w:t>
    </w:r>
    <w:r w:rsidRPr="007F273F">
      <w:rPr>
        <w:bCs/>
        <w:sz w:val="18"/>
        <w:szCs w:val="18"/>
      </w:rPr>
      <w:t>Grozījum</w:t>
    </w:r>
    <w:r w:rsidR="009A0809">
      <w:rPr>
        <w:bCs/>
        <w:sz w:val="18"/>
        <w:szCs w:val="18"/>
      </w:rPr>
      <w:t>i</w:t>
    </w:r>
    <w:r w:rsidRPr="007F273F">
      <w:rPr>
        <w:bCs/>
        <w:sz w:val="18"/>
        <w:szCs w:val="18"/>
      </w:rPr>
      <w:t xml:space="preserve"> Ministru kabineta 2009.gada 15.decembra noteikumos Nr.1471 „</w:t>
    </w:r>
    <w:r w:rsidRPr="007F273F">
      <w:rPr>
        <w:rFonts w:eastAsia="Times New Roman" w:cs="Times New Roman"/>
        <w:bCs/>
        <w:sz w:val="18"/>
        <w:szCs w:val="18"/>
        <w:lang w:eastAsia="lv-LV"/>
      </w:rPr>
      <w:t>Kārtība, kādā tiek noteikta un ieskaitīta valsts budžetā izmaksājamā peļņas daļa par valsts kapitāla izmantošanu</w:t>
    </w:r>
    <w:r w:rsidRPr="007F273F">
      <w:rPr>
        <w:bCs/>
        <w:sz w:val="18"/>
        <w:szCs w:val="18"/>
      </w:rPr>
      <w:t>””</w:t>
    </w:r>
    <w:r w:rsidRPr="007F273F">
      <w:rPr>
        <w:sz w:val="18"/>
        <w:szCs w:val="18"/>
      </w:rPr>
      <w:t xml:space="preserve"> </w:t>
    </w:r>
    <w:r w:rsidRPr="007F273F">
      <w:rPr>
        <w:rFonts w:eastAsia="Times New Roman"/>
        <w:bCs/>
        <w:sz w:val="18"/>
        <w:szCs w:val="18"/>
        <w:lang w:eastAsia="lv-LV"/>
      </w:rPr>
      <w:t>sākotnējās ietekmes novērtējuma ziņojums (anotācija)</w:t>
    </w:r>
  </w:p>
  <w:p w:rsidR="00D05768" w:rsidRPr="003C0970" w:rsidRDefault="00D05768" w:rsidP="00F954A5">
    <w:pPr>
      <w:jc w:val="both"/>
      <w:rPr>
        <w:sz w:val="20"/>
        <w:szCs w:val="20"/>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68" w:rsidRPr="007F273F" w:rsidRDefault="00D05768" w:rsidP="007F273F">
    <w:pPr>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DA114B">
      <w:rPr>
        <w:noProof/>
        <w:sz w:val="18"/>
        <w:szCs w:val="18"/>
      </w:rPr>
      <w:t>FMAnot_111212_MK1471</w:t>
    </w:r>
    <w:r>
      <w:rPr>
        <w:sz w:val="18"/>
        <w:szCs w:val="18"/>
      </w:rPr>
      <w:fldChar w:fldCharType="end"/>
    </w:r>
    <w:r w:rsidRPr="007F273F">
      <w:rPr>
        <w:sz w:val="18"/>
        <w:szCs w:val="18"/>
      </w:rPr>
      <w:t>; Ministru kabineta noteikumu projekta „</w:t>
    </w:r>
    <w:r w:rsidRPr="007F273F">
      <w:rPr>
        <w:bCs/>
        <w:sz w:val="18"/>
        <w:szCs w:val="18"/>
      </w:rPr>
      <w:t>Grozījum</w:t>
    </w:r>
    <w:r w:rsidR="009A0809">
      <w:rPr>
        <w:bCs/>
        <w:sz w:val="18"/>
        <w:szCs w:val="18"/>
      </w:rPr>
      <w:t>i</w:t>
    </w:r>
    <w:r w:rsidRPr="007F273F">
      <w:rPr>
        <w:bCs/>
        <w:sz w:val="18"/>
        <w:szCs w:val="18"/>
      </w:rPr>
      <w:t xml:space="preserve"> Ministru kabineta 2009.gada 15.decembra noteikumos Nr.1471 „</w:t>
    </w:r>
    <w:r w:rsidRPr="007F273F">
      <w:rPr>
        <w:rFonts w:eastAsia="Times New Roman" w:cs="Times New Roman"/>
        <w:bCs/>
        <w:sz w:val="18"/>
        <w:szCs w:val="18"/>
        <w:lang w:eastAsia="lv-LV"/>
      </w:rPr>
      <w:t>Kārtība, kādā tiek noteikta un ieskaitīta valsts budžetā izmaksājamā peļņas daļa par valsts kapitāla izmantošanu</w:t>
    </w:r>
    <w:r w:rsidRPr="007F273F">
      <w:rPr>
        <w:bCs/>
        <w:sz w:val="18"/>
        <w:szCs w:val="18"/>
      </w:rPr>
      <w:t>””</w:t>
    </w:r>
    <w:r w:rsidRPr="007F273F">
      <w:rPr>
        <w:sz w:val="18"/>
        <w:szCs w:val="18"/>
      </w:rPr>
      <w:t xml:space="preserve"> </w:t>
    </w:r>
    <w:r w:rsidRPr="007F273F">
      <w:rPr>
        <w:rFonts w:eastAsia="Times New Roman"/>
        <w:bCs/>
        <w:sz w:val="18"/>
        <w:szCs w:val="18"/>
        <w:lang w:eastAsia="lv-LV"/>
      </w:rPr>
      <w:t>sākotnējās ietekmes novērtējuma ziņojums (anotācija)</w:t>
    </w:r>
  </w:p>
  <w:p w:rsidR="00D05768" w:rsidRPr="007F273F" w:rsidRDefault="00D0576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EE" w:rsidRDefault="00A65BEE" w:rsidP="008125DD">
      <w:r>
        <w:separator/>
      </w:r>
    </w:p>
  </w:footnote>
  <w:footnote w:type="continuationSeparator" w:id="0">
    <w:p w:rsidR="00A65BEE" w:rsidRDefault="00A65BEE" w:rsidP="0081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844"/>
      <w:docPartObj>
        <w:docPartGallery w:val="Page Numbers (Top of Page)"/>
        <w:docPartUnique/>
      </w:docPartObj>
    </w:sdtPr>
    <w:sdtEndPr/>
    <w:sdtContent>
      <w:p w:rsidR="00D05768" w:rsidRDefault="00D05768">
        <w:pPr>
          <w:pStyle w:val="Header"/>
          <w:jc w:val="center"/>
        </w:pPr>
        <w:r w:rsidRPr="009C62E1">
          <w:rPr>
            <w:sz w:val="20"/>
            <w:szCs w:val="20"/>
          </w:rPr>
          <w:fldChar w:fldCharType="begin"/>
        </w:r>
        <w:r w:rsidRPr="009C62E1">
          <w:rPr>
            <w:sz w:val="20"/>
            <w:szCs w:val="20"/>
          </w:rPr>
          <w:instrText xml:space="preserve"> PAGE   \* MERGEFORMAT </w:instrText>
        </w:r>
        <w:r w:rsidRPr="009C62E1">
          <w:rPr>
            <w:sz w:val="20"/>
            <w:szCs w:val="20"/>
          </w:rPr>
          <w:fldChar w:fldCharType="separate"/>
        </w:r>
        <w:r w:rsidR="00191F23">
          <w:rPr>
            <w:noProof/>
            <w:sz w:val="20"/>
            <w:szCs w:val="20"/>
          </w:rPr>
          <w:t>4</w:t>
        </w:r>
        <w:r w:rsidRPr="009C62E1">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088"/>
    <w:multiLevelType w:val="hybridMultilevel"/>
    <w:tmpl w:val="56708D44"/>
    <w:lvl w:ilvl="0" w:tplc="8174CB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68751A"/>
    <w:multiLevelType w:val="hybridMultilevel"/>
    <w:tmpl w:val="18F25402"/>
    <w:lvl w:ilvl="0" w:tplc="8D880236">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2C96338A"/>
    <w:multiLevelType w:val="hybridMultilevel"/>
    <w:tmpl w:val="CB503270"/>
    <w:lvl w:ilvl="0" w:tplc="3AE4B50A">
      <w:start w:val="1"/>
      <w:numFmt w:val="decimal"/>
      <w:lvlText w:val="%1."/>
      <w:lvlJc w:val="left"/>
      <w:pPr>
        <w:ind w:left="1650" w:hanging="93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01E29F9"/>
    <w:multiLevelType w:val="hybridMultilevel"/>
    <w:tmpl w:val="E708D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A087A52"/>
    <w:multiLevelType w:val="hybridMultilevel"/>
    <w:tmpl w:val="39F240A2"/>
    <w:lvl w:ilvl="0" w:tplc="CE9CDD66">
      <w:start w:val="1"/>
      <w:numFmt w:val="decimal"/>
      <w:lvlText w:val="%1."/>
      <w:lvlJc w:val="left"/>
      <w:pPr>
        <w:ind w:left="486" w:hanging="360"/>
      </w:pPr>
      <w:rPr>
        <w:rFonts w:hint="default"/>
        <w:i w:val="0"/>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5">
    <w:nsid w:val="4918696F"/>
    <w:multiLevelType w:val="hybridMultilevel"/>
    <w:tmpl w:val="8FAA0700"/>
    <w:lvl w:ilvl="0" w:tplc="82C2E6A2">
      <w:start w:val="7"/>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6">
    <w:nsid w:val="55597163"/>
    <w:multiLevelType w:val="hybridMultilevel"/>
    <w:tmpl w:val="7884FCAA"/>
    <w:lvl w:ilvl="0" w:tplc="E3723B5C">
      <w:start w:val="2"/>
      <w:numFmt w:val="bullet"/>
      <w:lvlText w:val="-"/>
      <w:lvlJc w:val="left"/>
      <w:pPr>
        <w:ind w:left="486" w:hanging="360"/>
      </w:pPr>
      <w:rPr>
        <w:rFonts w:ascii="Times New Roman" w:eastAsia="Times New Roman"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7">
    <w:nsid w:val="55E92386"/>
    <w:multiLevelType w:val="hybridMultilevel"/>
    <w:tmpl w:val="C392729A"/>
    <w:lvl w:ilvl="0" w:tplc="C2C23C5A">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8">
    <w:nsid w:val="5F47729F"/>
    <w:multiLevelType w:val="hybridMultilevel"/>
    <w:tmpl w:val="DC6489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652C1129"/>
    <w:multiLevelType w:val="hybridMultilevel"/>
    <w:tmpl w:val="4ED83FA8"/>
    <w:lvl w:ilvl="0" w:tplc="DC58C68A">
      <w:start w:val="6"/>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0">
    <w:nsid w:val="67AF7CD0"/>
    <w:multiLevelType w:val="hybridMultilevel"/>
    <w:tmpl w:val="E9FE68C8"/>
    <w:lvl w:ilvl="0" w:tplc="B756F8E4">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11">
    <w:nsid w:val="686E06DF"/>
    <w:multiLevelType w:val="hybridMultilevel"/>
    <w:tmpl w:val="9426FDB2"/>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12">
    <w:nsid w:val="6B237219"/>
    <w:multiLevelType w:val="hybridMultilevel"/>
    <w:tmpl w:val="249CFFD2"/>
    <w:lvl w:ilvl="0" w:tplc="574ED4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B123BC5"/>
    <w:multiLevelType w:val="hybridMultilevel"/>
    <w:tmpl w:val="685ADD4C"/>
    <w:lvl w:ilvl="0" w:tplc="13DE89A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7F983C6D"/>
    <w:multiLevelType w:val="hybridMultilevel"/>
    <w:tmpl w:val="BAAE2282"/>
    <w:lvl w:ilvl="0" w:tplc="8174CB5E">
      <w:numFmt w:val="bullet"/>
      <w:lvlText w:val="-"/>
      <w:lvlJc w:val="left"/>
      <w:pPr>
        <w:ind w:left="825" w:hanging="360"/>
      </w:pPr>
      <w:rPr>
        <w:rFonts w:ascii="Times New Roman" w:eastAsiaTheme="minorHAnsi" w:hAnsi="Times New Roman" w:cs="Times New Roman"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3"/>
  </w:num>
  <w:num w:numId="6">
    <w:abstractNumId w:val="2"/>
  </w:num>
  <w:num w:numId="7">
    <w:abstractNumId w:val="14"/>
  </w:num>
  <w:num w:numId="8">
    <w:abstractNumId w:val="8"/>
  </w:num>
  <w:num w:numId="9">
    <w:abstractNumId w:val="11"/>
  </w:num>
  <w:num w:numId="10">
    <w:abstractNumId w:val="4"/>
  </w:num>
  <w:num w:numId="11">
    <w:abstractNumId w:val="5"/>
  </w:num>
  <w:num w:numId="12">
    <w:abstractNumId w:val="9"/>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9A"/>
    <w:rsid w:val="00002E15"/>
    <w:rsid w:val="00003D04"/>
    <w:rsid w:val="00004CCF"/>
    <w:rsid w:val="00007B75"/>
    <w:rsid w:val="000106A5"/>
    <w:rsid w:val="000132B9"/>
    <w:rsid w:val="00016B08"/>
    <w:rsid w:val="0001788E"/>
    <w:rsid w:val="000209F0"/>
    <w:rsid w:val="0002353E"/>
    <w:rsid w:val="00024038"/>
    <w:rsid w:val="00031494"/>
    <w:rsid w:val="00032F60"/>
    <w:rsid w:val="00036550"/>
    <w:rsid w:val="00037085"/>
    <w:rsid w:val="000404D7"/>
    <w:rsid w:val="000425C1"/>
    <w:rsid w:val="00050172"/>
    <w:rsid w:val="00050266"/>
    <w:rsid w:val="0005162C"/>
    <w:rsid w:val="000532D8"/>
    <w:rsid w:val="00057293"/>
    <w:rsid w:val="0006321F"/>
    <w:rsid w:val="00063B95"/>
    <w:rsid w:val="00065FE8"/>
    <w:rsid w:val="00070478"/>
    <w:rsid w:val="00077A57"/>
    <w:rsid w:val="000840FE"/>
    <w:rsid w:val="000854FF"/>
    <w:rsid w:val="00085EA4"/>
    <w:rsid w:val="00090087"/>
    <w:rsid w:val="0009095D"/>
    <w:rsid w:val="00092FE6"/>
    <w:rsid w:val="0009506C"/>
    <w:rsid w:val="00096919"/>
    <w:rsid w:val="000A0242"/>
    <w:rsid w:val="000A2B67"/>
    <w:rsid w:val="000A44DF"/>
    <w:rsid w:val="000A7AA1"/>
    <w:rsid w:val="000B020B"/>
    <w:rsid w:val="000B0B57"/>
    <w:rsid w:val="000B1405"/>
    <w:rsid w:val="000B159B"/>
    <w:rsid w:val="000B2535"/>
    <w:rsid w:val="000C052C"/>
    <w:rsid w:val="000C2F4D"/>
    <w:rsid w:val="000C6693"/>
    <w:rsid w:val="000D256F"/>
    <w:rsid w:val="000D2749"/>
    <w:rsid w:val="000D58ED"/>
    <w:rsid w:val="000D66D2"/>
    <w:rsid w:val="000E2411"/>
    <w:rsid w:val="000F312B"/>
    <w:rsid w:val="000F3AD2"/>
    <w:rsid w:val="000F6EA7"/>
    <w:rsid w:val="00101FB9"/>
    <w:rsid w:val="00110200"/>
    <w:rsid w:val="00110A46"/>
    <w:rsid w:val="001119FE"/>
    <w:rsid w:val="0011363F"/>
    <w:rsid w:val="00114A07"/>
    <w:rsid w:val="0012301B"/>
    <w:rsid w:val="00123828"/>
    <w:rsid w:val="00124A50"/>
    <w:rsid w:val="0012676E"/>
    <w:rsid w:val="00126C90"/>
    <w:rsid w:val="001338B4"/>
    <w:rsid w:val="0013416C"/>
    <w:rsid w:val="001370A0"/>
    <w:rsid w:val="00140714"/>
    <w:rsid w:val="001426D2"/>
    <w:rsid w:val="00143D5C"/>
    <w:rsid w:val="0014607F"/>
    <w:rsid w:val="001477AA"/>
    <w:rsid w:val="00147806"/>
    <w:rsid w:val="00147DB1"/>
    <w:rsid w:val="001510FA"/>
    <w:rsid w:val="00151F2F"/>
    <w:rsid w:val="00152700"/>
    <w:rsid w:val="00162DAD"/>
    <w:rsid w:val="001633B9"/>
    <w:rsid w:val="00163732"/>
    <w:rsid w:val="00164732"/>
    <w:rsid w:val="001656E1"/>
    <w:rsid w:val="001706FB"/>
    <w:rsid w:val="00172364"/>
    <w:rsid w:val="0017791D"/>
    <w:rsid w:val="00181002"/>
    <w:rsid w:val="00190450"/>
    <w:rsid w:val="00190A4A"/>
    <w:rsid w:val="00191F23"/>
    <w:rsid w:val="001926B5"/>
    <w:rsid w:val="00196683"/>
    <w:rsid w:val="00197A9B"/>
    <w:rsid w:val="001A6533"/>
    <w:rsid w:val="001A6FB4"/>
    <w:rsid w:val="001B0197"/>
    <w:rsid w:val="001B0345"/>
    <w:rsid w:val="001B3B62"/>
    <w:rsid w:val="001B5F38"/>
    <w:rsid w:val="001D1825"/>
    <w:rsid w:val="001D3D28"/>
    <w:rsid w:val="001E0197"/>
    <w:rsid w:val="001E0C8C"/>
    <w:rsid w:val="001E0DD3"/>
    <w:rsid w:val="001E17B2"/>
    <w:rsid w:val="001E5245"/>
    <w:rsid w:val="001F40CC"/>
    <w:rsid w:val="001F44A1"/>
    <w:rsid w:val="001F52FC"/>
    <w:rsid w:val="001F641B"/>
    <w:rsid w:val="00200ED3"/>
    <w:rsid w:val="00201F69"/>
    <w:rsid w:val="0021238C"/>
    <w:rsid w:val="0021385F"/>
    <w:rsid w:val="00214C86"/>
    <w:rsid w:val="0021690C"/>
    <w:rsid w:val="00220650"/>
    <w:rsid w:val="00221D45"/>
    <w:rsid w:val="002220D8"/>
    <w:rsid w:val="00225C70"/>
    <w:rsid w:val="002266A8"/>
    <w:rsid w:val="00226B40"/>
    <w:rsid w:val="0023096D"/>
    <w:rsid w:val="00233B09"/>
    <w:rsid w:val="00234EE0"/>
    <w:rsid w:val="00235CFB"/>
    <w:rsid w:val="00240D0E"/>
    <w:rsid w:val="00242F9F"/>
    <w:rsid w:val="00254CE3"/>
    <w:rsid w:val="002558AA"/>
    <w:rsid w:val="002606D7"/>
    <w:rsid w:val="00262B68"/>
    <w:rsid w:val="002649CA"/>
    <w:rsid w:val="002674F8"/>
    <w:rsid w:val="00275808"/>
    <w:rsid w:val="00275C84"/>
    <w:rsid w:val="002761CC"/>
    <w:rsid w:val="002778BE"/>
    <w:rsid w:val="002854EE"/>
    <w:rsid w:val="0029068A"/>
    <w:rsid w:val="002925F9"/>
    <w:rsid w:val="00294C5E"/>
    <w:rsid w:val="002A1149"/>
    <w:rsid w:val="002A321A"/>
    <w:rsid w:val="002A3EE5"/>
    <w:rsid w:val="002B08C9"/>
    <w:rsid w:val="002B11A9"/>
    <w:rsid w:val="002B21B0"/>
    <w:rsid w:val="002B21E8"/>
    <w:rsid w:val="002B47C6"/>
    <w:rsid w:val="002C0D94"/>
    <w:rsid w:val="002C44AA"/>
    <w:rsid w:val="002C5971"/>
    <w:rsid w:val="002C764E"/>
    <w:rsid w:val="002D0453"/>
    <w:rsid w:val="002D097C"/>
    <w:rsid w:val="002D10F2"/>
    <w:rsid w:val="002D5252"/>
    <w:rsid w:val="002D7462"/>
    <w:rsid w:val="002D7AD9"/>
    <w:rsid w:val="002F0702"/>
    <w:rsid w:val="002F170C"/>
    <w:rsid w:val="002F231C"/>
    <w:rsid w:val="002F398B"/>
    <w:rsid w:val="002F5967"/>
    <w:rsid w:val="00300A08"/>
    <w:rsid w:val="00301498"/>
    <w:rsid w:val="00301778"/>
    <w:rsid w:val="00305ACB"/>
    <w:rsid w:val="00307DD0"/>
    <w:rsid w:val="00313206"/>
    <w:rsid w:val="003132B0"/>
    <w:rsid w:val="003134CF"/>
    <w:rsid w:val="00317933"/>
    <w:rsid w:val="003221E0"/>
    <w:rsid w:val="003237CA"/>
    <w:rsid w:val="00330AED"/>
    <w:rsid w:val="00330C74"/>
    <w:rsid w:val="00334E3D"/>
    <w:rsid w:val="003363CC"/>
    <w:rsid w:val="00337FD0"/>
    <w:rsid w:val="00343349"/>
    <w:rsid w:val="003455D0"/>
    <w:rsid w:val="003459D3"/>
    <w:rsid w:val="0035049F"/>
    <w:rsid w:val="00350C3D"/>
    <w:rsid w:val="00353135"/>
    <w:rsid w:val="00354405"/>
    <w:rsid w:val="00356153"/>
    <w:rsid w:val="00356240"/>
    <w:rsid w:val="00360BDA"/>
    <w:rsid w:val="003621E2"/>
    <w:rsid w:val="00362948"/>
    <w:rsid w:val="00374369"/>
    <w:rsid w:val="00382232"/>
    <w:rsid w:val="003864B9"/>
    <w:rsid w:val="00392507"/>
    <w:rsid w:val="00395A4C"/>
    <w:rsid w:val="00395CBC"/>
    <w:rsid w:val="0039636F"/>
    <w:rsid w:val="0039662C"/>
    <w:rsid w:val="003A5FA4"/>
    <w:rsid w:val="003A75C1"/>
    <w:rsid w:val="003A7DC4"/>
    <w:rsid w:val="003B0028"/>
    <w:rsid w:val="003B0673"/>
    <w:rsid w:val="003B2389"/>
    <w:rsid w:val="003B35F4"/>
    <w:rsid w:val="003B3E52"/>
    <w:rsid w:val="003C0970"/>
    <w:rsid w:val="003C1197"/>
    <w:rsid w:val="003C6FDD"/>
    <w:rsid w:val="003D1338"/>
    <w:rsid w:val="003D2391"/>
    <w:rsid w:val="003D31F8"/>
    <w:rsid w:val="003D3303"/>
    <w:rsid w:val="003E162A"/>
    <w:rsid w:val="003E3D28"/>
    <w:rsid w:val="003E3DBD"/>
    <w:rsid w:val="003E7020"/>
    <w:rsid w:val="003F3538"/>
    <w:rsid w:val="003F58F8"/>
    <w:rsid w:val="003F5C07"/>
    <w:rsid w:val="00402452"/>
    <w:rsid w:val="00403AC6"/>
    <w:rsid w:val="004106C1"/>
    <w:rsid w:val="00420082"/>
    <w:rsid w:val="004342E0"/>
    <w:rsid w:val="00443600"/>
    <w:rsid w:val="00444A51"/>
    <w:rsid w:val="00450FB7"/>
    <w:rsid w:val="00451BC5"/>
    <w:rsid w:val="00453C57"/>
    <w:rsid w:val="004603AA"/>
    <w:rsid w:val="00461A2A"/>
    <w:rsid w:val="00463BE7"/>
    <w:rsid w:val="004675C3"/>
    <w:rsid w:val="004675C8"/>
    <w:rsid w:val="00472479"/>
    <w:rsid w:val="004725CC"/>
    <w:rsid w:val="004737E1"/>
    <w:rsid w:val="0047441F"/>
    <w:rsid w:val="00483309"/>
    <w:rsid w:val="00486DBE"/>
    <w:rsid w:val="00491D29"/>
    <w:rsid w:val="00494075"/>
    <w:rsid w:val="004973D9"/>
    <w:rsid w:val="004A0433"/>
    <w:rsid w:val="004A1A60"/>
    <w:rsid w:val="004A499F"/>
    <w:rsid w:val="004B08EE"/>
    <w:rsid w:val="004B0FE9"/>
    <w:rsid w:val="004B3E89"/>
    <w:rsid w:val="004B501F"/>
    <w:rsid w:val="004B544E"/>
    <w:rsid w:val="004B7B23"/>
    <w:rsid w:val="004C1FC4"/>
    <w:rsid w:val="004C2148"/>
    <w:rsid w:val="004C4DBE"/>
    <w:rsid w:val="004C5F52"/>
    <w:rsid w:val="004D14A0"/>
    <w:rsid w:val="004D1859"/>
    <w:rsid w:val="004D21E1"/>
    <w:rsid w:val="004D29F0"/>
    <w:rsid w:val="004D4DEF"/>
    <w:rsid w:val="004D6A39"/>
    <w:rsid w:val="004E0147"/>
    <w:rsid w:val="004E1BDF"/>
    <w:rsid w:val="004E2CD8"/>
    <w:rsid w:val="004E667B"/>
    <w:rsid w:val="004E714F"/>
    <w:rsid w:val="004E756C"/>
    <w:rsid w:val="004F28BA"/>
    <w:rsid w:val="004F485C"/>
    <w:rsid w:val="004F5515"/>
    <w:rsid w:val="004F7F51"/>
    <w:rsid w:val="00502969"/>
    <w:rsid w:val="00510ED3"/>
    <w:rsid w:val="00513F2A"/>
    <w:rsid w:val="00514322"/>
    <w:rsid w:val="00514CEE"/>
    <w:rsid w:val="00521532"/>
    <w:rsid w:val="00524E1B"/>
    <w:rsid w:val="005310C1"/>
    <w:rsid w:val="00532461"/>
    <w:rsid w:val="00533279"/>
    <w:rsid w:val="0053430F"/>
    <w:rsid w:val="00534EC3"/>
    <w:rsid w:val="005376A4"/>
    <w:rsid w:val="0054450E"/>
    <w:rsid w:val="00544942"/>
    <w:rsid w:val="005457B1"/>
    <w:rsid w:val="005562EE"/>
    <w:rsid w:val="00561078"/>
    <w:rsid w:val="005616C8"/>
    <w:rsid w:val="0056247D"/>
    <w:rsid w:val="00562F81"/>
    <w:rsid w:val="00563363"/>
    <w:rsid w:val="00566CC9"/>
    <w:rsid w:val="00567A64"/>
    <w:rsid w:val="005706F7"/>
    <w:rsid w:val="00570F90"/>
    <w:rsid w:val="00571F52"/>
    <w:rsid w:val="00573A1F"/>
    <w:rsid w:val="005762B0"/>
    <w:rsid w:val="00576673"/>
    <w:rsid w:val="00577061"/>
    <w:rsid w:val="00577FE5"/>
    <w:rsid w:val="00583EB9"/>
    <w:rsid w:val="00590849"/>
    <w:rsid w:val="0059331A"/>
    <w:rsid w:val="005946AC"/>
    <w:rsid w:val="005954B4"/>
    <w:rsid w:val="0059679B"/>
    <w:rsid w:val="00597BD0"/>
    <w:rsid w:val="005A039A"/>
    <w:rsid w:val="005B2D51"/>
    <w:rsid w:val="005B74DA"/>
    <w:rsid w:val="005B7582"/>
    <w:rsid w:val="005B76B7"/>
    <w:rsid w:val="005C1E93"/>
    <w:rsid w:val="005C68A2"/>
    <w:rsid w:val="005C6C30"/>
    <w:rsid w:val="005D4AD8"/>
    <w:rsid w:val="005D559D"/>
    <w:rsid w:val="005F0EFE"/>
    <w:rsid w:val="005F674E"/>
    <w:rsid w:val="00604CD8"/>
    <w:rsid w:val="00605A3E"/>
    <w:rsid w:val="0060685C"/>
    <w:rsid w:val="006126FB"/>
    <w:rsid w:val="006135DF"/>
    <w:rsid w:val="00621AA4"/>
    <w:rsid w:val="00625B72"/>
    <w:rsid w:val="0062726E"/>
    <w:rsid w:val="00631202"/>
    <w:rsid w:val="00632A29"/>
    <w:rsid w:val="006367A8"/>
    <w:rsid w:val="0064122A"/>
    <w:rsid w:val="0064469C"/>
    <w:rsid w:val="00644E7F"/>
    <w:rsid w:val="00647BC9"/>
    <w:rsid w:val="0065091E"/>
    <w:rsid w:val="00650E32"/>
    <w:rsid w:val="006536D3"/>
    <w:rsid w:val="00656CCB"/>
    <w:rsid w:val="0065746F"/>
    <w:rsid w:val="0066198C"/>
    <w:rsid w:val="00662672"/>
    <w:rsid w:val="00670A9E"/>
    <w:rsid w:val="00672768"/>
    <w:rsid w:val="00674CFE"/>
    <w:rsid w:val="00675FC9"/>
    <w:rsid w:val="006766C6"/>
    <w:rsid w:val="0068020A"/>
    <w:rsid w:val="006821F2"/>
    <w:rsid w:val="00683A49"/>
    <w:rsid w:val="00683C25"/>
    <w:rsid w:val="00687E23"/>
    <w:rsid w:val="00691138"/>
    <w:rsid w:val="0069406A"/>
    <w:rsid w:val="006A5BEE"/>
    <w:rsid w:val="006A5DFE"/>
    <w:rsid w:val="006A62FD"/>
    <w:rsid w:val="006A777C"/>
    <w:rsid w:val="006B0409"/>
    <w:rsid w:val="006B1D13"/>
    <w:rsid w:val="006C18BC"/>
    <w:rsid w:val="006C22C6"/>
    <w:rsid w:val="006C33A5"/>
    <w:rsid w:val="006C3439"/>
    <w:rsid w:val="006C38B6"/>
    <w:rsid w:val="006C3B45"/>
    <w:rsid w:val="006C6120"/>
    <w:rsid w:val="006D0007"/>
    <w:rsid w:val="006D0FCD"/>
    <w:rsid w:val="006D1207"/>
    <w:rsid w:val="006E0B6A"/>
    <w:rsid w:val="006E658B"/>
    <w:rsid w:val="006E6EA6"/>
    <w:rsid w:val="006E7857"/>
    <w:rsid w:val="006F6289"/>
    <w:rsid w:val="006F7CBA"/>
    <w:rsid w:val="0070128C"/>
    <w:rsid w:val="007027CE"/>
    <w:rsid w:val="00702FDC"/>
    <w:rsid w:val="00706247"/>
    <w:rsid w:val="007074DB"/>
    <w:rsid w:val="00711EE5"/>
    <w:rsid w:val="0071238D"/>
    <w:rsid w:val="0071754B"/>
    <w:rsid w:val="00720C6D"/>
    <w:rsid w:val="0072482E"/>
    <w:rsid w:val="007250B0"/>
    <w:rsid w:val="0072757E"/>
    <w:rsid w:val="00730454"/>
    <w:rsid w:val="00731075"/>
    <w:rsid w:val="00732E0A"/>
    <w:rsid w:val="0073354E"/>
    <w:rsid w:val="00733B66"/>
    <w:rsid w:val="007346C3"/>
    <w:rsid w:val="00734D73"/>
    <w:rsid w:val="00737C1A"/>
    <w:rsid w:val="00745407"/>
    <w:rsid w:val="00746E89"/>
    <w:rsid w:val="00747E39"/>
    <w:rsid w:val="00752F08"/>
    <w:rsid w:val="00753EC0"/>
    <w:rsid w:val="00763064"/>
    <w:rsid w:val="00765810"/>
    <w:rsid w:val="007665AD"/>
    <w:rsid w:val="00766A86"/>
    <w:rsid w:val="00766FB9"/>
    <w:rsid w:val="00771AF9"/>
    <w:rsid w:val="007728FC"/>
    <w:rsid w:val="00772D65"/>
    <w:rsid w:val="00775E60"/>
    <w:rsid w:val="00784117"/>
    <w:rsid w:val="00792BD1"/>
    <w:rsid w:val="00793EE1"/>
    <w:rsid w:val="0079410D"/>
    <w:rsid w:val="00794849"/>
    <w:rsid w:val="00794B39"/>
    <w:rsid w:val="00796BEB"/>
    <w:rsid w:val="00797FA6"/>
    <w:rsid w:val="007A0C42"/>
    <w:rsid w:val="007A1225"/>
    <w:rsid w:val="007A4BB7"/>
    <w:rsid w:val="007A7D95"/>
    <w:rsid w:val="007B1B05"/>
    <w:rsid w:val="007B2F0F"/>
    <w:rsid w:val="007B3C3E"/>
    <w:rsid w:val="007B4202"/>
    <w:rsid w:val="007C2428"/>
    <w:rsid w:val="007C6213"/>
    <w:rsid w:val="007D09E6"/>
    <w:rsid w:val="007D1D03"/>
    <w:rsid w:val="007D26FE"/>
    <w:rsid w:val="007D4392"/>
    <w:rsid w:val="007D4BB3"/>
    <w:rsid w:val="007D4BE2"/>
    <w:rsid w:val="007D6062"/>
    <w:rsid w:val="007E150D"/>
    <w:rsid w:val="007E238B"/>
    <w:rsid w:val="007E4D50"/>
    <w:rsid w:val="007F273F"/>
    <w:rsid w:val="007F4FA2"/>
    <w:rsid w:val="00805D61"/>
    <w:rsid w:val="008071A6"/>
    <w:rsid w:val="00807D08"/>
    <w:rsid w:val="008125DD"/>
    <w:rsid w:val="00813430"/>
    <w:rsid w:val="00817A10"/>
    <w:rsid w:val="008237C1"/>
    <w:rsid w:val="00825484"/>
    <w:rsid w:val="008264EB"/>
    <w:rsid w:val="00826652"/>
    <w:rsid w:val="0082778E"/>
    <w:rsid w:val="008305D5"/>
    <w:rsid w:val="0084021F"/>
    <w:rsid w:val="00840668"/>
    <w:rsid w:val="00841696"/>
    <w:rsid w:val="00841D7F"/>
    <w:rsid w:val="0084563F"/>
    <w:rsid w:val="00845E11"/>
    <w:rsid w:val="008506B9"/>
    <w:rsid w:val="00851E95"/>
    <w:rsid w:val="0086528D"/>
    <w:rsid w:val="0086614A"/>
    <w:rsid w:val="00867A87"/>
    <w:rsid w:val="00867C74"/>
    <w:rsid w:val="0087364B"/>
    <w:rsid w:val="00874871"/>
    <w:rsid w:val="00875811"/>
    <w:rsid w:val="008768DC"/>
    <w:rsid w:val="00877130"/>
    <w:rsid w:val="00881F21"/>
    <w:rsid w:val="00882009"/>
    <w:rsid w:val="00895D1B"/>
    <w:rsid w:val="00896708"/>
    <w:rsid w:val="00897E19"/>
    <w:rsid w:val="008A21CA"/>
    <w:rsid w:val="008A238C"/>
    <w:rsid w:val="008A331C"/>
    <w:rsid w:val="008B15F2"/>
    <w:rsid w:val="008B29CC"/>
    <w:rsid w:val="008B2A46"/>
    <w:rsid w:val="008B2F0A"/>
    <w:rsid w:val="008B37C8"/>
    <w:rsid w:val="008B4CC6"/>
    <w:rsid w:val="008B4E81"/>
    <w:rsid w:val="008C0A57"/>
    <w:rsid w:val="008C2DDA"/>
    <w:rsid w:val="008C6613"/>
    <w:rsid w:val="008C6964"/>
    <w:rsid w:val="008D0E91"/>
    <w:rsid w:val="008D59BC"/>
    <w:rsid w:val="008D7237"/>
    <w:rsid w:val="008E4A13"/>
    <w:rsid w:val="008E7630"/>
    <w:rsid w:val="008E7DE5"/>
    <w:rsid w:val="008F091E"/>
    <w:rsid w:val="008F284A"/>
    <w:rsid w:val="008F5DC3"/>
    <w:rsid w:val="009006C3"/>
    <w:rsid w:val="00900FF8"/>
    <w:rsid w:val="00901620"/>
    <w:rsid w:val="00903433"/>
    <w:rsid w:val="0090355F"/>
    <w:rsid w:val="00904AF7"/>
    <w:rsid w:val="009075F2"/>
    <w:rsid w:val="00907CFD"/>
    <w:rsid w:val="00912059"/>
    <w:rsid w:val="00913BA8"/>
    <w:rsid w:val="0091453D"/>
    <w:rsid w:val="00915520"/>
    <w:rsid w:val="00916A27"/>
    <w:rsid w:val="0091718C"/>
    <w:rsid w:val="00922500"/>
    <w:rsid w:val="009231B6"/>
    <w:rsid w:val="00923933"/>
    <w:rsid w:val="009252B8"/>
    <w:rsid w:val="00925CEE"/>
    <w:rsid w:val="00926B88"/>
    <w:rsid w:val="00931088"/>
    <w:rsid w:val="00936730"/>
    <w:rsid w:val="00937BC4"/>
    <w:rsid w:val="00943EC8"/>
    <w:rsid w:val="00944B3D"/>
    <w:rsid w:val="00947A94"/>
    <w:rsid w:val="00951DD5"/>
    <w:rsid w:val="00956672"/>
    <w:rsid w:val="00956A18"/>
    <w:rsid w:val="00960403"/>
    <w:rsid w:val="00960EEF"/>
    <w:rsid w:val="0096121A"/>
    <w:rsid w:val="00963F93"/>
    <w:rsid w:val="00966B35"/>
    <w:rsid w:val="0097122D"/>
    <w:rsid w:val="00974A4C"/>
    <w:rsid w:val="009777DD"/>
    <w:rsid w:val="0098388A"/>
    <w:rsid w:val="00983E7F"/>
    <w:rsid w:val="00984712"/>
    <w:rsid w:val="00985CE2"/>
    <w:rsid w:val="009865D6"/>
    <w:rsid w:val="00990F45"/>
    <w:rsid w:val="00993A36"/>
    <w:rsid w:val="009966EA"/>
    <w:rsid w:val="00996FC2"/>
    <w:rsid w:val="00997674"/>
    <w:rsid w:val="009A0809"/>
    <w:rsid w:val="009A52C5"/>
    <w:rsid w:val="009A679C"/>
    <w:rsid w:val="009A6886"/>
    <w:rsid w:val="009A6B60"/>
    <w:rsid w:val="009B2A3B"/>
    <w:rsid w:val="009B7EC2"/>
    <w:rsid w:val="009C2D86"/>
    <w:rsid w:val="009C62E1"/>
    <w:rsid w:val="009C797D"/>
    <w:rsid w:val="009D0DA7"/>
    <w:rsid w:val="009D1ACE"/>
    <w:rsid w:val="009D28DC"/>
    <w:rsid w:val="009D7122"/>
    <w:rsid w:val="009D7FED"/>
    <w:rsid w:val="009E297B"/>
    <w:rsid w:val="009E3E27"/>
    <w:rsid w:val="009E588D"/>
    <w:rsid w:val="009F3BF9"/>
    <w:rsid w:val="009F4705"/>
    <w:rsid w:val="009F5006"/>
    <w:rsid w:val="009F645B"/>
    <w:rsid w:val="009F682A"/>
    <w:rsid w:val="009F72D5"/>
    <w:rsid w:val="00A0342F"/>
    <w:rsid w:val="00A041E3"/>
    <w:rsid w:val="00A066AE"/>
    <w:rsid w:val="00A11031"/>
    <w:rsid w:val="00A120FA"/>
    <w:rsid w:val="00A125B3"/>
    <w:rsid w:val="00A12CC2"/>
    <w:rsid w:val="00A130C0"/>
    <w:rsid w:val="00A14C6C"/>
    <w:rsid w:val="00A163CE"/>
    <w:rsid w:val="00A17B1C"/>
    <w:rsid w:val="00A214CD"/>
    <w:rsid w:val="00A24A5E"/>
    <w:rsid w:val="00A25E07"/>
    <w:rsid w:val="00A2645B"/>
    <w:rsid w:val="00A32AAB"/>
    <w:rsid w:val="00A420E2"/>
    <w:rsid w:val="00A43EE3"/>
    <w:rsid w:val="00A503FA"/>
    <w:rsid w:val="00A51070"/>
    <w:rsid w:val="00A5529D"/>
    <w:rsid w:val="00A625DB"/>
    <w:rsid w:val="00A6260E"/>
    <w:rsid w:val="00A65BEE"/>
    <w:rsid w:val="00A7388D"/>
    <w:rsid w:val="00A775AB"/>
    <w:rsid w:val="00A775BC"/>
    <w:rsid w:val="00A80043"/>
    <w:rsid w:val="00A80124"/>
    <w:rsid w:val="00A82C41"/>
    <w:rsid w:val="00A8403B"/>
    <w:rsid w:val="00A848A1"/>
    <w:rsid w:val="00A86F30"/>
    <w:rsid w:val="00A92B15"/>
    <w:rsid w:val="00A93C56"/>
    <w:rsid w:val="00A9638C"/>
    <w:rsid w:val="00A97E23"/>
    <w:rsid w:val="00AA70B6"/>
    <w:rsid w:val="00AA7138"/>
    <w:rsid w:val="00AB1FDA"/>
    <w:rsid w:val="00AB4CD7"/>
    <w:rsid w:val="00AB5FC6"/>
    <w:rsid w:val="00AC006E"/>
    <w:rsid w:val="00AC1462"/>
    <w:rsid w:val="00AC31B9"/>
    <w:rsid w:val="00AC4BAC"/>
    <w:rsid w:val="00AC4D94"/>
    <w:rsid w:val="00AC5CFD"/>
    <w:rsid w:val="00AC7D8E"/>
    <w:rsid w:val="00AD12EB"/>
    <w:rsid w:val="00AD7705"/>
    <w:rsid w:val="00AE031B"/>
    <w:rsid w:val="00AE06FD"/>
    <w:rsid w:val="00AE46DC"/>
    <w:rsid w:val="00AE4A9A"/>
    <w:rsid w:val="00AF282E"/>
    <w:rsid w:val="00AF67CE"/>
    <w:rsid w:val="00B008F0"/>
    <w:rsid w:val="00B01684"/>
    <w:rsid w:val="00B03EDD"/>
    <w:rsid w:val="00B04852"/>
    <w:rsid w:val="00B05654"/>
    <w:rsid w:val="00B11534"/>
    <w:rsid w:val="00B137C6"/>
    <w:rsid w:val="00B16B83"/>
    <w:rsid w:val="00B16C2A"/>
    <w:rsid w:val="00B17C59"/>
    <w:rsid w:val="00B203D4"/>
    <w:rsid w:val="00B24E2C"/>
    <w:rsid w:val="00B2735F"/>
    <w:rsid w:val="00B32310"/>
    <w:rsid w:val="00B329F2"/>
    <w:rsid w:val="00B32F95"/>
    <w:rsid w:val="00B33565"/>
    <w:rsid w:val="00B3531E"/>
    <w:rsid w:val="00B35691"/>
    <w:rsid w:val="00B40B8F"/>
    <w:rsid w:val="00B410D5"/>
    <w:rsid w:val="00B441CE"/>
    <w:rsid w:val="00B53E21"/>
    <w:rsid w:val="00B54CA8"/>
    <w:rsid w:val="00B55B09"/>
    <w:rsid w:val="00B566EF"/>
    <w:rsid w:val="00B570FE"/>
    <w:rsid w:val="00B577D9"/>
    <w:rsid w:val="00B607EE"/>
    <w:rsid w:val="00B60C0D"/>
    <w:rsid w:val="00B642A2"/>
    <w:rsid w:val="00B6630A"/>
    <w:rsid w:val="00B6673B"/>
    <w:rsid w:val="00B70BC1"/>
    <w:rsid w:val="00B70E7F"/>
    <w:rsid w:val="00B7178E"/>
    <w:rsid w:val="00B74912"/>
    <w:rsid w:val="00B75465"/>
    <w:rsid w:val="00B801F5"/>
    <w:rsid w:val="00B81BEC"/>
    <w:rsid w:val="00B8576B"/>
    <w:rsid w:val="00B91CC9"/>
    <w:rsid w:val="00B91E6D"/>
    <w:rsid w:val="00B94029"/>
    <w:rsid w:val="00B95F22"/>
    <w:rsid w:val="00B96F69"/>
    <w:rsid w:val="00BA040B"/>
    <w:rsid w:val="00BA0A5B"/>
    <w:rsid w:val="00BA243F"/>
    <w:rsid w:val="00BB1E0F"/>
    <w:rsid w:val="00BB21D3"/>
    <w:rsid w:val="00BB3F9E"/>
    <w:rsid w:val="00BB58DD"/>
    <w:rsid w:val="00BC0992"/>
    <w:rsid w:val="00BC495A"/>
    <w:rsid w:val="00BD0F83"/>
    <w:rsid w:val="00BD3E5A"/>
    <w:rsid w:val="00BD40C8"/>
    <w:rsid w:val="00BD68C2"/>
    <w:rsid w:val="00BD78F2"/>
    <w:rsid w:val="00BE174A"/>
    <w:rsid w:val="00BE2AD5"/>
    <w:rsid w:val="00BE57CB"/>
    <w:rsid w:val="00BF0C43"/>
    <w:rsid w:val="00BF4D21"/>
    <w:rsid w:val="00BF5183"/>
    <w:rsid w:val="00BF65F5"/>
    <w:rsid w:val="00BF77A5"/>
    <w:rsid w:val="00C018C7"/>
    <w:rsid w:val="00C028BE"/>
    <w:rsid w:val="00C04A99"/>
    <w:rsid w:val="00C057FE"/>
    <w:rsid w:val="00C14A49"/>
    <w:rsid w:val="00C15BD3"/>
    <w:rsid w:val="00C16E7F"/>
    <w:rsid w:val="00C2070B"/>
    <w:rsid w:val="00C21952"/>
    <w:rsid w:val="00C22CB0"/>
    <w:rsid w:val="00C26DC4"/>
    <w:rsid w:val="00C32B55"/>
    <w:rsid w:val="00C33C87"/>
    <w:rsid w:val="00C37372"/>
    <w:rsid w:val="00C426F6"/>
    <w:rsid w:val="00C43E07"/>
    <w:rsid w:val="00C4622C"/>
    <w:rsid w:val="00C47BAB"/>
    <w:rsid w:val="00C534E4"/>
    <w:rsid w:val="00C5374E"/>
    <w:rsid w:val="00C5414A"/>
    <w:rsid w:val="00C65D2D"/>
    <w:rsid w:val="00C76B5F"/>
    <w:rsid w:val="00C77EB1"/>
    <w:rsid w:val="00C83318"/>
    <w:rsid w:val="00C83EEB"/>
    <w:rsid w:val="00C85F36"/>
    <w:rsid w:val="00C87E9B"/>
    <w:rsid w:val="00C93F90"/>
    <w:rsid w:val="00C97598"/>
    <w:rsid w:val="00CA474A"/>
    <w:rsid w:val="00CA4DC4"/>
    <w:rsid w:val="00CB4AF1"/>
    <w:rsid w:val="00CB518B"/>
    <w:rsid w:val="00CB5C27"/>
    <w:rsid w:val="00CB75C0"/>
    <w:rsid w:val="00CC062F"/>
    <w:rsid w:val="00CC2272"/>
    <w:rsid w:val="00CC3432"/>
    <w:rsid w:val="00CC35F4"/>
    <w:rsid w:val="00CC49B4"/>
    <w:rsid w:val="00CD065B"/>
    <w:rsid w:val="00CD537F"/>
    <w:rsid w:val="00CD791E"/>
    <w:rsid w:val="00CE514A"/>
    <w:rsid w:val="00CF17D1"/>
    <w:rsid w:val="00CF1F63"/>
    <w:rsid w:val="00CF203A"/>
    <w:rsid w:val="00CF3B2C"/>
    <w:rsid w:val="00CF54C9"/>
    <w:rsid w:val="00CF6DC8"/>
    <w:rsid w:val="00D014D1"/>
    <w:rsid w:val="00D0363B"/>
    <w:rsid w:val="00D054F6"/>
    <w:rsid w:val="00D05707"/>
    <w:rsid w:val="00D05768"/>
    <w:rsid w:val="00D12C0B"/>
    <w:rsid w:val="00D150EA"/>
    <w:rsid w:val="00D154DB"/>
    <w:rsid w:val="00D20611"/>
    <w:rsid w:val="00D22ECC"/>
    <w:rsid w:val="00D268A0"/>
    <w:rsid w:val="00D27E07"/>
    <w:rsid w:val="00D32FA8"/>
    <w:rsid w:val="00D4239C"/>
    <w:rsid w:val="00D42918"/>
    <w:rsid w:val="00D429FE"/>
    <w:rsid w:val="00D46E9F"/>
    <w:rsid w:val="00D53766"/>
    <w:rsid w:val="00D54B1D"/>
    <w:rsid w:val="00D568B9"/>
    <w:rsid w:val="00D62132"/>
    <w:rsid w:val="00D669BD"/>
    <w:rsid w:val="00D677EF"/>
    <w:rsid w:val="00D72546"/>
    <w:rsid w:val="00D745E6"/>
    <w:rsid w:val="00D74A98"/>
    <w:rsid w:val="00D7741C"/>
    <w:rsid w:val="00D77E81"/>
    <w:rsid w:val="00D806F0"/>
    <w:rsid w:val="00D86382"/>
    <w:rsid w:val="00D865D3"/>
    <w:rsid w:val="00D91C2D"/>
    <w:rsid w:val="00D96778"/>
    <w:rsid w:val="00D97B25"/>
    <w:rsid w:val="00D97F44"/>
    <w:rsid w:val="00DA114B"/>
    <w:rsid w:val="00DA240F"/>
    <w:rsid w:val="00DA50E6"/>
    <w:rsid w:val="00DA7FA8"/>
    <w:rsid w:val="00DB63FB"/>
    <w:rsid w:val="00DB7728"/>
    <w:rsid w:val="00DC1D8E"/>
    <w:rsid w:val="00DC3CBE"/>
    <w:rsid w:val="00DC52F0"/>
    <w:rsid w:val="00DD1D2C"/>
    <w:rsid w:val="00DD2E2D"/>
    <w:rsid w:val="00DD6D34"/>
    <w:rsid w:val="00DD7846"/>
    <w:rsid w:val="00DE1C37"/>
    <w:rsid w:val="00DE452C"/>
    <w:rsid w:val="00DE5920"/>
    <w:rsid w:val="00DE5BFD"/>
    <w:rsid w:val="00DE5D16"/>
    <w:rsid w:val="00DE676A"/>
    <w:rsid w:val="00DE6F35"/>
    <w:rsid w:val="00DF0727"/>
    <w:rsid w:val="00DF5944"/>
    <w:rsid w:val="00E00B95"/>
    <w:rsid w:val="00E00C4F"/>
    <w:rsid w:val="00E01859"/>
    <w:rsid w:val="00E03F32"/>
    <w:rsid w:val="00E06393"/>
    <w:rsid w:val="00E068BA"/>
    <w:rsid w:val="00E136E3"/>
    <w:rsid w:val="00E211F4"/>
    <w:rsid w:val="00E21D71"/>
    <w:rsid w:val="00E22C46"/>
    <w:rsid w:val="00E24AAB"/>
    <w:rsid w:val="00E24E81"/>
    <w:rsid w:val="00E25553"/>
    <w:rsid w:val="00E31C07"/>
    <w:rsid w:val="00E31EE4"/>
    <w:rsid w:val="00E332BD"/>
    <w:rsid w:val="00E3734B"/>
    <w:rsid w:val="00E41C8D"/>
    <w:rsid w:val="00E45208"/>
    <w:rsid w:val="00E4781A"/>
    <w:rsid w:val="00E54F33"/>
    <w:rsid w:val="00E568D2"/>
    <w:rsid w:val="00E62AEF"/>
    <w:rsid w:val="00E63F5E"/>
    <w:rsid w:val="00E64B2B"/>
    <w:rsid w:val="00E653A6"/>
    <w:rsid w:val="00E73089"/>
    <w:rsid w:val="00E84864"/>
    <w:rsid w:val="00E85E64"/>
    <w:rsid w:val="00E90C80"/>
    <w:rsid w:val="00E93117"/>
    <w:rsid w:val="00E93BAB"/>
    <w:rsid w:val="00E949EC"/>
    <w:rsid w:val="00E94A74"/>
    <w:rsid w:val="00E95027"/>
    <w:rsid w:val="00E9731B"/>
    <w:rsid w:val="00EA3201"/>
    <w:rsid w:val="00EA3BB3"/>
    <w:rsid w:val="00EA4790"/>
    <w:rsid w:val="00EA7E6B"/>
    <w:rsid w:val="00EB0A59"/>
    <w:rsid w:val="00EB1C65"/>
    <w:rsid w:val="00EB4EA8"/>
    <w:rsid w:val="00EB504B"/>
    <w:rsid w:val="00EC03A8"/>
    <w:rsid w:val="00EC3371"/>
    <w:rsid w:val="00ED6726"/>
    <w:rsid w:val="00ED6C1A"/>
    <w:rsid w:val="00EE177F"/>
    <w:rsid w:val="00EE385C"/>
    <w:rsid w:val="00EF1310"/>
    <w:rsid w:val="00F009EE"/>
    <w:rsid w:val="00F0439C"/>
    <w:rsid w:val="00F044A5"/>
    <w:rsid w:val="00F07C07"/>
    <w:rsid w:val="00F07CC7"/>
    <w:rsid w:val="00F10CCC"/>
    <w:rsid w:val="00F11780"/>
    <w:rsid w:val="00F13FC5"/>
    <w:rsid w:val="00F156E3"/>
    <w:rsid w:val="00F179CC"/>
    <w:rsid w:val="00F21B81"/>
    <w:rsid w:val="00F229FB"/>
    <w:rsid w:val="00F25DF3"/>
    <w:rsid w:val="00F26EAB"/>
    <w:rsid w:val="00F348D2"/>
    <w:rsid w:val="00F354E8"/>
    <w:rsid w:val="00F37EF5"/>
    <w:rsid w:val="00F44151"/>
    <w:rsid w:val="00F47275"/>
    <w:rsid w:val="00F516E8"/>
    <w:rsid w:val="00F53F7E"/>
    <w:rsid w:val="00F565D8"/>
    <w:rsid w:val="00F643C2"/>
    <w:rsid w:val="00F646B0"/>
    <w:rsid w:val="00F64C5D"/>
    <w:rsid w:val="00F67A91"/>
    <w:rsid w:val="00F73A57"/>
    <w:rsid w:val="00F80AAD"/>
    <w:rsid w:val="00F81748"/>
    <w:rsid w:val="00F8287B"/>
    <w:rsid w:val="00F85657"/>
    <w:rsid w:val="00F85D72"/>
    <w:rsid w:val="00F9040A"/>
    <w:rsid w:val="00F907E2"/>
    <w:rsid w:val="00F9215A"/>
    <w:rsid w:val="00F93660"/>
    <w:rsid w:val="00F954A5"/>
    <w:rsid w:val="00F968F0"/>
    <w:rsid w:val="00F970B8"/>
    <w:rsid w:val="00FA3631"/>
    <w:rsid w:val="00FA6CFB"/>
    <w:rsid w:val="00FA70AE"/>
    <w:rsid w:val="00FB0252"/>
    <w:rsid w:val="00FB287F"/>
    <w:rsid w:val="00FB646B"/>
    <w:rsid w:val="00FB7AC4"/>
    <w:rsid w:val="00FC170C"/>
    <w:rsid w:val="00FC3F9F"/>
    <w:rsid w:val="00FC45CF"/>
    <w:rsid w:val="00FC69F0"/>
    <w:rsid w:val="00FC717F"/>
    <w:rsid w:val="00FC77EB"/>
    <w:rsid w:val="00FD0971"/>
    <w:rsid w:val="00FD0BA1"/>
    <w:rsid w:val="00FD4781"/>
    <w:rsid w:val="00FE007C"/>
    <w:rsid w:val="00FE354D"/>
    <w:rsid w:val="00FE36B6"/>
    <w:rsid w:val="00FF0A44"/>
    <w:rsid w:val="00FF4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style>
  <w:style w:type="paragraph" w:styleId="Heading1">
    <w:name w:val="heading 1"/>
    <w:basedOn w:val="Normal"/>
    <w:next w:val="Normal"/>
    <w:link w:val="Heading1Char"/>
    <w:uiPriority w:val="9"/>
    <w:qFormat/>
    <w:rsid w:val="00A130C0"/>
    <w:pPr>
      <w:keepNext/>
      <w:keepLines/>
      <w:outlineLvl w:val="0"/>
    </w:pPr>
    <w:rPr>
      <w:rFonts w:eastAsiaTheme="majorEastAsia" w:cstheme="majorBidi"/>
      <w:b/>
      <w:bCs/>
      <w:sz w:val="32"/>
      <w:szCs w:val="28"/>
    </w:rPr>
  </w:style>
  <w:style w:type="paragraph" w:styleId="Heading5">
    <w:name w:val="heading 5"/>
    <w:basedOn w:val="Normal"/>
    <w:next w:val="Normal"/>
    <w:link w:val="Heading5Char"/>
    <w:qFormat/>
    <w:rsid w:val="00BB1E0F"/>
    <w:pPr>
      <w:suppressAutoHyphens/>
      <w:spacing w:before="240" w:after="60"/>
      <w:outlineLvl w:val="4"/>
    </w:pPr>
    <w:rPr>
      <w:rFonts w:eastAsia="Times New Roman" w:cs="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basedOn w:val="DefaultParagraphFont"/>
    <w:link w:val="Heading1"/>
    <w:uiPriority w:val="9"/>
    <w:rsid w:val="00A130C0"/>
    <w:rPr>
      <w:rFonts w:eastAsiaTheme="majorEastAsia" w:cstheme="majorBidi"/>
      <w:b/>
      <w:bCs/>
      <w:sz w:val="32"/>
      <w:szCs w:val="28"/>
    </w:rPr>
  </w:style>
  <w:style w:type="character" w:customStyle="1" w:styleId="spelle">
    <w:name w:val="spelle"/>
    <w:basedOn w:val="DefaultParagraphFont"/>
    <w:rsid w:val="00A130C0"/>
  </w:style>
  <w:style w:type="character" w:styleId="Hyperlink">
    <w:name w:val="Hyperlink"/>
    <w:basedOn w:val="DefaultParagraphFont"/>
    <w:rsid w:val="0070128C"/>
    <w:rPr>
      <w:color w:val="0000FF"/>
      <w:u w:val="single"/>
    </w:rPr>
  </w:style>
  <w:style w:type="character" w:styleId="Strong">
    <w:name w:val="Strong"/>
    <w:basedOn w:val="DefaultParagraphFont"/>
    <w:uiPriority w:val="99"/>
    <w:qFormat/>
    <w:rsid w:val="0070128C"/>
    <w:rPr>
      <w:b/>
      <w:bCs/>
    </w:rPr>
  </w:style>
  <w:style w:type="character" w:styleId="CommentReference">
    <w:name w:val="annotation reference"/>
    <w:basedOn w:val="DefaultParagraphFont"/>
    <w:uiPriority w:val="99"/>
    <w:semiHidden/>
    <w:unhideWhenUsed/>
    <w:rsid w:val="009D7FED"/>
    <w:rPr>
      <w:sz w:val="16"/>
      <w:szCs w:val="16"/>
    </w:rPr>
  </w:style>
  <w:style w:type="paragraph" w:styleId="CommentText">
    <w:name w:val="annotation text"/>
    <w:basedOn w:val="Normal"/>
    <w:link w:val="CommentTextChar"/>
    <w:uiPriority w:val="99"/>
    <w:semiHidden/>
    <w:unhideWhenUsed/>
    <w:rsid w:val="009D7F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rsid w:val="009D7FED"/>
    <w:rPr>
      <w:rFonts w:ascii="Tahoma" w:hAnsi="Tahoma" w:cs="Tahoma"/>
      <w:sz w:val="16"/>
      <w:szCs w:val="16"/>
    </w:rPr>
  </w:style>
  <w:style w:type="paragraph" w:styleId="NoSpacing">
    <w:name w:val="No Spacing"/>
    <w:uiPriority w:val="1"/>
    <w:qFormat/>
    <w:rsid w:val="0013416C"/>
  </w:style>
  <w:style w:type="paragraph" w:styleId="BodyTextIndent">
    <w:name w:val="Body Text Indent"/>
    <w:basedOn w:val="Normal"/>
    <w:link w:val="BodyTextIndentChar"/>
    <w:uiPriority w:val="99"/>
    <w:rsid w:val="00BB1E0F"/>
    <w:pPr>
      <w:ind w:firstLine="70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BB1E0F"/>
    <w:rPr>
      <w:rFonts w:eastAsia="Times New Roman" w:cs="Times New Roman"/>
      <w:szCs w:val="24"/>
    </w:rPr>
  </w:style>
  <w:style w:type="character" w:customStyle="1" w:styleId="Heading5Char">
    <w:name w:val="Heading 5 Char"/>
    <w:basedOn w:val="DefaultParagraphFont"/>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styleId="HTMLPreformatted">
    <w:name w:val="HTML Preformatted"/>
    <w:basedOn w:val="Normal"/>
    <w:link w:val="HTMLPreformattedChar"/>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264EB"/>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6C38B6"/>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6C38B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style>
  <w:style w:type="paragraph" w:styleId="Heading1">
    <w:name w:val="heading 1"/>
    <w:basedOn w:val="Normal"/>
    <w:next w:val="Normal"/>
    <w:link w:val="Heading1Char"/>
    <w:uiPriority w:val="9"/>
    <w:qFormat/>
    <w:rsid w:val="00A130C0"/>
    <w:pPr>
      <w:keepNext/>
      <w:keepLines/>
      <w:outlineLvl w:val="0"/>
    </w:pPr>
    <w:rPr>
      <w:rFonts w:eastAsiaTheme="majorEastAsia" w:cstheme="majorBidi"/>
      <w:b/>
      <w:bCs/>
      <w:sz w:val="32"/>
      <w:szCs w:val="28"/>
    </w:rPr>
  </w:style>
  <w:style w:type="paragraph" w:styleId="Heading5">
    <w:name w:val="heading 5"/>
    <w:basedOn w:val="Normal"/>
    <w:next w:val="Normal"/>
    <w:link w:val="Heading5Char"/>
    <w:qFormat/>
    <w:rsid w:val="00BB1E0F"/>
    <w:pPr>
      <w:suppressAutoHyphens/>
      <w:spacing w:before="240" w:after="60"/>
      <w:outlineLvl w:val="4"/>
    </w:pPr>
    <w:rPr>
      <w:rFonts w:eastAsia="Times New Roman" w:cs="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basedOn w:val="DefaultParagraphFont"/>
    <w:link w:val="Heading1"/>
    <w:uiPriority w:val="9"/>
    <w:rsid w:val="00A130C0"/>
    <w:rPr>
      <w:rFonts w:eastAsiaTheme="majorEastAsia" w:cstheme="majorBidi"/>
      <w:b/>
      <w:bCs/>
      <w:sz w:val="32"/>
      <w:szCs w:val="28"/>
    </w:rPr>
  </w:style>
  <w:style w:type="character" w:customStyle="1" w:styleId="spelle">
    <w:name w:val="spelle"/>
    <w:basedOn w:val="DefaultParagraphFont"/>
    <w:rsid w:val="00A130C0"/>
  </w:style>
  <w:style w:type="character" w:styleId="Hyperlink">
    <w:name w:val="Hyperlink"/>
    <w:basedOn w:val="DefaultParagraphFont"/>
    <w:rsid w:val="0070128C"/>
    <w:rPr>
      <w:color w:val="0000FF"/>
      <w:u w:val="single"/>
    </w:rPr>
  </w:style>
  <w:style w:type="character" w:styleId="Strong">
    <w:name w:val="Strong"/>
    <w:basedOn w:val="DefaultParagraphFont"/>
    <w:uiPriority w:val="99"/>
    <w:qFormat/>
    <w:rsid w:val="0070128C"/>
    <w:rPr>
      <w:b/>
      <w:bCs/>
    </w:rPr>
  </w:style>
  <w:style w:type="character" w:styleId="CommentReference">
    <w:name w:val="annotation reference"/>
    <w:basedOn w:val="DefaultParagraphFont"/>
    <w:uiPriority w:val="99"/>
    <w:semiHidden/>
    <w:unhideWhenUsed/>
    <w:rsid w:val="009D7FED"/>
    <w:rPr>
      <w:sz w:val="16"/>
      <w:szCs w:val="16"/>
    </w:rPr>
  </w:style>
  <w:style w:type="paragraph" w:styleId="CommentText">
    <w:name w:val="annotation text"/>
    <w:basedOn w:val="Normal"/>
    <w:link w:val="CommentTextChar"/>
    <w:uiPriority w:val="99"/>
    <w:semiHidden/>
    <w:unhideWhenUsed/>
    <w:rsid w:val="009D7F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rsid w:val="009D7FED"/>
    <w:rPr>
      <w:rFonts w:ascii="Tahoma" w:hAnsi="Tahoma" w:cs="Tahoma"/>
      <w:sz w:val="16"/>
      <w:szCs w:val="16"/>
    </w:rPr>
  </w:style>
  <w:style w:type="paragraph" w:styleId="NoSpacing">
    <w:name w:val="No Spacing"/>
    <w:uiPriority w:val="1"/>
    <w:qFormat/>
    <w:rsid w:val="0013416C"/>
  </w:style>
  <w:style w:type="paragraph" w:styleId="BodyTextIndent">
    <w:name w:val="Body Text Indent"/>
    <w:basedOn w:val="Normal"/>
    <w:link w:val="BodyTextIndentChar"/>
    <w:uiPriority w:val="99"/>
    <w:rsid w:val="00BB1E0F"/>
    <w:pPr>
      <w:ind w:firstLine="70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BB1E0F"/>
    <w:rPr>
      <w:rFonts w:eastAsia="Times New Roman" w:cs="Times New Roman"/>
      <w:szCs w:val="24"/>
    </w:rPr>
  </w:style>
  <w:style w:type="character" w:customStyle="1" w:styleId="Heading5Char">
    <w:name w:val="Heading 5 Char"/>
    <w:basedOn w:val="DefaultParagraphFont"/>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styleId="HTMLPreformatted">
    <w:name w:val="HTML Preformatted"/>
    <w:basedOn w:val="Normal"/>
    <w:link w:val="HTMLPreformattedChar"/>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264EB"/>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6C38B6"/>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6C38B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6153">
      <w:bodyDiv w:val="1"/>
      <w:marLeft w:val="0"/>
      <w:marRight w:val="0"/>
      <w:marTop w:val="0"/>
      <w:marBottom w:val="0"/>
      <w:divBdr>
        <w:top w:val="none" w:sz="0" w:space="0" w:color="auto"/>
        <w:left w:val="none" w:sz="0" w:space="0" w:color="auto"/>
        <w:bottom w:val="none" w:sz="0" w:space="0" w:color="auto"/>
        <w:right w:val="none" w:sz="0" w:space="0" w:color="auto"/>
      </w:divBdr>
    </w:div>
    <w:div w:id="1010907921">
      <w:bodyDiv w:val="1"/>
      <w:marLeft w:val="0"/>
      <w:marRight w:val="0"/>
      <w:marTop w:val="0"/>
      <w:marBottom w:val="0"/>
      <w:divBdr>
        <w:top w:val="none" w:sz="0" w:space="0" w:color="auto"/>
        <w:left w:val="none" w:sz="0" w:space="0" w:color="auto"/>
        <w:bottom w:val="none" w:sz="0" w:space="0" w:color="auto"/>
        <w:right w:val="none" w:sz="0" w:space="0" w:color="auto"/>
      </w:divBdr>
    </w:div>
    <w:div w:id="1086652715">
      <w:bodyDiv w:val="1"/>
      <w:marLeft w:val="0"/>
      <w:marRight w:val="0"/>
      <w:marTop w:val="0"/>
      <w:marBottom w:val="0"/>
      <w:divBdr>
        <w:top w:val="none" w:sz="0" w:space="0" w:color="auto"/>
        <w:left w:val="none" w:sz="0" w:space="0" w:color="auto"/>
        <w:bottom w:val="none" w:sz="0" w:space="0" w:color="auto"/>
        <w:right w:val="none" w:sz="0" w:space="0" w:color="auto"/>
      </w:divBdr>
    </w:div>
    <w:div w:id="1126394195">
      <w:bodyDiv w:val="1"/>
      <w:marLeft w:val="0"/>
      <w:marRight w:val="0"/>
      <w:marTop w:val="0"/>
      <w:marBottom w:val="0"/>
      <w:divBdr>
        <w:top w:val="none" w:sz="0" w:space="0" w:color="auto"/>
        <w:left w:val="none" w:sz="0" w:space="0" w:color="auto"/>
        <w:bottom w:val="none" w:sz="0" w:space="0" w:color="auto"/>
        <w:right w:val="none" w:sz="0" w:space="0" w:color="auto"/>
      </w:divBdr>
    </w:div>
    <w:div w:id="1273392255">
      <w:bodyDiv w:val="1"/>
      <w:marLeft w:val="0"/>
      <w:marRight w:val="0"/>
      <w:marTop w:val="0"/>
      <w:marBottom w:val="0"/>
      <w:divBdr>
        <w:top w:val="none" w:sz="0" w:space="0" w:color="auto"/>
        <w:left w:val="none" w:sz="0" w:space="0" w:color="auto"/>
        <w:bottom w:val="none" w:sz="0" w:space="0" w:color="auto"/>
        <w:right w:val="none" w:sz="0" w:space="0" w:color="auto"/>
      </w:divBdr>
    </w:div>
    <w:div w:id="1654137214">
      <w:bodyDiv w:val="1"/>
      <w:marLeft w:val="0"/>
      <w:marRight w:val="0"/>
      <w:marTop w:val="0"/>
      <w:marBottom w:val="0"/>
      <w:divBdr>
        <w:top w:val="none" w:sz="0" w:space="0" w:color="auto"/>
        <w:left w:val="none" w:sz="0" w:space="0" w:color="auto"/>
        <w:bottom w:val="none" w:sz="0" w:space="0" w:color="auto"/>
        <w:right w:val="none" w:sz="0" w:space="0" w:color="auto"/>
      </w:divBdr>
    </w:div>
    <w:div w:id="1715231078">
      <w:bodyDiv w:val="1"/>
      <w:marLeft w:val="0"/>
      <w:marRight w:val="0"/>
      <w:marTop w:val="0"/>
      <w:marBottom w:val="0"/>
      <w:divBdr>
        <w:top w:val="none" w:sz="0" w:space="0" w:color="auto"/>
        <w:left w:val="none" w:sz="0" w:space="0" w:color="auto"/>
        <w:bottom w:val="none" w:sz="0" w:space="0" w:color="auto"/>
        <w:right w:val="none" w:sz="0" w:space="0" w:color="auto"/>
      </w:divBdr>
      <w:divsChild>
        <w:div w:id="6964631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evina.Dzenit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7FB8-4C77-4AB3-92A4-8ED30136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4857</Words>
  <Characters>2770</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MK noteikumiem „Grozījums Ministru kabineta 2009.gada 15.decembra noteikumos Nr.1471 „Kārtība, kādā tiek noteikta un ieskaitīta valsts budžetā izmaksājamā peļņas daļa par valsts kapitāla izmantošanu””</vt:lpstr>
      <vt:lpstr>Anotācija likumprojektam "Grozījumi likumā "Par pievienotās vērtības nodokli""</vt:lpstr>
    </vt:vector>
  </TitlesOfParts>
  <Company>Finanšu ministrija</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noteikumiem „Grozījums Ministru kabineta 2009.gada 15.decembra noteikumos Nr.1471 „Kārtība, kādā tiek noteikta un ieskaitīta valsts budžetā izmaksājamā peļņas daļa par valsts kapitāla izmantošanu””</dc:title>
  <dc:subject>Tiesību akta projekta sākotnējās ietekmes novērtējuma ziņojums (anotācija)l Ministru kabineta noteikumu projektam „Grozījumi Ministru kabineta 2009.gada 15.decembra noteikumos Nr.1471 „Kārtība, kādā tiek noteikta un ieskaitīta valsts budžetā izmaksājamā peļņas daļa par valsts kapitāla izmantošanu””</dc:subject>
  <dc:creator>ievina.dzenite@fm.gov.lv</dc:creator>
  <cp:keywords>Anotācija</cp:keywords>
  <dc:description>I.Dzenīte tālr.67095594
ievina.dzenite@fm.gov.lv</dc:description>
  <cp:lastModifiedBy>Ieviņa</cp:lastModifiedBy>
  <cp:revision>5</cp:revision>
  <cp:lastPrinted>2012-11-27T08:55:00Z</cp:lastPrinted>
  <dcterms:created xsi:type="dcterms:W3CDTF">2012-12-11T12:04:00Z</dcterms:created>
  <dcterms:modified xsi:type="dcterms:W3CDTF">2012-12-13T10:03:00Z</dcterms:modified>
</cp:coreProperties>
</file>