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07" w:rsidRPr="00535D05" w:rsidRDefault="00CD1507" w:rsidP="00CD1507">
      <w:pPr>
        <w:pStyle w:val="tv20787921"/>
        <w:spacing w:after="0" w:line="240" w:lineRule="auto"/>
        <w:rPr>
          <w:rFonts w:ascii="Times New Roman" w:hAnsi="Times New Roman"/>
          <w:sz w:val="24"/>
          <w:szCs w:val="24"/>
        </w:rPr>
      </w:pPr>
      <w:bookmarkStart w:id="0" w:name="_Hlk320622195"/>
      <w:bookmarkStart w:id="1" w:name="OLE_LINK19"/>
      <w:bookmarkStart w:id="2" w:name="OLE_LINK18"/>
      <w:bookmarkStart w:id="3" w:name="OLE_LINK17"/>
      <w:bookmarkStart w:id="4" w:name="OLE_LINK6"/>
      <w:bookmarkStart w:id="5" w:name="OLE_LINK5"/>
      <w:bookmarkStart w:id="6" w:name="_Hlk243982562"/>
      <w:bookmarkStart w:id="7" w:name="OLE_LINK2"/>
      <w:bookmarkStart w:id="8" w:name="OLE_LINK1"/>
      <w:r w:rsidRPr="00535D05">
        <w:rPr>
          <w:rFonts w:ascii="Times New Roman" w:hAnsi="Times New Roman"/>
          <w:sz w:val="24"/>
          <w:szCs w:val="24"/>
        </w:rPr>
        <w:t>Ministru kabineta noteikumu projekt</w:t>
      </w:r>
      <w:bookmarkEnd w:id="0"/>
      <w:bookmarkEnd w:id="1"/>
      <w:bookmarkEnd w:id="2"/>
      <w:bookmarkEnd w:id="3"/>
      <w:bookmarkEnd w:id="4"/>
      <w:bookmarkEnd w:id="5"/>
      <w:bookmarkEnd w:id="6"/>
      <w:bookmarkEnd w:id="7"/>
      <w:bookmarkEnd w:id="8"/>
      <w:r w:rsidRPr="00535D05">
        <w:rPr>
          <w:rFonts w:ascii="Times New Roman" w:hAnsi="Times New Roman"/>
          <w:sz w:val="24"/>
          <w:szCs w:val="24"/>
        </w:rPr>
        <w:t>a „</w:t>
      </w:r>
      <w:r w:rsidRPr="00535D05">
        <w:rPr>
          <w:rFonts w:ascii="Times New Roman" w:hAnsi="Times New Roman"/>
          <w:color w:val="000000" w:themeColor="text1"/>
          <w:sz w:val="24"/>
          <w:szCs w:val="24"/>
        </w:rPr>
        <w:t xml:space="preserve">Grozījumi Ministru kabineta 2006.gada </w:t>
      </w:r>
      <w:r w:rsidRPr="00535D05">
        <w:rPr>
          <w:rFonts w:ascii="Times New Roman" w:hAnsi="Times New Roman"/>
          <w:bCs w:val="0"/>
          <w:color w:val="000000" w:themeColor="text1"/>
          <w:sz w:val="24"/>
          <w:szCs w:val="24"/>
        </w:rPr>
        <w:t>2</w:t>
      </w:r>
      <w:r w:rsidRPr="00535D05">
        <w:rPr>
          <w:rFonts w:ascii="Times New Roman" w:hAnsi="Times New Roman"/>
          <w:color w:val="000000" w:themeColor="text1"/>
          <w:sz w:val="24"/>
          <w:szCs w:val="24"/>
        </w:rPr>
        <w:t>1.</w:t>
      </w:r>
      <w:r w:rsidRPr="00535D05">
        <w:rPr>
          <w:rFonts w:ascii="Times New Roman" w:hAnsi="Times New Roman"/>
          <w:bCs w:val="0"/>
          <w:color w:val="000000" w:themeColor="text1"/>
          <w:sz w:val="24"/>
          <w:szCs w:val="24"/>
        </w:rPr>
        <w:t>novem</w:t>
      </w:r>
      <w:r w:rsidRPr="00535D05">
        <w:rPr>
          <w:rFonts w:ascii="Times New Roman" w:hAnsi="Times New Roman"/>
          <w:color w:val="000000" w:themeColor="text1"/>
          <w:sz w:val="24"/>
          <w:szCs w:val="24"/>
        </w:rPr>
        <w:t>bra noteikumos Nr.</w:t>
      </w:r>
      <w:r w:rsidRPr="00535D05">
        <w:rPr>
          <w:rFonts w:ascii="Times New Roman" w:hAnsi="Times New Roman"/>
          <w:bCs w:val="0"/>
          <w:color w:val="000000" w:themeColor="text1"/>
          <w:sz w:val="24"/>
          <w:szCs w:val="24"/>
        </w:rPr>
        <w:t>940</w:t>
      </w:r>
      <w:r w:rsidRPr="00535D05">
        <w:rPr>
          <w:rFonts w:ascii="Times New Roman" w:hAnsi="Times New Roman"/>
          <w:color w:val="000000" w:themeColor="text1"/>
          <w:sz w:val="24"/>
          <w:szCs w:val="24"/>
        </w:rPr>
        <w:t xml:space="preserve"> „</w:t>
      </w:r>
      <w:r w:rsidRPr="00535D05">
        <w:rPr>
          <w:rFonts w:ascii="Times New Roman" w:hAnsi="Times New Roman"/>
          <w:sz w:val="24"/>
          <w:szCs w:val="24"/>
        </w:rPr>
        <w:t>Noteikumi par informācijas sniegšanas maksas pakalpojumiem”” sākotnējās ietekmes novērtējuma ziņojums (anotācija)</w:t>
      </w:r>
    </w:p>
    <w:p w:rsidR="00CD1507" w:rsidRPr="00535D05" w:rsidRDefault="00CD1507" w:rsidP="00CD1507"/>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556"/>
        <w:gridCol w:w="6379"/>
      </w:tblGrid>
      <w:tr w:rsidR="00195FE9" w:rsidRPr="00AA3DA3" w:rsidTr="00195FE9">
        <w:tc>
          <w:tcPr>
            <w:tcW w:w="9503" w:type="dxa"/>
            <w:gridSpan w:val="3"/>
            <w:vAlign w:val="center"/>
          </w:tcPr>
          <w:p w:rsidR="00195FE9" w:rsidRPr="00AA3DA3" w:rsidRDefault="00195FE9" w:rsidP="00195FE9">
            <w:pPr>
              <w:pStyle w:val="naisnod"/>
              <w:spacing w:before="0" w:after="0"/>
            </w:pPr>
            <w:r w:rsidRPr="00AA3DA3">
              <w:t>I. Tiesību akta projekta izstrādes nepieciešamība</w:t>
            </w:r>
          </w:p>
        </w:tc>
      </w:tr>
      <w:tr w:rsidR="00195FE9" w:rsidRPr="00AA3DA3" w:rsidTr="00535D05">
        <w:trPr>
          <w:trHeight w:val="837"/>
        </w:trPr>
        <w:tc>
          <w:tcPr>
            <w:tcW w:w="568" w:type="dxa"/>
          </w:tcPr>
          <w:p w:rsidR="00195FE9" w:rsidRPr="00AA3DA3" w:rsidRDefault="00195FE9" w:rsidP="00195FE9">
            <w:pPr>
              <w:pStyle w:val="naiskr"/>
              <w:spacing w:before="0" w:after="0"/>
            </w:pPr>
            <w:r w:rsidRPr="00AA3DA3">
              <w:t>1.</w:t>
            </w:r>
          </w:p>
        </w:tc>
        <w:tc>
          <w:tcPr>
            <w:tcW w:w="2556" w:type="dxa"/>
          </w:tcPr>
          <w:p w:rsidR="00195FE9" w:rsidRPr="00AA3DA3" w:rsidRDefault="00195FE9" w:rsidP="00195FE9">
            <w:pPr>
              <w:pStyle w:val="naiskr"/>
              <w:spacing w:before="0" w:after="0"/>
              <w:ind w:hanging="10"/>
            </w:pPr>
            <w:r w:rsidRPr="00AA3DA3">
              <w:t>Pamatojums</w:t>
            </w:r>
          </w:p>
        </w:tc>
        <w:tc>
          <w:tcPr>
            <w:tcW w:w="6379" w:type="dxa"/>
          </w:tcPr>
          <w:p w:rsidR="003C51D0" w:rsidRDefault="003C51D0" w:rsidP="003C51D0">
            <w:pPr>
              <w:pStyle w:val="naiskr"/>
              <w:spacing w:before="0" w:after="0"/>
              <w:ind w:hanging="5"/>
              <w:jc w:val="both"/>
            </w:pPr>
            <w:proofErr w:type="spellStart"/>
            <w:r w:rsidRPr="00165B11">
              <w:rPr>
                <w:i/>
              </w:rPr>
              <w:t>Euro</w:t>
            </w:r>
            <w:proofErr w:type="spellEnd"/>
            <w:r>
              <w:t xml:space="preserve"> ieviešanas kārtības likuma 30.panta pirmā daļa.</w:t>
            </w:r>
          </w:p>
          <w:p w:rsidR="007470E5" w:rsidRPr="00195FE9" w:rsidRDefault="007470E5" w:rsidP="004D3859">
            <w:pPr>
              <w:jc w:val="both"/>
            </w:pPr>
          </w:p>
        </w:tc>
      </w:tr>
      <w:tr w:rsidR="00195FE9" w:rsidRPr="00AA3DA3" w:rsidTr="00535D05">
        <w:trPr>
          <w:trHeight w:val="472"/>
        </w:trPr>
        <w:tc>
          <w:tcPr>
            <w:tcW w:w="568" w:type="dxa"/>
          </w:tcPr>
          <w:p w:rsidR="00195FE9" w:rsidRPr="00AA3DA3" w:rsidRDefault="00195FE9" w:rsidP="00195FE9">
            <w:pPr>
              <w:pStyle w:val="naiskr"/>
              <w:spacing w:before="0" w:after="0"/>
            </w:pPr>
            <w:r w:rsidRPr="00AA3DA3">
              <w:t>2.</w:t>
            </w:r>
          </w:p>
        </w:tc>
        <w:tc>
          <w:tcPr>
            <w:tcW w:w="2556" w:type="dxa"/>
          </w:tcPr>
          <w:p w:rsidR="00195FE9" w:rsidRPr="00AA3DA3" w:rsidRDefault="00195FE9" w:rsidP="00195FE9">
            <w:pPr>
              <w:pStyle w:val="naiskr"/>
              <w:tabs>
                <w:tab w:val="left" w:pos="170"/>
              </w:tabs>
              <w:spacing w:before="0" w:after="0"/>
            </w:pPr>
            <w:r w:rsidRPr="00AA3DA3">
              <w:t>Pašreizējā situācija un problēmas</w:t>
            </w:r>
          </w:p>
        </w:tc>
        <w:tc>
          <w:tcPr>
            <w:tcW w:w="6379" w:type="dxa"/>
          </w:tcPr>
          <w:p w:rsidR="00993D86" w:rsidRPr="004E3A40" w:rsidRDefault="003C51D0" w:rsidP="004E3A40">
            <w:pPr>
              <w:pStyle w:val="tv20787921"/>
              <w:spacing w:after="0" w:line="240" w:lineRule="auto"/>
              <w:jc w:val="both"/>
              <w:rPr>
                <w:rFonts w:ascii="Times New Roman" w:hAnsi="Times New Roman"/>
                <w:b w:val="0"/>
                <w:sz w:val="24"/>
                <w:szCs w:val="24"/>
              </w:rPr>
            </w:pPr>
            <w:r w:rsidRPr="004E3A40">
              <w:rPr>
                <w:rFonts w:ascii="Times New Roman" w:hAnsi="Times New Roman"/>
                <w:b w:val="0"/>
                <w:sz w:val="24"/>
                <w:szCs w:val="24"/>
              </w:rPr>
              <w:t xml:space="preserve">Šobrīd </w:t>
            </w:r>
            <w:r w:rsidR="004E3A40" w:rsidRPr="004E3A40">
              <w:rPr>
                <w:rFonts w:ascii="Times New Roman" w:hAnsi="Times New Roman"/>
                <w:b w:val="0"/>
                <w:color w:val="000000" w:themeColor="text1"/>
                <w:sz w:val="24"/>
                <w:szCs w:val="24"/>
              </w:rPr>
              <w:t xml:space="preserve">Ministru kabineta 2006.gada </w:t>
            </w:r>
            <w:r w:rsidR="004E3A40" w:rsidRPr="004E3A40">
              <w:rPr>
                <w:rFonts w:ascii="Times New Roman" w:hAnsi="Times New Roman"/>
                <w:b w:val="0"/>
                <w:bCs w:val="0"/>
                <w:color w:val="000000" w:themeColor="text1"/>
                <w:sz w:val="24"/>
                <w:szCs w:val="24"/>
              </w:rPr>
              <w:t>2</w:t>
            </w:r>
            <w:r w:rsidR="004E3A40" w:rsidRPr="004E3A40">
              <w:rPr>
                <w:rFonts w:ascii="Times New Roman" w:hAnsi="Times New Roman"/>
                <w:b w:val="0"/>
                <w:color w:val="000000" w:themeColor="text1"/>
                <w:sz w:val="24"/>
                <w:szCs w:val="24"/>
              </w:rPr>
              <w:t>1.</w:t>
            </w:r>
            <w:r w:rsidR="004E3A40" w:rsidRPr="004E3A40">
              <w:rPr>
                <w:rFonts w:ascii="Times New Roman" w:hAnsi="Times New Roman"/>
                <w:b w:val="0"/>
                <w:bCs w:val="0"/>
                <w:color w:val="000000" w:themeColor="text1"/>
                <w:sz w:val="24"/>
                <w:szCs w:val="24"/>
              </w:rPr>
              <w:t>novem</w:t>
            </w:r>
            <w:r w:rsidR="004E3A40" w:rsidRPr="004E3A40">
              <w:rPr>
                <w:rFonts w:ascii="Times New Roman" w:hAnsi="Times New Roman"/>
                <w:b w:val="0"/>
                <w:color w:val="000000" w:themeColor="text1"/>
                <w:sz w:val="24"/>
                <w:szCs w:val="24"/>
              </w:rPr>
              <w:t>bra noteikum</w:t>
            </w:r>
            <w:r w:rsidR="004E3A40">
              <w:rPr>
                <w:rFonts w:ascii="Times New Roman" w:hAnsi="Times New Roman"/>
                <w:b w:val="0"/>
                <w:color w:val="000000" w:themeColor="text1"/>
                <w:sz w:val="24"/>
                <w:szCs w:val="24"/>
              </w:rPr>
              <w:t>u</w:t>
            </w:r>
            <w:r w:rsidR="004E3A40" w:rsidRPr="004E3A40">
              <w:rPr>
                <w:rFonts w:ascii="Times New Roman" w:hAnsi="Times New Roman"/>
                <w:b w:val="0"/>
                <w:color w:val="000000" w:themeColor="text1"/>
                <w:sz w:val="24"/>
                <w:szCs w:val="24"/>
              </w:rPr>
              <w:t xml:space="preserve"> Nr.</w:t>
            </w:r>
            <w:r w:rsidR="004E3A40" w:rsidRPr="004E3A40">
              <w:rPr>
                <w:rFonts w:ascii="Times New Roman" w:hAnsi="Times New Roman"/>
                <w:b w:val="0"/>
                <w:bCs w:val="0"/>
                <w:color w:val="000000" w:themeColor="text1"/>
                <w:sz w:val="24"/>
                <w:szCs w:val="24"/>
              </w:rPr>
              <w:t>940</w:t>
            </w:r>
            <w:r w:rsidR="004E3A40" w:rsidRPr="004E3A40">
              <w:rPr>
                <w:rFonts w:ascii="Times New Roman" w:hAnsi="Times New Roman"/>
                <w:b w:val="0"/>
                <w:color w:val="000000" w:themeColor="text1"/>
                <w:sz w:val="24"/>
                <w:szCs w:val="24"/>
              </w:rPr>
              <w:t xml:space="preserve"> „</w:t>
            </w:r>
            <w:r w:rsidR="004E3A40" w:rsidRPr="004E3A40">
              <w:rPr>
                <w:rFonts w:ascii="Times New Roman" w:hAnsi="Times New Roman"/>
                <w:b w:val="0"/>
                <w:sz w:val="24"/>
                <w:szCs w:val="24"/>
              </w:rPr>
              <w:t xml:space="preserve">Noteikumi par informācijas sniegšanas maksas pakalpojumiem”” </w:t>
            </w:r>
            <w:r w:rsidRPr="004E3A40">
              <w:rPr>
                <w:rFonts w:ascii="Times New Roman" w:hAnsi="Times New Roman"/>
                <w:b w:val="0"/>
                <w:sz w:val="24"/>
                <w:szCs w:val="24"/>
              </w:rPr>
              <w:t>(turpmāk - Ministru kabineta noteikumi Nr.</w:t>
            </w:r>
            <w:r w:rsidR="004E3A40">
              <w:rPr>
                <w:rFonts w:ascii="Times New Roman" w:hAnsi="Times New Roman"/>
                <w:b w:val="0"/>
                <w:sz w:val="24"/>
                <w:szCs w:val="24"/>
              </w:rPr>
              <w:t>940</w:t>
            </w:r>
            <w:r w:rsidRPr="004E3A40">
              <w:rPr>
                <w:rFonts w:ascii="Times New Roman" w:hAnsi="Times New Roman"/>
                <w:b w:val="0"/>
                <w:sz w:val="24"/>
                <w:szCs w:val="24"/>
              </w:rPr>
              <w:t xml:space="preserve">) </w:t>
            </w:r>
            <w:r w:rsidR="00DC7631" w:rsidRPr="004E3A40">
              <w:rPr>
                <w:rFonts w:ascii="Times New Roman" w:hAnsi="Times New Roman"/>
                <w:b w:val="0"/>
                <w:sz w:val="24"/>
                <w:szCs w:val="24"/>
              </w:rPr>
              <w:t>pielikum</w:t>
            </w:r>
            <w:r w:rsidR="004E3A40">
              <w:rPr>
                <w:rFonts w:ascii="Times New Roman" w:hAnsi="Times New Roman"/>
                <w:b w:val="0"/>
                <w:sz w:val="24"/>
                <w:szCs w:val="24"/>
              </w:rPr>
              <w:t>ā</w:t>
            </w:r>
            <w:r w:rsidR="00DC7631" w:rsidRPr="004E3A40">
              <w:rPr>
                <w:rFonts w:ascii="Times New Roman" w:hAnsi="Times New Roman"/>
                <w:b w:val="0"/>
                <w:sz w:val="24"/>
                <w:szCs w:val="24"/>
              </w:rPr>
              <w:t xml:space="preserve"> </w:t>
            </w:r>
            <w:r w:rsidR="004E3A40" w:rsidRPr="004E3A40">
              <w:rPr>
                <w:rFonts w:ascii="Times New Roman" w:hAnsi="Times New Roman"/>
                <w:b w:val="0"/>
                <w:sz w:val="24"/>
                <w:szCs w:val="24"/>
              </w:rPr>
              <w:t>visas summas ir noteiktas latos</w:t>
            </w:r>
            <w:r w:rsidRPr="004E3A40">
              <w:rPr>
                <w:rFonts w:ascii="Times New Roman" w:hAnsi="Times New Roman"/>
                <w:b w:val="0"/>
                <w:sz w:val="24"/>
                <w:szCs w:val="24"/>
              </w:rPr>
              <w:t xml:space="preserve">. Deklarācijas par Valda </w:t>
            </w:r>
            <w:proofErr w:type="spellStart"/>
            <w:r w:rsidRPr="004E3A40">
              <w:rPr>
                <w:rFonts w:ascii="Times New Roman" w:hAnsi="Times New Roman"/>
                <w:b w:val="0"/>
                <w:sz w:val="24"/>
                <w:szCs w:val="24"/>
              </w:rPr>
              <w:t>Dombrovska</w:t>
            </w:r>
            <w:proofErr w:type="spellEnd"/>
            <w:r w:rsidRPr="004E3A40">
              <w:rPr>
                <w:rFonts w:ascii="Times New Roman" w:hAnsi="Times New Roman"/>
                <w:b w:val="0"/>
                <w:sz w:val="24"/>
                <w:szCs w:val="24"/>
              </w:rPr>
              <w:t xml:space="preserve"> vadītā Ministru kabineta iecerēto darbību II sadaļas 1.punkts paredz, ka Latvija plāno iekļauties </w:t>
            </w:r>
            <w:proofErr w:type="spellStart"/>
            <w:r w:rsidRPr="004E3A40">
              <w:rPr>
                <w:rFonts w:ascii="Times New Roman" w:hAnsi="Times New Roman"/>
                <w:b w:val="0"/>
                <w:i/>
                <w:sz w:val="24"/>
                <w:szCs w:val="24"/>
              </w:rPr>
              <w:t>euro</w:t>
            </w:r>
            <w:proofErr w:type="spellEnd"/>
            <w:r w:rsidRPr="004E3A40">
              <w:rPr>
                <w:rFonts w:ascii="Times New Roman" w:hAnsi="Times New Roman"/>
                <w:b w:val="0"/>
                <w:sz w:val="24"/>
                <w:szCs w:val="24"/>
              </w:rPr>
              <w:t xml:space="preserve"> zonā jau 2014.gadā. Ņemot vērā, ka pēc iestāšanās </w:t>
            </w:r>
            <w:proofErr w:type="spellStart"/>
            <w:r w:rsidRPr="004E3A40">
              <w:rPr>
                <w:rFonts w:ascii="Times New Roman" w:hAnsi="Times New Roman"/>
                <w:b w:val="0"/>
                <w:i/>
                <w:sz w:val="24"/>
                <w:szCs w:val="24"/>
              </w:rPr>
              <w:t>euro</w:t>
            </w:r>
            <w:proofErr w:type="spellEnd"/>
            <w:r w:rsidRPr="004E3A40">
              <w:rPr>
                <w:rFonts w:ascii="Times New Roman" w:hAnsi="Times New Roman"/>
                <w:b w:val="0"/>
                <w:sz w:val="24"/>
                <w:szCs w:val="24"/>
              </w:rPr>
              <w:t xml:space="preserve"> zonā, likumīgais maksāšanas līdzeklis būs nevis lats, bet </w:t>
            </w:r>
            <w:proofErr w:type="spellStart"/>
            <w:r w:rsidRPr="004E3A40">
              <w:rPr>
                <w:rFonts w:ascii="Times New Roman" w:hAnsi="Times New Roman"/>
                <w:b w:val="0"/>
                <w:i/>
                <w:sz w:val="24"/>
                <w:szCs w:val="24"/>
              </w:rPr>
              <w:t>euro</w:t>
            </w:r>
            <w:proofErr w:type="spellEnd"/>
            <w:r w:rsidRPr="004E3A40">
              <w:rPr>
                <w:rFonts w:ascii="Times New Roman" w:hAnsi="Times New Roman"/>
                <w:b w:val="0"/>
                <w:sz w:val="24"/>
                <w:szCs w:val="24"/>
              </w:rPr>
              <w:t xml:space="preserve">, ir nepieciešams nodrošināt tiesību aktu pielāgošanu </w:t>
            </w:r>
            <w:proofErr w:type="spellStart"/>
            <w:r w:rsidRPr="004E3A40">
              <w:rPr>
                <w:rFonts w:ascii="Times New Roman" w:hAnsi="Times New Roman"/>
                <w:b w:val="0"/>
                <w:i/>
                <w:sz w:val="24"/>
                <w:szCs w:val="24"/>
              </w:rPr>
              <w:t>euro</w:t>
            </w:r>
            <w:proofErr w:type="spellEnd"/>
            <w:r w:rsidRPr="004E3A40">
              <w:rPr>
                <w:rFonts w:ascii="Times New Roman" w:hAnsi="Times New Roman"/>
                <w:b w:val="0"/>
                <w:sz w:val="24"/>
                <w:szCs w:val="24"/>
              </w:rPr>
              <w:t xml:space="preserve"> ieviešanai Latvijā, tai skaitā izdarot grozījumus Ministru kabineta noteikumos Nr.</w:t>
            </w:r>
            <w:r w:rsidR="004E3A40">
              <w:rPr>
                <w:rFonts w:ascii="Times New Roman" w:hAnsi="Times New Roman"/>
                <w:b w:val="0"/>
                <w:sz w:val="24"/>
                <w:szCs w:val="24"/>
              </w:rPr>
              <w:t>940</w:t>
            </w:r>
            <w:r w:rsidRPr="004E3A40">
              <w:rPr>
                <w:rFonts w:ascii="Times New Roman" w:hAnsi="Times New Roman"/>
                <w:b w:val="0"/>
                <w:sz w:val="24"/>
                <w:szCs w:val="24"/>
              </w:rPr>
              <w:t>.</w:t>
            </w:r>
          </w:p>
        </w:tc>
      </w:tr>
      <w:tr w:rsidR="00195FE9" w:rsidRPr="00AA3DA3" w:rsidTr="00535D05">
        <w:trPr>
          <w:trHeight w:val="530"/>
        </w:trPr>
        <w:tc>
          <w:tcPr>
            <w:tcW w:w="568" w:type="dxa"/>
          </w:tcPr>
          <w:p w:rsidR="00195FE9" w:rsidRPr="00AA3DA3" w:rsidRDefault="00195FE9" w:rsidP="00195FE9">
            <w:pPr>
              <w:pStyle w:val="naiskr"/>
              <w:spacing w:before="0" w:after="0"/>
            </w:pPr>
            <w:r w:rsidRPr="00AA3DA3">
              <w:t>3.</w:t>
            </w:r>
          </w:p>
        </w:tc>
        <w:tc>
          <w:tcPr>
            <w:tcW w:w="2556" w:type="dxa"/>
          </w:tcPr>
          <w:p w:rsidR="00195FE9" w:rsidRPr="00AA3DA3" w:rsidRDefault="00195FE9" w:rsidP="00195FE9">
            <w:pPr>
              <w:pStyle w:val="naiskr"/>
              <w:spacing w:before="0" w:after="0"/>
            </w:pPr>
            <w:r w:rsidRPr="00AA3DA3">
              <w:t>Saistītie politikas ietekmes novērtējumi un pētījumi</w:t>
            </w:r>
          </w:p>
        </w:tc>
        <w:tc>
          <w:tcPr>
            <w:tcW w:w="6379" w:type="dxa"/>
          </w:tcPr>
          <w:p w:rsidR="00195FE9" w:rsidRPr="00AA3DA3" w:rsidRDefault="003C51D0" w:rsidP="003C51D0">
            <w:pPr>
              <w:pStyle w:val="FootnoteText"/>
              <w:rPr>
                <w:sz w:val="24"/>
                <w:szCs w:val="24"/>
              </w:rPr>
            </w:pPr>
            <w:r>
              <w:rPr>
                <w:sz w:val="24"/>
                <w:szCs w:val="24"/>
              </w:rPr>
              <w:t>Nav attiecināms</w:t>
            </w:r>
          </w:p>
        </w:tc>
      </w:tr>
      <w:tr w:rsidR="00195FE9" w:rsidRPr="00AA3DA3" w:rsidTr="00535D05">
        <w:trPr>
          <w:trHeight w:val="384"/>
        </w:trPr>
        <w:tc>
          <w:tcPr>
            <w:tcW w:w="568" w:type="dxa"/>
          </w:tcPr>
          <w:p w:rsidR="00195FE9" w:rsidRPr="00AA3DA3" w:rsidRDefault="00195FE9" w:rsidP="00195FE9">
            <w:pPr>
              <w:pStyle w:val="naiskr"/>
              <w:spacing w:before="0" w:after="0"/>
            </w:pPr>
            <w:r w:rsidRPr="00AA3DA3">
              <w:t>4.</w:t>
            </w:r>
          </w:p>
        </w:tc>
        <w:tc>
          <w:tcPr>
            <w:tcW w:w="2556" w:type="dxa"/>
          </w:tcPr>
          <w:p w:rsidR="00195FE9" w:rsidRPr="00AA3DA3" w:rsidRDefault="00195FE9" w:rsidP="00195FE9">
            <w:pPr>
              <w:pStyle w:val="naiskr"/>
              <w:spacing w:before="0" w:after="0"/>
            </w:pPr>
            <w:r w:rsidRPr="00AA3DA3">
              <w:t>Tiesiskā regulējuma mērķis un būtība</w:t>
            </w:r>
          </w:p>
        </w:tc>
        <w:tc>
          <w:tcPr>
            <w:tcW w:w="6379" w:type="dxa"/>
          </w:tcPr>
          <w:p w:rsidR="007470E5" w:rsidRDefault="003C51D0" w:rsidP="004E3A40">
            <w:pPr>
              <w:pStyle w:val="Nobeigums"/>
              <w:jc w:val="both"/>
              <w:rPr>
                <w:color w:val="000000"/>
                <w:lang w:val="lv-LV"/>
              </w:rPr>
            </w:pPr>
            <w:r w:rsidRPr="002D36C6">
              <w:rPr>
                <w:color w:val="000000"/>
                <w:lang w:val="lv-LV"/>
              </w:rPr>
              <w:t>Noteikumu projekts</w:t>
            </w:r>
            <w:r w:rsidR="000F1294" w:rsidRPr="002D36C6">
              <w:rPr>
                <w:color w:val="000000"/>
                <w:lang w:val="lv-LV"/>
              </w:rPr>
              <w:t xml:space="preserve"> </w:t>
            </w:r>
            <w:r w:rsidRPr="002D36C6">
              <w:rPr>
                <w:iCs/>
                <w:szCs w:val="24"/>
                <w:lang w:val="lv-LV"/>
              </w:rPr>
              <w:t>paredz veikt tehniskos precizējumus</w:t>
            </w:r>
            <w:r w:rsidRPr="002D36C6">
              <w:rPr>
                <w:color w:val="000000"/>
                <w:lang w:val="lv-LV"/>
              </w:rPr>
              <w:t xml:space="preserve">, </w:t>
            </w:r>
            <w:r w:rsidR="004E3A40">
              <w:rPr>
                <w:iCs/>
                <w:szCs w:val="24"/>
                <w:lang w:val="lv-LV"/>
              </w:rPr>
              <w:t xml:space="preserve"> ņemot vērā oficiālo maiņas kursu, izteikt </w:t>
            </w:r>
            <w:proofErr w:type="spellStart"/>
            <w:r w:rsidR="004E3A40" w:rsidRPr="00457561">
              <w:rPr>
                <w:i/>
                <w:iCs/>
                <w:szCs w:val="24"/>
                <w:lang w:val="lv-LV"/>
              </w:rPr>
              <w:t>euro</w:t>
            </w:r>
            <w:proofErr w:type="spellEnd"/>
            <w:r w:rsidR="004E3A40">
              <w:rPr>
                <w:iCs/>
                <w:szCs w:val="24"/>
                <w:lang w:val="lv-LV"/>
              </w:rPr>
              <w:t xml:space="preserve"> tās summas, kas šobrīd </w:t>
            </w:r>
            <w:r w:rsidR="004E3A40" w:rsidRPr="00F86385">
              <w:rPr>
                <w:b/>
                <w:bCs/>
                <w:szCs w:val="24"/>
                <w:lang w:val="lv-LV"/>
              </w:rPr>
              <w:t xml:space="preserve"> </w:t>
            </w:r>
            <w:r w:rsidR="004E3A40" w:rsidRPr="004E3A40">
              <w:rPr>
                <w:bCs/>
                <w:szCs w:val="24"/>
                <w:lang w:val="lv-LV"/>
              </w:rPr>
              <w:t>Ministru kabineta noteikum</w:t>
            </w:r>
            <w:r w:rsidR="004E3A40">
              <w:rPr>
                <w:bCs/>
                <w:szCs w:val="24"/>
                <w:lang w:val="lv-LV"/>
              </w:rPr>
              <w:t>u</w:t>
            </w:r>
            <w:r w:rsidR="004E3A40" w:rsidRPr="004E3A40">
              <w:rPr>
                <w:bCs/>
                <w:szCs w:val="24"/>
                <w:lang w:val="lv-LV"/>
              </w:rPr>
              <w:t xml:space="preserve"> Nr.</w:t>
            </w:r>
            <w:r w:rsidR="004E3A40">
              <w:rPr>
                <w:szCs w:val="24"/>
                <w:lang w:val="lv-LV"/>
              </w:rPr>
              <w:t>940 pielikumā</w:t>
            </w:r>
            <w:r w:rsidR="004E3A40" w:rsidRPr="004E3A40">
              <w:rPr>
                <w:iCs/>
                <w:szCs w:val="24"/>
                <w:lang w:val="lv-LV"/>
              </w:rPr>
              <w:t xml:space="preserve"> ir noteiktas latos. </w:t>
            </w:r>
            <w:r w:rsidRPr="004E3A40">
              <w:rPr>
                <w:color w:val="000000"/>
                <w:lang w:val="lv-LV"/>
              </w:rPr>
              <w:t xml:space="preserve"> </w:t>
            </w:r>
          </w:p>
          <w:p w:rsidR="001112EE" w:rsidRDefault="004E3A40" w:rsidP="00B13EDF">
            <w:pPr>
              <w:pStyle w:val="tv2131"/>
              <w:spacing w:before="0" w:line="240" w:lineRule="auto"/>
              <w:rPr>
                <w:rFonts w:ascii="Times New Roman" w:hAnsi="Times New Roman"/>
                <w:sz w:val="24"/>
                <w:szCs w:val="24"/>
              </w:rPr>
            </w:pPr>
            <w:r w:rsidRPr="00035DDF">
              <w:rPr>
                <w:rFonts w:ascii="Times New Roman" w:hAnsi="Times New Roman"/>
                <w:iCs/>
                <w:sz w:val="24"/>
                <w:szCs w:val="24"/>
              </w:rPr>
              <w:t xml:space="preserve">Atbilstoši </w:t>
            </w:r>
            <w:proofErr w:type="spellStart"/>
            <w:r w:rsidRPr="00035DDF">
              <w:rPr>
                <w:rFonts w:ascii="Times New Roman" w:hAnsi="Times New Roman"/>
                <w:i/>
                <w:iCs/>
                <w:sz w:val="24"/>
                <w:szCs w:val="24"/>
              </w:rPr>
              <w:t>Euro</w:t>
            </w:r>
            <w:proofErr w:type="spellEnd"/>
            <w:r w:rsidRPr="00035DDF">
              <w:rPr>
                <w:rFonts w:ascii="Times New Roman" w:hAnsi="Times New Roman"/>
                <w:iCs/>
                <w:sz w:val="24"/>
                <w:szCs w:val="24"/>
              </w:rPr>
              <w:t xml:space="preserve"> ieviešanas kārtības likuma </w:t>
            </w:r>
            <w:r w:rsidR="00B13EDF">
              <w:rPr>
                <w:rFonts w:ascii="Times New Roman" w:hAnsi="Times New Roman"/>
                <w:iCs/>
                <w:sz w:val="24"/>
                <w:szCs w:val="24"/>
              </w:rPr>
              <w:t>6</w:t>
            </w:r>
            <w:r w:rsidRPr="00035DDF">
              <w:rPr>
                <w:rFonts w:ascii="Times New Roman" w:hAnsi="Times New Roman"/>
                <w:iCs/>
                <w:sz w:val="24"/>
                <w:szCs w:val="24"/>
              </w:rPr>
              <w:t>.panta otr</w:t>
            </w:r>
            <w:r w:rsidR="00B13EDF">
              <w:rPr>
                <w:rFonts w:ascii="Times New Roman" w:hAnsi="Times New Roman"/>
                <w:iCs/>
                <w:sz w:val="24"/>
                <w:szCs w:val="24"/>
              </w:rPr>
              <w:t>ai</w:t>
            </w:r>
            <w:r w:rsidRPr="00035DDF">
              <w:rPr>
                <w:rFonts w:ascii="Times New Roman" w:hAnsi="Times New Roman"/>
                <w:iCs/>
                <w:sz w:val="24"/>
                <w:szCs w:val="24"/>
              </w:rPr>
              <w:t xml:space="preserve"> daļa</w:t>
            </w:r>
            <w:r w:rsidR="00B13EDF">
              <w:rPr>
                <w:rFonts w:ascii="Times New Roman" w:hAnsi="Times New Roman"/>
                <w:iCs/>
                <w:sz w:val="24"/>
                <w:szCs w:val="24"/>
              </w:rPr>
              <w:t>i</w:t>
            </w:r>
            <w:r w:rsidRPr="00035DDF">
              <w:rPr>
                <w:rFonts w:ascii="Times New Roman" w:hAnsi="Times New Roman"/>
                <w:iCs/>
                <w:sz w:val="24"/>
                <w:szCs w:val="24"/>
              </w:rPr>
              <w:t xml:space="preserve"> </w:t>
            </w:r>
            <w:r w:rsidR="00B13EDF">
              <w:t>n</w:t>
            </w:r>
            <w:r w:rsidR="001112EE" w:rsidRPr="001112EE">
              <w:rPr>
                <w:rFonts w:ascii="Times New Roman" w:hAnsi="Times New Roman"/>
                <w:sz w:val="24"/>
                <w:szCs w:val="24"/>
              </w:rPr>
              <w:t xml:space="preserve">audas summas un vērtības naudas izteiksmē pēc latu konvertācijas uz </w:t>
            </w:r>
            <w:proofErr w:type="spellStart"/>
            <w:r w:rsidR="001112EE" w:rsidRPr="001112EE">
              <w:rPr>
                <w:rFonts w:ascii="Times New Roman" w:hAnsi="Times New Roman"/>
                <w:i/>
                <w:iCs/>
                <w:sz w:val="24"/>
                <w:szCs w:val="24"/>
              </w:rPr>
              <w:t>euro</w:t>
            </w:r>
            <w:proofErr w:type="spellEnd"/>
            <w:r w:rsidR="001112EE" w:rsidRPr="001112EE">
              <w:rPr>
                <w:rFonts w:ascii="Times New Roman" w:hAnsi="Times New Roman"/>
                <w:sz w:val="24"/>
                <w:szCs w:val="24"/>
              </w:rPr>
              <w:t xml:space="preserve"> noapaļo līdz tuvākajam centam, ņemot vērā trešo zīmi aiz komata. Ja trešā zīme aiz komata ir no 0 līdz 4, tad centa vērtība nemainās. Ja trešā zīme aiz komata ir no 5 līdz 9, tad cents tiek noapaļots par vienu vienību uz augšu. </w:t>
            </w:r>
            <w:r w:rsidR="00B13EDF">
              <w:rPr>
                <w:rFonts w:ascii="Times New Roman" w:hAnsi="Times New Roman"/>
                <w:sz w:val="24"/>
                <w:szCs w:val="24"/>
              </w:rPr>
              <w:t>Atbilstoši šā likuma 6.panta ceturtajai daļai</w:t>
            </w:r>
            <w:r w:rsidR="00B13EDF" w:rsidRPr="00B13EDF">
              <w:rPr>
                <w:rFonts w:ascii="Times New Roman" w:hAnsi="Times New Roman"/>
                <w:sz w:val="24"/>
                <w:szCs w:val="24"/>
              </w:rPr>
              <w:t xml:space="preserve"> </w:t>
            </w:r>
            <w:r w:rsidR="00B13EDF">
              <w:rPr>
                <w:rFonts w:ascii="Times New Roman" w:hAnsi="Times New Roman"/>
                <w:sz w:val="24"/>
                <w:szCs w:val="24"/>
              </w:rPr>
              <w:t>k</w:t>
            </w:r>
            <w:r w:rsidR="001112EE" w:rsidRPr="001112EE">
              <w:rPr>
                <w:rFonts w:ascii="Times New Roman" w:hAnsi="Times New Roman"/>
                <w:sz w:val="24"/>
                <w:szCs w:val="24"/>
              </w:rPr>
              <w:t xml:space="preserve">onvertējot preču un pakalpojumu vienas vienības cenu, tās vērtībai </w:t>
            </w:r>
            <w:proofErr w:type="spellStart"/>
            <w:r w:rsidR="001112EE" w:rsidRPr="001112EE">
              <w:rPr>
                <w:rFonts w:ascii="Times New Roman" w:hAnsi="Times New Roman"/>
                <w:i/>
                <w:iCs/>
                <w:sz w:val="24"/>
                <w:szCs w:val="24"/>
              </w:rPr>
              <w:t>euro</w:t>
            </w:r>
            <w:proofErr w:type="spellEnd"/>
            <w:r w:rsidR="001112EE" w:rsidRPr="001112EE">
              <w:rPr>
                <w:rFonts w:ascii="Times New Roman" w:hAnsi="Times New Roman"/>
                <w:sz w:val="24"/>
                <w:szCs w:val="24"/>
              </w:rPr>
              <w:t xml:space="preserve"> aiz komata tiek norādītas tikpat zīmes, cik noteiktajai vienas vienības cenas vērtībai latos. Šajā gadījumā noapaļojot ņem vērā nākamo zīmi aiz pēdējās atstājamās zīmes aiz komata. Ja nākamā zīme aiz komata ir no 0 līdz 4, tad pēdējās atstājamās zīmes vērtība nemainās. Ja nākamā zīme aiz komata ir no 5 līdz 9, tad pēdējā atstājamā zīme tiek noapaļota par vienu vienību uz augšu. </w:t>
            </w:r>
          </w:p>
          <w:p w:rsidR="00B13EDF" w:rsidRPr="00FF135C" w:rsidRDefault="000367B4" w:rsidP="00B13EDF">
            <w:pPr>
              <w:pStyle w:val="tv2131"/>
              <w:spacing w:before="0" w:line="240" w:lineRule="auto"/>
              <w:rPr>
                <w:rFonts w:ascii="Times New Roman" w:hAnsi="Times New Roman"/>
                <w:sz w:val="24"/>
                <w:szCs w:val="24"/>
              </w:rPr>
            </w:pPr>
            <w:r w:rsidRPr="000367B4">
              <w:rPr>
                <w:rFonts w:ascii="Times New Roman" w:hAnsi="Times New Roman"/>
                <w:sz w:val="24"/>
                <w:szCs w:val="24"/>
              </w:rPr>
              <w:t xml:space="preserve">Nevienai no </w:t>
            </w:r>
            <w:r w:rsidRPr="000367B4">
              <w:rPr>
                <w:rFonts w:ascii="Times New Roman" w:hAnsi="Times New Roman"/>
                <w:bCs/>
                <w:sz w:val="24"/>
                <w:szCs w:val="24"/>
              </w:rPr>
              <w:t>Ministru kabineta noteikumu Nr.</w:t>
            </w:r>
            <w:r w:rsidRPr="000367B4">
              <w:rPr>
                <w:rFonts w:ascii="Times New Roman" w:hAnsi="Times New Roman"/>
                <w:sz w:val="24"/>
                <w:szCs w:val="24"/>
              </w:rPr>
              <w:t>940</w:t>
            </w:r>
            <w:r>
              <w:rPr>
                <w:rFonts w:ascii="Times New Roman" w:hAnsi="Times New Roman"/>
                <w:sz w:val="24"/>
                <w:szCs w:val="24"/>
              </w:rPr>
              <w:t xml:space="preserve"> pielikumā norādītajām summām nav ietekmes, jo tiek pie</w:t>
            </w:r>
            <w:r w:rsidR="005C7ACA">
              <w:rPr>
                <w:rFonts w:ascii="Times New Roman" w:hAnsi="Times New Roman"/>
                <w:sz w:val="24"/>
                <w:szCs w:val="24"/>
              </w:rPr>
              <w:t>mēro</w:t>
            </w:r>
            <w:r>
              <w:rPr>
                <w:rFonts w:ascii="Times New Roman" w:hAnsi="Times New Roman"/>
                <w:sz w:val="24"/>
                <w:szCs w:val="24"/>
              </w:rPr>
              <w:t>t</w:t>
            </w:r>
            <w:r w:rsidR="005C7ACA">
              <w:rPr>
                <w:rFonts w:ascii="Times New Roman" w:hAnsi="Times New Roman"/>
                <w:sz w:val="24"/>
                <w:szCs w:val="24"/>
              </w:rPr>
              <w:t>i</w:t>
            </w:r>
            <w:r>
              <w:rPr>
                <w:rFonts w:ascii="Times New Roman" w:hAnsi="Times New Roman"/>
                <w:sz w:val="24"/>
                <w:szCs w:val="24"/>
              </w:rPr>
              <w:t xml:space="preserve"> </w:t>
            </w:r>
            <w:proofErr w:type="spellStart"/>
            <w:r>
              <w:rPr>
                <w:rFonts w:ascii="Times New Roman" w:hAnsi="Times New Roman"/>
                <w:sz w:val="24"/>
                <w:szCs w:val="24"/>
              </w:rPr>
              <w:t>Euro</w:t>
            </w:r>
            <w:proofErr w:type="spellEnd"/>
            <w:r>
              <w:rPr>
                <w:rFonts w:ascii="Times New Roman" w:hAnsi="Times New Roman"/>
                <w:sz w:val="24"/>
                <w:szCs w:val="24"/>
              </w:rPr>
              <w:t xml:space="preserve"> ieviešanas kārtības likuma 6.panta </w:t>
            </w:r>
            <w:r w:rsidR="005C7ACA">
              <w:rPr>
                <w:rFonts w:ascii="Times New Roman" w:hAnsi="Times New Roman"/>
                <w:sz w:val="24"/>
                <w:szCs w:val="24"/>
              </w:rPr>
              <w:t>ceturtajā daļā</w:t>
            </w:r>
            <w:r>
              <w:rPr>
                <w:rFonts w:ascii="Times New Roman" w:hAnsi="Times New Roman"/>
                <w:sz w:val="24"/>
                <w:szCs w:val="24"/>
              </w:rPr>
              <w:t xml:space="preserve"> </w:t>
            </w:r>
            <w:r w:rsidR="005C7ACA">
              <w:rPr>
                <w:rFonts w:ascii="Times New Roman" w:hAnsi="Times New Roman"/>
                <w:sz w:val="24"/>
                <w:szCs w:val="24"/>
              </w:rPr>
              <w:t>noteikt</w:t>
            </w:r>
            <w:r w:rsidR="00B91EE2">
              <w:rPr>
                <w:rFonts w:ascii="Times New Roman" w:hAnsi="Times New Roman"/>
                <w:sz w:val="24"/>
                <w:szCs w:val="24"/>
              </w:rPr>
              <w:t>ie</w:t>
            </w:r>
            <w:r w:rsidR="005C7ACA">
              <w:rPr>
                <w:rFonts w:ascii="Times New Roman" w:hAnsi="Times New Roman"/>
                <w:sz w:val="24"/>
                <w:szCs w:val="24"/>
              </w:rPr>
              <w:t xml:space="preserve"> </w:t>
            </w:r>
            <w:r w:rsidRPr="00FF135C">
              <w:rPr>
                <w:rFonts w:ascii="Times New Roman" w:hAnsi="Times New Roman"/>
                <w:sz w:val="24"/>
                <w:szCs w:val="24"/>
              </w:rPr>
              <w:t>aprēķināšanas princip</w:t>
            </w:r>
            <w:r w:rsidR="00B91EE2" w:rsidRPr="00FF135C">
              <w:rPr>
                <w:rFonts w:ascii="Times New Roman" w:hAnsi="Times New Roman"/>
                <w:sz w:val="24"/>
                <w:szCs w:val="24"/>
              </w:rPr>
              <w:t>i</w:t>
            </w:r>
            <w:r w:rsidRPr="00FF135C">
              <w:rPr>
                <w:rFonts w:ascii="Times New Roman" w:hAnsi="Times New Roman"/>
                <w:sz w:val="24"/>
                <w:szCs w:val="24"/>
              </w:rPr>
              <w:t>.</w:t>
            </w:r>
          </w:p>
          <w:p w:rsidR="001112EE" w:rsidRPr="002F4541" w:rsidRDefault="00FF135C" w:rsidP="00FF135C">
            <w:pPr>
              <w:pStyle w:val="tv2131"/>
              <w:spacing w:before="0" w:line="240" w:lineRule="auto"/>
              <w:rPr>
                <w:iCs/>
              </w:rPr>
            </w:pPr>
            <w:r w:rsidRPr="00FF135C">
              <w:rPr>
                <w:rFonts w:ascii="Times New Roman" w:hAnsi="Times New Roman"/>
                <w:iCs/>
                <w:sz w:val="24"/>
                <w:szCs w:val="24"/>
              </w:rPr>
              <w:t xml:space="preserve">Papildus noteikumu projektā tiek </w:t>
            </w:r>
            <w:r>
              <w:rPr>
                <w:rFonts w:ascii="Times New Roman" w:hAnsi="Times New Roman"/>
                <w:iCs/>
                <w:sz w:val="24"/>
                <w:szCs w:val="24"/>
              </w:rPr>
              <w:t xml:space="preserve">precizētas </w:t>
            </w:r>
            <w:r w:rsidRPr="00FF135C">
              <w:rPr>
                <w:rFonts w:ascii="Times New Roman" w:hAnsi="Times New Roman"/>
                <w:iCs/>
                <w:sz w:val="24"/>
                <w:szCs w:val="24"/>
              </w:rPr>
              <w:t xml:space="preserve">normas, kas </w:t>
            </w:r>
            <w:r>
              <w:rPr>
                <w:rFonts w:ascii="Times New Roman" w:hAnsi="Times New Roman"/>
                <w:iCs/>
                <w:sz w:val="24"/>
                <w:szCs w:val="24"/>
              </w:rPr>
              <w:t xml:space="preserve">vairs </w:t>
            </w:r>
            <w:r w:rsidRPr="00FF135C">
              <w:rPr>
                <w:rFonts w:ascii="Times New Roman" w:hAnsi="Times New Roman"/>
                <w:iCs/>
                <w:sz w:val="24"/>
                <w:szCs w:val="24"/>
              </w:rPr>
              <w:t>nav aktuālas</w:t>
            </w:r>
            <w:r>
              <w:rPr>
                <w:rFonts w:ascii="Times New Roman" w:hAnsi="Times New Roman"/>
                <w:iCs/>
                <w:sz w:val="24"/>
                <w:szCs w:val="24"/>
              </w:rPr>
              <w:t xml:space="preserve">, </w:t>
            </w:r>
            <w:proofErr w:type="spellStart"/>
            <w:r>
              <w:rPr>
                <w:rFonts w:ascii="Times New Roman" w:hAnsi="Times New Roman"/>
                <w:iCs/>
                <w:sz w:val="24"/>
                <w:szCs w:val="24"/>
              </w:rPr>
              <w:t>t.i</w:t>
            </w:r>
            <w:proofErr w:type="spellEnd"/>
            <w:r>
              <w:rPr>
                <w:rFonts w:ascii="Times New Roman" w:hAnsi="Times New Roman"/>
                <w:iCs/>
                <w:sz w:val="24"/>
                <w:szCs w:val="24"/>
              </w:rPr>
              <w:t xml:space="preserve">., pievienotās vērtības nodokļa likme  tiek mainīta no 18 procentiem uz šobrīd spēkā esošo 21 procenta likmi un precizēta samaksas kārtība. </w:t>
            </w:r>
          </w:p>
        </w:tc>
      </w:tr>
      <w:tr w:rsidR="00195FE9" w:rsidRPr="00AA3DA3" w:rsidTr="00535D05">
        <w:trPr>
          <w:trHeight w:val="476"/>
        </w:trPr>
        <w:tc>
          <w:tcPr>
            <w:tcW w:w="568" w:type="dxa"/>
          </w:tcPr>
          <w:p w:rsidR="00195FE9" w:rsidRPr="00AA3DA3" w:rsidRDefault="00195FE9" w:rsidP="00195FE9">
            <w:pPr>
              <w:pStyle w:val="naiskr"/>
              <w:spacing w:before="0" w:after="0"/>
            </w:pPr>
            <w:r w:rsidRPr="00AA3DA3">
              <w:t>5.</w:t>
            </w:r>
          </w:p>
        </w:tc>
        <w:tc>
          <w:tcPr>
            <w:tcW w:w="2556" w:type="dxa"/>
          </w:tcPr>
          <w:p w:rsidR="00195FE9" w:rsidRPr="00AA3DA3" w:rsidRDefault="00195FE9" w:rsidP="00195FE9">
            <w:pPr>
              <w:pStyle w:val="naiskr"/>
              <w:spacing w:before="0" w:after="0"/>
            </w:pPr>
            <w:r w:rsidRPr="00AA3DA3">
              <w:t>Projekta izstrādē iesaistītās institūcijas</w:t>
            </w:r>
          </w:p>
        </w:tc>
        <w:tc>
          <w:tcPr>
            <w:tcW w:w="6379" w:type="dxa"/>
          </w:tcPr>
          <w:p w:rsidR="00195FE9" w:rsidRPr="00AA3DA3" w:rsidRDefault="005C7ACA" w:rsidP="002F4541">
            <w:pPr>
              <w:pStyle w:val="naiskr"/>
              <w:spacing w:before="0" w:after="0"/>
              <w:jc w:val="both"/>
            </w:pPr>
            <w:r>
              <w:t>nav</w:t>
            </w:r>
          </w:p>
        </w:tc>
      </w:tr>
      <w:tr w:rsidR="00195FE9" w:rsidRPr="00AA3DA3" w:rsidTr="00535D05">
        <w:trPr>
          <w:trHeight w:val="275"/>
        </w:trPr>
        <w:tc>
          <w:tcPr>
            <w:tcW w:w="568" w:type="dxa"/>
          </w:tcPr>
          <w:p w:rsidR="00195FE9" w:rsidRPr="00AA3DA3" w:rsidRDefault="00195FE9" w:rsidP="00195FE9">
            <w:pPr>
              <w:pStyle w:val="naiskr"/>
              <w:spacing w:before="0" w:after="0"/>
            </w:pPr>
            <w:r w:rsidRPr="00AA3DA3">
              <w:t>6.</w:t>
            </w:r>
          </w:p>
        </w:tc>
        <w:tc>
          <w:tcPr>
            <w:tcW w:w="2556" w:type="dxa"/>
          </w:tcPr>
          <w:p w:rsidR="00195FE9" w:rsidRPr="00AA3DA3" w:rsidRDefault="00195FE9" w:rsidP="00195FE9">
            <w:pPr>
              <w:pStyle w:val="naiskr"/>
              <w:spacing w:before="0" w:after="0"/>
              <w:rPr>
                <w:i/>
                <w:highlight w:val="yellow"/>
              </w:rPr>
            </w:pPr>
            <w:r w:rsidRPr="00AA3DA3">
              <w:t xml:space="preserve">Iemesli, kādēļ netika nodrošināta sabiedrības </w:t>
            </w:r>
            <w:r w:rsidRPr="00AA3DA3">
              <w:lastRenderedPageBreak/>
              <w:t>līdzdalība</w:t>
            </w:r>
          </w:p>
        </w:tc>
        <w:tc>
          <w:tcPr>
            <w:tcW w:w="6379" w:type="dxa"/>
          </w:tcPr>
          <w:p w:rsidR="00075FE9" w:rsidRPr="00E52808" w:rsidRDefault="005D70CE" w:rsidP="002F4541">
            <w:pPr>
              <w:pStyle w:val="FootnoteText"/>
              <w:jc w:val="both"/>
              <w:rPr>
                <w:sz w:val="24"/>
                <w:szCs w:val="24"/>
              </w:rPr>
            </w:pPr>
            <w:r>
              <w:rPr>
                <w:sz w:val="24"/>
                <w:szCs w:val="24"/>
              </w:rPr>
              <w:lastRenderedPageBreak/>
              <w:t xml:space="preserve">Sabiedrības līdzdalība netika nodrošināta, jo projekts ir tehniska rakstura un ietilpst vienotā </w:t>
            </w:r>
            <w:proofErr w:type="spellStart"/>
            <w:r w:rsidRPr="00B61E4D">
              <w:rPr>
                <w:i/>
                <w:sz w:val="24"/>
                <w:szCs w:val="24"/>
              </w:rPr>
              <w:t>euro</w:t>
            </w:r>
            <w:proofErr w:type="spellEnd"/>
            <w:r>
              <w:rPr>
                <w:sz w:val="24"/>
                <w:szCs w:val="24"/>
              </w:rPr>
              <w:t xml:space="preserve"> ieviešanas likumprojektu paketē.</w:t>
            </w:r>
          </w:p>
        </w:tc>
      </w:tr>
      <w:tr w:rsidR="00195FE9" w:rsidRPr="00AA3DA3" w:rsidTr="00535D05">
        <w:tc>
          <w:tcPr>
            <w:tcW w:w="568" w:type="dxa"/>
          </w:tcPr>
          <w:p w:rsidR="00195FE9" w:rsidRPr="00AA3DA3" w:rsidRDefault="00195FE9" w:rsidP="00195FE9">
            <w:pPr>
              <w:pStyle w:val="naiskr"/>
              <w:spacing w:before="0" w:after="0"/>
            </w:pPr>
            <w:r w:rsidRPr="00AA3DA3">
              <w:lastRenderedPageBreak/>
              <w:t>7.</w:t>
            </w:r>
          </w:p>
        </w:tc>
        <w:tc>
          <w:tcPr>
            <w:tcW w:w="2556" w:type="dxa"/>
          </w:tcPr>
          <w:p w:rsidR="00195FE9" w:rsidRPr="00AA3DA3" w:rsidRDefault="00195FE9" w:rsidP="00195FE9">
            <w:pPr>
              <w:pStyle w:val="naiskr"/>
              <w:spacing w:before="0" w:after="0"/>
            </w:pPr>
            <w:r w:rsidRPr="00AA3DA3">
              <w:t>Cita informācija</w:t>
            </w:r>
          </w:p>
        </w:tc>
        <w:tc>
          <w:tcPr>
            <w:tcW w:w="6379" w:type="dxa"/>
          </w:tcPr>
          <w:p w:rsidR="00195FE9" w:rsidRDefault="002F4541" w:rsidP="002F4541">
            <w:pPr>
              <w:pStyle w:val="naiskr"/>
              <w:spacing w:before="0" w:after="0"/>
              <w:jc w:val="both"/>
            </w:pPr>
            <w:r>
              <w:t>Nav</w:t>
            </w:r>
            <w:r w:rsidR="00195FE9" w:rsidRPr="00AA3DA3">
              <w:t xml:space="preserve"> </w:t>
            </w:r>
          </w:p>
          <w:p w:rsidR="007470E5" w:rsidRPr="00AA3DA3" w:rsidRDefault="007470E5" w:rsidP="00CA6A6E">
            <w:pPr>
              <w:pStyle w:val="naiskr"/>
              <w:spacing w:before="0" w:after="0"/>
              <w:jc w:val="both"/>
            </w:pPr>
          </w:p>
        </w:tc>
      </w:tr>
    </w:tbl>
    <w:p w:rsidR="00195FE9" w:rsidRPr="00215301" w:rsidRDefault="00195FE9" w:rsidP="00646DDB">
      <w:pPr>
        <w:spacing w:line="270" w:lineRule="atLeast"/>
        <w:rPr>
          <w:rStyle w:val="apple-style-span"/>
          <w:color w:val="000000"/>
          <w:sz w:val="28"/>
          <w:szCs w:val="28"/>
        </w:rPr>
      </w:pPr>
    </w:p>
    <w:tbl>
      <w:tblPr>
        <w:tblW w:w="5201"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2694"/>
        <w:gridCol w:w="6236"/>
      </w:tblGrid>
      <w:tr w:rsidR="00646DDB" w:rsidRPr="000C5706" w:rsidTr="000C5706">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646DDB" w:rsidRPr="000C5706" w:rsidRDefault="00646DDB" w:rsidP="00D639CD">
            <w:pPr>
              <w:pStyle w:val="NormalWeb"/>
              <w:jc w:val="center"/>
              <w:rPr>
                <w:b/>
                <w:bCs/>
              </w:rPr>
            </w:pPr>
            <w:r w:rsidRPr="000C5706">
              <w:rPr>
                <w:b/>
                <w:bCs/>
              </w:rPr>
              <w:t>II. Tiesību akta projekta ietekme uz sabiedrību</w:t>
            </w:r>
          </w:p>
        </w:tc>
      </w:tr>
      <w:tr w:rsidR="00646DDB" w:rsidRPr="000C5706" w:rsidTr="00535D05">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1.</w:t>
            </w:r>
          </w:p>
        </w:tc>
        <w:tc>
          <w:tcPr>
            <w:tcW w:w="1418"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 xml:space="preserve">Sabiedrības </w:t>
            </w:r>
            <w:proofErr w:type="spellStart"/>
            <w:r w:rsidRPr="000C5706">
              <w:t>mērķgrupa</w:t>
            </w:r>
            <w:proofErr w:type="spellEnd"/>
          </w:p>
        </w:tc>
        <w:tc>
          <w:tcPr>
            <w:tcW w:w="3283" w:type="pct"/>
            <w:tcBorders>
              <w:top w:val="outset" w:sz="6" w:space="0" w:color="000000"/>
              <w:left w:val="outset" w:sz="6" w:space="0" w:color="000000"/>
              <w:bottom w:val="outset" w:sz="6" w:space="0" w:color="000000"/>
              <w:right w:val="outset" w:sz="6" w:space="0" w:color="000000"/>
            </w:tcBorders>
          </w:tcPr>
          <w:p w:rsidR="007470E5" w:rsidRPr="002F4541" w:rsidRDefault="00535D05" w:rsidP="00535D05">
            <w:pPr>
              <w:pStyle w:val="naiskr"/>
              <w:spacing w:before="0" w:after="0"/>
              <w:ind w:firstLine="4"/>
              <w:jc w:val="both"/>
              <w:rPr>
                <w:rFonts w:eastAsia="EUAlbertina_Bold"/>
              </w:rPr>
            </w:pPr>
            <w:r>
              <w:t xml:space="preserve">Ikviena iestāde, kā arī persona, kas īsteno pārvaldes funkcijas un uzdevumus, ja šī persona informācijas apritē ir saistīta ar attiecīgo funkciju un uzdevumu izpildi un tā sniedz </w:t>
            </w:r>
            <w:r w:rsidR="005C7ACA">
              <w:t>maksas pakalpojumus</w:t>
            </w:r>
            <w:r>
              <w:t>, izņemot par tādiem maksās pakalpojumiem, par kuriem maksa noteikta likumos, Ministru kabineta noteikumos vai pašvaldību saistošajos noteikumos.</w:t>
            </w:r>
          </w:p>
        </w:tc>
      </w:tr>
      <w:tr w:rsidR="00646DDB" w:rsidRPr="000C5706" w:rsidTr="00535D05">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2.</w:t>
            </w:r>
          </w:p>
        </w:tc>
        <w:tc>
          <w:tcPr>
            <w:tcW w:w="1418"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 xml:space="preserve">Citas sabiedrības grupas (bez </w:t>
            </w:r>
            <w:proofErr w:type="spellStart"/>
            <w:r w:rsidRPr="000C5706">
              <w:t>mērķgrupas</w:t>
            </w:r>
            <w:proofErr w:type="spellEnd"/>
            <w:r w:rsidRPr="000C5706">
              <w:t>), kuras tiesiskais regulējums arī ietekmē vai varētu ietekmēt</w:t>
            </w:r>
          </w:p>
        </w:tc>
        <w:tc>
          <w:tcPr>
            <w:tcW w:w="3283" w:type="pct"/>
            <w:tcBorders>
              <w:top w:val="outset" w:sz="6" w:space="0" w:color="000000"/>
              <w:left w:val="outset" w:sz="6" w:space="0" w:color="000000"/>
              <w:bottom w:val="outset" w:sz="6" w:space="0" w:color="000000"/>
              <w:right w:val="outset" w:sz="6" w:space="0" w:color="000000"/>
            </w:tcBorders>
          </w:tcPr>
          <w:p w:rsidR="00646DDB" w:rsidRPr="000C5706" w:rsidRDefault="00535D05" w:rsidP="002F4541">
            <w:pPr>
              <w:pStyle w:val="NormalWeb"/>
              <w:jc w:val="both"/>
            </w:pPr>
            <w:r>
              <w:t>Privātpersonas, kuras vēlas saņemt pakalpojumu iepriekš minētajā iestādē.</w:t>
            </w:r>
          </w:p>
        </w:tc>
      </w:tr>
      <w:tr w:rsidR="00646DDB" w:rsidRPr="000C5706" w:rsidTr="00535D05">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3.</w:t>
            </w:r>
          </w:p>
        </w:tc>
        <w:tc>
          <w:tcPr>
            <w:tcW w:w="1418"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Tiesiskā regulējuma finansiālā ietekme</w:t>
            </w:r>
          </w:p>
        </w:tc>
        <w:tc>
          <w:tcPr>
            <w:tcW w:w="3283" w:type="pct"/>
            <w:tcBorders>
              <w:top w:val="outset" w:sz="6" w:space="0" w:color="000000"/>
              <w:left w:val="outset" w:sz="6" w:space="0" w:color="000000"/>
              <w:bottom w:val="outset" w:sz="6" w:space="0" w:color="000000"/>
              <w:right w:val="outset" w:sz="6" w:space="0" w:color="000000"/>
            </w:tcBorders>
          </w:tcPr>
          <w:p w:rsidR="00990A43" w:rsidRPr="002F4541" w:rsidRDefault="000A6BD5" w:rsidP="002F4541">
            <w:pPr>
              <w:autoSpaceDE w:val="0"/>
              <w:autoSpaceDN w:val="0"/>
              <w:adjustRightInd w:val="0"/>
              <w:jc w:val="both"/>
              <w:rPr>
                <w:color w:val="000000"/>
                <w:lang w:eastAsia="en-US"/>
              </w:rPr>
            </w:pPr>
            <w:r w:rsidRPr="002F4541">
              <w:t>Projekts šo jomu neskar.</w:t>
            </w:r>
          </w:p>
        </w:tc>
      </w:tr>
      <w:tr w:rsidR="00646DDB" w:rsidRPr="000C5706" w:rsidTr="00535D05">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4.</w:t>
            </w:r>
          </w:p>
        </w:tc>
        <w:tc>
          <w:tcPr>
            <w:tcW w:w="1418"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Tiesiskā regulējuma nefinansiālā ietekme</w:t>
            </w:r>
          </w:p>
        </w:tc>
        <w:tc>
          <w:tcPr>
            <w:tcW w:w="3283" w:type="pct"/>
            <w:tcBorders>
              <w:top w:val="outset" w:sz="6" w:space="0" w:color="000000"/>
              <w:left w:val="outset" w:sz="6" w:space="0" w:color="000000"/>
              <w:bottom w:val="outset" w:sz="6" w:space="0" w:color="000000"/>
              <w:right w:val="outset" w:sz="6" w:space="0" w:color="000000"/>
            </w:tcBorders>
          </w:tcPr>
          <w:p w:rsidR="00646DDB" w:rsidRPr="000C5706" w:rsidRDefault="00195FE9" w:rsidP="002F4541">
            <w:pPr>
              <w:pStyle w:val="NormalWeb"/>
              <w:jc w:val="both"/>
            </w:pPr>
            <w:r>
              <w:t>Projekts šo jomu neskar.</w:t>
            </w:r>
          </w:p>
        </w:tc>
      </w:tr>
      <w:tr w:rsidR="00646DDB" w:rsidRPr="000C5706" w:rsidTr="00535D05">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5.</w:t>
            </w:r>
          </w:p>
        </w:tc>
        <w:tc>
          <w:tcPr>
            <w:tcW w:w="1418"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Administratīvās procedūras raksturojums</w:t>
            </w:r>
          </w:p>
        </w:tc>
        <w:tc>
          <w:tcPr>
            <w:tcW w:w="3283" w:type="pct"/>
            <w:tcBorders>
              <w:top w:val="outset" w:sz="6" w:space="0" w:color="000000"/>
              <w:left w:val="outset" w:sz="6" w:space="0" w:color="000000"/>
              <w:bottom w:val="outset" w:sz="6" w:space="0" w:color="000000"/>
              <w:right w:val="outset" w:sz="6" w:space="0" w:color="000000"/>
            </w:tcBorders>
          </w:tcPr>
          <w:p w:rsidR="007470E5" w:rsidRPr="008A5C70" w:rsidRDefault="002F4541" w:rsidP="002F4541">
            <w:pPr>
              <w:jc w:val="both"/>
            </w:pPr>
            <w:r>
              <w:t>Projekts šo jomu neskar.</w:t>
            </w:r>
          </w:p>
        </w:tc>
      </w:tr>
      <w:tr w:rsidR="00646DDB" w:rsidRPr="000C5706" w:rsidTr="00535D05">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6.</w:t>
            </w:r>
          </w:p>
        </w:tc>
        <w:tc>
          <w:tcPr>
            <w:tcW w:w="1418"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Administratīvo izmaksu monetārs novērtējums</w:t>
            </w:r>
          </w:p>
        </w:tc>
        <w:tc>
          <w:tcPr>
            <w:tcW w:w="3283" w:type="pct"/>
            <w:tcBorders>
              <w:top w:val="outset" w:sz="6" w:space="0" w:color="000000"/>
              <w:left w:val="outset" w:sz="6" w:space="0" w:color="000000"/>
              <w:bottom w:val="outset" w:sz="6" w:space="0" w:color="000000"/>
              <w:right w:val="outset" w:sz="6" w:space="0" w:color="000000"/>
            </w:tcBorders>
          </w:tcPr>
          <w:p w:rsidR="00646DDB" w:rsidRPr="008A5C70" w:rsidRDefault="00195FE9" w:rsidP="002F4541">
            <w:pPr>
              <w:pStyle w:val="NormalWeb"/>
              <w:rPr>
                <w:color w:val="000000"/>
              </w:rPr>
            </w:pPr>
            <w:r w:rsidRPr="008A5C70">
              <w:t>Projekts šo jomu neskar.</w:t>
            </w:r>
          </w:p>
        </w:tc>
      </w:tr>
      <w:tr w:rsidR="00646DDB" w:rsidRPr="000C5706" w:rsidTr="00535D05">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7.</w:t>
            </w:r>
          </w:p>
        </w:tc>
        <w:tc>
          <w:tcPr>
            <w:tcW w:w="1418"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Cita informācija</w:t>
            </w:r>
          </w:p>
        </w:tc>
        <w:tc>
          <w:tcPr>
            <w:tcW w:w="3283" w:type="pct"/>
            <w:tcBorders>
              <w:top w:val="outset" w:sz="6" w:space="0" w:color="000000"/>
              <w:left w:val="outset" w:sz="6" w:space="0" w:color="000000"/>
              <w:bottom w:val="outset" w:sz="6" w:space="0" w:color="000000"/>
              <w:right w:val="outset" w:sz="6" w:space="0" w:color="000000"/>
            </w:tcBorders>
          </w:tcPr>
          <w:p w:rsidR="00646DDB" w:rsidRPr="000C5706" w:rsidRDefault="00646DDB" w:rsidP="002F4541">
            <w:pPr>
              <w:pStyle w:val="NormalWeb"/>
            </w:pPr>
            <w:r w:rsidRPr="000C5706">
              <w:t>Nav</w:t>
            </w:r>
          </w:p>
        </w:tc>
      </w:tr>
    </w:tbl>
    <w:p w:rsidR="002F4541" w:rsidRDefault="002F4541" w:rsidP="000A6BD5">
      <w:pPr>
        <w:pStyle w:val="naisf"/>
        <w:spacing w:before="0" w:after="0"/>
        <w:ind w:firstLine="0"/>
        <w:rPr>
          <w:i/>
          <w:sz w:val="28"/>
          <w:szCs w:val="28"/>
        </w:rPr>
      </w:pPr>
    </w:p>
    <w:tbl>
      <w:tblPr>
        <w:tblW w:w="9478"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383"/>
        <w:gridCol w:w="6437"/>
      </w:tblGrid>
      <w:tr w:rsidR="002F4541" w:rsidRPr="00711F59" w:rsidTr="00535D05">
        <w:trPr>
          <w:jc w:val="center"/>
        </w:trPr>
        <w:tc>
          <w:tcPr>
            <w:tcW w:w="9478" w:type="dxa"/>
            <w:gridSpan w:val="3"/>
          </w:tcPr>
          <w:p w:rsidR="002F4541" w:rsidRPr="007C0F2C" w:rsidRDefault="002F4541" w:rsidP="00CD3407">
            <w:pPr>
              <w:pStyle w:val="naisnod"/>
              <w:spacing w:before="0" w:after="0"/>
            </w:pPr>
            <w:r w:rsidRPr="007C0F2C">
              <w:t>IV. Tiesību akta projekta ietekme uz spēkā esošo tiesību normu sistēmu</w:t>
            </w:r>
          </w:p>
        </w:tc>
      </w:tr>
      <w:tr w:rsidR="002F4541" w:rsidRPr="00C46301" w:rsidTr="00535D05">
        <w:trPr>
          <w:jc w:val="center"/>
        </w:trPr>
        <w:tc>
          <w:tcPr>
            <w:tcW w:w="658" w:type="dxa"/>
          </w:tcPr>
          <w:p w:rsidR="002F4541" w:rsidRPr="00994213" w:rsidRDefault="002F4541" w:rsidP="00CD3407">
            <w:pPr>
              <w:pStyle w:val="naiskr"/>
              <w:tabs>
                <w:tab w:val="left" w:pos="2628"/>
              </w:tabs>
              <w:spacing w:before="0" w:after="0"/>
              <w:jc w:val="both"/>
              <w:rPr>
                <w:iCs/>
              </w:rPr>
            </w:pPr>
            <w:r w:rsidRPr="00994213">
              <w:rPr>
                <w:iCs/>
              </w:rPr>
              <w:t>1.</w:t>
            </w:r>
          </w:p>
        </w:tc>
        <w:tc>
          <w:tcPr>
            <w:tcW w:w="2383" w:type="dxa"/>
          </w:tcPr>
          <w:p w:rsidR="002F4541" w:rsidRPr="00994213" w:rsidRDefault="002F4541" w:rsidP="00CD3407">
            <w:pPr>
              <w:pStyle w:val="naiskr"/>
              <w:tabs>
                <w:tab w:val="left" w:pos="2628"/>
              </w:tabs>
              <w:spacing w:before="0" w:after="0"/>
              <w:jc w:val="both"/>
              <w:rPr>
                <w:iCs/>
              </w:rPr>
            </w:pPr>
            <w:r w:rsidRPr="00C46301">
              <w:t>Nepieciešamie saistītie tiesību aktu projekti</w:t>
            </w:r>
          </w:p>
        </w:tc>
        <w:tc>
          <w:tcPr>
            <w:tcW w:w="6437" w:type="dxa"/>
          </w:tcPr>
          <w:p w:rsidR="002F4541" w:rsidRPr="001E3070" w:rsidRDefault="002F4541" w:rsidP="00CD3407">
            <w:pPr>
              <w:pStyle w:val="naiskr"/>
              <w:tabs>
                <w:tab w:val="left" w:pos="2628"/>
              </w:tabs>
              <w:spacing w:before="0" w:after="0"/>
              <w:jc w:val="both"/>
              <w:rPr>
                <w:iCs/>
              </w:rPr>
            </w:pPr>
            <w:r w:rsidRPr="001E3070">
              <w:rPr>
                <w:iCs/>
              </w:rPr>
              <w:t xml:space="preserve">Vienlaikus ar grozījumiem </w:t>
            </w:r>
            <w:r w:rsidRPr="002D36C6">
              <w:rPr>
                <w:bCs/>
              </w:rPr>
              <w:t>Ministru kabineta noteikum</w:t>
            </w:r>
            <w:r>
              <w:rPr>
                <w:bCs/>
              </w:rPr>
              <w:t>os</w:t>
            </w:r>
            <w:r w:rsidRPr="002D36C6">
              <w:rPr>
                <w:bCs/>
              </w:rPr>
              <w:t xml:space="preserve"> Nr.</w:t>
            </w:r>
            <w:r w:rsidR="00535D05">
              <w:rPr>
                <w:bCs/>
              </w:rPr>
              <w:t>940</w:t>
            </w:r>
            <w:r>
              <w:t xml:space="preserve"> Finanšu ministrija v</w:t>
            </w:r>
            <w:r w:rsidRPr="001E3070">
              <w:rPr>
                <w:iCs/>
              </w:rPr>
              <w:t>irz</w:t>
            </w:r>
            <w:r>
              <w:rPr>
                <w:iCs/>
              </w:rPr>
              <w:t>a citus saistītus</w:t>
            </w:r>
            <w:r w:rsidRPr="001E3070">
              <w:rPr>
                <w:iCs/>
              </w:rPr>
              <w:t xml:space="preserve"> grozījum</w:t>
            </w:r>
            <w:r>
              <w:rPr>
                <w:iCs/>
              </w:rPr>
              <w:t>us, kuru termiņi ir tādi paši</w:t>
            </w:r>
            <w:r w:rsidR="000F0A5E">
              <w:rPr>
                <w:iCs/>
              </w:rPr>
              <w:t>,</w:t>
            </w:r>
            <w:r>
              <w:rPr>
                <w:iCs/>
              </w:rPr>
              <w:t xml:space="preserve"> kā šim noteikumu projektam.</w:t>
            </w:r>
          </w:p>
          <w:p w:rsidR="002F4541" w:rsidRPr="00CD7117" w:rsidRDefault="002F4541" w:rsidP="00CD3407">
            <w:pPr>
              <w:pStyle w:val="naiskr"/>
              <w:tabs>
                <w:tab w:val="left" w:pos="2628"/>
              </w:tabs>
              <w:spacing w:before="0" w:after="0"/>
              <w:jc w:val="both"/>
              <w:rPr>
                <w:iCs/>
                <w:highlight w:val="yellow"/>
              </w:rPr>
            </w:pPr>
            <w:r w:rsidRPr="001E3070">
              <w:rPr>
                <w:iCs/>
              </w:rPr>
              <w:t xml:space="preserve">Visi </w:t>
            </w:r>
            <w:r>
              <w:rPr>
                <w:iCs/>
              </w:rPr>
              <w:t>projekti</w:t>
            </w:r>
            <w:r w:rsidRPr="001E3070">
              <w:rPr>
                <w:iCs/>
              </w:rPr>
              <w:t xml:space="preserve"> ir savstarpēji </w:t>
            </w:r>
            <w:r>
              <w:rPr>
                <w:iCs/>
              </w:rPr>
              <w:t xml:space="preserve">cieši </w:t>
            </w:r>
            <w:r w:rsidRPr="001E3070">
              <w:rPr>
                <w:iCs/>
              </w:rPr>
              <w:t xml:space="preserve">saistīti un veido vienotu sistēmu, kas nodrošina </w:t>
            </w:r>
            <w:r w:rsidRPr="0029446D">
              <w:rPr>
                <w:iCs/>
              </w:rPr>
              <w:t xml:space="preserve">tiesību aktu pielāgošanu </w:t>
            </w:r>
            <w:proofErr w:type="spellStart"/>
            <w:r w:rsidRPr="0029446D">
              <w:rPr>
                <w:iCs/>
              </w:rPr>
              <w:t>euro</w:t>
            </w:r>
            <w:proofErr w:type="spellEnd"/>
            <w:r w:rsidRPr="0029446D">
              <w:rPr>
                <w:iCs/>
              </w:rPr>
              <w:t xml:space="preserve"> ieviešanai Latvijā</w:t>
            </w:r>
            <w:r>
              <w:rPr>
                <w:iCs/>
              </w:rPr>
              <w:t>.</w:t>
            </w:r>
          </w:p>
        </w:tc>
      </w:tr>
      <w:tr w:rsidR="002F4541" w:rsidRPr="00994213" w:rsidTr="00535D05">
        <w:trPr>
          <w:jc w:val="center"/>
        </w:trPr>
        <w:tc>
          <w:tcPr>
            <w:tcW w:w="658" w:type="dxa"/>
          </w:tcPr>
          <w:p w:rsidR="002F4541" w:rsidRPr="00994213" w:rsidRDefault="002F4541" w:rsidP="00CD3407">
            <w:pPr>
              <w:pStyle w:val="naiskr"/>
              <w:tabs>
                <w:tab w:val="left" w:pos="2628"/>
              </w:tabs>
              <w:spacing w:before="0" w:after="0"/>
              <w:jc w:val="both"/>
              <w:rPr>
                <w:iCs/>
              </w:rPr>
            </w:pPr>
            <w:r w:rsidRPr="00994213">
              <w:rPr>
                <w:iCs/>
              </w:rPr>
              <w:t>2.</w:t>
            </w:r>
          </w:p>
        </w:tc>
        <w:tc>
          <w:tcPr>
            <w:tcW w:w="2383" w:type="dxa"/>
          </w:tcPr>
          <w:p w:rsidR="002F4541" w:rsidRPr="00994213" w:rsidRDefault="002F4541" w:rsidP="00CD3407">
            <w:pPr>
              <w:pStyle w:val="naiskr"/>
              <w:tabs>
                <w:tab w:val="left" w:pos="2628"/>
              </w:tabs>
              <w:spacing w:before="0" w:after="0"/>
              <w:jc w:val="both"/>
              <w:rPr>
                <w:iCs/>
              </w:rPr>
            </w:pPr>
            <w:r w:rsidRPr="00C46301">
              <w:t>Cita informācija</w:t>
            </w:r>
          </w:p>
        </w:tc>
        <w:tc>
          <w:tcPr>
            <w:tcW w:w="6437" w:type="dxa"/>
          </w:tcPr>
          <w:p w:rsidR="002F4541" w:rsidRPr="00994213" w:rsidRDefault="002F4541" w:rsidP="00CD3407">
            <w:pPr>
              <w:pStyle w:val="naiskr"/>
              <w:tabs>
                <w:tab w:val="left" w:pos="2628"/>
              </w:tabs>
              <w:spacing w:before="0" w:after="0"/>
              <w:jc w:val="both"/>
              <w:rPr>
                <w:iCs/>
              </w:rPr>
            </w:pPr>
            <w:r w:rsidRPr="00C46301">
              <w:t>Nav.</w:t>
            </w:r>
          </w:p>
        </w:tc>
      </w:tr>
    </w:tbl>
    <w:p w:rsidR="00195FE9" w:rsidRPr="005D70CE" w:rsidRDefault="00606E06" w:rsidP="00535D05">
      <w:pPr>
        <w:pStyle w:val="naisf"/>
        <w:spacing w:before="0" w:after="0"/>
        <w:ind w:firstLine="0"/>
        <w:jc w:val="center"/>
        <w:rPr>
          <w:i/>
        </w:rPr>
      </w:pPr>
      <w:r w:rsidRPr="005D70CE">
        <w:rPr>
          <w:i/>
        </w:rPr>
        <w:t xml:space="preserve">Anotācijas </w:t>
      </w:r>
      <w:r w:rsidR="002F4541" w:rsidRPr="005D70CE">
        <w:rPr>
          <w:i/>
        </w:rPr>
        <w:t xml:space="preserve">III, </w:t>
      </w:r>
      <w:r w:rsidR="00676C09" w:rsidRPr="005D70CE">
        <w:rPr>
          <w:i/>
        </w:rPr>
        <w:t xml:space="preserve">V </w:t>
      </w:r>
      <w:r w:rsidR="00535D05">
        <w:rPr>
          <w:i/>
        </w:rPr>
        <w:t>,</w:t>
      </w:r>
      <w:r w:rsidR="00195FE9" w:rsidRPr="005D70CE">
        <w:rPr>
          <w:i/>
        </w:rPr>
        <w:t xml:space="preserve"> V</w:t>
      </w:r>
      <w:r w:rsidR="00676C09" w:rsidRPr="005D70CE">
        <w:rPr>
          <w:i/>
        </w:rPr>
        <w:t>I</w:t>
      </w:r>
      <w:r w:rsidR="00535D05">
        <w:rPr>
          <w:i/>
        </w:rPr>
        <w:t xml:space="preserve"> un VII</w:t>
      </w:r>
      <w:r w:rsidR="00195FE9" w:rsidRPr="005D70CE">
        <w:rPr>
          <w:i/>
        </w:rPr>
        <w:t xml:space="preserve"> sadaļa – projekts šīs jomas neskar.</w:t>
      </w:r>
    </w:p>
    <w:p w:rsidR="00D75DC0" w:rsidRDefault="00D75DC0" w:rsidP="00D75DC0">
      <w:pPr>
        <w:pStyle w:val="naisf"/>
        <w:tabs>
          <w:tab w:val="left" w:pos="6804"/>
        </w:tabs>
        <w:spacing w:before="0" w:after="0"/>
        <w:ind w:firstLine="0"/>
      </w:pPr>
    </w:p>
    <w:p w:rsidR="00D75DC0" w:rsidRPr="004056ED" w:rsidRDefault="00D75DC0" w:rsidP="00D75DC0">
      <w:pPr>
        <w:pStyle w:val="naisf"/>
        <w:tabs>
          <w:tab w:val="left" w:pos="6804"/>
        </w:tabs>
        <w:spacing w:before="0" w:after="0"/>
        <w:ind w:firstLine="0"/>
      </w:pPr>
      <w:r w:rsidRPr="004056ED">
        <w:t xml:space="preserve">Pielikums: Normatīvajos aktos ietverto skaitļu pārrēķins uz </w:t>
      </w:r>
      <w:proofErr w:type="spellStart"/>
      <w:r w:rsidRPr="00796DA2">
        <w:rPr>
          <w:i/>
        </w:rPr>
        <w:t>euro</w:t>
      </w:r>
      <w:proofErr w:type="spellEnd"/>
      <w:r w:rsidRPr="004056ED">
        <w:t xml:space="preserve"> uz 1 lp.</w:t>
      </w:r>
    </w:p>
    <w:p w:rsidR="00195FE9" w:rsidRDefault="00195FE9" w:rsidP="00316B66">
      <w:pPr>
        <w:pStyle w:val="naisf"/>
        <w:tabs>
          <w:tab w:val="left" w:pos="5760"/>
        </w:tabs>
        <w:spacing w:before="0" w:after="0"/>
        <w:ind w:firstLine="0"/>
        <w:rPr>
          <w:sz w:val="28"/>
          <w:szCs w:val="28"/>
        </w:rPr>
      </w:pPr>
    </w:p>
    <w:p w:rsidR="00316B66" w:rsidRPr="00F6439B" w:rsidRDefault="00316B66" w:rsidP="00316B66">
      <w:pPr>
        <w:pStyle w:val="naisf"/>
        <w:tabs>
          <w:tab w:val="left" w:pos="5760"/>
        </w:tabs>
        <w:spacing w:before="0" w:after="0"/>
        <w:ind w:firstLine="0"/>
        <w:rPr>
          <w:sz w:val="28"/>
          <w:szCs w:val="28"/>
        </w:rPr>
      </w:pPr>
    </w:p>
    <w:p w:rsidR="00F86385" w:rsidRDefault="00F86385" w:rsidP="00F86385">
      <w:pPr>
        <w:pStyle w:val="Footer"/>
        <w:rPr>
          <w:sz w:val="28"/>
          <w:szCs w:val="28"/>
        </w:rPr>
      </w:pPr>
      <w:r>
        <w:rPr>
          <w:sz w:val="28"/>
          <w:szCs w:val="28"/>
        </w:rPr>
        <w:t xml:space="preserve">Finanšu ministra vietā – </w:t>
      </w:r>
    </w:p>
    <w:p w:rsidR="004C0C0C" w:rsidRDefault="00266D52" w:rsidP="00F86385">
      <w:pPr>
        <w:pStyle w:val="Footer"/>
        <w:rPr>
          <w:sz w:val="28"/>
          <w:szCs w:val="28"/>
        </w:rPr>
      </w:pPr>
      <w:r>
        <w:rPr>
          <w:sz w:val="28"/>
          <w:szCs w:val="28"/>
        </w:rPr>
        <w:t>satiksmes ministrs</w:t>
      </w:r>
      <w:r>
        <w:rPr>
          <w:sz w:val="28"/>
          <w:szCs w:val="28"/>
        </w:rPr>
        <w:tab/>
      </w:r>
      <w:r>
        <w:rPr>
          <w:sz w:val="28"/>
          <w:szCs w:val="28"/>
        </w:rPr>
        <w:tab/>
        <w:t>A.Matīss</w:t>
      </w:r>
    </w:p>
    <w:p w:rsidR="005D70CE" w:rsidRPr="00FF135C" w:rsidRDefault="005E323B" w:rsidP="00FF135C">
      <w:pPr>
        <w:jc w:val="both"/>
        <w:rPr>
          <w:b/>
          <w:sz w:val="28"/>
          <w:szCs w:val="28"/>
        </w:rPr>
      </w:pPr>
      <w:r w:rsidRPr="00316B66">
        <w:rPr>
          <w:b/>
          <w:sz w:val="28"/>
          <w:szCs w:val="28"/>
        </w:rPr>
        <w:tab/>
      </w:r>
    </w:p>
    <w:p w:rsidR="005D70CE" w:rsidRDefault="005D70CE" w:rsidP="00BE10C1">
      <w:pPr>
        <w:rPr>
          <w:sz w:val="18"/>
          <w:szCs w:val="18"/>
        </w:rPr>
      </w:pPr>
    </w:p>
    <w:p w:rsidR="007D62A1" w:rsidRDefault="007D62A1" w:rsidP="00BE10C1">
      <w:pPr>
        <w:rPr>
          <w:sz w:val="18"/>
          <w:szCs w:val="18"/>
        </w:rPr>
      </w:pPr>
      <w:r>
        <w:rPr>
          <w:sz w:val="18"/>
          <w:szCs w:val="18"/>
        </w:rPr>
        <w:t>17.07.2013 10:47</w:t>
      </w:r>
    </w:p>
    <w:bookmarkStart w:id="9" w:name="_GoBack"/>
    <w:bookmarkEnd w:id="9"/>
    <w:p w:rsidR="00BE10C1" w:rsidRPr="00BE10C1" w:rsidRDefault="00BE10C1" w:rsidP="00BE10C1">
      <w:pPr>
        <w:rPr>
          <w:sz w:val="18"/>
          <w:szCs w:val="18"/>
        </w:rPr>
      </w:pPr>
      <w:r w:rsidRPr="00BE10C1">
        <w:rPr>
          <w:sz w:val="18"/>
          <w:szCs w:val="18"/>
        </w:rPr>
        <w:fldChar w:fldCharType="begin"/>
      </w:r>
      <w:r w:rsidRPr="00BE10C1">
        <w:rPr>
          <w:sz w:val="18"/>
          <w:szCs w:val="18"/>
        </w:rPr>
        <w:instrText xml:space="preserve"> NUMWORDS   \* MERGEFORMAT </w:instrText>
      </w:r>
      <w:r w:rsidRPr="00BE10C1">
        <w:rPr>
          <w:sz w:val="18"/>
          <w:szCs w:val="18"/>
        </w:rPr>
        <w:fldChar w:fldCharType="separate"/>
      </w:r>
      <w:r w:rsidR="00F86385">
        <w:rPr>
          <w:noProof/>
          <w:sz w:val="18"/>
          <w:szCs w:val="18"/>
        </w:rPr>
        <w:t>618</w:t>
      </w:r>
      <w:r w:rsidRPr="00BE10C1">
        <w:rPr>
          <w:sz w:val="18"/>
          <w:szCs w:val="18"/>
        </w:rPr>
        <w:fldChar w:fldCharType="end"/>
      </w:r>
    </w:p>
    <w:p w:rsidR="00BE10C1" w:rsidRPr="00BE10C1" w:rsidRDefault="00BE10C1" w:rsidP="00BE10C1">
      <w:pPr>
        <w:contextualSpacing/>
        <w:jc w:val="both"/>
        <w:rPr>
          <w:sz w:val="18"/>
          <w:szCs w:val="18"/>
        </w:rPr>
      </w:pPr>
      <w:r w:rsidRPr="00BE10C1">
        <w:rPr>
          <w:sz w:val="18"/>
          <w:szCs w:val="18"/>
        </w:rPr>
        <w:t>I.Vanaga</w:t>
      </w:r>
    </w:p>
    <w:p w:rsidR="00BE10C1" w:rsidRPr="00BE10C1" w:rsidRDefault="00BE10C1" w:rsidP="00BE10C1">
      <w:pPr>
        <w:contextualSpacing/>
        <w:jc w:val="both"/>
        <w:rPr>
          <w:sz w:val="18"/>
          <w:szCs w:val="18"/>
        </w:rPr>
      </w:pPr>
      <w:r w:rsidRPr="00BE10C1">
        <w:rPr>
          <w:sz w:val="18"/>
          <w:szCs w:val="18"/>
        </w:rPr>
        <w:t>Finanšu ministrijas</w:t>
      </w:r>
    </w:p>
    <w:p w:rsidR="00BE10C1" w:rsidRPr="00BE10C1" w:rsidRDefault="00BE10C1" w:rsidP="00BE10C1">
      <w:pPr>
        <w:contextualSpacing/>
        <w:jc w:val="both"/>
        <w:rPr>
          <w:sz w:val="18"/>
          <w:szCs w:val="18"/>
        </w:rPr>
      </w:pPr>
      <w:r w:rsidRPr="00BE10C1">
        <w:rPr>
          <w:sz w:val="18"/>
          <w:szCs w:val="18"/>
        </w:rPr>
        <w:t xml:space="preserve">Nodokļu administrēšanas </w:t>
      </w:r>
      <w:r w:rsidR="000A6BD5">
        <w:rPr>
          <w:sz w:val="18"/>
          <w:szCs w:val="18"/>
        </w:rPr>
        <w:t xml:space="preserve">un grāmatvedības </w:t>
      </w:r>
      <w:r w:rsidRPr="00BE10C1">
        <w:rPr>
          <w:sz w:val="18"/>
          <w:szCs w:val="18"/>
        </w:rPr>
        <w:t>politikas departamenta</w:t>
      </w:r>
    </w:p>
    <w:p w:rsidR="00BE10C1" w:rsidRPr="00BE10C1" w:rsidRDefault="00BE10C1" w:rsidP="00BE10C1">
      <w:pPr>
        <w:contextualSpacing/>
        <w:jc w:val="both"/>
        <w:rPr>
          <w:sz w:val="18"/>
          <w:szCs w:val="18"/>
        </w:rPr>
      </w:pPr>
      <w:r w:rsidRPr="00BE10C1">
        <w:rPr>
          <w:sz w:val="18"/>
          <w:szCs w:val="18"/>
        </w:rPr>
        <w:t>Nodokļu administrēšanas</w:t>
      </w:r>
      <w:r w:rsidR="000A6BD5">
        <w:rPr>
          <w:sz w:val="18"/>
          <w:szCs w:val="18"/>
        </w:rPr>
        <w:t xml:space="preserve"> politikas</w:t>
      </w:r>
      <w:r w:rsidRPr="00BE10C1">
        <w:rPr>
          <w:sz w:val="18"/>
          <w:szCs w:val="18"/>
        </w:rPr>
        <w:t xml:space="preserve"> nodaļas vecākā referente</w:t>
      </w:r>
    </w:p>
    <w:p w:rsidR="00BE10C1" w:rsidRPr="00BE10C1" w:rsidRDefault="00BE10C1" w:rsidP="00BE10C1">
      <w:pPr>
        <w:contextualSpacing/>
        <w:jc w:val="both"/>
        <w:rPr>
          <w:sz w:val="18"/>
          <w:szCs w:val="18"/>
        </w:rPr>
      </w:pPr>
      <w:proofErr w:type="spellStart"/>
      <w:r w:rsidRPr="00BE10C1">
        <w:rPr>
          <w:sz w:val="18"/>
          <w:szCs w:val="18"/>
        </w:rPr>
        <w:t>tālr</w:t>
      </w:r>
      <w:proofErr w:type="spellEnd"/>
      <w:r w:rsidRPr="00BE10C1">
        <w:rPr>
          <w:sz w:val="18"/>
          <w:szCs w:val="18"/>
        </w:rPr>
        <w:t>. 67083901,fakss 67095497</w:t>
      </w:r>
    </w:p>
    <w:p w:rsidR="0095487B" w:rsidRPr="000A6BD5" w:rsidRDefault="007D62A1" w:rsidP="000A6BD5">
      <w:pPr>
        <w:contextualSpacing/>
        <w:jc w:val="both"/>
        <w:rPr>
          <w:sz w:val="18"/>
          <w:szCs w:val="18"/>
        </w:rPr>
      </w:pPr>
      <w:hyperlink r:id="rId9" w:history="1">
        <w:r w:rsidR="00BE10C1" w:rsidRPr="00BE10C1">
          <w:rPr>
            <w:color w:val="0000FF"/>
            <w:sz w:val="18"/>
            <w:szCs w:val="18"/>
            <w:u w:val="single"/>
          </w:rPr>
          <w:t>inese.vanaga@fm.gov.lv</w:t>
        </w:r>
      </w:hyperlink>
    </w:p>
    <w:sectPr w:rsidR="0095487B" w:rsidRPr="000A6BD5" w:rsidSect="00535D05">
      <w:headerReference w:type="even" r:id="rId10"/>
      <w:headerReference w:type="default" r:id="rId11"/>
      <w:footerReference w:type="default" r:id="rId12"/>
      <w:footerReference w:type="first" r:id="rId13"/>
      <w:pgSz w:w="11906" w:h="16838" w:code="9"/>
      <w:pgMar w:top="851" w:right="1134" w:bottom="1418" w:left="1701"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BE" w:rsidRDefault="00044EBE" w:rsidP="000B5C6F">
      <w:r>
        <w:separator/>
      </w:r>
    </w:p>
  </w:endnote>
  <w:endnote w:type="continuationSeparator" w:id="0">
    <w:p w:rsidR="00044EBE" w:rsidRDefault="00044EBE" w:rsidP="000B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07" w:rsidRPr="00CD1507" w:rsidRDefault="00CD1507" w:rsidP="00CD1507">
    <w:pPr>
      <w:pStyle w:val="tv20787921"/>
      <w:spacing w:after="0" w:line="240" w:lineRule="auto"/>
      <w:jc w:val="both"/>
      <w:rPr>
        <w:rFonts w:ascii="Times New Roman" w:hAnsi="Times New Roman"/>
        <w:b w:val="0"/>
        <w:sz w:val="20"/>
        <w:szCs w:val="20"/>
      </w:rPr>
    </w:pPr>
    <w:r w:rsidRPr="00CD1507">
      <w:rPr>
        <w:rFonts w:ascii="Times New Roman" w:hAnsi="Times New Roman"/>
        <w:b w:val="0"/>
        <w:sz w:val="20"/>
        <w:szCs w:val="20"/>
      </w:rPr>
      <w:t>FMAnot_</w:t>
    </w:r>
    <w:r w:rsidR="009D3EC6">
      <w:rPr>
        <w:rFonts w:ascii="Times New Roman" w:hAnsi="Times New Roman"/>
        <w:b w:val="0"/>
        <w:sz w:val="20"/>
        <w:szCs w:val="20"/>
      </w:rPr>
      <w:t>1207</w:t>
    </w:r>
    <w:r w:rsidRPr="00CD1507">
      <w:rPr>
        <w:rFonts w:ascii="Times New Roman" w:hAnsi="Times New Roman"/>
        <w:b w:val="0"/>
        <w:sz w:val="20"/>
        <w:szCs w:val="20"/>
      </w:rPr>
      <w:t>13_MK_</w:t>
    </w:r>
    <w:r>
      <w:rPr>
        <w:rFonts w:ascii="Times New Roman" w:hAnsi="Times New Roman"/>
        <w:b w:val="0"/>
        <w:sz w:val="20"/>
        <w:szCs w:val="20"/>
      </w:rPr>
      <w:t>940</w:t>
    </w:r>
    <w:r w:rsidRPr="00CD1507">
      <w:rPr>
        <w:rFonts w:ascii="Times New Roman" w:hAnsi="Times New Roman"/>
        <w:b w:val="0"/>
        <w:sz w:val="20"/>
        <w:szCs w:val="20"/>
      </w:rPr>
      <w:t>_euro; Ministru kabineta noteikumu projekta Ministru kabineta noteikumu projekts „</w:t>
    </w:r>
    <w:r w:rsidRPr="00CD1507">
      <w:rPr>
        <w:rFonts w:ascii="Times New Roman" w:hAnsi="Times New Roman"/>
        <w:b w:val="0"/>
        <w:color w:val="000000" w:themeColor="text1"/>
        <w:sz w:val="20"/>
        <w:szCs w:val="20"/>
      </w:rPr>
      <w:t xml:space="preserve">Grozījumi Ministru kabineta 2006.gada </w:t>
    </w:r>
    <w:r w:rsidRPr="00CD1507">
      <w:rPr>
        <w:rFonts w:ascii="Times New Roman" w:hAnsi="Times New Roman"/>
        <w:b w:val="0"/>
        <w:bCs w:val="0"/>
        <w:color w:val="000000" w:themeColor="text1"/>
        <w:sz w:val="20"/>
        <w:szCs w:val="20"/>
      </w:rPr>
      <w:t>2</w:t>
    </w:r>
    <w:r w:rsidRPr="00CD1507">
      <w:rPr>
        <w:rFonts w:ascii="Times New Roman" w:hAnsi="Times New Roman"/>
        <w:b w:val="0"/>
        <w:color w:val="000000" w:themeColor="text1"/>
        <w:sz w:val="20"/>
        <w:szCs w:val="20"/>
      </w:rPr>
      <w:t>1.</w:t>
    </w:r>
    <w:r w:rsidRPr="00CD1507">
      <w:rPr>
        <w:rFonts w:ascii="Times New Roman" w:hAnsi="Times New Roman"/>
        <w:b w:val="0"/>
        <w:bCs w:val="0"/>
        <w:color w:val="000000" w:themeColor="text1"/>
        <w:sz w:val="20"/>
        <w:szCs w:val="20"/>
      </w:rPr>
      <w:t>novem</w:t>
    </w:r>
    <w:r w:rsidRPr="00CD1507">
      <w:rPr>
        <w:rFonts w:ascii="Times New Roman" w:hAnsi="Times New Roman"/>
        <w:b w:val="0"/>
        <w:color w:val="000000" w:themeColor="text1"/>
        <w:sz w:val="20"/>
        <w:szCs w:val="20"/>
      </w:rPr>
      <w:t>bra noteikumos Nr.</w:t>
    </w:r>
    <w:r w:rsidRPr="00CD1507">
      <w:rPr>
        <w:rFonts w:ascii="Times New Roman" w:hAnsi="Times New Roman"/>
        <w:b w:val="0"/>
        <w:bCs w:val="0"/>
        <w:color w:val="000000" w:themeColor="text1"/>
        <w:sz w:val="20"/>
        <w:szCs w:val="20"/>
      </w:rPr>
      <w:t>940</w:t>
    </w:r>
    <w:r w:rsidRPr="00CD1507">
      <w:rPr>
        <w:rFonts w:ascii="Times New Roman" w:hAnsi="Times New Roman"/>
        <w:b w:val="0"/>
        <w:color w:val="000000" w:themeColor="text1"/>
        <w:sz w:val="20"/>
        <w:szCs w:val="20"/>
      </w:rPr>
      <w:t xml:space="preserve"> „</w:t>
    </w:r>
    <w:r w:rsidRPr="00CD1507">
      <w:rPr>
        <w:rFonts w:ascii="Times New Roman" w:hAnsi="Times New Roman"/>
        <w:b w:val="0"/>
        <w:sz w:val="20"/>
        <w:szCs w:val="20"/>
      </w:rPr>
      <w:t>Noteikumi par informācijas sniegšanas maksas pakalpojumiem””</w:t>
    </w:r>
    <w:r>
      <w:rPr>
        <w:rFonts w:ascii="Times New Roman" w:hAnsi="Times New Roman"/>
        <w:b w:val="0"/>
        <w:sz w:val="20"/>
        <w:szCs w:val="20"/>
      </w:rPr>
      <w:t xml:space="preserve"> </w:t>
    </w:r>
    <w:r w:rsidRPr="00CD1507">
      <w:rPr>
        <w:rFonts w:ascii="Times New Roman" w:hAnsi="Times New Roman"/>
        <w:b w:val="0"/>
        <w:sz w:val="20"/>
        <w:szCs w:val="20"/>
      </w:rPr>
      <w:t>sākotnējās ietekmes novērtējuma ziņojums (anotācija)</w:t>
    </w:r>
  </w:p>
  <w:p w:rsidR="00044EBE" w:rsidRPr="00CD1507" w:rsidRDefault="00044EBE" w:rsidP="00CD1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Pr="00CD1507" w:rsidRDefault="00044EBE" w:rsidP="00CD1507">
    <w:pPr>
      <w:pStyle w:val="tv20787921"/>
      <w:spacing w:after="0" w:line="240" w:lineRule="auto"/>
      <w:jc w:val="both"/>
      <w:rPr>
        <w:rFonts w:ascii="Times New Roman" w:hAnsi="Times New Roman"/>
        <w:b w:val="0"/>
        <w:sz w:val="20"/>
        <w:szCs w:val="20"/>
      </w:rPr>
    </w:pPr>
    <w:r w:rsidRPr="00CD1507">
      <w:rPr>
        <w:rFonts w:ascii="Times New Roman" w:hAnsi="Times New Roman"/>
        <w:b w:val="0"/>
        <w:sz w:val="20"/>
        <w:szCs w:val="20"/>
      </w:rPr>
      <w:t>FMAnot_</w:t>
    </w:r>
    <w:r w:rsidR="009D3EC6">
      <w:rPr>
        <w:rFonts w:ascii="Times New Roman" w:hAnsi="Times New Roman"/>
        <w:b w:val="0"/>
        <w:sz w:val="20"/>
        <w:szCs w:val="20"/>
      </w:rPr>
      <w:t>1207</w:t>
    </w:r>
    <w:r w:rsidR="005D70CE" w:rsidRPr="00CD1507">
      <w:rPr>
        <w:rFonts w:ascii="Times New Roman" w:hAnsi="Times New Roman"/>
        <w:b w:val="0"/>
        <w:sz w:val="20"/>
        <w:szCs w:val="20"/>
      </w:rPr>
      <w:t>13</w:t>
    </w:r>
    <w:r w:rsidRPr="00CD1507">
      <w:rPr>
        <w:rFonts w:ascii="Times New Roman" w:hAnsi="Times New Roman"/>
        <w:b w:val="0"/>
        <w:sz w:val="20"/>
        <w:szCs w:val="20"/>
      </w:rPr>
      <w:t>_MK_</w:t>
    </w:r>
    <w:r w:rsidR="00CD1507">
      <w:rPr>
        <w:rFonts w:ascii="Times New Roman" w:hAnsi="Times New Roman"/>
        <w:b w:val="0"/>
        <w:sz w:val="20"/>
        <w:szCs w:val="20"/>
      </w:rPr>
      <w:t>940</w:t>
    </w:r>
    <w:r w:rsidR="005D70CE" w:rsidRPr="00CD1507">
      <w:rPr>
        <w:rFonts w:ascii="Times New Roman" w:hAnsi="Times New Roman"/>
        <w:b w:val="0"/>
        <w:sz w:val="20"/>
        <w:szCs w:val="20"/>
      </w:rPr>
      <w:t>_euro</w:t>
    </w:r>
    <w:r w:rsidRPr="00CD1507">
      <w:rPr>
        <w:rFonts w:ascii="Times New Roman" w:hAnsi="Times New Roman"/>
        <w:b w:val="0"/>
        <w:sz w:val="20"/>
        <w:szCs w:val="20"/>
      </w:rPr>
      <w:t xml:space="preserve">; Ministru kabineta noteikumu projekta </w:t>
    </w:r>
    <w:r w:rsidR="00CD1507" w:rsidRPr="00CD1507">
      <w:rPr>
        <w:rFonts w:ascii="Times New Roman" w:hAnsi="Times New Roman"/>
        <w:b w:val="0"/>
        <w:sz w:val="20"/>
        <w:szCs w:val="20"/>
      </w:rPr>
      <w:t>Ministru kabineta noteikumu projekts „</w:t>
    </w:r>
    <w:r w:rsidR="00CD1507" w:rsidRPr="00CD1507">
      <w:rPr>
        <w:rFonts w:ascii="Times New Roman" w:hAnsi="Times New Roman"/>
        <w:b w:val="0"/>
        <w:color w:val="000000" w:themeColor="text1"/>
        <w:sz w:val="20"/>
        <w:szCs w:val="20"/>
      </w:rPr>
      <w:t xml:space="preserve">Grozījumi Ministru kabineta 2006.gada </w:t>
    </w:r>
    <w:r w:rsidR="00CD1507" w:rsidRPr="00CD1507">
      <w:rPr>
        <w:rFonts w:ascii="Times New Roman" w:hAnsi="Times New Roman"/>
        <w:b w:val="0"/>
        <w:bCs w:val="0"/>
        <w:color w:val="000000" w:themeColor="text1"/>
        <w:sz w:val="20"/>
        <w:szCs w:val="20"/>
      </w:rPr>
      <w:t>2</w:t>
    </w:r>
    <w:r w:rsidR="00CD1507" w:rsidRPr="00CD1507">
      <w:rPr>
        <w:rFonts w:ascii="Times New Roman" w:hAnsi="Times New Roman"/>
        <w:b w:val="0"/>
        <w:color w:val="000000" w:themeColor="text1"/>
        <w:sz w:val="20"/>
        <w:szCs w:val="20"/>
      </w:rPr>
      <w:t>1.</w:t>
    </w:r>
    <w:r w:rsidR="00CD1507" w:rsidRPr="00CD1507">
      <w:rPr>
        <w:rFonts w:ascii="Times New Roman" w:hAnsi="Times New Roman"/>
        <w:b w:val="0"/>
        <w:bCs w:val="0"/>
        <w:color w:val="000000" w:themeColor="text1"/>
        <w:sz w:val="20"/>
        <w:szCs w:val="20"/>
      </w:rPr>
      <w:t>novem</w:t>
    </w:r>
    <w:r w:rsidR="00CD1507" w:rsidRPr="00CD1507">
      <w:rPr>
        <w:rFonts w:ascii="Times New Roman" w:hAnsi="Times New Roman"/>
        <w:b w:val="0"/>
        <w:color w:val="000000" w:themeColor="text1"/>
        <w:sz w:val="20"/>
        <w:szCs w:val="20"/>
      </w:rPr>
      <w:t>bra noteikumos Nr.</w:t>
    </w:r>
    <w:r w:rsidR="00CD1507" w:rsidRPr="00CD1507">
      <w:rPr>
        <w:rFonts w:ascii="Times New Roman" w:hAnsi="Times New Roman"/>
        <w:b w:val="0"/>
        <w:bCs w:val="0"/>
        <w:color w:val="000000" w:themeColor="text1"/>
        <w:sz w:val="20"/>
        <w:szCs w:val="20"/>
      </w:rPr>
      <w:t>940</w:t>
    </w:r>
    <w:r w:rsidR="00CD1507" w:rsidRPr="00CD1507">
      <w:rPr>
        <w:rFonts w:ascii="Times New Roman" w:hAnsi="Times New Roman"/>
        <w:b w:val="0"/>
        <w:color w:val="000000" w:themeColor="text1"/>
        <w:sz w:val="20"/>
        <w:szCs w:val="20"/>
      </w:rPr>
      <w:t xml:space="preserve"> „</w:t>
    </w:r>
    <w:r w:rsidR="00CD1507" w:rsidRPr="00CD1507">
      <w:rPr>
        <w:rFonts w:ascii="Times New Roman" w:hAnsi="Times New Roman"/>
        <w:b w:val="0"/>
        <w:sz w:val="20"/>
        <w:szCs w:val="20"/>
      </w:rPr>
      <w:t>Noteikumi par informācijas sniegšanas maksas pakalpojumiem””</w:t>
    </w:r>
    <w:r w:rsidR="00CD1507">
      <w:rPr>
        <w:rFonts w:ascii="Times New Roman" w:hAnsi="Times New Roman"/>
        <w:b w:val="0"/>
        <w:sz w:val="20"/>
        <w:szCs w:val="20"/>
      </w:rPr>
      <w:t xml:space="preserve"> </w:t>
    </w:r>
    <w:r w:rsidRPr="00CD1507">
      <w:rPr>
        <w:rFonts w:ascii="Times New Roman" w:hAnsi="Times New Roman"/>
        <w:b w:val="0"/>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BE" w:rsidRDefault="00044EBE" w:rsidP="000B5C6F">
      <w:r>
        <w:separator/>
      </w:r>
    </w:p>
  </w:footnote>
  <w:footnote w:type="continuationSeparator" w:id="0">
    <w:p w:rsidR="00044EBE" w:rsidRDefault="00044EBE" w:rsidP="000B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Default="00044EBE"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EBE" w:rsidRDefault="00044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BE" w:rsidRPr="00195FE9" w:rsidRDefault="00044EBE" w:rsidP="00D639CD">
    <w:pPr>
      <w:pStyle w:val="Header"/>
      <w:framePr w:wrap="around" w:vAnchor="text" w:hAnchor="margin" w:xAlign="center" w:y="1"/>
      <w:rPr>
        <w:rStyle w:val="PageNumber"/>
        <w:sz w:val="22"/>
        <w:szCs w:val="22"/>
      </w:rPr>
    </w:pPr>
    <w:r w:rsidRPr="00195FE9">
      <w:rPr>
        <w:rStyle w:val="PageNumber"/>
        <w:sz w:val="22"/>
        <w:szCs w:val="22"/>
      </w:rPr>
      <w:fldChar w:fldCharType="begin"/>
    </w:r>
    <w:r w:rsidRPr="00195FE9">
      <w:rPr>
        <w:rStyle w:val="PageNumber"/>
        <w:sz w:val="22"/>
        <w:szCs w:val="22"/>
      </w:rPr>
      <w:instrText xml:space="preserve">PAGE  </w:instrText>
    </w:r>
    <w:r w:rsidRPr="00195FE9">
      <w:rPr>
        <w:rStyle w:val="PageNumber"/>
        <w:sz w:val="22"/>
        <w:szCs w:val="22"/>
      </w:rPr>
      <w:fldChar w:fldCharType="separate"/>
    </w:r>
    <w:r w:rsidR="007D62A1">
      <w:rPr>
        <w:rStyle w:val="PageNumber"/>
        <w:noProof/>
        <w:sz w:val="22"/>
        <w:szCs w:val="22"/>
      </w:rPr>
      <w:t>2</w:t>
    </w:r>
    <w:r w:rsidRPr="00195FE9">
      <w:rPr>
        <w:rStyle w:val="PageNumber"/>
        <w:sz w:val="22"/>
        <w:szCs w:val="22"/>
      </w:rPr>
      <w:fldChar w:fldCharType="end"/>
    </w:r>
  </w:p>
  <w:p w:rsidR="00044EBE" w:rsidRDefault="00044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2B2209"/>
    <w:multiLevelType w:val="hybridMultilevel"/>
    <w:tmpl w:val="FA985300"/>
    <w:lvl w:ilvl="0" w:tplc="046C14E6">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A9F1287"/>
    <w:multiLevelType w:val="hybridMultilevel"/>
    <w:tmpl w:val="24149554"/>
    <w:lvl w:ilvl="0" w:tplc="046C14E6">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D0712"/>
    <w:multiLevelType w:val="hybridMultilevel"/>
    <w:tmpl w:val="945C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C2155"/>
    <w:multiLevelType w:val="multilevel"/>
    <w:tmpl w:val="52C81B3A"/>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A697518"/>
    <w:multiLevelType w:val="hybridMultilevel"/>
    <w:tmpl w:val="848201E0"/>
    <w:lvl w:ilvl="0" w:tplc="962EF054">
      <w:start w:val="1"/>
      <w:numFmt w:val="decimal"/>
      <w:lvlText w:val="%1)"/>
      <w:lvlJc w:val="left"/>
      <w:pPr>
        <w:ind w:left="1639" w:hanging="9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11">
    <w:nsid w:val="5C7821E4"/>
    <w:multiLevelType w:val="hybridMultilevel"/>
    <w:tmpl w:val="945C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239EE"/>
    <w:multiLevelType w:val="hybridMultilevel"/>
    <w:tmpl w:val="593EF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A893B28"/>
    <w:multiLevelType w:val="hybridMultilevel"/>
    <w:tmpl w:val="B5BA1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15"/>
  </w:num>
  <w:num w:numId="4">
    <w:abstractNumId w:val="2"/>
  </w:num>
  <w:num w:numId="5">
    <w:abstractNumId w:val="5"/>
  </w:num>
  <w:num w:numId="6">
    <w:abstractNumId w:val="14"/>
  </w:num>
  <w:num w:numId="7">
    <w:abstractNumId w:val="12"/>
  </w:num>
  <w:num w:numId="8">
    <w:abstractNumId w:val="4"/>
  </w:num>
  <w:num w:numId="9">
    <w:abstractNumId w:val="7"/>
  </w:num>
  <w:num w:numId="10">
    <w:abstractNumId w:val="3"/>
  </w:num>
  <w:num w:numId="11">
    <w:abstractNumId w:val="11"/>
  </w:num>
  <w:num w:numId="12">
    <w:abstractNumId w:val="8"/>
  </w:num>
  <w:num w:numId="13">
    <w:abstractNumId w:val="9"/>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DB"/>
    <w:rsid w:val="00004239"/>
    <w:rsid w:val="00010380"/>
    <w:rsid w:val="00027B67"/>
    <w:rsid w:val="000367B4"/>
    <w:rsid w:val="000445EB"/>
    <w:rsid w:val="00044EBE"/>
    <w:rsid w:val="00045AF4"/>
    <w:rsid w:val="000643B3"/>
    <w:rsid w:val="00064C30"/>
    <w:rsid w:val="00075FE9"/>
    <w:rsid w:val="000760AC"/>
    <w:rsid w:val="000A6BD5"/>
    <w:rsid w:val="000A7490"/>
    <w:rsid w:val="000B5106"/>
    <w:rsid w:val="000B5C6F"/>
    <w:rsid w:val="000C37EF"/>
    <w:rsid w:val="000C474F"/>
    <w:rsid w:val="000C5706"/>
    <w:rsid w:val="000E3265"/>
    <w:rsid w:val="000F0A5E"/>
    <w:rsid w:val="000F0C1D"/>
    <w:rsid w:val="000F1294"/>
    <w:rsid w:val="000F409C"/>
    <w:rsid w:val="001040FC"/>
    <w:rsid w:val="0010794A"/>
    <w:rsid w:val="001112EE"/>
    <w:rsid w:val="00120089"/>
    <w:rsid w:val="001206C4"/>
    <w:rsid w:val="00127A95"/>
    <w:rsid w:val="00135721"/>
    <w:rsid w:val="00181B32"/>
    <w:rsid w:val="001878CA"/>
    <w:rsid w:val="001929B0"/>
    <w:rsid w:val="00195FE9"/>
    <w:rsid w:val="00197905"/>
    <w:rsid w:val="001B45E7"/>
    <w:rsid w:val="001C55A8"/>
    <w:rsid w:val="001D191B"/>
    <w:rsid w:val="001D4D55"/>
    <w:rsid w:val="001D5D31"/>
    <w:rsid w:val="001E58C2"/>
    <w:rsid w:val="001F5D42"/>
    <w:rsid w:val="00213C6D"/>
    <w:rsid w:val="00214BF6"/>
    <w:rsid w:val="00215301"/>
    <w:rsid w:val="002158EC"/>
    <w:rsid w:val="002167CF"/>
    <w:rsid w:val="00216AFF"/>
    <w:rsid w:val="002243D8"/>
    <w:rsid w:val="00226BB5"/>
    <w:rsid w:val="00237C76"/>
    <w:rsid w:val="00240542"/>
    <w:rsid w:val="002413B7"/>
    <w:rsid w:val="00246A79"/>
    <w:rsid w:val="00247EFD"/>
    <w:rsid w:val="00265293"/>
    <w:rsid w:val="00266D52"/>
    <w:rsid w:val="00270C36"/>
    <w:rsid w:val="00274565"/>
    <w:rsid w:val="0027657C"/>
    <w:rsid w:val="00280C2F"/>
    <w:rsid w:val="00296798"/>
    <w:rsid w:val="002A37B0"/>
    <w:rsid w:val="002A6264"/>
    <w:rsid w:val="002B2890"/>
    <w:rsid w:val="002C5382"/>
    <w:rsid w:val="002D0EBC"/>
    <w:rsid w:val="002D188C"/>
    <w:rsid w:val="002D36C6"/>
    <w:rsid w:val="002D589E"/>
    <w:rsid w:val="002D7209"/>
    <w:rsid w:val="002E25B0"/>
    <w:rsid w:val="002E6C44"/>
    <w:rsid w:val="002F4541"/>
    <w:rsid w:val="00316B66"/>
    <w:rsid w:val="0034617C"/>
    <w:rsid w:val="00354FC5"/>
    <w:rsid w:val="00360488"/>
    <w:rsid w:val="003741B2"/>
    <w:rsid w:val="0037648E"/>
    <w:rsid w:val="00390044"/>
    <w:rsid w:val="00390B94"/>
    <w:rsid w:val="00395DE8"/>
    <w:rsid w:val="003A7948"/>
    <w:rsid w:val="003B67A8"/>
    <w:rsid w:val="003B7BD2"/>
    <w:rsid w:val="003C0710"/>
    <w:rsid w:val="003C0F95"/>
    <w:rsid w:val="003C51D0"/>
    <w:rsid w:val="003C5DE1"/>
    <w:rsid w:val="003D0570"/>
    <w:rsid w:val="003D4FC7"/>
    <w:rsid w:val="003D7265"/>
    <w:rsid w:val="003E02EA"/>
    <w:rsid w:val="003E3593"/>
    <w:rsid w:val="003F2C2D"/>
    <w:rsid w:val="003F3FBD"/>
    <w:rsid w:val="00404FF0"/>
    <w:rsid w:val="004401D5"/>
    <w:rsid w:val="0045420F"/>
    <w:rsid w:val="00456A26"/>
    <w:rsid w:val="004677AD"/>
    <w:rsid w:val="00473D2D"/>
    <w:rsid w:val="0049634E"/>
    <w:rsid w:val="004B0D7F"/>
    <w:rsid w:val="004B47F8"/>
    <w:rsid w:val="004C0C0C"/>
    <w:rsid w:val="004C2555"/>
    <w:rsid w:val="004D25DE"/>
    <w:rsid w:val="004D3859"/>
    <w:rsid w:val="004D62A0"/>
    <w:rsid w:val="004E3A40"/>
    <w:rsid w:val="004E5629"/>
    <w:rsid w:val="004F0324"/>
    <w:rsid w:val="00501540"/>
    <w:rsid w:val="00505070"/>
    <w:rsid w:val="00506EAC"/>
    <w:rsid w:val="005117BD"/>
    <w:rsid w:val="00511C15"/>
    <w:rsid w:val="00511C6D"/>
    <w:rsid w:val="0052684B"/>
    <w:rsid w:val="00535D05"/>
    <w:rsid w:val="00536A45"/>
    <w:rsid w:val="00541590"/>
    <w:rsid w:val="00542CCE"/>
    <w:rsid w:val="00545D75"/>
    <w:rsid w:val="0055209A"/>
    <w:rsid w:val="00557CBD"/>
    <w:rsid w:val="00560B41"/>
    <w:rsid w:val="00570F85"/>
    <w:rsid w:val="00572B5E"/>
    <w:rsid w:val="00573F3F"/>
    <w:rsid w:val="00574B73"/>
    <w:rsid w:val="00575884"/>
    <w:rsid w:val="005A0638"/>
    <w:rsid w:val="005A7C86"/>
    <w:rsid w:val="005C193F"/>
    <w:rsid w:val="005C7668"/>
    <w:rsid w:val="005C7ACA"/>
    <w:rsid w:val="005C7E03"/>
    <w:rsid w:val="005D19C2"/>
    <w:rsid w:val="005D369B"/>
    <w:rsid w:val="005D70CE"/>
    <w:rsid w:val="005E0984"/>
    <w:rsid w:val="005E323B"/>
    <w:rsid w:val="005E5C47"/>
    <w:rsid w:val="00606E06"/>
    <w:rsid w:val="006360A0"/>
    <w:rsid w:val="00646DDB"/>
    <w:rsid w:val="006714E9"/>
    <w:rsid w:val="00673DDB"/>
    <w:rsid w:val="00676C09"/>
    <w:rsid w:val="0068431F"/>
    <w:rsid w:val="00686737"/>
    <w:rsid w:val="00695E3B"/>
    <w:rsid w:val="006A4280"/>
    <w:rsid w:val="006A6BD6"/>
    <w:rsid w:val="006B2F26"/>
    <w:rsid w:val="006B6A75"/>
    <w:rsid w:val="006C3FDE"/>
    <w:rsid w:val="006C7DDD"/>
    <w:rsid w:val="006D2DF6"/>
    <w:rsid w:val="006D6EF9"/>
    <w:rsid w:val="006D744C"/>
    <w:rsid w:val="006E6EDF"/>
    <w:rsid w:val="006F0294"/>
    <w:rsid w:val="00700005"/>
    <w:rsid w:val="00701092"/>
    <w:rsid w:val="00703AEE"/>
    <w:rsid w:val="00705AD8"/>
    <w:rsid w:val="0070700E"/>
    <w:rsid w:val="00743361"/>
    <w:rsid w:val="00744EC6"/>
    <w:rsid w:val="007470E5"/>
    <w:rsid w:val="00752327"/>
    <w:rsid w:val="00754375"/>
    <w:rsid w:val="007554F1"/>
    <w:rsid w:val="00755FB1"/>
    <w:rsid w:val="0076233A"/>
    <w:rsid w:val="007626D4"/>
    <w:rsid w:val="00764D20"/>
    <w:rsid w:val="007659AE"/>
    <w:rsid w:val="00774ECF"/>
    <w:rsid w:val="0077671C"/>
    <w:rsid w:val="00777DAF"/>
    <w:rsid w:val="007950DD"/>
    <w:rsid w:val="007A0BFC"/>
    <w:rsid w:val="007A7853"/>
    <w:rsid w:val="007B054B"/>
    <w:rsid w:val="007B3A29"/>
    <w:rsid w:val="007C2679"/>
    <w:rsid w:val="007C30AB"/>
    <w:rsid w:val="007C60EA"/>
    <w:rsid w:val="007D62A1"/>
    <w:rsid w:val="007E3A8B"/>
    <w:rsid w:val="007E3C5B"/>
    <w:rsid w:val="007F2505"/>
    <w:rsid w:val="007F311E"/>
    <w:rsid w:val="007F4197"/>
    <w:rsid w:val="007F521C"/>
    <w:rsid w:val="00813311"/>
    <w:rsid w:val="0082741F"/>
    <w:rsid w:val="00831B92"/>
    <w:rsid w:val="0083659B"/>
    <w:rsid w:val="00843DE9"/>
    <w:rsid w:val="00855E80"/>
    <w:rsid w:val="00860BE8"/>
    <w:rsid w:val="00860DA3"/>
    <w:rsid w:val="00863822"/>
    <w:rsid w:val="0086640A"/>
    <w:rsid w:val="00866910"/>
    <w:rsid w:val="0087279F"/>
    <w:rsid w:val="0087446B"/>
    <w:rsid w:val="008747A8"/>
    <w:rsid w:val="00886B41"/>
    <w:rsid w:val="00891C80"/>
    <w:rsid w:val="008A5C70"/>
    <w:rsid w:val="008B204D"/>
    <w:rsid w:val="008C6A6C"/>
    <w:rsid w:val="008D08A0"/>
    <w:rsid w:val="008D43E0"/>
    <w:rsid w:val="008D5826"/>
    <w:rsid w:val="008E21B8"/>
    <w:rsid w:val="008E5C08"/>
    <w:rsid w:val="008F01A6"/>
    <w:rsid w:val="0090372C"/>
    <w:rsid w:val="00904EF9"/>
    <w:rsid w:val="00906254"/>
    <w:rsid w:val="0090664B"/>
    <w:rsid w:val="00906847"/>
    <w:rsid w:val="00907840"/>
    <w:rsid w:val="009143B3"/>
    <w:rsid w:val="00942B07"/>
    <w:rsid w:val="00947007"/>
    <w:rsid w:val="0095487B"/>
    <w:rsid w:val="00967BBC"/>
    <w:rsid w:val="00981DC8"/>
    <w:rsid w:val="00987348"/>
    <w:rsid w:val="00990A43"/>
    <w:rsid w:val="00992A2E"/>
    <w:rsid w:val="00993D86"/>
    <w:rsid w:val="009C704F"/>
    <w:rsid w:val="009D3EC6"/>
    <w:rsid w:val="009F18CA"/>
    <w:rsid w:val="00A108DB"/>
    <w:rsid w:val="00A10F52"/>
    <w:rsid w:val="00A21C06"/>
    <w:rsid w:val="00A25A76"/>
    <w:rsid w:val="00A43A21"/>
    <w:rsid w:val="00A52059"/>
    <w:rsid w:val="00A5360E"/>
    <w:rsid w:val="00A7068C"/>
    <w:rsid w:val="00A747C5"/>
    <w:rsid w:val="00A755B3"/>
    <w:rsid w:val="00A86499"/>
    <w:rsid w:val="00A93914"/>
    <w:rsid w:val="00AA1397"/>
    <w:rsid w:val="00AA2541"/>
    <w:rsid w:val="00AA3D5D"/>
    <w:rsid w:val="00AA3DA3"/>
    <w:rsid w:val="00AB3B20"/>
    <w:rsid w:val="00AB56C7"/>
    <w:rsid w:val="00AB6308"/>
    <w:rsid w:val="00AB7A96"/>
    <w:rsid w:val="00AC0E70"/>
    <w:rsid w:val="00AC1936"/>
    <w:rsid w:val="00AC359E"/>
    <w:rsid w:val="00AC4DFF"/>
    <w:rsid w:val="00AD3346"/>
    <w:rsid w:val="00AE551F"/>
    <w:rsid w:val="00AE6CB6"/>
    <w:rsid w:val="00B00016"/>
    <w:rsid w:val="00B000C0"/>
    <w:rsid w:val="00B13C17"/>
    <w:rsid w:val="00B13C1A"/>
    <w:rsid w:val="00B13EDF"/>
    <w:rsid w:val="00B1638B"/>
    <w:rsid w:val="00B1730A"/>
    <w:rsid w:val="00B32446"/>
    <w:rsid w:val="00B430C3"/>
    <w:rsid w:val="00B61981"/>
    <w:rsid w:val="00B77EED"/>
    <w:rsid w:val="00B83048"/>
    <w:rsid w:val="00B8679A"/>
    <w:rsid w:val="00B91EE2"/>
    <w:rsid w:val="00BB2871"/>
    <w:rsid w:val="00BB2A08"/>
    <w:rsid w:val="00BC00BF"/>
    <w:rsid w:val="00BC2410"/>
    <w:rsid w:val="00BD1CBE"/>
    <w:rsid w:val="00BD592A"/>
    <w:rsid w:val="00BE10C1"/>
    <w:rsid w:val="00BF2BAD"/>
    <w:rsid w:val="00BF2D5A"/>
    <w:rsid w:val="00C13012"/>
    <w:rsid w:val="00C153F8"/>
    <w:rsid w:val="00C15A92"/>
    <w:rsid w:val="00C214C7"/>
    <w:rsid w:val="00C251DD"/>
    <w:rsid w:val="00C3015D"/>
    <w:rsid w:val="00C308DF"/>
    <w:rsid w:val="00C4069B"/>
    <w:rsid w:val="00C47120"/>
    <w:rsid w:val="00C55C48"/>
    <w:rsid w:val="00C93AD7"/>
    <w:rsid w:val="00C975D8"/>
    <w:rsid w:val="00CA1BF5"/>
    <w:rsid w:val="00CA6A6E"/>
    <w:rsid w:val="00CA7F46"/>
    <w:rsid w:val="00CB07FE"/>
    <w:rsid w:val="00CC1B46"/>
    <w:rsid w:val="00CD0666"/>
    <w:rsid w:val="00CD1507"/>
    <w:rsid w:val="00CD34C2"/>
    <w:rsid w:val="00CD6515"/>
    <w:rsid w:val="00CE0C65"/>
    <w:rsid w:val="00CE2BE8"/>
    <w:rsid w:val="00CF07FA"/>
    <w:rsid w:val="00CF235F"/>
    <w:rsid w:val="00CF259F"/>
    <w:rsid w:val="00CF2DC2"/>
    <w:rsid w:val="00D13D70"/>
    <w:rsid w:val="00D17C95"/>
    <w:rsid w:val="00D22588"/>
    <w:rsid w:val="00D50B23"/>
    <w:rsid w:val="00D639CD"/>
    <w:rsid w:val="00D65D61"/>
    <w:rsid w:val="00D66735"/>
    <w:rsid w:val="00D75DC0"/>
    <w:rsid w:val="00D8092A"/>
    <w:rsid w:val="00DA1AEE"/>
    <w:rsid w:val="00DA415C"/>
    <w:rsid w:val="00DB0BAB"/>
    <w:rsid w:val="00DC7631"/>
    <w:rsid w:val="00DE15A9"/>
    <w:rsid w:val="00DE64B1"/>
    <w:rsid w:val="00E01F6E"/>
    <w:rsid w:val="00E02A9E"/>
    <w:rsid w:val="00E07ED5"/>
    <w:rsid w:val="00E26689"/>
    <w:rsid w:val="00E3332E"/>
    <w:rsid w:val="00E51BD4"/>
    <w:rsid w:val="00E520DC"/>
    <w:rsid w:val="00E52808"/>
    <w:rsid w:val="00E64F90"/>
    <w:rsid w:val="00E66870"/>
    <w:rsid w:val="00E66F36"/>
    <w:rsid w:val="00E73601"/>
    <w:rsid w:val="00E755D1"/>
    <w:rsid w:val="00E86CC8"/>
    <w:rsid w:val="00E95B6C"/>
    <w:rsid w:val="00EA29AF"/>
    <w:rsid w:val="00EA4C69"/>
    <w:rsid w:val="00EA6444"/>
    <w:rsid w:val="00EB131B"/>
    <w:rsid w:val="00EB5EB0"/>
    <w:rsid w:val="00EC75AE"/>
    <w:rsid w:val="00ED17FC"/>
    <w:rsid w:val="00EE4D1D"/>
    <w:rsid w:val="00EE56BF"/>
    <w:rsid w:val="00EF0853"/>
    <w:rsid w:val="00F06A16"/>
    <w:rsid w:val="00F131E7"/>
    <w:rsid w:val="00F1427B"/>
    <w:rsid w:val="00F331DF"/>
    <w:rsid w:val="00F5161B"/>
    <w:rsid w:val="00F552A3"/>
    <w:rsid w:val="00F629C4"/>
    <w:rsid w:val="00F6439B"/>
    <w:rsid w:val="00F6627F"/>
    <w:rsid w:val="00F70040"/>
    <w:rsid w:val="00F715FA"/>
    <w:rsid w:val="00F7379F"/>
    <w:rsid w:val="00F801F8"/>
    <w:rsid w:val="00F86385"/>
    <w:rsid w:val="00F953EB"/>
    <w:rsid w:val="00FC2965"/>
    <w:rsid w:val="00FE589B"/>
    <w:rsid w:val="00FF135C"/>
    <w:rsid w:val="00FF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table" w:styleId="TableGrid">
    <w:name w:val="Table Grid"/>
    <w:basedOn w:val="TableNormal"/>
    <w:uiPriority w:val="59"/>
    <w:rsid w:val="00A25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D191B"/>
    <w:pPr>
      <w:spacing w:after="120"/>
      <w:ind w:left="283"/>
    </w:pPr>
  </w:style>
  <w:style w:type="character" w:customStyle="1" w:styleId="BodyTextIndentChar">
    <w:name w:val="Body Text Indent Char"/>
    <w:basedOn w:val="DefaultParagraphFont"/>
    <w:link w:val="BodyTextIndent"/>
    <w:uiPriority w:val="99"/>
    <w:rsid w:val="001D19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E10C1"/>
    <w:rPr>
      <w:rFonts w:ascii="Tahoma" w:hAnsi="Tahoma" w:cs="Tahoma"/>
      <w:sz w:val="16"/>
      <w:szCs w:val="16"/>
    </w:rPr>
  </w:style>
  <w:style w:type="character" w:customStyle="1" w:styleId="BalloonTextChar">
    <w:name w:val="Balloon Text Char"/>
    <w:basedOn w:val="DefaultParagraphFont"/>
    <w:link w:val="BalloonText"/>
    <w:uiPriority w:val="99"/>
    <w:semiHidden/>
    <w:rsid w:val="00BE10C1"/>
    <w:rPr>
      <w:rFonts w:ascii="Tahoma" w:eastAsia="Times New Roman" w:hAnsi="Tahoma" w:cs="Tahoma"/>
      <w:sz w:val="16"/>
      <w:szCs w:val="16"/>
      <w:lang w:val="lv-LV" w:eastAsia="lv-LV"/>
    </w:rPr>
  </w:style>
  <w:style w:type="paragraph" w:customStyle="1" w:styleId="Nobeigums">
    <w:name w:val="Nobeigums"/>
    <w:basedOn w:val="Normal"/>
    <w:rsid w:val="003C51D0"/>
    <w:rPr>
      <w:szCs w:val="20"/>
      <w:lang w:val="en-US" w:eastAsia="en-US"/>
    </w:rPr>
  </w:style>
  <w:style w:type="paragraph" w:customStyle="1" w:styleId="tv2131">
    <w:name w:val="tv2131"/>
    <w:basedOn w:val="Normal"/>
    <w:rsid w:val="003C51D0"/>
    <w:pPr>
      <w:spacing w:before="240" w:line="360" w:lineRule="auto"/>
      <w:ind w:firstLine="300"/>
      <w:jc w:val="both"/>
    </w:pPr>
    <w:rPr>
      <w:rFonts w:ascii="Verdana" w:hAnsi="Verdana"/>
      <w:sz w:val="18"/>
      <w:szCs w:val="18"/>
    </w:rPr>
  </w:style>
  <w:style w:type="paragraph" w:customStyle="1" w:styleId="tv20787921">
    <w:name w:val="tv207_87_921"/>
    <w:basedOn w:val="Normal"/>
    <w:rsid w:val="00CD1507"/>
    <w:pPr>
      <w:spacing w:after="567" w:line="360" w:lineRule="auto"/>
      <w:jc w:val="center"/>
    </w:pPr>
    <w:rPr>
      <w:rFonts w:ascii="Verdana" w:hAnsi="Verdana"/>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table" w:styleId="TableGrid">
    <w:name w:val="Table Grid"/>
    <w:basedOn w:val="TableNormal"/>
    <w:uiPriority w:val="59"/>
    <w:rsid w:val="00A25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D191B"/>
    <w:pPr>
      <w:spacing w:after="120"/>
      <w:ind w:left="283"/>
    </w:pPr>
  </w:style>
  <w:style w:type="character" w:customStyle="1" w:styleId="BodyTextIndentChar">
    <w:name w:val="Body Text Indent Char"/>
    <w:basedOn w:val="DefaultParagraphFont"/>
    <w:link w:val="BodyTextIndent"/>
    <w:uiPriority w:val="99"/>
    <w:rsid w:val="001D191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E10C1"/>
    <w:rPr>
      <w:rFonts w:ascii="Tahoma" w:hAnsi="Tahoma" w:cs="Tahoma"/>
      <w:sz w:val="16"/>
      <w:szCs w:val="16"/>
    </w:rPr>
  </w:style>
  <w:style w:type="character" w:customStyle="1" w:styleId="BalloonTextChar">
    <w:name w:val="Balloon Text Char"/>
    <w:basedOn w:val="DefaultParagraphFont"/>
    <w:link w:val="BalloonText"/>
    <w:uiPriority w:val="99"/>
    <w:semiHidden/>
    <w:rsid w:val="00BE10C1"/>
    <w:rPr>
      <w:rFonts w:ascii="Tahoma" w:eastAsia="Times New Roman" w:hAnsi="Tahoma" w:cs="Tahoma"/>
      <w:sz w:val="16"/>
      <w:szCs w:val="16"/>
      <w:lang w:val="lv-LV" w:eastAsia="lv-LV"/>
    </w:rPr>
  </w:style>
  <w:style w:type="paragraph" w:customStyle="1" w:styleId="Nobeigums">
    <w:name w:val="Nobeigums"/>
    <w:basedOn w:val="Normal"/>
    <w:rsid w:val="003C51D0"/>
    <w:rPr>
      <w:szCs w:val="20"/>
      <w:lang w:val="en-US" w:eastAsia="en-US"/>
    </w:rPr>
  </w:style>
  <w:style w:type="paragraph" w:customStyle="1" w:styleId="tv2131">
    <w:name w:val="tv2131"/>
    <w:basedOn w:val="Normal"/>
    <w:rsid w:val="003C51D0"/>
    <w:pPr>
      <w:spacing w:before="240" w:line="360" w:lineRule="auto"/>
      <w:ind w:firstLine="300"/>
      <w:jc w:val="both"/>
    </w:pPr>
    <w:rPr>
      <w:rFonts w:ascii="Verdana" w:hAnsi="Verdana"/>
      <w:sz w:val="18"/>
      <w:szCs w:val="18"/>
    </w:rPr>
  </w:style>
  <w:style w:type="paragraph" w:customStyle="1" w:styleId="tv20787921">
    <w:name w:val="tv207_87_921"/>
    <w:basedOn w:val="Normal"/>
    <w:rsid w:val="00CD1507"/>
    <w:pPr>
      <w:spacing w:after="567" w:line="360" w:lineRule="auto"/>
      <w:jc w:val="center"/>
    </w:pPr>
    <w:rPr>
      <w:rFonts w:ascii="Verdana" w:hAnsi="Verdan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2167">
      <w:bodyDiv w:val="1"/>
      <w:marLeft w:val="0"/>
      <w:marRight w:val="0"/>
      <w:marTop w:val="0"/>
      <w:marBottom w:val="0"/>
      <w:divBdr>
        <w:top w:val="none" w:sz="0" w:space="0" w:color="auto"/>
        <w:left w:val="none" w:sz="0" w:space="0" w:color="auto"/>
        <w:bottom w:val="none" w:sz="0" w:space="0" w:color="auto"/>
        <w:right w:val="none" w:sz="0" w:space="0" w:color="auto"/>
      </w:divBdr>
    </w:div>
    <w:div w:id="446314678">
      <w:bodyDiv w:val="1"/>
      <w:marLeft w:val="0"/>
      <w:marRight w:val="0"/>
      <w:marTop w:val="0"/>
      <w:marBottom w:val="0"/>
      <w:divBdr>
        <w:top w:val="none" w:sz="0" w:space="0" w:color="auto"/>
        <w:left w:val="none" w:sz="0" w:space="0" w:color="auto"/>
        <w:bottom w:val="none" w:sz="0" w:space="0" w:color="auto"/>
        <w:right w:val="none" w:sz="0" w:space="0" w:color="auto"/>
      </w:divBdr>
    </w:div>
    <w:div w:id="671879274">
      <w:bodyDiv w:val="1"/>
      <w:marLeft w:val="0"/>
      <w:marRight w:val="0"/>
      <w:marTop w:val="0"/>
      <w:marBottom w:val="0"/>
      <w:divBdr>
        <w:top w:val="none" w:sz="0" w:space="0" w:color="auto"/>
        <w:left w:val="none" w:sz="0" w:space="0" w:color="auto"/>
        <w:bottom w:val="none" w:sz="0" w:space="0" w:color="auto"/>
        <w:right w:val="none" w:sz="0" w:space="0" w:color="auto"/>
      </w:divBdr>
    </w:div>
    <w:div w:id="688066714">
      <w:bodyDiv w:val="1"/>
      <w:marLeft w:val="0"/>
      <w:marRight w:val="0"/>
      <w:marTop w:val="0"/>
      <w:marBottom w:val="0"/>
      <w:divBdr>
        <w:top w:val="none" w:sz="0" w:space="0" w:color="auto"/>
        <w:left w:val="none" w:sz="0" w:space="0" w:color="auto"/>
        <w:bottom w:val="none" w:sz="0" w:space="0" w:color="auto"/>
        <w:right w:val="none" w:sz="0" w:space="0" w:color="auto"/>
      </w:divBdr>
      <w:divsChild>
        <w:div w:id="1462847714">
          <w:marLeft w:val="0"/>
          <w:marRight w:val="0"/>
          <w:marTop w:val="0"/>
          <w:marBottom w:val="0"/>
          <w:divBdr>
            <w:top w:val="none" w:sz="0" w:space="0" w:color="auto"/>
            <w:left w:val="none" w:sz="0" w:space="0" w:color="auto"/>
            <w:bottom w:val="none" w:sz="0" w:space="0" w:color="auto"/>
            <w:right w:val="none" w:sz="0" w:space="0" w:color="auto"/>
          </w:divBdr>
          <w:divsChild>
            <w:div w:id="1824422002">
              <w:marLeft w:val="0"/>
              <w:marRight w:val="0"/>
              <w:marTop w:val="0"/>
              <w:marBottom w:val="0"/>
              <w:divBdr>
                <w:top w:val="none" w:sz="0" w:space="0" w:color="auto"/>
                <w:left w:val="none" w:sz="0" w:space="0" w:color="auto"/>
                <w:bottom w:val="none" w:sz="0" w:space="0" w:color="auto"/>
                <w:right w:val="none" w:sz="0" w:space="0" w:color="auto"/>
              </w:divBdr>
              <w:divsChild>
                <w:div w:id="1349940568">
                  <w:marLeft w:val="0"/>
                  <w:marRight w:val="0"/>
                  <w:marTop w:val="0"/>
                  <w:marBottom w:val="0"/>
                  <w:divBdr>
                    <w:top w:val="none" w:sz="0" w:space="0" w:color="auto"/>
                    <w:left w:val="none" w:sz="0" w:space="0" w:color="auto"/>
                    <w:bottom w:val="none" w:sz="0" w:space="0" w:color="auto"/>
                    <w:right w:val="none" w:sz="0" w:space="0" w:color="auto"/>
                  </w:divBdr>
                  <w:divsChild>
                    <w:div w:id="784812006">
                      <w:marLeft w:val="0"/>
                      <w:marRight w:val="0"/>
                      <w:marTop w:val="0"/>
                      <w:marBottom w:val="225"/>
                      <w:divBdr>
                        <w:top w:val="none" w:sz="0" w:space="0" w:color="auto"/>
                        <w:left w:val="none" w:sz="0" w:space="0" w:color="auto"/>
                        <w:bottom w:val="none" w:sz="0" w:space="0" w:color="auto"/>
                        <w:right w:val="none" w:sz="0" w:space="0" w:color="auto"/>
                      </w:divBdr>
                      <w:divsChild>
                        <w:div w:id="1794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915798">
      <w:bodyDiv w:val="1"/>
      <w:marLeft w:val="45"/>
      <w:marRight w:val="45"/>
      <w:marTop w:val="90"/>
      <w:marBottom w:val="90"/>
      <w:divBdr>
        <w:top w:val="none" w:sz="0" w:space="0" w:color="auto"/>
        <w:left w:val="none" w:sz="0" w:space="0" w:color="auto"/>
        <w:bottom w:val="none" w:sz="0" w:space="0" w:color="auto"/>
        <w:right w:val="none" w:sz="0" w:space="0" w:color="auto"/>
      </w:divBdr>
      <w:divsChild>
        <w:div w:id="42141498">
          <w:marLeft w:val="0"/>
          <w:marRight w:val="0"/>
          <w:marTop w:val="0"/>
          <w:marBottom w:val="567"/>
          <w:divBdr>
            <w:top w:val="none" w:sz="0" w:space="0" w:color="auto"/>
            <w:left w:val="none" w:sz="0" w:space="0" w:color="auto"/>
            <w:bottom w:val="none" w:sz="0" w:space="0" w:color="auto"/>
            <w:right w:val="none" w:sz="0" w:space="0" w:color="auto"/>
          </w:divBdr>
        </w:div>
      </w:divsChild>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910131">
      <w:bodyDiv w:val="1"/>
      <w:marLeft w:val="0"/>
      <w:marRight w:val="0"/>
      <w:marTop w:val="0"/>
      <w:marBottom w:val="0"/>
      <w:divBdr>
        <w:top w:val="none" w:sz="0" w:space="0" w:color="auto"/>
        <w:left w:val="none" w:sz="0" w:space="0" w:color="auto"/>
        <w:bottom w:val="none" w:sz="0" w:space="0" w:color="auto"/>
        <w:right w:val="none" w:sz="0" w:space="0" w:color="auto"/>
      </w:divBdr>
    </w:div>
    <w:div w:id="1369911637">
      <w:bodyDiv w:val="1"/>
      <w:marLeft w:val="0"/>
      <w:marRight w:val="0"/>
      <w:marTop w:val="0"/>
      <w:marBottom w:val="0"/>
      <w:divBdr>
        <w:top w:val="none" w:sz="0" w:space="0" w:color="auto"/>
        <w:left w:val="none" w:sz="0" w:space="0" w:color="auto"/>
        <w:bottom w:val="none" w:sz="0" w:space="0" w:color="auto"/>
        <w:right w:val="none" w:sz="0" w:space="0" w:color="auto"/>
      </w:divBdr>
      <w:divsChild>
        <w:div w:id="586809516">
          <w:marLeft w:val="0"/>
          <w:marRight w:val="0"/>
          <w:marTop w:val="0"/>
          <w:marBottom w:val="0"/>
          <w:divBdr>
            <w:top w:val="none" w:sz="0" w:space="0" w:color="auto"/>
            <w:left w:val="none" w:sz="0" w:space="0" w:color="auto"/>
            <w:bottom w:val="none" w:sz="0" w:space="0" w:color="auto"/>
            <w:right w:val="none" w:sz="0" w:space="0" w:color="auto"/>
          </w:divBdr>
          <w:divsChild>
            <w:div w:id="1229458720">
              <w:marLeft w:val="0"/>
              <w:marRight w:val="0"/>
              <w:marTop w:val="0"/>
              <w:marBottom w:val="0"/>
              <w:divBdr>
                <w:top w:val="none" w:sz="0" w:space="0" w:color="auto"/>
                <w:left w:val="none" w:sz="0" w:space="0" w:color="auto"/>
                <w:bottom w:val="none" w:sz="0" w:space="0" w:color="auto"/>
                <w:right w:val="none" w:sz="0" w:space="0" w:color="auto"/>
              </w:divBdr>
              <w:divsChild>
                <w:div w:id="389308434">
                  <w:marLeft w:val="0"/>
                  <w:marRight w:val="0"/>
                  <w:marTop w:val="0"/>
                  <w:marBottom w:val="0"/>
                  <w:divBdr>
                    <w:top w:val="none" w:sz="0" w:space="0" w:color="auto"/>
                    <w:left w:val="none" w:sz="0" w:space="0" w:color="auto"/>
                    <w:bottom w:val="none" w:sz="0" w:space="0" w:color="auto"/>
                    <w:right w:val="none" w:sz="0" w:space="0" w:color="auto"/>
                  </w:divBdr>
                  <w:divsChild>
                    <w:div w:id="1553887357">
                      <w:marLeft w:val="0"/>
                      <w:marRight w:val="0"/>
                      <w:marTop w:val="0"/>
                      <w:marBottom w:val="0"/>
                      <w:divBdr>
                        <w:top w:val="none" w:sz="0" w:space="0" w:color="auto"/>
                        <w:left w:val="none" w:sz="0" w:space="0" w:color="auto"/>
                        <w:bottom w:val="none" w:sz="0" w:space="0" w:color="auto"/>
                        <w:right w:val="none" w:sz="0" w:space="0" w:color="auto"/>
                      </w:divBdr>
                      <w:divsChild>
                        <w:div w:id="488860972">
                          <w:marLeft w:val="0"/>
                          <w:marRight w:val="0"/>
                          <w:marTop w:val="0"/>
                          <w:marBottom w:val="0"/>
                          <w:divBdr>
                            <w:top w:val="none" w:sz="0" w:space="0" w:color="auto"/>
                            <w:left w:val="none" w:sz="0" w:space="0" w:color="auto"/>
                            <w:bottom w:val="none" w:sz="0" w:space="0" w:color="auto"/>
                            <w:right w:val="none" w:sz="0" w:space="0" w:color="auto"/>
                          </w:divBdr>
                          <w:divsChild>
                            <w:div w:id="474446787">
                              <w:marLeft w:val="0"/>
                              <w:marRight w:val="0"/>
                              <w:marTop w:val="0"/>
                              <w:marBottom w:val="0"/>
                              <w:divBdr>
                                <w:top w:val="none" w:sz="0" w:space="0" w:color="auto"/>
                                <w:left w:val="none" w:sz="0" w:space="0" w:color="auto"/>
                                <w:bottom w:val="none" w:sz="0" w:space="0" w:color="auto"/>
                                <w:right w:val="none" w:sz="0" w:space="0" w:color="auto"/>
                              </w:divBdr>
                              <w:divsChild>
                                <w:div w:id="1960797298">
                                  <w:marLeft w:val="0"/>
                                  <w:marRight w:val="0"/>
                                  <w:marTop w:val="0"/>
                                  <w:marBottom w:val="0"/>
                                  <w:divBdr>
                                    <w:top w:val="none" w:sz="0" w:space="0" w:color="auto"/>
                                    <w:left w:val="none" w:sz="0" w:space="0" w:color="auto"/>
                                    <w:bottom w:val="none" w:sz="0" w:space="0" w:color="auto"/>
                                    <w:right w:val="none" w:sz="0" w:space="0" w:color="auto"/>
                                  </w:divBdr>
                                  <w:divsChild>
                                    <w:div w:id="1793136204">
                                      <w:marLeft w:val="0"/>
                                      <w:marRight w:val="0"/>
                                      <w:marTop w:val="0"/>
                                      <w:marBottom w:val="0"/>
                                      <w:divBdr>
                                        <w:top w:val="none" w:sz="0" w:space="0" w:color="auto"/>
                                        <w:left w:val="none" w:sz="0" w:space="0" w:color="auto"/>
                                        <w:bottom w:val="none" w:sz="0" w:space="0" w:color="auto"/>
                                        <w:right w:val="none" w:sz="0" w:space="0" w:color="auto"/>
                                      </w:divBdr>
                                      <w:divsChild>
                                        <w:div w:id="1256400678">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336485">
      <w:bodyDiv w:val="1"/>
      <w:marLeft w:val="45"/>
      <w:marRight w:val="45"/>
      <w:marTop w:val="90"/>
      <w:marBottom w:val="90"/>
      <w:divBdr>
        <w:top w:val="none" w:sz="0" w:space="0" w:color="auto"/>
        <w:left w:val="none" w:sz="0" w:space="0" w:color="auto"/>
        <w:bottom w:val="none" w:sz="0" w:space="0" w:color="auto"/>
        <w:right w:val="none" w:sz="0" w:space="0" w:color="auto"/>
      </w:divBdr>
      <w:divsChild>
        <w:div w:id="515997273">
          <w:marLeft w:val="0"/>
          <w:marRight w:val="0"/>
          <w:marTop w:val="0"/>
          <w:marBottom w:val="567"/>
          <w:divBdr>
            <w:top w:val="none" w:sz="0" w:space="0" w:color="auto"/>
            <w:left w:val="none" w:sz="0" w:space="0" w:color="auto"/>
            <w:bottom w:val="none" w:sz="0" w:space="0" w:color="auto"/>
            <w:right w:val="none" w:sz="0" w:space="0" w:color="auto"/>
          </w:divBdr>
        </w:div>
      </w:divsChild>
    </w:div>
    <w:div w:id="1628848849">
      <w:bodyDiv w:val="1"/>
      <w:marLeft w:val="0"/>
      <w:marRight w:val="0"/>
      <w:marTop w:val="0"/>
      <w:marBottom w:val="0"/>
      <w:divBdr>
        <w:top w:val="none" w:sz="0" w:space="0" w:color="auto"/>
        <w:left w:val="none" w:sz="0" w:space="0" w:color="auto"/>
        <w:bottom w:val="none" w:sz="0" w:space="0" w:color="auto"/>
        <w:right w:val="none" w:sz="0" w:space="0" w:color="auto"/>
      </w:divBdr>
    </w:div>
    <w:div w:id="18858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se.vanag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0733-A61D-471A-AB2F-30F117BA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3008</Words>
  <Characters>1715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2007. gada 10. aprīļa noteikumos Nr.237 „Skaidrā naudā veikto darījumu deklarēšanas noteikumi””</vt:lpstr>
    </vt:vector>
  </TitlesOfParts>
  <Company>Veselības ministrija</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21.novembra noteikumos Nr.940 „Noteikumi par informācijas sniegšanas maksas pakalpojumiem””</dc:title>
  <dc:subject>anotācija</dc:subject>
  <dc:creator>I.Vanaga</dc:creator>
  <dc:description>67083901,
Inese.Vanaga@fm.gov.lv</dc:description>
  <cp:lastModifiedBy>Windows User</cp:lastModifiedBy>
  <cp:revision>14</cp:revision>
  <cp:lastPrinted>2013-03-18T13:40:00Z</cp:lastPrinted>
  <dcterms:created xsi:type="dcterms:W3CDTF">2013-03-18T13:42:00Z</dcterms:created>
  <dcterms:modified xsi:type="dcterms:W3CDTF">2013-07-17T07:48:00Z</dcterms:modified>
</cp:coreProperties>
</file>